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27990" w14:textId="2B0E173D" w:rsidR="00B255AE" w:rsidRDefault="00B255AE" w:rsidP="00511215">
      <w:pPr>
        <w:keepNext/>
        <w:keepLines/>
        <w:autoSpaceDE w:val="0"/>
        <w:autoSpaceDN w:val="0"/>
        <w:adjustRightInd w:val="0"/>
        <w:spacing w:after="0" w:line="240" w:lineRule="auto"/>
        <w:jc w:val="both"/>
        <w:rPr>
          <w:rFonts w:ascii="Arial" w:hAnsi="Arial" w:cs="Arial"/>
          <w:color w:val="000000"/>
          <w:sz w:val="24"/>
          <w:szCs w:val="24"/>
        </w:rPr>
      </w:pPr>
      <w:bookmarkStart w:id="0" w:name="_Hlk65532069"/>
      <w:bookmarkStart w:id="1" w:name="_Hlk71662449"/>
      <w:bookmarkEnd w:id="0"/>
      <w:r w:rsidRPr="00B255AE">
        <w:rPr>
          <w:rFonts w:ascii="Arial" w:hAnsi="Arial" w:cs="Arial"/>
          <w:color w:val="000000"/>
          <w:sz w:val="24"/>
          <w:szCs w:val="24"/>
        </w:rPr>
        <w:t>Original Research Article</w:t>
      </w:r>
    </w:p>
    <w:p w14:paraId="32F10EBC" w14:textId="77777777" w:rsidR="00B255AE" w:rsidRDefault="00B255AE" w:rsidP="00511215">
      <w:pPr>
        <w:keepNext/>
        <w:keepLines/>
        <w:autoSpaceDE w:val="0"/>
        <w:autoSpaceDN w:val="0"/>
        <w:adjustRightInd w:val="0"/>
        <w:spacing w:after="0" w:line="240" w:lineRule="auto"/>
        <w:jc w:val="both"/>
        <w:rPr>
          <w:rFonts w:ascii="Arial" w:hAnsi="Arial" w:cs="Arial"/>
          <w:color w:val="000000"/>
          <w:sz w:val="24"/>
          <w:szCs w:val="24"/>
        </w:rPr>
      </w:pPr>
    </w:p>
    <w:p w14:paraId="70483EC3" w14:textId="01EE6DA5" w:rsidR="00BD0B49" w:rsidRPr="00186647" w:rsidRDefault="00BD0B49" w:rsidP="00511215">
      <w:pPr>
        <w:keepNext/>
        <w:keepLines/>
        <w:autoSpaceDE w:val="0"/>
        <w:autoSpaceDN w:val="0"/>
        <w:adjustRightInd w:val="0"/>
        <w:spacing w:after="0" w:line="240" w:lineRule="auto"/>
        <w:jc w:val="both"/>
        <w:rPr>
          <w:rFonts w:ascii="Arial" w:hAnsi="Arial" w:cs="Arial"/>
          <w:color w:val="000000"/>
          <w:sz w:val="24"/>
          <w:szCs w:val="24"/>
        </w:rPr>
      </w:pPr>
      <w:r w:rsidRPr="00186647">
        <w:rPr>
          <w:rFonts w:ascii="Arial" w:hAnsi="Arial" w:cs="Arial"/>
          <w:color w:val="000000"/>
          <w:sz w:val="24"/>
          <w:szCs w:val="24"/>
        </w:rPr>
        <w:t xml:space="preserve">Assessing the Impact of Pre-Third-Party logistics (PRE-3PLS) and 3PLS on Viral Load Sample Turn-Around Time in the Management of HIV/AIDS Patients in Ekiti State, Nigeria: A </w:t>
      </w:r>
      <w:r w:rsidR="00511215" w:rsidRPr="00186647">
        <w:rPr>
          <w:rFonts w:ascii="Arial" w:hAnsi="Arial" w:cs="Arial"/>
          <w:color w:val="000000"/>
          <w:sz w:val="24"/>
          <w:szCs w:val="24"/>
        </w:rPr>
        <w:t xml:space="preserve">retrospective </w:t>
      </w:r>
      <w:r w:rsidRPr="00186647">
        <w:rPr>
          <w:rFonts w:ascii="Arial" w:hAnsi="Arial" w:cs="Arial"/>
          <w:color w:val="000000"/>
          <w:sz w:val="24"/>
          <w:szCs w:val="24"/>
        </w:rPr>
        <w:t xml:space="preserve">cross-sectional study </w:t>
      </w:r>
    </w:p>
    <w:bookmarkEnd w:id="1"/>
    <w:p w14:paraId="189A3DF9" w14:textId="77777777" w:rsidR="00BD0B49" w:rsidRPr="00186647" w:rsidRDefault="00BD0B49" w:rsidP="00C42B89">
      <w:pPr>
        <w:rPr>
          <w:rFonts w:ascii="Arial" w:hAnsi="Arial" w:cs="Arial"/>
          <w:sz w:val="24"/>
          <w:szCs w:val="24"/>
        </w:rPr>
      </w:pPr>
    </w:p>
    <w:p w14:paraId="5D853A34" w14:textId="77777777" w:rsidR="00C42B89" w:rsidRPr="00186647" w:rsidRDefault="00C42B89">
      <w:pPr>
        <w:rPr>
          <w:rFonts w:ascii="Arial" w:hAnsi="Arial" w:cs="Arial"/>
          <w:b/>
          <w:sz w:val="24"/>
          <w:szCs w:val="24"/>
        </w:rPr>
      </w:pPr>
    </w:p>
    <w:p w14:paraId="41168BAE" w14:textId="3CE851A4" w:rsidR="004527E3" w:rsidRPr="00186647" w:rsidRDefault="00C35899" w:rsidP="004527E3">
      <w:pPr>
        <w:rPr>
          <w:rFonts w:ascii="Arial" w:hAnsi="Arial" w:cs="Arial"/>
          <w:b/>
          <w:sz w:val="24"/>
          <w:szCs w:val="24"/>
        </w:rPr>
      </w:pPr>
      <w:r w:rsidRPr="00186647">
        <w:rPr>
          <w:rFonts w:ascii="Arial" w:hAnsi="Arial" w:cs="Arial"/>
          <w:b/>
          <w:sz w:val="24"/>
          <w:szCs w:val="24"/>
        </w:rPr>
        <w:t>Abstract</w:t>
      </w:r>
    </w:p>
    <w:p w14:paraId="21B1BF71" w14:textId="0C8A556D" w:rsidR="0029652B" w:rsidRPr="00186647" w:rsidRDefault="00C42B89"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Background</w:t>
      </w:r>
      <w:r w:rsidR="0029652B" w:rsidRPr="00186647">
        <w:rPr>
          <w:rFonts w:ascii="Arial" w:hAnsi="Arial" w:cs="Arial"/>
          <w:b/>
          <w:bCs/>
          <w:color w:val="000000"/>
          <w:sz w:val="24"/>
          <w:szCs w:val="24"/>
        </w:rPr>
        <w:t xml:space="preserve">: </w:t>
      </w:r>
      <w:r w:rsidR="0029652B" w:rsidRPr="00186647">
        <w:rPr>
          <w:rFonts w:ascii="Arial" w:hAnsi="Arial" w:cs="Arial"/>
          <w:color w:val="131413"/>
          <w:sz w:val="24"/>
          <w:szCs w:val="24"/>
        </w:rPr>
        <w:t>In 2014,</w:t>
      </w:r>
      <w:r w:rsidR="000601BE" w:rsidRPr="00186647">
        <w:rPr>
          <w:rFonts w:ascii="Arial" w:hAnsi="Arial" w:cs="Arial"/>
          <w:color w:val="000000"/>
          <w:sz w:val="24"/>
          <w:szCs w:val="24"/>
        </w:rPr>
        <w:t xml:space="preserve"> The </w:t>
      </w:r>
      <w:r w:rsidR="0029652B" w:rsidRPr="00186647">
        <w:rPr>
          <w:rFonts w:ascii="Arial" w:hAnsi="Arial" w:cs="Arial"/>
          <w:color w:val="000000"/>
          <w:sz w:val="24"/>
          <w:szCs w:val="24"/>
        </w:rPr>
        <w:t xml:space="preserve">Joint United Nations Program on HIV/AIDS and its partners launched </w:t>
      </w:r>
      <w:r w:rsidR="000601BE" w:rsidRPr="00186647">
        <w:rPr>
          <w:rFonts w:ascii="Arial" w:hAnsi="Arial" w:cs="Arial"/>
          <w:color w:val="000000"/>
          <w:sz w:val="24"/>
          <w:szCs w:val="24"/>
        </w:rPr>
        <w:t xml:space="preserve">the </w:t>
      </w:r>
      <w:r w:rsidR="0029652B" w:rsidRPr="00186647">
        <w:rPr>
          <w:rFonts w:ascii="Arial" w:hAnsi="Arial" w:cs="Arial"/>
          <w:color w:val="000000"/>
          <w:sz w:val="24"/>
          <w:szCs w:val="24"/>
        </w:rPr>
        <w:t>90–90–90 treatment targets</w:t>
      </w:r>
      <w:r w:rsidR="000601BE" w:rsidRPr="00186647">
        <w:rPr>
          <w:rFonts w:ascii="Arial" w:hAnsi="Arial" w:cs="Arial"/>
          <w:color w:val="000000"/>
          <w:sz w:val="24"/>
          <w:szCs w:val="24"/>
        </w:rPr>
        <w:t>, which</w:t>
      </w:r>
      <w:r w:rsidR="0029652B" w:rsidRPr="00186647">
        <w:rPr>
          <w:rFonts w:ascii="Arial" w:hAnsi="Arial" w:cs="Arial"/>
          <w:color w:val="000000"/>
          <w:sz w:val="24"/>
          <w:szCs w:val="24"/>
        </w:rPr>
        <w:t xml:space="preserve"> aimed to diagnose 90% of all people living with Human Immunodeficiency Virus (PLHIV), 90% of PLHIV should be on antiretroviral therapy (ART) and 90% of those on ART should achieve viral suppression </w:t>
      </w:r>
      <w:r w:rsidR="00B60BE0" w:rsidRPr="00186647">
        <w:rPr>
          <w:rFonts w:ascii="Arial" w:hAnsi="Arial" w:cs="Arial"/>
          <w:color w:val="000000"/>
          <w:sz w:val="24"/>
          <w:szCs w:val="24"/>
        </w:rPr>
        <w:t>by</w:t>
      </w:r>
      <w:r w:rsidR="0029652B" w:rsidRPr="00186647">
        <w:rPr>
          <w:rFonts w:ascii="Arial" w:hAnsi="Arial" w:cs="Arial"/>
          <w:color w:val="000000"/>
          <w:sz w:val="24"/>
          <w:szCs w:val="24"/>
        </w:rPr>
        <w:t xml:space="preserve"> 2020. Prompt HIV viral load testing and reporting is crucial to</w:t>
      </w:r>
      <w:r w:rsidR="00B60BE0" w:rsidRPr="00186647">
        <w:rPr>
          <w:rFonts w:ascii="Arial" w:hAnsi="Arial" w:cs="Arial"/>
          <w:color w:val="000000"/>
          <w:sz w:val="24"/>
          <w:szCs w:val="24"/>
        </w:rPr>
        <w:t xml:space="preserve"> </w:t>
      </w:r>
      <w:r w:rsidR="0029652B" w:rsidRPr="00186647">
        <w:rPr>
          <w:rFonts w:ascii="Arial" w:hAnsi="Arial" w:cs="Arial"/>
          <w:color w:val="000000"/>
          <w:sz w:val="24"/>
          <w:szCs w:val="24"/>
        </w:rPr>
        <w:t xml:space="preserve">achieving the third 90% component of the target. </w:t>
      </w:r>
      <w:r w:rsidR="0029652B" w:rsidRPr="00186647">
        <w:rPr>
          <w:rFonts w:ascii="Arial" w:hAnsi="Arial" w:cs="Arial"/>
          <w:color w:val="131413"/>
          <w:sz w:val="24"/>
          <w:szCs w:val="24"/>
        </w:rPr>
        <w:t xml:space="preserve">This study aims to </w:t>
      </w:r>
      <w:r w:rsidR="0029652B" w:rsidRPr="00186647">
        <w:rPr>
          <w:rFonts w:ascii="Arial" w:hAnsi="Arial" w:cs="Arial"/>
          <w:color w:val="000000"/>
          <w:sz w:val="24"/>
          <w:szCs w:val="24"/>
        </w:rPr>
        <w:t>assess impact of Pre-Third-Party Logistics (Pre-3PLs) and Third-Party Logistics (3PLs) on viral load sample Turn-around Time (TAT) in the management of HIV/AIDS patients in Ekiti State, Nigeria</w:t>
      </w:r>
    </w:p>
    <w:p w14:paraId="3B0A0F58" w14:textId="1C44431E" w:rsidR="0029652B" w:rsidRPr="00186647" w:rsidRDefault="0029652B"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 xml:space="preserve">Methods: </w:t>
      </w:r>
      <w:r w:rsidRPr="00186647">
        <w:rPr>
          <w:rFonts w:ascii="Arial" w:hAnsi="Arial" w:cs="Arial"/>
          <w:color w:val="000000"/>
          <w:sz w:val="24"/>
          <w:szCs w:val="24"/>
        </w:rPr>
        <w:t xml:space="preserve">A cross-sectional study was carried out in </w:t>
      </w:r>
      <w:r w:rsidR="000601BE" w:rsidRPr="00186647">
        <w:rPr>
          <w:rFonts w:ascii="Arial" w:hAnsi="Arial" w:cs="Arial"/>
          <w:color w:val="000000"/>
          <w:sz w:val="24"/>
          <w:szCs w:val="24"/>
        </w:rPr>
        <w:t>ten</w:t>
      </w:r>
      <w:r w:rsidRPr="00186647">
        <w:rPr>
          <w:rFonts w:ascii="Arial" w:hAnsi="Arial" w:cs="Arial"/>
          <w:color w:val="000000"/>
          <w:sz w:val="24"/>
          <w:szCs w:val="24"/>
        </w:rPr>
        <w:t xml:space="preserve"> health facilities.</w:t>
      </w:r>
      <w:r w:rsidR="000601BE" w:rsidRPr="00186647">
        <w:rPr>
          <w:rFonts w:ascii="Arial" w:hAnsi="Arial" w:cs="Arial"/>
          <w:color w:val="000000"/>
          <w:sz w:val="24"/>
          <w:szCs w:val="24"/>
        </w:rPr>
        <w:t xml:space="preserve"> Quantitative and qualitative data were collected and analyzed using the R statistical software.</w:t>
      </w:r>
      <w:r w:rsidRPr="00186647">
        <w:rPr>
          <w:rFonts w:ascii="Arial" w:hAnsi="Arial" w:cs="Arial"/>
          <w:color w:val="000000"/>
          <w:sz w:val="24"/>
          <w:szCs w:val="24"/>
        </w:rPr>
        <w:t xml:space="preserve"> </w:t>
      </w:r>
    </w:p>
    <w:p w14:paraId="0BFB6CC7" w14:textId="5FAEEDB5" w:rsidR="0029652B" w:rsidRPr="00186647" w:rsidRDefault="0029652B"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 xml:space="preserve">Results: </w:t>
      </w:r>
      <w:r w:rsidRPr="00186647">
        <w:rPr>
          <w:rFonts w:ascii="Arial" w:hAnsi="Arial" w:cs="Arial"/>
          <w:color w:val="000000"/>
          <w:sz w:val="24"/>
          <w:szCs w:val="24"/>
        </w:rPr>
        <w:t xml:space="preserve">High load facilities had a mean TAT of </w:t>
      </w:r>
      <w:r w:rsidRPr="00186647">
        <w:rPr>
          <w:rFonts w:ascii="Arial" w:hAnsi="Arial" w:cs="Arial"/>
          <w:sz w:val="24"/>
          <w:szCs w:val="24"/>
        </w:rPr>
        <w:t>83.68 and 30.76 days for pre-3PLs and 3PLs respectively with a mean difference of 52.92 days (95% CI:18.86-86.97, p&lt;0.05). Low load facilities had a mean TAT of 104.4 and 26.9 days for pre-3PLs and 3PLs respectively with a mean difference of 77.38 days (95% CI: 64.50-90.26, p&lt;0.05). Other than transportation, manpower, sample quality/integrity, reagent stockout and machine downtime, proximity, and human factors were also identified as factors associated with TAT.</w:t>
      </w:r>
    </w:p>
    <w:p w14:paraId="4788BE8C" w14:textId="77777777" w:rsidR="0029652B" w:rsidRPr="00186647" w:rsidRDefault="0029652B"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 xml:space="preserve">Conclusion: </w:t>
      </w:r>
      <w:r w:rsidRPr="00186647">
        <w:rPr>
          <w:rFonts w:ascii="Arial" w:hAnsi="Arial" w:cs="Arial"/>
          <w:sz w:val="24"/>
          <w:szCs w:val="24"/>
        </w:rPr>
        <w:t xml:space="preserve">The TAT reduced significantly from pre 3PLs to the present era of 3PLs. The continuous use of 3PLs should be encouraged as this could further ensure that more PLHIV will have their viral load tested with their results received on time. </w:t>
      </w:r>
    </w:p>
    <w:p w14:paraId="6402D9CC" w14:textId="77777777" w:rsidR="0029652B" w:rsidRPr="00186647" w:rsidRDefault="0029652B" w:rsidP="0029652B">
      <w:pPr>
        <w:autoSpaceDE w:val="0"/>
        <w:autoSpaceDN w:val="0"/>
        <w:adjustRightInd w:val="0"/>
        <w:spacing w:after="160"/>
        <w:jc w:val="both"/>
        <w:rPr>
          <w:rFonts w:ascii="Arial" w:hAnsi="Arial" w:cs="Arial"/>
          <w:sz w:val="24"/>
          <w:szCs w:val="24"/>
        </w:rPr>
      </w:pPr>
      <w:r w:rsidRPr="00186647">
        <w:rPr>
          <w:rFonts w:ascii="Arial" w:hAnsi="Arial" w:cs="Arial"/>
          <w:b/>
          <w:sz w:val="24"/>
          <w:szCs w:val="24"/>
        </w:rPr>
        <w:t>Keywords</w:t>
      </w:r>
      <w:r w:rsidRPr="00186647">
        <w:rPr>
          <w:rFonts w:ascii="Arial" w:hAnsi="Arial" w:cs="Arial"/>
          <w:sz w:val="24"/>
          <w:szCs w:val="24"/>
        </w:rPr>
        <w:t>:</w:t>
      </w:r>
      <w:r w:rsidRPr="00186647">
        <w:rPr>
          <w:rFonts w:ascii="Arial" w:hAnsi="Arial" w:cs="Arial"/>
          <w:color w:val="000000"/>
          <w:sz w:val="24"/>
          <w:szCs w:val="24"/>
        </w:rPr>
        <w:t xml:space="preserve"> Antiretroviral therapy, Turn-around Time, Third-party logistics, Human immunodeficiency virus</w:t>
      </w:r>
    </w:p>
    <w:p w14:paraId="13CFB079" w14:textId="77777777" w:rsidR="0029652B" w:rsidRPr="00186647" w:rsidRDefault="0029652B" w:rsidP="004527E3">
      <w:pPr>
        <w:rPr>
          <w:rFonts w:ascii="Arial" w:hAnsi="Arial" w:cs="Arial"/>
          <w:sz w:val="24"/>
          <w:szCs w:val="24"/>
        </w:rPr>
      </w:pPr>
    </w:p>
    <w:p w14:paraId="5F5D63A1" w14:textId="36B3B93A" w:rsidR="00D0343C" w:rsidRPr="00186647" w:rsidRDefault="004527E3">
      <w:pPr>
        <w:rPr>
          <w:rFonts w:ascii="Arial" w:hAnsi="Arial" w:cs="Arial"/>
          <w:b/>
          <w:sz w:val="24"/>
          <w:szCs w:val="24"/>
        </w:rPr>
      </w:pPr>
      <w:r w:rsidRPr="00186647">
        <w:rPr>
          <w:rFonts w:ascii="Arial" w:hAnsi="Arial" w:cs="Arial"/>
          <w:b/>
          <w:sz w:val="24"/>
          <w:szCs w:val="24"/>
        </w:rPr>
        <w:t>Introduction</w:t>
      </w:r>
    </w:p>
    <w:p w14:paraId="14FA59B0" w14:textId="6700CF3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Currently, there are about 3</w:t>
      </w:r>
      <w:r w:rsidR="00511215" w:rsidRPr="00186647">
        <w:rPr>
          <w:rFonts w:ascii="Arial" w:hAnsi="Arial" w:cs="Arial"/>
          <w:color w:val="000000"/>
          <w:sz w:val="24"/>
          <w:szCs w:val="24"/>
        </w:rPr>
        <w:t>9</w:t>
      </w:r>
      <w:r w:rsidRPr="00186647">
        <w:rPr>
          <w:rFonts w:ascii="Arial" w:hAnsi="Arial" w:cs="Arial"/>
          <w:color w:val="000000"/>
          <w:sz w:val="24"/>
          <w:szCs w:val="24"/>
        </w:rPr>
        <w:t>.9 million people living with Human Immunodeficiency Virus (PLHIV) globally</w:t>
      </w:r>
      <w:r w:rsidR="00735CB3" w:rsidRPr="00186647">
        <w:rPr>
          <w:rFonts w:ascii="Arial" w:hAnsi="Arial" w:cs="Arial"/>
          <w:color w:val="000000"/>
          <w:sz w:val="24"/>
          <w:szCs w:val="24"/>
        </w:rPr>
        <w:t xml:space="preserve"> </w:t>
      </w:r>
      <w:r w:rsidR="00735CB3" w:rsidRPr="00186647">
        <w:rPr>
          <w:rFonts w:ascii="Arial" w:hAnsi="Arial" w:cs="Arial"/>
          <w:color w:val="000000"/>
          <w:sz w:val="24"/>
          <w:szCs w:val="24"/>
        </w:rPr>
        <w:fldChar w:fldCharType="begin"/>
      </w:r>
      <w:r w:rsidR="00735CB3" w:rsidRPr="00186647">
        <w:rPr>
          <w:rFonts w:ascii="Arial" w:hAnsi="Arial" w:cs="Arial"/>
          <w:color w:val="000000"/>
          <w:sz w:val="24"/>
          <w:szCs w:val="24"/>
        </w:rPr>
        <w:instrText xml:space="preserve"> ADDIN ZOTERO_ITEM CSL_CITATION {"citationID":"eihXw4X3","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735CB3" w:rsidRPr="00186647">
        <w:rPr>
          <w:rFonts w:ascii="Arial" w:hAnsi="Arial" w:cs="Arial"/>
          <w:color w:val="000000"/>
          <w:sz w:val="24"/>
          <w:szCs w:val="24"/>
        </w:rPr>
        <w:fldChar w:fldCharType="separate"/>
      </w:r>
      <w:r w:rsidR="00735CB3" w:rsidRPr="00186647">
        <w:rPr>
          <w:rFonts w:ascii="Arial" w:hAnsi="Arial" w:cs="Arial"/>
          <w:sz w:val="24"/>
          <w:szCs w:val="24"/>
        </w:rPr>
        <w:t>[1]</w:t>
      </w:r>
      <w:r w:rsidR="00735CB3" w:rsidRPr="00186647">
        <w:rPr>
          <w:rFonts w:ascii="Arial" w:hAnsi="Arial" w:cs="Arial"/>
          <w:color w:val="000000"/>
          <w:sz w:val="24"/>
          <w:szCs w:val="24"/>
        </w:rPr>
        <w:fldChar w:fldCharType="end"/>
      </w:r>
      <w:r w:rsidRPr="00186647">
        <w:rPr>
          <w:rFonts w:ascii="Arial" w:hAnsi="Arial" w:cs="Arial"/>
          <w:color w:val="000000"/>
          <w:sz w:val="24"/>
          <w:szCs w:val="24"/>
        </w:rPr>
        <w:t xml:space="preserve"> with the </w:t>
      </w:r>
      <w:r w:rsidRPr="00186647">
        <w:rPr>
          <w:rFonts w:ascii="Arial" w:hAnsi="Arial" w:cs="Arial"/>
          <w:color w:val="000000"/>
          <w:sz w:val="24"/>
          <w:szCs w:val="24"/>
          <w:highlight w:val="white"/>
        </w:rPr>
        <w:t>majority living in low- and middle- income countries (LMIC). An estimated 6</w:t>
      </w:r>
      <w:r w:rsidR="00AF3C70" w:rsidRPr="00186647">
        <w:rPr>
          <w:rFonts w:ascii="Arial" w:hAnsi="Arial" w:cs="Arial"/>
          <w:color w:val="000000"/>
          <w:sz w:val="24"/>
          <w:szCs w:val="24"/>
          <w:highlight w:val="white"/>
        </w:rPr>
        <w:t>7</w:t>
      </w:r>
      <w:r w:rsidRPr="00186647">
        <w:rPr>
          <w:rFonts w:ascii="Arial" w:hAnsi="Arial" w:cs="Arial"/>
          <w:color w:val="000000"/>
          <w:sz w:val="24"/>
          <w:szCs w:val="24"/>
          <w:highlight w:val="white"/>
        </w:rPr>
        <w:t>% of this proportion resides in </w:t>
      </w:r>
      <w:hyperlink r:id="rId8" w:history="1">
        <w:r w:rsidRPr="00186647">
          <w:rPr>
            <w:rFonts w:ascii="Arial" w:hAnsi="Arial" w:cs="Arial"/>
            <w:color w:val="000000"/>
            <w:sz w:val="24"/>
            <w:szCs w:val="24"/>
            <w:highlight w:val="white"/>
          </w:rPr>
          <w:t>S</w:t>
        </w:r>
        <w:r w:rsidRPr="00186647">
          <w:rPr>
            <w:rFonts w:ascii="Arial" w:hAnsi="Arial" w:cs="Arial"/>
            <w:vanish/>
            <w:color w:val="000000"/>
            <w:sz w:val="24"/>
            <w:szCs w:val="24"/>
            <w:highlight w:val="white"/>
          </w:rPr>
          <w:t>HYPERLINK "https://www.avert.org/node/393"</w:t>
        </w:r>
        <w:r w:rsidRPr="00186647">
          <w:rPr>
            <w:rFonts w:ascii="Arial" w:hAnsi="Arial" w:cs="Arial"/>
            <w:color w:val="000000"/>
            <w:sz w:val="24"/>
            <w:szCs w:val="24"/>
            <w:highlight w:val="white"/>
          </w:rPr>
          <w:t>ub-Saharan Africa</w:t>
        </w:r>
      </w:hyperlink>
      <w:r w:rsidRPr="00186647">
        <w:rPr>
          <w:rFonts w:ascii="Arial" w:hAnsi="Arial" w:cs="Arial"/>
          <w:color w:val="000000"/>
          <w:sz w:val="24"/>
          <w:szCs w:val="24"/>
          <w:highlight w:val="white"/>
        </w:rPr>
        <w:t xml:space="preserve"> (SSA)</w:t>
      </w:r>
      <w:r w:rsidR="00735CB3" w:rsidRPr="00186647">
        <w:rPr>
          <w:rFonts w:ascii="Arial" w:hAnsi="Arial" w:cs="Arial"/>
          <w:color w:val="000000"/>
          <w:sz w:val="24"/>
          <w:szCs w:val="24"/>
        </w:rPr>
        <w:t xml:space="preserve"> </w:t>
      </w:r>
      <w:r w:rsidR="00735CB3"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pFMOgDiZ","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735CB3" w:rsidRPr="00186647">
        <w:rPr>
          <w:rFonts w:ascii="Arial" w:hAnsi="Arial" w:cs="Arial"/>
          <w:color w:val="000000"/>
          <w:sz w:val="24"/>
          <w:szCs w:val="24"/>
        </w:rPr>
        <w:fldChar w:fldCharType="separate"/>
      </w:r>
      <w:r w:rsidR="00735CB3" w:rsidRPr="00186647">
        <w:rPr>
          <w:rFonts w:ascii="Arial" w:hAnsi="Arial" w:cs="Arial"/>
          <w:sz w:val="24"/>
          <w:szCs w:val="24"/>
        </w:rPr>
        <w:t>[1]</w:t>
      </w:r>
      <w:r w:rsidR="00735CB3" w:rsidRPr="00186647">
        <w:rPr>
          <w:rFonts w:ascii="Arial" w:hAnsi="Arial" w:cs="Arial"/>
          <w:color w:val="000000"/>
          <w:sz w:val="24"/>
          <w:szCs w:val="24"/>
        </w:rPr>
        <w:fldChar w:fldCharType="end"/>
      </w:r>
      <w:r w:rsidRPr="00186647">
        <w:rPr>
          <w:rFonts w:ascii="Arial" w:hAnsi="Arial" w:cs="Arial"/>
          <w:color w:val="000000"/>
          <w:sz w:val="24"/>
          <w:szCs w:val="24"/>
        </w:rPr>
        <w:t>. Nigeria has the second largest HIV epidemic in the world and one of the highest rates of new infection in sub-Sahara Africa</w:t>
      </w:r>
      <w:r w:rsidR="00735CB3" w:rsidRPr="00186647">
        <w:rPr>
          <w:rFonts w:ascii="Arial" w:hAnsi="Arial" w:cs="Arial"/>
          <w:color w:val="000000"/>
          <w:sz w:val="24"/>
          <w:szCs w:val="24"/>
        </w:rPr>
        <w:t xml:space="preserve"> </w:t>
      </w:r>
      <w:r w:rsidR="00735CB3"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92PkGTGx","properties":{"formattedCitation":"(2)","plainCitation":"(2)","dontUpdate":true,"noteIndex":0},"citationItems":[{"id":38,"uris":["http://zotero.org/users/local/SeKuys62/items/7HB85RN4"],"uri":["http://zotero.org/users/local/SeKuys62/items/7HB85RN4"],"itemData":{"id":38,"type":"article-journal","abstract":"Nigeria realizes the devastating effects of HIV/AIDS on its people, health, economic, and social progress fairly recently. This paper analyses descriptively the HIV epidemiology in Nigeria based on the sentinel surveillance system in place. Recently, it is estimated that about 3, 229, 757 people live with HIV in Nigeria and about 220, 393 new HIV infections occurred in 2013 and 210,031 died from AIDS related cases. People practicing low-risk sex are the driving force of HIV epidemic in Nigeria while the high risk groups involving female sex workers, men who have sex with men and injecting drug users contribute substantially to new infections. In conclusion, HIV prevalence among adults in Nigeria is relatively low (3.2%), yet Nigeria is an enormous country where HIV infection remains an issue that demands a systematic and highly tailored intervention. Ó 2016 The Authors. Production and hosting by Elsevier B.V. on behalf of King Saud University. This is an open access article under the CC BY-NC-ND license (http://creativecommons.org/licenses/by-nc-nd/4.0/).","container-title":"Saudi Journal of Biological Sciences","DOI":"10.1016/j.sjbs.2016.03.006","ISSN":"1319562X","issue":"4","journalAbbreviation":"Saudi Journal of Biological Sciences","language":"en","page":"697-703","source":"DOI.org (Crossref)","title":"HIV epidemiology in Nigeria","volume":"25","author":[{"family":"Awofala","given":"Awoyemi Abayomi"},{"family":"Ogundele","given":"Olusegun Emmanuel"}],"issued":{"date-parts":[["2018",5]]}}}],"schema":"https://github.com/citation-style-language/schema/raw/master/csl-citation.json"} </w:instrText>
      </w:r>
      <w:r w:rsidR="00735CB3" w:rsidRPr="00186647">
        <w:rPr>
          <w:rFonts w:ascii="Arial" w:hAnsi="Arial" w:cs="Arial"/>
          <w:color w:val="000000"/>
          <w:sz w:val="24"/>
          <w:szCs w:val="24"/>
        </w:rPr>
        <w:fldChar w:fldCharType="separate"/>
      </w:r>
      <w:r w:rsidR="00735CB3" w:rsidRPr="00186647">
        <w:rPr>
          <w:rFonts w:ascii="Arial" w:hAnsi="Arial" w:cs="Arial"/>
          <w:sz w:val="24"/>
          <w:szCs w:val="24"/>
        </w:rPr>
        <w:t>[2]</w:t>
      </w:r>
      <w:r w:rsidR="00735CB3" w:rsidRPr="00186647">
        <w:rPr>
          <w:rFonts w:ascii="Arial" w:hAnsi="Arial" w:cs="Arial"/>
          <w:color w:val="000000"/>
          <w:sz w:val="24"/>
          <w:szCs w:val="24"/>
        </w:rPr>
        <w:fldChar w:fldCharType="end"/>
      </w:r>
      <w:r w:rsidRPr="00186647">
        <w:rPr>
          <w:rFonts w:ascii="Arial" w:hAnsi="Arial" w:cs="Arial"/>
          <w:color w:val="000000"/>
          <w:sz w:val="24"/>
          <w:szCs w:val="24"/>
        </w:rPr>
        <w:t xml:space="preserve">. According to UNAIDS, in 2014, 9% of PLHIV </w:t>
      </w:r>
      <w:r w:rsidRPr="00186647">
        <w:rPr>
          <w:rFonts w:ascii="Arial" w:hAnsi="Arial" w:cs="Arial"/>
          <w:color w:val="000000"/>
          <w:sz w:val="24"/>
          <w:szCs w:val="24"/>
        </w:rPr>
        <w:lastRenderedPageBreak/>
        <w:t>globally resided in Nigeria. In 2018, there were about 1.9 million PLHIV including adults and children.</w:t>
      </w:r>
      <w:r w:rsidR="007349C5" w:rsidRPr="00186647">
        <w:rPr>
          <w:rFonts w:ascii="Arial" w:hAnsi="Arial" w:cs="Arial"/>
          <w:color w:val="000000"/>
          <w:sz w:val="24"/>
          <w:szCs w:val="24"/>
        </w:rPr>
        <w:t xml:space="preserve"> However, the Nigeria National HIV/AIDS Indicator and Impact Survey (NAIIS) conducted in 2018–2019 revealed a lower prevalence rate than previously estimated, indicating that approximately 1.4% of adults aged 15–49 were living with HIV.</w:t>
      </w:r>
    </w:p>
    <w:p w14:paraId="634F615E" w14:textId="4010206C"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In the recent years, there have been tremendous improvements in the prevention, access to diagnosis, treatment, and care of HIV/AIDS globally, especially in LMICs. The percentage of new infections, morbidity and mortality associated with HIV has decreased significantly</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H7pYXsTS","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[1]</w:t>
      </w:r>
      <w:r w:rsidR="00B46098" w:rsidRPr="00186647">
        <w:rPr>
          <w:rFonts w:ascii="Arial" w:hAnsi="Arial" w:cs="Arial"/>
          <w:color w:val="000000"/>
          <w:sz w:val="24"/>
          <w:szCs w:val="24"/>
        </w:rPr>
        <w:fldChar w:fldCharType="end"/>
      </w:r>
      <w:r w:rsidRPr="00186647">
        <w:rPr>
          <w:rFonts w:ascii="Arial" w:hAnsi="Arial" w:cs="Arial"/>
          <w:color w:val="000000"/>
          <w:sz w:val="24"/>
          <w:szCs w:val="24"/>
        </w:rPr>
        <w:t>.  In 2014, the Joint United Nations Program on HIV/AIDS (UNAIDS) and its partners launched the new 90–90–90 treatment targets. These targets aimed to diagnose 90% of all PLHIV, 90% of PLHIV should be on antiretroviral therapy (ART) and 90% of those on ART should have achieved viral suppression by 2020. In 2018, approximately 62% of PLHIV globally, were on ART, and 53% of these had achieved viral load suppression. This accounted for 23.3 million PLHIV receiving ART in 2018 as compared to 7.7 million in 2010</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UdcVJnTv","properties":{"formattedCitation":"(3)","plainCitation":"(3)","noteIndex":0},"citationItems":[{"id":97,"uris":["http://zotero.org/users/local/SeKuys62/items/VZR3UYQ3"],"uri":["http://zotero.org/users/local/SeKuys62/items/VZR3UYQ3"],"itemData":{"id":97,"type":"webpage","abstract":"Latest AIDS data, HIV data. In 2018 (the latest data available)... 37.9 million [32.7 million–44.0 million] people globally were living with HIV. 23.3 million [20.5 million–24.3 million] people were accessing antiretroviral therapy. 1.7 million [1.4 million–2.3 million] people became newly infected with HIV. 770 000 [570 000–1.1 million] people died from AIDS-related illnesses. 74.9 million [58.3 million–98.1 million] people have become infected with HIV since the start of the epidemic. 32.0 million [23.6 million–43.8 million] people have died from AIDS-related illnesses since the start of the epidemic.. Read statistics about people living with HIV, people accessing antiretroviral therapy, AIDS-related deaths and the risks among key populations.","language":"en","note":"source: www.unaids.org","title":"Global HIV &amp; AIDS statistics — 2019 fact sheet","URL":"https://www.unaids.org/en/resources/fact-sheet","accessed":{"date-parts":[["2020",6,25]]}}}],"schema":"https://github.com/citation-style-language/schema/raw/master/csl-citation.json"}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(3)</w:t>
      </w:r>
      <w:r w:rsidR="00B46098" w:rsidRPr="00186647">
        <w:rPr>
          <w:rFonts w:ascii="Arial" w:hAnsi="Arial" w:cs="Arial"/>
          <w:color w:val="000000"/>
          <w:sz w:val="24"/>
          <w:szCs w:val="24"/>
        </w:rPr>
        <w:fldChar w:fldCharType="end"/>
      </w:r>
      <w:r w:rsidRPr="00186647">
        <w:rPr>
          <w:rFonts w:ascii="Arial" w:hAnsi="Arial" w:cs="Arial"/>
          <w:color w:val="000000"/>
          <w:sz w:val="24"/>
          <w:szCs w:val="24"/>
        </w:rPr>
        <w:t xml:space="preserve">. </w:t>
      </w:r>
    </w:p>
    <w:p w14:paraId="77574855" w14:textId="0B856D78" w:rsidR="00F022CF" w:rsidRPr="00186647" w:rsidRDefault="00F022CF" w:rsidP="00F022CF">
      <w:pPr>
        <w:autoSpaceDE w:val="0"/>
        <w:autoSpaceDN w:val="0"/>
        <w:adjustRightInd w:val="0"/>
        <w:spacing w:after="240" w:line="360" w:lineRule="auto"/>
        <w:jc w:val="both"/>
        <w:rPr>
          <w:rFonts w:ascii="Arial" w:hAnsi="Arial" w:cs="Arial"/>
          <w:color w:val="000000"/>
          <w:sz w:val="24"/>
          <w:szCs w:val="24"/>
          <w:highlight w:val="white"/>
        </w:rPr>
      </w:pPr>
      <w:r w:rsidRPr="00186647">
        <w:rPr>
          <w:rFonts w:ascii="Arial" w:hAnsi="Arial" w:cs="Arial"/>
          <w:color w:val="000000"/>
          <w:sz w:val="24"/>
          <w:szCs w:val="24"/>
        </w:rPr>
        <w:t xml:space="preserve">As per 2018 data, in Nigeria, 67% of PLHIV knew their status, 53% of PLHIV were on ART, and 42% of PLHIV achieved viral load suppression with respect to the 90-90-90 treatment target.  </w:t>
      </w:r>
      <w:r w:rsidRPr="00186647">
        <w:rPr>
          <w:rFonts w:ascii="Arial" w:hAnsi="Arial" w:cs="Arial"/>
          <w:color w:val="000000"/>
          <w:sz w:val="24"/>
          <w:szCs w:val="24"/>
          <w:highlight w:val="white"/>
        </w:rPr>
        <w:t>Nigeria has made great progress in the fight against HIV/AIDS in terms of absolute numbers, from 3.2 million (3.2%) PLHIV in 2004, to 1.9 million (1.4%) in 2019</w:t>
      </w:r>
      <w:r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iDP9rw1N","properties":{"formattedCitation":"(4)","plainCitation":"(4)","noteIndex":0},"citationItems":[{"id":108,"uris":["http://zotero.org/users/local/SeKuys62/items/BGTCCSAR"],"uri":["http://zotero.org/users/local/SeKuys62/items/BGTCCSAR"],"itemData":{"id":108,"type":"article-newspaper","abstract":"Nigeria HIV statistics. HIV prevalence is relatively low in Nigeria but its large population means that over 3 million people are living with HIV.","container-title":"Avert","language":"en","note":"source: www.avert.org","title":"HIV and AIDS in Nigeria","URL":"https://www.avert.org/professionals/hiv-around-world/sub-saharan-africa/nigeria","accessed":{"date-parts":[["2020",6,29]]},"issued":{"date-parts":[["2015",7,21]]}}}],"schema":"https://github.com/citation-style-language/schema/raw/master/csl-citation.json"}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(4)</w:t>
      </w:r>
      <w:r w:rsidR="00B46098" w:rsidRPr="00186647">
        <w:rPr>
          <w:rFonts w:ascii="Arial" w:hAnsi="Arial" w:cs="Arial"/>
          <w:color w:val="000000"/>
          <w:sz w:val="24"/>
          <w:szCs w:val="24"/>
        </w:rPr>
        <w:fldChar w:fldCharType="end"/>
      </w:r>
      <w:r w:rsidRPr="00186647">
        <w:rPr>
          <w:rFonts w:ascii="Arial" w:hAnsi="Arial" w:cs="Arial"/>
          <w:color w:val="000000"/>
          <w:sz w:val="24"/>
          <w:szCs w:val="24"/>
        </w:rPr>
        <w:t xml:space="preserve">. </w:t>
      </w:r>
      <w:r w:rsidRPr="00186647">
        <w:rPr>
          <w:rFonts w:ascii="Arial" w:hAnsi="Arial" w:cs="Arial"/>
          <w:color w:val="000000"/>
          <w:sz w:val="24"/>
          <w:szCs w:val="24"/>
          <w:highlight w:val="white"/>
        </w:rPr>
        <w:t>However,</w:t>
      </w:r>
      <w:r w:rsidRPr="00186647">
        <w:rPr>
          <w:rFonts w:ascii="Arial" w:hAnsi="Arial" w:cs="Arial"/>
          <w:color w:val="000000"/>
          <w:sz w:val="24"/>
          <w:szCs w:val="24"/>
        </w:rPr>
        <w:t xml:space="preserve"> this reduction is still low compared to the expected treatment target of the UNAIDS</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Dv5qCCaC","properties":{"formattedCitation":"(3)","plainCitation":"(3)","dontUpdate":true,"noteIndex":0},"citationItems":[{"id":97,"uris":["http://zotero.org/users/local/SeKuys62/items/VZR3UYQ3"],"uri":["http://zotero.org/users/local/SeKuys62/items/VZR3UYQ3"],"itemData":{"id":97,"type":"webpage","abstract":"Latest AIDS data, HIV data. In 2018 (the latest data available)... 37.9 million [32.7 million–44.0 million] people globally were living with HIV. 23.3 million [20.5 million–24.3 million] people were accessing antiretroviral therapy. 1.7 million [1.4 million–2.3 million] people became newly infected with HIV. 770 000 [570 000–1.1 million] people died from AIDS-related illnesses. 74.9 million [58.3 million–98.1 million] people have become infected with HIV since the start of the epidemic. 32.0 million [23.6 million–43.8 million] people have died from AIDS-related illnesses since the start of the epidemic.. Read statistics about people living with HIV, people accessing antiretroviral therapy, AIDS-related deaths and the risks among key populations.","language":"en","note":"source: www.unaids.org","title":"Global HIV &amp; AIDS statistics — 2019 fact sheet","URL":"https://www.unaids.org/en/resources/fact-sheet","accessed":{"date-parts":[["2020",6,25]]}}}],"schema":"https://github.com/citation-style-language/schema/raw/master/csl-citation.json"}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[3]</w:t>
      </w:r>
      <w:r w:rsidR="00B46098" w:rsidRPr="00186647">
        <w:rPr>
          <w:rFonts w:ascii="Arial" w:hAnsi="Arial" w:cs="Arial"/>
          <w:color w:val="000000"/>
          <w:sz w:val="24"/>
          <w:szCs w:val="24"/>
        </w:rPr>
        <w:fldChar w:fldCharType="end"/>
      </w:r>
      <w:r w:rsidRPr="00186647">
        <w:rPr>
          <w:rFonts w:ascii="Arial" w:hAnsi="Arial" w:cs="Arial"/>
          <w:color w:val="000000"/>
          <w:sz w:val="24"/>
          <w:szCs w:val="24"/>
        </w:rPr>
        <w:t>. If no action is taken, it would be difficult to meet the global target of 30 million people on treatment by the end of 2020 and ending the HIV/AIDS epidemic as a public health threat by 2030</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YVF5ppFY","properties":{"formattedCitation":"(3)","plainCitation":"(3)","dontUpdate":true,"noteIndex":0},"citationItems":[{"id":97,"uris":["http://zotero.org/users/local/SeKuys62/items/VZR3UYQ3"],"uri":["http://zotero.org/users/local/SeKuys62/items/VZR3UYQ3"],"itemData":{"id":97,"type":"webpage","abstract":"Latest AIDS data, HIV data. In 2018 (the latest data available)... 37.9 million [32.7 million–44.0 million] people globally were living with HIV. 23.3 million [20.5 million–24.3 million] people were accessing antiretroviral therapy. 1.7 million [1.4 million–2.3 million] people became newly infected with HIV. 770 000 [570 000–1.1 million] people died from AIDS-related illnesses. 74.9 million [58.3 million–98.1 million] people have become infected with HIV since the start of the epidemic. 32.0 million [23.6 million–43.8 million] people have died from AIDS-related illnesses since the start of the epidemic.. Read statistics about people living with HIV, people accessing antiretroviral therapy, AIDS-related deaths and the risks among key populations.","language":"en","note":"source: www.unaids.org","title":"Global HIV &amp; AIDS statistics — 2019 fact sheet","URL":"https://www.unaids.org/en/resources/fact-sheet","accessed":{"date-parts":[["2020",6,25]]}}}],"schema":"https://github.com/citation-style-language/schema/raw/master/csl-citation.json"}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[3]</w:t>
      </w:r>
      <w:r w:rsidR="00B46098" w:rsidRPr="00186647">
        <w:rPr>
          <w:rFonts w:ascii="Arial" w:hAnsi="Arial" w:cs="Arial"/>
          <w:color w:val="000000"/>
          <w:sz w:val="24"/>
          <w:szCs w:val="24"/>
        </w:rPr>
        <w:fldChar w:fldCharType="end"/>
      </w:r>
      <w:r w:rsidR="00B46098" w:rsidRPr="00186647">
        <w:rPr>
          <w:rFonts w:ascii="Arial" w:hAnsi="Arial" w:cs="Arial"/>
          <w:color w:val="000000"/>
          <w:sz w:val="24"/>
          <w:szCs w:val="24"/>
        </w:rPr>
        <w:t>.</w:t>
      </w:r>
      <w:r w:rsidR="00B46098" w:rsidRPr="00186647">
        <w:rPr>
          <w:rFonts w:ascii="Arial" w:hAnsi="Arial" w:cs="Arial"/>
          <w:sz w:val="24"/>
          <w:szCs w:val="24"/>
          <w:vertAlign w:val="superscript"/>
        </w:rPr>
        <w:t xml:space="preserve"> </w:t>
      </w:r>
      <w:r w:rsidRPr="00186647">
        <w:rPr>
          <w:rFonts w:ascii="Arial" w:hAnsi="Arial" w:cs="Arial"/>
          <w:color w:val="000000"/>
          <w:sz w:val="24"/>
          <w:szCs w:val="24"/>
        </w:rPr>
        <w:t xml:space="preserve"> </w:t>
      </w:r>
    </w:p>
    <w:p w14:paraId="6A7EE860" w14:textId="7489171B"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To achieve the third 90 target, a consistent and sustained use of ART and an ongoing virologic monitoring to ascertain treatment success are required</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xg5xuMYv","properties":{"formattedCitation":"(5)","plainCitation":"(5)","dontUpdate":true,"noteIndex":0},"citationItems":[{"id":14,"uris":["http://zotero.org/users/local/SeKuys62/items/Q8EHCFCK"],"uri":["http://zotero.org/users/local/SeKuys62/items/Q8EHCFCK"],"itemData":{"id":14,"type":"article-journal","language":"en","page":"40","source":"Zotero","title":"90-90-90: An ambitious treatment target to help end the AIDS epidemic"}}],"schema":"https://github.com/citation-style-language/schema/raw/master/csl-citation.json"}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[5]</w:t>
      </w:r>
      <w:r w:rsidR="00B46098" w:rsidRPr="00186647">
        <w:rPr>
          <w:rFonts w:ascii="Arial" w:hAnsi="Arial" w:cs="Arial"/>
          <w:color w:val="000000"/>
          <w:sz w:val="24"/>
          <w:szCs w:val="24"/>
        </w:rPr>
        <w:fldChar w:fldCharType="end"/>
      </w:r>
      <w:r w:rsidRPr="00186647">
        <w:rPr>
          <w:rFonts w:ascii="Arial" w:hAnsi="Arial" w:cs="Arial"/>
          <w:color w:val="000000"/>
          <w:sz w:val="24"/>
          <w:szCs w:val="24"/>
        </w:rPr>
        <w:t>. There is need to improve access to prompt and adequate viral load testing technologies</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09t0kh6L","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[1]</w:t>
      </w:r>
      <w:r w:rsidR="00B46098" w:rsidRPr="00186647">
        <w:rPr>
          <w:rFonts w:ascii="Arial" w:hAnsi="Arial" w:cs="Arial"/>
          <w:color w:val="000000"/>
          <w:sz w:val="24"/>
          <w:szCs w:val="24"/>
        </w:rPr>
        <w:fldChar w:fldCharType="end"/>
      </w:r>
      <w:r w:rsidRPr="00186647">
        <w:rPr>
          <w:rFonts w:ascii="Arial" w:hAnsi="Arial" w:cs="Arial"/>
          <w:color w:val="000000"/>
          <w:sz w:val="24"/>
          <w:szCs w:val="24"/>
        </w:rPr>
        <w:t xml:space="preserve">. Viral load informed care ensures optimal HIV clinical follow-up and resistance monitoring. Plasm viral load using Polymerase Chain Reaction (PCR) assay has been the popular method to ascertain the copies of HIV in the PLHIV. The rise in the number of viral resistance cases among those on ART makes it extremely important for the routine measurement of plasm viral load. The routine measurement helps to understand the </w:t>
      </w:r>
      <w:r w:rsidRPr="00186647">
        <w:rPr>
          <w:rFonts w:ascii="Arial" w:hAnsi="Arial" w:cs="Arial"/>
          <w:color w:val="000000"/>
          <w:sz w:val="24"/>
          <w:szCs w:val="24"/>
        </w:rPr>
        <w:lastRenderedPageBreak/>
        <w:t>progression of the disease, helps the patient and physicians establish if a therapy is effective or resistant and it helps ascertain when therapy must be changed</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2v3GD32t","properties":{"formattedCitation":"(6)","plainCitation":"(6)","noteIndex":0},"citationItems":[{"id":68,"uris":["http://zotero.org/users/local/SeKuys62/items/5Z4N3VEQ"],"uri":["http://zotero.org/users/local/SeKuys62/items/5Z4N3VEQ"],"itemData":{"id":68,"type":"article-journal","issue":"3","language":"en","page":"8","source":"Zotero","title":"Plasma Viral Load Testing in the Management of HIV Infection","volume":"63","author":[{"family":"Mylonakis","given":"Eleftherios"},{"family":"Paliou","given":"Maria"},{"family":"Rich","given":"Josiah D"}],"issued":{"date-parts":[["2001"]]}}}],"schema":"https://github.com/citation-style-language/schema/raw/master/csl-citation.json"}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(6)</w:t>
      </w:r>
      <w:r w:rsidR="00B46098" w:rsidRPr="00186647">
        <w:rPr>
          <w:rFonts w:ascii="Arial" w:hAnsi="Arial" w:cs="Arial"/>
          <w:color w:val="000000"/>
          <w:sz w:val="24"/>
          <w:szCs w:val="24"/>
        </w:rPr>
        <w:fldChar w:fldCharType="end"/>
      </w:r>
      <w:r w:rsidRPr="00186647">
        <w:rPr>
          <w:rFonts w:ascii="Arial" w:hAnsi="Arial" w:cs="Arial"/>
          <w:color w:val="000000"/>
          <w:sz w:val="24"/>
          <w:szCs w:val="24"/>
        </w:rPr>
        <w:t>.</w:t>
      </w:r>
    </w:p>
    <w:p w14:paraId="21A5A2B0" w14:textId="12A82FE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Unfortunately, the challenges being faced by many LMICs, make it impossible to achieve the 2020 targets. Many of these challenges are associated with complexities surrounding logistics of both systems and settings, leading to inefficiencies in providing quality services. The Global Health Security Agenda (GHSA) clearly highlights the critical role of laboratory systems and networks in diseases control and prevention</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qR8wwSty","properties":{"formattedCitation":"(7)","plainCitation":"(7)","noteIndex":0},"citationItems":[{"id":104,"uris":["http://zotero.org/users/local/SeKuys62/items/ASENMCMA"],"uri":["http://zotero.org/users/local/SeKuys62/items/ASENMCMA"],"itemData":{"id":104,"type":"post-weblog","abstract":"issue The continuing emergence of newly discovered pathogens and of previously undetected infectious diseases highlights the necessity of sustainable national laboratory systems and networks for th…","container-title":"Global Health Security Agenda","language":"en","note":"source: ghsagenda.org","title":"Laboratory Systems","URL":"https://ghsagenda.org/laboratory-systems/","accessed":{"date-parts":[["2020",6,29]]},"issued":{"date-parts":[["2020",6,17]]}}}],"schema":"https://github.com/citation-style-language/schema/raw/master/csl-citation.json"}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(7)</w:t>
      </w:r>
      <w:r w:rsidR="00B46098" w:rsidRPr="00186647">
        <w:rPr>
          <w:rFonts w:ascii="Arial" w:hAnsi="Arial" w:cs="Arial"/>
          <w:color w:val="000000"/>
          <w:sz w:val="24"/>
          <w:szCs w:val="24"/>
        </w:rPr>
        <w:fldChar w:fldCharType="end"/>
      </w:r>
      <w:r w:rsidRPr="00186647">
        <w:rPr>
          <w:rFonts w:ascii="Arial" w:hAnsi="Arial" w:cs="Arial"/>
          <w:color w:val="000000"/>
          <w:sz w:val="24"/>
          <w:szCs w:val="24"/>
        </w:rPr>
        <w:t>. The GHSA is an effort by nations, international organizations, and civil societies to accelerate progress towards a world safe and secure from the threats of infectious disease</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qdmqeqxR","properties":{"formattedCitation":"(8)","plainCitation":"(8)","dontUpdate":true,"noteIndex":0},"citationItems":[{"id":106,"uris":["http://zotero.org/users/local/SeKuys62/items/8TNI43R8"],"uri":["http://zotero.org/users/local/SeKuys62/items/8TNI43R8"],"itemData":{"id":106,"type":"webpage","abstract":"The","language":"en-us","note":"source: www.cdc.gov","title":"CDC Global Health - Global Health Security Agenda: Action Packages","title-short":"CDC Global Health - Global Health Security Agenda","URL":"https://www.cdc.gov/globalhealth/security/actionpackages/default.htm","accessed":{"date-parts":[["2020",6,29]]},"issued":{"date-parts":[["2019",1,23]]}}}],"schema":"https://github.com/citation-style-language/schema/raw/master/csl-citation.json"}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[8</w:t>
      </w:r>
      <w:r w:rsidR="00B46098" w:rsidRPr="00186647">
        <w:rPr>
          <w:rFonts w:ascii="Arial" w:hAnsi="Arial" w:cs="Arial"/>
          <w:color w:val="000000"/>
          <w:sz w:val="24"/>
          <w:szCs w:val="24"/>
        </w:rPr>
        <w:fldChar w:fldCharType="end"/>
      </w:r>
      <w:r w:rsidR="00B46098" w:rsidRPr="00186647">
        <w:rPr>
          <w:rFonts w:ascii="Arial" w:hAnsi="Arial" w:cs="Arial"/>
          <w:color w:val="000000"/>
          <w:sz w:val="24"/>
          <w:szCs w:val="24"/>
        </w:rPr>
        <w:t>]</w:t>
      </w:r>
      <w:r w:rsidRPr="00186647">
        <w:rPr>
          <w:rFonts w:ascii="Arial" w:hAnsi="Arial" w:cs="Arial"/>
          <w:color w:val="000000"/>
          <w:sz w:val="24"/>
          <w:szCs w:val="24"/>
        </w:rPr>
        <w:t>.  It is therefore critical to establish functional laboratories and strengthen specimen referral networks.</w:t>
      </w:r>
    </w:p>
    <w:p w14:paraId="6A5EFE6B" w14:textId="19F5FA5B"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In Nigeria, inadequate laboratories and standardized referral system for clinical samples have been identified as a critical causative factor for low performance of in country laboratory capacity</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ITUCmSlQ","properties":{"formattedCitation":"(9)","plainCitation":"(9)","dontUpdate":true,"noteIndex":0},"citationItems":[{"id":60,"uris":["http://zotero.org/users/local/SeKuys62/items/Z57DH642"],"uri":["http://zotero.org/users/local/SeKuys62/items/Z57DH642"],"itemData":{"id":60,"type":"article-journal","abstract":"Sample transportation remains a challenge in resource-limited countries. In Nigeria transport was conducted through non-standard, parallel systems, leading to long turnaround times and lack of visibility. A National Integrated Specimen Referral Network (NISRN) – established by the Nigeria Ministry of Health with donor support – as a cost-effective system currently being implemented by GHSC-PSM using third-party logistics (3PLs) providers to transport specimens from collection centers to testing laboratories. This study assesses impact of using the private sector to transport samples in the NISRN. A descriptive method was used to assess 3PL performance. Specimen quantities transported by the 3PLs providers over six months were compared to the quantities transported in the period prior to implementation. Using the 3PLs instead of health facility staff, specimens were moved from facilities with backlogs to laboratories with capacity to analyze specimens quickly through the enhanced laboratory network. Before the NISRN, 116,046 viral load samples were tested, and 6,459 packs of reagents were used to cover 1,700 facilities over six months. During a comparable six months of operationalizing the NISRN, 277,536 viral load samples were tested, and 10,369 packs of reagents used to cover 3,114 facilities, translating into a significant increase of 38% of samples tested, 21% of reagents used; and over 83% increase in the number of facilities receiving testing services. In conclusions, leveraging the private sector to transport samples enhanced testing laboratory network efficiencies. This resulted in substantial increases in viral load samples tested, reagents used, and facilities accessing testing. This approach led to an expansion of services, and a robust optimized sample referral network that can respond more easily to public health emergencies. Utilization of the private sector is a sustainable, costefficient framework. Utilizing 3PL providers increases patient access to services and allows facility staff to focus on their traditional role rather than transporting specimens.","language":"en","page":"13","source":"Zotero","title":"Leveraging private sector transportation/logistics services to improve the National Integrated Specimen Referral Network in Nigeria","author":[{"family":"Faruna","given":"Theophilus"},{"family":"Akintunde","given":"Ezekiel"},{"family":"Odelola","given":"Babatunji"}],"issued":{"date-parts":[["2019"]]}}}],"schema":"https://github.com/citation-style-language/schema/raw/master/csl-citation.json"} </w:instrText>
      </w:r>
      <w:r w:rsidR="00B46098" w:rsidRPr="00186647">
        <w:rPr>
          <w:rFonts w:ascii="Arial" w:hAnsi="Arial" w:cs="Arial"/>
          <w:color w:val="000000"/>
          <w:sz w:val="24"/>
          <w:szCs w:val="24"/>
        </w:rPr>
        <w:fldChar w:fldCharType="separate"/>
      </w:r>
      <w:r w:rsidR="0072185C" w:rsidRPr="00186647">
        <w:rPr>
          <w:rFonts w:ascii="Arial" w:hAnsi="Arial" w:cs="Arial"/>
          <w:sz w:val="24"/>
          <w:szCs w:val="24"/>
        </w:rPr>
        <w:t>[</w:t>
      </w:r>
      <w:r w:rsidR="00B46098" w:rsidRPr="00186647">
        <w:rPr>
          <w:rFonts w:ascii="Arial" w:hAnsi="Arial" w:cs="Arial"/>
          <w:sz w:val="24"/>
          <w:szCs w:val="24"/>
        </w:rPr>
        <w:t>9</w:t>
      </w:r>
      <w:r w:rsidR="00B46098" w:rsidRPr="00186647">
        <w:rPr>
          <w:rFonts w:ascii="Arial" w:hAnsi="Arial" w:cs="Arial"/>
          <w:color w:val="000000"/>
          <w:sz w:val="24"/>
          <w:szCs w:val="24"/>
        </w:rPr>
        <w:fldChar w:fldCharType="end"/>
      </w:r>
      <w:r w:rsidR="0072185C" w:rsidRPr="00186647">
        <w:rPr>
          <w:rFonts w:ascii="Arial" w:hAnsi="Arial" w:cs="Arial"/>
          <w:color w:val="000000"/>
          <w:sz w:val="24"/>
          <w:szCs w:val="24"/>
        </w:rPr>
        <w:t>]</w:t>
      </w:r>
      <w:r w:rsidRPr="00186647">
        <w:rPr>
          <w:rFonts w:ascii="Arial" w:hAnsi="Arial" w:cs="Arial"/>
          <w:color w:val="000000"/>
          <w:sz w:val="24"/>
          <w:szCs w:val="24"/>
        </w:rPr>
        <w:t>. These inadequacies have resulted in inefficiencies such as high-costs, long turnaround for results and disproportionate testing burden on laboratories</w:t>
      </w:r>
      <w:r w:rsidR="0072185C" w:rsidRPr="00186647">
        <w:rPr>
          <w:rFonts w:ascii="Arial" w:hAnsi="Arial" w:cs="Arial"/>
          <w:color w:val="000000"/>
          <w:sz w:val="24"/>
          <w:szCs w:val="24"/>
        </w:rPr>
        <w:t xml:space="preserve"> </w:t>
      </w:r>
      <w:r w:rsidR="0072185C"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QMKFEq5e","properties":{"formattedCitation":"(9)","plainCitation":"(9)","dontUpdate":true,"noteIndex":0},"citationItems":[{"id":60,"uris":["http://zotero.org/users/local/SeKuys62/items/Z57DH642"],"uri":["http://zotero.org/users/local/SeKuys62/items/Z57DH642"],"itemData":{"id":60,"type":"article-journal","abstract":"Sample transportation remains a challenge in resource-limited countries. In Nigeria transport was conducted through non-standard, parallel systems, leading to long turnaround times and lack of visibility. A National Integrated Specimen Referral Network (NISRN) – established by the Nigeria Ministry of Health with donor support – as a cost-effective system currently being implemented by GHSC-PSM using third-party logistics (3PLs) providers to transport specimens from collection centers to testing laboratories. This study assesses impact of using the private sector to transport samples in the NISRN. A descriptive method was used to assess 3PL performance. Specimen quantities transported by the 3PLs providers over six months were compared to the quantities transported in the period prior to implementation. Using the 3PLs instead of health facility staff, specimens were moved from facilities with backlogs to laboratories with capacity to analyze specimens quickly through the enhanced laboratory network. Before the NISRN, 116,046 viral load samples were tested, and 6,459 packs of reagents were used to cover 1,700 facilities over six months. During a comparable six months of operationalizing the NISRN, 277,536 viral load samples were tested, and 10,369 packs of reagents used to cover 3,114 facilities, translating into a significant increase of 38% of samples tested, 21% of reagents used; and over 83% increase in the number of facilities receiving testing services. In conclusions, leveraging the private sector to transport samples enhanced testing laboratory network efficiencies. This resulted in substantial increases in viral load samples tested, reagents used, and facilities accessing testing. This approach led to an expansion of services, and a robust optimized sample referral network that can respond more easily to public health emergencies. Utilization of the private sector is a sustainable, costefficient framework. Utilizing 3PL providers increases patient access to services and allows facility staff to focus on their traditional role rather than transporting specimens.","language":"en","page":"13","source":"Zotero","title":"Leveraging private sector transportation/logistics services to improve the National Integrated Specimen Referral Network in Nigeria","author":[{"family":"Faruna","given":"Theophilus"},{"family":"Akintunde","given":"Ezekiel"},{"family":"Odelola","given":"Babatunji"}],"issued":{"date-parts":[["2019"]]}}}],"schema":"https://github.com/citation-style-language/schema/raw/master/csl-citation.json"} </w:instrText>
      </w:r>
      <w:r w:rsidR="0072185C" w:rsidRPr="00186647">
        <w:rPr>
          <w:rFonts w:ascii="Arial" w:hAnsi="Arial" w:cs="Arial"/>
          <w:color w:val="000000"/>
          <w:sz w:val="24"/>
          <w:szCs w:val="24"/>
        </w:rPr>
        <w:fldChar w:fldCharType="separate"/>
      </w:r>
      <w:r w:rsidR="0072185C" w:rsidRPr="00186647">
        <w:rPr>
          <w:rFonts w:ascii="Arial" w:hAnsi="Arial" w:cs="Arial"/>
          <w:sz w:val="24"/>
          <w:szCs w:val="24"/>
        </w:rPr>
        <w:t>[9</w:t>
      </w:r>
      <w:r w:rsidR="0072185C" w:rsidRPr="00186647">
        <w:rPr>
          <w:rFonts w:ascii="Arial" w:hAnsi="Arial" w:cs="Arial"/>
          <w:color w:val="000000"/>
          <w:sz w:val="24"/>
          <w:szCs w:val="24"/>
        </w:rPr>
        <w:fldChar w:fldCharType="end"/>
      </w:r>
      <w:r w:rsidR="0072185C" w:rsidRPr="00186647">
        <w:rPr>
          <w:rFonts w:ascii="Arial" w:hAnsi="Arial" w:cs="Arial"/>
          <w:color w:val="000000"/>
          <w:sz w:val="24"/>
          <w:szCs w:val="24"/>
        </w:rPr>
        <w:t>]</w:t>
      </w:r>
      <w:r w:rsidRPr="00186647">
        <w:rPr>
          <w:rFonts w:ascii="Arial" w:hAnsi="Arial" w:cs="Arial"/>
          <w:color w:val="000000"/>
          <w:sz w:val="24"/>
          <w:szCs w:val="24"/>
        </w:rPr>
        <w:t xml:space="preserve">. Hence, to increase access to specialized tests such as HIV viral load testing, it is important to develop a reliable laboratory network with a strong specimen-referral system and strengthening of laboratory systems. Human resource and infrastructure development, quality management, supply chain management, specimen referral and results-reporting and laboratory information systems, in an integrated and coordinated laboratory network is also paramount </w:t>
      </w:r>
      <w:r w:rsidR="0072185C"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2bhfBGcZ","properties":{"formattedCitation":"(10)","plainCitation":"(10)","dontUpdate":true,"noteIndex":0},"citationItems":[{"id":53,"uris":["http://zotero.org/users/local/SeKuys62/items/CHKZG2LT"],"uri":["http://zotero.org/users/local/SeKuys62/items/CHKZG2LT"],"itemData":{"id":53,"type":"article-journal","abstract":"Strong laboratory services and systems are critical for delivering timely and quality health services that are vital to reduce patient attrition in the HIV treatment and prevention cascade. However, challenges exist in ensuring effective laboratory health systems strengthening and linkages. In particular, linkages and referrals between laboratory testing and other services need to be considered in the context of an integrated health system that includes prevention, treatment, and strategic information. Key components of laboratory health systems that are essential for effective linkages include an adequate workforce, appropriate point-of-care (POC) technology, available financing, supply chain management systems, and quality systems improvement, including accreditation. In this review, we highlight weaknesses of and gaps between laboratory testing and other program services. We propose a model for strengthening these systems to ensure effective linkages of laboratory services for improved access and retention in care of HIV/AIDS patients, particularly in low- and middle-income countries.","container-title":"AIDS Patient Care and STDs","DOI":"10.1089/apc.2013.0356","ISSN":"1087-2914, 1557-7449","issue":"5","journalAbbreviation":"AIDS Patient Care and STDs","language":"en","page":"268-273","source":"DOI.org (Crossref)","title":"The Centrality of Laboratory Services in the HIV Treatment and Prevention Cascade: The Need for Effective Linkages and Referrals in Resource-Limited Settings","title-short":"The Centrality of Laboratory Services in the HIV Treatment and Prevention Cascade","volume":"28","author":[{"family":"Alemnji","given":"George"},{"family":"Fonjungo","given":"Peter"},{"family":"Van Der Pol","given":"Barbara"},{"family":"Peter","given":"Trevor"},{"family":"Kantor","given":"Rami"},{"family":"Nkengasong","given":"John"}],"issued":{"date-parts":[["2014",5]]}}}],"schema":"https://github.com/citation-style-language/schema/raw/master/csl-citation.json"} </w:instrText>
      </w:r>
      <w:r w:rsidR="0072185C" w:rsidRPr="00186647">
        <w:rPr>
          <w:rFonts w:ascii="Arial" w:hAnsi="Arial" w:cs="Arial"/>
          <w:color w:val="000000"/>
          <w:sz w:val="24"/>
          <w:szCs w:val="24"/>
        </w:rPr>
        <w:fldChar w:fldCharType="separate"/>
      </w:r>
      <w:r w:rsidR="0072185C" w:rsidRPr="00186647">
        <w:rPr>
          <w:rFonts w:ascii="Arial" w:hAnsi="Arial" w:cs="Arial"/>
          <w:sz w:val="24"/>
          <w:szCs w:val="24"/>
        </w:rPr>
        <w:t>[10</w:t>
      </w:r>
      <w:r w:rsidR="0072185C" w:rsidRPr="00186647">
        <w:rPr>
          <w:rFonts w:ascii="Arial" w:hAnsi="Arial" w:cs="Arial"/>
          <w:color w:val="000000"/>
          <w:sz w:val="24"/>
          <w:szCs w:val="24"/>
        </w:rPr>
        <w:fldChar w:fldCharType="end"/>
      </w:r>
      <w:r w:rsidR="0072185C" w:rsidRPr="00186647">
        <w:rPr>
          <w:rFonts w:ascii="Arial" w:hAnsi="Arial" w:cs="Arial"/>
          <w:color w:val="000000"/>
          <w:sz w:val="24"/>
          <w:szCs w:val="24"/>
        </w:rPr>
        <w:t>]</w:t>
      </w:r>
      <w:r w:rsidRPr="00186647">
        <w:rPr>
          <w:rFonts w:ascii="Arial" w:hAnsi="Arial" w:cs="Arial"/>
          <w:color w:val="000000"/>
          <w:sz w:val="24"/>
          <w:szCs w:val="24"/>
        </w:rPr>
        <w:t xml:space="preserve">. </w:t>
      </w:r>
    </w:p>
    <w:p w14:paraId="59534FD2" w14:textId="0C85F9FA"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Improving the patient’s outcome, testing and access to results of test on time are crucial. To this effect, a national integrated specimen referral network (NISRN), currently being implemented by global health supply chain procurement supply management (GHSC-PSM) using third-party logistics (3PLs) providers to transport specimens from collection centers to testing laboratories was initiated</w:t>
      </w:r>
      <w:r w:rsidR="0072185C" w:rsidRPr="00186647">
        <w:rPr>
          <w:rFonts w:ascii="Arial" w:hAnsi="Arial" w:cs="Arial"/>
          <w:color w:val="000000"/>
          <w:sz w:val="24"/>
          <w:szCs w:val="24"/>
        </w:rPr>
        <w:t xml:space="preserve"> </w:t>
      </w:r>
      <w:r w:rsidR="0072185C"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GQN98jYN","properties":{"formattedCitation":"(9)","plainCitation":"(9)","dontUpdate":true,"noteIndex":0},"citationItems":[{"id":60,"uris":["http://zotero.org/users/local/SeKuys62/items/Z57DH642"],"uri":["http://zotero.org/users/local/SeKuys62/items/Z57DH642"],"itemData":{"id":60,"type":"article-journal","abstract":"Sample transportation remains a challenge in resource-limited countries. In Nigeria transport was conducted through non-standard, parallel systems, leading to long turnaround times and lack of visibility. A National Integrated Specimen Referral Network (NISRN) – established by the Nigeria Ministry of Health with donor support – as a cost-effective system currently being implemented by GHSC-PSM using third-party logistics (3PLs) providers to transport specimens from collection centers to testing laboratories. This study assesses impact of using the private sector to transport samples in the NISRN. A descriptive method was used to assess 3PL performance. Specimen quantities transported by the 3PLs providers over six months were compared to the quantities transported in the period prior to implementation. Using the 3PLs instead of health facility staff, specimens were moved from facilities with backlogs to laboratories with capacity to analyze specimens quickly through the enhanced laboratory network. Before the NISRN, 116,046 viral load samples were tested, and 6,459 packs of reagents were used to cover 1,700 facilities over six months. During a comparable six months of operationalizing the NISRN, 277,536 viral load samples were tested, and 10,369 packs of reagents used to cover 3,114 facilities, translating into a significant increase of 38% of samples tested, 21% of reagents used; and over 83% increase in the number of facilities receiving testing services. In conclusions, leveraging the private sector to transport samples enhanced testing laboratory network efficiencies. This resulted in substantial increases in viral load samples tested, reagents used, and facilities accessing testing. This approach led to an expansion of services, and a robust optimized sample referral network that can respond more easily to public health emergencies. Utilization of the private sector is a sustainable, costefficient framework. Utilizing 3PL providers increases patient access to services and allows facility staff to focus on their traditional role rather than transporting specimens.","language":"en","page":"13","source":"Zotero","title":"Leveraging private sector transportation/logistics services to improve the National Integrated Specimen Referral Network in Nigeria","author":[{"family":"Faruna","given":"Theophilus"},{"family":"Akintunde","given":"Ezekiel"},{"family":"Odelola","given":"Babatunji"}],"issued":{"date-parts":[["2019"]]}}}],"schema":"https://github.com/citation-style-language/schema/raw/master/csl-citation.json"} </w:instrText>
      </w:r>
      <w:r w:rsidR="0072185C" w:rsidRPr="00186647">
        <w:rPr>
          <w:rFonts w:ascii="Arial" w:hAnsi="Arial" w:cs="Arial"/>
          <w:color w:val="000000"/>
          <w:sz w:val="24"/>
          <w:szCs w:val="24"/>
        </w:rPr>
        <w:fldChar w:fldCharType="separate"/>
      </w:r>
      <w:r w:rsidR="0072185C" w:rsidRPr="00186647">
        <w:rPr>
          <w:rFonts w:ascii="Arial" w:hAnsi="Arial" w:cs="Arial"/>
          <w:sz w:val="24"/>
          <w:szCs w:val="24"/>
        </w:rPr>
        <w:t>[9]</w:t>
      </w:r>
      <w:r w:rsidR="0072185C" w:rsidRPr="00186647">
        <w:rPr>
          <w:rFonts w:ascii="Arial" w:hAnsi="Arial" w:cs="Arial"/>
          <w:color w:val="000000"/>
          <w:sz w:val="24"/>
          <w:szCs w:val="24"/>
        </w:rPr>
        <w:fldChar w:fldCharType="end"/>
      </w:r>
      <w:r w:rsidRPr="00186647">
        <w:rPr>
          <w:rFonts w:ascii="Arial" w:hAnsi="Arial" w:cs="Arial"/>
          <w:color w:val="000000"/>
          <w:sz w:val="24"/>
          <w:szCs w:val="24"/>
        </w:rPr>
        <w:t xml:space="preserve">. With the introduction of the 3PLs it was expected that the average time from sample collection and return of results back to the health facilities would decrease when compared with the period before the 3PLs was introduced (NISRN SOP). </w:t>
      </w:r>
    </w:p>
    <w:p w14:paraId="766E2972" w14:textId="251A54F0" w:rsidR="004D5976" w:rsidRPr="00186647" w:rsidRDefault="00F022CF" w:rsidP="007349C5">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This study therefore aims at assessing the impact of Pre-Third-Party Logistics (Pre-3PLs) and 3PLs on viral load sample Turn-Around Time (TAT) in the management of HIV/AIDS patients in Ekiti State, Nigeria. By identifying the differences between Pre-</w:t>
      </w:r>
      <w:r w:rsidRPr="00186647">
        <w:rPr>
          <w:rFonts w:ascii="Arial" w:hAnsi="Arial" w:cs="Arial"/>
          <w:color w:val="000000"/>
          <w:sz w:val="24"/>
          <w:szCs w:val="24"/>
        </w:rPr>
        <w:lastRenderedPageBreak/>
        <w:t>3PLs and 3PLs on the Viral load sample TAT and identifying other factors that could be associated with viral load sample TAT. Also, the result from the study will help to ascertain whether the current use of 3PLs in NISRN will give findings that are similar to the existing evidence that TAT improved with the introduction of a 3PLs or other private organizations.</w:t>
      </w:r>
    </w:p>
    <w:p w14:paraId="1505F486" w14:textId="6CC9C441" w:rsidR="00D0343C" w:rsidRPr="00186647" w:rsidRDefault="00C35899">
      <w:pPr>
        <w:rPr>
          <w:rFonts w:ascii="Arial" w:hAnsi="Arial" w:cs="Arial"/>
          <w:b/>
          <w:sz w:val="24"/>
          <w:szCs w:val="24"/>
        </w:rPr>
      </w:pPr>
      <w:r w:rsidRPr="00186647">
        <w:rPr>
          <w:rFonts w:ascii="Arial" w:hAnsi="Arial" w:cs="Arial"/>
          <w:b/>
          <w:sz w:val="24"/>
          <w:szCs w:val="24"/>
        </w:rPr>
        <w:t>Methods</w:t>
      </w:r>
      <w:r w:rsidR="004527E3" w:rsidRPr="00186647">
        <w:rPr>
          <w:rFonts w:ascii="Arial" w:hAnsi="Arial" w:cs="Arial"/>
          <w:b/>
          <w:sz w:val="24"/>
          <w:szCs w:val="24"/>
        </w:rPr>
        <w:t xml:space="preserve"> </w:t>
      </w:r>
      <w:r w:rsidR="00D0343C" w:rsidRPr="00186647">
        <w:rPr>
          <w:rFonts w:ascii="Arial" w:hAnsi="Arial" w:cs="Arial"/>
          <w:b/>
          <w:sz w:val="24"/>
          <w:szCs w:val="24"/>
        </w:rPr>
        <w:t xml:space="preserve"> </w:t>
      </w:r>
    </w:p>
    <w:p w14:paraId="6F3CA96E"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Study Area</w:t>
      </w:r>
    </w:p>
    <w:p w14:paraId="565D9D67" w14:textId="57A8A38F" w:rsidR="00F022CF" w:rsidRPr="00186647" w:rsidRDefault="00F022CF" w:rsidP="00F022CF">
      <w:pPr>
        <w:autoSpaceDE w:val="0"/>
        <w:autoSpaceDN w:val="0"/>
        <w:adjustRightInd w:val="0"/>
        <w:spacing w:after="0" w:line="360" w:lineRule="auto"/>
        <w:jc w:val="both"/>
        <w:rPr>
          <w:rFonts w:ascii="Arial" w:hAnsi="Arial" w:cs="Arial"/>
          <w:color w:val="000000"/>
          <w:sz w:val="24"/>
          <w:szCs w:val="24"/>
        </w:rPr>
      </w:pPr>
      <w:r w:rsidRPr="00186647">
        <w:rPr>
          <w:rFonts w:ascii="Arial" w:hAnsi="Arial" w:cs="Arial"/>
          <w:sz w:val="24"/>
          <w:szCs w:val="24"/>
        </w:rPr>
        <w:t xml:space="preserve">The </w:t>
      </w:r>
      <w:r w:rsidR="007349C5" w:rsidRPr="00186647">
        <w:rPr>
          <w:rFonts w:ascii="Arial" w:hAnsi="Arial" w:cs="Arial"/>
          <w:sz w:val="24"/>
          <w:szCs w:val="24"/>
        </w:rPr>
        <w:t xml:space="preserve">retrospective </w:t>
      </w:r>
      <w:r w:rsidRPr="00186647">
        <w:rPr>
          <w:rFonts w:ascii="Arial" w:hAnsi="Arial" w:cs="Arial"/>
          <w:sz w:val="24"/>
          <w:szCs w:val="24"/>
        </w:rPr>
        <w:t xml:space="preserve">study was carried out in Ekiti State, Nigeria. </w:t>
      </w:r>
      <w:r w:rsidRPr="00186647">
        <w:rPr>
          <w:rFonts w:ascii="Arial" w:hAnsi="Arial" w:cs="Arial"/>
          <w:sz w:val="24"/>
          <w:szCs w:val="24"/>
          <w:highlight w:val="white"/>
        </w:rPr>
        <w:t>HIV Prevalence in Nigeria was 1.4% in 2019</w:t>
      </w:r>
      <w:r w:rsidRPr="00186647">
        <w:rPr>
          <w:rFonts w:ascii="Arial" w:hAnsi="Arial" w:cs="Arial"/>
          <w:b/>
          <w:bCs/>
          <w:sz w:val="24"/>
          <w:szCs w:val="24"/>
          <w:highlight w:val="white"/>
        </w:rPr>
        <w:t xml:space="preserve">, </w:t>
      </w:r>
      <w:r w:rsidRPr="00186647">
        <w:rPr>
          <w:rFonts w:ascii="Arial" w:hAnsi="Arial" w:cs="Arial"/>
          <w:sz w:val="24"/>
          <w:szCs w:val="24"/>
          <w:highlight w:val="white"/>
        </w:rPr>
        <w:t>according to the</w:t>
      </w:r>
      <w:r w:rsidRPr="00186647">
        <w:rPr>
          <w:rFonts w:ascii="Arial" w:hAnsi="Arial" w:cs="Arial"/>
          <w:b/>
          <w:bCs/>
          <w:sz w:val="24"/>
          <w:szCs w:val="24"/>
          <w:highlight w:val="white"/>
        </w:rPr>
        <w:t> </w:t>
      </w:r>
      <w:hyperlink r:id="rId9" w:history="1">
        <w:r w:rsidRPr="00186647">
          <w:rPr>
            <w:rFonts w:ascii="Arial" w:hAnsi="Arial" w:cs="Arial"/>
            <w:sz w:val="24"/>
            <w:szCs w:val="24"/>
            <w:highlight w:val="white"/>
          </w:rPr>
          <w:t>National Agency for the Control of AIDS (NACA)</w:t>
        </w:r>
      </w:hyperlink>
      <w:r w:rsidRPr="00186647">
        <w:rPr>
          <w:rFonts w:ascii="Arial" w:hAnsi="Arial" w:cs="Arial"/>
          <w:sz w:val="24"/>
          <w:szCs w:val="24"/>
        </w:rPr>
        <w:t xml:space="preserve"> </w:t>
      </w:r>
      <w:r w:rsidR="0072185C" w:rsidRPr="00186647">
        <w:rPr>
          <w:rFonts w:ascii="Arial" w:hAnsi="Arial" w:cs="Arial"/>
          <w:sz w:val="24"/>
          <w:szCs w:val="24"/>
        </w:rPr>
        <w:fldChar w:fldCharType="begin"/>
      </w:r>
      <w:r w:rsidR="004B660A" w:rsidRPr="00186647">
        <w:rPr>
          <w:rFonts w:ascii="Arial" w:hAnsi="Arial" w:cs="Arial"/>
          <w:sz w:val="24"/>
          <w:szCs w:val="24"/>
        </w:rPr>
        <w:instrText xml:space="preserve"> ADDIN ZOTERO_ITEM CSL_CITATION {"citationID":"c0dnjUSN","properties":{"formattedCitation":"(11)","plainCitation":"(11)","dontUpdate":true,"noteIndex":0},"citationItems":[{"id":101,"uris":["http://zotero.org/users/local/SeKuys62/items/5GMA2LXJ"],"uri":["http://zotero.org/users/local/SeKuys62/items/5GMA2LXJ"],"itemData":{"id":101,"type":"post-weblog","abstract":"HIV Prevalence Rate (By States) in Nigeria 2019/2020 on NigerianWiki as published by the National Agency for the control of AIDS (NACA).","container-title":"NigerianWiki","language":"en-US","note":"source: nigerianwiki.xyz\nsection: Health &amp; Wellness","title":"HIV Prevalence Rate (By States) in Nigeria (2019/2020)","URL":"https://nigerianwiki.xyz/hiv-prevalence-rate-by-states-nigeria-2019/","accessed":{"date-parts":[["2020",6,29]]},"issued":{"date-parts":[["2019",11,15]]}}}],"schema":"https://github.com/citation-style-language/schema/raw/master/csl-citation.json"} </w:instrText>
      </w:r>
      <w:r w:rsidR="0072185C" w:rsidRPr="00186647">
        <w:rPr>
          <w:rFonts w:ascii="Arial" w:hAnsi="Arial" w:cs="Arial"/>
          <w:sz w:val="24"/>
          <w:szCs w:val="24"/>
        </w:rPr>
        <w:fldChar w:fldCharType="separate"/>
      </w:r>
      <w:r w:rsidR="004D5976" w:rsidRPr="00186647">
        <w:rPr>
          <w:rFonts w:ascii="Arial" w:hAnsi="Arial" w:cs="Arial"/>
          <w:sz w:val="24"/>
          <w:szCs w:val="24"/>
        </w:rPr>
        <w:t>[</w:t>
      </w:r>
      <w:r w:rsidR="0072185C" w:rsidRPr="00186647">
        <w:rPr>
          <w:rFonts w:ascii="Arial" w:hAnsi="Arial" w:cs="Arial"/>
          <w:sz w:val="24"/>
          <w:szCs w:val="24"/>
        </w:rPr>
        <w:t>11</w:t>
      </w:r>
      <w:r w:rsidR="0072185C" w:rsidRPr="00186647">
        <w:rPr>
          <w:rFonts w:ascii="Arial" w:hAnsi="Arial" w:cs="Arial"/>
          <w:sz w:val="24"/>
          <w:szCs w:val="24"/>
        </w:rPr>
        <w:fldChar w:fldCharType="end"/>
      </w:r>
      <w:r w:rsidR="004D5976" w:rsidRPr="00186647">
        <w:rPr>
          <w:rFonts w:ascii="Arial" w:hAnsi="Arial" w:cs="Arial"/>
          <w:sz w:val="24"/>
          <w:szCs w:val="24"/>
        </w:rPr>
        <w:t>]</w:t>
      </w:r>
      <w:r w:rsidRPr="00186647">
        <w:rPr>
          <w:rFonts w:ascii="Arial" w:hAnsi="Arial" w:cs="Arial"/>
          <w:sz w:val="24"/>
          <w:szCs w:val="24"/>
          <w:highlight w:val="white"/>
        </w:rPr>
        <w:t>. Ekiti state is ranked the 29</w:t>
      </w:r>
      <w:r w:rsidRPr="00186647">
        <w:rPr>
          <w:rFonts w:ascii="Arial" w:hAnsi="Arial" w:cs="Arial"/>
          <w:sz w:val="24"/>
          <w:szCs w:val="24"/>
          <w:highlight w:val="white"/>
          <w:vertAlign w:val="superscript"/>
        </w:rPr>
        <w:t>th</w:t>
      </w:r>
      <w:r w:rsidRPr="00186647">
        <w:rPr>
          <w:rFonts w:ascii="Arial" w:hAnsi="Arial" w:cs="Arial"/>
          <w:sz w:val="24"/>
          <w:szCs w:val="24"/>
          <w:highlight w:val="white"/>
        </w:rPr>
        <w:t xml:space="preserve"> state with a HIV prevalence of 0.7%.</w:t>
      </w:r>
      <w:r w:rsidRPr="00186647">
        <w:rPr>
          <w:rFonts w:ascii="Arial" w:hAnsi="Arial" w:cs="Arial"/>
          <w:sz w:val="24"/>
          <w:szCs w:val="24"/>
        </w:rPr>
        <w:t xml:space="preserve"> </w:t>
      </w:r>
      <w:r w:rsidRPr="00186647">
        <w:rPr>
          <w:rFonts w:ascii="Arial" w:hAnsi="Arial" w:cs="Arial"/>
          <w:color w:val="000000"/>
          <w:sz w:val="24"/>
          <w:szCs w:val="24"/>
        </w:rPr>
        <w:t xml:space="preserve">Ekiti State is one of the 36 states (including the Federal Capital Territory, Abuja) that constitute the Federal Republic of Nigeria. According to the most recent census, its population is about 3 million accounting for 1.71% of the total population of Nigeria. There are 16 Local Government Areas (LGA) in the State. There are 23 </w:t>
      </w:r>
      <w:r w:rsidR="00FF2CD2" w:rsidRPr="00186647">
        <w:rPr>
          <w:rFonts w:ascii="Arial" w:hAnsi="Arial" w:cs="Arial"/>
          <w:color w:val="000000"/>
          <w:sz w:val="24"/>
          <w:szCs w:val="24"/>
        </w:rPr>
        <w:t xml:space="preserve">government </w:t>
      </w:r>
      <w:r w:rsidRPr="00186647">
        <w:rPr>
          <w:rFonts w:ascii="Arial" w:hAnsi="Arial" w:cs="Arial"/>
          <w:color w:val="000000"/>
          <w:sz w:val="24"/>
          <w:szCs w:val="24"/>
        </w:rPr>
        <w:t>health facilities spread across all LGAs of the State providing treatment, care, and support for PLHIV. Samples are collected from these facilities and sent to the regional PCR laboratory for viral load and early infant diagnosis. This PCR laboratory is in Obafemi Awolowo University Teaching Hospital, Ile-Ife, Osun State, and it is around 150 kilometers from Ado-Ekiti.</w:t>
      </w:r>
    </w:p>
    <w:p w14:paraId="55E87B4C"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color w:val="000000"/>
          <w:sz w:val="24"/>
          <w:szCs w:val="24"/>
        </w:rPr>
        <w:t xml:space="preserve">Sampling  </w:t>
      </w:r>
    </w:p>
    <w:p w14:paraId="52CF07CC"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All 23 HIV care facilities across the State and the referral laboratory were included in the sample frame. Both quantitative and qualitative data collection were conducted in 11 facilities including the referral laboratory. All 23 health facilities were arranged in ascending order, based on their workload. After arranging them, they were divided in to two groups, high and low load. One to thirteen were low load and 14-23 were high load. Five facilities were randomly picked from each group, giving a total of 10 facilities. We also ensured that these facilities were a representative of the three districts of the state. </w:t>
      </w:r>
    </w:p>
    <w:p w14:paraId="7F9E6F02" w14:textId="5C0FBDE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Heterogeneity and representativeness of samples were ensured by randomly selecting facilities that were representative of all the geographical locations of the state and representative of their workload. Facilities were selected based on the senatorial districts of the state. There are three senatorial districts in the state, namely, Ekiti </w:t>
      </w:r>
      <w:r w:rsidRPr="00186647">
        <w:rPr>
          <w:rFonts w:ascii="Arial" w:hAnsi="Arial" w:cs="Arial"/>
          <w:color w:val="000000"/>
          <w:sz w:val="24"/>
          <w:szCs w:val="24"/>
        </w:rPr>
        <w:lastRenderedPageBreak/>
        <w:t>central, Ekiti North, and Ekiti South as represented in figure 2. From each district, one high and low load facility was randomly selected. Data were termed incomplete if it missed, date sample was collected, date sample was sent, and date result was returned, as these were the major predictors of TAT. Any sample that was incomplete was removed from the data set and not included for analysis. To further understand, if there are other factors affecting TAT other than transportation, semi-formal interviews were conducted using a semi-structed question guide. Verbal consent was sort from the respondents before administration of the question. The respondents were the focal persons at the facility laboratory.</w:t>
      </w:r>
    </w:p>
    <w:p w14:paraId="7C159F1A"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A facility is termed high load if it performs 50 and more samples per month and low load if it performs less than 50 samples per month. Unfortunately, we have more low load facilities across the State. Thus, during sampling, we ensured the selection of equal numbers for both groups. The selected facilities are shown in table 1.</w:t>
      </w:r>
    </w:p>
    <w:p w14:paraId="6E8162BC" w14:textId="77777777" w:rsidR="00F022CF" w:rsidRPr="00186647" w:rsidRDefault="00F022CF" w:rsidP="00F022CF">
      <w:pPr>
        <w:autoSpaceDE w:val="0"/>
        <w:autoSpaceDN w:val="0"/>
        <w:adjustRightInd w:val="0"/>
        <w:spacing w:after="0" w:line="360" w:lineRule="auto"/>
        <w:jc w:val="both"/>
        <w:rPr>
          <w:rFonts w:ascii="Arial" w:hAnsi="Arial" w:cs="Arial"/>
          <w:b/>
          <w:color w:val="000000"/>
          <w:sz w:val="24"/>
          <w:szCs w:val="24"/>
        </w:rPr>
      </w:pPr>
      <w:r w:rsidRPr="00186647">
        <w:rPr>
          <w:rFonts w:ascii="Arial" w:hAnsi="Arial" w:cs="Arial"/>
          <w:b/>
          <w:color w:val="000000"/>
          <w:sz w:val="24"/>
          <w:szCs w:val="24"/>
        </w:rPr>
        <w:t>Data Source</w:t>
      </w:r>
    </w:p>
    <w:p w14:paraId="74B5A89A"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sz w:val="24"/>
          <w:szCs w:val="24"/>
        </w:rPr>
        <w:t xml:space="preserve">This study utilized quantitative data from </w:t>
      </w:r>
      <w:r w:rsidRPr="00186647">
        <w:rPr>
          <w:rFonts w:ascii="Arial" w:hAnsi="Arial" w:cs="Arial"/>
          <w:color w:val="000000"/>
          <w:sz w:val="24"/>
          <w:szCs w:val="24"/>
        </w:rPr>
        <w:t>the laboratory viral load log in the facility. The data for each facility was divided into two, data available before July 2018 (pre 3PLs) and those after July 2018 to January 2020 (3PLs). For the qualitative component, respondents of the interview were the laboratory focal person for each of the facilities. To get the response from the 3PLs, the operators were also interviewed.</w:t>
      </w:r>
    </w:p>
    <w:p w14:paraId="66A2B7C6" w14:textId="77777777" w:rsidR="004D5976" w:rsidRPr="00186647" w:rsidRDefault="004D5976" w:rsidP="00F022CF">
      <w:pPr>
        <w:autoSpaceDE w:val="0"/>
        <w:autoSpaceDN w:val="0"/>
        <w:adjustRightInd w:val="0"/>
        <w:spacing w:after="0" w:line="360" w:lineRule="auto"/>
        <w:jc w:val="both"/>
        <w:rPr>
          <w:rFonts w:ascii="Arial" w:hAnsi="Arial" w:cs="Arial"/>
          <w:b/>
          <w:bCs/>
          <w:sz w:val="24"/>
          <w:szCs w:val="24"/>
        </w:rPr>
      </w:pPr>
    </w:p>
    <w:p w14:paraId="781201C5" w14:textId="712D0195" w:rsidR="00F022CF" w:rsidRPr="00186647" w:rsidRDefault="00F022CF" w:rsidP="00F022CF">
      <w:pPr>
        <w:autoSpaceDE w:val="0"/>
        <w:autoSpaceDN w:val="0"/>
        <w:adjustRightInd w:val="0"/>
        <w:spacing w:after="0" w:line="360" w:lineRule="auto"/>
        <w:jc w:val="both"/>
        <w:rPr>
          <w:rFonts w:ascii="Arial" w:hAnsi="Arial" w:cs="Arial"/>
          <w:color w:val="000000"/>
          <w:sz w:val="24"/>
          <w:szCs w:val="24"/>
        </w:rPr>
      </w:pPr>
      <w:r w:rsidRPr="00186647">
        <w:rPr>
          <w:rFonts w:ascii="Arial" w:hAnsi="Arial" w:cs="Arial"/>
          <w:b/>
          <w:bCs/>
          <w:sz w:val="24"/>
          <w:szCs w:val="24"/>
        </w:rPr>
        <w:t xml:space="preserve">Data collection </w:t>
      </w:r>
    </w:p>
    <w:p w14:paraId="65DADD12"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The extraction period for this analysis was for viral load test conducted pre-3PLs and 3PLs eras. The dates vary from one facility to the other, as they did not start viral load testing at the same time and the availability of data source also differ. Data was obtained from the laboratory viral load log in the facility. The data for each facility was divided into two, data available before July 2018 (pre 3PLs) and those after July 2018 to January 2020 (3PLs). For the qualitative component, respondents of the interview were the laboratory focal person for each of the facilities. To get the response from the 3PLs, the operators were also interviewed.</w:t>
      </w:r>
    </w:p>
    <w:p w14:paraId="185FFB25"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color w:val="000000"/>
          <w:sz w:val="24"/>
          <w:szCs w:val="24"/>
        </w:rPr>
        <w:t xml:space="preserve">Ethical approval </w:t>
      </w:r>
    </w:p>
    <w:p w14:paraId="35327ABB"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The ethical approval was obtained from the Research Ethics Committee at Indian Institute of Public Health Gandhinagar (Reference No. </w:t>
      </w:r>
      <w:r w:rsidRPr="00186647">
        <w:rPr>
          <w:rFonts w:ascii="Arial" w:hAnsi="Arial" w:cs="Arial"/>
          <w:bCs/>
          <w:color w:val="000000"/>
          <w:sz w:val="24"/>
          <w:szCs w:val="24"/>
        </w:rPr>
        <w:t>13/13/2019-20).</w:t>
      </w:r>
      <w:r w:rsidRPr="00186647">
        <w:rPr>
          <w:rFonts w:ascii="Arial" w:hAnsi="Arial" w:cs="Arial"/>
          <w:b/>
          <w:bCs/>
          <w:color w:val="000000"/>
          <w:sz w:val="24"/>
          <w:szCs w:val="24"/>
        </w:rPr>
        <w:t xml:space="preserve"> </w:t>
      </w:r>
    </w:p>
    <w:p w14:paraId="6C9B2BED"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lastRenderedPageBreak/>
        <w:t xml:space="preserve">Data analysis </w:t>
      </w:r>
    </w:p>
    <w:p w14:paraId="17F114B1" w14:textId="2B155CC1"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For quantitative findings, total sample collection (by pre 3PLs and 3PLs) was 18 datasets, a pair of data for each facility. The date interval for which data were available and the number of samples collected within that time frame is recorded for both high and low load facilities separately. The total TAT for the facilities pre 3PLs and 3PLs were calculated. Mean TAT </w:t>
      </w:r>
      <w:r w:rsidR="004E5217" w:rsidRPr="00186647">
        <w:rPr>
          <w:rFonts w:ascii="Arial" w:hAnsi="Arial" w:cs="Arial"/>
          <w:color w:val="000000"/>
          <w:sz w:val="24"/>
          <w:szCs w:val="24"/>
        </w:rPr>
        <w:t>was</w:t>
      </w:r>
      <w:r w:rsidRPr="00186647">
        <w:rPr>
          <w:rFonts w:ascii="Arial" w:hAnsi="Arial" w:cs="Arial"/>
          <w:color w:val="000000"/>
          <w:sz w:val="24"/>
          <w:szCs w:val="24"/>
        </w:rPr>
        <w:t xml:space="preserve"> also estimated for high and low load facilities. To ascertain if there is a statistical difference in the mean TAT pre-3PLs and 3PLs era, we employ the R commander statistical software to determine the mean difference for high load facilities and low facilities differently. We used the paired t-test statistical test to analyze the pre- and post-mean TAT at 95% confidence interval (CI) to obtain the p-values. To get a complete picture of the TAT, the analytical time at the PCR lab was estimated as well to determine the mean TAT.</w:t>
      </w:r>
    </w:p>
    <w:p w14:paraId="63BC64F0" w14:textId="4D793FA0" w:rsidR="007349C5" w:rsidRPr="00186647" w:rsidRDefault="00F022CF" w:rsidP="007F57DD">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Cs/>
          <w:sz w:val="24"/>
          <w:szCs w:val="24"/>
        </w:rPr>
        <w:t xml:space="preserve">For qualitative findings, </w:t>
      </w:r>
      <w:r w:rsidRPr="00186647">
        <w:rPr>
          <w:rFonts w:ascii="Arial" w:hAnsi="Arial" w:cs="Arial"/>
          <w:color w:val="000000"/>
          <w:sz w:val="24"/>
          <w:szCs w:val="24"/>
        </w:rPr>
        <w:t xml:space="preserve">results are presented under the themes emerging from the semi-structured interviews and are reported using the Standards for Reporting Qualitative Research (SRQR). </w:t>
      </w:r>
      <w:r w:rsidRPr="00186647">
        <w:rPr>
          <w:rFonts w:ascii="Arial" w:hAnsi="Arial" w:cs="Arial"/>
          <w:sz w:val="24"/>
          <w:szCs w:val="24"/>
        </w:rPr>
        <w:t>To further understand the other factors that can affect TAT other than transportation, 11 semi-structured interviews were conducted. Of these 11, only 3 respondents consented to recoding their response. After the transcripts of the voice recording were done and analyzing notes taking from others, several themes and concepts emerged.</w:t>
      </w:r>
    </w:p>
    <w:p w14:paraId="3039AD51" w14:textId="77777777" w:rsidR="00320ABE" w:rsidRPr="00186647" w:rsidRDefault="00D0343C" w:rsidP="00320ABE">
      <w:pPr>
        <w:rPr>
          <w:rFonts w:ascii="Arial" w:hAnsi="Arial" w:cs="Arial"/>
          <w:b/>
          <w:sz w:val="24"/>
          <w:szCs w:val="24"/>
        </w:rPr>
      </w:pPr>
      <w:r w:rsidRPr="00186647">
        <w:rPr>
          <w:rFonts w:ascii="Arial" w:hAnsi="Arial" w:cs="Arial"/>
          <w:b/>
          <w:sz w:val="24"/>
          <w:szCs w:val="24"/>
        </w:rPr>
        <w:t>R</w:t>
      </w:r>
      <w:r w:rsidR="00C35899" w:rsidRPr="00186647">
        <w:rPr>
          <w:rFonts w:ascii="Arial" w:hAnsi="Arial" w:cs="Arial"/>
          <w:b/>
          <w:sz w:val="24"/>
          <w:szCs w:val="24"/>
        </w:rPr>
        <w:t>esults</w:t>
      </w:r>
      <w:r w:rsidR="004527E3" w:rsidRPr="00186647">
        <w:rPr>
          <w:rFonts w:ascii="Arial" w:hAnsi="Arial" w:cs="Arial"/>
          <w:b/>
          <w:sz w:val="24"/>
          <w:szCs w:val="24"/>
        </w:rPr>
        <w:t xml:space="preserve"> </w:t>
      </w:r>
      <w:r w:rsidRPr="00186647">
        <w:rPr>
          <w:rFonts w:ascii="Arial" w:hAnsi="Arial" w:cs="Arial"/>
          <w:b/>
          <w:sz w:val="24"/>
          <w:szCs w:val="24"/>
        </w:rPr>
        <w:t xml:space="preserve"> </w:t>
      </w:r>
    </w:p>
    <w:p w14:paraId="63A126AB" w14:textId="422568FE" w:rsidR="009C3BD0" w:rsidRPr="00186647" w:rsidRDefault="009C3BD0" w:rsidP="00320ABE">
      <w:pPr>
        <w:rPr>
          <w:rFonts w:ascii="Arial" w:hAnsi="Arial" w:cs="Arial"/>
          <w:b/>
          <w:sz w:val="24"/>
          <w:szCs w:val="24"/>
        </w:rPr>
      </w:pPr>
      <w:r w:rsidRPr="00186647">
        <w:rPr>
          <w:rFonts w:ascii="Arial" w:hAnsi="Arial" w:cs="Arial"/>
          <w:b/>
          <w:bCs/>
          <w:sz w:val="24"/>
          <w:szCs w:val="24"/>
        </w:rPr>
        <w:t xml:space="preserve">Characteristics of high and low load facilities </w:t>
      </w:r>
    </w:p>
    <w:p w14:paraId="6096CDBA" w14:textId="2B8E1B6D"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color w:val="000000"/>
          <w:sz w:val="24"/>
          <w:szCs w:val="24"/>
        </w:rPr>
        <w:lastRenderedPageBreak/>
        <w:t xml:space="preserve">Date interval for each facility differ as this is dependent on the available register in the facilities, hence the date interval for the facilities were calculated independently. Table 2 gives a summary of all the facilities, the date interval when data were extracted and the total number of samples that were sent within that date interval. For instance, EKSUTH generated a total number of 1631 within 524 days (1.44 years), IYIN could only generate 122 within the same time frame. It was also observed that date interval for both groups range between 1 to 2 years. </w:t>
      </w:r>
    </w:p>
    <w:p w14:paraId="72CF72B1" w14:textId="0B4FD810" w:rsidR="004D5976" w:rsidRPr="00186647" w:rsidRDefault="004D5976" w:rsidP="009C3BD0">
      <w:pPr>
        <w:keepNext/>
        <w:keepLines/>
        <w:autoSpaceDE w:val="0"/>
        <w:autoSpaceDN w:val="0"/>
        <w:adjustRightInd w:val="0"/>
        <w:spacing w:before="120" w:after="120" w:line="360" w:lineRule="auto"/>
        <w:jc w:val="both"/>
        <w:rPr>
          <w:rFonts w:ascii="Arial" w:hAnsi="Arial" w:cs="Arial"/>
          <w:b/>
          <w:bCs/>
          <w:sz w:val="24"/>
          <w:szCs w:val="24"/>
          <w:u w:val="single"/>
        </w:rPr>
      </w:pPr>
      <w:r w:rsidRPr="00186647">
        <w:rPr>
          <w:rFonts w:ascii="Arial" w:hAnsi="Arial" w:cs="Arial"/>
          <w:b/>
          <w:bCs/>
          <w:sz w:val="24"/>
          <w:szCs w:val="24"/>
          <w:u w:val="single"/>
        </w:rPr>
        <w:t>Quantitative findings</w:t>
      </w:r>
    </w:p>
    <w:p w14:paraId="7B8E32B6" w14:textId="1D6902A2" w:rsidR="009C3BD0" w:rsidRPr="00186647" w:rsidRDefault="009C3BD0" w:rsidP="009C3BD0">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sz w:val="24"/>
          <w:szCs w:val="24"/>
        </w:rPr>
        <w:t>TAT in high and low load facilities</w:t>
      </w:r>
    </w:p>
    <w:p w14:paraId="193C6EAC" w14:textId="145F4059"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The Average TAT for each facility was calculated within the date interval for both pre-3PLs and 3PLs era. The TAT was estimated in days. It was found that the mean (±SD) TAT for the high load facilities for pre-3PLs era was 83.68 ±27.3) days, while during 3PLs study period the mean TAT came to 30.76 (±5.7) days. For the low load facilities, the mean TAT pre-3PLs is 104.4 (±10.4) days and during 3PLs the value came to 26.9 (±4.0) days. These are highlighted in table 3. For the high load facilities, the mean difference was 52.93 days (p &lt;0.05) and for the low load facilities the mean difference was 77.38 days (p&lt;0.05).</w:t>
      </w:r>
    </w:p>
    <w:p w14:paraId="654A95FA"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sz w:val="24"/>
          <w:szCs w:val="24"/>
        </w:rPr>
        <w:t>TAT in high and low load facilities</w:t>
      </w:r>
    </w:p>
    <w:p w14:paraId="7968855D" w14:textId="3A38AAC2"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The Average TAT for each facility was calculated within the date interval for both pre-3PLs and 3PLs era. The TAT was estimated in days. It was found that the mean (±SD) TAT for the high load facilities for pre-3PLs era was 83.68 ±27.3) days, while during 3PLs study period the mean TAT came to 30.76 (±5.7) days. For the low load facilities, the mean TAT pre-3PLs is 104.4 (±10.4) days and during 3PLs the value came to 26.9 (±4.0) days. These are highlighted in table 3. For the high load facilities, the mean difference was 52.93 days (p &lt;0.05) and for the low load facilities the mean difference was 77.38 days (p&lt;0.05).</w:t>
      </w:r>
    </w:p>
    <w:p w14:paraId="130ADA3B"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 xml:space="preserve">TAT in PCR laboratory </w:t>
      </w:r>
    </w:p>
    <w:p w14:paraId="2AFBA58D" w14:textId="1120A2E6"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Total sample TAT estimation includes the analytical time, i.e., the time it takes to analyze the sample once it reaches the testing laboratory. The viral load samples are pooled to the testing PCR lab. TAT in the PCR lab is independent of the facility type. Table 4 shows the average time it takes for a sample to be run to when the result is </w:t>
      </w:r>
      <w:r w:rsidRPr="00186647">
        <w:rPr>
          <w:rFonts w:ascii="Arial" w:hAnsi="Arial" w:cs="Arial"/>
          <w:color w:val="000000"/>
          <w:sz w:val="24"/>
          <w:szCs w:val="24"/>
        </w:rPr>
        <w:lastRenderedPageBreak/>
        <w:t>released and dispatched from the laboratory to the facility. This TAT is a fraction from the total TAT of each viral load sample. We found that the mean (±SD) TAT for samples at the PCR lab is 9.99 (±0.95) days</w:t>
      </w:r>
    </w:p>
    <w:p w14:paraId="4BB7C119"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u w:val="single"/>
        </w:rPr>
      </w:pPr>
      <w:r w:rsidRPr="00186647">
        <w:rPr>
          <w:rFonts w:ascii="Arial" w:hAnsi="Arial" w:cs="Arial"/>
          <w:b/>
          <w:bCs/>
          <w:sz w:val="24"/>
          <w:szCs w:val="24"/>
          <w:u w:val="single"/>
        </w:rPr>
        <w:t>Qualitative findings</w:t>
      </w:r>
    </w:p>
    <w:p w14:paraId="6377C49B"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Upon completion of the semi-structured interviews with all respondents, five themes were identified to be associated with TAT. These themes were, inadequate human resource, sample collection and quality, proximity of facility, stockout and equipment downtime and human factors.</w:t>
      </w:r>
    </w:p>
    <w:p w14:paraId="65E6ACB1"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Human resources</w:t>
      </w:r>
    </w:p>
    <w:p w14:paraId="5D7BEA26"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The issues of human resource/workforce were mentioned by some respondents. They mentioned that if more hands were employed there will be better performance. For example, there are only two 3PLs operators for the whole of Ekiti State. They are required to go around all 23 facilities to pick up samples and to return the same way.</w:t>
      </w:r>
    </w:p>
    <w:p w14:paraId="75D2AA90"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i/>
          <w:iCs/>
          <w:sz w:val="24"/>
          <w:szCs w:val="24"/>
        </w:rPr>
        <w:t xml:space="preserve">…” I had an accident sometimes ago on my way back from </w:t>
      </w:r>
      <w:proofErr w:type="spellStart"/>
      <w:r w:rsidRPr="00186647">
        <w:rPr>
          <w:rFonts w:ascii="Arial" w:hAnsi="Arial" w:cs="Arial"/>
          <w:i/>
          <w:iCs/>
          <w:sz w:val="24"/>
          <w:szCs w:val="24"/>
        </w:rPr>
        <w:t>Ikere</w:t>
      </w:r>
      <w:proofErr w:type="spellEnd"/>
      <w:r w:rsidRPr="00186647">
        <w:rPr>
          <w:rFonts w:ascii="Arial" w:hAnsi="Arial" w:cs="Arial"/>
          <w:i/>
          <w:iCs/>
          <w:sz w:val="24"/>
          <w:szCs w:val="24"/>
        </w:rPr>
        <w:t xml:space="preserve"> facility when I was enforced to go, and dispatch result that day and it was only God that saved my life. And there are only 2 of us in the State” ...</w:t>
      </w:r>
      <w:r w:rsidRPr="00186647">
        <w:rPr>
          <w:rFonts w:ascii="Arial" w:hAnsi="Arial" w:cs="Arial"/>
          <w:sz w:val="24"/>
          <w:szCs w:val="24"/>
        </w:rPr>
        <w:t xml:space="preserve"> (3PLs operator)</w:t>
      </w:r>
    </w:p>
    <w:p w14:paraId="05DC11FE" w14:textId="77777777" w:rsidR="009C3BD0" w:rsidRPr="00186647" w:rsidRDefault="009C3BD0" w:rsidP="009C3BD0">
      <w:pPr>
        <w:keepNext/>
        <w:keepLines/>
        <w:tabs>
          <w:tab w:val="left" w:pos="3645"/>
        </w:tab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Sample collection and quality</w:t>
      </w:r>
      <w:r w:rsidRPr="00186647">
        <w:rPr>
          <w:rFonts w:ascii="Arial" w:hAnsi="Arial" w:cs="Arial"/>
          <w:b/>
          <w:bCs/>
          <w:sz w:val="24"/>
          <w:szCs w:val="24"/>
        </w:rPr>
        <w:tab/>
      </w:r>
    </w:p>
    <w:p w14:paraId="66AAE462"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When asked about some of the challenges faced concerning the samples, the respondents highlighted that samples rejection occurred when samples were not separated, were insufficient and had problems with power supply.</w:t>
      </w:r>
    </w:p>
    <w:p w14:paraId="45087CC3" w14:textId="77777777"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i/>
          <w:iCs/>
          <w:color w:val="000000"/>
          <w:sz w:val="24"/>
          <w:szCs w:val="24"/>
        </w:rPr>
        <w:t>when samples are not collected properly, when the recommended amount is not collected and if the sample is not separated properly, this leads to rejection of that sample</w:t>
      </w:r>
      <w:r w:rsidRPr="00186647">
        <w:rPr>
          <w:rFonts w:ascii="Arial" w:hAnsi="Arial" w:cs="Arial"/>
          <w:color w:val="000000"/>
          <w:sz w:val="24"/>
          <w:szCs w:val="24"/>
        </w:rPr>
        <w:t xml:space="preserve">” (Referral laboratory staff). </w:t>
      </w:r>
    </w:p>
    <w:p w14:paraId="2B039710"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Proximity of facility</w:t>
      </w:r>
    </w:p>
    <w:p w14:paraId="43C71B8D"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The longer the distance the more the travel and transportation time. Some of the respondent identified this as another challenge that further increases the TAT, this makes it impossible for all facilities in the same state to have the same TAT, as some facilities will get their samples and results faster than others due to their proximity to the testing lab. </w:t>
      </w:r>
    </w:p>
    <w:p w14:paraId="4878C8CA"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lastRenderedPageBreak/>
        <w:t>…”</w:t>
      </w:r>
      <w:r w:rsidRPr="00186647">
        <w:rPr>
          <w:rFonts w:ascii="Arial" w:hAnsi="Arial" w:cs="Arial"/>
          <w:i/>
          <w:iCs/>
          <w:sz w:val="24"/>
          <w:szCs w:val="24"/>
        </w:rPr>
        <w:t xml:space="preserve"> you know that our hospital is very far from town, if we collect samples today, the riders can’t pick it up that day, sometimes it takes 2 to 3day before they can pick to ado and from ado it might not go on that same day, so you…” </w:t>
      </w:r>
      <w:r w:rsidRPr="00186647">
        <w:rPr>
          <w:rFonts w:ascii="Arial" w:hAnsi="Arial" w:cs="Arial"/>
          <w:sz w:val="24"/>
          <w:szCs w:val="24"/>
        </w:rPr>
        <w:t>(health facility worker).</w:t>
      </w:r>
    </w:p>
    <w:p w14:paraId="3D8F687D"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Stock out and equipment downtime</w:t>
      </w:r>
    </w:p>
    <w:p w14:paraId="41A85468" w14:textId="77777777" w:rsidR="009C3BD0" w:rsidRPr="00186647" w:rsidRDefault="009C3BD0" w:rsidP="009C3BD0">
      <w:pPr>
        <w:autoSpaceDE w:val="0"/>
        <w:autoSpaceDN w:val="0"/>
        <w:adjustRightInd w:val="0"/>
        <w:spacing w:after="160" w:line="360" w:lineRule="auto"/>
        <w:jc w:val="both"/>
        <w:rPr>
          <w:rFonts w:ascii="Arial" w:hAnsi="Arial" w:cs="Arial"/>
          <w:b/>
          <w:bCs/>
          <w:sz w:val="24"/>
          <w:szCs w:val="24"/>
          <w:u w:val="single"/>
        </w:rPr>
      </w:pPr>
      <w:r w:rsidRPr="00186647">
        <w:rPr>
          <w:rFonts w:ascii="Arial" w:hAnsi="Arial" w:cs="Arial"/>
          <w:sz w:val="24"/>
          <w:szCs w:val="24"/>
        </w:rPr>
        <w:t>Stock out and equipment downtime were also identified to affect TAT when discussing with the respondents.</w:t>
      </w:r>
    </w:p>
    <w:p w14:paraId="71BB012E" w14:textId="1B09A13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w:t>
      </w:r>
      <w:r w:rsidRPr="00186647">
        <w:rPr>
          <w:rFonts w:ascii="Arial" w:hAnsi="Arial" w:cs="Arial"/>
          <w:i/>
          <w:iCs/>
          <w:sz w:val="24"/>
          <w:szCs w:val="24"/>
        </w:rPr>
        <w:t>Any little trigger with electricity will get that machine down and nobody, as a lab scientist can fix the machine, you have to call the engineer. You call through the supporting IP (implementing partners) to get to the supplier of that machine. time of the reporting of the PCR lab, the time action will be taken and the time the engineer will be deployed to come and work, at the time the engineer will get it fixed is another time, so for that period, there is nothing coming out of the PCR lab, so if it is 2weeks they use in getting it sorted out, those samples will be there for 2weeks and the result will not come out until the following week, which is almost one month down the line</w:t>
      </w:r>
      <w:r w:rsidRPr="00186647">
        <w:rPr>
          <w:rFonts w:ascii="Arial" w:hAnsi="Arial" w:cs="Arial"/>
          <w:sz w:val="24"/>
          <w:szCs w:val="24"/>
        </w:rPr>
        <w:t xml:space="preserve">” (program coordinator) </w:t>
      </w:r>
    </w:p>
    <w:p w14:paraId="5B7A8A07" w14:textId="4404DF80"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Human factors</w:t>
      </w:r>
    </w:p>
    <w:p w14:paraId="25345FC4" w14:textId="7DE415FF"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sz w:val="24"/>
          <w:szCs w:val="24"/>
        </w:rPr>
        <w:t>Many of the respondents mentioned the problem of insufficient remuneration and incentives for doing other job. The 3PLs operators mentioned the risk of travelling to the same route every day. Some others mention time taken to do paperwork. Also, it was observed that workers wanted to do their work at their convenience.</w:t>
      </w:r>
    </w:p>
    <w:p w14:paraId="525850E4"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w:t>
      </w:r>
      <w:r w:rsidRPr="00186647">
        <w:rPr>
          <w:rFonts w:ascii="Arial" w:hAnsi="Arial" w:cs="Arial"/>
          <w:i/>
          <w:iCs/>
          <w:sz w:val="24"/>
          <w:szCs w:val="24"/>
        </w:rPr>
        <w:t>like that time, it was crazy we were given a stipulated time to deliver 10,000 samples… in a year we do between 30,000-45,000. So, you can imagine, to deliver 10,000 sample within a short period... and so… nothing was coming from it, so at some point in time, no additional incentive” ...</w:t>
      </w:r>
      <w:r w:rsidRPr="00186647">
        <w:rPr>
          <w:rFonts w:ascii="Arial" w:hAnsi="Arial" w:cs="Arial"/>
          <w:sz w:val="24"/>
          <w:szCs w:val="24"/>
        </w:rPr>
        <w:t xml:space="preserve"> (referral lab staff)</w:t>
      </w:r>
    </w:p>
    <w:p w14:paraId="21241A84"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 “</w:t>
      </w:r>
      <w:r w:rsidRPr="00186647">
        <w:rPr>
          <w:rFonts w:ascii="Arial" w:hAnsi="Arial" w:cs="Arial"/>
          <w:i/>
          <w:iCs/>
          <w:sz w:val="24"/>
          <w:szCs w:val="24"/>
        </w:rPr>
        <w:t>I tell the riders to make sure they bring the CD</w:t>
      </w:r>
      <w:r w:rsidRPr="00186647">
        <w:rPr>
          <w:rFonts w:ascii="Arial" w:hAnsi="Arial" w:cs="Arial"/>
          <w:sz w:val="24"/>
          <w:szCs w:val="24"/>
          <w:vertAlign w:val="subscript"/>
        </w:rPr>
        <w:t>4</w:t>
      </w:r>
      <w:r w:rsidRPr="00186647">
        <w:rPr>
          <w:rFonts w:ascii="Arial" w:hAnsi="Arial" w:cs="Arial"/>
          <w:sz w:val="24"/>
          <w:szCs w:val="24"/>
        </w:rPr>
        <w:t xml:space="preserve"> </w:t>
      </w:r>
      <w:r w:rsidRPr="00186647">
        <w:rPr>
          <w:rFonts w:ascii="Arial" w:hAnsi="Arial" w:cs="Arial"/>
          <w:i/>
          <w:sz w:val="24"/>
          <w:szCs w:val="24"/>
        </w:rPr>
        <w:t>samples before 12noon so that I can run them before the end of the day</w:t>
      </w:r>
      <w:r w:rsidRPr="00186647">
        <w:rPr>
          <w:rFonts w:ascii="Arial" w:hAnsi="Arial" w:cs="Arial"/>
          <w:sz w:val="24"/>
          <w:szCs w:val="24"/>
        </w:rPr>
        <w:t>” (HUB staff)</w:t>
      </w:r>
    </w:p>
    <w:p w14:paraId="61B170F6" w14:textId="77777777" w:rsidR="00A408B0" w:rsidRPr="00186647" w:rsidRDefault="00A408B0">
      <w:pPr>
        <w:rPr>
          <w:rFonts w:ascii="Arial" w:hAnsi="Arial" w:cs="Arial"/>
          <w:sz w:val="24"/>
          <w:szCs w:val="24"/>
        </w:rPr>
      </w:pPr>
    </w:p>
    <w:p w14:paraId="1081172B" w14:textId="0572EDD4" w:rsidR="00F022CF" w:rsidRPr="00186647" w:rsidRDefault="00D0343C" w:rsidP="004D5976">
      <w:pPr>
        <w:rPr>
          <w:rFonts w:ascii="Arial" w:hAnsi="Arial" w:cs="Arial"/>
          <w:b/>
          <w:sz w:val="24"/>
          <w:szCs w:val="24"/>
        </w:rPr>
      </w:pPr>
      <w:r w:rsidRPr="00186647">
        <w:rPr>
          <w:rFonts w:ascii="Arial" w:hAnsi="Arial" w:cs="Arial"/>
          <w:b/>
          <w:sz w:val="24"/>
          <w:szCs w:val="24"/>
        </w:rPr>
        <w:t>Discussion</w:t>
      </w:r>
      <w:r w:rsidR="004527E3" w:rsidRPr="00186647">
        <w:rPr>
          <w:rFonts w:ascii="Arial" w:hAnsi="Arial" w:cs="Arial"/>
          <w:b/>
          <w:sz w:val="24"/>
          <w:szCs w:val="24"/>
        </w:rPr>
        <w:t xml:space="preserve"> </w:t>
      </w:r>
      <w:r w:rsidRPr="00186647">
        <w:rPr>
          <w:rFonts w:ascii="Arial" w:hAnsi="Arial" w:cs="Arial"/>
          <w:b/>
          <w:sz w:val="24"/>
          <w:szCs w:val="24"/>
        </w:rPr>
        <w:t xml:space="preserve"> </w:t>
      </w:r>
    </w:p>
    <w:p w14:paraId="4362930E" w14:textId="79189DD2"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This study aimed to assess the impact of pre-3PLs and 3PLs on viral load samples in the management of HIV/AIDS patients. Nine facilities of all 23 health facilities in Ekiti </w:t>
      </w:r>
      <w:r w:rsidRPr="00186647">
        <w:rPr>
          <w:rFonts w:ascii="Arial" w:hAnsi="Arial" w:cs="Arial"/>
          <w:sz w:val="24"/>
          <w:szCs w:val="24"/>
        </w:rPr>
        <w:lastRenderedPageBreak/>
        <w:t>state providing HIV treatment, care and support were studied.</w:t>
      </w:r>
      <w:r w:rsidRPr="00186647">
        <w:rPr>
          <w:rFonts w:ascii="Arial" w:hAnsi="Arial" w:cs="Arial"/>
          <w:color w:val="000000"/>
          <w:sz w:val="24"/>
          <w:szCs w:val="24"/>
        </w:rPr>
        <w:t xml:space="preserve"> Ten health facilities were selected based on the time available. </w:t>
      </w:r>
      <w:r w:rsidRPr="00186647">
        <w:rPr>
          <w:rFonts w:ascii="Arial" w:hAnsi="Arial" w:cs="Arial"/>
          <w:sz w:val="24"/>
          <w:szCs w:val="24"/>
        </w:rPr>
        <w:t xml:space="preserve">The studied health facilities had significantly reduced TAT during the period when 3PLs </w:t>
      </w:r>
      <w:r w:rsidR="004D5976" w:rsidRPr="00186647">
        <w:rPr>
          <w:rFonts w:ascii="Arial" w:hAnsi="Arial" w:cs="Arial"/>
          <w:sz w:val="24"/>
          <w:szCs w:val="24"/>
        </w:rPr>
        <w:t>are being</w:t>
      </w:r>
      <w:r w:rsidRPr="00186647">
        <w:rPr>
          <w:rFonts w:ascii="Arial" w:hAnsi="Arial" w:cs="Arial"/>
          <w:sz w:val="24"/>
          <w:szCs w:val="24"/>
        </w:rPr>
        <w:t xml:space="preserve"> used to transport samples and results when compared to the period before the inception of the 3PLs. </w:t>
      </w:r>
    </w:p>
    <w:p w14:paraId="37B05009" w14:textId="7F6C2625"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This study also identified factors other than transportation that could affect TAT.</w:t>
      </w:r>
      <w:r w:rsidR="00FF2CD2" w:rsidRPr="00186647">
        <w:rPr>
          <w:rFonts w:ascii="Arial" w:hAnsi="Arial" w:cs="Arial"/>
          <w:sz w:val="24"/>
          <w:szCs w:val="24"/>
        </w:rPr>
        <w:t xml:space="preserve"> Pre-3PLs samples were sent</w:t>
      </w:r>
      <w:r w:rsidRPr="00186647">
        <w:rPr>
          <w:rFonts w:ascii="Arial" w:hAnsi="Arial" w:cs="Arial"/>
          <w:sz w:val="24"/>
          <w:szCs w:val="24"/>
        </w:rPr>
        <w:t xml:space="preserve"> at a time convenient through public transport system with little or no standardized transportation procedures. The results take longer time because, results are only collected by the same staff on a subsequent visit. In addition, the problem of missing samples and sample rejection were high. These reasons can explain the longer TAT observed pre-3PL</w:t>
      </w:r>
      <w:r w:rsidR="00FF2CD2" w:rsidRPr="00186647">
        <w:rPr>
          <w:rFonts w:ascii="Arial" w:hAnsi="Arial" w:cs="Arial"/>
          <w:sz w:val="24"/>
          <w:szCs w:val="24"/>
        </w:rPr>
        <w:t xml:space="preserve"> but du</w:t>
      </w:r>
      <w:r w:rsidRPr="00186647">
        <w:rPr>
          <w:rFonts w:ascii="Arial" w:hAnsi="Arial" w:cs="Arial"/>
          <w:sz w:val="24"/>
          <w:szCs w:val="24"/>
        </w:rPr>
        <w:t>ring the 3PL period the reduction in TAT was evident</w:t>
      </w:r>
      <w:r w:rsidR="00FF2CD2" w:rsidRPr="00186647">
        <w:rPr>
          <w:rFonts w:ascii="Arial" w:hAnsi="Arial" w:cs="Arial"/>
          <w:sz w:val="24"/>
          <w:szCs w:val="24"/>
        </w:rPr>
        <w:t>.</w:t>
      </w:r>
      <w:r w:rsidRPr="00186647">
        <w:rPr>
          <w:rFonts w:ascii="Arial" w:hAnsi="Arial" w:cs="Arial"/>
          <w:sz w:val="24"/>
          <w:szCs w:val="24"/>
        </w:rPr>
        <w:t xml:space="preserve"> </w:t>
      </w:r>
    </w:p>
    <w:p w14:paraId="01FB3BD8" w14:textId="16B71C75"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In other studies that assessed the use of private organizations in the transportation of various types of clinical samples have recorded significant reduction in the TAT of these samples</w:t>
      </w:r>
      <w:r w:rsidR="004B660A" w:rsidRPr="00186647">
        <w:rPr>
          <w:rFonts w:ascii="Arial" w:hAnsi="Arial" w:cs="Arial"/>
          <w:sz w:val="24"/>
          <w:szCs w:val="24"/>
        </w:rPr>
        <w:t xml:space="preserve"> </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nqrxS1ct","properties":{"formattedCitation":"(12)","plainCitation":"(12)","dontUpdate":true,"noteIndex":0},"citationItems":[{"id":130,"uris":["http://zotero.org/users/local/SeKuys62/items/LLSU9Q28"],"uri":["http://zotero.org/users/local/SeKuys62/items/LLSU9Q28"],"itemData":{"id":130,"type":"article-journal","abstract":"Introduction Uganda scaled-up Early HIV Infant Diagnosis (EID) when simplified methods for testing of infants using dried blood spots (DBS) were adopted in 2006 and sample transport and management was therefore made feasible in rural settings. Before this time only 35% of the facilities that were providing EID services were reached through the national postal courier system, Posta Uganda. The transportation of samples during this scale-up, therefore, quickly became a challenge and varied from facility to facility as different methods were used to transport the samples. This study evaluates a novel specimen transport network system for EID testing. Methods A retrospective study was done in mid-2012 on 19 pilot hubs serving 616 health facilities in Uganda. The effect on sample-result turnaround time (TAT) and the cost of DBS sample transport on 876 sample-results was analyzed. Results The HUB network system provided increased access to EID services ranging from 36% to 51%, drastically reduced transportation costs by 62%, reduced turn-around times by 46.9% and by a further 46.2% through introduction of SMS printers. Conclusions The HUB model provides a functional, reliable and efficient national referral network against which other health system strengthening initiatives can be built to increase access to critical diagnostic and treatment monitoring services, improve the quality of laboratory and diagnostic services, with reduced turn-around times and improved quality of prevention and treatment programs thereby reducing long-term costs.","container-title":"PLOS ONE","DOI":"10.1371/journal.pone.0078609","ISSN":"1932-6203","issue":"11","journalAbbreviation":"PLOS ONE","language":"en","note":"publisher: Public Library of Science","page":"e78609","source":"PLoS Journals","title":"Uganda's New National Laboratory Sample Transport System: A Successful Model for Improving Access to Diagnostic Services for Early Infant HIV Diagnosis and Other Programs","title-short":"Uganda's New National Laboratory Sample Transport System","volume":"8","author":[{"family":"Kiyaga","given":"Charles"},{"family":"Sendagire","given":"Hakim"},{"family":"Joseph","given":"Eleanor"},{"family":"McConnell","given":"Ian"},{"family":"Grosz","given":"Jeff"},{"family":"Narayan","given":"Vijay"},{"family":"Esiru","given":"Godfrey"},{"family":"Elyanu","given":"Peter"},{"family":"Akol","given":"Zainab"},{"family":"Kirungi","given":"Wilford"},{"family":"Musinguzi","given":"Joshua"},{"family":"Opio","given":"Alex"}],"issued":{"date-parts":[["2013",11,13]]}}}],"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[12</w:t>
      </w:r>
      <w:r w:rsidR="004B660A" w:rsidRPr="00186647">
        <w:rPr>
          <w:rFonts w:ascii="Arial" w:hAnsi="Arial" w:cs="Arial"/>
          <w:sz w:val="24"/>
          <w:szCs w:val="24"/>
        </w:rPr>
        <w:fldChar w:fldCharType="end"/>
      </w:r>
      <w:r w:rsidR="004B660A" w:rsidRPr="00186647">
        <w:rPr>
          <w:rFonts w:ascii="Arial" w:hAnsi="Arial" w:cs="Arial"/>
          <w:sz w:val="24"/>
          <w:szCs w:val="24"/>
        </w:rPr>
        <w:t>,</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9JDFfcZC","properties":{"formattedCitation":"(13)","plainCitation":"(13)","dontUpdate":true,"noteIndex":0},"citationItems":[{"id":46,"uris":["http://zotero.org/users/local/SeKuys62/items/JTXAMDG3"],"uri":["http://zotero.org/users/local/SeKuys62/items/JTXAMDG3"],"itemData":{"id":46,"type":"article-journal","abstract":"Background. Nonstandardized specimen-transport logistics, lack of laboratory personnel to transport specimens, lack of standard specimen containers, and long turnaround time (TAT) hindered access to quality laboratory services. The objective of the Becton, Dickinson, and Company (BD)–US President’s Emergency Plan for AIDS Relief (PEPFAR) Public-Private Partnership (PPP) was to support country-speciﬁc programs to develop integrated laboratory systems, services, and quality improvement strategies, with an emphasis on strengthening the specimen-referral system (SRS).\nMethods. In 2007, through the Centers for Disease Control and Prevention (CDC), the Ethiopian Public Health Institute (EPHI) joined with the BD-PEPFAR PPP to strengthen laboratory systems. A joint planning and assessment committee identiﬁed gaps in the SRS for prioritization and intervention and piloted the system in Addis Ababa and Amhara Region.\nResults. The PPP established standardized, streamlined specimen logistics, using the Ethiopian Postal Service Enterprise to support a laboratory network in which 554 facilities referred specimens to 160 laboratories. The PPP supported procuring 400 standard specimen containers and the training of 586 laboratory personnel and 81 postal workers. The average TAT was reduced from 7 days (range, 2–14 days) to 2 days (range, 1–3 days) in Addis Ababa and from 10 days (range, 6–21 days) to 5 days (range, 2–6 days) in Amhara Region.\nConclusions. This study highlights the feasibility and untapped potential of PPPs to strengthen laboratory systems. This planned and structured approach to improving specimen referral enhanced access to quality laboratory services.","container-title":"Journal of Infectious Diseases","DOI":"10.1093/infdis/jiv576","ISSN":"0022-1899, 1537-6613","issue":"suppl 2","journalAbbreviation":"J Infect Dis.","language":"en","page":"S59-S64","source":"DOI.org (Crossref)","title":"Improved Specimen-Referral System and Increased Access to Quality Laboratory Services in Ethiopia: The Role of the Public-Private Partnership","title-short":"Improved Specimen-Referral System and Increased Access to Quality Laboratory Services in Ethiopia","volume":"213","author":[{"family":"Kebede","given":"Yenew"},{"family":"Fonjungo","given":"Peter N."},{"family":"Tibesso","given":"Gudeta"},{"family":"Shrivastava","given":"Ritu"},{"family":"Nkengasong","given":"John N."},{"family":"Kenyon","given":"Thomas"},{"family":"Kebede","given":"Amha"},{"family":"Gadde","given":"Renuka"},{"family":"Ayana","given":"Gonfa"}],"issued":{"date-parts":[["2016",4,15]]}}}],"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13</w:t>
      </w:r>
      <w:r w:rsidR="004B660A" w:rsidRPr="00186647">
        <w:rPr>
          <w:rFonts w:ascii="Arial" w:hAnsi="Arial" w:cs="Arial"/>
          <w:sz w:val="24"/>
          <w:szCs w:val="24"/>
        </w:rPr>
        <w:fldChar w:fldCharType="end"/>
      </w:r>
      <w:r w:rsidR="004B660A" w:rsidRPr="00186647">
        <w:rPr>
          <w:rFonts w:ascii="Arial" w:hAnsi="Arial" w:cs="Arial"/>
          <w:sz w:val="24"/>
          <w:szCs w:val="24"/>
        </w:rPr>
        <w:t>,</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M5ecwPqq","properties":{"formattedCitation":"(14)","plainCitation":"(14)","dontUpdate":true,"noteIndex":0},"citationItems":[{"id":129,"uris":["http://zotero.org/users/local/SeKuys62/items/E79WTBRC"],"uri":["http://zotero.org/users/local/SeKuys62/items/E79WTBRC"],"itemData":{"id":129,"type":"article-journal","abstract":"The quality of Tuberculosis (TB) laboratory diagnosis and effective treatment of pulmonary tuberculosis is dependent on the accessibility of TB patient to diagnosis and the quality of the sputum sample tested. This study assessed the impact of sputum samples logistics coordination on TB diagnosis in Nigeria. This laboratory-based descriptive cross-sectional study was carried out in the Federal Capital Territory Abuja –Nigeria, using a questionnaire to collect information from 32 laboratory personnel in all 16 GeneXpert laboratories in Abuja. Data was quantitatively and qualitatively analyzed through the use of tables and figures. Descriptive data analysis was carried out with SPSS version 24 and Microsoft Excel version 2016.The study found that sputum samples are being handled by the right set of professionals. However, most centres only give instructions to patients on how to obtain samples without adequate or proper monitoring system and patients are mostly allowed to cough out in open. It was also found that samples delivery and result collections are mostly handled by non-professionals (drivers and patients). The study discovered that 3PLs were the most reliable coordinators of sputum samples and results transport logistics but their involvement in the processes is very limited. It is therefore concluded that for better and effective sputum sample logistics coordination, total involvement of 3PLs is imperative as this will increase the quality of sample in line with standard guidelines, timely sample submission, and result pick-ups among other benefits.","language":"en","page":"8","source":"Zotero","title":"Impact of Sputum Samples Logistics Coordination on TB Diagnosis in Nigeria","author":[{"family":"Faith","given":"Ajani Olumide"},{"family":"Adeiye","given":"Ajani Love"},{"family":"Paul","given":"Abiodun Olaiya"},{"family":"Felix","given":"Olaniyi"},{"family":"Nwofe","given":"Justin Onyebuchi"},{"family":"Kaniki","given":"Freddy Rukema"},{"family":"Mansori","given":"Shaheen"}]}}],"schema":"https://github.com/citation-style-language/schema/raw/master/csl-citation.json"}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14</w:t>
      </w:r>
      <w:r w:rsidR="004B660A" w:rsidRPr="00186647">
        <w:rPr>
          <w:rFonts w:ascii="Arial" w:hAnsi="Arial" w:cs="Arial"/>
          <w:sz w:val="24"/>
          <w:szCs w:val="24"/>
        </w:rPr>
        <w:fldChar w:fldCharType="end"/>
      </w:r>
      <w:r w:rsidR="004B660A" w:rsidRPr="00186647">
        <w:rPr>
          <w:rFonts w:ascii="Arial" w:hAnsi="Arial" w:cs="Arial"/>
          <w:sz w:val="24"/>
          <w:szCs w:val="24"/>
        </w:rPr>
        <w:t>,</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yWLnBE4F","properties":{"formattedCitation":"(15)","plainCitation":"(15)","dontUpdate":true,"noteIndex":0},"citationItems":[{"id":65,"uris":["http://zotero.org/users/local/SeKuys62/items/8ESQYCAU"],"uri":["http://zotero.org/users/local/SeKuys62/items/8ESQYCAU"],"itemData":{"id":65,"type":"article-journal","abstract":"Research in third-party logistics (3PL) has expanded rapidly in thepast fifteen years, providing a significant amount of empirical, survey-based 3PL research. The authors identifyforty-five such papers and thenexamine topics,methodologies, and analytical approaches toassess opportu nities for future research in thefield. As is common during the emerging stages of a research stream, the authors find thatmuch of the current 3PL literature has been exploratory in nature. The authors subsequently present several possible directions for enriching thefield for both researchers and practitioners, including the integration of extant theory and the use of more advanced methodologies and statistical analyses.","container-title":"Transportation Journal","issue":"2","language":"en","page":"23-38","source":"Zotero","title":"Opportunities for Research in Third-Party Logistics","volume":"45","author":[{"family":"MALONI","given":"MICHAEL J."},{"family":"CARTER","given":"CRAIG R."}],"issued":{"date-parts":[["2006"]]}}}],"schema":"https://github.com/citation-style-language/schema/raw/master/csl-citation.json"}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15]</w:t>
      </w:r>
      <w:r w:rsidR="004B660A" w:rsidRPr="00186647">
        <w:rPr>
          <w:rFonts w:ascii="Arial" w:hAnsi="Arial" w:cs="Arial"/>
          <w:sz w:val="24"/>
          <w:szCs w:val="24"/>
        </w:rPr>
        <w:fldChar w:fldCharType="end"/>
      </w:r>
      <w:r w:rsidRPr="00186647">
        <w:rPr>
          <w:rFonts w:ascii="Arial" w:hAnsi="Arial" w:cs="Arial"/>
          <w:sz w:val="24"/>
          <w:szCs w:val="24"/>
        </w:rPr>
        <w:t>. A study conducted in Ethiopia, showed that the average TAT reduced from 7 days to 2 days in Addis Ababa and from 10 days to 5 days in Amhara Region</w:t>
      </w:r>
      <w:r w:rsidR="004B660A" w:rsidRPr="00186647">
        <w:rPr>
          <w:rFonts w:ascii="Arial" w:hAnsi="Arial" w:cs="Arial"/>
          <w:sz w:val="24"/>
          <w:szCs w:val="24"/>
        </w:rPr>
        <w:t xml:space="preserve"> </w:t>
      </w:r>
      <w:r w:rsidR="004B660A" w:rsidRPr="00186647">
        <w:rPr>
          <w:rFonts w:ascii="Arial" w:hAnsi="Arial" w:cs="Arial"/>
          <w:sz w:val="24"/>
          <w:szCs w:val="24"/>
        </w:rPr>
        <w:fldChar w:fldCharType="begin"/>
      </w:r>
      <w:r w:rsidR="004B660A" w:rsidRPr="00186647">
        <w:rPr>
          <w:rFonts w:ascii="Arial" w:hAnsi="Arial" w:cs="Arial"/>
          <w:sz w:val="24"/>
          <w:szCs w:val="24"/>
        </w:rPr>
        <w:instrText xml:space="preserve"> ADDIN ZOTERO_ITEM CSL_CITATION {"citationID":"a56qpIIi","properties":{"formattedCitation":"(13)","plainCitation":"(13)","noteIndex":0},"citationItems":[{"id":46,"uris":["http://zotero.org/users/local/SeKuys62/items/JTXAMDG3"],"uri":["http://zotero.org/users/local/SeKuys62/items/JTXAMDG3"],"itemData":{"id":46,"type":"article-journal","abstract":"Background. Nonstandardized specimen-transport logistics, lack of laboratory personnel to transport specimens, lack of standard specimen containers, and long turnaround time (TAT) hindered access to quality laboratory services. The objective of the Becton, Dickinson, and Company (BD)–US President’s Emergency Plan for AIDS Relief (PEPFAR) Public-Private Partnership (PPP) was to support country-speciﬁc programs to develop integrated laboratory systems, services, and quality improvement strategies, with an emphasis on strengthening the specimen-referral system (SRS).\nMethods. In 2007, through the Centers for Disease Control and Prevention (CDC), the Ethiopian Public Health Institute (EPHI) joined with the BD-PEPFAR PPP to strengthen laboratory systems. A joint planning and assessment committee identiﬁed gaps in the SRS for prioritization and intervention and piloted the system in Addis Ababa and Amhara Region.\nResults. The PPP established standardized, streamlined specimen logistics, using the Ethiopian Postal Service Enterprise to support a laboratory network in which 554 facilities referred specimens to 160 laboratories. The PPP supported procuring 400 standard specimen containers and the training of 586 laboratory personnel and 81 postal workers. The average TAT was reduced from 7 days (range, 2–14 days) to 2 days (range, 1–3 days) in Addis Ababa and from 10 days (range, 6–21 days) to 5 days (range, 2–6 days) in Amhara Region.\nConclusions. This study highlights the feasibility and untapped potential of PPPs to strengthen laboratory systems. This planned and structured approach to improving specimen referral enhanced access to quality laboratory services.","container-title":"Journal of Infectious Diseases","DOI":"10.1093/infdis/jiv576","ISSN":"0022-1899, 1537-6613","issue":"suppl 2","journalAbbreviation":"J Infect Dis.","language":"en","page":"S59-S64","source":"DOI.org (Crossref)","title":"Improved Specimen-Referral System and Increased Access to Quality Laboratory Services in Ethiopia: The Role of the Public-Private Partnership","title-short":"Improved Specimen-Referral System and Increased Access to Quality Laboratory Services in Ethiopia","volume":"213","author":[{"family":"Kebede","given":"Yenew"},{"family":"Fonjungo","given":"Peter N."},{"family":"Tibesso","given":"Gudeta"},{"family":"Shrivastava","given":"Ritu"},{"family":"Nkengasong","given":"John N."},{"family":"Kenyon","given":"Thomas"},{"family":"Kebede","given":"Amha"},{"family":"Gadde","given":"Renuka"},{"family":"Ayana","given":"Gonfa"}],"issued":{"date-parts":[["2016",4,15]]}}}],"schema":"https://github.com/citation-style-language/schema/raw/master/csl-citation.json"} </w:instrText>
      </w:r>
      <w:r w:rsidR="004B660A" w:rsidRPr="00186647">
        <w:rPr>
          <w:rFonts w:ascii="Arial" w:hAnsi="Arial" w:cs="Arial"/>
          <w:sz w:val="24"/>
          <w:szCs w:val="24"/>
        </w:rPr>
        <w:fldChar w:fldCharType="separate"/>
      </w:r>
      <w:r w:rsidR="00602945" w:rsidRPr="00186647">
        <w:rPr>
          <w:rFonts w:ascii="Arial" w:hAnsi="Arial" w:cs="Arial"/>
          <w:sz w:val="24"/>
          <w:szCs w:val="24"/>
        </w:rPr>
        <w:t>(13)</w:t>
      </w:r>
      <w:r w:rsidR="004B660A" w:rsidRPr="00186647">
        <w:rPr>
          <w:rFonts w:ascii="Arial" w:hAnsi="Arial" w:cs="Arial"/>
          <w:sz w:val="24"/>
          <w:szCs w:val="24"/>
        </w:rPr>
        <w:fldChar w:fldCharType="end"/>
      </w:r>
      <w:r w:rsidR="004B660A" w:rsidRPr="00186647">
        <w:rPr>
          <w:rFonts w:ascii="Arial" w:hAnsi="Arial" w:cs="Arial"/>
          <w:sz w:val="24"/>
          <w:szCs w:val="24"/>
        </w:rPr>
        <w:t>]</w:t>
      </w:r>
      <w:r w:rsidRPr="00186647">
        <w:rPr>
          <w:rFonts w:ascii="Arial" w:hAnsi="Arial" w:cs="Arial"/>
          <w:sz w:val="24"/>
          <w:szCs w:val="24"/>
        </w:rPr>
        <w:t>, with the introduction of public private partnership. Another study in Uganda, found that there was an increase from the 35% to 51% for samples analysis and the cost reduced by 62% while TAT was reduced by 46.9% with the improvement in EID transportation</w:t>
      </w:r>
      <w:r w:rsidR="004B660A" w:rsidRPr="00186647">
        <w:rPr>
          <w:rFonts w:ascii="Arial" w:hAnsi="Arial" w:cs="Arial"/>
          <w:sz w:val="24"/>
          <w:szCs w:val="24"/>
        </w:rPr>
        <w:t xml:space="preserve"> </w:t>
      </w:r>
      <w:r w:rsidR="004B660A" w:rsidRPr="00186647">
        <w:rPr>
          <w:rFonts w:ascii="Arial" w:hAnsi="Arial" w:cs="Arial"/>
          <w:sz w:val="24"/>
          <w:szCs w:val="24"/>
        </w:rPr>
        <w:fldChar w:fldCharType="begin"/>
      </w:r>
      <w:r w:rsidR="004B660A" w:rsidRPr="00186647">
        <w:rPr>
          <w:rFonts w:ascii="Arial" w:hAnsi="Arial" w:cs="Arial"/>
          <w:sz w:val="24"/>
          <w:szCs w:val="24"/>
        </w:rPr>
        <w:instrText xml:space="preserve"> ADDIN ZOTERO_ITEM CSL_CITATION {"citationID":"RKCHhftf","properties":{"formattedCitation":"(12)","plainCitation":"(12)","noteIndex":0},"citationItems":[{"id":130,"uris":["http://zotero.org/users/local/SeKuys62/items/LLSU9Q28"],"uri":["http://zotero.org/users/local/SeKuys62/items/LLSU9Q28"],"itemData":{"id":130,"type":"article-journal","abstract":"Introduction Uganda scaled-up Early HIV Infant Diagnosis (EID) when simplified methods for testing of infants using dried blood spots (DBS) were adopted in 2006 and sample transport and management was therefore made feasible in rural settings. Before this time only 35% of the facilities that were providing EID services were reached through the national postal courier system, Posta Uganda. The transportation of samples during this scale-up, therefore, quickly became a challenge and varied from facility to facility as different methods were used to transport the samples. This study evaluates a novel specimen transport network system for EID testing. Methods A retrospective study was done in mid-2012 on 19 pilot hubs serving 616 health facilities in Uganda. The effect on sample-result turnaround time (TAT) and the cost of DBS sample transport on 876 sample-results was analyzed. Results The HUB network system provided increased access to EID services ranging from 36% to 51%, drastically reduced transportation costs by 62%, reduced turn-around times by 46.9% and by a further 46.2% through introduction of SMS printers. Conclusions The HUB model provides a functional, reliable and efficient national referral network against which other health system strengthening initiatives can be built to increase access to critical diagnostic and treatment monitoring services, improve the quality of laboratory and diagnostic services, with reduced turn-around times and improved quality of prevention and treatment programs thereby reducing long-term costs.","container-title":"PLOS ONE","DOI":"10.1371/journal.pone.0078609","ISSN":"1932-6203","issue":"11","journalAbbreviation":"PLOS ONE","language":"en","note":"publisher: Public Library of Science","page":"e78609","source":"PLoS Journals","title":"Uganda's New National Laboratory Sample Transport System: A Successful Model for Improving Access to Diagnostic Services for Early Infant HIV Diagnosis and Other Programs","title-short":"Uganda's New National Laboratory Sample Transport System","volume":"8","author":[{"family":"Kiyaga","given":"Charles"},{"family":"Sendagire","given":"Hakim"},{"family":"Joseph","given":"Eleanor"},{"family":"McConnell","given":"Ian"},{"family":"Grosz","given":"Jeff"},{"family":"Narayan","given":"Vijay"},{"family":"Esiru","given":"Godfrey"},{"family":"Elyanu","given":"Peter"},{"family":"Akol","given":"Zainab"},{"family":"Kirungi","given":"Wilford"},{"family":"Musinguzi","given":"Joshua"},{"family":"Opio","given":"Alex"}],"issued":{"date-parts":[["2013",11,13]]}}}],"schema":"https://github.com/citation-style-language/schema/raw/master/csl-citation.json"} </w:instrText>
      </w:r>
      <w:r w:rsidR="004B660A" w:rsidRPr="00186647">
        <w:rPr>
          <w:rFonts w:ascii="Arial" w:hAnsi="Arial" w:cs="Arial"/>
          <w:sz w:val="24"/>
          <w:szCs w:val="24"/>
        </w:rPr>
        <w:fldChar w:fldCharType="separate"/>
      </w:r>
      <w:r w:rsidR="00602945" w:rsidRPr="00186647">
        <w:rPr>
          <w:rFonts w:ascii="Arial" w:hAnsi="Arial" w:cs="Arial"/>
          <w:sz w:val="24"/>
          <w:szCs w:val="24"/>
        </w:rPr>
        <w:t>(12)</w:t>
      </w:r>
      <w:r w:rsidR="004B660A" w:rsidRPr="00186647">
        <w:rPr>
          <w:rFonts w:ascii="Arial" w:hAnsi="Arial" w:cs="Arial"/>
          <w:sz w:val="24"/>
          <w:szCs w:val="24"/>
        </w:rPr>
        <w:fldChar w:fldCharType="end"/>
      </w:r>
      <w:r w:rsidR="004B660A" w:rsidRPr="00186647">
        <w:rPr>
          <w:rFonts w:ascii="Arial" w:hAnsi="Arial" w:cs="Arial"/>
          <w:sz w:val="24"/>
          <w:szCs w:val="24"/>
        </w:rPr>
        <w:t>]</w:t>
      </w:r>
      <w:r w:rsidRPr="00186647">
        <w:rPr>
          <w:rFonts w:ascii="Arial" w:hAnsi="Arial" w:cs="Arial"/>
          <w:sz w:val="24"/>
          <w:szCs w:val="24"/>
        </w:rPr>
        <w:t>. Another study in Nigeria, identified that Tuberculosis samples been handled by non-professionals always experience delay as compared to those transported by 3PLs</w:t>
      </w:r>
      <w:r w:rsidR="00602945" w:rsidRPr="00186647">
        <w:rPr>
          <w:rFonts w:ascii="Arial" w:hAnsi="Arial" w:cs="Arial"/>
          <w:sz w:val="24"/>
          <w:szCs w:val="24"/>
        </w:rPr>
        <w:t xml:space="preserve"> </w:t>
      </w:r>
      <w:r w:rsidR="00602945"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mAnRJER9","properties":{"formattedCitation":"(14)","plainCitation":"(14)","noteIndex":0},"citationItems":[{"id":129,"uris":["http://zotero.org/users/local/SeKuys62/items/E79WTBRC"],"uri":["http://zotero.org/users/local/SeKuys62/items/E79WTBRC"],"itemData":{"id":129,"type":"article-journal","abstract":"The quality of Tuberculosis (TB) laboratory diagnosis and effective treatment of pulmonary tuberculosis is dependent on the accessibility of TB patient to diagnosis and the quality of the sputum sample tested. This study assessed the impact of sputum samples logistics coordination on TB diagnosis in Nigeria. This laboratory-based descriptive cross-sectional study was carried out in the Federal Capital Territory Abuja –Nigeria, using a questionnaire to collect information from 32 laboratory personnel in all 16 GeneXpert laboratories in Abuja. Data was quantitatively and qualitatively analyzed through the use of tables and figures. Descriptive data analysis was carried out with SPSS version 24 and Microsoft Excel version 2016.The study found that sputum samples are being handled by the right set of professionals. However, most centres only give instructions to patients on how to obtain samples without adequate or proper monitoring system and patients are mostly allowed to cough out in open. It was also found that samples delivery and result collections are mostly handled by non-professionals (drivers and patients). The study discovered that 3PLs were the most reliable coordinators of sputum samples and results transport logistics but their involvement in the processes is very limited. It is therefore concluded that for better and effective sputum sample logistics coordination, total involvement of 3PLs is imperative as this will increase the quality of sample in line with standard guidelines, timely sample submission, and result pick-ups among other benefits.","language":"en","page":"8","source":"Zotero","title":"Impact of Sputum Samples Logistics Coordination on TB Diagnosis in Nigeria","author":[{"family":"Faith","given":"Ajani Olumide"},{"family":"Adeiye","given":"Ajani Love"},{"family":"Paul","given":"Abiodun Olaiya"},{"family":"Felix","given":"Olaniyi"},{"family":"Nwofe","given":"Justin Onyebuchi"},{"family":"Kaniki","given":"Freddy Rukema"},{"family":"Mansori","given":"Shaheen"}]}}],"schema":"https://github.com/citation-style-language/schema/raw/master/csl-citation.json"} </w:instrText>
      </w:r>
      <w:r w:rsidR="00602945" w:rsidRPr="00186647">
        <w:rPr>
          <w:rFonts w:ascii="Arial" w:hAnsi="Arial" w:cs="Arial"/>
          <w:sz w:val="24"/>
          <w:szCs w:val="24"/>
        </w:rPr>
        <w:fldChar w:fldCharType="separate"/>
      </w:r>
      <w:r w:rsidR="00602945" w:rsidRPr="00186647">
        <w:rPr>
          <w:rFonts w:ascii="Arial" w:hAnsi="Arial" w:cs="Arial"/>
          <w:sz w:val="24"/>
          <w:szCs w:val="24"/>
        </w:rPr>
        <w:t>(14)</w:t>
      </w:r>
      <w:r w:rsidR="00602945" w:rsidRPr="00186647">
        <w:rPr>
          <w:rFonts w:ascii="Arial" w:hAnsi="Arial" w:cs="Arial"/>
          <w:sz w:val="24"/>
          <w:szCs w:val="24"/>
        </w:rPr>
        <w:fldChar w:fldCharType="end"/>
      </w:r>
      <w:r w:rsidR="00602945" w:rsidRPr="00186647">
        <w:rPr>
          <w:rFonts w:ascii="Arial" w:hAnsi="Arial" w:cs="Arial"/>
          <w:sz w:val="24"/>
          <w:szCs w:val="24"/>
        </w:rPr>
        <w:t>]</w:t>
      </w:r>
      <w:r w:rsidRPr="00186647">
        <w:rPr>
          <w:rFonts w:ascii="Arial" w:hAnsi="Arial" w:cs="Arial"/>
          <w:sz w:val="24"/>
          <w:szCs w:val="24"/>
        </w:rPr>
        <w:t>. These are some of the expected outcomes when employing the services of 3PLs, such as service improvement, cost reduction and a desire by the organization that engage these 3PLs to focus on their own other non-logistics core competencies</w:t>
      </w:r>
      <w:r w:rsidR="00602945" w:rsidRPr="00186647">
        <w:rPr>
          <w:rFonts w:ascii="Arial" w:hAnsi="Arial" w:cs="Arial"/>
          <w:sz w:val="24"/>
          <w:szCs w:val="24"/>
        </w:rPr>
        <w:t xml:space="preserve"> </w:t>
      </w:r>
      <w:r w:rsidR="00602945"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rHgUmshJ","properties":{"formattedCitation":"(15)","plainCitation":"(15)","dontUpdate":true,"noteIndex":0},"citationItems":[{"id":65,"uris":["http://zotero.org/users/local/SeKuys62/items/8ESQYCAU"],"uri":["http://zotero.org/users/local/SeKuys62/items/8ESQYCAU"],"itemData":{"id":65,"type":"article-journal","abstract":"Research in third-party logistics (3PL) has expanded rapidly in thepast fifteen years, providing a significant amount of empirical, survey-based 3PL research. The authors identifyforty-five such papers and thenexamine topics,methodologies, and analytical approaches toassess opportu nities for future research in thefield. As is common during the emerging stages of a research stream, the authors find thatmuch of the current 3PL literature has been exploratory in nature. The authors subsequently present several possible directions for enriching thefield for both researchers and practitioners, including the integration of extant theory and the use of more advanced methodologies and statistical analyses.","container-title":"Transportation Journal","issue":"2","language":"en","page":"23-38","source":"Zotero","title":"Opportunities for Research in Third-Party Logistics","volume":"45","author":[{"family":"MALONI","given":"MICHAEL J."},{"family":"CARTER","given":"CRAIG R."}],"issued":{"date-parts":[["2006"]]}}}],"schema":"https://github.com/citation-style-language/schema/raw/master/csl-citation.json"} </w:instrText>
      </w:r>
      <w:r w:rsidR="00602945" w:rsidRPr="00186647">
        <w:rPr>
          <w:rFonts w:ascii="Arial" w:hAnsi="Arial" w:cs="Arial"/>
          <w:sz w:val="24"/>
          <w:szCs w:val="24"/>
        </w:rPr>
        <w:fldChar w:fldCharType="separate"/>
      </w:r>
      <w:r w:rsidR="00602945" w:rsidRPr="00186647">
        <w:rPr>
          <w:rFonts w:ascii="Arial" w:hAnsi="Arial" w:cs="Arial"/>
          <w:sz w:val="24"/>
          <w:szCs w:val="24"/>
        </w:rPr>
        <w:t>[15</w:t>
      </w:r>
      <w:r w:rsidR="00602945" w:rsidRPr="00186647">
        <w:rPr>
          <w:rFonts w:ascii="Arial" w:hAnsi="Arial" w:cs="Arial"/>
          <w:sz w:val="24"/>
          <w:szCs w:val="24"/>
        </w:rPr>
        <w:fldChar w:fldCharType="end"/>
      </w:r>
      <w:r w:rsidR="00602945" w:rsidRPr="00186647">
        <w:rPr>
          <w:rFonts w:ascii="Arial" w:hAnsi="Arial" w:cs="Arial"/>
          <w:sz w:val="24"/>
          <w:szCs w:val="24"/>
        </w:rPr>
        <w:t>]</w:t>
      </w:r>
      <w:r w:rsidRPr="00186647">
        <w:rPr>
          <w:rFonts w:ascii="Arial" w:hAnsi="Arial" w:cs="Arial"/>
          <w:sz w:val="24"/>
          <w:szCs w:val="24"/>
        </w:rPr>
        <w:t xml:space="preserve">. In this study significant reduction in TAT were observed when 3PLs transported samples which is comparable with finding from other studies. </w:t>
      </w:r>
    </w:p>
    <w:p w14:paraId="1E338764" w14:textId="77777777"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It was found in this study that other than transportation, there are some other factors which can affect TAT. These factors include </w:t>
      </w:r>
      <w:r w:rsidRPr="00186647">
        <w:rPr>
          <w:rFonts w:ascii="Arial" w:hAnsi="Arial" w:cs="Arial"/>
          <w:i/>
          <w:iCs/>
          <w:sz w:val="24"/>
          <w:szCs w:val="24"/>
        </w:rPr>
        <w:t>insufficient manpower</w:t>
      </w:r>
      <w:r w:rsidRPr="00186647">
        <w:rPr>
          <w:rFonts w:ascii="Arial" w:hAnsi="Arial" w:cs="Arial"/>
          <w:sz w:val="24"/>
          <w:szCs w:val="24"/>
        </w:rPr>
        <w:t xml:space="preserve">, </w:t>
      </w:r>
      <w:r w:rsidRPr="00186647">
        <w:rPr>
          <w:rFonts w:ascii="Arial" w:hAnsi="Arial" w:cs="Arial"/>
          <w:i/>
          <w:iCs/>
          <w:sz w:val="24"/>
          <w:szCs w:val="24"/>
        </w:rPr>
        <w:t>sample quality/integrity</w:t>
      </w:r>
      <w:r w:rsidRPr="00186647">
        <w:rPr>
          <w:rFonts w:ascii="Arial" w:hAnsi="Arial" w:cs="Arial"/>
          <w:sz w:val="24"/>
          <w:szCs w:val="24"/>
        </w:rPr>
        <w:t xml:space="preserve">, </w:t>
      </w:r>
      <w:r w:rsidRPr="00186647">
        <w:rPr>
          <w:rFonts w:ascii="Arial" w:hAnsi="Arial" w:cs="Arial"/>
          <w:i/>
          <w:iCs/>
          <w:sz w:val="24"/>
          <w:szCs w:val="24"/>
        </w:rPr>
        <w:t>reagent stockout and machine downtime</w:t>
      </w:r>
      <w:r w:rsidRPr="00186647">
        <w:rPr>
          <w:rFonts w:ascii="Arial" w:hAnsi="Arial" w:cs="Arial"/>
          <w:sz w:val="24"/>
          <w:szCs w:val="24"/>
        </w:rPr>
        <w:t xml:space="preserve">, </w:t>
      </w:r>
      <w:r w:rsidRPr="00186647">
        <w:rPr>
          <w:rFonts w:ascii="Arial" w:hAnsi="Arial" w:cs="Arial"/>
          <w:i/>
          <w:iCs/>
          <w:sz w:val="24"/>
          <w:szCs w:val="24"/>
        </w:rPr>
        <w:t>proximity of the health facility</w:t>
      </w:r>
      <w:r w:rsidRPr="00186647">
        <w:rPr>
          <w:rFonts w:ascii="Arial" w:hAnsi="Arial" w:cs="Arial"/>
          <w:sz w:val="24"/>
          <w:szCs w:val="24"/>
        </w:rPr>
        <w:t xml:space="preserve"> and </w:t>
      </w:r>
      <w:r w:rsidRPr="00186647">
        <w:rPr>
          <w:rFonts w:ascii="Arial" w:hAnsi="Arial" w:cs="Arial"/>
          <w:i/>
          <w:iCs/>
          <w:sz w:val="24"/>
          <w:szCs w:val="24"/>
        </w:rPr>
        <w:t>other human factors</w:t>
      </w:r>
      <w:r w:rsidRPr="00186647">
        <w:rPr>
          <w:rFonts w:ascii="Arial" w:hAnsi="Arial" w:cs="Arial"/>
          <w:sz w:val="24"/>
          <w:szCs w:val="24"/>
        </w:rPr>
        <w:t>.</w:t>
      </w:r>
    </w:p>
    <w:p w14:paraId="39DDCA78" w14:textId="27AED059"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color w:val="000000"/>
          <w:sz w:val="24"/>
          <w:szCs w:val="24"/>
        </w:rPr>
        <w:t xml:space="preserve">It was identified in a study that inadequate manpower has been seen to threaten </w:t>
      </w:r>
      <w:r w:rsidRPr="00186647">
        <w:rPr>
          <w:rFonts w:ascii="Arial" w:hAnsi="Arial" w:cs="Arial"/>
          <w:color w:val="000000"/>
          <w:sz w:val="24"/>
          <w:szCs w:val="24"/>
          <w:highlight w:val="white"/>
        </w:rPr>
        <w:t xml:space="preserve">the realization of plans for scaling up interventions to control the spread of diseases such </w:t>
      </w:r>
      <w:r w:rsidRPr="00186647">
        <w:rPr>
          <w:rFonts w:ascii="Arial" w:hAnsi="Arial" w:cs="Arial"/>
          <w:color w:val="000000"/>
          <w:sz w:val="24"/>
          <w:szCs w:val="24"/>
          <w:highlight w:val="white"/>
        </w:rPr>
        <w:lastRenderedPageBreak/>
        <w:t>as HIV/AIDS, malaria, and tuberculosis</w:t>
      </w:r>
      <w:r w:rsidRPr="00186647">
        <w:rPr>
          <w:rFonts w:ascii="Arial" w:hAnsi="Arial" w:cs="Arial"/>
          <w:color w:val="000000"/>
          <w:sz w:val="24"/>
          <w:szCs w:val="24"/>
        </w:rPr>
        <w:t xml:space="preserve"> in sub-Sahara Africa</w:t>
      </w:r>
      <w:r w:rsidR="00602945" w:rsidRPr="00186647">
        <w:rPr>
          <w:rFonts w:ascii="Arial" w:hAnsi="Arial" w:cs="Arial"/>
          <w:color w:val="000000"/>
          <w:sz w:val="24"/>
          <w:szCs w:val="24"/>
        </w:rPr>
        <w:t xml:space="preserve"> </w:t>
      </w:r>
      <w:r w:rsidR="00602945" w:rsidRPr="00186647">
        <w:rPr>
          <w:rFonts w:ascii="Arial" w:hAnsi="Arial" w:cs="Arial"/>
          <w:color w:val="000000"/>
          <w:sz w:val="24"/>
          <w:szCs w:val="24"/>
        </w:rPr>
        <w:fldChar w:fldCharType="begin"/>
      </w:r>
      <w:r w:rsidR="00602945" w:rsidRPr="00186647">
        <w:rPr>
          <w:rFonts w:ascii="Arial" w:hAnsi="Arial" w:cs="Arial"/>
          <w:color w:val="000000"/>
          <w:sz w:val="24"/>
          <w:szCs w:val="24"/>
        </w:rPr>
        <w:instrText xml:space="preserve"> ADDIN ZOTERO_ITEM CSL_CITATION {"citationID":"KadN4H55","properties":{"formattedCitation":"(16)","plainCitation":"(16)","dontUpdate":true,"noteIndex":0},"citationItems":[{"id":133,"uris":["http://zotero.org/users/local/SeKuys62/items/NJMLG4YB"],"uri":["http://zotero.org/users/local/SeKuys62/items/NJMLG4YB"],"itemData":{"id":133,"type":"article-journal","abstract":"There is a serious human resource crisis in the health sector in developing countries, particularly in Africa. One of the challenges is the low motivation of health workers.","container-title":"Human Resources for Health","DOI":"10.1186/1478-4491-4-24","ISSN":"1478-4491","issue":"1","journalAbbreviation":"Hum Resour Health","language":"en","page":"24","source":"Springer Link","title":"Health worker motivation in Africa: the role of non-financial incentives and human resource management tools","title-short":"Health worker motivation in Africa","volume":"4","author":[{"family":"Mathauer","given":"Inke"},{"family":"Imhoff","given":"Ingo"}],"issued":{"date-parts":[["2006",8,29]]}}}],"schema":"https://github.com/citation-style-language/schema/raw/master/csl-citation.json"} </w:instrText>
      </w:r>
      <w:r w:rsidR="00602945" w:rsidRPr="00186647">
        <w:rPr>
          <w:rFonts w:ascii="Arial" w:hAnsi="Arial" w:cs="Arial"/>
          <w:color w:val="000000"/>
          <w:sz w:val="24"/>
          <w:szCs w:val="24"/>
        </w:rPr>
        <w:fldChar w:fldCharType="separate"/>
      </w:r>
      <w:r w:rsidR="00602945" w:rsidRPr="00186647">
        <w:rPr>
          <w:rFonts w:ascii="Arial" w:hAnsi="Arial" w:cs="Arial"/>
          <w:sz w:val="24"/>
          <w:szCs w:val="24"/>
        </w:rPr>
        <w:t>[16</w:t>
      </w:r>
      <w:r w:rsidR="00602945" w:rsidRPr="00186647">
        <w:rPr>
          <w:rFonts w:ascii="Arial" w:hAnsi="Arial" w:cs="Arial"/>
          <w:color w:val="000000"/>
          <w:sz w:val="24"/>
          <w:szCs w:val="24"/>
        </w:rPr>
        <w:fldChar w:fldCharType="end"/>
      </w:r>
      <w:r w:rsidR="00602945" w:rsidRPr="00186647">
        <w:rPr>
          <w:rFonts w:ascii="Arial" w:hAnsi="Arial" w:cs="Arial"/>
          <w:color w:val="000000"/>
          <w:sz w:val="24"/>
          <w:szCs w:val="24"/>
        </w:rPr>
        <w:t>]</w:t>
      </w:r>
      <w:r w:rsidRPr="00186647">
        <w:rPr>
          <w:rFonts w:ascii="Arial" w:hAnsi="Arial" w:cs="Arial"/>
          <w:color w:val="000000"/>
          <w:sz w:val="24"/>
          <w:szCs w:val="24"/>
        </w:rPr>
        <w:t>. The problem of inadequate supply, poor distribution, low </w:t>
      </w:r>
      <w:hyperlink r:id="rId10" w:history="1">
        <w:r w:rsidRPr="00186647">
          <w:rPr>
            <w:rFonts w:ascii="Arial" w:hAnsi="Arial" w:cs="Arial"/>
            <w:color w:val="000000"/>
            <w:sz w:val="24"/>
            <w:szCs w:val="24"/>
          </w:rPr>
          <w:t>remuneration</w:t>
        </w:r>
      </w:hyperlink>
      <w:r w:rsidRPr="00186647">
        <w:rPr>
          <w:rFonts w:ascii="Arial" w:hAnsi="Arial" w:cs="Arial"/>
          <w:color w:val="000000"/>
          <w:sz w:val="24"/>
          <w:szCs w:val="24"/>
        </w:rPr>
        <w:t> and accelerated migration of skilled health workers are increasingly regarded as key systems constraints to scaling up of </w:t>
      </w:r>
      <w:hyperlink r:id="rId11" w:history="1">
        <w:r w:rsidRPr="00186647">
          <w:rPr>
            <w:rFonts w:ascii="Arial" w:hAnsi="Arial" w:cs="Arial"/>
            <w:color w:val="000000"/>
            <w:sz w:val="24"/>
            <w:szCs w:val="24"/>
          </w:rPr>
          <w:t>HIV</w:t>
        </w:r>
      </w:hyperlink>
      <w:r w:rsidRPr="00186647">
        <w:rPr>
          <w:rFonts w:ascii="Arial" w:hAnsi="Arial" w:cs="Arial"/>
          <w:color w:val="000000"/>
          <w:sz w:val="24"/>
          <w:szCs w:val="24"/>
        </w:rPr>
        <w:t> treatment identified in Africa</w:t>
      </w:r>
      <w:r w:rsidR="00602945" w:rsidRPr="00186647">
        <w:rPr>
          <w:rFonts w:ascii="Arial" w:hAnsi="Arial" w:cs="Arial"/>
          <w:color w:val="000000"/>
          <w:sz w:val="24"/>
          <w:szCs w:val="24"/>
        </w:rPr>
        <w:t xml:space="preserve"> </w:t>
      </w:r>
      <w:r w:rsidR="00602945" w:rsidRPr="00186647">
        <w:rPr>
          <w:rFonts w:ascii="Arial" w:hAnsi="Arial" w:cs="Arial"/>
          <w:color w:val="000000"/>
          <w:sz w:val="24"/>
          <w:szCs w:val="24"/>
        </w:rPr>
        <w:fldChar w:fldCharType="begin"/>
      </w:r>
      <w:r w:rsidR="00602945" w:rsidRPr="00186647">
        <w:rPr>
          <w:rFonts w:ascii="Arial" w:hAnsi="Arial" w:cs="Arial"/>
          <w:color w:val="000000"/>
          <w:sz w:val="24"/>
          <w:szCs w:val="24"/>
        </w:rPr>
        <w:instrText xml:space="preserve"> ADDIN ZOTERO_ITEM CSL_CITATION {"citationID":"rdlzRN2R","properties":{"formattedCitation":"(17)","plainCitation":"(17)","dontUpdate":true,"noteIndex":0},"citationItems":[{"id":135,"uris":["http://zotero.org/users/local/SeKuys62/items/M92SYI8N"],"uri":["http://zotero.org/users/local/SeKuys62/items/M92SYI8N"],"itemData":{"id":135,"type":"article-journal","abstract":"Without strengthened health systems, significant access to antiretroviral (ARV) therapy in many developing countries is unlikely to be achieved. This paper reflects on systemic challenges to scaling up ARV access in countries with both massive epidemics and weak health systems. It draws on the authors' experience in southern Africa and the World Health Organization's framework on health system performance. Whilst acknowledging the still significant gap in financing, the paper focuses on the challenges of reorienting service delivery towards chronic disease care and the human resource crisis in health systems. Inadequate supply, poor distribution, low remuneration and accelerated migration of skilled health workers are increasingly regarded as key systems constraints to scaling up of HIV treatment. Problems, however, go beyond the issue of numbers to include productivity and cultures of service delivery. As more countries receive funds for antiretroviral access programmes, strong national stewardship of these programmes becomes increasingly necessary. The paper proposes a set of short- and long-term stewardship tasks, which include resisting the verticalisation of HIV treatment, the evaluation of community health workers and their potential role in HIV treatment access, international action on the brain drain, and greater investment in national human resource functions of planning, production, remuneration and management.\nRésumé\nSeul un renforcement des systèmes de santé permettra à nombre de pays en développement de garantir un large accès à la thérapie antirétrovirale. Cet article réfléchit aux obstacles systémiques contrariant l'accès aux ARV dans des pays où l'épidémie est massive et les systèmes de santé faibles. Il est fondé sur l'expérience des auteurs en Afrique australe et sur le cadre de l'OMS pour l'évaluation de la performance des systèmes de santé. Tout en constatant la persistance des manques financiers, l'article se concentre sur la réorientation des services vers le traitement des maladies chroniques et la crise des ressources humaines dans les systèmes de santé. Des facteurs comme la pénurie de personnel, la distribution inégale, la faible rémunération et la migration accélérée des agents de santé qualifiés sont de plus en plus considérés comme des obstacles systémiques clés à l'élargissement du traitement du VIH. Néanmoins, les problèmes dépassent la question de l'offre pour inclure la productivité et les cultures de la prestation des services. À mesure que davantage de pays reçoivent des fonds pour les programmes d'accès aux antirétroviraux, un fort encadrement national de ces programmes devient de plus en plus nécessaire. L'article propose un ensemble de tâches de supervision à court et long terme, notamment s'opposer à la verticalisation du traitement du VIH, évaluer les agents de santé communautaires et leur rôle potentiel dans l'accès au traitement du VIH, mener une action internationale sur l'exode des cadres et investir davantage dans les fonctions nationales des ressources humaines en matière de planification, production, rémunération et gestion.\nResumen\nEn muchos países en desarrollo, es improbable que se logre mayor acceso a la terapia antirretroviral (ARV) sin antes fortalecer los sistemas de salud. En este artículo, basado en la experiencia de los autores en África meridional y en el marco de la Organización Mundial de la Salud sobre el desempeño de los sistemas sanitarios, se reflexiona sobre los retos sistémicos relacionados con la ampliación del acceso a los ARV en los países con grandes epidemias y sistemas de salud deficientes. Aunque se reconoce la brecha aún considerable en financiamiento, se destacan los retos en reorientar la prestación de servicios hacia el tratamiento de enfermedades crónicas y la crisis de recursos humanos en los sistemas de salud. El suministro inadecuado, la deficiente distribución, la baja remuneración y la acelerada migración de los trabajadores sanitarios calificados, son considerados cada vez más como limitaciones clave de los sistemas en la ampliación del tratamiento del VIH. Otos problemas son la productividad y las culturas de prestación de servicios. A medida que más países reciben fondos para los programas de acceso a los ARV, también aumenta la necesidad de contar con una sólida administración nacional de esos programas. En este artículo se propone una serie de tareas administrativas de corto y largo plazo: resistencia a la verticalización del tratamiento del VIH, evaluación de los trabajadores de la salud comunitarios y su posible función en ampliar el acceso al tratamiento del VIH, acción internacional respecto al éxodo de profesionales y una mayor inversión en las funciones de planificación, producción, remuneración y administración de los recursos humanos nacionales.","container-title":"Reproductive Health Matters","DOI":"10.1016/S0968-8080(06)27232-X","ISSN":"0968-8080","issue":"27","journalAbbreviation":"Reproductive Health Matters","language":"en","page":"12-23","source":"ScienceDirect","title":"Health Systems and Access to Antiretroviral Drugs for HIV in Southern Africa: Service Delivery and Human Resources Challenges","title-short":"Health Systems and Access to Antiretroviral Drugs for HIV in Southern Africa","volume":"14","author":[{"family":"Schneider","given":"Helen"},{"family":"Blaauw","given":"Duane"},{"family":"Gilson","given":"Lucy"},{"family":"Chabikuli","given":"Nzapfurundi"},{"family":"Goudge","given":"Jane"}],"issued":{"date-parts":[["2006",5,1]]}}}],"schema":"https://github.com/citation-style-language/schema/raw/master/csl-citation.json"} </w:instrText>
      </w:r>
      <w:r w:rsidR="00602945" w:rsidRPr="00186647">
        <w:rPr>
          <w:rFonts w:ascii="Arial" w:hAnsi="Arial" w:cs="Arial"/>
          <w:color w:val="000000"/>
          <w:sz w:val="24"/>
          <w:szCs w:val="24"/>
        </w:rPr>
        <w:fldChar w:fldCharType="separate"/>
      </w:r>
      <w:r w:rsidR="00602945" w:rsidRPr="00186647">
        <w:rPr>
          <w:rFonts w:ascii="Arial" w:hAnsi="Arial" w:cs="Arial"/>
          <w:sz w:val="24"/>
          <w:szCs w:val="24"/>
        </w:rPr>
        <w:t>[17</w:t>
      </w:r>
      <w:r w:rsidR="00602945" w:rsidRPr="00186647">
        <w:rPr>
          <w:rFonts w:ascii="Arial" w:hAnsi="Arial" w:cs="Arial"/>
          <w:color w:val="000000"/>
          <w:sz w:val="24"/>
          <w:szCs w:val="24"/>
        </w:rPr>
        <w:fldChar w:fldCharType="end"/>
      </w:r>
      <w:r w:rsidR="00602945" w:rsidRPr="00186647">
        <w:rPr>
          <w:rFonts w:ascii="Arial" w:hAnsi="Arial" w:cs="Arial"/>
          <w:color w:val="000000"/>
          <w:sz w:val="24"/>
          <w:szCs w:val="24"/>
        </w:rPr>
        <w:t>]</w:t>
      </w:r>
      <w:r w:rsidRPr="00186647">
        <w:rPr>
          <w:rFonts w:ascii="Arial" w:hAnsi="Arial" w:cs="Arial"/>
          <w:sz w:val="24"/>
          <w:szCs w:val="24"/>
        </w:rPr>
        <w:t>. Studies have shown that specimen integrity is a cornerstone of a quality viral load test</w:t>
      </w:r>
      <w:r w:rsidR="00602945" w:rsidRPr="00186647">
        <w:rPr>
          <w:rFonts w:ascii="Arial" w:hAnsi="Arial" w:cs="Arial"/>
          <w:sz w:val="24"/>
          <w:szCs w:val="24"/>
        </w:rPr>
        <w:t xml:space="preserve"> </w:t>
      </w:r>
      <w:r w:rsidR="00602945"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sa4EXZl7","properties":{"formattedCitation":"(18)","plainCitation":"(18)","dontUpdate":true,"noteIndex":0},"citationItems":[{"id":30,"uris":["http://zotero.org/users/local/SeKuys62/items/Y9DCPVYN"],"uri":["http://zotero.org/users/local/SeKuys62/items/Y9DCPVYN"],"itemData":{"id":30,"type":"article-journal","container-title":"American Journal of Clinical Pathology","DOI":"10.1309/AJCPYHBT9OQRM8DX","ISSN":"0002-9173, 1943-7722","issue":"5","journalAbbreviation":"Am J Clin Pathol","language":"en","page":"724-729","source":"DOI.org (Crossref)","title":"Determination of Turnaround Time in the Clinical Laboratory: “Accessioning-to-Result” Time Does Not Always Accurately Reflect Laboratory Performance","title-short":"Determination of Turnaround Time in the Clinical Laboratory","volume":"138","author":[{"family":"Stotler","given":"Brie A."},{"family":"Kratz","given":"Alexander"}],"issued":{"date-parts":[["2012",11]]}}}],"schema":"https://github.com/citation-style-language/schema/raw/master/csl-citation.json"} </w:instrText>
      </w:r>
      <w:r w:rsidR="00602945" w:rsidRPr="00186647">
        <w:rPr>
          <w:rFonts w:ascii="Arial" w:hAnsi="Arial" w:cs="Arial"/>
          <w:sz w:val="24"/>
          <w:szCs w:val="24"/>
        </w:rPr>
        <w:fldChar w:fldCharType="separate"/>
      </w:r>
      <w:r w:rsidR="00517B1A" w:rsidRPr="00186647">
        <w:rPr>
          <w:rFonts w:ascii="Arial" w:hAnsi="Arial" w:cs="Arial"/>
          <w:sz w:val="24"/>
          <w:szCs w:val="24"/>
        </w:rPr>
        <w:t>[</w:t>
      </w:r>
      <w:r w:rsidR="00602945" w:rsidRPr="00186647">
        <w:rPr>
          <w:rFonts w:ascii="Arial" w:hAnsi="Arial" w:cs="Arial"/>
          <w:sz w:val="24"/>
          <w:szCs w:val="24"/>
        </w:rPr>
        <w:t>18</w:t>
      </w:r>
      <w:r w:rsidR="00602945" w:rsidRPr="00186647">
        <w:rPr>
          <w:rFonts w:ascii="Arial" w:hAnsi="Arial" w:cs="Arial"/>
          <w:sz w:val="24"/>
          <w:szCs w:val="24"/>
        </w:rPr>
        <w:fldChar w:fldCharType="end"/>
      </w:r>
      <w:r w:rsidR="00602945" w:rsidRPr="00186647">
        <w:rPr>
          <w:rFonts w:ascii="Arial" w:hAnsi="Arial" w:cs="Arial"/>
          <w:sz w:val="24"/>
          <w:szCs w:val="24"/>
        </w:rPr>
        <w:t>,</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DE9hMR2n","properties":{"formattedCitation":"(19)","plainCitation":"(19)","dontUpdate":true,"noteIndex":0},"citationItems":[{"id":80,"uris":["http://zotero.org/users/local/SeKuys62/items/8XHKEC4P"],"uri":["http://zotero.org/users/local/SeKuys62/items/8XHKEC4P"],"itemData":{"id":80,"type":"article-journal","abstract":"Objective:  The aim of this study was to assess the magnitude, trend and reasons of rejection among referred specimens through referral network to the Amhara Public Health Institute (APHI) for laboratory testing. Results:  A total of 42,923 specimens were received at APHI reference laboratories. Of which, 221 (0.5%) specimens were rejected. CD4, HIV viral load, genexpert and EID specimens’ rejection rates were 0.7%, 0.6%, 0.3% and 0.2%, respectively. CD4 specimens were rejected due to wrong package (84.2%) and presence of clots (15.8%). Un-centrifuge (46.9%), hemolysis (19.8%) and use of wrong tube (17.7%) were the main rejection reasons for HIV viral load specimens. Although viral load specimen rejection was improved from 1.8 to 0% up to February/2018, the problem was reoccurred and continued to the end of May (1.3%) and June (0.3%) 2018. Moreover, CD4 specimen rejection (4.3%) was out of the established target in May, and exposed infant diagnosis (EID) specimen rejection became increased since March 2018. Hence, appropriate corrective and preventive actions and close follow up could reduce the problem of specimen referral network.","container-title":"BMC Research Notes","DOI":"10.1186/s13104-018-3891-7","ISSN":"1756-0500","issue":"1","journalAbbreviation":"BMC Res Notes","language":"en","page":"781","source":"DOI.org (Crossref)","title":"Specimen rejections among referred specimens through referral network to the Amhara Public Health Institute for laboratory testing, Bahir Dar, Ethiopia","volume":"11","author":[{"family":"Shiferaw","given":"Melashu Balew"},{"family":"Yismaw","given":"Gizachew"},{"family":"Getachew","given":"Hailu"}],"issued":{"date-parts":[["2018",12]]}}}],"schema":"https://github.com/citation-style-language/schema/raw/master/csl-citation.json"}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19</w:t>
      </w:r>
      <w:r w:rsidR="00517B1A" w:rsidRPr="00186647">
        <w:rPr>
          <w:rFonts w:ascii="Arial" w:hAnsi="Arial" w:cs="Arial"/>
          <w:sz w:val="24"/>
          <w:szCs w:val="24"/>
        </w:rPr>
        <w:fldChar w:fldCharType="end"/>
      </w:r>
      <w:r w:rsidR="00602945" w:rsidRPr="00186647">
        <w:rPr>
          <w:rFonts w:ascii="Arial" w:hAnsi="Arial" w:cs="Arial"/>
          <w:sz w:val="24"/>
          <w:szCs w:val="24"/>
        </w:rPr>
        <w:t>]</w:t>
      </w:r>
      <w:r w:rsidRPr="00186647">
        <w:rPr>
          <w:rFonts w:ascii="Arial" w:hAnsi="Arial" w:cs="Arial"/>
          <w:sz w:val="24"/>
          <w:szCs w:val="24"/>
        </w:rPr>
        <w:t>, and ways to protect this integrity is by collecting the samples appropriately. When the specimen is not collected correctly, it leads to rejection and will in turn increase the TAT of that sample. In a Nepal study, 15.5% of patients did not get their results at the predefined time due to sample related factors</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AVY8NQqR","properties":{"formattedCitation":"(20)","plainCitation":"(20)","dontUpdate":true,"noteIndex":0},"citationItems":[{"id":34,"uris":["http://zotero.org/users/local/SeKuys62/items/GBTVF3FR"],"uri":["http://zotero.org/users/local/SeKuys62/items/GBTVF3FR"],"itemData":{"id":34,"type":"article-journal","abstract":"Background The turnaround time (TAT) as defined by most of the laboratories is the time interval between the specimens received in the laboratory to the time of reports dispatched with verification. Nearly 80% of hospital-attached clinical laboratories receive complaints about delayed TAT. Reporting in time is a crucial indicator of quality services along with accurate, precise and reliable reports, thus each clinical laboratory should identify affecting factors to eliminate them for the enhancement of quality services.","language":"en","page":"11","source":"Zotero","title":"Factors affecting turnaround time in the clinical laboratory of the Kathmandu University Hospital, Nepal","author":[{"family":"Bhatt","given":"Rajendra Dev"},{"family":"Shrestha","given":"Chandani"},{"family":"Risal","given":"Prabodh"}]}}],"schema":"https://github.com/citation-style-language/schema/raw/master/csl-citation.json"}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[20</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A study in Ethiopia, which found that repeated reagent stock out was one of the reasons for result delays in the testing lab</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dKTo7Xx7","properties":{"formattedCitation":"(21)","plainCitation":"(21)","dontUpdate":true,"noteIndex":0},"citationItems":[{"id":124,"uris":["http://zotero.org/users/local/SeKuys62/items/URR9LXVK"],"uri":["http://zotero.org/users/local/SeKuys62/items/URR9LXVK"],"itemData":{"id":124,"type":"article-journal","abstract":"Clinical decisions depend on timely laboratory result reporting. The timeliness is commonly expressed in turnaround time and serves as a quality improvement tool to assess the effectiveness and efficiency of the laboratory. According to the International Organization for Standardization (ISO) guidelines, each laboratory shall establish turnaround times for each of its examinations that reflect clinical needs, and shall periodically evaluate whether or not it is meeting the established turnaround times. Therefore, this study aimed to assess the TAT of laboratory results done in the reference laboratories of the Amhara Public Health Institute, Bahir Dar, Ethiopia.","container-title":"BMC Health Services Research","DOI":"10.1186/s12913-019-4077-2","ISSN":"1472-6963","issue":"1","journalAbbreviation":"BMC Health Serv Res","language":"en","page":"240","source":"Springer Link","title":"Magnitude of delayed turnaround time of laboratory results in Amhara Public Health Institute, Bahir Dar, Ethiopia","volume":"19","author":[{"family":"Shiferaw","given":"Melashu Balew"},{"family":"Yismaw","given":"Gizachew"}],"issued":{"date-parts":[["2019",4,24]]}}}],"schema":"https://github.com/citation-style-language/schema/raw/master/csl-citation.json"}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[21</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and in Nepal 11.4% of patient reports were delayed due to irregular maintenance or lack of properly functioning of equipment/analyzers</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mISG8Z2Y","properties":{"formattedCitation":"(20)","plainCitation":"(20)","dontUpdate":true,"noteIndex":0},"citationItems":[{"id":34,"uris":["http://zotero.org/users/local/SeKuys62/items/GBTVF3FR"],"uri":["http://zotero.org/users/local/SeKuys62/items/GBTVF3FR"],"itemData":{"id":34,"type":"article-journal","abstract":"Background The turnaround time (TAT) as defined by most of the laboratories is the time interval between the specimens received in the laboratory to the time of reports dispatched with verification. Nearly 80% of hospital-attached clinical laboratories receive complaints about delayed TAT. Reporting in time is a crucial indicator of quality services along with accurate, precise and reliable reports, thus each clinical laboratory should identify affecting factors to eliminate them for the enhancement of quality services.","language":"en","page":"11","source":"Zotero","title":"Factors affecting turnaround time in the clinical laboratory of the Kathmandu University Hospital, Nepal","author":[{"family":"Bhatt","given":"Rajendra Dev"},{"family":"Shrestha","given":"Chandani"},{"family":"Risal","given":"Prabodh"}]}}],"schema":"https://github.com/citation-style-language/schema/raw/master/csl-citation.json"}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[20</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In India, another study identified factors such as machine breakdown and interrupted electricity and water supply also contributed to prolonged TAT</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9K5KBt6x","properties":{"formattedCitation":"(22)","plainCitation":"(22)","dontUpdate":true,"noteIndex":0},"citationItems":[{"id":88,"uris":["http://zotero.org/users/local/SeKuys62/items/7KZL3VYA"],"uri":["http://zotero.org/users/local/SeKuys62/items/7KZL3VYA"],"itemData":{"id":88,"type":"article-journal","abstract":"Laboratory analytical turnaround time is a reliable indicator of laboratory effectiveness. Our study aimed to evaluate laboratory analytical turnaround time in our laboratory and appraise the contribution of the different phases of analysis towards the same. The turn around time (TAT) for all the samples (both routine and emergency) for the outpatient and hospitalized patients were evaluated for one year. TAT was calculated from sample reception to report dispatch. The average TAT for the clinical biochemistry samples was 5.5 h for routine inpatient samples while the TAT for the outpatient samples was 24 h. The turnaround time for stat samples was 1 h. Pre- and Postanalytical phases were found to contribute approximately 75% to the total TAT. The TAT demonstrates the need for improvement in the pre- and post-analytical periods. We need to tread the middle path to perform optimally according to clinician expectations.","container-title":"Indian Journal of Clinical Biochemistry","DOI":"10.1007/s12291-010-0056-4","ISSN":"0970-1915, 0974-0422","issue":"4","journalAbbreviation":"Ind J Clin Biochem","language":"en","page":"376-379","source":"DOI.org (Crossref)","title":"Turn Around Time (TAT) as a Benchmark of Laboratory Performance","volume":"25","author":[{"family":"Goswami","given":"Binita"},{"family":"Singh","given":"Bhawna"},{"family":"Chawla","given":"Ranjna"},{"family":"Gupta","given":"V. K."},{"family":"Mallika","given":"V."}],"issued":{"date-parts":[["2010",10]]}}}],"schema":"https://github.com/citation-style-language/schema/raw/master/csl-citation.json"}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[22</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Evidence have shown that pre-analytical phase of laboratory testing accounts for over 70% of the TAT. A study in Malawi, found that the absence of a molecular testing laboratory in the collection district, specimen type and testing laboratory appeared to contribute to longer TAT</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4gjc32nG","properties":{"formattedCitation":"(23)","plainCitation":"(23)","dontUpdate":true,"noteIndex":0},"citationItems":[{"id":75,"uris":["http://zotero.org/users/local/SeKuys62/items/5KPCBHCP"],"uri":["http://zotero.org/users/local/SeKuys62/items/5KPCBHCP"],"itemData":{"id":75,"type":"article-journal","container-title":"PLOS ONE","DOI":"10.1371/journal.pone.0173009","ISSN":"1932-6203","issue":"2","journalAbbreviation":"PLoS ONE","language":"en","page":"e0173009","source":"DOI.org (Crossref)","title":"Specimen origin, type and testing laboratory are linked to longer turnaround times for HIV viral load testing in Malawi","volume":"12","author":[{"family":"Minchella","given":"Peter A."},{"family":"Chipungu","given":"Geoffrey"},{"family":"Kim","given":"Andrea A."},{"family":"Sarr","given":"Abdoulaye"},{"family":"Ali","given":"Hammad"},{"family":"Mwenda","given":"Reuben"},{"family":"Nkengasong","given":"John N."},{"family":"Singer","given":"Daniel"}],"editor":[{"family":"Charpentier","given":"Charlotte"}],"issued":{"date-parts":[["2017",2,24]]}}}],"schema":"https://github.com/citation-style-language/schema/raw/master/csl-citation.json"}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[23</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xml:space="preserve">. </w:t>
      </w:r>
    </w:p>
    <w:p w14:paraId="0CAD1E7C" w14:textId="3D91DD8D"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Staff motivation level, competency, satisfaction, involvement among others</w:t>
      </w:r>
      <w:r w:rsidR="00517B1A" w:rsidRPr="00186647">
        <w:rPr>
          <w:rFonts w:ascii="Arial" w:hAnsi="Arial" w:cs="Arial"/>
          <w:sz w:val="24"/>
          <w:szCs w:val="24"/>
        </w:rPr>
        <w:t>,</w:t>
      </w:r>
      <w:r w:rsidRPr="00186647">
        <w:rPr>
          <w:rFonts w:ascii="Arial" w:hAnsi="Arial" w:cs="Arial"/>
          <w:sz w:val="24"/>
          <w:szCs w:val="24"/>
        </w:rPr>
        <w:t xml:space="preserve"> are some of the identified factors affecting TAT</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042E24" w:rsidRPr="00186647">
        <w:rPr>
          <w:rFonts w:ascii="Arial" w:hAnsi="Arial" w:cs="Arial"/>
          <w:sz w:val="24"/>
          <w:szCs w:val="24"/>
        </w:rPr>
        <w:instrText xml:space="preserve"> ADDIN ZOTERO_ITEM CSL_CITATION {"citationID":"TO4BULJ7","properties":{"formattedCitation":"(24)","plainCitation":"(24)","dontUpdate":true,"noteIndex":0},"citationItems":[{"id":138,"uris":["http://zotero.org/users/local/SeKuys62/items/IDH2KR7Y"],"uri":["http://zotero.org/users/local/SeKuys62/items/IDH2KR7Y"],"itemData":{"id":138,"type":"article-journal","abstract":"A key constraint to achieving the MDGs is the absence of a properly trained and motivated workforce. Loss of clinical staff from low and middle-income countries is crippling already fragile health care systems. Health worker retention is critical for health system performance and a key problem is how best to motivate and retain health workers. The authors undertook a systematic review to consolidate existing evidence on the impact of financial and non-financial incentives on motivation and retention.","container-title":"BMC Health Services Research","DOI":"10.1186/1472-6963-8-247","ISSN":"1472-6963","issue":"1","journalAbbreviation":"BMC Health Serv Res","language":"en","page":"247","source":"Springer Link","title":"Motivation and retention of health workers in developing countries: a systematic review","title-short":"Motivation and retention of health workers in developing countries","volume":"8","author":[{"family":"Willis-Shattuck","given":"Mischa"},{"family":"Bidwell","given":"Posy"},{"family":"Thomas","given":"Steve"},{"family":"Wyness","given":"Laura"},{"family":"Blaauw","given":"Duane"},{"family":"Ditlopo","given":"Prudence"}],"issued":{"date-parts":[["2008",12,4]]}}}],"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[24</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xml:space="preserve">. For instance, a 3PLs operator will prefer to go and pickup samples cumulatively from facilities within the same axis on a particular day rather than going every other day. Meanwhile, the samples would have been collected days before adding to the TAT for such samples. Corruption within the system is also a contributory factor as explained by some of the respondents. This can be seen in cases where the third-party companies employing riders that are less qualified so that they can be paid less, and in cases where they are supposed to buy a car to pool the samples to the PCR, they may use a motorcycle. </w:t>
      </w:r>
    </w:p>
    <w:p w14:paraId="5C216E35" w14:textId="29E98416" w:rsidR="00A408B0"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The implication of this study for practice and research is that the finding from this study points out the importance of assessing the time interval for viral load sample from time to time to make improvements as and when due. This could also help to identify and address some of the other factors that contribute to longer TAT. Some of the research gap observed were, the paucity in studies that assessed other factors that contributed to laboratory samples TAT in Nigeria. </w:t>
      </w:r>
    </w:p>
    <w:p w14:paraId="20F2E7D6" w14:textId="47A49720" w:rsidR="00A408B0" w:rsidRPr="00186647" w:rsidRDefault="00A408B0" w:rsidP="00F022CF">
      <w:pPr>
        <w:autoSpaceDE w:val="0"/>
        <w:autoSpaceDN w:val="0"/>
        <w:adjustRightInd w:val="0"/>
        <w:spacing w:after="160" w:line="360" w:lineRule="auto"/>
        <w:jc w:val="both"/>
        <w:rPr>
          <w:rFonts w:ascii="Arial Black" w:hAnsi="Arial Black" w:cs="Arial"/>
          <w:sz w:val="24"/>
          <w:szCs w:val="24"/>
        </w:rPr>
      </w:pPr>
      <w:r w:rsidRPr="00186647">
        <w:rPr>
          <w:rFonts w:ascii="Arial Black" w:hAnsi="Arial Black" w:cs="Arial"/>
          <w:sz w:val="24"/>
          <w:szCs w:val="24"/>
        </w:rPr>
        <w:lastRenderedPageBreak/>
        <w:t>Limitation</w:t>
      </w:r>
    </w:p>
    <w:p w14:paraId="40FB4870" w14:textId="7A0CA0B2" w:rsidR="00F022CF" w:rsidRPr="00186647" w:rsidRDefault="00A408B0"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The </w:t>
      </w:r>
      <w:r w:rsidR="00F022CF" w:rsidRPr="00186647">
        <w:rPr>
          <w:rFonts w:ascii="Arial" w:hAnsi="Arial" w:cs="Arial"/>
          <w:sz w:val="24"/>
          <w:szCs w:val="24"/>
        </w:rPr>
        <w:t xml:space="preserve">study used secondary data from facility registers and logs for the quantitative analysis. Unfortunately, if any vital information is missing in those logs, we would have missed it. If all information such as the date samples were sent from the health facility to the HUB and from the HUB, were recorded in the log, it would have probably given a more comprehensive data set. We are not sure if the extracted information overestimates the findings of this study. For the qualitative findings, there were possibilities of bias, as the researcher is a professional colleague with many of the respondents and might have agreed with some of the responses. Due to time constraints and the effects of the present COVID-19 pandemic data collection for one of the facilities was not completed. </w:t>
      </w:r>
    </w:p>
    <w:p w14:paraId="060108A6" w14:textId="7E7D10C3" w:rsidR="00320ABE" w:rsidRPr="00186647" w:rsidRDefault="00F022CF" w:rsidP="00320ABE">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Despite these limitations, this study also has notable strengths. To our knowledge, this is the first study to assess the difference in viral load samples TAT between Pre-3PLs and 3PLs era in Nigeria. The results could be useful to decision makers on ways to improve TAT.</w:t>
      </w:r>
    </w:p>
    <w:p w14:paraId="6998271F" w14:textId="77777777" w:rsidR="004E5217" w:rsidRPr="00186647" w:rsidRDefault="00D0343C" w:rsidP="004E5217">
      <w:pPr>
        <w:rPr>
          <w:rFonts w:ascii="Arial" w:hAnsi="Arial" w:cs="Arial"/>
          <w:b/>
          <w:sz w:val="24"/>
          <w:szCs w:val="24"/>
        </w:rPr>
      </w:pPr>
      <w:r w:rsidRPr="00186647">
        <w:rPr>
          <w:rFonts w:ascii="Arial" w:hAnsi="Arial" w:cs="Arial"/>
          <w:b/>
          <w:sz w:val="24"/>
          <w:szCs w:val="24"/>
        </w:rPr>
        <w:t>Conclusio</w:t>
      </w:r>
      <w:r w:rsidR="004E5217" w:rsidRPr="00186647">
        <w:rPr>
          <w:rFonts w:ascii="Arial" w:hAnsi="Arial" w:cs="Arial"/>
          <w:b/>
          <w:sz w:val="24"/>
          <w:szCs w:val="24"/>
        </w:rPr>
        <w:t>n</w:t>
      </w:r>
    </w:p>
    <w:p w14:paraId="7BF9CC28" w14:textId="51C3096B" w:rsidR="00186647" w:rsidRPr="00186647" w:rsidRDefault="005364AC" w:rsidP="00186647">
      <w:pPr>
        <w:spacing w:line="360" w:lineRule="auto"/>
        <w:jc w:val="both"/>
        <w:rPr>
          <w:rFonts w:ascii="Arial" w:hAnsi="Arial" w:cs="Arial"/>
          <w:b/>
          <w:sz w:val="24"/>
          <w:szCs w:val="24"/>
        </w:rPr>
      </w:pPr>
      <w:r w:rsidRPr="00186647">
        <w:rPr>
          <w:rFonts w:ascii="Arial" w:hAnsi="Arial" w:cs="Arial"/>
          <w:sz w:val="24"/>
          <w:szCs w:val="24"/>
        </w:rPr>
        <w:t>TAT reduced significantly from pre 3PLs to the present era of 3PLs. The continuous use of 3PLs should be encouraged as this could further ensure that more PLHIV will have their viral load test done and results received on time. This would help improve their treatment outcome and in the long run reduce the prevalence of HIV and bring an end to the HIV epidemic as a public health threat. Other factors that can affect TAT should be investigated. It is also noteworthy that continuous improvement of viral load testing and TAT, will help improve the management and quality of life of PLHIV in Ekiti state, and ultimately reduce the prevalence of HIV in Nigeria</w:t>
      </w:r>
    </w:p>
    <w:p w14:paraId="55F8B411" w14:textId="77777777" w:rsidR="005A59DF" w:rsidRPr="00186647" w:rsidRDefault="005A59DF" w:rsidP="005A59DF">
      <w:pPr>
        <w:rPr>
          <w:rFonts w:ascii="Arial" w:hAnsi="Arial" w:cs="Arial"/>
          <w:sz w:val="24"/>
          <w:szCs w:val="24"/>
        </w:rPr>
      </w:pPr>
      <w:r w:rsidRPr="00186647">
        <w:rPr>
          <w:rFonts w:ascii="Arial" w:hAnsi="Arial" w:cs="Arial"/>
          <w:b/>
          <w:sz w:val="24"/>
          <w:szCs w:val="24"/>
        </w:rPr>
        <w:t>What is already know on this topic</w:t>
      </w:r>
    </w:p>
    <w:p w14:paraId="49630EC8" w14:textId="609DF549" w:rsidR="00042E24" w:rsidRPr="00186647" w:rsidRDefault="00155114" w:rsidP="004F0DD8">
      <w:pPr>
        <w:pStyle w:val="ListParagraph"/>
        <w:numPr>
          <w:ilvl w:val="0"/>
          <w:numId w:val="2"/>
        </w:numPr>
        <w:rPr>
          <w:rFonts w:ascii="Arial" w:hAnsi="Arial" w:cs="Arial"/>
          <w:b/>
          <w:sz w:val="24"/>
          <w:szCs w:val="24"/>
        </w:rPr>
      </w:pPr>
      <w:r w:rsidRPr="00186647">
        <w:rPr>
          <w:rFonts w:ascii="Arial" w:hAnsi="Arial" w:cs="Arial"/>
          <w:color w:val="000000" w:themeColor="text1"/>
          <w:sz w:val="24"/>
          <w:szCs w:val="24"/>
        </w:rPr>
        <w:t>Viral Load (VL) testing is the gold standard for HIV treatment monitoring. Timely and periodic VL tests are the most accurate way of determining whether ART is working to suppress replication of the virus</w:t>
      </w:r>
      <w:r w:rsidR="00042E24" w:rsidRPr="00186647">
        <w:rPr>
          <w:rFonts w:ascii="Arial" w:hAnsi="Arial" w:cs="Arial"/>
          <w:color w:val="000000" w:themeColor="text1"/>
          <w:sz w:val="24"/>
          <w:szCs w:val="24"/>
        </w:rPr>
        <w:t>.</w:t>
      </w:r>
    </w:p>
    <w:p w14:paraId="5A6B96EC" w14:textId="77777777" w:rsidR="00042E24" w:rsidRPr="00186647" w:rsidRDefault="00155114" w:rsidP="004F0DD8">
      <w:pPr>
        <w:pStyle w:val="ListParagraph"/>
        <w:numPr>
          <w:ilvl w:val="0"/>
          <w:numId w:val="2"/>
        </w:numPr>
        <w:rPr>
          <w:rFonts w:ascii="Arial" w:hAnsi="Arial" w:cs="Arial"/>
          <w:b/>
          <w:sz w:val="24"/>
          <w:szCs w:val="24"/>
        </w:rPr>
      </w:pPr>
      <w:r w:rsidRPr="00186647">
        <w:rPr>
          <w:rFonts w:ascii="Arial" w:hAnsi="Arial" w:cs="Arial"/>
          <w:sz w:val="24"/>
          <w:szCs w:val="24"/>
        </w:rPr>
        <w:t xml:space="preserve">A joint planning and assessment committee identified gaps in the sample referral system for prioritization and intervention and piloted the system in Addis Ababa and Amhara Region. The PPP established standardized, streamlined specimen logistics, using the Ethiopian Postal Service Enterprise to support a laboratory network in which 554 facilities referred specimens to </w:t>
      </w:r>
      <w:r w:rsidRPr="00186647">
        <w:rPr>
          <w:rFonts w:ascii="Arial" w:hAnsi="Arial" w:cs="Arial"/>
          <w:sz w:val="24"/>
          <w:szCs w:val="24"/>
        </w:rPr>
        <w:lastRenderedPageBreak/>
        <w:t>160 laboratories. The PPP supported procuring 400 standard specimen containers and the training of 586 laboratory personnel and 81 postal workers. The average TAT was reduced from 7 days to 2 days in Addis Ababa and from 10 days to 5 days in Amhara Region</w:t>
      </w:r>
    </w:p>
    <w:p w14:paraId="64B01AAC" w14:textId="7DFC7D9B" w:rsidR="00155114" w:rsidRPr="00186647" w:rsidRDefault="00155114" w:rsidP="00042E24">
      <w:pPr>
        <w:pStyle w:val="ListParagraph"/>
        <w:rPr>
          <w:rFonts w:ascii="Arial" w:hAnsi="Arial" w:cs="Arial"/>
          <w:b/>
          <w:sz w:val="24"/>
          <w:szCs w:val="24"/>
        </w:rPr>
      </w:pPr>
      <w:r w:rsidRPr="00186647">
        <w:rPr>
          <w:rFonts w:ascii="Arial" w:hAnsi="Arial" w:cs="Arial"/>
          <w:sz w:val="24"/>
          <w:szCs w:val="24"/>
        </w:rPr>
        <w:t xml:space="preserve">    </w:t>
      </w:r>
    </w:p>
    <w:p w14:paraId="613FDA8B" w14:textId="77777777" w:rsidR="005A59DF" w:rsidRPr="00186647" w:rsidRDefault="005A59DF">
      <w:pPr>
        <w:rPr>
          <w:rFonts w:ascii="Arial" w:hAnsi="Arial" w:cs="Arial"/>
          <w:sz w:val="24"/>
          <w:szCs w:val="24"/>
        </w:rPr>
      </w:pPr>
      <w:r w:rsidRPr="00186647">
        <w:rPr>
          <w:rFonts w:ascii="Arial" w:hAnsi="Arial" w:cs="Arial"/>
          <w:b/>
          <w:sz w:val="24"/>
          <w:szCs w:val="24"/>
        </w:rPr>
        <w:t>What this study adds</w:t>
      </w:r>
    </w:p>
    <w:p w14:paraId="593FF3A6" w14:textId="1BFFB041" w:rsidR="00155114" w:rsidRPr="00186647" w:rsidRDefault="00155114" w:rsidP="00155114">
      <w:pPr>
        <w:rPr>
          <w:rFonts w:ascii="Arial" w:hAnsi="Arial" w:cs="Arial"/>
          <w:sz w:val="24"/>
          <w:szCs w:val="24"/>
        </w:rPr>
      </w:pPr>
      <w:r w:rsidRPr="00186647">
        <w:rPr>
          <w:rFonts w:ascii="Arial" w:hAnsi="Arial" w:cs="Arial"/>
          <w:sz w:val="24"/>
          <w:szCs w:val="24"/>
        </w:rPr>
        <w:t>The</w:t>
      </w:r>
      <w:r w:rsidR="007F57DD" w:rsidRPr="00186647">
        <w:rPr>
          <w:rFonts w:ascii="Arial" w:hAnsi="Arial" w:cs="Arial"/>
          <w:sz w:val="24"/>
          <w:szCs w:val="24"/>
        </w:rPr>
        <w:t>re are</w:t>
      </w:r>
      <w:r w:rsidRPr="00186647">
        <w:rPr>
          <w:rFonts w:ascii="Arial" w:hAnsi="Arial" w:cs="Arial"/>
          <w:sz w:val="24"/>
          <w:szCs w:val="24"/>
        </w:rPr>
        <w:t xml:space="preserve"> many other factors that affect the TAT of laboratory testing</w:t>
      </w:r>
      <w:r w:rsidR="007F57DD" w:rsidRPr="00186647">
        <w:rPr>
          <w:rFonts w:ascii="Arial" w:hAnsi="Arial" w:cs="Arial"/>
          <w:sz w:val="24"/>
          <w:szCs w:val="24"/>
        </w:rPr>
        <w:t xml:space="preserve"> of clinical specimen</w:t>
      </w:r>
      <w:r w:rsidRPr="00186647">
        <w:rPr>
          <w:rFonts w:ascii="Arial" w:hAnsi="Arial" w:cs="Arial"/>
          <w:sz w:val="24"/>
          <w:szCs w:val="24"/>
        </w:rPr>
        <w:t>, this is not specific to Viral load testing.</w:t>
      </w:r>
    </w:p>
    <w:p w14:paraId="60526CC9" w14:textId="2807E642" w:rsidR="00042E24" w:rsidRPr="00186647" w:rsidRDefault="00155114" w:rsidP="00186647">
      <w:pPr>
        <w:pStyle w:val="ListParagraph"/>
        <w:numPr>
          <w:ilvl w:val="0"/>
          <w:numId w:val="3"/>
        </w:numPr>
        <w:rPr>
          <w:rFonts w:ascii="Arial" w:hAnsi="Arial" w:cs="Arial"/>
          <w:sz w:val="24"/>
          <w:szCs w:val="24"/>
        </w:rPr>
      </w:pPr>
      <w:r w:rsidRPr="00186647">
        <w:rPr>
          <w:rFonts w:ascii="Arial" w:hAnsi="Arial" w:cs="Arial"/>
          <w:sz w:val="24"/>
          <w:szCs w:val="24"/>
        </w:rPr>
        <w:t xml:space="preserve">It further elaborates the importance of conducting regular evaluation on the projects </w:t>
      </w:r>
      <w:r w:rsidR="007F57DD" w:rsidRPr="00186647">
        <w:rPr>
          <w:rFonts w:ascii="Arial" w:hAnsi="Arial" w:cs="Arial"/>
          <w:sz w:val="24"/>
          <w:szCs w:val="24"/>
        </w:rPr>
        <w:t>being implemented</w:t>
      </w:r>
      <w:r w:rsidRPr="00186647">
        <w:rPr>
          <w:rFonts w:ascii="Arial" w:hAnsi="Arial" w:cs="Arial"/>
          <w:sz w:val="24"/>
          <w:szCs w:val="24"/>
        </w:rPr>
        <w:t xml:space="preserve"> to improve health.</w:t>
      </w:r>
    </w:p>
    <w:p w14:paraId="1A70C7D6" w14:textId="0BE70147" w:rsidR="00D0343C" w:rsidRDefault="00D0343C">
      <w:pPr>
        <w:rPr>
          <w:rFonts w:ascii="Arial" w:hAnsi="Arial" w:cs="Arial"/>
          <w:b/>
          <w:sz w:val="24"/>
          <w:szCs w:val="24"/>
        </w:rPr>
      </w:pPr>
      <w:bookmarkStart w:id="2" w:name="_GoBack"/>
      <w:bookmarkEnd w:id="2"/>
    </w:p>
    <w:p w14:paraId="2696CB66" w14:textId="77777777" w:rsidR="00186647" w:rsidRPr="00186647" w:rsidRDefault="00186647">
      <w:pPr>
        <w:rPr>
          <w:rFonts w:ascii="Arial" w:hAnsi="Arial" w:cs="Arial"/>
          <w:b/>
          <w:sz w:val="24"/>
          <w:szCs w:val="24"/>
        </w:rPr>
      </w:pPr>
    </w:p>
    <w:p w14:paraId="67764685" w14:textId="31464A26" w:rsidR="00A64F39" w:rsidRPr="00186647" w:rsidRDefault="00A64F39" w:rsidP="005364AC">
      <w:pPr>
        <w:spacing w:before="120" w:after="120" w:line="360" w:lineRule="auto"/>
        <w:rPr>
          <w:rFonts w:ascii="Arial" w:hAnsi="Arial" w:cs="Arial"/>
          <w:b/>
          <w:bCs/>
          <w:color w:val="000000" w:themeColor="text1"/>
          <w:sz w:val="24"/>
          <w:szCs w:val="24"/>
        </w:rPr>
      </w:pPr>
    </w:p>
    <w:p w14:paraId="53B92A32" w14:textId="77777777" w:rsidR="005364AC" w:rsidRPr="00186647" w:rsidRDefault="005364AC" w:rsidP="005364AC">
      <w:pPr>
        <w:autoSpaceDE w:val="0"/>
        <w:autoSpaceDN w:val="0"/>
        <w:adjustRightInd w:val="0"/>
        <w:spacing w:after="0" w:line="360" w:lineRule="auto"/>
        <w:jc w:val="both"/>
        <w:rPr>
          <w:rFonts w:ascii="Arial" w:hAnsi="Arial" w:cs="Arial"/>
          <w:b/>
          <w:color w:val="000000" w:themeColor="text1"/>
          <w:sz w:val="24"/>
          <w:szCs w:val="24"/>
        </w:rPr>
      </w:pPr>
      <w:r w:rsidRPr="00186647">
        <w:rPr>
          <w:rFonts w:ascii="Arial" w:hAnsi="Arial" w:cs="Arial"/>
          <w:b/>
          <w:color w:val="000000" w:themeColor="text1"/>
          <w:sz w:val="24"/>
          <w:szCs w:val="24"/>
        </w:rPr>
        <w:t>List of figures</w:t>
      </w:r>
    </w:p>
    <w:p w14:paraId="778D45D3" w14:textId="30495900" w:rsidR="00A64F39" w:rsidRPr="00186647" w:rsidRDefault="00A64F39">
      <w:pPr>
        <w:pStyle w:val="TableofFigures"/>
        <w:tabs>
          <w:tab w:val="right" w:leader="dot" w:pos="9016"/>
        </w:tabs>
        <w:rPr>
          <w:rFonts w:asciiTheme="minorHAnsi" w:eastAsiaTheme="minorEastAsia" w:hAnsiTheme="minorHAnsi" w:cstheme="minorBidi"/>
          <w:noProof/>
          <w:sz w:val="24"/>
          <w:szCs w:val="24"/>
        </w:rPr>
      </w:pPr>
      <w:r w:rsidRPr="00186647">
        <w:rPr>
          <w:rFonts w:cs="Arial"/>
          <w:b/>
          <w:color w:val="000000" w:themeColor="text1"/>
          <w:sz w:val="24"/>
          <w:szCs w:val="24"/>
        </w:rPr>
        <w:fldChar w:fldCharType="begin"/>
      </w:r>
      <w:r w:rsidRPr="00186647">
        <w:rPr>
          <w:rFonts w:cs="Arial"/>
          <w:b/>
          <w:color w:val="000000" w:themeColor="text1"/>
          <w:sz w:val="24"/>
          <w:szCs w:val="24"/>
        </w:rPr>
        <w:instrText xml:space="preserve"> TOC \h \z \c "Figure" </w:instrText>
      </w:r>
      <w:r w:rsidRPr="00186647">
        <w:rPr>
          <w:rFonts w:cs="Arial"/>
          <w:b/>
          <w:color w:val="000000" w:themeColor="text1"/>
          <w:sz w:val="24"/>
          <w:szCs w:val="24"/>
        </w:rPr>
        <w:fldChar w:fldCharType="separate"/>
      </w:r>
      <w:hyperlink w:anchor="_Toc70508860" w:history="1">
        <w:r w:rsidRPr="00186647">
          <w:rPr>
            <w:rStyle w:val="Hyperlink"/>
            <w:noProof/>
            <w:sz w:val="24"/>
            <w:szCs w:val="24"/>
          </w:rPr>
          <w:t>Figure 1 MEAN TAT COMPARISON</w:t>
        </w:r>
        <w:r w:rsidRPr="00186647">
          <w:rPr>
            <w:noProof/>
            <w:webHidden/>
            <w:sz w:val="24"/>
            <w:szCs w:val="24"/>
          </w:rPr>
          <w:tab/>
        </w:r>
        <w:r w:rsidRPr="00186647">
          <w:rPr>
            <w:noProof/>
            <w:webHidden/>
            <w:sz w:val="24"/>
            <w:szCs w:val="24"/>
          </w:rPr>
          <w:fldChar w:fldCharType="begin"/>
        </w:r>
        <w:r w:rsidRPr="00186647">
          <w:rPr>
            <w:noProof/>
            <w:webHidden/>
            <w:sz w:val="24"/>
            <w:szCs w:val="24"/>
          </w:rPr>
          <w:instrText xml:space="preserve"> PAGEREF _Toc70508860 \h </w:instrText>
        </w:r>
        <w:r w:rsidRPr="00186647">
          <w:rPr>
            <w:noProof/>
            <w:webHidden/>
            <w:sz w:val="24"/>
            <w:szCs w:val="24"/>
          </w:rPr>
        </w:r>
        <w:r w:rsidRPr="00186647">
          <w:rPr>
            <w:noProof/>
            <w:webHidden/>
            <w:sz w:val="24"/>
            <w:szCs w:val="24"/>
          </w:rPr>
          <w:fldChar w:fldCharType="separate"/>
        </w:r>
        <w:r w:rsidRPr="00186647">
          <w:rPr>
            <w:noProof/>
            <w:webHidden/>
            <w:sz w:val="24"/>
            <w:szCs w:val="24"/>
          </w:rPr>
          <w:t>24</w:t>
        </w:r>
        <w:r w:rsidRPr="00186647">
          <w:rPr>
            <w:noProof/>
            <w:webHidden/>
            <w:sz w:val="24"/>
            <w:szCs w:val="24"/>
          </w:rPr>
          <w:fldChar w:fldCharType="end"/>
        </w:r>
      </w:hyperlink>
    </w:p>
    <w:p w14:paraId="4926A18E" w14:textId="0205E1E6" w:rsidR="007349C5" w:rsidRPr="00186647" w:rsidRDefault="00A64F39">
      <w:pPr>
        <w:rPr>
          <w:rFonts w:ascii="Arial" w:hAnsi="Arial" w:cs="Arial"/>
          <w:b/>
          <w:color w:val="000000" w:themeColor="text1"/>
          <w:sz w:val="24"/>
          <w:szCs w:val="24"/>
        </w:rPr>
      </w:pPr>
      <w:r w:rsidRPr="00186647">
        <w:rPr>
          <w:rFonts w:ascii="Arial" w:hAnsi="Arial" w:cs="Arial"/>
          <w:b/>
          <w:color w:val="000000" w:themeColor="text1"/>
          <w:sz w:val="24"/>
          <w:szCs w:val="24"/>
        </w:rPr>
        <w:fldChar w:fldCharType="end"/>
      </w:r>
    </w:p>
    <w:p w14:paraId="360D5652" w14:textId="5BDFEB51" w:rsidR="005364AC" w:rsidRPr="00186647" w:rsidRDefault="00EC50AD">
      <w:pPr>
        <w:rPr>
          <w:rFonts w:ascii="Arial" w:hAnsi="Arial" w:cs="Arial"/>
          <w:b/>
          <w:color w:val="000000" w:themeColor="text1"/>
          <w:sz w:val="24"/>
          <w:szCs w:val="24"/>
        </w:rPr>
      </w:pPr>
      <w:r w:rsidRPr="00186647">
        <w:rPr>
          <w:rFonts w:ascii="Arial" w:hAnsi="Arial" w:cs="Arial"/>
          <w:b/>
          <w:sz w:val="24"/>
          <w:szCs w:val="24"/>
        </w:rPr>
        <w:t>References</w:t>
      </w:r>
    </w:p>
    <w:p w14:paraId="747A5AB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fldChar w:fldCharType="begin"/>
      </w:r>
      <w:r w:rsidRPr="00186647">
        <w:rPr>
          <w:rFonts w:ascii="Arial" w:hAnsi="Arial" w:cs="Arial"/>
          <w:sz w:val="24"/>
          <w:szCs w:val="24"/>
        </w:rPr>
        <w:instrText xml:space="preserve"> ADDIN ZOTERO_BIBL {"uncited":[],"omitted":[],"custom":[]} CSL_BIBLIOGRAPHY </w:instrText>
      </w:r>
      <w:r w:rsidRPr="00186647">
        <w:rPr>
          <w:rFonts w:ascii="Arial" w:hAnsi="Arial" w:cs="Arial"/>
          <w:sz w:val="24"/>
          <w:szCs w:val="24"/>
        </w:rPr>
        <w:fldChar w:fldCharType="separate"/>
      </w:r>
      <w:r w:rsidRPr="00186647">
        <w:rPr>
          <w:rFonts w:ascii="Arial" w:hAnsi="Arial" w:cs="Arial"/>
          <w:sz w:val="24"/>
          <w:szCs w:val="24"/>
        </w:rPr>
        <w:t xml:space="preserve">1. </w:t>
      </w:r>
      <w:r w:rsidRPr="00186647">
        <w:rPr>
          <w:rFonts w:ascii="Arial" w:hAnsi="Arial" w:cs="Arial"/>
          <w:sz w:val="24"/>
          <w:szCs w:val="24"/>
        </w:rPr>
        <w:tab/>
        <w:t xml:space="preserve">Bain LE, Nkoke C, Noubiap JJN. UNAIDS 90–90–90 targets to end the AIDS epidemic by 2020 are not realistic: comment on “Can the UNAIDS 90–90–90 target be achieved? A systematic analysis of national HIV treatment cascades.” BMJ Glob Health. 2017 Mar;2(2):e000227. </w:t>
      </w:r>
    </w:p>
    <w:p w14:paraId="14F5F54C"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 </w:t>
      </w:r>
      <w:r w:rsidRPr="00186647">
        <w:rPr>
          <w:rFonts w:ascii="Arial" w:hAnsi="Arial" w:cs="Arial"/>
          <w:sz w:val="24"/>
          <w:szCs w:val="24"/>
        </w:rPr>
        <w:tab/>
        <w:t xml:space="preserve">Awofala AA, Ogundele OE. HIV epidemiology in Nigeria. Saudi J Biol Sci. 2018 May;25(4):697–703. </w:t>
      </w:r>
    </w:p>
    <w:p w14:paraId="3AD012B1"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3. </w:t>
      </w:r>
      <w:r w:rsidRPr="00186647">
        <w:rPr>
          <w:rFonts w:ascii="Arial" w:hAnsi="Arial" w:cs="Arial"/>
          <w:sz w:val="24"/>
          <w:szCs w:val="24"/>
        </w:rPr>
        <w:tab/>
        <w:t>Global HIV &amp; AIDS statistics — 2019 fact sheet [Internet]. [cited 2020 Jun 25]. Available from: https://www.unaids.org/en/resources/fact-sheet</w:t>
      </w:r>
    </w:p>
    <w:p w14:paraId="5B69DEF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4. </w:t>
      </w:r>
      <w:r w:rsidRPr="00186647">
        <w:rPr>
          <w:rFonts w:ascii="Arial" w:hAnsi="Arial" w:cs="Arial"/>
          <w:sz w:val="24"/>
          <w:szCs w:val="24"/>
        </w:rPr>
        <w:tab/>
        <w:t>HIV and AIDS in Nigeria. Avert [Internet]. 2015 Jul 21 [cited 2020 Jun 29]; Available from: https://www.avert.org/professionals/hiv-around-world/sub-saharan-africa/nigeria</w:t>
      </w:r>
    </w:p>
    <w:p w14:paraId="079BEC06"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5. </w:t>
      </w:r>
      <w:r w:rsidRPr="00186647">
        <w:rPr>
          <w:rFonts w:ascii="Arial" w:hAnsi="Arial" w:cs="Arial"/>
          <w:sz w:val="24"/>
          <w:szCs w:val="24"/>
        </w:rPr>
        <w:tab/>
        <w:t xml:space="preserve">90-90-90: An ambitious treatment target to help end the AIDS epidemic. :40. </w:t>
      </w:r>
    </w:p>
    <w:p w14:paraId="03BA556F"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6. </w:t>
      </w:r>
      <w:r w:rsidRPr="00186647">
        <w:rPr>
          <w:rFonts w:ascii="Arial" w:hAnsi="Arial" w:cs="Arial"/>
          <w:sz w:val="24"/>
          <w:szCs w:val="24"/>
        </w:rPr>
        <w:tab/>
        <w:t xml:space="preserve">Mylonakis E, Paliou M, Rich JD. Plasma Viral Load Testing in the Management of HIV Infection. 2001;63(3):8. </w:t>
      </w:r>
    </w:p>
    <w:p w14:paraId="1E6C4018"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7. </w:t>
      </w:r>
      <w:r w:rsidRPr="00186647">
        <w:rPr>
          <w:rFonts w:ascii="Arial" w:hAnsi="Arial" w:cs="Arial"/>
          <w:sz w:val="24"/>
          <w:szCs w:val="24"/>
        </w:rPr>
        <w:tab/>
        <w:t>Laboratory Systems [Internet]. Global Health Security Agenda. 2020 [cited 2020 Jun 29]. Available from: https://ghsagenda.org/laboratory-systems/</w:t>
      </w:r>
    </w:p>
    <w:p w14:paraId="39E3981C"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lastRenderedPageBreak/>
        <w:t xml:space="preserve">8. </w:t>
      </w:r>
      <w:r w:rsidRPr="00186647">
        <w:rPr>
          <w:rFonts w:ascii="Arial" w:hAnsi="Arial" w:cs="Arial"/>
          <w:sz w:val="24"/>
          <w:szCs w:val="24"/>
        </w:rPr>
        <w:tab/>
        <w:t>CDC Global Health - Global Health Security Agenda: Action Packages [Internet]. 2019 [cited 2020 Jun 29]. Available from: https://www.cdc.gov/globalhealth/security/actionpackages/default.htm</w:t>
      </w:r>
    </w:p>
    <w:p w14:paraId="6B4F3745"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9. </w:t>
      </w:r>
      <w:r w:rsidRPr="00186647">
        <w:rPr>
          <w:rFonts w:ascii="Arial" w:hAnsi="Arial" w:cs="Arial"/>
          <w:sz w:val="24"/>
          <w:szCs w:val="24"/>
        </w:rPr>
        <w:tab/>
        <w:t xml:space="preserve">Faruna T, Akintunde E, Odelola B. Leveraging private sector transportation/logistics services to improve the National Integrated Specimen Referral Network in Nigeria. 2019;13. </w:t>
      </w:r>
    </w:p>
    <w:p w14:paraId="59084EBF"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10. </w:t>
      </w:r>
      <w:r w:rsidRPr="00186647">
        <w:rPr>
          <w:rFonts w:ascii="Arial" w:hAnsi="Arial" w:cs="Arial"/>
          <w:sz w:val="24"/>
          <w:szCs w:val="24"/>
        </w:rPr>
        <w:tab/>
        <w:t xml:space="preserve">Alemnji G, Fonjungo P, Van Der Pol B, Peter T, Kantor R, Nkengasong J. The Centrality of Laboratory Services in the HIV Treatment and Prevention Cascade: The Need for Effective Linkages and Referrals in Resource-Limited Settings. AIDS Patient Care STDs. 2014 May;28(5):268–73. </w:t>
      </w:r>
    </w:p>
    <w:p w14:paraId="2EC1D8D1"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11. </w:t>
      </w:r>
      <w:r w:rsidRPr="00186647">
        <w:rPr>
          <w:rFonts w:ascii="Arial" w:hAnsi="Arial" w:cs="Arial"/>
          <w:sz w:val="24"/>
          <w:szCs w:val="24"/>
        </w:rPr>
        <w:tab/>
        <w:t>HIV Prevalence Rate (By States) in Nigeria (2019/2020) [Internet]. NigerianWiki. 2019 [cited 2020 Jun 29]. Available from: https://nigerianwiki.xyz/hiv-prevalence-rate-by-states-nigeria-2019/</w:t>
      </w:r>
    </w:p>
    <w:p w14:paraId="5DA7A53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12. </w:t>
      </w:r>
      <w:r w:rsidRPr="00186647">
        <w:rPr>
          <w:rFonts w:ascii="Arial" w:hAnsi="Arial" w:cs="Arial"/>
          <w:sz w:val="24"/>
          <w:szCs w:val="24"/>
        </w:rPr>
        <w:tab/>
        <w:t xml:space="preserve">Kiyaga C, Sendagire H, Joseph E, McConnell I, Grosz J, Narayan V, et al. Uganda’s New National Laboratory Sample Transport System: A Successful Model for Improving Access to Diagnostic Services for Early Infant HIV Diagnosis and Other Programs. PLOS ONE. 2013 Nov 13;8(11):e78609. </w:t>
      </w:r>
    </w:p>
    <w:p w14:paraId="0379056C"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13. </w:t>
      </w:r>
      <w:r w:rsidRPr="00186647">
        <w:rPr>
          <w:rFonts w:ascii="Arial" w:hAnsi="Arial" w:cs="Arial"/>
          <w:sz w:val="24"/>
          <w:szCs w:val="24"/>
        </w:rPr>
        <w:tab/>
        <w:t xml:space="preserve">Kebede Y, Fonjungo PN, Tibesso G, Shrivastava R, Nkengasong JN, Kenyon T, et al. Improved Specimen-Referral System and Increased Access to Quality Laboratory Services in Ethiopia: The Role of the Public-Private Partnership. J Infect Dis. 2016 Apr 15;213(suppl 2):S59–64. </w:t>
      </w:r>
    </w:p>
    <w:p w14:paraId="54D1B1B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14. </w:t>
      </w:r>
      <w:r w:rsidRPr="00186647">
        <w:rPr>
          <w:rFonts w:ascii="Arial" w:hAnsi="Arial" w:cs="Arial"/>
          <w:sz w:val="24"/>
          <w:szCs w:val="24"/>
        </w:rPr>
        <w:tab/>
        <w:t xml:space="preserve">Faith AO, Adeiye AL, Paul AO, Felix O, Nwofe JO, Kaniki FR, et al. Impact of Sputum Samples Logistics Coordination on TB Diagnosis in Nigeria. :8. </w:t>
      </w:r>
    </w:p>
    <w:p w14:paraId="0B9A824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15. </w:t>
      </w:r>
      <w:r w:rsidRPr="00186647">
        <w:rPr>
          <w:rFonts w:ascii="Arial" w:hAnsi="Arial" w:cs="Arial"/>
          <w:sz w:val="24"/>
          <w:szCs w:val="24"/>
        </w:rPr>
        <w:tab/>
        <w:t xml:space="preserve">MALONI MJ, CARTER CR. Opportunities for Research in Third-Party Logistics. Transp J. 2006;45(2):23–38. </w:t>
      </w:r>
    </w:p>
    <w:p w14:paraId="4184D9B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16. </w:t>
      </w:r>
      <w:r w:rsidRPr="00186647">
        <w:rPr>
          <w:rFonts w:ascii="Arial" w:hAnsi="Arial" w:cs="Arial"/>
          <w:sz w:val="24"/>
          <w:szCs w:val="24"/>
        </w:rPr>
        <w:tab/>
        <w:t xml:space="preserve">Mathauer I, Imhoff I. Health worker motivation in Africa: the role of non-financial incentives and human resource management tools. Hum Resour Health. 2006 Aug 29;4(1):24. </w:t>
      </w:r>
    </w:p>
    <w:p w14:paraId="20A178AF"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17. </w:t>
      </w:r>
      <w:r w:rsidRPr="00186647">
        <w:rPr>
          <w:rFonts w:ascii="Arial" w:hAnsi="Arial" w:cs="Arial"/>
          <w:sz w:val="24"/>
          <w:szCs w:val="24"/>
        </w:rPr>
        <w:tab/>
        <w:t xml:space="preserve">Schneider H, Blaauw D, Gilson L, Chabikuli N, Goudge J. Health Systems and Access to Antiretroviral Drugs for HIV in Southern Africa: Service Delivery and Human Resources Challenges. Reprod Health Matters. 2006 May 1;14(27):12–23. </w:t>
      </w:r>
    </w:p>
    <w:p w14:paraId="6D9F8952"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18. </w:t>
      </w:r>
      <w:r w:rsidRPr="00186647">
        <w:rPr>
          <w:rFonts w:ascii="Arial" w:hAnsi="Arial" w:cs="Arial"/>
          <w:sz w:val="24"/>
          <w:szCs w:val="24"/>
        </w:rPr>
        <w:tab/>
        <w:t xml:space="preserve">Stotler BA, Kratz A. Determination of Turnaround Time in the Clinical Laboratory: “Accessioning-to-Result” Time Does Not Always Accurately Reflect Laboratory Performance. Am J Clin Pathol. 2012 Nov;138(5):724–9. </w:t>
      </w:r>
    </w:p>
    <w:p w14:paraId="1C63EE07"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19. </w:t>
      </w:r>
      <w:r w:rsidRPr="00186647">
        <w:rPr>
          <w:rFonts w:ascii="Arial" w:hAnsi="Arial" w:cs="Arial"/>
          <w:sz w:val="24"/>
          <w:szCs w:val="24"/>
        </w:rPr>
        <w:tab/>
        <w:t xml:space="preserve">Shiferaw MB, Yismaw G, Getachew H. Specimen rejections among referred specimens through referral network to the Amhara Public Health Institute for laboratory testing, Bahir Dar, Ethiopia. BMC Res Notes. 2018 Dec;11(1):781. </w:t>
      </w:r>
    </w:p>
    <w:p w14:paraId="40AF30ED"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lastRenderedPageBreak/>
        <w:t xml:space="preserve">20. </w:t>
      </w:r>
      <w:r w:rsidRPr="00186647">
        <w:rPr>
          <w:rFonts w:ascii="Arial" w:hAnsi="Arial" w:cs="Arial"/>
          <w:sz w:val="24"/>
          <w:szCs w:val="24"/>
        </w:rPr>
        <w:tab/>
        <w:t xml:space="preserve">Bhatt RD, Shrestha C, Risal P. Factors affecting turnaround time in the clinical laboratory of the Kathmandu University Hospital, Nepal. :11. </w:t>
      </w:r>
    </w:p>
    <w:p w14:paraId="1BF4B84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21. </w:t>
      </w:r>
      <w:r w:rsidRPr="00186647">
        <w:rPr>
          <w:rFonts w:ascii="Arial" w:hAnsi="Arial" w:cs="Arial"/>
          <w:sz w:val="24"/>
          <w:szCs w:val="24"/>
        </w:rPr>
        <w:tab/>
        <w:t xml:space="preserve">Shiferaw MB, Yismaw G. Magnitude of delayed turnaround time of laboratory results in Amhara Public Health Institute, Bahir Dar, Ethiopia. BMC Health Serv Res. 2019 Apr 24;19(1):240. </w:t>
      </w:r>
    </w:p>
    <w:p w14:paraId="164E873D"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22. </w:t>
      </w:r>
      <w:r w:rsidRPr="00186647">
        <w:rPr>
          <w:rFonts w:ascii="Arial" w:hAnsi="Arial" w:cs="Arial"/>
          <w:sz w:val="24"/>
          <w:szCs w:val="24"/>
        </w:rPr>
        <w:tab/>
        <w:t xml:space="preserve">Goswami B, Singh B, Chawla R, Gupta VK, Mallika V. Turn Around Time (TAT) as a Benchmark of Laboratory Performance. Indian J Clin Biochem. 2010 Oct;25(4):376–9. </w:t>
      </w:r>
    </w:p>
    <w:p w14:paraId="5DA6E3E8"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23. </w:t>
      </w:r>
      <w:r w:rsidRPr="00186647">
        <w:rPr>
          <w:rFonts w:ascii="Arial" w:hAnsi="Arial" w:cs="Arial"/>
          <w:sz w:val="24"/>
          <w:szCs w:val="24"/>
        </w:rPr>
        <w:tab/>
        <w:t xml:space="preserve">Minchella PA, Chipungu G, Kim AA, Sarr A, Ali H, Mwenda R, et al. Specimen origin, type and testing laboratory are linked to longer turnaround times for HIV viral load testing in Malawi. Charpentier C, editor. PLOS ONE. 2017 Feb 24;12(2):e0173009. </w:t>
      </w:r>
    </w:p>
    <w:p w14:paraId="668236B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24. </w:t>
      </w:r>
      <w:r w:rsidRPr="00186647">
        <w:rPr>
          <w:rFonts w:ascii="Arial" w:hAnsi="Arial" w:cs="Arial"/>
          <w:sz w:val="24"/>
          <w:szCs w:val="24"/>
        </w:rPr>
        <w:tab/>
        <w:t xml:space="preserve">Willis-Shattuck M, Bidwell P, Thomas S, Wyness L, Blaauw D, Ditlopo P. Motivation and retention of health workers in developing countries: a systematic review. BMC Health Serv Res. 2008 Dec 4;8(1):247. </w:t>
      </w:r>
    </w:p>
    <w:p w14:paraId="170B840F" w14:textId="77777777" w:rsidR="00972739" w:rsidRPr="00186647" w:rsidRDefault="00042E24">
      <w:pPr>
        <w:rPr>
          <w:rFonts w:ascii="Arial" w:hAnsi="Arial" w:cs="Arial"/>
          <w:sz w:val="24"/>
          <w:szCs w:val="24"/>
        </w:rPr>
        <w:sectPr w:rsidR="00972739" w:rsidRPr="00186647" w:rsidSect="0097273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docGrid w:linePitch="360"/>
        </w:sectPr>
      </w:pPr>
      <w:r w:rsidRPr="00186647">
        <w:rPr>
          <w:rFonts w:ascii="Arial" w:hAnsi="Arial" w:cs="Arial"/>
          <w:sz w:val="24"/>
          <w:szCs w:val="24"/>
        </w:rPr>
        <w:fldChar w:fldCharType="end"/>
      </w:r>
    </w:p>
    <w:p w14:paraId="43E2A5CD" w14:textId="77777777" w:rsidR="00972739" w:rsidRPr="00186647" w:rsidRDefault="00972739" w:rsidP="00972739">
      <w:pPr>
        <w:rPr>
          <w:rFonts w:ascii="Arial" w:hAnsi="Arial" w:cs="Arial"/>
          <w:sz w:val="24"/>
          <w:szCs w:val="24"/>
        </w:rPr>
      </w:pPr>
    </w:p>
    <w:p w14:paraId="6BA95BCE" w14:textId="5438A668" w:rsidR="00135D5D" w:rsidRPr="00186647" w:rsidRDefault="00135D5D" w:rsidP="00135D5D">
      <w:pPr>
        <w:pStyle w:val="Caption"/>
        <w:keepNext/>
        <w:rPr>
          <w:sz w:val="24"/>
          <w:szCs w:val="24"/>
        </w:rPr>
      </w:pPr>
    </w:p>
    <w:tbl>
      <w:tblPr>
        <w:tblStyle w:val="TableGrid"/>
        <w:tblW w:w="14035" w:type="dxa"/>
        <w:tblLook w:val="04A0" w:firstRow="1" w:lastRow="0" w:firstColumn="1" w:lastColumn="0" w:noHBand="0" w:noVBand="1"/>
      </w:tblPr>
      <w:tblGrid>
        <w:gridCol w:w="5755"/>
        <w:gridCol w:w="2430"/>
        <w:gridCol w:w="3780"/>
        <w:gridCol w:w="2070"/>
      </w:tblGrid>
      <w:tr w:rsidR="00972739" w:rsidRPr="00186647" w14:paraId="4CF30F80" w14:textId="77777777" w:rsidTr="002B28F3">
        <w:trPr>
          <w:trHeight w:val="575"/>
        </w:trPr>
        <w:tc>
          <w:tcPr>
            <w:tcW w:w="5755" w:type="dxa"/>
            <w:tcBorders>
              <w:right w:val="nil"/>
            </w:tcBorders>
          </w:tcPr>
          <w:p w14:paraId="68FF70BA" w14:textId="0610E0DB" w:rsidR="00972739" w:rsidRPr="00186647" w:rsidRDefault="00135D5D" w:rsidP="004F0DD8">
            <w:pPr>
              <w:rPr>
                <w:rFonts w:ascii="Arial Black" w:hAnsi="Arial Black" w:cs="Arial"/>
                <w:b/>
                <w:bCs/>
                <w:color w:val="000000" w:themeColor="text1"/>
                <w:sz w:val="24"/>
                <w:szCs w:val="24"/>
                <w:u w:val="single"/>
              </w:rPr>
            </w:pPr>
            <w:bookmarkStart w:id="3" w:name="_Toc70508839"/>
            <w:r w:rsidRPr="00186647">
              <w:rPr>
                <w:rFonts w:ascii="Arial Black" w:hAnsi="Arial Black"/>
                <w:sz w:val="24"/>
                <w:szCs w:val="24"/>
              </w:rPr>
              <w:t xml:space="preserve">Table </w:t>
            </w:r>
            <w:r w:rsidRPr="00186647">
              <w:rPr>
                <w:rFonts w:ascii="Arial Black" w:hAnsi="Arial Black"/>
                <w:sz w:val="24"/>
                <w:szCs w:val="24"/>
              </w:rPr>
              <w:fldChar w:fldCharType="begin"/>
            </w:r>
            <w:r w:rsidRPr="00186647">
              <w:rPr>
                <w:rFonts w:ascii="Arial Black" w:hAnsi="Arial Black"/>
                <w:sz w:val="24"/>
                <w:szCs w:val="24"/>
              </w:rPr>
              <w:instrText xml:space="preserve"> SEQ Table \* ARABIC </w:instrText>
            </w:r>
            <w:r w:rsidRPr="00186647">
              <w:rPr>
                <w:rFonts w:ascii="Arial Black" w:hAnsi="Arial Black"/>
                <w:sz w:val="24"/>
                <w:szCs w:val="24"/>
              </w:rPr>
              <w:fldChar w:fldCharType="separate"/>
            </w:r>
            <w:r w:rsidR="00A64F39" w:rsidRPr="00186647">
              <w:rPr>
                <w:rFonts w:ascii="Arial Black" w:hAnsi="Arial Black"/>
                <w:noProof/>
                <w:sz w:val="24"/>
                <w:szCs w:val="24"/>
              </w:rPr>
              <w:t>1</w:t>
            </w:r>
            <w:r w:rsidRPr="00186647">
              <w:rPr>
                <w:rFonts w:ascii="Arial Black" w:hAnsi="Arial Black"/>
                <w:sz w:val="24"/>
                <w:szCs w:val="24"/>
              </w:rPr>
              <w:fldChar w:fldCharType="end"/>
            </w:r>
            <w:r w:rsidRPr="00186647">
              <w:rPr>
                <w:rFonts w:ascii="Arial Black" w:hAnsi="Arial Black"/>
                <w:sz w:val="24"/>
                <w:szCs w:val="24"/>
              </w:rPr>
              <w:t xml:space="preserve"> FACILITIES STUDIED</w:t>
            </w:r>
            <w:bookmarkEnd w:id="3"/>
          </w:p>
        </w:tc>
        <w:tc>
          <w:tcPr>
            <w:tcW w:w="2430" w:type="dxa"/>
            <w:tcBorders>
              <w:left w:val="nil"/>
              <w:right w:val="nil"/>
            </w:tcBorders>
          </w:tcPr>
          <w:p w14:paraId="2A9485CF" w14:textId="77777777" w:rsidR="00972739" w:rsidRPr="00186647" w:rsidRDefault="00972739" w:rsidP="004F0DD8">
            <w:pPr>
              <w:rPr>
                <w:rFonts w:cs="Arial"/>
                <w:b/>
                <w:bCs/>
                <w:color w:val="000000" w:themeColor="text1"/>
                <w:sz w:val="24"/>
                <w:szCs w:val="24"/>
              </w:rPr>
            </w:pPr>
          </w:p>
        </w:tc>
        <w:tc>
          <w:tcPr>
            <w:tcW w:w="3780" w:type="dxa"/>
            <w:tcBorders>
              <w:left w:val="nil"/>
              <w:right w:val="nil"/>
            </w:tcBorders>
          </w:tcPr>
          <w:p w14:paraId="1EDE21CE" w14:textId="77777777" w:rsidR="00972739" w:rsidRPr="00186647" w:rsidRDefault="00972739" w:rsidP="004F0DD8">
            <w:pPr>
              <w:rPr>
                <w:rFonts w:cs="Arial"/>
                <w:b/>
                <w:bCs/>
                <w:color w:val="000000" w:themeColor="text1"/>
                <w:sz w:val="24"/>
                <w:szCs w:val="24"/>
              </w:rPr>
            </w:pPr>
          </w:p>
        </w:tc>
        <w:tc>
          <w:tcPr>
            <w:tcW w:w="2070" w:type="dxa"/>
            <w:tcBorders>
              <w:left w:val="nil"/>
            </w:tcBorders>
          </w:tcPr>
          <w:p w14:paraId="4AC399E0" w14:textId="77777777" w:rsidR="00972739" w:rsidRPr="00186647" w:rsidRDefault="00972739" w:rsidP="004F0DD8">
            <w:pPr>
              <w:rPr>
                <w:rFonts w:cs="Arial"/>
                <w:b/>
                <w:bCs/>
                <w:color w:val="000000" w:themeColor="text1"/>
                <w:sz w:val="24"/>
                <w:szCs w:val="24"/>
              </w:rPr>
            </w:pPr>
          </w:p>
        </w:tc>
      </w:tr>
      <w:tr w:rsidR="00972739" w:rsidRPr="00186647" w14:paraId="5C5ADCD6" w14:textId="77777777" w:rsidTr="004F0DD8">
        <w:trPr>
          <w:trHeight w:val="683"/>
        </w:trPr>
        <w:tc>
          <w:tcPr>
            <w:tcW w:w="5755" w:type="dxa"/>
            <w:vAlign w:val="bottom"/>
          </w:tcPr>
          <w:p w14:paraId="23A67546"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Name</w:t>
            </w:r>
          </w:p>
        </w:tc>
        <w:tc>
          <w:tcPr>
            <w:tcW w:w="2430" w:type="dxa"/>
          </w:tcPr>
          <w:p w14:paraId="43EDB4C1"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Location</w:t>
            </w:r>
          </w:p>
        </w:tc>
        <w:tc>
          <w:tcPr>
            <w:tcW w:w="3780" w:type="dxa"/>
          </w:tcPr>
          <w:p w14:paraId="113C1E0B"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Ownership</w:t>
            </w:r>
          </w:p>
        </w:tc>
        <w:tc>
          <w:tcPr>
            <w:tcW w:w="2070" w:type="dxa"/>
          </w:tcPr>
          <w:p w14:paraId="4A593BE0"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Type</w:t>
            </w:r>
          </w:p>
        </w:tc>
      </w:tr>
      <w:tr w:rsidR="00972739" w:rsidRPr="00186647" w14:paraId="441583A6" w14:textId="77777777" w:rsidTr="004F0DD8">
        <w:trPr>
          <w:trHeight w:val="530"/>
        </w:trPr>
        <w:tc>
          <w:tcPr>
            <w:tcW w:w="5755" w:type="dxa"/>
          </w:tcPr>
          <w:p w14:paraId="24D6DD21"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Ekiti State University Teaching Hospital, Ado-Ekiti (EKSUTH) also the central HUB for the state.</w:t>
            </w:r>
          </w:p>
        </w:tc>
        <w:tc>
          <w:tcPr>
            <w:tcW w:w="2430" w:type="dxa"/>
          </w:tcPr>
          <w:p w14:paraId="61EDF73B"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Ekiti Central district</w:t>
            </w:r>
          </w:p>
        </w:tc>
        <w:tc>
          <w:tcPr>
            <w:tcW w:w="3780" w:type="dxa"/>
          </w:tcPr>
          <w:p w14:paraId="01326DC6"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 xml:space="preserve">State tertiary healthcare facility </w:t>
            </w:r>
          </w:p>
        </w:tc>
        <w:tc>
          <w:tcPr>
            <w:tcW w:w="2070" w:type="dxa"/>
          </w:tcPr>
          <w:p w14:paraId="06AA0885"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High load</w:t>
            </w:r>
          </w:p>
        </w:tc>
      </w:tr>
      <w:tr w:rsidR="00972739" w:rsidRPr="00186647" w14:paraId="0AC51A5B" w14:textId="77777777" w:rsidTr="004F0DD8">
        <w:tc>
          <w:tcPr>
            <w:tcW w:w="5755" w:type="dxa"/>
          </w:tcPr>
          <w:p w14:paraId="08685886"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 xml:space="preserve">General Hospital </w:t>
            </w:r>
            <w:proofErr w:type="spellStart"/>
            <w:r w:rsidRPr="00186647">
              <w:rPr>
                <w:rFonts w:cs="Arial"/>
                <w:color w:val="000000" w:themeColor="text1"/>
                <w:sz w:val="24"/>
                <w:szCs w:val="24"/>
              </w:rPr>
              <w:t>Emure</w:t>
            </w:r>
            <w:proofErr w:type="spellEnd"/>
            <w:r w:rsidRPr="00186647">
              <w:rPr>
                <w:rFonts w:cs="Arial"/>
                <w:color w:val="000000" w:themeColor="text1"/>
                <w:sz w:val="24"/>
                <w:szCs w:val="24"/>
              </w:rPr>
              <w:t xml:space="preserve"> Ekiti</w:t>
            </w:r>
          </w:p>
        </w:tc>
        <w:tc>
          <w:tcPr>
            <w:tcW w:w="2430" w:type="dxa"/>
          </w:tcPr>
          <w:p w14:paraId="2618BF68"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Ekiti South district</w:t>
            </w:r>
          </w:p>
        </w:tc>
        <w:tc>
          <w:tcPr>
            <w:tcW w:w="3780" w:type="dxa"/>
          </w:tcPr>
          <w:p w14:paraId="1E73D180"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State secondary healthcare facility</w:t>
            </w:r>
          </w:p>
        </w:tc>
        <w:tc>
          <w:tcPr>
            <w:tcW w:w="2070" w:type="dxa"/>
          </w:tcPr>
          <w:p w14:paraId="5C38D15F"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High load</w:t>
            </w:r>
          </w:p>
        </w:tc>
      </w:tr>
      <w:tr w:rsidR="00972739" w:rsidRPr="00186647" w14:paraId="78046399" w14:textId="77777777" w:rsidTr="004F0DD8">
        <w:trPr>
          <w:trHeight w:val="575"/>
        </w:trPr>
        <w:tc>
          <w:tcPr>
            <w:tcW w:w="5755" w:type="dxa"/>
          </w:tcPr>
          <w:p w14:paraId="4690DDAA"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Federal Teaching Hospital </w:t>
            </w:r>
            <w:proofErr w:type="spellStart"/>
            <w:r w:rsidRPr="00186647">
              <w:rPr>
                <w:rFonts w:cs="Arial"/>
                <w:color w:val="000000" w:themeColor="text1"/>
                <w:sz w:val="24"/>
                <w:szCs w:val="24"/>
              </w:rPr>
              <w:t>Ido</w:t>
            </w:r>
            <w:proofErr w:type="spellEnd"/>
            <w:r w:rsidRPr="00186647">
              <w:rPr>
                <w:rFonts w:cs="Arial"/>
                <w:color w:val="000000" w:themeColor="text1"/>
                <w:sz w:val="24"/>
                <w:szCs w:val="24"/>
              </w:rPr>
              <w:t>-Ekiti (FTHI)</w:t>
            </w:r>
          </w:p>
        </w:tc>
        <w:tc>
          <w:tcPr>
            <w:tcW w:w="2430" w:type="dxa"/>
          </w:tcPr>
          <w:p w14:paraId="3E949CF9"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North district</w:t>
            </w:r>
          </w:p>
        </w:tc>
        <w:tc>
          <w:tcPr>
            <w:tcW w:w="3780" w:type="dxa"/>
          </w:tcPr>
          <w:p w14:paraId="6656CA9B"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Federal government tertiary healthcare facility</w:t>
            </w:r>
          </w:p>
        </w:tc>
        <w:tc>
          <w:tcPr>
            <w:tcW w:w="2070" w:type="dxa"/>
          </w:tcPr>
          <w:p w14:paraId="2AA7877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High load</w:t>
            </w:r>
          </w:p>
        </w:tc>
      </w:tr>
      <w:tr w:rsidR="00972739" w:rsidRPr="00186647" w14:paraId="1FA3D5A3" w14:textId="77777777" w:rsidTr="004F0DD8">
        <w:tc>
          <w:tcPr>
            <w:tcW w:w="5755" w:type="dxa"/>
          </w:tcPr>
          <w:p w14:paraId="5B6DEB74"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State Specialist Hospital </w:t>
            </w:r>
            <w:proofErr w:type="spellStart"/>
            <w:r w:rsidRPr="00186647">
              <w:rPr>
                <w:rFonts w:cs="Arial"/>
                <w:color w:val="000000" w:themeColor="text1"/>
                <w:sz w:val="24"/>
                <w:szCs w:val="24"/>
              </w:rPr>
              <w:t>Ikere</w:t>
            </w:r>
            <w:proofErr w:type="spellEnd"/>
            <w:r w:rsidRPr="00186647">
              <w:rPr>
                <w:rFonts w:cs="Arial"/>
                <w:color w:val="000000" w:themeColor="text1"/>
                <w:sz w:val="24"/>
                <w:szCs w:val="24"/>
              </w:rPr>
              <w:t>-Ekiti</w:t>
            </w:r>
          </w:p>
        </w:tc>
        <w:tc>
          <w:tcPr>
            <w:tcW w:w="2430" w:type="dxa"/>
          </w:tcPr>
          <w:p w14:paraId="22EE992F"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South district</w:t>
            </w:r>
          </w:p>
        </w:tc>
        <w:tc>
          <w:tcPr>
            <w:tcW w:w="3780" w:type="dxa"/>
          </w:tcPr>
          <w:p w14:paraId="367763F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1D429D9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High load</w:t>
            </w:r>
          </w:p>
        </w:tc>
      </w:tr>
      <w:tr w:rsidR="00972739" w:rsidRPr="00186647" w14:paraId="12F84D11" w14:textId="77777777" w:rsidTr="004F0DD8">
        <w:tc>
          <w:tcPr>
            <w:tcW w:w="5755" w:type="dxa"/>
          </w:tcPr>
          <w:p w14:paraId="6B47A1C2"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 Gregory’s Hospital</w:t>
            </w:r>
          </w:p>
        </w:tc>
        <w:tc>
          <w:tcPr>
            <w:tcW w:w="2430" w:type="dxa"/>
          </w:tcPr>
          <w:p w14:paraId="36157D9F"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Central district</w:t>
            </w:r>
          </w:p>
        </w:tc>
        <w:tc>
          <w:tcPr>
            <w:tcW w:w="3780" w:type="dxa"/>
          </w:tcPr>
          <w:p w14:paraId="7181173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Private secondary healthcare facility</w:t>
            </w:r>
          </w:p>
        </w:tc>
        <w:tc>
          <w:tcPr>
            <w:tcW w:w="2070" w:type="dxa"/>
          </w:tcPr>
          <w:p w14:paraId="0063E29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High load</w:t>
            </w:r>
          </w:p>
        </w:tc>
      </w:tr>
      <w:tr w:rsidR="00972739" w:rsidRPr="00186647" w14:paraId="53C52897" w14:textId="77777777" w:rsidTr="004F0DD8">
        <w:tc>
          <w:tcPr>
            <w:tcW w:w="5755" w:type="dxa"/>
          </w:tcPr>
          <w:p w14:paraId="5AB13DF9"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State Specialist Hospital </w:t>
            </w:r>
            <w:proofErr w:type="spellStart"/>
            <w:r w:rsidRPr="00186647">
              <w:rPr>
                <w:rFonts w:cs="Arial"/>
                <w:color w:val="000000" w:themeColor="text1"/>
                <w:sz w:val="24"/>
                <w:szCs w:val="24"/>
              </w:rPr>
              <w:t>Ijero</w:t>
            </w:r>
            <w:proofErr w:type="spellEnd"/>
            <w:r w:rsidRPr="00186647">
              <w:rPr>
                <w:rFonts w:cs="Arial"/>
                <w:color w:val="000000" w:themeColor="text1"/>
                <w:sz w:val="24"/>
                <w:szCs w:val="24"/>
              </w:rPr>
              <w:t>-Ekiti</w:t>
            </w:r>
          </w:p>
        </w:tc>
        <w:tc>
          <w:tcPr>
            <w:tcW w:w="2430" w:type="dxa"/>
          </w:tcPr>
          <w:p w14:paraId="5CA3558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Central district.</w:t>
            </w:r>
          </w:p>
        </w:tc>
        <w:tc>
          <w:tcPr>
            <w:tcW w:w="3780" w:type="dxa"/>
          </w:tcPr>
          <w:p w14:paraId="0114E07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18F395C3"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Low load</w:t>
            </w:r>
          </w:p>
        </w:tc>
      </w:tr>
      <w:tr w:rsidR="00972739" w:rsidRPr="00186647" w14:paraId="67D0E1FA" w14:textId="77777777" w:rsidTr="004F0DD8">
        <w:tc>
          <w:tcPr>
            <w:tcW w:w="5755" w:type="dxa"/>
          </w:tcPr>
          <w:p w14:paraId="4DB30A8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Comprehensive Health Centre (CHC) </w:t>
            </w:r>
            <w:proofErr w:type="spellStart"/>
            <w:r w:rsidRPr="00186647">
              <w:rPr>
                <w:rFonts w:cs="Arial"/>
                <w:color w:val="000000" w:themeColor="text1"/>
                <w:sz w:val="24"/>
                <w:szCs w:val="24"/>
              </w:rPr>
              <w:t>Ilawe</w:t>
            </w:r>
            <w:proofErr w:type="spellEnd"/>
            <w:r w:rsidRPr="00186647">
              <w:rPr>
                <w:rFonts w:cs="Arial"/>
                <w:color w:val="000000" w:themeColor="text1"/>
                <w:sz w:val="24"/>
                <w:szCs w:val="24"/>
              </w:rPr>
              <w:t xml:space="preserve"> Ekiti</w:t>
            </w:r>
          </w:p>
        </w:tc>
        <w:tc>
          <w:tcPr>
            <w:tcW w:w="2430" w:type="dxa"/>
          </w:tcPr>
          <w:p w14:paraId="68A79AC8"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South district</w:t>
            </w:r>
          </w:p>
        </w:tc>
        <w:tc>
          <w:tcPr>
            <w:tcW w:w="3780" w:type="dxa"/>
          </w:tcPr>
          <w:p w14:paraId="00E9DE4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Primary healthcare facility</w:t>
            </w:r>
          </w:p>
        </w:tc>
        <w:tc>
          <w:tcPr>
            <w:tcW w:w="2070" w:type="dxa"/>
          </w:tcPr>
          <w:p w14:paraId="2700E15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r w:rsidR="00972739" w:rsidRPr="00186647" w14:paraId="3C1BD569" w14:textId="77777777" w:rsidTr="004F0DD8">
        <w:tc>
          <w:tcPr>
            <w:tcW w:w="5755" w:type="dxa"/>
          </w:tcPr>
          <w:p w14:paraId="537A1B5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General Hospital </w:t>
            </w:r>
            <w:proofErr w:type="spellStart"/>
            <w:r w:rsidRPr="00186647">
              <w:rPr>
                <w:rFonts w:cs="Arial"/>
                <w:color w:val="000000" w:themeColor="text1"/>
                <w:sz w:val="24"/>
                <w:szCs w:val="24"/>
              </w:rPr>
              <w:t>Ifaki</w:t>
            </w:r>
            <w:proofErr w:type="spellEnd"/>
            <w:r w:rsidRPr="00186647">
              <w:rPr>
                <w:rFonts w:cs="Arial"/>
                <w:color w:val="000000" w:themeColor="text1"/>
                <w:sz w:val="24"/>
                <w:szCs w:val="24"/>
              </w:rPr>
              <w:t xml:space="preserve"> Ekiti</w:t>
            </w:r>
          </w:p>
        </w:tc>
        <w:tc>
          <w:tcPr>
            <w:tcW w:w="2430" w:type="dxa"/>
          </w:tcPr>
          <w:p w14:paraId="0E77766E"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North district</w:t>
            </w:r>
          </w:p>
        </w:tc>
        <w:tc>
          <w:tcPr>
            <w:tcW w:w="3780" w:type="dxa"/>
          </w:tcPr>
          <w:p w14:paraId="180718AE"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634A7FF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r w:rsidR="00972739" w:rsidRPr="00186647" w14:paraId="22D92A10" w14:textId="77777777" w:rsidTr="004F0DD8">
        <w:tc>
          <w:tcPr>
            <w:tcW w:w="5755" w:type="dxa"/>
          </w:tcPr>
          <w:p w14:paraId="12D6FD3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General Hospital </w:t>
            </w:r>
            <w:proofErr w:type="spellStart"/>
            <w:r w:rsidRPr="00186647">
              <w:rPr>
                <w:rFonts w:cs="Arial"/>
                <w:color w:val="000000" w:themeColor="text1"/>
                <w:sz w:val="24"/>
                <w:szCs w:val="24"/>
              </w:rPr>
              <w:t>Iyin</w:t>
            </w:r>
            <w:proofErr w:type="spellEnd"/>
            <w:r w:rsidRPr="00186647">
              <w:rPr>
                <w:rFonts w:cs="Arial"/>
                <w:color w:val="000000" w:themeColor="text1"/>
                <w:sz w:val="24"/>
                <w:szCs w:val="24"/>
              </w:rPr>
              <w:t xml:space="preserve"> Ekiti</w:t>
            </w:r>
          </w:p>
        </w:tc>
        <w:tc>
          <w:tcPr>
            <w:tcW w:w="2430" w:type="dxa"/>
          </w:tcPr>
          <w:p w14:paraId="5CBC887C"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Central district</w:t>
            </w:r>
          </w:p>
        </w:tc>
        <w:tc>
          <w:tcPr>
            <w:tcW w:w="3780" w:type="dxa"/>
          </w:tcPr>
          <w:p w14:paraId="47CCD9A8"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18C6EF5B"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r w:rsidR="00972739" w:rsidRPr="00186647" w14:paraId="1BF9C081" w14:textId="77777777" w:rsidTr="004F0DD8">
        <w:tc>
          <w:tcPr>
            <w:tcW w:w="5755" w:type="dxa"/>
          </w:tcPr>
          <w:p w14:paraId="002F5D8A"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 xml:space="preserve">General Hospital </w:t>
            </w:r>
            <w:proofErr w:type="spellStart"/>
            <w:r w:rsidRPr="00186647">
              <w:rPr>
                <w:rFonts w:cs="Arial"/>
                <w:color w:val="000000" w:themeColor="text1"/>
                <w:sz w:val="24"/>
                <w:szCs w:val="24"/>
              </w:rPr>
              <w:t>Oye</w:t>
            </w:r>
            <w:proofErr w:type="spellEnd"/>
            <w:r w:rsidRPr="00186647">
              <w:rPr>
                <w:rFonts w:cs="Arial"/>
                <w:color w:val="000000" w:themeColor="text1"/>
                <w:sz w:val="24"/>
                <w:szCs w:val="24"/>
              </w:rPr>
              <w:t>-Ekiti</w:t>
            </w:r>
          </w:p>
        </w:tc>
        <w:tc>
          <w:tcPr>
            <w:tcW w:w="2430" w:type="dxa"/>
          </w:tcPr>
          <w:p w14:paraId="342433AD"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North district</w:t>
            </w:r>
          </w:p>
        </w:tc>
        <w:tc>
          <w:tcPr>
            <w:tcW w:w="3780" w:type="dxa"/>
          </w:tcPr>
          <w:p w14:paraId="6BDF44B2"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6F5B488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bl>
    <w:p w14:paraId="7E69C9EE" w14:textId="77777777" w:rsidR="003860A2" w:rsidRPr="00186647" w:rsidRDefault="003860A2" w:rsidP="00972739">
      <w:pPr>
        <w:rPr>
          <w:rFonts w:ascii="Arial" w:hAnsi="Arial" w:cs="Arial"/>
          <w:sz w:val="24"/>
          <w:szCs w:val="24"/>
        </w:rPr>
      </w:pPr>
    </w:p>
    <w:p w14:paraId="2CBAD375" w14:textId="77777777" w:rsidR="00972739" w:rsidRPr="00186647" w:rsidRDefault="00972739" w:rsidP="00972739">
      <w:pPr>
        <w:rPr>
          <w:rFonts w:ascii="Arial" w:hAnsi="Arial" w:cs="Arial"/>
          <w:sz w:val="24"/>
          <w:szCs w:val="24"/>
        </w:rPr>
      </w:pPr>
    </w:p>
    <w:p w14:paraId="23CF7A8E" w14:textId="298BA7B0" w:rsidR="004F0DD8" w:rsidRPr="00186647" w:rsidRDefault="004F0DD8" w:rsidP="004F0DD8">
      <w:pPr>
        <w:pStyle w:val="Caption"/>
        <w:rPr>
          <w:rFonts w:cs="Arial"/>
          <w:i w:val="0"/>
          <w:iCs w:val="0"/>
          <w:color w:val="000000" w:themeColor="text1"/>
          <w:sz w:val="24"/>
          <w:szCs w:val="24"/>
        </w:rPr>
      </w:pPr>
    </w:p>
    <w:p w14:paraId="5B7EA010" w14:textId="196C8EF1" w:rsidR="004F0DD8" w:rsidRPr="00186647" w:rsidRDefault="004F0DD8" w:rsidP="00972739">
      <w:pPr>
        <w:rPr>
          <w:rFonts w:ascii="Arial" w:hAnsi="Arial" w:cs="Arial"/>
          <w:sz w:val="24"/>
          <w:szCs w:val="24"/>
        </w:rPr>
      </w:pPr>
    </w:p>
    <w:p w14:paraId="09EF4501" w14:textId="4190C10D" w:rsidR="00135D5D" w:rsidRPr="00186647" w:rsidRDefault="00135D5D" w:rsidP="00135D5D">
      <w:pPr>
        <w:pStyle w:val="Caption"/>
        <w:keepNext/>
        <w:rPr>
          <w:sz w:val="24"/>
          <w:szCs w:val="24"/>
        </w:rPr>
      </w:pPr>
    </w:p>
    <w:tbl>
      <w:tblPr>
        <w:tblpPr w:leftFromText="180" w:rightFromText="180" w:vertAnchor="text" w:horzAnchor="margin" w:tblpY="386"/>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232"/>
        <w:gridCol w:w="3600"/>
        <w:gridCol w:w="1350"/>
        <w:gridCol w:w="2790"/>
        <w:gridCol w:w="1350"/>
      </w:tblGrid>
      <w:tr w:rsidR="003860A2" w:rsidRPr="00186647" w14:paraId="54CBF029" w14:textId="77777777" w:rsidTr="003860A2">
        <w:trPr>
          <w:trHeight w:val="647"/>
        </w:trPr>
        <w:tc>
          <w:tcPr>
            <w:tcW w:w="14040" w:type="dxa"/>
            <w:gridSpan w:val="6"/>
            <w:shd w:val="clear" w:color="auto" w:fill="auto"/>
            <w:noWrap/>
            <w:vAlign w:val="center"/>
          </w:tcPr>
          <w:p w14:paraId="6005AD08" w14:textId="4BF7FCD5" w:rsidR="003860A2" w:rsidRPr="00186647" w:rsidRDefault="00A64F39" w:rsidP="003860A2">
            <w:pPr>
              <w:spacing w:after="0" w:line="240" w:lineRule="auto"/>
              <w:rPr>
                <w:rFonts w:ascii="Arial Black" w:eastAsia="Times New Roman" w:hAnsi="Arial Black" w:cs="Arial"/>
                <w:b/>
                <w:color w:val="000000"/>
                <w:sz w:val="24"/>
                <w:szCs w:val="24"/>
              </w:rPr>
            </w:pPr>
            <w:bookmarkStart w:id="4" w:name="_Toc70508840"/>
            <w:r w:rsidRPr="00186647">
              <w:rPr>
                <w:rFonts w:ascii="Arial Black" w:hAnsi="Arial Black"/>
                <w:sz w:val="24"/>
                <w:szCs w:val="24"/>
              </w:rPr>
              <w:t xml:space="preserve">Table </w:t>
            </w:r>
            <w:r w:rsidRPr="00186647">
              <w:rPr>
                <w:rFonts w:ascii="Arial Black" w:hAnsi="Arial Black"/>
                <w:sz w:val="24"/>
                <w:szCs w:val="24"/>
              </w:rPr>
              <w:fldChar w:fldCharType="begin"/>
            </w:r>
            <w:r w:rsidRPr="00186647">
              <w:rPr>
                <w:rFonts w:ascii="Arial Black" w:hAnsi="Arial Black"/>
                <w:sz w:val="24"/>
                <w:szCs w:val="24"/>
              </w:rPr>
              <w:instrText xml:space="preserve"> SEQ Table \* ARABIC </w:instrText>
            </w:r>
            <w:r w:rsidRPr="00186647">
              <w:rPr>
                <w:rFonts w:ascii="Arial Black" w:hAnsi="Arial Black"/>
                <w:sz w:val="24"/>
                <w:szCs w:val="24"/>
              </w:rPr>
              <w:fldChar w:fldCharType="separate"/>
            </w:r>
            <w:r w:rsidRPr="00186647">
              <w:rPr>
                <w:rFonts w:ascii="Arial Black" w:hAnsi="Arial Black"/>
                <w:noProof/>
                <w:sz w:val="24"/>
                <w:szCs w:val="24"/>
              </w:rPr>
              <w:t>2</w:t>
            </w:r>
            <w:r w:rsidRPr="00186647">
              <w:rPr>
                <w:rFonts w:ascii="Arial Black" w:hAnsi="Arial Black"/>
                <w:sz w:val="24"/>
                <w:szCs w:val="24"/>
              </w:rPr>
              <w:fldChar w:fldCharType="end"/>
            </w:r>
            <w:r w:rsidRPr="00186647">
              <w:rPr>
                <w:rFonts w:ascii="Arial Black" w:hAnsi="Arial Black"/>
                <w:sz w:val="24"/>
                <w:szCs w:val="24"/>
              </w:rPr>
              <w:t xml:space="preserve"> Mean TAT for each facility</w:t>
            </w:r>
            <w:bookmarkEnd w:id="4"/>
          </w:p>
        </w:tc>
      </w:tr>
      <w:tr w:rsidR="003860A2" w:rsidRPr="00186647" w14:paraId="75E4EB54" w14:textId="77777777" w:rsidTr="003860A2">
        <w:trPr>
          <w:trHeight w:val="683"/>
        </w:trPr>
        <w:tc>
          <w:tcPr>
            <w:tcW w:w="718" w:type="dxa"/>
            <w:shd w:val="clear" w:color="auto" w:fill="auto"/>
            <w:noWrap/>
            <w:vAlign w:val="center"/>
          </w:tcPr>
          <w:p w14:paraId="2EC93015" w14:textId="77777777" w:rsidR="003860A2" w:rsidRPr="00186647" w:rsidRDefault="003860A2" w:rsidP="003860A2">
            <w:pPr>
              <w:spacing w:after="0" w:line="240" w:lineRule="auto"/>
              <w:jc w:val="center"/>
              <w:rPr>
                <w:rFonts w:eastAsia="Times New Roman" w:cs="Arial"/>
                <w:b/>
                <w:bCs/>
                <w:color w:val="000000"/>
                <w:sz w:val="24"/>
                <w:szCs w:val="24"/>
              </w:rPr>
            </w:pPr>
            <w:r w:rsidRPr="00186647">
              <w:rPr>
                <w:rFonts w:eastAsia="Times New Roman" w:cs="Arial"/>
                <w:b/>
                <w:bCs/>
                <w:color w:val="000000"/>
                <w:sz w:val="24"/>
                <w:szCs w:val="24"/>
              </w:rPr>
              <w:t>S/N</w:t>
            </w:r>
          </w:p>
        </w:tc>
        <w:tc>
          <w:tcPr>
            <w:tcW w:w="4232" w:type="dxa"/>
            <w:shd w:val="clear" w:color="auto" w:fill="auto"/>
            <w:vAlign w:val="center"/>
          </w:tcPr>
          <w:p w14:paraId="774671A3" w14:textId="77777777" w:rsidR="003860A2" w:rsidRPr="00186647" w:rsidRDefault="003860A2" w:rsidP="003860A2">
            <w:pPr>
              <w:spacing w:after="0" w:line="240" w:lineRule="auto"/>
              <w:rPr>
                <w:rFonts w:ascii="Arial" w:eastAsia="Times New Roman" w:hAnsi="Arial" w:cs="Arial"/>
                <w:b/>
                <w:color w:val="000000"/>
                <w:sz w:val="24"/>
                <w:szCs w:val="24"/>
              </w:rPr>
            </w:pPr>
            <w:r w:rsidRPr="00186647">
              <w:rPr>
                <w:rFonts w:ascii="Arial" w:eastAsia="Times New Roman" w:hAnsi="Arial" w:cs="Arial"/>
                <w:b/>
                <w:color w:val="000000"/>
                <w:sz w:val="24"/>
                <w:szCs w:val="24"/>
              </w:rPr>
              <w:t xml:space="preserve"> Facility name</w:t>
            </w:r>
          </w:p>
        </w:tc>
        <w:tc>
          <w:tcPr>
            <w:tcW w:w="3600" w:type="dxa"/>
            <w:shd w:val="clear" w:color="auto" w:fill="auto"/>
            <w:vAlign w:val="center"/>
          </w:tcPr>
          <w:p w14:paraId="64827C83"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Mean TAT pre-3PLs</w:t>
            </w:r>
          </w:p>
        </w:tc>
        <w:tc>
          <w:tcPr>
            <w:tcW w:w="1350" w:type="dxa"/>
            <w:vAlign w:val="center"/>
          </w:tcPr>
          <w:p w14:paraId="7CEFA8FE"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SD</w:t>
            </w:r>
          </w:p>
        </w:tc>
        <w:tc>
          <w:tcPr>
            <w:tcW w:w="2790" w:type="dxa"/>
            <w:shd w:val="clear" w:color="auto" w:fill="auto"/>
            <w:vAlign w:val="center"/>
          </w:tcPr>
          <w:p w14:paraId="11331EB3"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Mean TAT 3PLs</w:t>
            </w:r>
          </w:p>
        </w:tc>
        <w:tc>
          <w:tcPr>
            <w:tcW w:w="1350" w:type="dxa"/>
            <w:vAlign w:val="center"/>
          </w:tcPr>
          <w:p w14:paraId="712D6768"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SD</w:t>
            </w:r>
          </w:p>
        </w:tc>
      </w:tr>
      <w:tr w:rsidR="003860A2" w:rsidRPr="00186647" w14:paraId="0CE49285" w14:textId="77777777" w:rsidTr="003860A2">
        <w:trPr>
          <w:trHeight w:val="315"/>
        </w:trPr>
        <w:tc>
          <w:tcPr>
            <w:tcW w:w="718" w:type="dxa"/>
            <w:shd w:val="clear" w:color="auto" w:fill="auto"/>
            <w:noWrap/>
            <w:vAlign w:val="bottom"/>
            <w:hideMark/>
          </w:tcPr>
          <w:p w14:paraId="6A24DABE"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1</w:t>
            </w:r>
          </w:p>
        </w:tc>
        <w:tc>
          <w:tcPr>
            <w:tcW w:w="4232" w:type="dxa"/>
            <w:shd w:val="clear" w:color="000000" w:fill="FFFFFF"/>
            <w:noWrap/>
            <w:vAlign w:val="center"/>
            <w:hideMark/>
          </w:tcPr>
          <w:p w14:paraId="22E89426"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EKSUTH</w:t>
            </w:r>
          </w:p>
        </w:tc>
        <w:tc>
          <w:tcPr>
            <w:tcW w:w="3600" w:type="dxa"/>
            <w:shd w:val="clear" w:color="auto" w:fill="auto"/>
            <w:noWrap/>
            <w:vAlign w:val="center"/>
            <w:hideMark/>
          </w:tcPr>
          <w:p w14:paraId="4F884993"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79.4</w:t>
            </w:r>
          </w:p>
        </w:tc>
        <w:tc>
          <w:tcPr>
            <w:tcW w:w="1350" w:type="dxa"/>
          </w:tcPr>
          <w:p w14:paraId="3A7B6917"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51.9</w:t>
            </w:r>
          </w:p>
        </w:tc>
        <w:tc>
          <w:tcPr>
            <w:tcW w:w="2790" w:type="dxa"/>
            <w:shd w:val="clear" w:color="auto" w:fill="auto"/>
            <w:noWrap/>
            <w:vAlign w:val="center"/>
            <w:hideMark/>
          </w:tcPr>
          <w:p w14:paraId="2B7B6548"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23.4</w:t>
            </w:r>
          </w:p>
        </w:tc>
        <w:tc>
          <w:tcPr>
            <w:tcW w:w="1350" w:type="dxa"/>
          </w:tcPr>
          <w:p w14:paraId="37E95166"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14.1</w:t>
            </w:r>
          </w:p>
        </w:tc>
      </w:tr>
      <w:tr w:rsidR="003860A2" w:rsidRPr="00186647" w14:paraId="304BFE3A" w14:textId="77777777" w:rsidTr="003860A2">
        <w:trPr>
          <w:trHeight w:val="315"/>
        </w:trPr>
        <w:tc>
          <w:tcPr>
            <w:tcW w:w="718" w:type="dxa"/>
            <w:shd w:val="clear" w:color="auto" w:fill="auto"/>
            <w:noWrap/>
            <w:vAlign w:val="bottom"/>
            <w:hideMark/>
          </w:tcPr>
          <w:p w14:paraId="37D5B156"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2</w:t>
            </w:r>
          </w:p>
        </w:tc>
        <w:tc>
          <w:tcPr>
            <w:tcW w:w="4232" w:type="dxa"/>
            <w:shd w:val="clear" w:color="000000" w:fill="FFFFFF"/>
            <w:noWrap/>
            <w:vAlign w:val="center"/>
            <w:hideMark/>
          </w:tcPr>
          <w:p w14:paraId="1C0112DA" w14:textId="77777777" w:rsidR="003860A2" w:rsidRPr="00186647" w:rsidRDefault="003860A2" w:rsidP="003860A2">
            <w:pPr>
              <w:spacing w:after="0" w:line="240" w:lineRule="auto"/>
              <w:rPr>
                <w:rFonts w:ascii="Arial" w:eastAsia="Times New Roman" w:hAnsi="Arial" w:cs="Arial"/>
                <w:bCs/>
                <w:color w:val="000000"/>
                <w:sz w:val="24"/>
                <w:szCs w:val="24"/>
              </w:rPr>
            </w:pPr>
            <w:proofErr w:type="spellStart"/>
            <w:r w:rsidRPr="00186647">
              <w:rPr>
                <w:rFonts w:ascii="Arial" w:eastAsia="Times New Roman" w:hAnsi="Arial" w:cs="Arial"/>
                <w:bCs/>
                <w:color w:val="000000"/>
                <w:sz w:val="24"/>
                <w:szCs w:val="24"/>
              </w:rPr>
              <w:t>Emure</w:t>
            </w:r>
            <w:proofErr w:type="spellEnd"/>
          </w:p>
        </w:tc>
        <w:tc>
          <w:tcPr>
            <w:tcW w:w="3600" w:type="dxa"/>
            <w:shd w:val="clear" w:color="auto" w:fill="auto"/>
            <w:noWrap/>
            <w:vAlign w:val="center"/>
            <w:hideMark/>
          </w:tcPr>
          <w:p w14:paraId="703CEA2B"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107.4</w:t>
            </w:r>
          </w:p>
        </w:tc>
        <w:tc>
          <w:tcPr>
            <w:tcW w:w="1350" w:type="dxa"/>
          </w:tcPr>
          <w:p w14:paraId="6BF05D9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82.3</w:t>
            </w:r>
          </w:p>
        </w:tc>
        <w:tc>
          <w:tcPr>
            <w:tcW w:w="2790" w:type="dxa"/>
            <w:shd w:val="clear" w:color="auto" w:fill="auto"/>
            <w:noWrap/>
            <w:vAlign w:val="center"/>
            <w:hideMark/>
          </w:tcPr>
          <w:p w14:paraId="7F427DE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29</w:t>
            </w:r>
          </w:p>
        </w:tc>
        <w:tc>
          <w:tcPr>
            <w:tcW w:w="1350" w:type="dxa"/>
          </w:tcPr>
          <w:p w14:paraId="34E42AD5"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18.5</w:t>
            </w:r>
          </w:p>
        </w:tc>
      </w:tr>
      <w:tr w:rsidR="003860A2" w:rsidRPr="00186647" w14:paraId="31AED599" w14:textId="77777777" w:rsidTr="003860A2">
        <w:trPr>
          <w:trHeight w:val="315"/>
        </w:trPr>
        <w:tc>
          <w:tcPr>
            <w:tcW w:w="718" w:type="dxa"/>
            <w:shd w:val="clear" w:color="auto" w:fill="auto"/>
            <w:noWrap/>
            <w:vAlign w:val="bottom"/>
            <w:hideMark/>
          </w:tcPr>
          <w:p w14:paraId="6E64D088"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3</w:t>
            </w:r>
          </w:p>
        </w:tc>
        <w:tc>
          <w:tcPr>
            <w:tcW w:w="4232" w:type="dxa"/>
            <w:shd w:val="clear" w:color="000000" w:fill="FFFFFF"/>
            <w:noWrap/>
            <w:vAlign w:val="center"/>
            <w:hideMark/>
          </w:tcPr>
          <w:p w14:paraId="2CA0ECF7"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FTHI</w:t>
            </w:r>
          </w:p>
        </w:tc>
        <w:tc>
          <w:tcPr>
            <w:tcW w:w="3600" w:type="dxa"/>
            <w:shd w:val="clear" w:color="auto" w:fill="auto"/>
            <w:noWrap/>
            <w:vAlign w:val="center"/>
            <w:hideMark/>
          </w:tcPr>
          <w:p w14:paraId="34AF8770"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97.7</w:t>
            </w:r>
          </w:p>
        </w:tc>
        <w:tc>
          <w:tcPr>
            <w:tcW w:w="1350" w:type="dxa"/>
          </w:tcPr>
          <w:p w14:paraId="4CEBA702"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66.0</w:t>
            </w:r>
          </w:p>
        </w:tc>
        <w:tc>
          <w:tcPr>
            <w:tcW w:w="2790" w:type="dxa"/>
            <w:shd w:val="clear" w:color="auto" w:fill="auto"/>
            <w:noWrap/>
            <w:vAlign w:val="center"/>
            <w:hideMark/>
          </w:tcPr>
          <w:p w14:paraId="0772D0F8"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30.6</w:t>
            </w:r>
          </w:p>
        </w:tc>
        <w:tc>
          <w:tcPr>
            <w:tcW w:w="1350" w:type="dxa"/>
          </w:tcPr>
          <w:p w14:paraId="5AC77A62"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30.1</w:t>
            </w:r>
          </w:p>
        </w:tc>
      </w:tr>
      <w:tr w:rsidR="003860A2" w:rsidRPr="00186647" w14:paraId="55B95CAC" w14:textId="77777777" w:rsidTr="003860A2">
        <w:trPr>
          <w:trHeight w:val="315"/>
        </w:trPr>
        <w:tc>
          <w:tcPr>
            <w:tcW w:w="718" w:type="dxa"/>
            <w:shd w:val="clear" w:color="auto" w:fill="auto"/>
            <w:noWrap/>
            <w:vAlign w:val="bottom"/>
            <w:hideMark/>
          </w:tcPr>
          <w:p w14:paraId="1B4519D0"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4</w:t>
            </w:r>
          </w:p>
        </w:tc>
        <w:tc>
          <w:tcPr>
            <w:tcW w:w="4232" w:type="dxa"/>
            <w:shd w:val="clear" w:color="000000" w:fill="FFFFFF"/>
            <w:noWrap/>
            <w:vAlign w:val="center"/>
            <w:hideMark/>
          </w:tcPr>
          <w:p w14:paraId="44FC0220" w14:textId="77777777" w:rsidR="003860A2" w:rsidRPr="00186647" w:rsidRDefault="003860A2" w:rsidP="003860A2">
            <w:pPr>
              <w:spacing w:after="0" w:line="240" w:lineRule="auto"/>
              <w:rPr>
                <w:rFonts w:ascii="Arial" w:eastAsia="Times New Roman" w:hAnsi="Arial" w:cs="Arial"/>
                <w:bCs/>
                <w:color w:val="000000"/>
                <w:sz w:val="24"/>
                <w:szCs w:val="24"/>
              </w:rPr>
            </w:pPr>
            <w:proofErr w:type="spellStart"/>
            <w:r w:rsidRPr="00186647">
              <w:rPr>
                <w:rFonts w:ascii="Arial" w:eastAsia="Times New Roman" w:hAnsi="Arial" w:cs="Arial"/>
                <w:bCs/>
                <w:color w:val="000000"/>
                <w:sz w:val="24"/>
                <w:szCs w:val="24"/>
              </w:rPr>
              <w:t>Ikere</w:t>
            </w:r>
            <w:proofErr w:type="spellEnd"/>
          </w:p>
        </w:tc>
        <w:tc>
          <w:tcPr>
            <w:tcW w:w="3600" w:type="dxa"/>
            <w:shd w:val="clear" w:color="auto" w:fill="auto"/>
            <w:noWrap/>
            <w:vAlign w:val="center"/>
            <w:hideMark/>
          </w:tcPr>
          <w:p w14:paraId="12EA5CFF"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95.7</w:t>
            </w:r>
          </w:p>
        </w:tc>
        <w:tc>
          <w:tcPr>
            <w:tcW w:w="1350" w:type="dxa"/>
          </w:tcPr>
          <w:p w14:paraId="43FE4E2C"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66.5</w:t>
            </w:r>
          </w:p>
        </w:tc>
        <w:tc>
          <w:tcPr>
            <w:tcW w:w="2790" w:type="dxa"/>
            <w:shd w:val="clear" w:color="auto" w:fill="auto"/>
            <w:noWrap/>
            <w:vAlign w:val="center"/>
            <w:hideMark/>
          </w:tcPr>
          <w:p w14:paraId="0E09B5EB"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39.3</w:t>
            </w:r>
          </w:p>
        </w:tc>
        <w:tc>
          <w:tcPr>
            <w:tcW w:w="1350" w:type="dxa"/>
          </w:tcPr>
          <w:p w14:paraId="2594BA3C"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76.4</w:t>
            </w:r>
          </w:p>
        </w:tc>
      </w:tr>
      <w:tr w:rsidR="003860A2" w:rsidRPr="00186647" w14:paraId="34BC925A" w14:textId="77777777" w:rsidTr="003860A2">
        <w:trPr>
          <w:trHeight w:val="315"/>
        </w:trPr>
        <w:tc>
          <w:tcPr>
            <w:tcW w:w="718" w:type="dxa"/>
            <w:shd w:val="clear" w:color="auto" w:fill="auto"/>
            <w:noWrap/>
            <w:vAlign w:val="bottom"/>
            <w:hideMark/>
          </w:tcPr>
          <w:p w14:paraId="43251A43"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5</w:t>
            </w:r>
          </w:p>
        </w:tc>
        <w:tc>
          <w:tcPr>
            <w:tcW w:w="4232" w:type="dxa"/>
            <w:shd w:val="clear" w:color="000000" w:fill="FFFFFF"/>
            <w:noWrap/>
            <w:vAlign w:val="center"/>
            <w:hideMark/>
          </w:tcPr>
          <w:p w14:paraId="016D45C6"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St Gregory</w:t>
            </w:r>
          </w:p>
        </w:tc>
        <w:tc>
          <w:tcPr>
            <w:tcW w:w="3600" w:type="dxa"/>
            <w:shd w:val="clear" w:color="auto" w:fill="auto"/>
            <w:noWrap/>
            <w:vAlign w:val="center"/>
            <w:hideMark/>
          </w:tcPr>
          <w:p w14:paraId="581A70B4"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42.9</w:t>
            </w:r>
          </w:p>
        </w:tc>
        <w:tc>
          <w:tcPr>
            <w:tcW w:w="1350" w:type="dxa"/>
          </w:tcPr>
          <w:p w14:paraId="096296F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32.0</w:t>
            </w:r>
          </w:p>
        </w:tc>
        <w:tc>
          <w:tcPr>
            <w:tcW w:w="2790" w:type="dxa"/>
            <w:shd w:val="clear" w:color="auto" w:fill="auto"/>
            <w:noWrap/>
            <w:vAlign w:val="center"/>
            <w:hideMark/>
          </w:tcPr>
          <w:p w14:paraId="2645498F"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31.2</w:t>
            </w:r>
          </w:p>
        </w:tc>
        <w:tc>
          <w:tcPr>
            <w:tcW w:w="1350" w:type="dxa"/>
          </w:tcPr>
          <w:p w14:paraId="4B23BAA8"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12.3</w:t>
            </w:r>
          </w:p>
        </w:tc>
      </w:tr>
      <w:tr w:rsidR="003860A2" w:rsidRPr="00186647" w14:paraId="04C1C465" w14:textId="77777777" w:rsidTr="003860A2">
        <w:trPr>
          <w:trHeight w:val="315"/>
        </w:trPr>
        <w:tc>
          <w:tcPr>
            <w:tcW w:w="718" w:type="dxa"/>
            <w:shd w:val="clear" w:color="auto" w:fill="auto"/>
            <w:noWrap/>
            <w:vAlign w:val="bottom"/>
            <w:hideMark/>
          </w:tcPr>
          <w:p w14:paraId="41475FEF"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6</w:t>
            </w:r>
          </w:p>
        </w:tc>
        <w:tc>
          <w:tcPr>
            <w:tcW w:w="4232" w:type="dxa"/>
            <w:shd w:val="clear" w:color="000000" w:fill="FFFFFF"/>
            <w:noWrap/>
            <w:vAlign w:val="center"/>
            <w:hideMark/>
          </w:tcPr>
          <w:p w14:paraId="6A383A79" w14:textId="77777777" w:rsidR="003860A2" w:rsidRPr="00186647" w:rsidRDefault="003860A2" w:rsidP="003860A2">
            <w:pPr>
              <w:spacing w:after="0" w:line="240" w:lineRule="auto"/>
              <w:rPr>
                <w:rFonts w:ascii="Arial" w:eastAsia="Times New Roman" w:hAnsi="Arial" w:cs="Arial"/>
                <w:bCs/>
                <w:color w:val="000000"/>
                <w:sz w:val="24"/>
                <w:szCs w:val="24"/>
              </w:rPr>
            </w:pPr>
            <w:proofErr w:type="spellStart"/>
            <w:r w:rsidRPr="00186647">
              <w:rPr>
                <w:rFonts w:ascii="Arial" w:eastAsia="Times New Roman" w:hAnsi="Arial" w:cs="Arial"/>
                <w:bCs/>
                <w:color w:val="000000"/>
                <w:sz w:val="24"/>
                <w:szCs w:val="24"/>
              </w:rPr>
              <w:t>Ijero</w:t>
            </w:r>
            <w:proofErr w:type="spellEnd"/>
          </w:p>
        </w:tc>
        <w:tc>
          <w:tcPr>
            <w:tcW w:w="3600" w:type="dxa"/>
            <w:shd w:val="clear" w:color="auto" w:fill="auto"/>
            <w:noWrap/>
            <w:vAlign w:val="center"/>
            <w:hideMark/>
          </w:tcPr>
          <w:p w14:paraId="0A282E52"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95.9</w:t>
            </w:r>
          </w:p>
        </w:tc>
        <w:tc>
          <w:tcPr>
            <w:tcW w:w="1350" w:type="dxa"/>
          </w:tcPr>
          <w:p w14:paraId="4285A4A7"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47.0</w:t>
            </w:r>
          </w:p>
        </w:tc>
        <w:tc>
          <w:tcPr>
            <w:tcW w:w="2790" w:type="dxa"/>
            <w:shd w:val="clear" w:color="auto" w:fill="auto"/>
            <w:noWrap/>
            <w:vAlign w:val="center"/>
            <w:hideMark/>
          </w:tcPr>
          <w:p w14:paraId="1C0A8299"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32.6</w:t>
            </w:r>
          </w:p>
        </w:tc>
        <w:tc>
          <w:tcPr>
            <w:tcW w:w="1350" w:type="dxa"/>
          </w:tcPr>
          <w:p w14:paraId="5A40D895"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21.2</w:t>
            </w:r>
          </w:p>
        </w:tc>
      </w:tr>
      <w:tr w:rsidR="003860A2" w:rsidRPr="00186647" w14:paraId="3EE69188" w14:textId="77777777" w:rsidTr="003860A2">
        <w:trPr>
          <w:trHeight w:val="315"/>
        </w:trPr>
        <w:tc>
          <w:tcPr>
            <w:tcW w:w="718" w:type="dxa"/>
            <w:shd w:val="clear" w:color="auto" w:fill="auto"/>
            <w:noWrap/>
            <w:vAlign w:val="bottom"/>
            <w:hideMark/>
          </w:tcPr>
          <w:p w14:paraId="1897F843"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7</w:t>
            </w:r>
          </w:p>
        </w:tc>
        <w:tc>
          <w:tcPr>
            <w:tcW w:w="4232" w:type="dxa"/>
            <w:shd w:val="clear" w:color="000000" w:fill="FFFFFF"/>
            <w:noWrap/>
            <w:vAlign w:val="center"/>
            <w:hideMark/>
          </w:tcPr>
          <w:p w14:paraId="191BE434" w14:textId="77777777" w:rsidR="003860A2" w:rsidRPr="00186647" w:rsidRDefault="003860A2" w:rsidP="003860A2">
            <w:pPr>
              <w:spacing w:after="0" w:line="240" w:lineRule="auto"/>
              <w:rPr>
                <w:rFonts w:ascii="Arial" w:eastAsia="Times New Roman" w:hAnsi="Arial" w:cs="Arial"/>
                <w:bCs/>
                <w:color w:val="000000"/>
                <w:sz w:val="24"/>
                <w:szCs w:val="24"/>
              </w:rPr>
            </w:pPr>
            <w:proofErr w:type="spellStart"/>
            <w:r w:rsidRPr="00186647">
              <w:rPr>
                <w:rFonts w:ascii="Arial" w:eastAsia="Times New Roman" w:hAnsi="Arial" w:cs="Arial"/>
                <w:bCs/>
                <w:color w:val="000000"/>
                <w:sz w:val="24"/>
                <w:szCs w:val="24"/>
              </w:rPr>
              <w:t>Ilawe</w:t>
            </w:r>
            <w:proofErr w:type="spellEnd"/>
          </w:p>
        </w:tc>
        <w:tc>
          <w:tcPr>
            <w:tcW w:w="3600" w:type="dxa"/>
            <w:shd w:val="clear" w:color="auto" w:fill="auto"/>
            <w:noWrap/>
            <w:vAlign w:val="center"/>
            <w:hideMark/>
          </w:tcPr>
          <w:p w14:paraId="5E0E6BC4"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119.5</w:t>
            </w:r>
          </w:p>
        </w:tc>
        <w:tc>
          <w:tcPr>
            <w:tcW w:w="1350" w:type="dxa"/>
          </w:tcPr>
          <w:p w14:paraId="6A4925FA"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71.5</w:t>
            </w:r>
          </w:p>
        </w:tc>
        <w:tc>
          <w:tcPr>
            <w:tcW w:w="2790" w:type="dxa"/>
            <w:shd w:val="clear" w:color="auto" w:fill="auto"/>
            <w:noWrap/>
            <w:vAlign w:val="center"/>
            <w:hideMark/>
          </w:tcPr>
          <w:p w14:paraId="1342D79E"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26.9</w:t>
            </w:r>
          </w:p>
        </w:tc>
        <w:tc>
          <w:tcPr>
            <w:tcW w:w="1350" w:type="dxa"/>
          </w:tcPr>
          <w:p w14:paraId="06567C2E"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18.2</w:t>
            </w:r>
          </w:p>
        </w:tc>
      </w:tr>
      <w:tr w:rsidR="003860A2" w:rsidRPr="00186647" w14:paraId="754A235C" w14:textId="77777777" w:rsidTr="003860A2">
        <w:trPr>
          <w:trHeight w:val="315"/>
        </w:trPr>
        <w:tc>
          <w:tcPr>
            <w:tcW w:w="718" w:type="dxa"/>
            <w:shd w:val="clear" w:color="auto" w:fill="auto"/>
            <w:noWrap/>
            <w:vAlign w:val="bottom"/>
            <w:hideMark/>
          </w:tcPr>
          <w:p w14:paraId="2E69D750"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8</w:t>
            </w:r>
          </w:p>
        </w:tc>
        <w:tc>
          <w:tcPr>
            <w:tcW w:w="4232" w:type="dxa"/>
            <w:shd w:val="clear" w:color="000000" w:fill="FFFFFF"/>
            <w:noWrap/>
            <w:vAlign w:val="center"/>
            <w:hideMark/>
          </w:tcPr>
          <w:p w14:paraId="2D75E7CA" w14:textId="77777777" w:rsidR="003860A2" w:rsidRPr="00186647" w:rsidRDefault="003860A2" w:rsidP="003860A2">
            <w:pPr>
              <w:spacing w:after="0" w:line="240" w:lineRule="auto"/>
              <w:rPr>
                <w:rFonts w:ascii="Arial" w:eastAsia="Times New Roman" w:hAnsi="Arial" w:cs="Arial"/>
                <w:bCs/>
                <w:color w:val="000000"/>
                <w:sz w:val="24"/>
                <w:szCs w:val="24"/>
              </w:rPr>
            </w:pPr>
            <w:proofErr w:type="spellStart"/>
            <w:r w:rsidRPr="00186647">
              <w:rPr>
                <w:rFonts w:ascii="Arial" w:eastAsia="Times New Roman" w:hAnsi="Arial" w:cs="Arial"/>
                <w:bCs/>
                <w:color w:val="000000"/>
                <w:sz w:val="24"/>
                <w:szCs w:val="24"/>
              </w:rPr>
              <w:t>Oye</w:t>
            </w:r>
            <w:proofErr w:type="spellEnd"/>
          </w:p>
        </w:tc>
        <w:tc>
          <w:tcPr>
            <w:tcW w:w="3600" w:type="dxa"/>
            <w:shd w:val="clear" w:color="auto" w:fill="auto"/>
            <w:noWrap/>
            <w:vAlign w:val="center"/>
            <w:hideMark/>
          </w:tcPr>
          <w:p w14:paraId="1F49EE0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101.7</w:t>
            </w:r>
          </w:p>
        </w:tc>
        <w:tc>
          <w:tcPr>
            <w:tcW w:w="1350" w:type="dxa"/>
          </w:tcPr>
          <w:p w14:paraId="723E2F0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56.6</w:t>
            </w:r>
          </w:p>
        </w:tc>
        <w:tc>
          <w:tcPr>
            <w:tcW w:w="2790" w:type="dxa"/>
            <w:shd w:val="clear" w:color="auto" w:fill="auto"/>
            <w:noWrap/>
            <w:vAlign w:val="center"/>
            <w:hideMark/>
          </w:tcPr>
          <w:p w14:paraId="569E21B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24.5</w:t>
            </w:r>
          </w:p>
        </w:tc>
        <w:tc>
          <w:tcPr>
            <w:tcW w:w="1350" w:type="dxa"/>
          </w:tcPr>
          <w:p w14:paraId="0B812A8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17.0</w:t>
            </w:r>
          </w:p>
        </w:tc>
      </w:tr>
      <w:tr w:rsidR="003860A2" w:rsidRPr="00186647" w14:paraId="3044B200" w14:textId="77777777" w:rsidTr="003860A2">
        <w:trPr>
          <w:trHeight w:val="315"/>
        </w:trPr>
        <w:tc>
          <w:tcPr>
            <w:tcW w:w="718" w:type="dxa"/>
            <w:shd w:val="clear" w:color="auto" w:fill="auto"/>
            <w:noWrap/>
            <w:vAlign w:val="bottom"/>
            <w:hideMark/>
          </w:tcPr>
          <w:p w14:paraId="383B6CD8"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9</w:t>
            </w:r>
          </w:p>
        </w:tc>
        <w:tc>
          <w:tcPr>
            <w:tcW w:w="4232" w:type="dxa"/>
            <w:shd w:val="clear" w:color="000000" w:fill="FFFFFF"/>
            <w:noWrap/>
            <w:vAlign w:val="center"/>
            <w:hideMark/>
          </w:tcPr>
          <w:p w14:paraId="5ACB6E03" w14:textId="77777777" w:rsidR="003860A2" w:rsidRPr="00186647" w:rsidRDefault="003860A2" w:rsidP="003860A2">
            <w:pPr>
              <w:spacing w:after="0" w:line="240" w:lineRule="auto"/>
              <w:rPr>
                <w:rFonts w:ascii="Arial" w:eastAsia="Times New Roman" w:hAnsi="Arial" w:cs="Arial"/>
                <w:bCs/>
                <w:color w:val="000000"/>
                <w:sz w:val="24"/>
                <w:szCs w:val="24"/>
              </w:rPr>
            </w:pPr>
            <w:proofErr w:type="spellStart"/>
            <w:r w:rsidRPr="00186647">
              <w:rPr>
                <w:rFonts w:ascii="Arial" w:eastAsia="Times New Roman" w:hAnsi="Arial" w:cs="Arial"/>
                <w:bCs/>
                <w:color w:val="000000"/>
                <w:sz w:val="24"/>
                <w:szCs w:val="24"/>
              </w:rPr>
              <w:t>Iyin</w:t>
            </w:r>
            <w:proofErr w:type="spellEnd"/>
          </w:p>
        </w:tc>
        <w:tc>
          <w:tcPr>
            <w:tcW w:w="3600" w:type="dxa"/>
            <w:shd w:val="clear" w:color="auto" w:fill="auto"/>
            <w:noWrap/>
            <w:vAlign w:val="center"/>
            <w:hideMark/>
          </w:tcPr>
          <w:p w14:paraId="4948573C"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100.5</w:t>
            </w:r>
          </w:p>
        </w:tc>
        <w:tc>
          <w:tcPr>
            <w:tcW w:w="1350" w:type="dxa"/>
          </w:tcPr>
          <w:p w14:paraId="77477315"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73.7</w:t>
            </w:r>
          </w:p>
        </w:tc>
        <w:tc>
          <w:tcPr>
            <w:tcW w:w="2790" w:type="dxa"/>
            <w:shd w:val="clear" w:color="auto" w:fill="auto"/>
            <w:noWrap/>
            <w:vAlign w:val="center"/>
            <w:hideMark/>
          </w:tcPr>
          <w:p w14:paraId="0B16E81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23.6</w:t>
            </w:r>
          </w:p>
        </w:tc>
        <w:tc>
          <w:tcPr>
            <w:tcW w:w="1350" w:type="dxa"/>
          </w:tcPr>
          <w:p w14:paraId="08D36134"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14.3</w:t>
            </w:r>
          </w:p>
        </w:tc>
      </w:tr>
      <w:tr w:rsidR="003860A2" w:rsidRPr="00186647" w14:paraId="42E05B59" w14:textId="77777777" w:rsidTr="003860A2">
        <w:trPr>
          <w:trHeight w:val="467"/>
        </w:trPr>
        <w:tc>
          <w:tcPr>
            <w:tcW w:w="14040" w:type="dxa"/>
            <w:gridSpan w:val="6"/>
            <w:shd w:val="clear" w:color="auto" w:fill="auto"/>
            <w:noWrap/>
            <w:vAlign w:val="bottom"/>
          </w:tcPr>
          <w:p w14:paraId="566D86FC" w14:textId="77777777" w:rsidR="003860A2" w:rsidRPr="00186647" w:rsidRDefault="003860A2" w:rsidP="003860A2">
            <w:pPr>
              <w:rPr>
                <w:rFonts w:ascii="Arial" w:hAnsi="Arial" w:cs="Arial"/>
                <w:bCs/>
                <w:color w:val="000000" w:themeColor="text1"/>
                <w:sz w:val="24"/>
                <w:szCs w:val="24"/>
              </w:rPr>
            </w:pPr>
            <w:r w:rsidRPr="00186647">
              <w:rPr>
                <w:rFonts w:ascii="Arial" w:hAnsi="Arial" w:cs="Arial"/>
                <w:bCs/>
                <w:color w:val="000000" w:themeColor="text1"/>
                <w:sz w:val="24"/>
                <w:szCs w:val="24"/>
              </w:rPr>
              <w:t>1-5 (High load), 6-9 (low load)</w:t>
            </w:r>
          </w:p>
        </w:tc>
      </w:tr>
    </w:tbl>
    <w:p w14:paraId="1E748EA7" w14:textId="77777777" w:rsidR="00972739" w:rsidRPr="00186647" w:rsidRDefault="00972739" w:rsidP="00972739">
      <w:pPr>
        <w:rPr>
          <w:rFonts w:ascii="Arial" w:hAnsi="Arial" w:cs="Arial"/>
          <w:sz w:val="24"/>
          <w:szCs w:val="24"/>
        </w:rPr>
      </w:pPr>
    </w:p>
    <w:p w14:paraId="1766EBA4" w14:textId="77777777" w:rsidR="00972739" w:rsidRPr="00186647" w:rsidRDefault="00972739" w:rsidP="00972739">
      <w:pPr>
        <w:rPr>
          <w:rFonts w:ascii="Arial" w:hAnsi="Arial" w:cs="Arial"/>
          <w:sz w:val="24"/>
          <w:szCs w:val="24"/>
        </w:rPr>
      </w:pPr>
    </w:p>
    <w:p w14:paraId="626AC1ED" w14:textId="77777777" w:rsidR="00972739" w:rsidRPr="00186647" w:rsidRDefault="00972739" w:rsidP="00972739">
      <w:pPr>
        <w:rPr>
          <w:rFonts w:ascii="Arial" w:hAnsi="Arial" w:cs="Arial"/>
          <w:sz w:val="24"/>
          <w:szCs w:val="24"/>
        </w:rPr>
      </w:pPr>
    </w:p>
    <w:p w14:paraId="6099E8C8" w14:textId="77777777" w:rsidR="00186647" w:rsidRDefault="00186647" w:rsidP="00186647">
      <w:pPr>
        <w:keepNext/>
        <w:rPr>
          <w:sz w:val="24"/>
          <w:szCs w:val="24"/>
        </w:rPr>
        <w:sectPr w:rsidR="00186647" w:rsidSect="0099247F">
          <w:pgSz w:w="15840" w:h="12240" w:orient="landscape"/>
          <w:pgMar w:top="1440" w:right="2790" w:bottom="1440" w:left="1354" w:header="720" w:footer="720" w:gutter="0"/>
          <w:cols w:space="720"/>
          <w:docGrid w:linePitch="360"/>
        </w:sectPr>
      </w:pPr>
    </w:p>
    <w:tbl>
      <w:tblPr>
        <w:tblpPr w:leftFromText="180" w:rightFromText="180" w:vertAnchor="text" w:horzAnchor="margin" w:tblpX="-365" w:tblpY="13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3150"/>
        <w:gridCol w:w="2430"/>
      </w:tblGrid>
      <w:tr w:rsidR="00186647" w:rsidRPr="00186647" w14:paraId="7D4F06DA" w14:textId="77777777" w:rsidTr="00D97D1C">
        <w:trPr>
          <w:trHeight w:val="665"/>
        </w:trPr>
        <w:tc>
          <w:tcPr>
            <w:tcW w:w="10080" w:type="dxa"/>
            <w:gridSpan w:val="4"/>
            <w:vAlign w:val="center"/>
          </w:tcPr>
          <w:p w14:paraId="0827E37E" w14:textId="77777777" w:rsidR="00186647" w:rsidRPr="00186647" w:rsidRDefault="00186647" w:rsidP="00D97D1C">
            <w:pPr>
              <w:pStyle w:val="Caption"/>
              <w:keepNext/>
              <w:jc w:val="both"/>
              <w:rPr>
                <w:rFonts w:ascii="Arial Black" w:hAnsi="Arial Black"/>
                <w:i w:val="0"/>
                <w:iCs w:val="0"/>
                <w:sz w:val="24"/>
                <w:szCs w:val="24"/>
              </w:rPr>
            </w:pPr>
            <w:r w:rsidRPr="00186647">
              <w:rPr>
                <w:rFonts w:ascii="Arial Black" w:hAnsi="Arial Black"/>
                <w:i w:val="0"/>
                <w:iCs w:val="0"/>
                <w:color w:val="auto"/>
                <w:sz w:val="24"/>
                <w:szCs w:val="24"/>
              </w:rPr>
              <w:lastRenderedPageBreak/>
              <w:t xml:space="preserve">Table </w:t>
            </w:r>
            <w:r w:rsidRPr="00186647">
              <w:rPr>
                <w:rFonts w:ascii="Arial Black" w:hAnsi="Arial Black"/>
                <w:i w:val="0"/>
                <w:iCs w:val="0"/>
                <w:color w:val="auto"/>
                <w:sz w:val="24"/>
                <w:szCs w:val="24"/>
              </w:rPr>
              <w:fldChar w:fldCharType="begin"/>
            </w:r>
            <w:r w:rsidRPr="00186647">
              <w:rPr>
                <w:rFonts w:ascii="Arial Black" w:hAnsi="Arial Black"/>
                <w:i w:val="0"/>
                <w:iCs w:val="0"/>
                <w:color w:val="auto"/>
                <w:sz w:val="24"/>
                <w:szCs w:val="24"/>
              </w:rPr>
              <w:instrText xml:space="preserve"> SEQ Table \* ARABIC </w:instrText>
            </w:r>
            <w:r w:rsidRPr="00186647">
              <w:rPr>
                <w:rFonts w:ascii="Arial Black" w:hAnsi="Arial Black"/>
                <w:i w:val="0"/>
                <w:iCs w:val="0"/>
                <w:color w:val="auto"/>
                <w:sz w:val="24"/>
                <w:szCs w:val="24"/>
              </w:rPr>
              <w:fldChar w:fldCharType="separate"/>
            </w:r>
            <w:r w:rsidRPr="00186647">
              <w:rPr>
                <w:rFonts w:ascii="Arial Black" w:hAnsi="Arial Black"/>
                <w:i w:val="0"/>
                <w:iCs w:val="0"/>
                <w:noProof/>
                <w:color w:val="auto"/>
                <w:sz w:val="24"/>
                <w:szCs w:val="24"/>
              </w:rPr>
              <w:t>3</w:t>
            </w:r>
            <w:r w:rsidRPr="00186647">
              <w:rPr>
                <w:rFonts w:ascii="Arial Black" w:hAnsi="Arial Black"/>
                <w:i w:val="0"/>
                <w:iCs w:val="0"/>
                <w:color w:val="auto"/>
                <w:sz w:val="24"/>
                <w:szCs w:val="24"/>
              </w:rPr>
              <w:fldChar w:fldCharType="end"/>
            </w:r>
            <w:r w:rsidRPr="00186647">
              <w:rPr>
                <w:rFonts w:ascii="Arial Black" w:hAnsi="Arial Black"/>
                <w:i w:val="0"/>
                <w:iCs w:val="0"/>
                <w:color w:val="auto"/>
                <w:sz w:val="24"/>
                <w:szCs w:val="24"/>
              </w:rPr>
              <w:t xml:space="preserve"> Statistical TAT mean difference</w:t>
            </w:r>
          </w:p>
        </w:tc>
      </w:tr>
      <w:tr w:rsidR="00186647" w:rsidRPr="00186647" w14:paraId="4BB7B1E5" w14:textId="77777777" w:rsidTr="00D97D1C">
        <w:trPr>
          <w:trHeight w:val="482"/>
        </w:trPr>
        <w:tc>
          <w:tcPr>
            <w:tcW w:w="3060" w:type="dxa"/>
            <w:vAlign w:val="center"/>
          </w:tcPr>
          <w:p w14:paraId="5BC6CE3B"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Facility name</w:t>
            </w:r>
          </w:p>
        </w:tc>
        <w:tc>
          <w:tcPr>
            <w:tcW w:w="1440" w:type="dxa"/>
            <w:vAlign w:val="center"/>
          </w:tcPr>
          <w:p w14:paraId="74E2A325"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Facility type</w:t>
            </w:r>
          </w:p>
        </w:tc>
        <w:tc>
          <w:tcPr>
            <w:tcW w:w="3150" w:type="dxa"/>
            <w:vAlign w:val="center"/>
          </w:tcPr>
          <w:p w14:paraId="3599A9FE"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Sum of Total count</w:t>
            </w:r>
          </w:p>
        </w:tc>
        <w:tc>
          <w:tcPr>
            <w:tcW w:w="2430" w:type="dxa"/>
            <w:vAlign w:val="center"/>
          </w:tcPr>
          <w:p w14:paraId="631B504F"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Sum of Average TAT</w:t>
            </w:r>
          </w:p>
          <w:p w14:paraId="29E4DB24"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(in days)</w:t>
            </w:r>
          </w:p>
        </w:tc>
      </w:tr>
      <w:tr w:rsidR="00186647" w:rsidRPr="00186647" w14:paraId="4D126C8E" w14:textId="77777777" w:rsidTr="00D97D1C">
        <w:trPr>
          <w:trHeight w:val="300"/>
        </w:trPr>
        <w:tc>
          <w:tcPr>
            <w:tcW w:w="3060" w:type="dxa"/>
            <w:vAlign w:val="bottom"/>
          </w:tcPr>
          <w:p w14:paraId="61307269" w14:textId="77777777" w:rsidR="00186647" w:rsidRPr="00186647" w:rsidRDefault="00186647" w:rsidP="00D97D1C">
            <w:pPr>
              <w:autoSpaceDE w:val="0"/>
              <w:autoSpaceDN w:val="0"/>
              <w:adjustRightInd w:val="0"/>
              <w:spacing w:after="0" w:line="360" w:lineRule="auto"/>
              <w:jc w:val="center"/>
              <w:rPr>
                <w:rFonts w:ascii="Arial" w:hAnsi="Arial" w:cs="Arial"/>
                <w:color w:val="000000"/>
                <w:sz w:val="24"/>
                <w:szCs w:val="24"/>
              </w:rPr>
            </w:pPr>
            <w:proofErr w:type="spellStart"/>
            <w:r w:rsidRPr="00186647">
              <w:rPr>
                <w:rFonts w:ascii="Arial" w:hAnsi="Arial" w:cs="Arial"/>
                <w:color w:val="000000"/>
                <w:sz w:val="24"/>
                <w:szCs w:val="24"/>
              </w:rPr>
              <w:t>Eksuth</w:t>
            </w:r>
            <w:proofErr w:type="spellEnd"/>
          </w:p>
        </w:tc>
        <w:tc>
          <w:tcPr>
            <w:tcW w:w="1440" w:type="dxa"/>
            <w:shd w:val="clear" w:color="000000" w:fill="FFFFFF"/>
          </w:tcPr>
          <w:p w14:paraId="1AA2064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54D7AD5B"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1402</w:t>
            </w:r>
          </w:p>
        </w:tc>
        <w:tc>
          <w:tcPr>
            <w:tcW w:w="2430" w:type="dxa"/>
            <w:vAlign w:val="center"/>
          </w:tcPr>
          <w:p w14:paraId="7122548C"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10.6</w:t>
            </w:r>
          </w:p>
        </w:tc>
      </w:tr>
      <w:tr w:rsidR="00186647" w:rsidRPr="00186647" w14:paraId="5F00C8ED" w14:textId="77777777" w:rsidTr="00D97D1C">
        <w:trPr>
          <w:trHeight w:val="300"/>
        </w:trPr>
        <w:tc>
          <w:tcPr>
            <w:tcW w:w="3060" w:type="dxa"/>
            <w:vAlign w:val="bottom"/>
          </w:tcPr>
          <w:p w14:paraId="56DB5A6D"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Emure</w:t>
            </w:r>
            <w:proofErr w:type="spellEnd"/>
          </w:p>
        </w:tc>
        <w:tc>
          <w:tcPr>
            <w:tcW w:w="1440" w:type="dxa"/>
            <w:shd w:val="clear" w:color="000000" w:fill="FFFFFF"/>
          </w:tcPr>
          <w:p w14:paraId="3828F571"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165CD4D5"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151</w:t>
            </w:r>
          </w:p>
        </w:tc>
        <w:tc>
          <w:tcPr>
            <w:tcW w:w="2430" w:type="dxa"/>
            <w:vAlign w:val="center"/>
          </w:tcPr>
          <w:p w14:paraId="025DAE9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9.1</w:t>
            </w:r>
          </w:p>
        </w:tc>
      </w:tr>
      <w:tr w:rsidR="00186647" w:rsidRPr="00186647" w14:paraId="0B4EE623" w14:textId="77777777" w:rsidTr="00D97D1C">
        <w:trPr>
          <w:trHeight w:val="300"/>
        </w:trPr>
        <w:tc>
          <w:tcPr>
            <w:tcW w:w="3060" w:type="dxa"/>
            <w:vAlign w:val="bottom"/>
          </w:tcPr>
          <w:p w14:paraId="3C290AA9"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Fthi</w:t>
            </w:r>
            <w:proofErr w:type="spellEnd"/>
          </w:p>
        </w:tc>
        <w:tc>
          <w:tcPr>
            <w:tcW w:w="1440" w:type="dxa"/>
            <w:shd w:val="clear" w:color="000000" w:fill="FFFFFF"/>
          </w:tcPr>
          <w:p w14:paraId="0D8AC8B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2042EDB9"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1180</w:t>
            </w:r>
          </w:p>
        </w:tc>
        <w:tc>
          <w:tcPr>
            <w:tcW w:w="2430" w:type="dxa"/>
            <w:vAlign w:val="center"/>
          </w:tcPr>
          <w:p w14:paraId="42A6927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11.9</w:t>
            </w:r>
          </w:p>
        </w:tc>
      </w:tr>
      <w:tr w:rsidR="00186647" w:rsidRPr="00186647" w14:paraId="07C20ACB" w14:textId="77777777" w:rsidTr="00D97D1C">
        <w:trPr>
          <w:trHeight w:val="300"/>
        </w:trPr>
        <w:tc>
          <w:tcPr>
            <w:tcW w:w="3060" w:type="dxa"/>
            <w:vAlign w:val="bottom"/>
          </w:tcPr>
          <w:p w14:paraId="6CDF7194"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Ijero</w:t>
            </w:r>
            <w:proofErr w:type="spellEnd"/>
          </w:p>
        </w:tc>
        <w:tc>
          <w:tcPr>
            <w:tcW w:w="1440" w:type="dxa"/>
            <w:shd w:val="clear" w:color="000000" w:fill="FFFFFF"/>
          </w:tcPr>
          <w:p w14:paraId="531522B1"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6CE0B7BD"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132</w:t>
            </w:r>
          </w:p>
        </w:tc>
        <w:tc>
          <w:tcPr>
            <w:tcW w:w="2430" w:type="dxa"/>
            <w:vAlign w:val="center"/>
          </w:tcPr>
          <w:p w14:paraId="03F5CCE4"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9.6</w:t>
            </w:r>
          </w:p>
        </w:tc>
      </w:tr>
      <w:tr w:rsidR="00186647" w:rsidRPr="00186647" w14:paraId="26A776A2" w14:textId="77777777" w:rsidTr="00D97D1C">
        <w:trPr>
          <w:trHeight w:val="300"/>
        </w:trPr>
        <w:tc>
          <w:tcPr>
            <w:tcW w:w="3060" w:type="dxa"/>
            <w:vAlign w:val="bottom"/>
          </w:tcPr>
          <w:p w14:paraId="3A24B78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Ikere</w:t>
            </w:r>
            <w:proofErr w:type="spellEnd"/>
          </w:p>
        </w:tc>
        <w:tc>
          <w:tcPr>
            <w:tcW w:w="1440" w:type="dxa"/>
            <w:shd w:val="clear" w:color="000000" w:fill="FFFFFF"/>
          </w:tcPr>
          <w:p w14:paraId="2DA2AA10"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5462FBBB"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366</w:t>
            </w:r>
          </w:p>
        </w:tc>
        <w:tc>
          <w:tcPr>
            <w:tcW w:w="2430" w:type="dxa"/>
            <w:vAlign w:val="center"/>
          </w:tcPr>
          <w:p w14:paraId="74601F8E"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10.7</w:t>
            </w:r>
          </w:p>
        </w:tc>
      </w:tr>
      <w:tr w:rsidR="00186647" w:rsidRPr="00186647" w14:paraId="4B3AB6DF" w14:textId="77777777" w:rsidTr="00D97D1C">
        <w:trPr>
          <w:trHeight w:val="300"/>
        </w:trPr>
        <w:tc>
          <w:tcPr>
            <w:tcW w:w="3060" w:type="dxa"/>
            <w:vAlign w:val="bottom"/>
          </w:tcPr>
          <w:p w14:paraId="017EFBF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Ilawe</w:t>
            </w:r>
            <w:proofErr w:type="spellEnd"/>
          </w:p>
        </w:tc>
        <w:tc>
          <w:tcPr>
            <w:tcW w:w="1440" w:type="dxa"/>
            <w:shd w:val="clear" w:color="000000" w:fill="FFFFFF"/>
          </w:tcPr>
          <w:p w14:paraId="7F9622A0"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3DBB4EC9"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55</w:t>
            </w:r>
          </w:p>
        </w:tc>
        <w:tc>
          <w:tcPr>
            <w:tcW w:w="2430" w:type="dxa"/>
            <w:vAlign w:val="center"/>
          </w:tcPr>
          <w:p w14:paraId="55CA415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9.1</w:t>
            </w:r>
          </w:p>
        </w:tc>
      </w:tr>
      <w:tr w:rsidR="00186647" w:rsidRPr="00186647" w14:paraId="2A5C5FEE" w14:textId="77777777" w:rsidTr="00D97D1C">
        <w:trPr>
          <w:trHeight w:val="300"/>
        </w:trPr>
        <w:tc>
          <w:tcPr>
            <w:tcW w:w="3060" w:type="dxa"/>
            <w:vAlign w:val="bottom"/>
          </w:tcPr>
          <w:p w14:paraId="26866F4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Iyin</w:t>
            </w:r>
            <w:proofErr w:type="spellEnd"/>
          </w:p>
        </w:tc>
        <w:tc>
          <w:tcPr>
            <w:tcW w:w="1440" w:type="dxa"/>
            <w:shd w:val="clear" w:color="000000" w:fill="FFFFFF"/>
          </w:tcPr>
          <w:p w14:paraId="0E684167"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50A1C5E3"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93</w:t>
            </w:r>
          </w:p>
        </w:tc>
        <w:tc>
          <w:tcPr>
            <w:tcW w:w="2430" w:type="dxa"/>
            <w:vAlign w:val="center"/>
          </w:tcPr>
          <w:p w14:paraId="69317B84"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10.6</w:t>
            </w:r>
          </w:p>
        </w:tc>
      </w:tr>
      <w:tr w:rsidR="00186647" w:rsidRPr="00186647" w14:paraId="75D2B70A" w14:textId="77777777" w:rsidTr="00D97D1C">
        <w:trPr>
          <w:trHeight w:val="315"/>
        </w:trPr>
        <w:tc>
          <w:tcPr>
            <w:tcW w:w="3060" w:type="dxa"/>
            <w:vAlign w:val="bottom"/>
          </w:tcPr>
          <w:p w14:paraId="34D8F34C"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roofErr w:type="spellStart"/>
            <w:r w:rsidRPr="00186647">
              <w:rPr>
                <w:rFonts w:ascii="Arial" w:hAnsi="Arial" w:cs="Arial"/>
                <w:color w:val="000000"/>
                <w:sz w:val="24"/>
                <w:szCs w:val="24"/>
              </w:rPr>
              <w:t>Oye</w:t>
            </w:r>
            <w:proofErr w:type="spellEnd"/>
          </w:p>
        </w:tc>
        <w:tc>
          <w:tcPr>
            <w:tcW w:w="1440" w:type="dxa"/>
            <w:shd w:val="clear" w:color="000000" w:fill="FFFFFF"/>
          </w:tcPr>
          <w:p w14:paraId="01FA692E"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7EA1B085"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71</w:t>
            </w:r>
          </w:p>
        </w:tc>
        <w:tc>
          <w:tcPr>
            <w:tcW w:w="2430" w:type="dxa"/>
            <w:vAlign w:val="center"/>
          </w:tcPr>
          <w:p w14:paraId="1BFDE1F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9.5</w:t>
            </w:r>
          </w:p>
        </w:tc>
      </w:tr>
      <w:tr w:rsidR="00186647" w:rsidRPr="00186647" w14:paraId="3A783706" w14:textId="77777777" w:rsidTr="00D97D1C">
        <w:trPr>
          <w:trHeight w:val="315"/>
        </w:trPr>
        <w:tc>
          <w:tcPr>
            <w:tcW w:w="3060" w:type="dxa"/>
            <w:vAlign w:val="bottom"/>
          </w:tcPr>
          <w:p w14:paraId="2FC4F392"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St Gregory</w:t>
            </w:r>
          </w:p>
        </w:tc>
        <w:tc>
          <w:tcPr>
            <w:tcW w:w="1440" w:type="dxa"/>
            <w:shd w:val="clear" w:color="000000" w:fill="FFFFFF"/>
          </w:tcPr>
          <w:p w14:paraId="31C0E21C"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4FAF1D3E"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189</w:t>
            </w:r>
          </w:p>
        </w:tc>
        <w:tc>
          <w:tcPr>
            <w:tcW w:w="2430" w:type="dxa"/>
            <w:vAlign w:val="center"/>
          </w:tcPr>
          <w:p w14:paraId="0C01C1E5"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9.5</w:t>
            </w:r>
          </w:p>
        </w:tc>
      </w:tr>
      <w:tr w:rsidR="00186647" w:rsidRPr="00186647" w14:paraId="1E5F30A7" w14:textId="77777777" w:rsidTr="00D97D1C">
        <w:trPr>
          <w:trHeight w:val="315"/>
        </w:trPr>
        <w:tc>
          <w:tcPr>
            <w:tcW w:w="3060" w:type="dxa"/>
            <w:vAlign w:val="bottom"/>
          </w:tcPr>
          <w:p w14:paraId="30E3A9F0"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Mean Average TAT</w:t>
            </w:r>
          </w:p>
        </w:tc>
        <w:tc>
          <w:tcPr>
            <w:tcW w:w="1440" w:type="dxa"/>
            <w:shd w:val="clear" w:color="000000" w:fill="FFFFFF"/>
          </w:tcPr>
          <w:p w14:paraId="28FB1DF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3150" w:type="dxa"/>
            <w:vAlign w:val="bottom"/>
          </w:tcPr>
          <w:p w14:paraId="44B9C5B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2430" w:type="dxa"/>
            <w:vAlign w:val="bottom"/>
          </w:tcPr>
          <w:p w14:paraId="25E35C7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10.1</w:t>
            </w:r>
          </w:p>
        </w:tc>
      </w:tr>
      <w:tr w:rsidR="00186647" w:rsidRPr="00186647" w14:paraId="3E908D3A" w14:textId="77777777" w:rsidTr="00D97D1C">
        <w:trPr>
          <w:trHeight w:val="315"/>
        </w:trPr>
        <w:tc>
          <w:tcPr>
            <w:tcW w:w="3060" w:type="dxa"/>
            <w:vAlign w:val="bottom"/>
          </w:tcPr>
          <w:p w14:paraId="44DA2DF7"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SD</w:t>
            </w:r>
          </w:p>
        </w:tc>
        <w:tc>
          <w:tcPr>
            <w:tcW w:w="1440" w:type="dxa"/>
            <w:shd w:val="clear" w:color="000000" w:fill="FFFFFF"/>
          </w:tcPr>
          <w:p w14:paraId="01223886"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3150" w:type="dxa"/>
            <w:vAlign w:val="bottom"/>
          </w:tcPr>
          <w:p w14:paraId="18DF0D5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2430" w:type="dxa"/>
            <w:vAlign w:val="bottom"/>
          </w:tcPr>
          <w:p w14:paraId="400FF0A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0.95</w:t>
            </w:r>
          </w:p>
        </w:tc>
      </w:tr>
    </w:tbl>
    <w:p w14:paraId="3AD202C6" w14:textId="46C3D052" w:rsidR="00A64F39" w:rsidRPr="00186647" w:rsidRDefault="00A64F39" w:rsidP="00186647">
      <w:pPr>
        <w:keepNext/>
        <w:rPr>
          <w:sz w:val="24"/>
          <w:szCs w:val="24"/>
        </w:rPr>
      </w:pPr>
    </w:p>
    <w:sectPr w:rsidR="00A64F39" w:rsidRPr="00186647" w:rsidSect="00186647">
      <w:pgSz w:w="12240" w:h="15840"/>
      <w:pgMar w:top="2794"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58C24" w14:textId="77777777" w:rsidR="009B68F0" w:rsidRDefault="009B68F0" w:rsidP="00186647">
      <w:pPr>
        <w:spacing w:after="0" w:line="240" w:lineRule="auto"/>
      </w:pPr>
      <w:r>
        <w:separator/>
      </w:r>
    </w:p>
  </w:endnote>
  <w:endnote w:type="continuationSeparator" w:id="0">
    <w:p w14:paraId="31314F97" w14:textId="77777777" w:rsidR="009B68F0" w:rsidRDefault="009B68F0" w:rsidP="0018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E6AD" w14:textId="77777777" w:rsidR="006A24B3" w:rsidRDefault="006A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6C40A" w14:textId="77777777" w:rsidR="006A24B3" w:rsidRDefault="006A2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118BC" w14:textId="77777777" w:rsidR="006A24B3" w:rsidRDefault="006A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4D64A" w14:textId="77777777" w:rsidR="009B68F0" w:rsidRDefault="009B68F0" w:rsidP="00186647">
      <w:pPr>
        <w:spacing w:after="0" w:line="240" w:lineRule="auto"/>
      </w:pPr>
      <w:r>
        <w:separator/>
      </w:r>
    </w:p>
  </w:footnote>
  <w:footnote w:type="continuationSeparator" w:id="0">
    <w:p w14:paraId="1403A8EB" w14:textId="77777777" w:rsidR="009B68F0" w:rsidRDefault="009B68F0" w:rsidP="00186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42E63" w14:textId="34B57C2D" w:rsidR="006A24B3" w:rsidRDefault="006A24B3">
    <w:pPr>
      <w:pStyle w:val="Header"/>
    </w:pPr>
    <w:r>
      <w:rPr>
        <w:noProof/>
      </w:rPr>
      <w:pict w14:anchorId="62356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B3AC" w14:textId="3F2FCD55" w:rsidR="006A24B3" w:rsidRDefault="006A24B3">
    <w:pPr>
      <w:pStyle w:val="Header"/>
    </w:pPr>
    <w:r>
      <w:rPr>
        <w:noProof/>
      </w:rPr>
      <w:pict w14:anchorId="1FEC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FCA1E" w14:textId="58FB5B81" w:rsidR="006A24B3" w:rsidRDefault="006A24B3">
    <w:pPr>
      <w:pStyle w:val="Header"/>
    </w:pPr>
    <w:r>
      <w:rPr>
        <w:noProof/>
      </w:rPr>
      <w:pict w14:anchorId="77A6E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29B4"/>
    <w:multiLevelType w:val="hybridMultilevel"/>
    <w:tmpl w:val="D1F2B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B61845"/>
    <w:multiLevelType w:val="hybridMultilevel"/>
    <w:tmpl w:val="6E902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46A0A"/>
    <w:multiLevelType w:val="hybridMultilevel"/>
    <w:tmpl w:val="C396CB0E"/>
    <w:lvl w:ilvl="0" w:tplc="20000001">
      <w:start w:val="1"/>
      <w:numFmt w:val="bullet"/>
      <w:lvlText w:val=""/>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3" w15:restartNumberingAfterBreak="0">
    <w:nsid w:val="224C68F3"/>
    <w:multiLevelType w:val="hybridMultilevel"/>
    <w:tmpl w:val="7FEE4A80"/>
    <w:lvl w:ilvl="0" w:tplc="81F62F42">
      <w:start w:val="1"/>
      <w:numFmt w:val="decimal"/>
      <w:lvlText w:val="%1."/>
      <w:lvlJc w:val="left"/>
      <w:pPr>
        <w:ind w:left="720" w:hanging="360"/>
      </w:pPr>
      <w:rPr>
        <w:rFonts w:asciiTheme="minorHAnsi" w:hAnsiTheme="minorHAnsi" w:cstheme="minorBidi" w:hint="default"/>
        <w:b w:val="0"/>
        <w:color w:val="000000"/>
        <w:sz w:val="27"/>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4E2F74"/>
    <w:multiLevelType w:val="hybridMultilevel"/>
    <w:tmpl w:val="4CA85F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A36570E"/>
    <w:multiLevelType w:val="hybridMultilevel"/>
    <w:tmpl w:val="7FEE4A80"/>
    <w:lvl w:ilvl="0" w:tplc="81F62F42">
      <w:start w:val="1"/>
      <w:numFmt w:val="decimal"/>
      <w:lvlText w:val="%1."/>
      <w:lvlJc w:val="left"/>
      <w:pPr>
        <w:ind w:left="720" w:hanging="360"/>
      </w:pPr>
      <w:rPr>
        <w:rFonts w:asciiTheme="minorHAnsi" w:hAnsiTheme="minorHAnsi" w:cstheme="minorBidi" w:hint="default"/>
        <w:b w:val="0"/>
        <w:color w:val="000000"/>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7A295D"/>
    <w:multiLevelType w:val="hybridMultilevel"/>
    <w:tmpl w:val="3D3A4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1M7QEYhMTczMTAyUdpeDU4uLM/DyQApNaAFgwuHUsAAAA"/>
  </w:docVars>
  <w:rsids>
    <w:rsidRoot w:val="00D0343C"/>
    <w:rsid w:val="00027FF2"/>
    <w:rsid w:val="00041406"/>
    <w:rsid w:val="00042E24"/>
    <w:rsid w:val="000449A6"/>
    <w:rsid w:val="000601BE"/>
    <w:rsid w:val="000D1A7E"/>
    <w:rsid w:val="00135D5D"/>
    <w:rsid w:val="00155114"/>
    <w:rsid w:val="00181297"/>
    <w:rsid w:val="00186647"/>
    <w:rsid w:val="00191209"/>
    <w:rsid w:val="001A452C"/>
    <w:rsid w:val="001D3F51"/>
    <w:rsid w:val="0029652B"/>
    <w:rsid w:val="002A1FCC"/>
    <w:rsid w:val="002A4B79"/>
    <w:rsid w:val="002B28F3"/>
    <w:rsid w:val="002E2DAF"/>
    <w:rsid w:val="00320ABE"/>
    <w:rsid w:val="003860A2"/>
    <w:rsid w:val="004527E3"/>
    <w:rsid w:val="004636F5"/>
    <w:rsid w:val="00487C83"/>
    <w:rsid w:val="0049161C"/>
    <w:rsid w:val="004B660A"/>
    <w:rsid w:val="004D5976"/>
    <w:rsid w:val="004E5217"/>
    <w:rsid w:val="004F0DD8"/>
    <w:rsid w:val="00511215"/>
    <w:rsid w:val="00517B1A"/>
    <w:rsid w:val="00520318"/>
    <w:rsid w:val="005364AC"/>
    <w:rsid w:val="00571FC5"/>
    <w:rsid w:val="005A59DF"/>
    <w:rsid w:val="005F2B70"/>
    <w:rsid w:val="00602945"/>
    <w:rsid w:val="0067272B"/>
    <w:rsid w:val="006728C2"/>
    <w:rsid w:val="00672F4D"/>
    <w:rsid w:val="006A0DF0"/>
    <w:rsid w:val="006A1414"/>
    <w:rsid w:val="006A24B3"/>
    <w:rsid w:val="006F68B4"/>
    <w:rsid w:val="0072185C"/>
    <w:rsid w:val="007349C5"/>
    <w:rsid w:val="00735CB3"/>
    <w:rsid w:val="0075043D"/>
    <w:rsid w:val="0076393A"/>
    <w:rsid w:val="0078696D"/>
    <w:rsid w:val="007D05BA"/>
    <w:rsid w:val="007F57DD"/>
    <w:rsid w:val="00902BE2"/>
    <w:rsid w:val="00940545"/>
    <w:rsid w:val="00972739"/>
    <w:rsid w:val="0099247F"/>
    <w:rsid w:val="009A034F"/>
    <w:rsid w:val="009A197E"/>
    <w:rsid w:val="009B68F0"/>
    <w:rsid w:val="009C3BD0"/>
    <w:rsid w:val="00A408B0"/>
    <w:rsid w:val="00A64F39"/>
    <w:rsid w:val="00AA542F"/>
    <w:rsid w:val="00AF3C70"/>
    <w:rsid w:val="00B037A1"/>
    <w:rsid w:val="00B255AE"/>
    <w:rsid w:val="00B46098"/>
    <w:rsid w:val="00B46A4F"/>
    <w:rsid w:val="00B520A7"/>
    <w:rsid w:val="00B60BE0"/>
    <w:rsid w:val="00B72E00"/>
    <w:rsid w:val="00B829D2"/>
    <w:rsid w:val="00BA6448"/>
    <w:rsid w:val="00BD0B49"/>
    <w:rsid w:val="00C35899"/>
    <w:rsid w:val="00C42B89"/>
    <w:rsid w:val="00C55691"/>
    <w:rsid w:val="00C60253"/>
    <w:rsid w:val="00CE2791"/>
    <w:rsid w:val="00D0343C"/>
    <w:rsid w:val="00D61807"/>
    <w:rsid w:val="00D65236"/>
    <w:rsid w:val="00DA6AE1"/>
    <w:rsid w:val="00DB5CCF"/>
    <w:rsid w:val="00DB745E"/>
    <w:rsid w:val="00DC6885"/>
    <w:rsid w:val="00DE3BDF"/>
    <w:rsid w:val="00DF1AF0"/>
    <w:rsid w:val="00E554FD"/>
    <w:rsid w:val="00EC3316"/>
    <w:rsid w:val="00EC50AD"/>
    <w:rsid w:val="00F022CF"/>
    <w:rsid w:val="00F42454"/>
    <w:rsid w:val="00F46CC6"/>
    <w:rsid w:val="00F700C0"/>
    <w:rsid w:val="00F83304"/>
    <w:rsid w:val="00FA4EFA"/>
    <w:rsid w:val="00FB11A8"/>
    <w:rsid w:val="00F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F53C4E"/>
  <w15:docId w15:val="{D3FAF6BA-E49B-4E53-9501-68509E07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CCF"/>
  </w:style>
  <w:style w:type="paragraph" w:styleId="Heading4">
    <w:name w:val="heading 4"/>
    <w:basedOn w:val="Normal"/>
    <w:link w:val="Heading4Char"/>
    <w:uiPriority w:val="9"/>
    <w:qFormat/>
    <w:rsid w:val="005A59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59DF"/>
    <w:rPr>
      <w:rFonts w:ascii="Times New Roman" w:eastAsia="Times New Roman" w:hAnsi="Times New Roman" w:cs="Times New Roman"/>
      <w:b/>
      <w:bCs/>
      <w:sz w:val="24"/>
      <w:szCs w:val="24"/>
    </w:rPr>
  </w:style>
  <w:style w:type="paragraph" w:styleId="ListParagraph">
    <w:name w:val="List Paragraph"/>
    <w:basedOn w:val="Normal"/>
    <w:uiPriority w:val="34"/>
    <w:qFormat/>
    <w:rsid w:val="00BD0B49"/>
    <w:pPr>
      <w:ind w:left="720"/>
      <w:contextualSpacing/>
    </w:pPr>
  </w:style>
  <w:style w:type="character" w:styleId="Hyperlink">
    <w:name w:val="Hyperlink"/>
    <w:basedOn w:val="DefaultParagraphFont"/>
    <w:uiPriority w:val="99"/>
    <w:unhideWhenUsed/>
    <w:rsid w:val="005364AC"/>
    <w:rPr>
      <w:color w:val="0000FF" w:themeColor="hyperlink"/>
      <w:u w:val="single"/>
    </w:rPr>
  </w:style>
  <w:style w:type="paragraph" w:styleId="TableofFigures">
    <w:name w:val="table of figures"/>
    <w:basedOn w:val="Normal"/>
    <w:next w:val="Normal"/>
    <w:uiPriority w:val="99"/>
    <w:unhideWhenUsed/>
    <w:rsid w:val="005364AC"/>
    <w:pPr>
      <w:spacing w:after="0" w:line="259" w:lineRule="auto"/>
    </w:pPr>
    <w:rPr>
      <w:rFonts w:ascii="Arial" w:hAnsi="Arial" w:cs="Shruti"/>
      <w:lang w:val="en-IN"/>
    </w:rPr>
  </w:style>
  <w:style w:type="table" w:styleId="TableGrid">
    <w:name w:val="Table Grid"/>
    <w:basedOn w:val="TableNormal"/>
    <w:uiPriority w:val="39"/>
    <w:rsid w:val="00BA6448"/>
    <w:pPr>
      <w:spacing w:after="0" w:line="240" w:lineRule="auto"/>
    </w:pPr>
    <w:rPr>
      <w:rFonts w:ascii="Arial" w:hAnsi="Arial" w:cs="Shrut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42B89"/>
  </w:style>
  <w:style w:type="paragraph" w:styleId="Caption">
    <w:name w:val="caption"/>
    <w:basedOn w:val="Normal"/>
    <w:next w:val="Normal"/>
    <w:uiPriority w:val="35"/>
    <w:unhideWhenUsed/>
    <w:qFormat/>
    <w:rsid w:val="004F0DD8"/>
    <w:pPr>
      <w:spacing w:after="160" w:line="240" w:lineRule="auto"/>
    </w:pPr>
    <w:rPr>
      <w:rFonts w:ascii="Arial" w:hAnsi="Arial" w:cs="Shruti"/>
      <w:i/>
      <w:iCs/>
      <w:color w:val="1F497D" w:themeColor="text2"/>
      <w:sz w:val="18"/>
      <w:szCs w:val="18"/>
      <w:lang w:val="en-IN"/>
    </w:rPr>
  </w:style>
  <w:style w:type="character" w:styleId="UnresolvedMention">
    <w:name w:val="Unresolved Mention"/>
    <w:basedOn w:val="DefaultParagraphFont"/>
    <w:uiPriority w:val="99"/>
    <w:semiHidden/>
    <w:unhideWhenUsed/>
    <w:rsid w:val="009A197E"/>
    <w:rPr>
      <w:color w:val="605E5C"/>
      <w:shd w:val="clear" w:color="auto" w:fill="E1DFDD"/>
    </w:rPr>
  </w:style>
  <w:style w:type="paragraph" w:styleId="Header">
    <w:name w:val="header"/>
    <w:basedOn w:val="Normal"/>
    <w:link w:val="HeaderChar"/>
    <w:uiPriority w:val="99"/>
    <w:unhideWhenUsed/>
    <w:rsid w:val="0018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47"/>
  </w:style>
  <w:style w:type="paragraph" w:styleId="Footer">
    <w:name w:val="footer"/>
    <w:basedOn w:val="Normal"/>
    <w:link w:val="FooterChar"/>
    <w:uiPriority w:val="99"/>
    <w:unhideWhenUsed/>
    <w:rsid w:val="0018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84115">
      <w:bodyDiv w:val="1"/>
      <w:marLeft w:val="0"/>
      <w:marRight w:val="0"/>
      <w:marTop w:val="0"/>
      <w:marBottom w:val="0"/>
      <w:divBdr>
        <w:top w:val="none" w:sz="0" w:space="0" w:color="auto"/>
        <w:left w:val="none" w:sz="0" w:space="0" w:color="auto"/>
        <w:bottom w:val="none" w:sz="0" w:space="0" w:color="auto"/>
        <w:right w:val="none" w:sz="0" w:space="0" w:color="auto"/>
      </w:divBdr>
    </w:div>
    <w:div w:id="1279796283">
      <w:bodyDiv w:val="1"/>
      <w:marLeft w:val="0"/>
      <w:marRight w:val="0"/>
      <w:marTop w:val="0"/>
      <w:marBottom w:val="0"/>
      <w:divBdr>
        <w:top w:val="none" w:sz="0" w:space="0" w:color="auto"/>
        <w:left w:val="none" w:sz="0" w:space="0" w:color="auto"/>
        <w:bottom w:val="none" w:sz="0" w:space="0" w:color="auto"/>
        <w:right w:val="none" w:sz="0" w:space="0" w:color="auto"/>
      </w:divBdr>
    </w:div>
    <w:div w:id="13194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ert.org/node/39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human-immunodeficiency-viru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ciencedirect.com/topics/social-sciences/remuner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igerianwiki.xyz/history-national-agency-for-the-control-of-aids-na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19B11-04D2-48AA-9A1A-DBEAA770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15083</Words>
  <Characters>85976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kamadjeur</dc:creator>
  <cp:lastModifiedBy>SDI 1084</cp:lastModifiedBy>
  <cp:revision>15</cp:revision>
  <dcterms:created xsi:type="dcterms:W3CDTF">2025-03-16T18:04:00Z</dcterms:created>
  <dcterms:modified xsi:type="dcterms:W3CDTF">2025-03-17T07:59:00Z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id="JlNtrlB2"/&gt;&lt;style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