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BB602" w14:textId="77777777" w:rsidR="00754C9A" w:rsidRDefault="00754C9A" w:rsidP="00441B6F">
      <w:pPr>
        <w:pStyle w:val="Title"/>
        <w:spacing w:after="0"/>
        <w:jc w:val="both"/>
        <w:rPr>
          <w:rFonts w:ascii="Arial" w:hAnsi="Arial" w:cs="Arial"/>
        </w:rPr>
      </w:pPr>
    </w:p>
    <w:p w14:paraId="14D595C8" w14:textId="4937B0E1" w:rsidR="00DC047D" w:rsidRPr="00DC047D" w:rsidRDefault="00DC047D" w:rsidP="00DC047D">
      <w:pPr>
        <w:pBdr>
          <w:top w:val="nil"/>
          <w:left w:val="nil"/>
          <w:bottom w:val="nil"/>
          <w:right w:val="nil"/>
          <w:between w:val="nil"/>
        </w:pBdr>
        <w:spacing w:after="225"/>
        <w:jc w:val="right"/>
        <w:rPr>
          <w:rFonts w:ascii="Arial" w:hAnsi="Arial" w:cs="Arial"/>
          <w:b/>
          <w:bCs/>
          <w:color w:val="000000"/>
          <w:sz w:val="36"/>
          <w:szCs w:val="36"/>
        </w:rPr>
      </w:pPr>
      <w:r w:rsidRPr="00DC047D">
        <w:rPr>
          <w:rFonts w:ascii="Arial" w:hAnsi="Arial" w:cs="Arial"/>
          <w:b/>
          <w:bCs/>
          <w:color w:val="000000"/>
          <w:sz w:val="36"/>
          <w:szCs w:val="36"/>
        </w:rPr>
        <w:t xml:space="preserve">Hospitalizations due to Covid-19 in a public hospital of Sistema </w:t>
      </w:r>
      <w:proofErr w:type="spellStart"/>
      <w:r w:rsidRPr="00DC047D">
        <w:rPr>
          <w:rFonts w:ascii="Arial" w:hAnsi="Arial" w:cs="Arial"/>
          <w:b/>
          <w:bCs/>
          <w:color w:val="000000"/>
          <w:sz w:val="36"/>
          <w:szCs w:val="36"/>
        </w:rPr>
        <w:t>Único</w:t>
      </w:r>
      <w:proofErr w:type="spellEnd"/>
      <w:r w:rsidRPr="00DC047D">
        <w:rPr>
          <w:rFonts w:ascii="Arial" w:hAnsi="Arial" w:cs="Arial"/>
          <w:b/>
          <w:bCs/>
          <w:color w:val="000000"/>
          <w:sz w:val="36"/>
          <w:szCs w:val="36"/>
        </w:rPr>
        <w:t xml:space="preserve"> de </w:t>
      </w:r>
      <w:proofErr w:type="spellStart"/>
      <w:r w:rsidRPr="00DC047D">
        <w:rPr>
          <w:rFonts w:ascii="Arial" w:hAnsi="Arial" w:cs="Arial"/>
          <w:b/>
          <w:bCs/>
          <w:color w:val="000000"/>
          <w:sz w:val="36"/>
          <w:szCs w:val="36"/>
        </w:rPr>
        <w:t>Saúde</w:t>
      </w:r>
      <w:proofErr w:type="spellEnd"/>
      <w:r w:rsidRPr="00DC047D">
        <w:rPr>
          <w:rFonts w:ascii="Arial" w:hAnsi="Arial" w:cs="Arial"/>
          <w:b/>
          <w:bCs/>
          <w:color w:val="000000"/>
          <w:sz w:val="36"/>
          <w:szCs w:val="36"/>
        </w:rPr>
        <w:t xml:space="preserve"> (SUS), Brazil</w:t>
      </w:r>
    </w:p>
    <w:p w14:paraId="2644E2F4" w14:textId="77777777" w:rsidR="00A258C3" w:rsidRPr="00790ADA" w:rsidRDefault="00A258C3" w:rsidP="00441B6F">
      <w:pPr>
        <w:pStyle w:val="Author"/>
        <w:spacing w:line="240" w:lineRule="auto"/>
        <w:jc w:val="both"/>
        <w:rPr>
          <w:rFonts w:ascii="Arial" w:hAnsi="Arial" w:cs="Arial"/>
          <w:sz w:val="36"/>
        </w:rPr>
      </w:pPr>
    </w:p>
    <w:p w14:paraId="74D7817A" w14:textId="77777777" w:rsidR="002C57D2" w:rsidRPr="00FB3A86" w:rsidRDefault="002C57D2" w:rsidP="00441B6F">
      <w:pPr>
        <w:pStyle w:val="Affiliation"/>
        <w:spacing w:after="0" w:line="240" w:lineRule="auto"/>
        <w:jc w:val="both"/>
        <w:rPr>
          <w:rFonts w:ascii="Arial" w:hAnsi="Arial" w:cs="Arial"/>
        </w:rPr>
      </w:pPr>
    </w:p>
    <w:p w14:paraId="0A8F2D9E" w14:textId="62EF72DE" w:rsidR="00B01FCD" w:rsidRPr="00FB3A86" w:rsidRDefault="00C31FCB" w:rsidP="00441B6F">
      <w:pPr>
        <w:pStyle w:val="Copyright"/>
        <w:spacing w:after="0" w:line="240" w:lineRule="auto"/>
        <w:jc w:val="both"/>
        <w:rPr>
          <w:rFonts w:ascii="Arial" w:hAnsi="Arial" w:cs="Arial"/>
        </w:rPr>
        <w:sectPr w:rsidR="00B01FCD" w:rsidRPr="00FB3A86" w:rsidSect="0009575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4AC73C0" wp14:editId="1D084FF0">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914685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31D5C976" w14:textId="77413169"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19E7D2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90DEBBE" w14:textId="77777777" w:rsidTr="001E44FE">
        <w:tc>
          <w:tcPr>
            <w:tcW w:w="9576" w:type="dxa"/>
            <w:shd w:val="clear" w:color="auto" w:fill="F2F2F2"/>
          </w:tcPr>
          <w:p w14:paraId="1EB8F7FA" w14:textId="045E065E" w:rsidR="00505F06" w:rsidRPr="00BA1B01" w:rsidRDefault="00850A40" w:rsidP="00850A40">
            <w:pPr>
              <w:jc w:val="both"/>
              <w:rPr>
                <w:rFonts w:ascii="Arial" w:eastAsia="Calibri" w:hAnsi="Arial" w:cs="Arial"/>
                <w:szCs w:val="22"/>
              </w:rPr>
            </w:pPr>
            <w:r>
              <w:rPr>
                <w:rFonts w:ascii="Arial" w:hAnsi="Arial" w:cs="Arial"/>
                <w:b/>
                <w:bCs/>
              </w:rPr>
              <w:t xml:space="preserve">Background: </w:t>
            </w:r>
            <w:r w:rsidRPr="007053C9">
              <w:rPr>
                <w:rFonts w:ascii="Arial" w:hAnsi="Arial" w:cs="Arial"/>
              </w:rPr>
              <w:t xml:space="preserve">Covid-19 began in Wuhan, China, at the end of 2019 and was declared a pandemic on March 11, 2020. The risk groups related to a serious outcome are: age </w:t>
            </w:r>
            <w:r>
              <w:rPr>
                <w:rFonts w:ascii="Arial" w:hAnsi="Arial" w:cs="Arial"/>
              </w:rPr>
              <w:t>&gt;</w:t>
            </w:r>
            <w:r w:rsidRPr="007053C9">
              <w:rPr>
                <w:rFonts w:ascii="Arial" w:hAnsi="Arial" w:cs="Arial"/>
              </w:rPr>
              <w:t xml:space="preserve">75 years, men, severe obesity, hypertension, diabetes and cardiovascular and respiratory diseases. </w:t>
            </w:r>
            <w:r w:rsidRPr="006B0F6C">
              <w:rPr>
                <w:rFonts w:ascii="Arial" w:hAnsi="Arial" w:cs="Arial"/>
                <w:b/>
                <w:bCs/>
              </w:rPr>
              <w:t xml:space="preserve">Objective: </w:t>
            </w:r>
            <w:r w:rsidRPr="006B0F6C">
              <w:rPr>
                <w:rFonts w:ascii="Arial" w:hAnsi="Arial" w:cs="Arial"/>
              </w:rPr>
              <w:t xml:space="preserve">Covid-19 started in China at the end of 2019 and was declared a pandemic in March 2020. This study aims to identify the profile of patients with Covid-19 and their clinical outcome in a hospital of the Unified Health System, in the first two years of the pandemic. </w:t>
            </w:r>
            <w:r w:rsidRPr="006B0F6C">
              <w:rPr>
                <w:rFonts w:ascii="Arial" w:hAnsi="Arial" w:cs="Arial"/>
                <w:b/>
                <w:bCs/>
              </w:rPr>
              <w:t>Methods:</w:t>
            </w:r>
            <w:r w:rsidRPr="006B0F6C">
              <w:rPr>
                <w:rFonts w:ascii="Arial" w:hAnsi="Arial" w:cs="Arial"/>
              </w:rPr>
              <w:t xml:space="preserve"> This is a retrospective, descriptive study with a quantitative approach. The sample consisted of 285 medical records. </w:t>
            </w:r>
            <w:r w:rsidRPr="006B0F6C">
              <w:rPr>
                <w:rFonts w:ascii="Arial" w:hAnsi="Arial" w:cs="Arial"/>
                <w:b/>
                <w:bCs/>
              </w:rPr>
              <w:t>Results:</w:t>
            </w:r>
            <w:r w:rsidRPr="006B0F6C">
              <w:rPr>
                <w:rFonts w:ascii="Arial" w:hAnsi="Arial" w:cs="Arial"/>
              </w:rPr>
              <w:t xml:space="preserve"> There was a predominance of white males with primary and secondary education. Comorbidities increased in the second year, with hypertension and type II diabetes mellitus standing out. The nurse's station was predominant in year 1 and the intensive care unit in year 2. The spectacle-type nasal cannula was widely used in both years, while orotracheal intubation prevailed in the second year. As for the outcome, discharge or death, there were variations in terms of age, place and time of hospitalization, method of ventilatory support and pulmonary impairment between the two groups. </w:t>
            </w:r>
            <w:r w:rsidRPr="007053C9">
              <w:rPr>
                <w:rFonts w:ascii="Arial" w:hAnsi="Arial" w:cs="Arial"/>
                <w:b/>
                <w:bCs/>
              </w:rPr>
              <w:t>Conclusions</w:t>
            </w:r>
            <w:r w:rsidRPr="006B0F6C">
              <w:rPr>
                <w:rFonts w:ascii="Arial" w:hAnsi="Arial" w:cs="Arial"/>
              </w:rPr>
              <w:t>: The study contributes to a better understanding of the factors involved and the outcomes of Covid-19 hospitalizations and highlights the relevance of public policies aimed at preventing possible new pandemics.</w:t>
            </w:r>
          </w:p>
        </w:tc>
      </w:tr>
    </w:tbl>
    <w:p w14:paraId="66199B28" w14:textId="77777777" w:rsidR="00636EB2" w:rsidRDefault="00636EB2" w:rsidP="00441B6F">
      <w:pPr>
        <w:pStyle w:val="Body"/>
        <w:spacing w:after="0"/>
        <w:rPr>
          <w:rFonts w:ascii="Arial" w:hAnsi="Arial" w:cs="Arial"/>
          <w:i/>
        </w:rPr>
      </w:pPr>
    </w:p>
    <w:p w14:paraId="7F624424" w14:textId="39EB232D" w:rsidR="00A24E7E" w:rsidRDefault="00A24E7E" w:rsidP="00441B6F">
      <w:pPr>
        <w:pStyle w:val="Body"/>
        <w:spacing w:after="0"/>
        <w:rPr>
          <w:rFonts w:ascii="Arial" w:hAnsi="Arial" w:cs="Arial"/>
          <w:i/>
        </w:rPr>
      </w:pPr>
      <w:r>
        <w:rPr>
          <w:rFonts w:ascii="Arial" w:hAnsi="Arial" w:cs="Arial"/>
          <w:i/>
        </w:rPr>
        <w:t xml:space="preserve">Keywords: </w:t>
      </w:r>
      <w:r w:rsidR="00850A40" w:rsidRPr="00850A40">
        <w:rPr>
          <w:rFonts w:ascii="Arial" w:hAnsi="Arial" w:cs="Arial"/>
          <w:i/>
          <w:iCs/>
          <w:color w:val="000000"/>
        </w:rPr>
        <w:t>Brazil</w:t>
      </w:r>
      <w:r w:rsidR="00850A40">
        <w:rPr>
          <w:rFonts w:ascii="Arial" w:hAnsi="Arial" w:cs="Arial"/>
          <w:i/>
          <w:iCs/>
          <w:color w:val="000000"/>
        </w:rPr>
        <w:t xml:space="preserve">; </w:t>
      </w:r>
      <w:r w:rsidR="00850A40" w:rsidRPr="00850A40">
        <w:rPr>
          <w:rFonts w:ascii="Arial" w:hAnsi="Arial" w:cs="Arial"/>
          <w:i/>
          <w:iCs/>
          <w:color w:val="000000"/>
        </w:rPr>
        <w:t xml:space="preserve">Covid-19 </w:t>
      </w:r>
      <w:proofErr w:type="gramStart"/>
      <w:r w:rsidR="00850A40" w:rsidRPr="00850A40">
        <w:rPr>
          <w:rFonts w:ascii="Arial" w:hAnsi="Arial" w:cs="Arial"/>
          <w:i/>
          <w:iCs/>
          <w:color w:val="000000"/>
        </w:rPr>
        <w:t>Pandemic;  Epidemiology</w:t>
      </w:r>
      <w:proofErr w:type="gramEnd"/>
      <w:r w:rsidR="00850A40">
        <w:rPr>
          <w:rFonts w:ascii="Arial" w:hAnsi="Arial" w:cs="Arial"/>
          <w:i/>
          <w:iCs/>
          <w:color w:val="000000"/>
        </w:rPr>
        <w:t>;</w:t>
      </w:r>
      <w:r w:rsidR="00850A40" w:rsidRPr="00850A40">
        <w:rPr>
          <w:rFonts w:ascii="Arial" w:hAnsi="Arial" w:cs="Arial"/>
          <w:i/>
          <w:iCs/>
          <w:color w:val="000000"/>
        </w:rPr>
        <w:t xml:space="preserve"> Respiratory Tract Diseases.</w:t>
      </w:r>
      <w:r w:rsidR="00850A40">
        <w:rPr>
          <w:rFonts w:ascii="Arial" w:hAnsi="Arial" w:cs="Arial"/>
          <w:color w:val="000000"/>
        </w:rPr>
        <w:t xml:space="preserve"> </w:t>
      </w:r>
    </w:p>
    <w:p w14:paraId="77DD0785" w14:textId="77777777" w:rsidR="00790ADA" w:rsidRDefault="00790ADA" w:rsidP="00441B6F">
      <w:pPr>
        <w:pStyle w:val="Body"/>
        <w:spacing w:after="0"/>
        <w:rPr>
          <w:rFonts w:ascii="Arial" w:hAnsi="Arial" w:cs="Arial"/>
          <w:i/>
        </w:rPr>
      </w:pPr>
    </w:p>
    <w:p w14:paraId="22B5B4D1" w14:textId="77777777" w:rsidR="00505F06" w:rsidRPr="00A24E7E" w:rsidRDefault="00505F06" w:rsidP="00441B6F">
      <w:pPr>
        <w:pStyle w:val="Body"/>
        <w:spacing w:after="0"/>
        <w:rPr>
          <w:rFonts w:ascii="Arial" w:hAnsi="Arial" w:cs="Arial"/>
          <w:i/>
        </w:rPr>
      </w:pPr>
    </w:p>
    <w:p w14:paraId="2FE688CC" w14:textId="776092D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6CFEBFF" w14:textId="47F6FD2A" w:rsidR="00B0258C" w:rsidRDefault="00B0258C" w:rsidP="00441B6F">
      <w:pPr>
        <w:pStyle w:val="Body"/>
        <w:spacing w:after="0"/>
        <w:rPr>
          <w:rFonts w:ascii="Arial" w:hAnsi="Arial" w:cs="Arial"/>
        </w:rPr>
      </w:pPr>
    </w:p>
    <w:p w14:paraId="0276019B" w14:textId="77777777" w:rsidR="00B0258C" w:rsidRPr="006B0F6C" w:rsidRDefault="00B0258C" w:rsidP="00B0258C">
      <w:pPr>
        <w:jc w:val="both"/>
        <w:rPr>
          <w:rFonts w:ascii="Arial" w:hAnsi="Arial" w:cs="Arial"/>
        </w:rPr>
      </w:pPr>
      <w:r w:rsidRPr="006B0F6C">
        <w:rPr>
          <w:rFonts w:ascii="Arial" w:hAnsi="Arial" w:cs="Arial"/>
        </w:rPr>
        <w:t xml:space="preserve">According to the World Health Organization </w:t>
      </w:r>
      <w:r w:rsidRPr="006B0F6C">
        <w:rPr>
          <w:rFonts w:ascii="Arial" w:hAnsi="Arial" w:cs="Arial"/>
        </w:rPr>
        <w:fldChar w:fldCharType="begin"/>
      </w:r>
      <w:r w:rsidRPr="006B0F6C">
        <w:rPr>
          <w:rFonts w:ascii="Arial" w:hAnsi="Arial" w:cs="Arial"/>
        </w:rPr>
        <w:instrText xml:space="preserve"> ADDIN ZOTERO_ITEM CSL_CITATION {"citationID":"snwnDWuD","properties":{"formattedCitation":"(Organiza\\uc0\\u231{}\\uc0\\u227{}o Pan-Americana de Sa\\uc0\\u250{}de, 2020)","plainCitation":"(Organização Pan-Americana de Saúde, 2020)","noteIndex":0},"citationItems":[{"id":455,"uris":["http://zotero.org/users/16006184/items/HM6BG7Z6"],"itemData":{"id":455,"type":"webpage","abstract":"11 de março de 2020 – O diretor-geral da Organização Mundial da Saúde (OMS), Tedros Adhanom Ghebreyesus, anunciou nesta quarta-feira (11), em Genebra, na Suíça, que a COVID-19, doença causada pelo novo coronavírus, é agora caracterizada como uma pandemia. “Atualmente, existem mais de 118 mil casos em 114 países e 4,2 mil pessoas perderam a vida. Outras milhares estão lutando por suas vidas em hospitais. Nos próximos dias e semanas, esperamos ver o número de casos, o número de mortes e o número de países afetados aumentar ainda mais”, afirmou Tedros.","container-title":"OPAS","language":"pt-br","title":"OMS afirma que COVID-19 é agora caracterizada como pandemia - OPAS/OMS | Organização Pan-Americana da Saúde","URL":"https://www.paho.org/pt/news/11-3-2020-who-characterizes-covid-19-pandemic","author":[{"literal":"Organização Pan-Americana de Saúde"}],"accessed":{"date-parts":[["2022",3,17]]},"issued":{"date-parts":[["2020",3,11]]}}}],"schema":"https://github.com/citation-style-language/schema/raw/master/csl-citation.json"} </w:instrText>
      </w:r>
      <w:r w:rsidRPr="006B0F6C">
        <w:rPr>
          <w:rFonts w:ascii="Arial" w:hAnsi="Arial" w:cs="Arial"/>
        </w:rPr>
        <w:fldChar w:fldCharType="separate"/>
      </w:r>
      <w:r w:rsidRPr="006B0F6C">
        <w:rPr>
          <w:rFonts w:ascii="Arial" w:hAnsi="Arial" w:cs="Arial"/>
        </w:rPr>
        <w:t>(Organização Pan-Americana de Saúde, 2020)</w:t>
      </w:r>
      <w:r w:rsidRPr="006B0F6C">
        <w:rPr>
          <w:rFonts w:ascii="Arial" w:hAnsi="Arial" w:cs="Arial"/>
        </w:rPr>
        <w:fldChar w:fldCharType="end"/>
      </w:r>
      <w:r w:rsidRPr="006B0F6C">
        <w:rPr>
          <w:rFonts w:ascii="Arial" w:hAnsi="Arial" w:cs="Arial"/>
        </w:rPr>
        <w:t xml:space="preserve">, the Covid-19 epidemic began in the city of Wuhan, China, at the end of 2019 and quickly spread worldwide, being declared a pandemic on March 11, 2020. Men have a higher risk of infection compared to women and of developing the severe form of Covid-19 disease, requiring hospitalization in an intensive care unit and resulting in more often death </w:t>
      </w:r>
      <w:r w:rsidRPr="006B0F6C">
        <w:rPr>
          <w:rFonts w:ascii="Arial" w:hAnsi="Arial" w:cs="Arial"/>
        </w:rPr>
        <w:fldChar w:fldCharType="begin"/>
      </w:r>
      <w:r w:rsidRPr="006B0F6C">
        <w:rPr>
          <w:rFonts w:ascii="Arial" w:hAnsi="Arial" w:cs="Arial"/>
        </w:rPr>
        <w:instrText xml:space="preserve"> ADDIN ZOTERO_ITEM CSL_CITATION {"citationID":"U8nV6bQK","properties":{"formattedCitation":"(Pijls et al., 2021)","plainCitation":"(Pijls et al., 2021)","noteIndex":0},"citationItems":[{"id":431,"uris":["http://zotero.org/users/16006184/items/SIGYMA2N"],"itemData":{"id":431,"type":"article-journal","abstract":"Objective We aimed to describe the associations of age and sex with the risk of COVID-19 in different severity stages ranging from infection to death.\nDesign Systematic review and meta-analysis.\nData sources PubMed and Embase through 4 May 2020.\nStudy selection We considered cohort and case–control studies that evaluated differences in age and sex on the risk of COVID-19 infection, disease severity, intensive care unit (ICU) admission and death.\nData extraction and synthesis We screened and included studies using standardised electronic data extraction forms and we pooled data from published studies and data acquired by contacting authors using random effects meta-analysis. We assessed the risk of bias using the Newcastle-Ottawa Scale.\nResults We screened 11.550 titles and included 59 studies comprising 36.470 patients in the analyses. The methodological quality of the included papers was high (8.2 out of 9). Men had a higher risk for infection with COVID-19 than women (relative risk (RR) 1.08, 95% CI 1.03 to 1.12). When infected, they also had a higher risk for severe COVID-19 disease (RR 1.18, 95% CI 1.10 to 1.27), a higher need for intensive care (RR 1.38, 95% CI 1.09 to 1.74) and a higher risk of death (RR 1.50, 95% CI 1.18 to 1.91). The analyses also showed that patients aged 70 years and above have a higher infection risk (RR 1.65, 95% CI 1.50 to 1.81), a higher risk for severe COVID-19 disease (RR 2.05, 95% CI 1.27 to 3.32), a higher need for intensive care (RR 2.70, 95% CI 1.59 to 4.60) and a higher risk of death once infected (RR 3.61, 95% CI 2.70 to 4.84) compared with patients younger than 70 years.\nConclusions Meta-analyses on 59 studies comprising 36.470 patients showed that men and patients aged 70 and above have a higher risk for COVID-19 infection, severe disease, ICU admission and death.\nPROSPERO registration number CRD42020180085.","container-title":"BMJ Open","DOI":"10.1136/bmjopen-2020-044640","ISSN":"2044-6055, 2044-6055","issue":"1","language":"en","license":"© Author(s) (or their employer(s)) 2020. Re-use permitted under CC BY-NC. No commercial re-use. See rights and permissions. Published by BMJ.. http://creativecommons.org/licenses/by-nc/4.0/This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appropriate credit is given, any changes made indicated, and the use is non-commercial. See: http://creativecommons.org/licenses/by-nc/4.0/.","note":"publisher: British Medical Journal Publishing Group\nsection: Epidemiology\nPMID: 33431495","page":"e044640","source":"bmjopen.bmj.com","title":"Demographic risk factors for COVID-19 infection, severity, ICU admission and death: a meta-analysis of 59 studies","title-short":"Demographic risk factors for COVID-19 infection, severity, ICU admission and death","URL":"https://bmjopen.bmj.com/content/11/1/e044640","volume":"11","author":[{"family":"Pijls","given":"Bart G."},{"family":"Jolani","given":"Shahab"},{"family":"Atherley","given":"Anique"},{"family":"Derckx","given":"Raissa T."},{"family":"Dijkstra","given":"Janna I. R."},{"family":"Franssen","given":"Gregor H. L."},{"family":"Hendriks","given":"Stevie"},{"family":"Richters","given":"Anke"},{"family":"Venemans-Jellema","given":"Annemarie"},{"family":"Zalpuri","given":"Saurabh"},{"family":"Zeegers","given":"Maurice P."}],"accessed":{"date-parts":[["2025",3,5]]},"issued":{"date-parts":[["2021",1,1]]}}}],"schema":"https://github.com/citation-style-language/schema/raw/master/csl-citation.json"} </w:instrText>
      </w:r>
      <w:r w:rsidRPr="006B0F6C">
        <w:rPr>
          <w:rFonts w:ascii="Arial" w:hAnsi="Arial" w:cs="Arial"/>
        </w:rPr>
        <w:fldChar w:fldCharType="separate"/>
      </w:r>
      <w:r w:rsidRPr="006B0F6C">
        <w:rPr>
          <w:rFonts w:ascii="Arial" w:hAnsi="Arial" w:cs="Arial"/>
          <w:noProof/>
        </w:rPr>
        <w:t>(Pijls et al., 2021)</w:t>
      </w:r>
      <w:r w:rsidRPr="006B0F6C">
        <w:rPr>
          <w:rFonts w:ascii="Arial" w:hAnsi="Arial" w:cs="Arial"/>
        </w:rPr>
        <w:fldChar w:fldCharType="end"/>
      </w:r>
      <w:r w:rsidRPr="006B0F6C">
        <w:rPr>
          <w:rFonts w:ascii="Arial" w:hAnsi="Arial" w:cs="Arial"/>
        </w:rPr>
        <w:t>.</w:t>
      </w:r>
    </w:p>
    <w:p w14:paraId="04285A26" w14:textId="77777777" w:rsidR="00B0258C" w:rsidRPr="006B0F6C" w:rsidRDefault="00B0258C" w:rsidP="00B0258C">
      <w:pPr>
        <w:jc w:val="both"/>
        <w:rPr>
          <w:rFonts w:ascii="Arial" w:hAnsi="Arial" w:cs="Arial"/>
        </w:rPr>
      </w:pPr>
      <w:r w:rsidRPr="006B0F6C">
        <w:rPr>
          <w:rFonts w:ascii="Arial" w:hAnsi="Arial" w:cs="Arial"/>
        </w:rPr>
        <w:t xml:space="preserve">Patients with SARS-CoV-2 infection have a wide range of symptoms, with mild to moderate cases usually characterized by fever, cough, odynophagia, malaise, headache, dyspnea and tachypnea. Severe cases can present with pneumonia, acute respiratory symptoms and septic shock </w:t>
      </w:r>
      <w:r w:rsidRPr="006B0F6C">
        <w:rPr>
          <w:rFonts w:ascii="Arial" w:hAnsi="Arial" w:cs="Arial"/>
        </w:rPr>
        <w:fldChar w:fldCharType="begin"/>
      </w:r>
      <w:r w:rsidRPr="006B0F6C">
        <w:rPr>
          <w:rFonts w:ascii="Arial" w:hAnsi="Arial" w:cs="Arial"/>
        </w:rPr>
        <w:instrText xml:space="preserve"> ADDIN ZOTERO_ITEM CSL_CITATION {"citationID":"PPS7TR1t","properties":{"formattedCitation":"(Mahalmani et al., 2020)","plainCitation":"(Mahalmani et al., 2020)","noteIndex":0},"citationItems":[{"id":418,"uris":["http://zotero.org/users/16006184/items/KW2UUGU2"],"itemData":{"id":418,"type":"article-journal","abstract":"In December 2019, severe acute respiratory syndrome-coronavirus-2, a novel coronavirus, initiated an outbreak of pneumonia from Wuhan in China, which rapidly spread worldwide. The clinical characteristics of the disease range from asymptomatic cases or mild symptoms, which include nonspecific symptoms such as fever, cough, sore throat, headache, and nasal congestion to severe cases such as pneumonia, respiratory failure demanding mechanical ventilation to multi-organ failure, sepsis, and death. As the transmission rate is quite alarming, we require an effective therapeutic strategy to treat symptomatic patients and adopt the preventive measures in order to contain the infection and prevent community transmission. Coronavirus disease 2019 (COVID-19) pandemic is a public health emergency of international concern, hence repurposing of the drugs is an attractive and a feasible option because PK/PD profile, toxicity profile, and drug interactions are already known. This review emphasizes on the different aspects of COVID-19 such as the epidemiology, etiopathogenesis, diagnosis, and preventive measures to be adopted in order to fight this pandemic. It also highlights upon the ethics preparedness and challenges faced by a developing country like India during such an outbreak. The review focuses on the various approaches adopted till date for developing effective therapeutic strategies including combination of drugs, vaccine therapy, and convalescent plasma therapy to combat this viral outbreak.","container-title":"Indian Journal of Pharmacology","DOI":"10.4103/ijp.IJP_310_20","ISSN":"0253-7613","issue":"2","language":"en-US","page":"117","source":"journals.lww.com","title":"COVID-19 pandemic: A review based on current evidence","title-short":"COVID-19 pandemic","URL":"https://journals.lww.com/iphr/fulltext/2020/52020/covid_19_pandemic__a_review_based_on_current.7.aspx","volume":"52","author":[{"family":"Mahalmani","given":"Vidya M."},{"family":"Mahendru","given":"Dhruv"},{"family":"Semwal","given":"Ankita"},{"family":"Kaur","given":"Sukhmeet"},{"family":"Kaur","given":"Harpinder"},{"family":"Sarma","given":"Phulen"},{"family":"Prakash","given":"Ajay"},{"family":"Medhi","given":"Bikash"}],"accessed":{"date-parts":[["2025",3,5]]},"issued":{"date-parts":[["2020",4]]}}}],"schema":"https://github.com/citation-style-language/schema/raw/master/csl-citation.json"} </w:instrText>
      </w:r>
      <w:r w:rsidRPr="006B0F6C">
        <w:rPr>
          <w:rFonts w:ascii="Arial" w:hAnsi="Arial" w:cs="Arial"/>
        </w:rPr>
        <w:fldChar w:fldCharType="separate"/>
      </w:r>
      <w:r w:rsidRPr="006B0F6C">
        <w:rPr>
          <w:rFonts w:ascii="Arial" w:hAnsi="Arial" w:cs="Arial"/>
          <w:noProof/>
        </w:rPr>
        <w:t>(Mahalmani et al., 2020)</w:t>
      </w:r>
      <w:r w:rsidRPr="006B0F6C">
        <w:rPr>
          <w:rFonts w:ascii="Arial" w:hAnsi="Arial" w:cs="Arial"/>
        </w:rPr>
        <w:fldChar w:fldCharType="end"/>
      </w:r>
      <w:r w:rsidRPr="006B0F6C">
        <w:rPr>
          <w:rFonts w:ascii="Arial" w:hAnsi="Arial" w:cs="Arial"/>
        </w:rPr>
        <w:t xml:space="preserve">. Patients with milder symptoms (80%) tend to improve after a week. On the other hand, patients with severe infection (14%) have a high risk of progression to acute lower respiratory infection leading to respiratory failure and/or organ dysfunction syndrome and death (5%) </w:t>
      </w:r>
      <w:r w:rsidRPr="006B0F6C">
        <w:rPr>
          <w:rFonts w:ascii="Arial" w:hAnsi="Arial" w:cs="Arial"/>
        </w:rPr>
        <w:fldChar w:fldCharType="begin"/>
      </w:r>
      <w:r w:rsidRPr="006B0F6C">
        <w:rPr>
          <w:rFonts w:ascii="Arial" w:hAnsi="Arial" w:cs="Arial"/>
        </w:rPr>
        <w:instrText xml:space="preserve"> ADDIN ZOTERO_ITEM CSL_CITATION {"citationID":"bLbAsJdY","properties":{"formattedCitation":"(Ghaebi et al., 2021)","plainCitation":"(Ghaebi et al., 2021)","noteIndex":0},"citationItems":[{"id":383,"uris":["http://zotero.org/users/16006184/items/NLAT7L5H"],"itemData":{"id":383,"type":"article-journal","abstract":"Severe coronavirus disease 2019 (COVID-19) caused by the Severe Acute Respiratory Syndrome coronavirus 2 (SARS-CoV-2) is characterized by an unpredictable disease course, with variable presentations of different organ systems. The clinical manifestations of COVID-19 are highly variable ranging from mild presentations to severe, life-threatening symptoms and the wide individual variability may be due to the broad heterogeneity in the underlying pathologies. There is no doubt that early management may have a major influence on the outcome. This led the scientists to search for ways to monitor disease progression or to predict outcomes in COVID-19. Although it is not yet possible to predict who will progress to the severe forms or in what time, numerous prospective and longitudinal studies represent the evidence for determining the potential immunological risk factors of COVID-19 critical disease and death. The kinetics and breadth of immune responses during COVID-19 appear to follow a trend which is consistent to the predominant pathological alterations. Recent publications have used these biomarkers to help identify patients who will develop the severe acute COVID-19. Of particular interest is the relationship between the kinetics of peripheral leukocytes and clinical progress of the disease in COVID-19. Although research is ongoing in this area, we present details about the current status of the evaluation. Understanding of the COVID-19 related alterations of the innate and adaptive immune responses may help to promote the vaccine development and immunological interventions.","container-title":"Life Sciences","DOI":"10.1016/j.lfs.2021.119503","ISSN":"0024-3205","journalAbbreviation":"Life Sciences","page":"119503","source":"ScienceDirect","title":"Risk factors for adverse outcomes of COVID-19 patients: Possible basis for diverse responses to the novel coronavirus SARS-CoV-2","title-short":"Risk factors for adverse outcomes of COVID-19 patients","URL":"https://www.sciencedirect.com/science/article/pii/S0024320521004884","volume":"277","author":[{"family":"Ghaebi","given":"Mahnaz"},{"family":"Tahmasebi","given":"Safa"},{"family":"Jozghorbani","given":"Maryam"},{"family":"Sadeghi","given":"Alireza"},{"family":"Thangavelu","given":"Lakshmi"},{"family":"Zekiy","given":"Angelina Olegovna"},{"family":"Esmaeilzadeh","given":"Abdolreza"}],"accessed":{"date-parts":[["2025",3,5]]},"issued":{"date-parts":[["2021",7,15]]}}}],"schema":"https://github.com/citation-style-language/schema/raw/master/csl-citation.json"} </w:instrText>
      </w:r>
      <w:r w:rsidRPr="006B0F6C">
        <w:rPr>
          <w:rFonts w:ascii="Arial" w:hAnsi="Arial" w:cs="Arial"/>
        </w:rPr>
        <w:fldChar w:fldCharType="separate"/>
      </w:r>
      <w:r w:rsidRPr="006B0F6C">
        <w:rPr>
          <w:rFonts w:ascii="Arial" w:hAnsi="Arial" w:cs="Arial"/>
          <w:noProof/>
        </w:rPr>
        <w:t>(Ghaebi et al., 2021)</w:t>
      </w:r>
      <w:r w:rsidRPr="006B0F6C">
        <w:rPr>
          <w:rFonts w:ascii="Arial" w:hAnsi="Arial" w:cs="Arial"/>
        </w:rPr>
        <w:fldChar w:fldCharType="end"/>
      </w:r>
      <w:r w:rsidRPr="006B0F6C">
        <w:rPr>
          <w:rFonts w:ascii="Arial" w:hAnsi="Arial" w:cs="Arial"/>
        </w:rPr>
        <w:t xml:space="preserve">. Thus, approximately 20 to 30% of hospitalized patients may require intensive care unit support and, in the presence of complications, oxygen </w:t>
      </w:r>
      <w:r w:rsidRPr="006B0F6C">
        <w:rPr>
          <w:rFonts w:ascii="Arial" w:hAnsi="Arial" w:cs="Arial"/>
        </w:rPr>
        <w:lastRenderedPageBreak/>
        <w:t xml:space="preserve">therapy, mechanical ventilation and extracorporeal membrane oxygenation are necessary </w:t>
      </w:r>
      <w:r w:rsidRPr="006B0F6C">
        <w:rPr>
          <w:rFonts w:ascii="Arial" w:hAnsi="Arial" w:cs="Arial"/>
        </w:rPr>
        <w:fldChar w:fldCharType="begin"/>
      </w:r>
      <w:r w:rsidRPr="006B0F6C">
        <w:rPr>
          <w:rFonts w:ascii="Arial" w:hAnsi="Arial" w:cs="Arial"/>
        </w:rPr>
        <w:instrText xml:space="preserve"> ADDIN ZOTERO_ITEM CSL_CITATION {"citationID":"WKLwhhAp","properties":{"formattedCitation":"(Ghaebi et al., 2021; Yazdanpanah et al., 2021)","plainCitation":"(Ghaebi et al., 2021; Yazdanpanah et al., 2021)","noteIndex":0},"citationItems":[{"id":383,"uris":["http://zotero.org/users/16006184/items/NLAT7L5H"],"itemData":{"id":383,"type":"article-journal","abstract":"Severe coronavirus disease 2019 (COVID-19) caused by the Severe Acute Respiratory Syndrome coronavirus 2 (SARS-CoV-2) is characterized by an unpredictable disease course, with variable presentations of different organ systems. The clinical manifestations of COVID-19 are highly variable ranging from mild presentations to severe, life-threatening symptoms and the wide individual variability may be due to the broad heterogeneity in the underlying pathologies. There is no doubt that early management may have a major influence on the outcome. This led the scientists to search for ways to monitor disease progression or to predict outcomes in COVID-19. Although it is not yet possible to predict who will progress to the severe forms or in what time, numerous prospective and longitudinal studies represent the evidence for determining the potential immunological risk factors of COVID-19 critical disease and death. The kinetics and breadth of immune responses during COVID-19 appear to follow a trend which is consistent to the predominant pathological alterations. Recent publications have used these biomarkers to help identify patients who will develop the severe acute COVID-19. Of particular interest is the relationship between the kinetics of peripheral leukocytes and clinical progress of the disease in COVID-19. Although research is ongoing in this area, we present details about the current status of the evaluation. Understanding of the COVID-19 related alterations of the innate and adaptive immune responses may help to promote the vaccine development and immunological interventions.","container-title":"Life Sciences","DOI":"10.1016/j.lfs.2021.119503","ISSN":"0024-3205","journalAbbreviation":"Life Sciences","page":"119503","source":"ScienceDirect","title":"Risk factors for adverse outcomes of COVID-19 patients: Possible basis for diverse responses to the novel coronavirus SARS-CoV-2","title-short":"Risk factors for adverse outcomes of COVID-19 patients","URL":"https://www.sciencedirect.com/science/article/pii/S0024320521004884","volume":"277","author":[{"family":"Ghaebi","given":"Mahnaz"},{"family":"Tahmasebi","given":"Safa"},{"family":"Jozghorbani","given":"Maryam"},{"family":"Sadeghi","given":"Alireza"},{"family":"Thangavelu","given":"Lakshmi"},{"family":"Zekiy","given":"Angelina Olegovna"},{"family":"Esmaeilzadeh","given":"Abdolreza"}],"accessed":{"date-parts":[["2025",3,5]]},"issued":{"date-parts":[["2021",7,15]]}}},{"id":460,"uris":["http://zotero.org/users/16006184/items/LIS5D7AI"],"itemData":{"id":460,"type":"article-journal","container-title":"The American Journal of the Medical Sciences","DOI":"10.1016/j.amjms.2021.01.023","ISSN":"0002-9629, 1538-2990","issue":"5","journalAbbreviation":"The American Journal of the Medical Sciences","language":"English","note":"publisher: Elsevier\nPMID: 33785204","page":"567-574","source":"www.amjmedsci.org","title":"Literature Review of COVID-19, Pulmonary and Extrapulmonary Disease","URL":"https://www.amjmedsci.org/article/S0002-9629(21)00046-X/fulltext","volume":"361","author":[{"family":"Yazdanpanah","given":"Fariba"},{"family":"Garg","given":"Akash"},{"family":"Shadman","given":"Shahrad"},{"family":"Asmarz","given":"Hamid Yazdanpanah"}],"accessed":{"date-parts":[["2025",3,5]]},"issued":{"date-parts":[["2021",5,1]]}}}],"schema":"https://github.com/citation-style-language/schema/raw/master/csl-citation.json"} </w:instrText>
      </w:r>
      <w:r w:rsidRPr="006B0F6C">
        <w:rPr>
          <w:rFonts w:ascii="Arial" w:hAnsi="Arial" w:cs="Arial"/>
        </w:rPr>
        <w:fldChar w:fldCharType="separate"/>
      </w:r>
      <w:r w:rsidRPr="006B0F6C">
        <w:rPr>
          <w:rFonts w:ascii="Arial" w:hAnsi="Arial" w:cs="Arial"/>
          <w:noProof/>
        </w:rPr>
        <w:t>(Ghaebi et al., 2021; Yazdanpanah et al., 2021)</w:t>
      </w:r>
      <w:r w:rsidRPr="006B0F6C">
        <w:rPr>
          <w:rFonts w:ascii="Arial" w:hAnsi="Arial" w:cs="Arial"/>
        </w:rPr>
        <w:fldChar w:fldCharType="end"/>
      </w:r>
      <w:r w:rsidRPr="006B0F6C">
        <w:rPr>
          <w:rFonts w:ascii="Arial" w:hAnsi="Arial" w:cs="Arial"/>
        </w:rPr>
        <w:t>.</w:t>
      </w:r>
    </w:p>
    <w:p w14:paraId="1B17182F" w14:textId="77777777" w:rsidR="00B0258C" w:rsidRPr="006B0F6C" w:rsidRDefault="00B0258C" w:rsidP="00B0258C">
      <w:pPr>
        <w:jc w:val="both"/>
        <w:rPr>
          <w:rFonts w:ascii="Arial" w:hAnsi="Arial" w:cs="Arial"/>
        </w:rPr>
      </w:pPr>
      <w:r w:rsidRPr="006B0F6C">
        <w:rPr>
          <w:rFonts w:ascii="Arial" w:hAnsi="Arial" w:cs="Arial"/>
        </w:rPr>
        <w:t xml:space="preserve">The main modes of transmission of Covid-19 are respiratory droplets and close contact with an infected individual and the average incubation period of confirmed patients is 5 (2-14) days </w:t>
      </w:r>
      <w:r w:rsidRPr="006B0F6C">
        <w:rPr>
          <w:rFonts w:ascii="Arial" w:hAnsi="Arial" w:cs="Arial"/>
        </w:rPr>
        <w:fldChar w:fldCharType="begin"/>
      </w:r>
      <w:r w:rsidRPr="006B0F6C">
        <w:rPr>
          <w:rFonts w:ascii="Arial" w:hAnsi="Arial" w:cs="Arial"/>
        </w:rPr>
        <w:instrText xml:space="preserve"> ADDIN ZOTERO_ITEM CSL_CITATION {"citationID":"kVFTBINY","properties":{"formattedCitation":"(Zhao et al., 2023)","plainCitation":"(Zhao et al., 2023)","noteIndex":0},"citationItems":[{"id":467,"uris":["http://zotero.org/users/16006184/items/PC94CBLF"],"itemData":{"id":467,"type":"article-journal","abstract":"The current epidemiological status of the new coronary pneumonia epidemic in China is being explored to prevent and control the localized dissemination of aggregated outbreaks. This study analyzed the characteristics of new outbreaks of coronavirus disease 2019 (COVID-19) at three stages of aggregated outbreaks in Jilin Province, China, to provide a reference for the prevention and control of aggregated outbreaks. Case information were collected from all patients in Jilin Province from January 12, 2020 to the present. The epidemic was divided into three stages according to the time of onset. The first stage comprised 97 cases reported from January 12, 2020 to February 19, 2020, during which 17 aggregated outbreaks occurred. The second comprised 43 cases reported from April 25, 2020 and May 23, 2020, involving one aggregated outbreak. The third comprised 435 cases reported on January 10, 2021 and February 9, 2021, involving one aggregated outbreak. The relationship between aggregated and non-aggregated cases in the first phase of the outbreak and the difference between imported and local cases during the aggregated outbreak were assess using statistical analysis, and the differences in the baseline information between the three phases were analyzed. The incubation periods of the three phases were 10 days, 8 days, and 5 days. The number of aggregated epidemic events in Jilin Province tended to increase and then decrease over time. The clustered events in Jilin Province were divided into four categories: household contact (14 times, 51 cases); household contact and public places (one time, three cases); household contact, public places, and gatherings (one time, six cases); and household contact, public places, gatherings, and work (three times, 495 cases). Clustered events occurred mainly between January 22, 2020, and February 4, 2020. Among all cases in the first phase of the outbreak, the method of detection and the time from diagnosis to discharge were longer in aggregated cases than in non-aggregated cases, and that the source of infection and renewal cases were more frequent and more likely to be detected in the outpatient clinics during aggregated outbreaks than the imported cases. The second phase of the epidemic showed significant spatial variability (Moran’s I&lt;0, P&lt;0.05). The third stage of the epidemic occurred in a higher proportion of individuals aged 50–90 years and within a shorter incubation period compared with the first two stages. The current focus of prevention and control of the COVID-19 epidemic in Jilin Province is to strictly implement the restrictions on gatherings and to perform timely screening and isolation of close contacts of infectious sources while strengthening the supervision of the inflow of people from outside the region. Simultaneously, more targeted prevention and control measures can be implemented for different age groups and occupations.","container-title":"PLOS ONE","DOI":"10.1371/journal.pone.0279879","ISSN":"1932-6203","issue":"1","journalAbbreviation":"PLOS ONE","language":"en","note":"publisher: Public Library of Science","page":"e0279879","source":"PLoS Journals","title":"Epidemiological clustered characteristics of coronavirus disease 2019 (COVID-19) in three phases of transmission in Jilin Province, China","URL":"https://journals.plos.org/plosone/article?id=10.1371/journal.pone.0279879","volume":"18","author":[{"family":"Zhao","given":"Qinglong"},{"family":"Zhang","given":"Yang"},{"family":"Li","given":"Meina"},{"family":"Tian","given":"Rui"},{"family":"Zhao","given":"Yifei"},{"family":"Cao","given":"Bonan"},{"family":"Yao","given":"Laishun"},{"family":"Sheng","given":"Xi"},{"family":"Yu","given":"Yan"}],"accessed":{"date-parts":[["2025",3,5]]},"issued":{"date-parts":[["2023",1,19]]}}}],"schema":"https://github.com/citation-style-language/schema/raw/master/csl-citation.json"} </w:instrText>
      </w:r>
      <w:r w:rsidRPr="006B0F6C">
        <w:rPr>
          <w:rFonts w:ascii="Arial" w:hAnsi="Arial" w:cs="Arial"/>
        </w:rPr>
        <w:fldChar w:fldCharType="separate"/>
      </w:r>
      <w:r w:rsidRPr="006B0F6C">
        <w:rPr>
          <w:rFonts w:ascii="Arial" w:hAnsi="Arial" w:cs="Arial"/>
          <w:noProof/>
        </w:rPr>
        <w:t>(Zhao et al., 2023)</w:t>
      </w:r>
      <w:r w:rsidRPr="006B0F6C">
        <w:rPr>
          <w:rFonts w:ascii="Arial" w:hAnsi="Arial" w:cs="Arial"/>
        </w:rPr>
        <w:fldChar w:fldCharType="end"/>
      </w:r>
      <w:r w:rsidRPr="006B0F6C">
        <w:rPr>
          <w:rFonts w:ascii="Arial" w:hAnsi="Arial" w:cs="Arial"/>
        </w:rPr>
        <w:t xml:space="preserve">. The majority of Covid-19 positive cases affected the 25-60 age groups, with the average age being 47 </w:t>
      </w:r>
      <w:r w:rsidRPr="006B0F6C">
        <w:rPr>
          <w:rFonts w:ascii="Arial" w:hAnsi="Arial" w:cs="Arial"/>
        </w:rPr>
        <w:fldChar w:fldCharType="begin"/>
      </w:r>
      <w:r w:rsidRPr="006B0F6C">
        <w:rPr>
          <w:rFonts w:ascii="Arial" w:hAnsi="Arial" w:cs="Arial"/>
        </w:rPr>
        <w:instrText xml:space="preserve"> ADDIN ZOTERO_ITEM CSL_CITATION {"citationID":"WRLlQ8Xg","properties":{"formattedCitation":"(Khan et al., 2020)","plainCitation":"(Khan et al., 2020)","noteIndex":0},"citationItems":[{"id":402,"uris":["http://zotero.org/users/16006184/items/Q9VWVSQF"],"itemData":{"id":402,"type":"article-journal","abstract":"Introduction. Coronavirus disease 2019 (COVID-19) is an infectious disease caused by Severe Acute Respiratory Corona Virus-2 (SARS-CoV-2). The disease was first identified in December 2019 in Wuhan, the capital of China&amp;apos;s Hubei province, and has since spread globally, resulting in the ongoing 2019–2020 corona virus pandemic. SARS-CoV-2 is closely related to the original SARS-CoV. It is thought to have a zoonotic origin. The virus is primarily spread between people during close contact, often via small droplets produced by coughing, sneezing or talking. People may also become infected by touching a contaminated surface and then touching their face. COVID-19 patients currently remain the primary source of infection. An epidemiological survey indicated that the general population is susceptible to SARS-CoV-2. The spectrum of this disease ranges from mild to life-threatening. Fever is the most common symptom, although older people and those with comorbidities may experience fever later in the disease. Other common symptoms include cough, loss of appetite, fatigue, shortness of breath, sputum production, and muscle and joint pains. Symptoms such as nausea, vomiting and diarrhea have been observed in varying percentages. Some cases might progress promptly to acute respiratory distress syndrome (ARDS) and/or multiple organ function failure. Asymptomatic carriers and those in the incubation period may also be infectious. Aim. To determine the epidemiological and clinical characteristics of patients presenting with COVID-19 at the screening clinic of a tertiary care hospital in Peshawar, Pakistan. Methodology. In this descriptive study, we analysed data of patients presenting to a newly established Covid-19 screening clinic in Rehman Medical Institute. Anyone who reported with new onset fever and/or cough was tested for SARS-CoV-2 in the screening clinic. We documented and analysed demographic, epidemiological and clinical characteristics, which included age, sex, travel history, clinical features, comorbidities and laboratory data of patients confirmed by real-time reverse-transcription (RT)-PCR at Rehman Medical Institute, Peshawar, Pakistan from 15 March till 21 April 2020. Paired specimens of throat swabs and nasal swabs were obtained from 845 patients, ribonucleic acid (RNA) was extracted and tested for SARS-CoV-2 by the RT-PCR assay. Results. A total of 845 specimens were taken as described above. The positive rate for SARS-CoV-2 was about 14.3%. Male and older population had a significantly higher positive rate. Of the 121 patients infected with SARS-CoV-2, the mean age was 43.19 years (sd, 17.57) and the infections were more frequent among male gender accounting for 85 (70.25 %) patients. Common symptoms included fever (88 patients, 72 %), cough (72 patients, 59.5 %) and shortness of breath (69 patients, 57 %). Twenty-two (18 %) patients had recent travel history outside Pakistan in the previous 14 days, the majority of whom had returned back from Saudi Arabia. Conclusion. In this single-centre, prospective, descriptive study, fever, cough and shortness of breath were the most common symptoms. Old age (&amp;gt;50 years), chronic underlying comorbidities and travel history may be risk factors. Therefore, we concluded that viral nucleic acid amplification tests (NAAT) played an important role in identifying SARS-CoV-2 infection in a screening clinic, which helped with isolation and cohorting of these patients.","container-title":"Journal of Medical Microbiology","DOI":"10.1099/jmm.0.001231","ISSN":"1473-5644","issue":"8","note":"publisher: Microbiology Society,","page":"1114-1123","source":"Microbiology Society Journals","title":"Epidemiological and clinical characteristics of coronavirus disease (COVID-19) cases at a screening clinic during the early outbreak period: a single-centre study","title-short":"Epidemiological and clinical characteristics of coronavirus disease (COVID-19) cases at a screening clinic during the early outbreak period","URL":"https://www.microbiologyresearch.org/content/journal/jmm/10.1099/jmm.0.001231","volume":"69","author":[{"family":"Khan","given":"Maria"},{"family":"Khan","given":"Haris"},{"family":"Khan","given":"Shehriyar"},{"family":"Nawaz","given":"Maimoona"}],"accessed":{"date-parts":[["2025",3,5]]},"issued":{"date-parts":[["2020"]]}}}],"schema":"https://github.com/citation-style-language/schema/raw/master/csl-citation.json"} </w:instrText>
      </w:r>
      <w:r w:rsidRPr="006B0F6C">
        <w:rPr>
          <w:rFonts w:ascii="Arial" w:hAnsi="Arial" w:cs="Arial"/>
        </w:rPr>
        <w:fldChar w:fldCharType="separate"/>
      </w:r>
      <w:r w:rsidRPr="006B0F6C">
        <w:rPr>
          <w:rFonts w:ascii="Arial" w:hAnsi="Arial" w:cs="Arial"/>
          <w:noProof/>
        </w:rPr>
        <w:t>(Khan et al., 2020)</w:t>
      </w:r>
      <w:r w:rsidRPr="006B0F6C">
        <w:rPr>
          <w:rFonts w:ascii="Arial" w:hAnsi="Arial" w:cs="Arial"/>
        </w:rPr>
        <w:fldChar w:fldCharType="end"/>
      </w:r>
      <w:r w:rsidRPr="006B0F6C">
        <w:rPr>
          <w:rFonts w:ascii="Arial" w:hAnsi="Arial" w:cs="Arial"/>
        </w:rPr>
        <w:t xml:space="preserve">. Ethnic and racial disparities have been reported, with African American/Black populations experiencing disproportionately higher rates of SARS-CoV-2 infection and higher mortality </w:t>
      </w:r>
      <w:r w:rsidRPr="006B0F6C">
        <w:rPr>
          <w:rFonts w:ascii="Arial" w:hAnsi="Arial" w:cs="Arial"/>
        </w:rPr>
        <w:fldChar w:fldCharType="begin"/>
      </w:r>
      <w:r w:rsidRPr="006B0F6C">
        <w:rPr>
          <w:rFonts w:ascii="Arial" w:hAnsi="Arial" w:cs="Arial"/>
        </w:rPr>
        <w:instrText xml:space="preserve"> ADDIN ZOTERO_ITEM CSL_CITATION {"citationID":"r1Q7SSgw","properties":{"formattedCitation":"(Mackey et al., 2021)","plainCitation":"(Mackey et al., 2021)","noteIndex":0},"citationItems":[{"id":416,"uris":["http://zotero.org/users/16006184/items/KUWTW9DZ"],"itemData":{"id":416,"type":"article-journal","abstract":"Background:\n\nData suggest that the effects of coronavirus disease 2019 (COVID-19) differ among U.S. racial/ethnic groups.\nPurpose:\n\nTo evaluate racial/ethnic disparities in severe acute respiratory syndrome coronavirus 2 (SARS-CoV-2) infection rates and COVID-19 outcomes, factors contributing to disparities, and interventions to reduce them.\nData Sources:\n\nEnglish-language articles in MEDLINE, PsycINFO, CINAHL, Cochrane Central Register of Controlled Trials, Cochrane Database of Systematic Reviews, and Scopus, searched from inception through 31 August 2020. Gray literature sources were searched through 2 November 2020.\nStudy Selection:\n\nObservational studies examining SARS-CoV-2 infections, hospitalizations, or deaths by race/ethnicity in U.S. settings.\nData Extraction:\n\nSingle-reviewer abstraction confirmed by a second reviewer; independent dual-reviewer assessment of quality and strength of evidence.\nData Synthesis:\n\n37 mostly fair-quality cohort and cross-sectional studies, 15 mostly good-quality ecological studies, and data from the Centers for Disease Control and Prevention and APM Research Lab were included. African American/Black and Hispanic populations experience disproportionately higher rates of SARS-CoV-2 infection, hospitalization, and COVID-19–related mortality compared with non-Hispanic White populations, but not higher case-fatality rates (mostly reported as in-hospital mortality) (moderate- to high-strength evidence). Asian populations experience similar outcomes to non-Hispanic White populations (low-strength evidence). Outcomes for other racial/ethnic groups have been insufficiently studied. Health care access and exposure factors may underlie the observed disparities more than susceptibility due to comorbid conditions (low-strength evidence).\nLimitations:\n\nSelection bias, missing race/ethnicity data, and incomplete outcome assessments in cohort and cross-sectional studies must be considered. In addition, adjustment for key demographic covariates was lacking in ecological studies.\nConclusion:\n\nAfrican American/Black and Hispanic populations experience disproportionately higher rates of SARS-CoV-2 infection and COVID-19–related mortality but similar rates of case fatality. Differences in health care access and exposure risk may be driving higher infection and mortality rates.\nPrimary Funding Source:\n\nDepartment of Veterans Affairs, Veterans Health Administration, Health Services Research &amp; Development. (PROSPERO: CRD42020187078)","container-title":"Annals of Internal Medicine","DOI":"10.7326/M20-6306","ISSN":"0003-4819","issue":"3","journalAbbreviation":"Ann Intern Med","note":"publisher: American College of Physicians","page":"362-373","source":"acpjournals.org (Atypon)","title":"Racial and Ethnic Disparities in COVID-19–Related Infections, Hospitalizations, and Deaths","URL":"https://www.acpjournals.org/doi/10.7326/M20-6306","volume":"174","author":[{"family":"Mackey","given":"Katherine"},{"family":"Ayers","given":"Chelsea K."},{"family":"Kondo","given":"Karli K."},{"family":"Saha","given":"Somnath"},{"family":"Advani","given":"Shailesh M."},{"family":"Young","given":"Sarah"},{"family":"Spencer","given":"Hunter"},{"family":"Rusek","given":"Max"},{"family":"Anderson","given":"Johanna"},{"family":"Veazie","given":"Stephanie"},{"family":"Smith","given":"Mia"},{"family":"Kansagara","given":"Devan"}],"accessed":{"date-parts":[["2025",3,5]]},"issued":{"date-parts":[["2021",3,16]]}}}],"schema":"https://github.com/citation-style-language/schema/raw/master/csl-citation.json"} </w:instrText>
      </w:r>
      <w:r w:rsidRPr="006B0F6C">
        <w:rPr>
          <w:rFonts w:ascii="Arial" w:hAnsi="Arial" w:cs="Arial"/>
        </w:rPr>
        <w:fldChar w:fldCharType="separate"/>
      </w:r>
      <w:r w:rsidRPr="006B0F6C">
        <w:rPr>
          <w:rFonts w:ascii="Arial" w:hAnsi="Arial" w:cs="Arial"/>
          <w:noProof/>
        </w:rPr>
        <w:t>(Mackey et al., 2021)</w:t>
      </w:r>
      <w:r w:rsidRPr="006B0F6C">
        <w:rPr>
          <w:rFonts w:ascii="Arial" w:hAnsi="Arial" w:cs="Arial"/>
        </w:rPr>
        <w:fldChar w:fldCharType="end"/>
      </w:r>
      <w:r w:rsidRPr="006B0F6C">
        <w:rPr>
          <w:rFonts w:ascii="Arial" w:hAnsi="Arial" w:cs="Arial"/>
        </w:rPr>
        <w:t>.</w:t>
      </w:r>
    </w:p>
    <w:p w14:paraId="60078C45" w14:textId="77777777" w:rsidR="00B0258C" w:rsidRPr="006B0F6C" w:rsidRDefault="00B0258C" w:rsidP="00B0258C">
      <w:pPr>
        <w:jc w:val="both"/>
        <w:rPr>
          <w:rFonts w:ascii="Arial" w:hAnsi="Arial" w:cs="Arial"/>
        </w:rPr>
      </w:pPr>
      <w:r w:rsidRPr="006B0F6C">
        <w:rPr>
          <w:rFonts w:ascii="Arial" w:hAnsi="Arial" w:cs="Arial"/>
        </w:rPr>
        <w:t xml:space="preserve">The prevalence of multiple comorbidities in individuals hospitalized with Covid-19 has been widely described </w:t>
      </w:r>
      <w:r w:rsidRPr="006B0F6C">
        <w:rPr>
          <w:rFonts w:ascii="Arial" w:hAnsi="Arial" w:cs="Arial"/>
        </w:rPr>
        <w:fldChar w:fldCharType="begin"/>
      </w:r>
      <w:r w:rsidRPr="006B0F6C">
        <w:rPr>
          <w:rFonts w:ascii="Arial" w:hAnsi="Arial" w:cs="Arial"/>
        </w:rPr>
        <w:instrText xml:space="preserve"> ADDIN ZOTERO_ITEM CSL_CITATION {"citationID":"UdtBhbud","properties":{"formattedCitation":"(Souza Filho et al., 2021)","plainCitation":"(Souza Filho et al., 2021)","noteIndex":0},"citationItems":[{"id":472,"uris":["http://zotero.org/users/16006184/items/E6XRKQJQ"],"itemData":{"id":472,"type":"article-journal","abstract":"Objetivo  identificar fatores associados ao enfrentamento da pandemia da COVID-19 por pessoas idosas com e sem comorbidades.Método  estudo descritivo, transversal, com pessoas idosas (n=569), entre 60 e 80 anos, com ou sem comorbidades, nas cinco regiões do Brasil. Coleta de dados com questionário virtual e análise com base na estatística descritiva e inferencial.Resultados  os resultados mostram que 351, (61,68%), referem comorbidade. Houve associação significativa entre os grupos nas variáveis: faixa etária (p=0,017), realizar alguma atividade laboral (p≤0,001), pensamento da possibilidade de ser infectado pelo novo coronavírus (p≤0,001), concordar com medidas de prevenção adotadas para o distanciamento social (p≤0,001), se informar por outro meio de comunicação além da televisão (p≤0,001).Conclusão e implicações para a prática  os idosos com comorbidades pensam na possibilidade de ser infectado pelo novo coronavírus, concordam mais com as medidas de distanciamento social e se informam mais. Nesse sentido, indica-se a realização de pesquisas com ênfase nos idosos sem comorbidade, para direcionar melhor os cuidados de saúde em tempos de pandemias.Palavras-chave:  Idoso; Pandemias; Infecções por coronavírus; Estudos transversais; Distanciamento social","container-title":"Escola Anna Nery","DOI":"https://doi.org/10.1590/2177-9465-EAN-2020-0495","ISSN":"1414-8145, 2177-9465","journalAbbreviation":"Esc. Anna Nery","language":"pt","note":"publisher: Universidade Federal do Rio de Janeiro","page":"e20200495","source":"SciELO","title":"Fatores associados ao enfrentamento da pandemia da COVID-19 por pessoas idosas com comorbidades","URL":"https://www.scielo.br/j/ean/a/xzndmwKbd54gmVZG5t3SqvP/","volume":"25","author":[{"family":"Souza Filho","given":"Zilmar Augusto","dropping-particle":"de"},{"family":"Nemer","given":"Camila Rodrigues Barbosa"},{"family":"Teixeira","given":"Elizabeth"},{"family":"Neves","given":"André Luiz Machado","dropping-particle":"das"},{"family":"Nascimento","given":"Marcia Helena Machado"},{"family":"Medeiros","given":"Horacio Pires"},{"family":"Panarra","given":"Bruna Alessandra Costa e Silva"},{"family":"Lima","given":"Paula Andreza Viana"},{"family":"Gigante","given":"Vanessa Calmont Gusmão"},{"family":"Oliveira","given":"Vera Lúcia Gomes","dropping-particle":"de"}],"accessed":{"date-parts":[["2025",3,5]]},"issued":{"date-parts":[["2021",4,28]]}}}],"schema":"https://github.com/citation-style-language/schema/raw/master/csl-citation.json"} </w:instrText>
      </w:r>
      <w:r w:rsidRPr="006B0F6C">
        <w:rPr>
          <w:rFonts w:ascii="Arial" w:hAnsi="Arial" w:cs="Arial"/>
        </w:rPr>
        <w:fldChar w:fldCharType="separate"/>
      </w:r>
      <w:r w:rsidRPr="006B0F6C">
        <w:rPr>
          <w:rFonts w:ascii="Arial" w:hAnsi="Arial" w:cs="Arial"/>
          <w:noProof/>
        </w:rPr>
        <w:t>(Souza Filho et al., 2021)</w:t>
      </w:r>
      <w:r w:rsidRPr="006B0F6C">
        <w:rPr>
          <w:rFonts w:ascii="Arial" w:hAnsi="Arial" w:cs="Arial"/>
        </w:rPr>
        <w:fldChar w:fldCharType="end"/>
      </w:r>
      <w:r w:rsidRPr="006B0F6C">
        <w:rPr>
          <w:rFonts w:ascii="Arial" w:hAnsi="Arial" w:cs="Arial"/>
        </w:rPr>
        <w:t xml:space="preserve">. Older age, in addition to being a risk factor for mortality, seems to be associated with longer hospital stays and a high viral load. In addition, obesity, diabetes mellitus, hypertension, cardiovascular disease, chronic kidney disease, chronic lung disease, cancer, immunosuppression and smoking are among the most common risk factors for severe cases of the disease </w:t>
      </w:r>
      <w:r w:rsidRPr="006B0F6C">
        <w:rPr>
          <w:rFonts w:ascii="Arial" w:hAnsi="Arial" w:cs="Arial"/>
        </w:rPr>
        <w:fldChar w:fldCharType="begin"/>
      </w:r>
      <w:r w:rsidRPr="006B0F6C">
        <w:rPr>
          <w:rFonts w:ascii="Arial" w:hAnsi="Arial" w:cs="Arial"/>
        </w:rPr>
        <w:instrText xml:space="preserve"> ADDIN ZOTERO_ITEM CSL_CITATION {"citationID":"5H6QCh6R","properties":{"formattedCitation":"(Ejaz et al., 2020)","plainCitation":"(Ejaz et al., 2020)","noteIndex":0},"citationItems":[{"id":376,"uris":["http://zotero.org/users/16006184/items/X6694EMA"],"itemData":{"id":376,"type":"article-journal","abstract":"The pandemic situation with the emergence of severe acute respiratory syndrome coronavirus 2 (SARS-CoV-2) from China has endangered human lives. Coronavirus disease 2019 (COVID-19) is presented with asymptomatic, mild, or severe pneumonia-like symptoms. COVID-19 patients with diabetes, chronic obstructive pulmonary disease (COPD), cardiovascular diseases (CVD), hypertension, malignancies, HIV, and other comorbidities could develop a life-threatening situation. SARS-CoV-2 utilizes ACE-2 receptors found at the surface of the host cells to get inside the cell. Certain comorbidities are associated with a strong ACE-2 receptor expression and higher release of proprotein convertase that enhances the viral entry into the host cells. The comorbidities lead to the COVID-19 patient into a vicious infectious circle of life and are substantially associated with significant morbidity and mortality. The comorbid individuals must adopt the vigilant preventive measure and require scrupulous management. In this review, we rigorously focused on the impact of common morbidities in COVID-19 patients and recapitulated the management strategies with recent directions. We found limited resources describing the association of comorbidities in COVID-19; however, our review delineates the broader spectrum of comorbidities with COVID-19 patients.","container-title":"Journal of Infection and Public Health","DOI":"10.1016/j.jiph.2020.07.014","ISSN":"1876-0341","issue":"12","journalAbbreviation":"Journal of Infection and Public Health","page":"1833-1839","source":"ScienceDirect","title":"COVID-19 and comorbidities: Deleterious impact on infected patients","title-short":"COVID-19 and comorbidities","URL":"https://www.sciencedirect.com/science/article/pii/S1876034120305943","volume":"13","author":[{"family":"Ejaz","given":"Hasan"},{"family":"Alsrhani","given":"Abdullah"},{"family":"Zafar","given":"Aizza"},{"family":"Javed","given":"Humera"},{"family":"Junaid","given":"Kashaf"},{"family":"Abdalla","given":"Abualgasim E."},{"family":"Abosalif","given":"Khalid O. A."},{"family":"Ahmed","given":"Zeeshan"},{"family":"Younas","given":"Sonia"}],"accessed":{"date-parts":[["2025",3,5]]},"issued":{"date-parts":[["2020",12,1]]}}}],"schema":"https://github.com/citation-style-language/schema/raw/master/csl-citation.json"} </w:instrText>
      </w:r>
      <w:r w:rsidRPr="006B0F6C">
        <w:rPr>
          <w:rFonts w:ascii="Arial" w:hAnsi="Arial" w:cs="Arial"/>
        </w:rPr>
        <w:fldChar w:fldCharType="separate"/>
      </w:r>
      <w:r w:rsidRPr="006B0F6C">
        <w:rPr>
          <w:rFonts w:ascii="Arial" w:hAnsi="Arial" w:cs="Arial"/>
          <w:noProof/>
        </w:rPr>
        <w:t>(Ejaz et al., 2020)</w:t>
      </w:r>
      <w:r w:rsidRPr="006B0F6C">
        <w:rPr>
          <w:rFonts w:ascii="Arial" w:hAnsi="Arial" w:cs="Arial"/>
        </w:rPr>
        <w:fldChar w:fldCharType="end"/>
      </w:r>
      <w:r w:rsidRPr="006B0F6C">
        <w:rPr>
          <w:rFonts w:ascii="Arial" w:hAnsi="Arial" w:cs="Arial"/>
        </w:rPr>
        <w:t>.</w:t>
      </w:r>
    </w:p>
    <w:p w14:paraId="1C9D0F6B" w14:textId="77777777" w:rsidR="00B0258C" w:rsidRPr="006B0F6C" w:rsidRDefault="00B0258C" w:rsidP="00B0258C">
      <w:pPr>
        <w:jc w:val="both"/>
        <w:rPr>
          <w:rFonts w:ascii="Arial" w:hAnsi="Arial" w:cs="Arial"/>
        </w:rPr>
      </w:pPr>
      <w:r w:rsidRPr="006B0F6C">
        <w:rPr>
          <w:rFonts w:ascii="Arial" w:hAnsi="Arial" w:cs="Arial"/>
        </w:rPr>
        <w:t xml:space="preserve">The outcome of the disease depends on its presentation and severity, varying according to the patient's medical history, age and gender. Thus, the risk groups related to a serious outcome for Covid-19 include characteristics such as: age &gt;75 years, men compared to women, severe obesity, hypertension, diabetes, cardiovascular and respiratory disease </w:t>
      </w:r>
      <w:r w:rsidRPr="006B0F6C">
        <w:rPr>
          <w:rFonts w:ascii="Arial" w:hAnsi="Arial" w:cs="Arial"/>
        </w:rPr>
        <w:fldChar w:fldCharType="begin"/>
      </w:r>
      <w:r w:rsidRPr="006B0F6C">
        <w:rPr>
          <w:rFonts w:ascii="Arial" w:hAnsi="Arial" w:cs="Arial"/>
        </w:rPr>
        <w:instrText xml:space="preserve"> ADDIN ZOTERO_ITEM CSL_CITATION {"citationID":"maSRCcZR","properties":{"formattedCitation":"(Booth et al., 2021; Cheng et al., 2021)","plainCitation":"(Booth et al., 2021; Cheng et al., 2021)","noteIndex":0},"citationItems":[{"id":360,"uris":["http://zotero.org/users/16006184/items/DP4GK9ZL"],"itemData":{"id":360,"type":"article-journal","abstract":"Aim COVID-19 clinical presentation is heterogeneous, ranging from asymptomatic to severe cases. While there are a number of early publications relating to risk factors for COVID-19 infection, low sample size and heterogeneity in study design impacted consolidation of early findings. There is a pressing need to identify the factors which predispose patients to severe cases of COVID-19. For rapid and widespread risk stratification, these factors should be easily obtainable, inexpensive, and avoid invasive clinical procedures. The aim of our study is to fill this knowledge gap by systematically mapping all the available evidence on the association of various clinical, demographic, and lifestyle variables with the risk of specific adverse outcomes in patients with COVID-19. Methods The systematic review was conducted using standardized methodology, searching two electronic databases (PubMed and SCOPUS) for relevant literature published between 1st January 2020 and 9th July 2020. Included studies reported characteristics of patients with COVID-19 while reporting outcomes relating to disease severity. In the case of sufficient comparable data, meta-analyses were conducted to estimate risk of each variable. Results Seventy-six studies were identified, with a total of 17,860,001 patients across 14 countries. The studies were highly heterogeneous in terms of the sample under study, outcomes, and risk measures reported. A large number of risk factors were presented for COVID-19. Commonly reported variables for adverse outcome from COVID-19 comprised patient characteristics, including age &gt;75 (OR: 2.65, 95% CI: 1.81–3.90), male sex (OR: 2.05, 95% CI: 1.39–3.04) and severe obesity (OR: 2.57, 95% CI: 1.31–5.05). Active cancer (OR: 1.46, 95% CI: 1.04–2.04) was associated with increased risk of severe outcome. A number of common symptoms and vital measures (respiratory rate and SpO2) also suggested elevated risk profiles. Conclusions Based on the findings of this study, a range of easily assessed parameters are valuable to predict elevated risk of severe illness and mortality as a result of COVID-19, including patient characteristics and detailed comorbidities, alongside the novel inclusion of real-time symptoms and vital measurements.","container-title":"PLOS ONE","DOI":"10.1371/journal.pone.0247461","ISSN":"1932-6203","issue":"3","journalAbbreviation":"PLOS ONE","language":"en","note":"publisher: Public Library of Science","page":"e0247461","source":"PLoS Journals","title":"Population risk factors for severe disease and mortality in COVID-19: A global systematic review and meta-analysis","title-short":"Population risk factors for severe disease and mortality in COVID-19","URL":"https://journals.plos.org/plosone/article?id=10.1371/journal.pone.0247461","volume":"16","author":[{"family":"Booth","given":"Adam"},{"family":"Reed","given":"Angus Bruno"},{"family":"Ponzo","given":"Sonia"},{"family":"Yassaee","given":"Arrash"},{"family":"Aral","given":"Mert"},{"family":"Plans","given":"David"},{"family":"Labrique","given":"Alain"},{"family":"Mohan","given":"Diwakar"}],"accessed":{"date-parts":[["2025",3,5]]},"issued":{"date-parts":[["2021",3,4]]}}},{"id":368,"uris":["http://zotero.org/users/16006184/items/43JCUNGP"],"itemData":{"id":368,"type":"article-journal","abstract":"Background: \n          An ongoing outbreak of pneumonia associated with the severe acute respiratory coronavirus (SARS-CoV-2) emerged in December 2019 in Wuhan, China. Epidemiologic evidence suggests that patients with comorbidities and novel coronavirus disease 2019 (COVID-19) infection may have poor survival outcomes. However, the risk of these coexisting medical conditions in severe and non-severe cases has not been systematically reported.\n          Purpose: \n          The present study aimed to estimate the association of chronic comorbidities in severe and non-severe cases.\n          Methods: \n          A literature search was conducted using the databases PubMed, Embase, China National Knowledge Infrastructure (CNKI), and Wanfang Database, Chinese Scientific Journals Full-text Database (CQVIP) from the inception dates to April 1, 2020, to identify cohort studies assessing comorbidity and risk of adverse outcome. Either a fixed- or random-effects model was used to calculate the overall combined risk estimates.\n          Results: \n          A total of 22 studies involving 3286 patients with laboratory-confirmed COVID-19 were included in the analysis. Overall, compared with the patients with non-severe cases, the pooled odds ratios (ORs) of hypertension, diabetes mellitus, and cardiovascular, cerebrovascular, and respiratory diseases in patients with severe cases were 2.79 (95% confidence intervals [95% CI]: 1.66–4.69), 1.64 (95% CI: 2.30–1.08), 1.79 (95% CI: 1.08–2.96), 3.92 (95% CI: 2.45–6.28), and 1.98 (95% CI: 1.26–3.12), respectively.\n          Conclusions: \n          This meta-analysis supports the finding that chronic comorbidities may contribute to severe outcome in patients with COVID-19. According to the findings of the present study, old age and 2 or more comorbidities are significantly impactful to COVID-19 outcomes in hospitalized patients in China.","container-title":"Medicine","DOI":"10.1097/MD.0000000000024971","issue":"12","language":"en-US","page":"e24971","source":"journals.lww.com","title":"Comorbidities’ potential impacts on severe and non-severe patients with COVID-19: A systematic review and meta-analysis","title-short":"Comorbidities’ potential impacts on severe and non-severe patients with COVID-19","URL":"https://journals.lww.com/md-journal/fulltext/2021/03260/comorbidities__potential_impacts_on_severe_and.30.aspx","volume":"100","author":[{"family":"Cheng","given":"Sixiang"},{"family":"Zhao","given":"Yuxin"},{"family":"Wang","given":"Fenxiao"},{"family":"Chen","given":"Yan"},{"family":"Kaminga","given":"Atipatsa Chiwanda"},{"family":"Xu","given":"Huilan"}],"accessed":{"date-parts":[["2025",3,5]]},"issued":{"date-parts":[["2021",3,26]]}}}],"schema":"https://github.com/citation-style-language/schema/raw/master/csl-citation.json"} </w:instrText>
      </w:r>
      <w:r w:rsidRPr="006B0F6C">
        <w:rPr>
          <w:rFonts w:ascii="Arial" w:hAnsi="Arial" w:cs="Arial"/>
        </w:rPr>
        <w:fldChar w:fldCharType="separate"/>
      </w:r>
      <w:r w:rsidRPr="006B0F6C">
        <w:rPr>
          <w:rFonts w:ascii="Arial" w:hAnsi="Arial" w:cs="Arial"/>
          <w:noProof/>
        </w:rPr>
        <w:t>(Booth et al., 2021; Cheng et al., 2021)</w:t>
      </w:r>
      <w:r w:rsidRPr="006B0F6C">
        <w:rPr>
          <w:rFonts w:ascii="Arial" w:hAnsi="Arial" w:cs="Arial"/>
        </w:rPr>
        <w:fldChar w:fldCharType="end"/>
      </w:r>
      <w:r w:rsidRPr="006B0F6C">
        <w:rPr>
          <w:rFonts w:ascii="Arial" w:hAnsi="Arial" w:cs="Arial"/>
        </w:rPr>
        <w:t>. Sousa et al. (2022) reported high lethality in hospital records, especially in the interior regions, with a higher percentage of elderly people, men, black skin color and the presence of one or two comorbidities</w:t>
      </w:r>
      <w:r w:rsidRPr="006B0F6C">
        <w:rPr>
          <w:rFonts w:ascii="Arial" w:hAnsi="Arial" w:cs="Arial"/>
        </w:rPr>
        <w:fldChar w:fldCharType="begin"/>
      </w:r>
      <w:r w:rsidRPr="006B0F6C">
        <w:rPr>
          <w:rFonts w:ascii="Arial" w:hAnsi="Arial" w:cs="Arial"/>
        </w:rPr>
        <w:instrText xml:space="preserve"> ADDIN ZOTERO_ITEM CSL_CITATION {"citationID":"8YJXaHOP","properties":{"formattedCitation":"(Sousa et al., 2022)","plainCitation":"(Sousa et al., 2022)","noteIndex":0},"citationItems":[{"id":446,"uris":["http://zotero.org/users/16006184/items/F4EEWFLU"],"itemData":{"id":446,"type":"article-journal","abstract":"Objetivo  Descrever o perfil e a variação temporal de internações e óbitos hospitalares por síndrome respiratória aguda grave (SRAG) por COVID-19 no Piauí, Brasil, segundo local de internação.Métodos  Estudo descritivo sobre dados do Sistema de Informação da Vigilância Epidemiológica da Gripe de 2020 a 2021. Calculou-se a letalidade entre registros hospitalares com desfecho e respectivos intervalos de confiança de 95% (IC95%).Resultados  Foram incluídos 12.649 indivíduos majoritariamente do sexo masculino (57,1%), negros (61,2%), com uma ou duas comorbidades (30,5%). No interior, entre registros hospitalares com desfecho, a letalidade para internados (44,1%; IC95% 42,0;46,3), admitidos em unidades de terapia intensiva (82,3%; IC95% 79,7;84,8) e indivíduos submetidos a ventilação mecânica invasiva (96,6%; IC95% 94,9;97,8) foi maior do que na capital do estado.Conclusão  O estudo permitiu a caracterização do perfil das internações devidas a SRAG por COVID-19 no Piauí e demonstrou elevada letalidade entre registros hospitalares com desfechos, mantendo-se alta no período estudado, sobretudo no interior.Palavras-chave: COVID-19; Hospitalização; Respiração Artificial; Resultados de Cuidados Críticos; Epidemiologia Descritiva","container-title":"Epidemiologia e Serviços de Saúde","DOI":"https://doi.org/10.1590/S1679-49742022000100009","ISSN":"1679-4974, 2237-9622","journalAbbreviation":"Epidemiol. Serv. Saúde","language":"pt","note":"publisher: Secretaria de Vigilância em Saúde e Ambiente - Ministério da Saúde do Brasil","page":"e2021836","source":"SciELO","title":"Perfil de internações e óbitos hospitalares por síndrome respiratória aguda grave causada por COVID-19 no Piauí: estudo descritivo, 2020-2021","title-short":"Perfil de internações e óbitos hospitalares por síndrome respiratória aguda grave causada por COVID-19 no Piauí","URL":"https://www.scielo.br/j/ress/a/ggB76S9LDy9GYLFRrJ56rjP/?lang=pt","volume":"31","author":[{"family":"Sousa","given":"Eduardo Lima","dropping-particle":"de"},{"family":"Gaído","given":"Samara Belchior"},{"family":"Sousa","given":"Roniele Araújo","dropping-particle":"de"},{"family":"Cardoso","given":"Osmar de Oliveira"},{"family":"Matos Neto","given":"Emídio Marques","dropping-particle":"de"},{"family":"Menezes Júnior","given":"José Maria Pires","dropping-particle":"de"},{"family":"Oliveira","given":"Beatriz Fátima Alves","dropping-particle":"de"},{"family":"Aguiar","given":"Bruno Guedes Alcoforado"}],"accessed":{"date-parts":[["2025",3,5]]},"issued":{"date-parts":[["2022",4,20]]}}}],"schema":"https://github.com/citation-style-language/schema/raw/master/csl-citation.json"} </w:instrText>
      </w:r>
      <w:r w:rsidRPr="006B0F6C">
        <w:rPr>
          <w:rFonts w:ascii="Arial" w:hAnsi="Arial" w:cs="Arial"/>
        </w:rPr>
        <w:fldChar w:fldCharType="separate"/>
      </w:r>
      <w:r w:rsidRPr="006B0F6C">
        <w:rPr>
          <w:rFonts w:ascii="Arial" w:hAnsi="Arial" w:cs="Arial"/>
          <w:noProof/>
        </w:rPr>
        <w:t>(Sousa et al., 2022)</w:t>
      </w:r>
      <w:r w:rsidRPr="006B0F6C">
        <w:rPr>
          <w:rFonts w:ascii="Arial" w:hAnsi="Arial" w:cs="Arial"/>
        </w:rPr>
        <w:fldChar w:fldCharType="end"/>
      </w:r>
      <w:r w:rsidRPr="006B0F6C">
        <w:rPr>
          <w:rFonts w:ascii="Arial" w:hAnsi="Arial" w:cs="Arial"/>
        </w:rPr>
        <w:t xml:space="preserve">. Significant reductions in the number of hospitalizations, case-fatality rates and severe cases of the disease were seen from the second year of the pandemic, when the population immunization began. In Brazil, the vaccination campaign began on January 18, 2021 and initially focused on the elderly and health workers </w:t>
      </w:r>
      <w:r w:rsidRPr="006B0F6C">
        <w:rPr>
          <w:rFonts w:ascii="Arial" w:hAnsi="Arial" w:cs="Arial"/>
        </w:rPr>
        <w:fldChar w:fldCharType="begin"/>
      </w:r>
      <w:r w:rsidRPr="006B0F6C">
        <w:rPr>
          <w:rFonts w:ascii="Arial" w:hAnsi="Arial" w:cs="Arial"/>
        </w:rPr>
        <w:instrText xml:space="preserve"> ADDIN ZOTERO_ITEM CSL_CITATION {"citationID":"MfGIWjad","properties":{"formattedCitation":"(Boing et al., 2023)","plainCitation":"(Boing et al., 2023)","noteIndex":0},"citationItems":[{"id":357,"uris":["http://zotero.org/users/16006184/items/Q5TWDNMS"],"itemData":{"id":357,"type":"article-journal","abstract":"Vaccination is crucial for reducing severe COVID-19 cases, hospitalizations, and deaths. However, vaccine access disparities within countries, particularly in low- and middle-income nations, may leave disadvantaged regions and populations behind. This study aimed to investigate potential inequalities in vaccine coverage among Brazilian aged 18 years and older based on demographic, geographic, and socioeconomic characteristics at the municipal level. A total of 389 million vaccination records from the National Immunization Program Information System were analyzed to calculate vaccine coverage rates for the first, second, and booster doses among adults (18–59 years) and elderly (60 + years) vaccinated between January 2021 and December 2022. We analyzed the data by gender and used a three-level (municipalities, states, regions) multilevel regression analysis to assess the association between vaccine coverage and municipal characteristics. Vaccination coverage was higher among the elderly than among adults, particularly for the second and booster doses. Adult women showed higher coverage rates than men (ranging from 118 % to 25 % higher along the analyzed period). Significant inequalities were observed when analyzing the evolution of vaccination coverage by sociodemographic characteristics of municipalities. In the early stages of the vaccination campaign, municipalities with higher per capita Gross Domestic Product (pGDP), educational level, and fewer Black residents reached higher population coverages earlier. In December 2022, adult and elderly booster vaccine coverage was 43 % and 19 %, respectively, higher in municipalities in the highest quintile of educational level. Higher vaccine uptake was also observed in municipalities with fewer Black residents and higher pGDP. Municipalities accounted for most of the variance in vaccine coverage (59.7 %-90.4 % depending on the dose and age group). This study emphasizes the inadequate booster coverage and the presence of socioeconomic and demographic disparities in COVID-19 vaccination rates. These issues must be addressed through equitable interventions to avoid potential disparities in morbidity and mortality.","container-title":"Vaccine","DOI":"10.1016/j.vaccine.2023.05.030","ISSN":"0264-410X","issue":"26","journalAbbreviation":"Vaccine","page":"3937-3945","source":"ScienceDirect","title":"Uncovering inequities in Covid-19 vaccine coverage for adults and elderly in Brazil: A multilevel study of 2021–2022 data","title-short":"Uncovering inequities in Covid-19 vaccine coverage for adults and elderly in Brazil","URL":"https://www.sciencedirect.com/science/article/pii/S0264410X23005698","volume":"41","author":[{"family":"Boing","given":"Antonio Fernando"},{"family":"Boing","given":"Alexandra Crispim"},{"family":"Barberia","given":"Lorena"},{"family":"Borges","given":"Marcelo Eduardo"},{"family":"Subramanian","given":"S. V."}],"accessed":{"date-parts":[["2025",3,5]]},"issued":{"date-parts":[["2023",6,13]]}}}],"schema":"https://github.com/citation-style-language/schema/raw/master/csl-citation.json"} </w:instrText>
      </w:r>
      <w:r w:rsidRPr="006B0F6C">
        <w:rPr>
          <w:rFonts w:ascii="Arial" w:hAnsi="Arial" w:cs="Arial"/>
        </w:rPr>
        <w:fldChar w:fldCharType="separate"/>
      </w:r>
      <w:r w:rsidRPr="006B0F6C">
        <w:rPr>
          <w:rFonts w:ascii="Arial" w:hAnsi="Arial" w:cs="Arial"/>
          <w:noProof/>
        </w:rPr>
        <w:t>(Boing et al., 2023)</w:t>
      </w:r>
      <w:r w:rsidRPr="006B0F6C">
        <w:rPr>
          <w:rFonts w:ascii="Arial" w:hAnsi="Arial" w:cs="Arial"/>
        </w:rPr>
        <w:fldChar w:fldCharType="end"/>
      </w:r>
      <w:r w:rsidRPr="006B0F6C">
        <w:rPr>
          <w:rFonts w:ascii="Arial" w:hAnsi="Arial" w:cs="Arial"/>
        </w:rPr>
        <w:t>.</w:t>
      </w:r>
    </w:p>
    <w:p w14:paraId="50653DA8" w14:textId="77777777" w:rsidR="00B0258C" w:rsidRPr="006B0F6C" w:rsidRDefault="00B0258C" w:rsidP="00B0258C">
      <w:pPr>
        <w:jc w:val="both"/>
        <w:rPr>
          <w:rFonts w:ascii="Arial" w:hAnsi="Arial" w:cs="Arial"/>
        </w:rPr>
      </w:pPr>
      <w:r w:rsidRPr="006B0F6C">
        <w:rPr>
          <w:rFonts w:ascii="Arial" w:hAnsi="Arial" w:cs="Arial"/>
        </w:rPr>
        <w:t xml:space="preserve">Three years on from the first case of Covid-19 recorded in the country, in March 2023 there were about 700,000 deaths from the disease in Brazil. In the work against this crisis, science proves that the main form of protection against serious cases and deaths is the immunization </w:t>
      </w:r>
      <w:r w:rsidRPr="006B0F6C">
        <w:rPr>
          <w:rFonts w:ascii="Arial" w:hAnsi="Arial" w:cs="Arial"/>
        </w:rPr>
        <w:fldChar w:fldCharType="begin"/>
      </w:r>
      <w:r w:rsidRPr="006B0F6C">
        <w:rPr>
          <w:rFonts w:ascii="Arial" w:hAnsi="Arial" w:cs="Arial"/>
        </w:rPr>
        <w:instrText xml:space="preserve"> ADDIN ZOTERO_ITEM CSL_CITATION {"citationID":"5NHtLmcV","properties":{"formattedCitation":"(Brasil, 2023)","plainCitation":"(Brasil, 2023)","noteIndex":0},"citationItems":[{"id":355,"uris":["http://zotero.org/users/16006184/items/2RTAJPIB"],"itemData":{"id":355,"type":"webpage","container-title":"Ministério da Saúde","title":"Brasil chega à marca de 700 mil mortes por Covid-19.","URL":"https://www.gov.br/saude/pt-br/assuntos/noticias/2023/marco/brasil-chega-a-marca-de-700-mil-mortes-por-covid-19.","author":[{"family":"Brasil","given":""}],"accessed":{"date-parts":[["2023",11,21]]},"issued":{"date-parts":[["2023"]]}}}],"schema":"https://github.com/citation-style-language/schema/raw/master/csl-citation.json"} </w:instrText>
      </w:r>
      <w:r w:rsidRPr="006B0F6C">
        <w:rPr>
          <w:rFonts w:ascii="Arial" w:hAnsi="Arial" w:cs="Arial"/>
        </w:rPr>
        <w:fldChar w:fldCharType="separate"/>
      </w:r>
      <w:r w:rsidRPr="006B0F6C">
        <w:rPr>
          <w:rFonts w:ascii="Arial" w:hAnsi="Arial" w:cs="Arial"/>
          <w:noProof/>
        </w:rPr>
        <w:t>(Brasil, 2023)</w:t>
      </w:r>
      <w:r w:rsidRPr="006B0F6C">
        <w:rPr>
          <w:rFonts w:ascii="Arial" w:hAnsi="Arial" w:cs="Arial"/>
        </w:rPr>
        <w:fldChar w:fldCharType="end"/>
      </w:r>
      <w:r w:rsidRPr="006B0F6C">
        <w:rPr>
          <w:rFonts w:ascii="Arial" w:hAnsi="Arial" w:cs="Arial"/>
        </w:rPr>
        <w:t>. Given the impact of the Covid-19 pandemic and the need for studies reporting on the disease reality in Brazilian philanthropic hospitals, this study was carried out. In this context, the aim of the study was to identify the sociodemographic and clinical profile of patients and the outcome of Covid-19 cases in a public hospital that provides care in the first two years of the pandemic.</w:t>
      </w:r>
    </w:p>
    <w:p w14:paraId="695B1C08" w14:textId="77777777" w:rsidR="00B0258C" w:rsidRDefault="00B0258C" w:rsidP="00441B6F">
      <w:pPr>
        <w:pStyle w:val="Body"/>
        <w:spacing w:after="0"/>
        <w:rPr>
          <w:rFonts w:ascii="Arial" w:hAnsi="Arial" w:cs="Arial"/>
        </w:rPr>
      </w:pPr>
    </w:p>
    <w:p w14:paraId="3574AF29" w14:textId="77777777" w:rsidR="00790ADA" w:rsidRPr="00FB3A86" w:rsidRDefault="00790ADA" w:rsidP="00441B6F">
      <w:pPr>
        <w:pStyle w:val="Body"/>
        <w:spacing w:after="0"/>
        <w:rPr>
          <w:rFonts w:ascii="Arial" w:hAnsi="Arial" w:cs="Arial"/>
        </w:rPr>
      </w:pPr>
    </w:p>
    <w:p w14:paraId="58708405" w14:textId="485335E2"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288EE6E2" w14:textId="77777777" w:rsidR="00B0258C" w:rsidRDefault="00B0258C" w:rsidP="00441B6F">
      <w:pPr>
        <w:pStyle w:val="AbstHead"/>
        <w:spacing w:after="0"/>
        <w:jc w:val="both"/>
        <w:rPr>
          <w:rFonts w:ascii="Arial" w:hAnsi="Arial" w:cs="Arial"/>
        </w:rPr>
      </w:pPr>
    </w:p>
    <w:p w14:paraId="6947D16E" w14:textId="77777777" w:rsidR="0027569C" w:rsidRPr="006B0F6C" w:rsidRDefault="0027569C" w:rsidP="0027569C">
      <w:pPr>
        <w:jc w:val="both"/>
        <w:rPr>
          <w:rFonts w:ascii="Arial" w:hAnsi="Arial" w:cs="Arial"/>
          <w:b/>
        </w:rPr>
      </w:pPr>
      <w:r w:rsidRPr="006B0F6C">
        <w:rPr>
          <w:rFonts w:ascii="Arial" w:hAnsi="Arial" w:cs="Arial"/>
        </w:rPr>
        <w:t xml:space="preserve">This is a retrospective, descriptive study with a quantitative approach. Descriptive research aims to observe record and describe the characteristics of a particular phenomenon that has occurred in a population. The quantitative approach focuses on working with variables expressed in the form of numerical data, using statistical resources and techniques to classify and analyze </w:t>
      </w:r>
      <w:r w:rsidRPr="006B0F6C">
        <w:rPr>
          <w:rFonts w:ascii="Arial" w:hAnsi="Arial" w:cs="Arial"/>
        </w:rPr>
        <w:fldChar w:fldCharType="begin"/>
      </w:r>
      <w:r w:rsidRPr="006B0F6C">
        <w:rPr>
          <w:rFonts w:ascii="Arial" w:hAnsi="Arial" w:cs="Arial"/>
        </w:rPr>
        <w:instrText xml:space="preserve"> ADDIN ZOTERO_ITEM CSL_CITATION {"citationID":"3LDOgtzg","properties":{"formattedCitation":"(Fontelles et al., 2009)","plainCitation":"(Fontelles et al., 2009)","noteIndex":0},"citationItems":[{"id":381,"uris":["http://zotero.org/users/16006184/items/7KV7MAB5"],"itemData":{"id":381,"type":"article-journal","container-title":"Rev. para. med","language":"pt","source":"pesquisa.bvsalud.org","title":"Metodologia da pesquisa científica: diretrizes para a elaboração de um protocolo de pesquisa","title-short":"Metodologia da pesquisa científica","URL":"http://files.bvs.br/upload/S/0101-5907/2009/v23n3/a1967.pdf","volume":"3","author":[{"family":"Fontelles","given":"Mauro José"},{"family":"Simões","given":"Marilda Garcia"},{"family":"Farias","given":"Samantha Hasegawa"},{"family":"Fontelles","given":"Renata Garcia Simões"}],"accessed":{"date-parts":[["2025",3,5]]},"issued":{"date-parts":[["2009",9]]}}}],"schema":"https://github.com/citation-style-language/schema/raw/master/csl-citation.json"} </w:instrText>
      </w:r>
      <w:r w:rsidRPr="006B0F6C">
        <w:rPr>
          <w:rFonts w:ascii="Arial" w:hAnsi="Arial" w:cs="Arial"/>
        </w:rPr>
        <w:fldChar w:fldCharType="separate"/>
      </w:r>
      <w:r w:rsidRPr="006B0F6C">
        <w:rPr>
          <w:rFonts w:ascii="Arial" w:hAnsi="Arial" w:cs="Arial"/>
          <w:noProof/>
        </w:rPr>
        <w:t>(Fontelles et al., 2009)</w:t>
      </w:r>
      <w:r w:rsidRPr="006B0F6C">
        <w:rPr>
          <w:rFonts w:ascii="Arial" w:hAnsi="Arial" w:cs="Arial"/>
        </w:rPr>
        <w:fldChar w:fldCharType="end"/>
      </w:r>
      <w:r w:rsidRPr="006B0F6C">
        <w:rPr>
          <w:rFonts w:ascii="Arial" w:hAnsi="Arial" w:cs="Arial"/>
        </w:rPr>
        <w:t xml:space="preserve">. </w:t>
      </w:r>
    </w:p>
    <w:p w14:paraId="033A4F18" w14:textId="77777777" w:rsidR="0027569C" w:rsidRPr="006B0F6C" w:rsidRDefault="0027569C" w:rsidP="0027569C">
      <w:pPr>
        <w:jc w:val="both"/>
        <w:rPr>
          <w:rFonts w:ascii="Arial" w:hAnsi="Arial" w:cs="Arial"/>
        </w:rPr>
      </w:pPr>
      <w:r w:rsidRPr="006B0F6C">
        <w:rPr>
          <w:rFonts w:ascii="Arial" w:hAnsi="Arial" w:cs="Arial"/>
        </w:rPr>
        <w:t xml:space="preserve">The study was based on consulting the medical records of patients hospitalized for Covid-19 in a Brazilian philanthropic hospital. The study was carried out at the São Paulo Regional Hospital, located in the municipality of Xanxerê, SC, accredited in High Complexity Cardiology services, a reference for more than 1.3 million people from a total of 110 municipalities </w:t>
      </w:r>
      <w:r w:rsidRPr="006B0F6C">
        <w:rPr>
          <w:rFonts w:ascii="Arial" w:hAnsi="Arial" w:cs="Arial"/>
        </w:rPr>
        <w:fldChar w:fldCharType="begin"/>
      </w:r>
      <w:r w:rsidRPr="006B0F6C">
        <w:rPr>
          <w:rFonts w:ascii="Arial" w:hAnsi="Arial" w:cs="Arial"/>
        </w:rPr>
        <w:instrText xml:space="preserve"> ADDIN ZOTERO_ITEM CSL_CITATION {"citationID":"rUAcM320","properties":{"formattedCitation":"(Hospital Regional S\\uc0\\u227{}o Paulo, 2022)","plainCitation":"(Hospital Regional São Paulo, 2022)","noteIndex":0},"citationItems":[{"id":397,"uris":["http://zotero.org/users/16006184/items/JDMUQCTF"],"itemData":{"id":397,"type":"webpage","container-title":"HRSP","title":"O hospital: quem somos.","URL":"http://www.hrsp.com.br/home/index.php/o-hospital/quem-somos.","author":[{"literal":"Hospital Regional São Paulo"}],"accessed":{"date-parts":[["2022",4,28]]},"issued":{"date-parts":[["2022"]]}}}],"schema":"https://github.com/citation-style-language/schema/raw/master/csl-citation.json"} </w:instrText>
      </w:r>
      <w:r w:rsidRPr="006B0F6C">
        <w:rPr>
          <w:rFonts w:ascii="Arial" w:hAnsi="Arial" w:cs="Arial"/>
        </w:rPr>
        <w:fldChar w:fldCharType="separate"/>
      </w:r>
      <w:r w:rsidRPr="006B0F6C">
        <w:rPr>
          <w:rFonts w:ascii="Arial" w:hAnsi="Arial" w:cs="Arial"/>
        </w:rPr>
        <w:t>(Hospital Regional São Paulo, 2022)</w:t>
      </w:r>
      <w:r w:rsidRPr="006B0F6C">
        <w:rPr>
          <w:rFonts w:ascii="Arial" w:hAnsi="Arial" w:cs="Arial"/>
        </w:rPr>
        <w:fldChar w:fldCharType="end"/>
      </w:r>
      <w:r w:rsidRPr="006B0F6C">
        <w:rPr>
          <w:rFonts w:ascii="Arial" w:hAnsi="Arial" w:cs="Arial"/>
        </w:rPr>
        <w:t>.</w:t>
      </w:r>
    </w:p>
    <w:p w14:paraId="6EF8EEEF" w14:textId="77777777" w:rsidR="0027569C" w:rsidRPr="006B0F6C" w:rsidRDefault="0027569C" w:rsidP="0027569C">
      <w:pPr>
        <w:jc w:val="both"/>
        <w:rPr>
          <w:rFonts w:ascii="Arial" w:hAnsi="Arial" w:cs="Arial"/>
        </w:rPr>
      </w:pPr>
      <w:r w:rsidRPr="006B0F6C">
        <w:rPr>
          <w:rFonts w:ascii="Arial" w:hAnsi="Arial" w:cs="Arial"/>
        </w:rPr>
        <w:t>The sample consisted of medical records of patients hospitalized since the pandemic was declared, March 11, 2020, until March 11, 2022. The sample was probabilistic, with two subgroups, one from the first year (March 11, 2020 to March 11, 2021), and the other from the second year (March 12, 2021 to March 11, 2022), when vaccination was already taking place.</w:t>
      </w:r>
    </w:p>
    <w:p w14:paraId="5EF32EE7" w14:textId="77777777" w:rsidR="0027569C" w:rsidRPr="006B0F6C" w:rsidRDefault="0027569C" w:rsidP="0027569C">
      <w:pPr>
        <w:jc w:val="both"/>
        <w:rPr>
          <w:rFonts w:ascii="Arial" w:hAnsi="Arial" w:cs="Arial"/>
        </w:rPr>
      </w:pPr>
      <w:r w:rsidRPr="006B0F6C">
        <w:rPr>
          <w:rFonts w:ascii="Arial" w:hAnsi="Arial" w:cs="Arial"/>
        </w:rPr>
        <w:t xml:space="preserve">The sample was based on the total number of records of patients admitted to the hospital for Covid-19 (a total of 1120 records). A list of medical records for each year was obtained and a </w:t>
      </w:r>
      <w:r w:rsidRPr="006B0F6C">
        <w:rPr>
          <w:rFonts w:ascii="Arial" w:hAnsi="Arial" w:cs="Arial"/>
        </w:rPr>
        <w:lastRenderedPageBreak/>
        <w:t xml:space="preserve">random design was made to compose the sample. The </w:t>
      </w:r>
      <w:proofErr w:type="spellStart"/>
      <w:r w:rsidRPr="006B0F6C">
        <w:rPr>
          <w:rFonts w:ascii="Arial" w:hAnsi="Arial" w:cs="Arial"/>
        </w:rPr>
        <w:t>EpiInfo</w:t>
      </w:r>
      <w:proofErr w:type="spellEnd"/>
      <w:r w:rsidRPr="006B0F6C">
        <w:rPr>
          <w:rFonts w:ascii="Arial" w:hAnsi="Arial" w:cs="Arial"/>
        </w:rPr>
        <w:t xml:space="preserve"> software (version 2021 7.2.5) was used for this, adopting a 95% confidence level and </w:t>
      </w:r>
      <w:proofErr w:type="spellStart"/>
      <w:proofErr w:type="gramStart"/>
      <w:r w:rsidRPr="006B0F6C">
        <w:rPr>
          <w:rFonts w:ascii="Arial" w:hAnsi="Arial" w:cs="Arial"/>
        </w:rPr>
        <w:t>a</w:t>
      </w:r>
      <w:proofErr w:type="spellEnd"/>
      <w:proofErr w:type="gramEnd"/>
      <w:r w:rsidRPr="006B0F6C">
        <w:rPr>
          <w:rFonts w:ascii="Arial" w:hAnsi="Arial" w:cs="Arial"/>
        </w:rPr>
        <w:t xml:space="preserve"> error of 5%. A total sample size of 286 medical records was obtained, which were divided into two clusters (year 1 and year 2). After defining the sample size, the Excel software function "</w:t>
      </w:r>
      <w:proofErr w:type="gramStart"/>
      <w:r w:rsidRPr="006B0F6C">
        <w:rPr>
          <w:rFonts w:ascii="Arial" w:hAnsi="Arial" w:cs="Arial"/>
        </w:rPr>
        <w:t>Random(</w:t>
      </w:r>
      <w:proofErr w:type="gramEnd"/>
      <w:r w:rsidRPr="006B0F6C">
        <w:rPr>
          <w:rFonts w:ascii="Arial" w:hAnsi="Arial" w:cs="Arial"/>
        </w:rPr>
        <w:t>)" was used to sort the medical records, which were organized sequentially by date and time of admission in the hospital. Any medical records sorted for patients less than 18 years old were excluded from the sample.</w:t>
      </w:r>
    </w:p>
    <w:p w14:paraId="325B29DD" w14:textId="77777777" w:rsidR="0027569C" w:rsidRPr="006B0F6C" w:rsidRDefault="0027569C" w:rsidP="0027569C">
      <w:pPr>
        <w:jc w:val="both"/>
        <w:rPr>
          <w:rFonts w:ascii="Arial" w:hAnsi="Arial" w:cs="Arial"/>
        </w:rPr>
      </w:pPr>
      <w:r w:rsidRPr="006B0F6C">
        <w:rPr>
          <w:rFonts w:ascii="Arial" w:hAnsi="Arial" w:cs="Arial"/>
        </w:rPr>
        <w:t xml:space="preserve">The data from the patients' medical records was transcribed into an Excel spreadsheet. The data was collected on the premises of the hospital itself, with the agreement of the institution involved. No medical records in physical or digital form were removed from the hospital. </w:t>
      </w:r>
    </w:p>
    <w:p w14:paraId="6E61C3DF" w14:textId="77777777" w:rsidR="0027569C" w:rsidRPr="006B0F6C" w:rsidRDefault="0027569C" w:rsidP="0027569C">
      <w:pPr>
        <w:jc w:val="both"/>
        <w:rPr>
          <w:rFonts w:ascii="Arial" w:hAnsi="Arial" w:cs="Arial"/>
        </w:rPr>
      </w:pPr>
      <w:r w:rsidRPr="006B0F6C">
        <w:rPr>
          <w:rFonts w:ascii="Arial" w:hAnsi="Arial" w:cs="Arial"/>
        </w:rPr>
        <w:t>To determine the sociodemographic and clinical profile, the following variables were explored: patient profile (age, gender, marital status, schooling, race and religion), morbidities, length of hospitalization, need for ventilatory support, ventilatory modality, length of ventilatory support, procedures (tracheostomy, chest drainage and dialysis), use of antibiotics, anticoagulants and blood components, complications, imaging tests performed, Covid-19 vaccination, need for enteral or parenteral diet and outcome (cured discharge, death or transfer).</w:t>
      </w:r>
    </w:p>
    <w:p w14:paraId="37A431E1" w14:textId="75EFB15D" w:rsidR="0027569C" w:rsidRDefault="0027569C" w:rsidP="0027569C">
      <w:pPr>
        <w:jc w:val="both"/>
        <w:rPr>
          <w:rFonts w:ascii="Arial" w:hAnsi="Arial" w:cs="Arial"/>
          <w:color w:val="000000"/>
        </w:rPr>
      </w:pPr>
      <w:r w:rsidRPr="006B0F6C">
        <w:rPr>
          <w:rFonts w:ascii="Arial" w:hAnsi="Arial" w:cs="Arial"/>
          <w:color w:val="000000"/>
        </w:rPr>
        <w:t xml:space="preserve">The data was analyzed in terms of frequency, measures of position (mean, median and percentiles) and measures of dispersion. Frequency tables were used to represent these descriptive statistics. Inferential statistics were used to explore possible differences in Covid-19 outcomes between the two sampling periods. The Shapiro-Wilk test was used to test the distribution of the data. Non-parametric Mann-Whitney and Kruskal-Wallis tests were used to test differences between group and subgroup variables. In addition, the Chi-squared association test was used to assess possible relationships between groups and/or subgroups formed from the sample. The Excel for Windows (Microsoft Excel 2016), Past </w:t>
      </w:r>
      <w:r w:rsidRPr="006B0F6C">
        <w:rPr>
          <w:rFonts w:ascii="Arial" w:hAnsi="Arial" w:cs="Arial"/>
          <w:color w:val="000000"/>
        </w:rPr>
        <w:fldChar w:fldCharType="begin"/>
      </w:r>
      <w:r w:rsidRPr="006B0F6C">
        <w:rPr>
          <w:rFonts w:ascii="Arial" w:hAnsi="Arial" w:cs="Arial"/>
          <w:color w:val="000000"/>
        </w:rPr>
        <w:instrText xml:space="preserve"> ADDIN ZOTERO_ITEM CSL_CITATION {"citationID":"BW6XYnDK","properties":{"formattedCitation":"(Hammer et al., 2001)","plainCitation":"(Hammer et al., 2001)","noteIndex":0},"citationItems":[{"id":393,"uris":["http://zotero.org/users/16006184/items/57ERRHUC"],"itemData":{"id":393,"type":"article-journal","abstract":"A comprehensive, but simple-to-use software package for executing a range of standard numerical analysis and operations used in quantitative paleontology has been developed. The program, called PAST (PAleontological STatistics), runs on standard Windows computers and is available free of charge. PAST integrates spreadsheet-type data entry with univariate and multivariate statistics, curve fitting, timeseries analysis, data plotting, and simple phylogenetic analysis. Many of the functions are specific to paleontology and ecology, and these functions are not found in standard, more extensive, statistical packages. PAST also includes fourteen case studies (data files and exercises) illustrating use of the program for paleontological problems, making it a complete educational package for courses in quantitative methods.","language":"en","source":"Zotero","title":"PAST: Paleontological Statistics Software Package for Education and Data Analysis","author":[{"family":"Hammer","given":"Oyvind"},{"family":"Harper","given":"David A T"},{"family":"Ryan","given":"Paul D"}],"issued":{"date-parts":[["2001"]]}}}],"schema":"https://github.com/citation-style-language/schema/raw/master/csl-citation.json"} </w:instrText>
      </w:r>
      <w:r w:rsidRPr="006B0F6C">
        <w:rPr>
          <w:rFonts w:ascii="Arial" w:hAnsi="Arial" w:cs="Arial"/>
          <w:color w:val="000000"/>
        </w:rPr>
        <w:fldChar w:fldCharType="separate"/>
      </w:r>
      <w:r w:rsidRPr="006B0F6C">
        <w:rPr>
          <w:rFonts w:ascii="Arial" w:hAnsi="Arial" w:cs="Arial"/>
          <w:noProof/>
          <w:color w:val="000000"/>
        </w:rPr>
        <w:t>(Hammer et al., 2001)</w:t>
      </w:r>
      <w:r w:rsidRPr="006B0F6C">
        <w:rPr>
          <w:rFonts w:ascii="Arial" w:hAnsi="Arial" w:cs="Arial"/>
          <w:color w:val="000000"/>
        </w:rPr>
        <w:fldChar w:fldCharType="end"/>
      </w:r>
      <w:r w:rsidRPr="006B0F6C">
        <w:rPr>
          <w:rFonts w:ascii="Arial" w:hAnsi="Arial" w:cs="Arial"/>
          <w:color w:val="000000"/>
        </w:rPr>
        <w:t xml:space="preserve"> and SPSS (version 28.0.1) software were used for the analyses. The p-value &lt; 0.05 was adopted as statistical significance level.</w:t>
      </w:r>
    </w:p>
    <w:p w14:paraId="6F85A2A2" w14:textId="4D95BEE1" w:rsidR="00790ADA" w:rsidRPr="0027569C" w:rsidRDefault="0027569C" w:rsidP="0027569C">
      <w:pPr>
        <w:pStyle w:val="AbstHead"/>
        <w:spacing w:after="0"/>
        <w:jc w:val="both"/>
        <w:rPr>
          <w:rFonts w:ascii="Arial" w:hAnsi="Arial" w:cs="Arial"/>
          <w:b w:val="0"/>
          <w:bCs/>
          <w:caps w:val="0"/>
          <w:sz w:val="20"/>
        </w:rPr>
      </w:pPr>
      <w:r w:rsidRPr="0027569C">
        <w:rPr>
          <w:rFonts w:ascii="Arial" w:hAnsi="Arial" w:cs="Arial"/>
          <w:b w:val="0"/>
          <w:bCs/>
          <w:caps w:val="0"/>
          <w:sz w:val="20"/>
        </w:rPr>
        <w:t xml:space="preserve">The research was carried out in accordance with CNS Resolution 466/2012 </w:t>
      </w:r>
      <w:r w:rsidRPr="0027569C">
        <w:rPr>
          <w:rFonts w:ascii="Arial" w:hAnsi="Arial" w:cs="Arial"/>
          <w:b w:val="0"/>
          <w:bCs/>
          <w:caps w:val="0"/>
          <w:sz w:val="20"/>
        </w:rPr>
        <w:fldChar w:fldCharType="begin"/>
      </w:r>
      <w:r w:rsidRPr="0027569C">
        <w:rPr>
          <w:rFonts w:ascii="Arial" w:hAnsi="Arial" w:cs="Arial"/>
          <w:b w:val="0"/>
          <w:bCs/>
          <w:caps w:val="0"/>
          <w:sz w:val="20"/>
        </w:rPr>
        <w:instrText xml:space="preserve"> ADDIN ZOTERO_ITEM CSL_CITATION {"citationID":"jAbQiDIb","properties":{"formattedCitation":"(Brasil, 2012)","plainCitation":"(Brasil, 2012)","noteIndex":0},"citationItems":[{"id":353,"uris":["http://zotero.org/users/16006184/items/DU7UJYZM"],"itemData":{"id":353,"type":"webpage","container-title":"Diário Oficial da União","title":"Resolução nº 466, de 12 de dezembro de 2012. Dispõe sobre diretrizes e normas regulamentadoras de pesquisas envolvendo seres humanos.","URL":"http://conselho.saude.gov.br/resolucoes/2012/Reso466.pdf.","author":[{"family":"Brasil","given":""}],"accessed":{"date-parts":[["2022",5,24]]},"issued":{"date-parts":[["2012"]]}}}],"schema":"https://github.com/citation-style-language/schema/raw/master/csl-citation.json"} </w:instrText>
      </w:r>
      <w:r w:rsidRPr="0027569C">
        <w:rPr>
          <w:rFonts w:ascii="Arial" w:hAnsi="Arial" w:cs="Arial"/>
          <w:b w:val="0"/>
          <w:bCs/>
          <w:caps w:val="0"/>
          <w:sz w:val="20"/>
        </w:rPr>
        <w:fldChar w:fldCharType="separate"/>
      </w:r>
      <w:r w:rsidRPr="0027569C">
        <w:rPr>
          <w:rFonts w:ascii="Arial" w:hAnsi="Arial" w:cs="Arial"/>
          <w:b w:val="0"/>
          <w:bCs/>
          <w:caps w:val="0"/>
          <w:noProof/>
          <w:sz w:val="20"/>
        </w:rPr>
        <w:t>(Brasil, 2012)</w:t>
      </w:r>
      <w:r w:rsidRPr="0027569C">
        <w:rPr>
          <w:rFonts w:ascii="Arial" w:hAnsi="Arial" w:cs="Arial"/>
          <w:b w:val="0"/>
          <w:bCs/>
          <w:caps w:val="0"/>
          <w:sz w:val="20"/>
        </w:rPr>
        <w:fldChar w:fldCharType="end"/>
      </w:r>
      <w:r w:rsidRPr="0027569C">
        <w:rPr>
          <w:rFonts w:ascii="Arial" w:hAnsi="Arial" w:cs="Arial"/>
          <w:b w:val="0"/>
          <w:bCs/>
          <w:caps w:val="0"/>
          <w:sz w:val="20"/>
        </w:rPr>
        <w:t xml:space="preserve"> and Resolution 510/2016 </w:t>
      </w:r>
      <w:r w:rsidRPr="0027569C">
        <w:rPr>
          <w:rFonts w:ascii="Arial" w:hAnsi="Arial" w:cs="Arial"/>
          <w:b w:val="0"/>
          <w:bCs/>
          <w:caps w:val="0"/>
          <w:sz w:val="20"/>
        </w:rPr>
        <w:fldChar w:fldCharType="begin"/>
      </w:r>
      <w:r w:rsidRPr="0027569C">
        <w:rPr>
          <w:rFonts w:ascii="Arial" w:hAnsi="Arial" w:cs="Arial"/>
          <w:b w:val="0"/>
          <w:bCs/>
          <w:caps w:val="0"/>
          <w:sz w:val="20"/>
        </w:rPr>
        <w:instrText xml:space="preserve"> ADDIN ZOTERO_ITEM CSL_CITATION {"citationID":"S02ieyAv","properties":{"formattedCitation":"(Brasil, 2016)","plainCitation":"(Brasil, 2016)","noteIndex":0},"citationItems":[{"id":354,"uris":["http://zotero.org/users/16006184/items/383I8SXM"],"itemData":{"id":354,"type":"webpage","container-title":"Diário Oficial da União","title":"Resolução nº 510, de 07 de abril de 2016. Dispõe sobre as normas aplicáveis a pesquisas em Ciências Humanas e Sociais.","URL":"http://conselho.saude.gov.br/resolucoes/2016/Reso510.pdf","author":[{"family":"Brasil","given":""}],"accessed":{"date-parts":[["2022",5,24]]},"issued":{"date-parts":[["2016"]]}}}],"schema":"https://github.com/citation-style-language/schema/raw/master/csl-citation.json"} </w:instrText>
      </w:r>
      <w:r w:rsidRPr="0027569C">
        <w:rPr>
          <w:rFonts w:ascii="Arial" w:hAnsi="Arial" w:cs="Arial"/>
          <w:b w:val="0"/>
          <w:bCs/>
          <w:caps w:val="0"/>
          <w:sz w:val="20"/>
        </w:rPr>
        <w:fldChar w:fldCharType="separate"/>
      </w:r>
      <w:r w:rsidRPr="0027569C">
        <w:rPr>
          <w:rFonts w:ascii="Arial" w:hAnsi="Arial" w:cs="Arial"/>
          <w:b w:val="0"/>
          <w:bCs/>
          <w:caps w:val="0"/>
          <w:noProof/>
          <w:sz w:val="20"/>
        </w:rPr>
        <w:t>(Brasil, 2016)</w:t>
      </w:r>
      <w:r w:rsidRPr="0027569C">
        <w:rPr>
          <w:rFonts w:ascii="Arial" w:hAnsi="Arial" w:cs="Arial"/>
          <w:b w:val="0"/>
          <w:bCs/>
          <w:caps w:val="0"/>
          <w:sz w:val="20"/>
        </w:rPr>
        <w:fldChar w:fldCharType="end"/>
      </w:r>
      <w:r w:rsidRPr="0027569C">
        <w:rPr>
          <w:rFonts w:ascii="Arial" w:hAnsi="Arial" w:cs="Arial"/>
          <w:b w:val="0"/>
          <w:bCs/>
          <w:caps w:val="0"/>
          <w:sz w:val="20"/>
        </w:rPr>
        <w:t xml:space="preserve"> and approved under Opinion: 5.543.130. It was also carried out in accordance with the General Personal Data Protection Law (LGPD), Law No. 13,709/2018 </w:t>
      </w:r>
      <w:r w:rsidRPr="0027569C">
        <w:rPr>
          <w:rFonts w:ascii="Arial" w:hAnsi="Arial" w:cs="Arial"/>
          <w:b w:val="0"/>
          <w:bCs/>
          <w:caps w:val="0"/>
          <w:sz w:val="20"/>
        </w:rPr>
        <w:fldChar w:fldCharType="begin"/>
      </w:r>
      <w:r w:rsidRPr="0027569C">
        <w:rPr>
          <w:rFonts w:ascii="Arial" w:hAnsi="Arial" w:cs="Arial"/>
          <w:b w:val="0"/>
          <w:bCs/>
          <w:caps w:val="0"/>
          <w:sz w:val="20"/>
        </w:rPr>
        <w:instrText xml:space="preserve"> ADDIN ZOTERO_ITEM CSL_CITATION {"citationID":"bthpYkOh","properties":{"formattedCitation":"(Brasil, 2018)","plainCitation":"(Brasil, 2018)","noteIndex":0},"citationItems":[{"id":351,"uris":["http://zotero.org/users/16006184/items/3PQCTPJH"],"itemData":{"id":351,"type":"webpage","container-title":"Diário Oficial da União","title":"Lei no 13.709, de 14 de agosto de 2018. Lei Geral de Proteção de Dados Pessoais (LGPD).","URL":"https://www.planalto.gov.br/ccivil_03/_ato2015-2018/2018/lei/l13709.htm","author":[{"family":"Brasil","given":""}],"accessed":{"date-parts":[["2022",4,22]]},"issued":{"date-parts":[["2018"]]}}}],"schema":"https://github.com/citation-style-language/schema/raw/master/csl-citation.json"} </w:instrText>
      </w:r>
      <w:r w:rsidRPr="0027569C">
        <w:rPr>
          <w:rFonts w:ascii="Arial" w:hAnsi="Arial" w:cs="Arial"/>
          <w:b w:val="0"/>
          <w:bCs/>
          <w:caps w:val="0"/>
          <w:sz w:val="20"/>
        </w:rPr>
        <w:fldChar w:fldCharType="separate"/>
      </w:r>
      <w:r w:rsidRPr="0027569C">
        <w:rPr>
          <w:rFonts w:ascii="Arial" w:hAnsi="Arial" w:cs="Arial"/>
          <w:b w:val="0"/>
          <w:bCs/>
          <w:caps w:val="0"/>
          <w:noProof/>
          <w:sz w:val="20"/>
        </w:rPr>
        <w:t>(Brasil, 2018)</w:t>
      </w:r>
      <w:r w:rsidRPr="0027569C">
        <w:rPr>
          <w:rFonts w:ascii="Arial" w:hAnsi="Arial" w:cs="Arial"/>
          <w:b w:val="0"/>
          <w:bCs/>
          <w:caps w:val="0"/>
          <w:sz w:val="20"/>
        </w:rPr>
        <w:fldChar w:fldCharType="end"/>
      </w:r>
      <w:r w:rsidRPr="0027569C">
        <w:rPr>
          <w:rFonts w:ascii="Arial" w:hAnsi="Arial" w:cs="Arial"/>
          <w:b w:val="0"/>
          <w:bCs/>
          <w:caps w:val="0"/>
          <w:sz w:val="20"/>
        </w:rPr>
        <w:t>.</w:t>
      </w:r>
    </w:p>
    <w:p w14:paraId="26A68A48" w14:textId="77777777" w:rsidR="00790ADA" w:rsidRPr="00FB3A86" w:rsidRDefault="00790ADA" w:rsidP="00441B6F">
      <w:pPr>
        <w:pStyle w:val="Body"/>
        <w:spacing w:after="0"/>
        <w:rPr>
          <w:rFonts w:ascii="Arial" w:hAnsi="Arial" w:cs="Arial"/>
        </w:rPr>
      </w:pPr>
    </w:p>
    <w:p w14:paraId="5E13A074" w14:textId="74D35886"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6AF7FBA5" w14:textId="14D1E913" w:rsidR="0027569C" w:rsidRDefault="0027569C" w:rsidP="00441B6F">
      <w:pPr>
        <w:pStyle w:val="Head1"/>
        <w:spacing w:after="0"/>
        <w:jc w:val="both"/>
        <w:rPr>
          <w:rFonts w:ascii="Arial" w:hAnsi="Arial" w:cs="Arial"/>
        </w:rPr>
      </w:pPr>
    </w:p>
    <w:p w14:paraId="7D8B4BC4" w14:textId="77777777" w:rsidR="00FE535E" w:rsidRPr="006B0F6C" w:rsidRDefault="00FE535E" w:rsidP="00FE535E">
      <w:pPr>
        <w:jc w:val="both"/>
        <w:rPr>
          <w:rFonts w:ascii="Arial" w:hAnsi="Arial" w:cs="Arial"/>
          <w:color w:val="000000"/>
        </w:rPr>
      </w:pPr>
      <w:r w:rsidRPr="006B0F6C">
        <w:rPr>
          <w:rFonts w:ascii="Arial" w:hAnsi="Arial" w:cs="Arial"/>
          <w:color w:val="000000"/>
        </w:rPr>
        <w:t>A total of 285 medical records were consulted. There was a predominance of male patients in the sample, 60.1% in year 1 and 53.5% in year 2 (p = 0.157). The majority did not have a partner in both year 1 (51.0%) and year 2 (52.8%) (p = 0.429). Most patients had complete or incomplete primary education in both years (p = 0.289). In relation to race, there was a significant difference (p &lt;0.05) between the patients in both years, with the white colored predominating, but with an increase in the prevalence of brown colored in year 2 (17.6%). Catholics predominated in both years (p = 0.622) (Table I).</w:t>
      </w:r>
    </w:p>
    <w:p w14:paraId="63E6A539" w14:textId="4929BED1" w:rsidR="00FE535E" w:rsidRDefault="00FE535E" w:rsidP="00FE535E">
      <w:pPr>
        <w:jc w:val="both"/>
        <w:rPr>
          <w:rFonts w:ascii="Arial" w:hAnsi="Arial" w:cs="Arial"/>
        </w:rPr>
      </w:pPr>
      <w:r w:rsidRPr="006B0F6C">
        <w:rPr>
          <w:rFonts w:ascii="Arial" w:hAnsi="Arial" w:cs="Arial"/>
        </w:rPr>
        <w:t xml:space="preserve">Regarding the comorbidities reported in the medical records, almost half of the patients admitted were hypertensive (42.0% in year 1 and 50.0% in year 2), 22% were overweight or obese and 14% were smokers in the two years. Diabetes mellitus was reported in 18.2% of medical records in year 1 and 26.1% in year 2. </w:t>
      </w:r>
      <w:proofErr w:type="spellStart"/>
      <w:r w:rsidRPr="006B0F6C">
        <w:rPr>
          <w:rFonts w:ascii="Arial" w:hAnsi="Arial" w:cs="Arial"/>
        </w:rPr>
        <w:t>Dyslipidemic</w:t>
      </w:r>
      <w:proofErr w:type="spellEnd"/>
      <w:r w:rsidRPr="006B0F6C">
        <w:rPr>
          <w:rFonts w:ascii="Arial" w:hAnsi="Arial" w:cs="Arial"/>
        </w:rPr>
        <w:t xml:space="preserve"> patients accounted for less than 10% in both periods and those with heart disease or a history of previous ischemic events, less than 15%. In addition, in 35% of cases other morbidities were reported, both in year 1 and year 2 (Table I).</w:t>
      </w:r>
    </w:p>
    <w:p w14:paraId="618A30F0" w14:textId="49B66CFC" w:rsidR="00FE535E" w:rsidRDefault="00FE535E" w:rsidP="00FE535E">
      <w:pPr>
        <w:jc w:val="both"/>
        <w:rPr>
          <w:rFonts w:ascii="Arial" w:hAnsi="Arial" w:cs="Arial"/>
        </w:rPr>
      </w:pPr>
    </w:p>
    <w:p w14:paraId="4A61019E" w14:textId="77777777" w:rsidR="00F8388B" w:rsidRPr="00F8388B" w:rsidRDefault="00F8388B" w:rsidP="00F8388B">
      <w:pPr>
        <w:jc w:val="center"/>
        <w:rPr>
          <w:rFonts w:ascii="Arial" w:hAnsi="Arial" w:cs="Arial"/>
          <w:b/>
          <w:color w:val="000000"/>
        </w:rPr>
      </w:pPr>
      <w:r w:rsidRPr="00F8388B">
        <w:rPr>
          <w:rFonts w:ascii="Arial" w:hAnsi="Arial" w:cs="Arial"/>
          <w:b/>
        </w:rPr>
        <w:t>Table I. Sociodemographic and clinical profile of patients admitted with Covid-19 to a Brazilian public hospital in the first two years of the pandemic: March 11, 2020 to March 11, 2021 and March 12, 2021 to March 11, 2022. n = number of medical records consulted; X</w:t>
      </w:r>
      <w:r w:rsidRPr="00F8388B">
        <w:rPr>
          <w:rFonts w:ascii="Arial" w:hAnsi="Arial" w:cs="Arial"/>
          <w:b/>
          <w:vertAlign w:val="superscript"/>
        </w:rPr>
        <w:t>2</w:t>
      </w:r>
      <w:r w:rsidRPr="00F8388B">
        <w:rPr>
          <w:rFonts w:ascii="Arial" w:hAnsi="Arial" w:cs="Arial"/>
          <w:b/>
        </w:rPr>
        <w:t>= Chi-square test.</w:t>
      </w:r>
    </w:p>
    <w:tbl>
      <w:tblPr>
        <w:tblW w:w="8312" w:type="dxa"/>
        <w:jc w:val="center"/>
        <w:tblLayout w:type="fixed"/>
        <w:tblLook w:val="0400" w:firstRow="0" w:lastRow="0" w:firstColumn="0" w:lastColumn="0" w:noHBand="0" w:noVBand="1"/>
      </w:tblPr>
      <w:tblGrid>
        <w:gridCol w:w="2628"/>
        <w:gridCol w:w="723"/>
        <w:gridCol w:w="1134"/>
        <w:gridCol w:w="567"/>
        <w:gridCol w:w="992"/>
        <w:gridCol w:w="2268"/>
      </w:tblGrid>
      <w:tr w:rsidR="00F8388B" w:rsidRPr="009E3821" w14:paraId="5C4854F4" w14:textId="77777777" w:rsidTr="009E3821">
        <w:trPr>
          <w:trHeight w:val="300"/>
          <w:jc w:val="center"/>
        </w:trPr>
        <w:tc>
          <w:tcPr>
            <w:tcW w:w="2628" w:type="dxa"/>
            <w:tcBorders>
              <w:top w:val="single" w:sz="12" w:space="0" w:color="000000"/>
              <w:left w:val="nil"/>
              <w:bottom w:val="single" w:sz="8" w:space="0" w:color="000000"/>
              <w:right w:val="nil"/>
            </w:tcBorders>
            <w:tcMar>
              <w:top w:w="0" w:type="dxa"/>
              <w:left w:w="45" w:type="dxa"/>
              <w:bottom w:w="0" w:type="dxa"/>
              <w:right w:w="45" w:type="dxa"/>
            </w:tcMar>
            <w:vAlign w:val="bottom"/>
          </w:tcPr>
          <w:p w14:paraId="0687F3C0" w14:textId="77777777" w:rsidR="00F8388B" w:rsidRPr="009E3821" w:rsidRDefault="00F8388B" w:rsidP="009E3821">
            <w:pPr>
              <w:rPr>
                <w:rFonts w:ascii="Arial" w:hAnsi="Arial" w:cs="Arial"/>
              </w:rPr>
            </w:pPr>
          </w:p>
        </w:tc>
        <w:tc>
          <w:tcPr>
            <w:tcW w:w="1857" w:type="dxa"/>
            <w:gridSpan w:val="2"/>
            <w:tcBorders>
              <w:top w:val="single" w:sz="12" w:space="0" w:color="000000"/>
              <w:left w:val="nil"/>
              <w:bottom w:val="single" w:sz="8" w:space="0" w:color="000000"/>
              <w:right w:val="nil"/>
            </w:tcBorders>
            <w:tcMar>
              <w:top w:w="0" w:type="dxa"/>
              <w:left w:w="45" w:type="dxa"/>
              <w:bottom w:w="0" w:type="dxa"/>
              <w:right w:w="45" w:type="dxa"/>
            </w:tcMar>
            <w:vAlign w:val="bottom"/>
            <w:hideMark/>
          </w:tcPr>
          <w:p w14:paraId="289ECF10" w14:textId="77777777" w:rsidR="00F8388B" w:rsidRPr="009E3821" w:rsidRDefault="00F8388B" w:rsidP="009E3821">
            <w:pPr>
              <w:jc w:val="center"/>
              <w:rPr>
                <w:rFonts w:ascii="Arial" w:hAnsi="Arial" w:cs="Arial"/>
                <w:b/>
              </w:rPr>
            </w:pPr>
            <w:r w:rsidRPr="009E3821">
              <w:rPr>
                <w:rFonts w:ascii="Arial" w:hAnsi="Arial" w:cs="Arial"/>
                <w:b/>
              </w:rPr>
              <w:t>Year 1</w:t>
            </w:r>
          </w:p>
        </w:tc>
        <w:tc>
          <w:tcPr>
            <w:tcW w:w="1559" w:type="dxa"/>
            <w:gridSpan w:val="2"/>
            <w:tcBorders>
              <w:top w:val="single" w:sz="12" w:space="0" w:color="000000"/>
              <w:left w:val="nil"/>
              <w:bottom w:val="single" w:sz="8" w:space="0" w:color="000000"/>
              <w:right w:val="nil"/>
            </w:tcBorders>
            <w:tcMar>
              <w:top w:w="0" w:type="dxa"/>
              <w:left w:w="45" w:type="dxa"/>
              <w:bottom w:w="0" w:type="dxa"/>
              <w:right w:w="45" w:type="dxa"/>
            </w:tcMar>
            <w:vAlign w:val="bottom"/>
            <w:hideMark/>
          </w:tcPr>
          <w:p w14:paraId="6F7A6922" w14:textId="77777777" w:rsidR="00F8388B" w:rsidRPr="009E3821" w:rsidRDefault="00F8388B" w:rsidP="009E3821">
            <w:pPr>
              <w:jc w:val="center"/>
              <w:rPr>
                <w:rFonts w:ascii="Arial" w:hAnsi="Arial" w:cs="Arial"/>
                <w:b/>
              </w:rPr>
            </w:pPr>
            <w:r w:rsidRPr="009E3821">
              <w:rPr>
                <w:rFonts w:ascii="Arial" w:hAnsi="Arial" w:cs="Arial"/>
                <w:b/>
              </w:rPr>
              <w:t>Year 2</w:t>
            </w:r>
          </w:p>
        </w:tc>
        <w:tc>
          <w:tcPr>
            <w:tcW w:w="2268" w:type="dxa"/>
            <w:tcBorders>
              <w:top w:val="single" w:sz="12" w:space="0" w:color="000000"/>
              <w:left w:val="nil"/>
              <w:bottom w:val="single" w:sz="8" w:space="0" w:color="000000"/>
              <w:right w:val="nil"/>
            </w:tcBorders>
            <w:tcMar>
              <w:top w:w="0" w:type="dxa"/>
              <w:left w:w="45" w:type="dxa"/>
              <w:bottom w:w="0" w:type="dxa"/>
              <w:right w:w="45" w:type="dxa"/>
            </w:tcMar>
            <w:vAlign w:val="bottom"/>
          </w:tcPr>
          <w:p w14:paraId="462032C4" w14:textId="77777777" w:rsidR="00F8388B" w:rsidRPr="009E3821" w:rsidRDefault="00F8388B" w:rsidP="009E3821">
            <w:pPr>
              <w:jc w:val="center"/>
              <w:rPr>
                <w:rFonts w:ascii="Arial" w:hAnsi="Arial" w:cs="Arial"/>
                <w:b/>
              </w:rPr>
            </w:pPr>
          </w:p>
        </w:tc>
      </w:tr>
      <w:tr w:rsidR="00F8388B" w:rsidRPr="009E3821" w14:paraId="59B41EA7" w14:textId="77777777" w:rsidTr="009E3821">
        <w:trPr>
          <w:trHeight w:val="300"/>
          <w:jc w:val="center"/>
        </w:trPr>
        <w:tc>
          <w:tcPr>
            <w:tcW w:w="2628" w:type="dxa"/>
            <w:tcBorders>
              <w:top w:val="single" w:sz="8" w:space="0" w:color="000000"/>
              <w:left w:val="nil"/>
              <w:bottom w:val="single" w:sz="8" w:space="0" w:color="000000"/>
              <w:right w:val="nil"/>
            </w:tcBorders>
            <w:tcMar>
              <w:top w:w="0" w:type="dxa"/>
              <w:left w:w="45" w:type="dxa"/>
              <w:bottom w:w="0" w:type="dxa"/>
              <w:right w:w="45" w:type="dxa"/>
            </w:tcMar>
            <w:vAlign w:val="bottom"/>
            <w:hideMark/>
          </w:tcPr>
          <w:p w14:paraId="5DF006FB" w14:textId="77777777" w:rsidR="00F8388B" w:rsidRPr="009E3821" w:rsidRDefault="00F8388B" w:rsidP="009E3821">
            <w:pPr>
              <w:rPr>
                <w:rFonts w:ascii="Arial" w:hAnsi="Arial" w:cs="Arial"/>
                <w:b/>
              </w:rPr>
            </w:pPr>
            <w:r w:rsidRPr="009E3821">
              <w:rPr>
                <w:rFonts w:ascii="Arial" w:hAnsi="Arial" w:cs="Arial"/>
                <w:b/>
              </w:rPr>
              <w:lastRenderedPageBreak/>
              <w:t>Variable</w:t>
            </w:r>
          </w:p>
        </w:tc>
        <w:tc>
          <w:tcPr>
            <w:tcW w:w="723" w:type="dxa"/>
            <w:tcBorders>
              <w:top w:val="single" w:sz="8" w:space="0" w:color="000000"/>
              <w:left w:val="nil"/>
              <w:bottom w:val="single" w:sz="8" w:space="0" w:color="000000"/>
              <w:right w:val="nil"/>
            </w:tcBorders>
            <w:tcMar>
              <w:top w:w="0" w:type="dxa"/>
              <w:left w:w="45" w:type="dxa"/>
              <w:bottom w:w="0" w:type="dxa"/>
              <w:right w:w="45" w:type="dxa"/>
            </w:tcMar>
            <w:vAlign w:val="bottom"/>
            <w:hideMark/>
          </w:tcPr>
          <w:p w14:paraId="5C48AC11" w14:textId="77777777" w:rsidR="00F8388B" w:rsidRPr="009E3821" w:rsidRDefault="00F8388B" w:rsidP="009E3821">
            <w:pPr>
              <w:jc w:val="center"/>
              <w:rPr>
                <w:rFonts w:ascii="Arial" w:hAnsi="Arial" w:cs="Arial"/>
                <w:b/>
              </w:rPr>
            </w:pPr>
            <w:r w:rsidRPr="009E3821">
              <w:rPr>
                <w:rFonts w:ascii="Arial" w:hAnsi="Arial" w:cs="Arial"/>
                <w:b/>
              </w:rPr>
              <w:t>n</w:t>
            </w:r>
          </w:p>
        </w:tc>
        <w:tc>
          <w:tcPr>
            <w:tcW w:w="1134" w:type="dxa"/>
            <w:tcBorders>
              <w:top w:val="nil"/>
              <w:left w:val="nil"/>
              <w:bottom w:val="single" w:sz="8" w:space="0" w:color="000000"/>
              <w:right w:val="nil"/>
            </w:tcBorders>
            <w:tcMar>
              <w:top w:w="0" w:type="dxa"/>
              <w:left w:w="45" w:type="dxa"/>
              <w:bottom w:w="0" w:type="dxa"/>
              <w:right w:w="45" w:type="dxa"/>
            </w:tcMar>
            <w:vAlign w:val="bottom"/>
            <w:hideMark/>
          </w:tcPr>
          <w:p w14:paraId="6AFDDCB1" w14:textId="77777777" w:rsidR="00F8388B" w:rsidRPr="009E3821" w:rsidRDefault="00F8388B" w:rsidP="009E3821">
            <w:pPr>
              <w:jc w:val="center"/>
              <w:rPr>
                <w:rFonts w:ascii="Arial" w:hAnsi="Arial" w:cs="Arial"/>
                <w:b/>
              </w:rPr>
            </w:pPr>
            <w:r w:rsidRPr="009E3821">
              <w:rPr>
                <w:rFonts w:ascii="Arial" w:hAnsi="Arial" w:cs="Arial"/>
                <w:b/>
              </w:rPr>
              <w:t>%</w:t>
            </w:r>
          </w:p>
        </w:tc>
        <w:tc>
          <w:tcPr>
            <w:tcW w:w="567" w:type="dxa"/>
            <w:tcBorders>
              <w:top w:val="single" w:sz="8" w:space="0" w:color="000000"/>
              <w:left w:val="nil"/>
              <w:bottom w:val="single" w:sz="8" w:space="0" w:color="000000"/>
              <w:right w:val="nil"/>
            </w:tcBorders>
            <w:tcMar>
              <w:top w:w="0" w:type="dxa"/>
              <w:left w:w="45" w:type="dxa"/>
              <w:bottom w:w="0" w:type="dxa"/>
              <w:right w:w="45" w:type="dxa"/>
            </w:tcMar>
            <w:vAlign w:val="bottom"/>
            <w:hideMark/>
          </w:tcPr>
          <w:p w14:paraId="28086E4F" w14:textId="77777777" w:rsidR="00F8388B" w:rsidRPr="009E3821" w:rsidRDefault="00F8388B" w:rsidP="009E3821">
            <w:pPr>
              <w:jc w:val="center"/>
              <w:rPr>
                <w:rFonts w:ascii="Arial" w:hAnsi="Arial" w:cs="Arial"/>
                <w:b/>
              </w:rPr>
            </w:pPr>
            <w:r w:rsidRPr="009E3821">
              <w:rPr>
                <w:rFonts w:ascii="Arial" w:hAnsi="Arial" w:cs="Arial"/>
                <w:b/>
              </w:rPr>
              <w:t>n</w:t>
            </w:r>
          </w:p>
        </w:tc>
        <w:tc>
          <w:tcPr>
            <w:tcW w:w="992" w:type="dxa"/>
            <w:tcBorders>
              <w:top w:val="nil"/>
              <w:left w:val="nil"/>
              <w:bottom w:val="single" w:sz="8" w:space="0" w:color="000000"/>
              <w:right w:val="nil"/>
            </w:tcBorders>
            <w:tcMar>
              <w:top w:w="0" w:type="dxa"/>
              <w:left w:w="45" w:type="dxa"/>
              <w:bottom w:w="0" w:type="dxa"/>
              <w:right w:w="45" w:type="dxa"/>
            </w:tcMar>
            <w:vAlign w:val="bottom"/>
            <w:hideMark/>
          </w:tcPr>
          <w:p w14:paraId="667C97DA" w14:textId="77777777" w:rsidR="00F8388B" w:rsidRPr="009E3821" w:rsidRDefault="00F8388B" w:rsidP="009E3821">
            <w:pPr>
              <w:jc w:val="center"/>
              <w:rPr>
                <w:rFonts w:ascii="Arial" w:hAnsi="Arial" w:cs="Arial"/>
                <w:b/>
              </w:rPr>
            </w:pPr>
            <w:r w:rsidRPr="009E3821">
              <w:rPr>
                <w:rFonts w:ascii="Arial" w:hAnsi="Arial" w:cs="Arial"/>
                <w:b/>
              </w:rPr>
              <w:t>%</w:t>
            </w:r>
          </w:p>
        </w:tc>
        <w:tc>
          <w:tcPr>
            <w:tcW w:w="2268" w:type="dxa"/>
            <w:tcBorders>
              <w:top w:val="nil"/>
              <w:left w:val="nil"/>
              <w:bottom w:val="single" w:sz="8" w:space="0" w:color="000000"/>
              <w:right w:val="nil"/>
            </w:tcBorders>
            <w:tcMar>
              <w:top w:w="0" w:type="dxa"/>
              <w:left w:w="45" w:type="dxa"/>
              <w:bottom w:w="0" w:type="dxa"/>
              <w:right w:w="45" w:type="dxa"/>
            </w:tcMar>
            <w:vAlign w:val="bottom"/>
            <w:hideMark/>
          </w:tcPr>
          <w:p w14:paraId="54DA6727" w14:textId="77777777" w:rsidR="00F8388B" w:rsidRPr="009E3821" w:rsidRDefault="00F8388B" w:rsidP="009E3821">
            <w:pPr>
              <w:jc w:val="center"/>
              <w:rPr>
                <w:rFonts w:ascii="Arial" w:hAnsi="Arial" w:cs="Arial"/>
              </w:rPr>
            </w:pPr>
            <w:r w:rsidRPr="009E3821">
              <w:rPr>
                <w:rFonts w:ascii="Arial" w:hAnsi="Arial" w:cs="Arial"/>
                <w:b/>
              </w:rPr>
              <w:t xml:space="preserve">Significance </w:t>
            </w:r>
          </w:p>
        </w:tc>
      </w:tr>
      <w:tr w:rsidR="00F8388B" w:rsidRPr="009E3821" w14:paraId="17A3E040" w14:textId="77777777" w:rsidTr="009E3821">
        <w:trPr>
          <w:trHeight w:val="300"/>
          <w:jc w:val="center"/>
        </w:trPr>
        <w:tc>
          <w:tcPr>
            <w:tcW w:w="2628" w:type="dxa"/>
            <w:tcMar>
              <w:top w:w="0" w:type="dxa"/>
              <w:left w:w="45" w:type="dxa"/>
              <w:bottom w:w="0" w:type="dxa"/>
              <w:right w:w="45" w:type="dxa"/>
            </w:tcMar>
            <w:vAlign w:val="bottom"/>
            <w:hideMark/>
          </w:tcPr>
          <w:p w14:paraId="6E08E48D" w14:textId="77777777" w:rsidR="00F8388B" w:rsidRPr="009E3821" w:rsidRDefault="00F8388B" w:rsidP="009E3821">
            <w:pPr>
              <w:rPr>
                <w:rFonts w:ascii="Arial" w:hAnsi="Arial" w:cs="Arial"/>
                <w:b/>
              </w:rPr>
            </w:pPr>
            <w:r w:rsidRPr="009E3821">
              <w:rPr>
                <w:rFonts w:ascii="Arial" w:hAnsi="Arial" w:cs="Arial"/>
                <w:b/>
              </w:rPr>
              <w:t>Sex</w:t>
            </w:r>
          </w:p>
        </w:tc>
        <w:tc>
          <w:tcPr>
            <w:tcW w:w="723" w:type="dxa"/>
            <w:tcMar>
              <w:top w:w="0" w:type="dxa"/>
              <w:left w:w="45" w:type="dxa"/>
              <w:bottom w:w="0" w:type="dxa"/>
              <w:right w:w="45" w:type="dxa"/>
            </w:tcMar>
            <w:vAlign w:val="bottom"/>
          </w:tcPr>
          <w:p w14:paraId="6634E709" w14:textId="77777777" w:rsidR="00F8388B" w:rsidRPr="009E3821" w:rsidRDefault="00F8388B" w:rsidP="009E3821">
            <w:pPr>
              <w:rPr>
                <w:rFonts w:ascii="Arial" w:hAnsi="Arial" w:cs="Arial"/>
              </w:rPr>
            </w:pPr>
          </w:p>
        </w:tc>
        <w:tc>
          <w:tcPr>
            <w:tcW w:w="1134" w:type="dxa"/>
            <w:tcMar>
              <w:top w:w="0" w:type="dxa"/>
              <w:left w:w="45" w:type="dxa"/>
              <w:bottom w:w="0" w:type="dxa"/>
              <w:right w:w="45" w:type="dxa"/>
            </w:tcMar>
            <w:vAlign w:val="bottom"/>
          </w:tcPr>
          <w:p w14:paraId="1690412E" w14:textId="77777777" w:rsidR="00F8388B" w:rsidRPr="009E3821" w:rsidRDefault="00F8388B" w:rsidP="009E3821">
            <w:pPr>
              <w:rPr>
                <w:rFonts w:ascii="Arial" w:hAnsi="Arial" w:cs="Arial"/>
              </w:rPr>
            </w:pPr>
          </w:p>
        </w:tc>
        <w:tc>
          <w:tcPr>
            <w:tcW w:w="567" w:type="dxa"/>
            <w:tcMar>
              <w:top w:w="0" w:type="dxa"/>
              <w:left w:w="45" w:type="dxa"/>
              <w:bottom w:w="0" w:type="dxa"/>
              <w:right w:w="45" w:type="dxa"/>
            </w:tcMar>
            <w:vAlign w:val="bottom"/>
          </w:tcPr>
          <w:p w14:paraId="37212D52" w14:textId="77777777" w:rsidR="00F8388B" w:rsidRPr="009E3821" w:rsidRDefault="00F8388B" w:rsidP="009E3821">
            <w:pPr>
              <w:rPr>
                <w:rFonts w:ascii="Arial" w:hAnsi="Arial" w:cs="Arial"/>
              </w:rPr>
            </w:pPr>
          </w:p>
        </w:tc>
        <w:tc>
          <w:tcPr>
            <w:tcW w:w="992" w:type="dxa"/>
            <w:tcMar>
              <w:top w:w="0" w:type="dxa"/>
              <w:left w:w="45" w:type="dxa"/>
              <w:bottom w:w="0" w:type="dxa"/>
              <w:right w:w="45" w:type="dxa"/>
            </w:tcMar>
            <w:vAlign w:val="bottom"/>
          </w:tcPr>
          <w:p w14:paraId="0ED471B1" w14:textId="77777777" w:rsidR="00F8388B" w:rsidRPr="009E3821" w:rsidRDefault="00F8388B" w:rsidP="009E3821">
            <w:pPr>
              <w:rPr>
                <w:rFonts w:ascii="Arial" w:hAnsi="Arial" w:cs="Arial"/>
              </w:rPr>
            </w:pPr>
          </w:p>
        </w:tc>
        <w:tc>
          <w:tcPr>
            <w:tcW w:w="2268" w:type="dxa"/>
            <w:tcMar>
              <w:top w:w="0" w:type="dxa"/>
              <w:left w:w="45" w:type="dxa"/>
              <w:bottom w:w="0" w:type="dxa"/>
              <w:right w:w="45" w:type="dxa"/>
            </w:tcMar>
            <w:vAlign w:val="bottom"/>
          </w:tcPr>
          <w:p w14:paraId="071A510C" w14:textId="77777777" w:rsidR="00F8388B" w:rsidRPr="009E3821" w:rsidRDefault="00F8388B" w:rsidP="009E3821">
            <w:pPr>
              <w:rPr>
                <w:rFonts w:ascii="Arial" w:hAnsi="Arial" w:cs="Arial"/>
              </w:rPr>
            </w:pPr>
          </w:p>
        </w:tc>
      </w:tr>
      <w:tr w:rsidR="00F8388B" w:rsidRPr="009E3821" w14:paraId="62B888FE" w14:textId="77777777" w:rsidTr="009E3821">
        <w:trPr>
          <w:trHeight w:val="300"/>
          <w:jc w:val="center"/>
        </w:trPr>
        <w:tc>
          <w:tcPr>
            <w:tcW w:w="2628" w:type="dxa"/>
            <w:tcMar>
              <w:top w:w="0" w:type="dxa"/>
              <w:left w:w="45" w:type="dxa"/>
              <w:bottom w:w="0" w:type="dxa"/>
              <w:right w:w="45" w:type="dxa"/>
            </w:tcMar>
            <w:vAlign w:val="bottom"/>
            <w:hideMark/>
          </w:tcPr>
          <w:p w14:paraId="04DEB525" w14:textId="77777777" w:rsidR="00F8388B" w:rsidRPr="009E3821" w:rsidRDefault="00F8388B" w:rsidP="009E3821">
            <w:pPr>
              <w:rPr>
                <w:rFonts w:ascii="Arial" w:hAnsi="Arial" w:cs="Arial"/>
              </w:rPr>
            </w:pPr>
            <w:r w:rsidRPr="009E3821">
              <w:rPr>
                <w:rFonts w:ascii="Arial" w:hAnsi="Arial" w:cs="Arial"/>
              </w:rPr>
              <w:t>Female</w:t>
            </w:r>
          </w:p>
        </w:tc>
        <w:tc>
          <w:tcPr>
            <w:tcW w:w="723" w:type="dxa"/>
            <w:tcMar>
              <w:top w:w="0" w:type="dxa"/>
              <w:left w:w="45" w:type="dxa"/>
              <w:bottom w:w="0" w:type="dxa"/>
              <w:right w:w="45" w:type="dxa"/>
            </w:tcMar>
            <w:vAlign w:val="bottom"/>
            <w:hideMark/>
          </w:tcPr>
          <w:p w14:paraId="6ED80143" w14:textId="77777777" w:rsidR="00F8388B" w:rsidRPr="009E3821" w:rsidRDefault="00F8388B" w:rsidP="009E3821">
            <w:pPr>
              <w:jc w:val="center"/>
              <w:rPr>
                <w:rFonts w:ascii="Arial" w:hAnsi="Arial" w:cs="Arial"/>
              </w:rPr>
            </w:pPr>
            <w:r w:rsidRPr="009E3821">
              <w:rPr>
                <w:rFonts w:ascii="Arial" w:hAnsi="Arial" w:cs="Arial"/>
              </w:rPr>
              <w:t>57</w:t>
            </w:r>
          </w:p>
        </w:tc>
        <w:tc>
          <w:tcPr>
            <w:tcW w:w="1134" w:type="dxa"/>
            <w:tcMar>
              <w:top w:w="0" w:type="dxa"/>
              <w:left w:w="45" w:type="dxa"/>
              <w:bottom w:w="0" w:type="dxa"/>
              <w:right w:w="45" w:type="dxa"/>
            </w:tcMar>
            <w:vAlign w:val="bottom"/>
            <w:hideMark/>
          </w:tcPr>
          <w:p w14:paraId="6FB569B6" w14:textId="77777777" w:rsidR="00F8388B" w:rsidRPr="009E3821" w:rsidRDefault="00F8388B" w:rsidP="009E3821">
            <w:pPr>
              <w:jc w:val="center"/>
              <w:rPr>
                <w:rFonts w:ascii="Arial" w:hAnsi="Arial" w:cs="Arial"/>
              </w:rPr>
            </w:pPr>
            <w:r w:rsidRPr="009E3821">
              <w:rPr>
                <w:rFonts w:ascii="Arial" w:hAnsi="Arial" w:cs="Arial"/>
              </w:rPr>
              <w:t>39,9</w:t>
            </w:r>
          </w:p>
        </w:tc>
        <w:tc>
          <w:tcPr>
            <w:tcW w:w="567" w:type="dxa"/>
            <w:tcMar>
              <w:top w:w="0" w:type="dxa"/>
              <w:left w:w="45" w:type="dxa"/>
              <w:bottom w:w="0" w:type="dxa"/>
              <w:right w:w="45" w:type="dxa"/>
            </w:tcMar>
            <w:vAlign w:val="bottom"/>
            <w:hideMark/>
          </w:tcPr>
          <w:p w14:paraId="1DA56D6B" w14:textId="77777777" w:rsidR="00F8388B" w:rsidRPr="009E3821" w:rsidRDefault="00F8388B" w:rsidP="009E3821">
            <w:pPr>
              <w:jc w:val="center"/>
              <w:rPr>
                <w:rFonts w:ascii="Arial" w:hAnsi="Arial" w:cs="Arial"/>
              </w:rPr>
            </w:pPr>
            <w:r w:rsidRPr="009E3821">
              <w:rPr>
                <w:rFonts w:ascii="Arial" w:hAnsi="Arial" w:cs="Arial"/>
              </w:rPr>
              <w:t>66</w:t>
            </w:r>
          </w:p>
        </w:tc>
        <w:tc>
          <w:tcPr>
            <w:tcW w:w="992" w:type="dxa"/>
            <w:tcMar>
              <w:top w:w="0" w:type="dxa"/>
              <w:left w:w="45" w:type="dxa"/>
              <w:bottom w:w="0" w:type="dxa"/>
              <w:right w:w="45" w:type="dxa"/>
            </w:tcMar>
            <w:vAlign w:val="bottom"/>
            <w:hideMark/>
          </w:tcPr>
          <w:p w14:paraId="6E6376EA" w14:textId="77777777" w:rsidR="00F8388B" w:rsidRPr="009E3821" w:rsidRDefault="00F8388B" w:rsidP="009E3821">
            <w:pPr>
              <w:jc w:val="center"/>
              <w:rPr>
                <w:rFonts w:ascii="Arial" w:hAnsi="Arial" w:cs="Arial"/>
              </w:rPr>
            </w:pPr>
            <w:r w:rsidRPr="009E3821">
              <w:rPr>
                <w:rFonts w:ascii="Arial" w:hAnsi="Arial" w:cs="Arial"/>
              </w:rPr>
              <w:t>46,5</w:t>
            </w:r>
          </w:p>
        </w:tc>
        <w:tc>
          <w:tcPr>
            <w:tcW w:w="2268" w:type="dxa"/>
            <w:vMerge w:val="restart"/>
            <w:tcMar>
              <w:top w:w="0" w:type="dxa"/>
              <w:left w:w="45" w:type="dxa"/>
              <w:bottom w:w="0" w:type="dxa"/>
              <w:right w:w="45" w:type="dxa"/>
            </w:tcMar>
            <w:vAlign w:val="center"/>
            <w:hideMark/>
          </w:tcPr>
          <w:p w14:paraId="78D5CF10" w14:textId="77777777" w:rsidR="00F8388B" w:rsidRPr="009E3821" w:rsidRDefault="00F8388B" w:rsidP="009E3821">
            <w:pPr>
              <w:jc w:val="center"/>
              <w:rPr>
                <w:rFonts w:ascii="Arial" w:hAnsi="Arial" w:cs="Arial"/>
              </w:rPr>
            </w:pPr>
            <w:r w:rsidRPr="009E3821">
              <w:rPr>
                <w:rFonts w:ascii="Arial" w:hAnsi="Arial" w:cs="Arial"/>
              </w:rPr>
              <w:t>X</w:t>
            </w:r>
            <w:r w:rsidRPr="009E3821">
              <w:rPr>
                <w:rFonts w:ascii="Arial" w:hAnsi="Arial" w:cs="Arial"/>
                <w:vertAlign w:val="superscript"/>
              </w:rPr>
              <w:t>2</w:t>
            </w:r>
            <w:r w:rsidRPr="009E3821">
              <w:rPr>
                <w:rFonts w:ascii="Arial" w:hAnsi="Arial" w:cs="Arial"/>
              </w:rPr>
              <w:t xml:space="preserve">= 1,272; </w:t>
            </w:r>
          </w:p>
          <w:p w14:paraId="3D7593EC" w14:textId="77777777" w:rsidR="00F8388B" w:rsidRPr="009E3821" w:rsidRDefault="00F8388B" w:rsidP="009E3821">
            <w:pPr>
              <w:jc w:val="center"/>
              <w:rPr>
                <w:rFonts w:ascii="Arial" w:hAnsi="Arial" w:cs="Arial"/>
              </w:rPr>
            </w:pPr>
            <w:r w:rsidRPr="009E3821">
              <w:rPr>
                <w:rFonts w:ascii="Arial" w:hAnsi="Arial" w:cs="Arial"/>
              </w:rPr>
              <w:t>p= 0,157</w:t>
            </w:r>
          </w:p>
        </w:tc>
      </w:tr>
      <w:tr w:rsidR="00F8388B" w:rsidRPr="009E3821" w14:paraId="4EE7C26D" w14:textId="77777777" w:rsidTr="009E3821">
        <w:trPr>
          <w:trHeight w:val="300"/>
          <w:jc w:val="center"/>
        </w:trPr>
        <w:tc>
          <w:tcPr>
            <w:tcW w:w="2628" w:type="dxa"/>
            <w:tcMar>
              <w:top w:w="0" w:type="dxa"/>
              <w:left w:w="45" w:type="dxa"/>
              <w:bottom w:w="0" w:type="dxa"/>
              <w:right w:w="45" w:type="dxa"/>
            </w:tcMar>
            <w:vAlign w:val="bottom"/>
            <w:hideMark/>
          </w:tcPr>
          <w:p w14:paraId="5C6C6452" w14:textId="77777777" w:rsidR="00F8388B" w:rsidRPr="009E3821" w:rsidRDefault="00F8388B" w:rsidP="009E3821">
            <w:pPr>
              <w:rPr>
                <w:rFonts w:ascii="Arial" w:hAnsi="Arial" w:cs="Arial"/>
              </w:rPr>
            </w:pPr>
            <w:r w:rsidRPr="009E3821">
              <w:rPr>
                <w:rFonts w:ascii="Arial" w:hAnsi="Arial" w:cs="Arial"/>
              </w:rPr>
              <w:t>Male</w:t>
            </w:r>
          </w:p>
        </w:tc>
        <w:tc>
          <w:tcPr>
            <w:tcW w:w="723" w:type="dxa"/>
            <w:tcMar>
              <w:top w:w="0" w:type="dxa"/>
              <w:left w:w="45" w:type="dxa"/>
              <w:bottom w:w="0" w:type="dxa"/>
              <w:right w:w="45" w:type="dxa"/>
            </w:tcMar>
            <w:vAlign w:val="bottom"/>
            <w:hideMark/>
          </w:tcPr>
          <w:p w14:paraId="455174C8" w14:textId="77777777" w:rsidR="00F8388B" w:rsidRPr="009E3821" w:rsidRDefault="00F8388B" w:rsidP="009E3821">
            <w:pPr>
              <w:jc w:val="center"/>
              <w:rPr>
                <w:rFonts w:ascii="Arial" w:hAnsi="Arial" w:cs="Arial"/>
              </w:rPr>
            </w:pPr>
            <w:r w:rsidRPr="009E3821">
              <w:rPr>
                <w:rFonts w:ascii="Arial" w:hAnsi="Arial" w:cs="Arial"/>
              </w:rPr>
              <w:t>86</w:t>
            </w:r>
          </w:p>
        </w:tc>
        <w:tc>
          <w:tcPr>
            <w:tcW w:w="1134" w:type="dxa"/>
            <w:tcMar>
              <w:top w:w="0" w:type="dxa"/>
              <w:left w:w="45" w:type="dxa"/>
              <w:bottom w:w="0" w:type="dxa"/>
              <w:right w:w="45" w:type="dxa"/>
            </w:tcMar>
            <w:vAlign w:val="bottom"/>
            <w:hideMark/>
          </w:tcPr>
          <w:p w14:paraId="60F9F213" w14:textId="77777777" w:rsidR="00F8388B" w:rsidRPr="009E3821" w:rsidRDefault="00F8388B" w:rsidP="009E3821">
            <w:pPr>
              <w:jc w:val="center"/>
              <w:rPr>
                <w:rFonts w:ascii="Arial" w:hAnsi="Arial" w:cs="Arial"/>
              </w:rPr>
            </w:pPr>
            <w:r w:rsidRPr="009E3821">
              <w:rPr>
                <w:rFonts w:ascii="Arial" w:hAnsi="Arial" w:cs="Arial"/>
              </w:rPr>
              <w:t>60,1</w:t>
            </w:r>
          </w:p>
        </w:tc>
        <w:tc>
          <w:tcPr>
            <w:tcW w:w="567" w:type="dxa"/>
            <w:tcMar>
              <w:top w:w="0" w:type="dxa"/>
              <w:left w:w="45" w:type="dxa"/>
              <w:bottom w:w="0" w:type="dxa"/>
              <w:right w:w="45" w:type="dxa"/>
            </w:tcMar>
            <w:vAlign w:val="bottom"/>
            <w:hideMark/>
          </w:tcPr>
          <w:p w14:paraId="6FC89F70" w14:textId="77777777" w:rsidR="00F8388B" w:rsidRPr="009E3821" w:rsidRDefault="00F8388B" w:rsidP="009E3821">
            <w:pPr>
              <w:jc w:val="center"/>
              <w:rPr>
                <w:rFonts w:ascii="Arial" w:hAnsi="Arial" w:cs="Arial"/>
              </w:rPr>
            </w:pPr>
            <w:r w:rsidRPr="009E3821">
              <w:rPr>
                <w:rFonts w:ascii="Arial" w:hAnsi="Arial" w:cs="Arial"/>
              </w:rPr>
              <w:t>76</w:t>
            </w:r>
          </w:p>
        </w:tc>
        <w:tc>
          <w:tcPr>
            <w:tcW w:w="992" w:type="dxa"/>
            <w:tcMar>
              <w:top w:w="0" w:type="dxa"/>
              <w:left w:w="45" w:type="dxa"/>
              <w:bottom w:w="0" w:type="dxa"/>
              <w:right w:w="45" w:type="dxa"/>
            </w:tcMar>
            <w:vAlign w:val="bottom"/>
            <w:hideMark/>
          </w:tcPr>
          <w:p w14:paraId="7E997209" w14:textId="77777777" w:rsidR="00F8388B" w:rsidRPr="009E3821" w:rsidRDefault="00F8388B" w:rsidP="009E3821">
            <w:pPr>
              <w:jc w:val="center"/>
              <w:rPr>
                <w:rFonts w:ascii="Arial" w:hAnsi="Arial" w:cs="Arial"/>
              </w:rPr>
            </w:pPr>
            <w:r w:rsidRPr="009E3821">
              <w:rPr>
                <w:rFonts w:ascii="Arial" w:hAnsi="Arial" w:cs="Arial"/>
              </w:rPr>
              <w:t>53,5</w:t>
            </w:r>
          </w:p>
        </w:tc>
        <w:tc>
          <w:tcPr>
            <w:tcW w:w="2268" w:type="dxa"/>
            <w:vMerge/>
            <w:vAlign w:val="center"/>
            <w:hideMark/>
          </w:tcPr>
          <w:p w14:paraId="5FB8C844" w14:textId="77777777" w:rsidR="00F8388B" w:rsidRPr="009E3821" w:rsidRDefault="00F8388B" w:rsidP="009E3821">
            <w:pPr>
              <w:rPr>
                <w:rFonts w:ascii="Arial" w:hAnsi="Arial" w:cs="Arial"/>
              </w:rPr>
            </w:pPr>
          </w:p>
        </w:tc>
      </w:tr>
      <w:tr w:rsidR="00F8388B" w:rsidRPr="009E3821" w14:paraId="0485EB83" w14:textId="77777777" w:rsidTr="009E3821">
        <w:trPr>
          <w:trHeight w:val="300"/>
          <w:jc w:val="center"/>
        </w:trPr>
        <w:tc>
          <w:tcPr>
            <w:tcW w:w="2628" w:type="dxa"/>
            <w:tcMar>
              <w:top w:w="0" w:type="dxa"/>
              <w:left w:w="45" w:type="dxa"/>
              <w:bottom w:w="0" w:type="dxa"/>
              <w:right w:w="45" w:type="dxa"/>
            </w:tcMar>
            <w:vAlign w:val="bottom"/>
            <w:hideMark/>
          </w:tcPr>
          <w:p w14:paraId="2C1AB4C1" w14:textId="77777777" w:rsidR="00F8388B" w:rsidRPr="009E3821" w:rsidRDefault="00F8388B" w:rsidP="009E3821">
            <w:pPr>
              <w:rPr>
                <w:rFonts w:ascii="Arial" w:hAnsi="Arial" w:cs="Arial"/>
                <w:b/>
              </w:rPr>
            </w:pPr>
            <w:r w:rsidRPr="009E3821">
              <w:rPr>
                <w:rFonts w:ascii="Arial" w:hAnsi="Arial" w:cs="Arial"/>
                <w:b/>
              </w:rPr>
              <w:t>With a partner</w:t>
            </w:r>
          </w:p>
        </w:tc>
        <w:tc>
          <w:tcPr>
            <w:tcW w:w="723" w:type="dxa"/>
            <w:tcMar>
              <w:top w:w="0" w:type="dxa"/>
              <w:left w:w="45" w:type="dxa"/>
              <w:bottom w:w="0" w:type="dxa"/>
              <w:right w:w="45" w:type="dxa"/>
            </w:tcMar>
            <w:vAlign w:val="bottom"/>
          </w:tcPr>
          <w:p w14:paraId="17950BD5" w14:textId="77777777" w:rsidR="00F8388B" w:rsidRPr="009E3821" w:rsidRDefault="00F8388B" w:rsidP="009E3821">
            <w:pPr>
              <w:rPr>
                <w:rFonts w:ascii="Arial" w:hAnsi="Arial" w:cs="Arial"/>
              </w:rPr>
            </w:pPr>
          </w:p>
        </w:tc>
        <w:tc>
          <w:tcPr>
            <w:tcW w:w="1134" w:type="dxa"/>
            <w:tcMar>
              <w:top w:w="0" w:type="dxa"/>
              <w:left w:w="45" w:type="dxa"/>
              <w:bottom w:w="0" w:type="dxa"/>
              <w:right w:w="45" w:type="dxa"/>
            </w:tcMar>
            <w:vAlign w:val="bottom"/>
          </w:tcPr>
          <w:p w14:paraId="4BF3BB4D" w14:textId="77777777" w:rsidR="00F8388B" w:rsidRPr="009E3821" w:rsidRDefault="00F8388B" w:rsidP="009E3821">
            <w:pPr>
              <w:rPr>
                <w:rFonts w:ascii="Arial" w:hAnsi="Arial" w:cs="Arial"/>
              </w:rPr>
            </w:pPr>
          </w:p>
        </w:tc>
        <w:tc>
          <w:tcPr>
            <w:tcW w:w="567" w:type="dxa"/>
            <w:tcMar>
              <w:top w:w="0" w:type="dxa"/>
              <w:left w:w="45" w:type="dxa"/>
              <w:bottom w:w="0" w:type="dxa"/>
              <w:right w:w="45" w:type="dxa"/>
            </w:tcMar>
            <w:vAlign w:val="bottom"/>
          </w:tcPr>
          <w:p w14:paraId="60655967" w14:textId="77777777" w:rsidR="00F8388B" w:rsidRPr="009E3821" w:rsidRDefault="00F8388B" w:rsidP="009E3821">
            <w:pPr>
              <w:rPr>
                <w:rFonts w:ascii="Arial" w:hAnsi="Arial" w:cs="Arial"/>
              </w:rPr>
            </w:pPr>
          </w:p>
        </w:tc>
        <w:tc>
          <w:tcPr>
            <w:tcW w:w="992" w:type="dxa"/>
            <w:tcMar>
              <w:top w:w="0" w:type="dxa"/>
              <w:left w:w="45" w:type="dxa"/>
              <w:bottom w:w="0" w:type="dxa"/>
              <w:right w:w="45" w:type="dxa"/>
            </w:tcMar>
            <w:vAlign w:val="bottom"/>
          </w:tcPr>
          <w:p w14:paraId="2B23BBDB" w14:textId="77777777" w:rsidR="00F8388B" w:rsidRPr="009E3821" w:rsidRDefault="00F8388B" w:rsidP="009E3821">
            <w:pPr>
              <w:rPr>
                <w:rFonts w:ascii="Arial" w:hAnsi="Arial" w:cs="Arial"/>
              </w:rPr>
            </w:pPr>
          </w:p>
        </w:tc>
        <w:tc>
          <w:tcPr>
            <w:tcW w:w="2268" w:type="dxa"/>
            <w:tcMar>
              <w:top w:w="0" w:type="dxa"/>
              <w:left w:w="45" w:type="dxa"/>
              <w:bottom w:w="0" w:type="dxa"/>
              <w:right w:w="45" w:type="dxa"/>
            </w:tcMar>
            <w:vAlign w:val="bottom"/>
          </w:tcPr>
          <w:p w14:paraId="14EA8891" w14:textId="77777777" w:rsidR="00F8388B" w:rsidRPr="009E3821" w:rsidRDefault="00F8388B" w:rsidP="009E3821">
            <w:pPr>
              <w:rPr>
                <w:rFonts w:ascii="Arial" w:hAnsi="Arial" w:cs="Arial"/>
              </w:rPr>
            </w:pPr>
          </w:p>
        </w:tc>
      </w:tr>
      <w:tr w:rsidR="00F8388B" w:rsidRPr="009E3821" w14:paraId="7ACA6E8E" w14:textId="77777777" w:rsidTr="009E3821">
        <w:trPr>
          <w:trHeight w:val="300"/>
          <w:jc w:val="center"/>
        </w:trPr>
        <w:tc>
          <w:tcPr>
            <w:tcW w:w="2628" w:type="dxa"/>
            <w:tcMar>
              <w:top w:w="0" w:type="dxa"/>
              <w:left w:w="45" w:type="dxa"/>
              <w:bottom w:w="0" w:type="dxa"/>
              <w:right w:w="45" w:type="dxa"/>
            </w:tcMar>
            <w:vAlign w:val="bottom"/>
            <w:hideMark/>
          </w:tcPr>
          <w:p w14:paraId="20A8A2FC" w14:textId="77777777" w:rsidR="00F8388B" w:rsidRPr="009E3821" w:rsidRDefault="00F8388B" w:rsidP="009E3821">
            <w:pPr>
              <w:rPr>
                <w:rFonts w:ascii="Arial" w:hAnsi="Arial" w:cs="Arial"/>
              </w:rPr>
            </w:pPr>
            <w:r w:rsidRPr="009E3821">
              <w:rPr>
                <w:rFonts w:ascii="Arial" w:hAnsi="Arial" w:cs="Arial"/>
              </w:rPr>
              <w:t>Yes</w:t>
            </w:r>
          </w:p>
        </w:tc>
        <w:tc>
          <w:tcPr>
            <w:tcW w:w="723" w:type="dxa"/>
            <w:tcMar>
              <w:top w:w="0" w:type="dxa"/>
              <w:left w:w="45" w:type="dxa"/>
              <w:bottom w:w="0" w:type="dxa"/>
              <w:right w:w="45" w:type="dxa"/>
            </w:tcMar>
            <w:vAlign w:val="bottom"/>
            <w:hideMark/>
          </w:tcPr>
          <w:p w14:paraId="00815F57" w14:textId="77777777" w:rsidR="00F8388B" w:rsidRPr="009E3821" w:rsidRDefault="00F8388B" w:rsidP="009E3821">
            <w:pPr>
              <w:jc w:val="center"/>
              <w:rPr>
                <w:rFonts w:ascii="Arial" w:hAnsi="Arial" w:cs="Arial"/>
              </w:rPr>
            </w:pPr>
            <w:r w:rsidRPr="009E3821">
              <w:rPr>
                <w:rFonts w:ascii="Arial" w:hAnsi="Arial" w:cs="Arial"/>
              </w:rPr>
              <w:t>70</w:t>
            </w:r>
          </w:p>
        </w:tc>
        <w:tc>
          <w:tcPr>
            <w:tcW w:w="1134" w:type="dxa"/>
            <w:tcMar>
              <w:top w:w="0" w:type="dxa"/>
              <w:left w:w="45" w:type="dxa"/>
              <w:bottom w:w="0" w:type="dxa"/>
              <w:right w:w="45" w:type="dxa"/>
            </w:tcMar>
            <w:vAlign w:val="bottom"/>
            <w:hideMark/>
          </w:tcPr>
          <w:p w14:paraId="7E332C26" w14:textId="77777777" w:rsidR="00F8388B" w:rsidRPr="009E3821" w:rsidRDefault="00F8388B" w:rsidP="009E3821">
            <w:pPr>
              <w:jc w:val="center"/>
              <w:rPr>
                <w:rFonts w:ascii="Arial" w:hAnsi="Arial" w:cs="Arial"/>
              </w:rPr>
            </w:pPr>
            <w:r w:rsidRPr="009E3821">
              <w:rPr>
                <w:rFonts w:ascii="Arial" w:hAnsi="Arial" w:cs="Arial"/>
              </w:rPr>
              <w:t>49,0</w:t>
            </w:r>
          </w:p>
        </w:tc>
        <w:tc>
          <w:tcPr>
            <w:tcW w:w="567" w:type="dxa"/>
            <w:tcMar>
              <w:top w:w="0" w:type="dxa"/>
              <w:left w:w="45" w:type="dxa"/>
              <w:bottom w:w="0" w:type="dxa"/>
              <w:right w:w="45" w:type="dxa"/>
            </w:tcMar>
            <w:vAlign w:val="bottom"/>
            <w:hideMark/>
          </w:tcPr>
          <w:p w14:paraId="0C3199B5" w14:textId="77777777" w:rsidR="00F8388B" w:rsidRPr="009E3821" w:rsidRDefault="00F8388B" w:rsidP="009E3821">
            <w:pPr>
              <w:jc w:val="center"/>
              <w:rPr>
                <w:rFonts w:ascii="Arial" w:hAnsi="Arial" w:cs="Arial"/>
              </w:rPr>
            </w:pPr>
            <w:r w:rsidRPr="009E3821">
              <w:rPr>
                <w:rFonts w:ascii="Arial" w:hAnsi="Arial" w:cs="Arial"/>
              </w:rPr>
              <w:t>67</w:t>
            </w:r>
          </w:p>
        </w:tc>
        <w:tc>
          <w:tcPr>
            <w:tcW w:w="992" w:type="dxa"/>
            <w:tcMar>
              <w:top w:w="0" w:type="dxa"/>
              <w:left w:w="45" w:type="dxa"/>
              <w:bottom w:w="0" w:type="dxa"/>
              <w:right w:w="45" w:type="dxa"/>
            </w:tcMar>
            <w:vAlign w:val="bottom"/>
            <w:hideMark/>
          </w:tcPr>
          <w:p w14:paraId="65E262FC" w14:textId="77777777" w:rsidR="00F8388B" w:rsidRPr="009E3821" w:rsidRDefault="00F8388B" w:rsidP="009E3821">
            <w:pPr>
              <w:jc w:val="center"/>
              <w:rPr>
                <w:rFonts w:ascii="Arial" w:hAnsi="Arial" w:cs="Arial"/>
              </w:rPr>
            </w:pPr>
            <w:r w:rsidRPr="009E3821">
              <w:rPr>
                <w:rFonts w:ascii="Arial" w:hAnsi="Arial" w:cs="Arial"/>
              </w:rPr>
              <w:t>47,2</w:t>
            </w:r>
          </w:p>
        </w:tc>
        <w:tc>
          <w:tcPr>
            <w:tcW w:w="2268" w:type="dxa"/>
            <w:vMerge w:val="restart"/>
            <w:tcMar>
              <w:top w:w="0" w:type="dxa"/>
              <w:left w:w="45" w:type="dxa"/>
              <w:bottom w:w="0" w:type="dxa"/>
              <w:right w:w="45" w:type="dxa"/>
            </w:tcMar>
            <w:vAlign w:val="center"/>
            <w:hideMark/>
          </w:tcPr>
          <w:p w14:paraId="38FC3A29" w14:textId="77777777" w:rsidR="00F8388B" w:rsidRPr="009E3821" w:rsidRDefault="00F8388B" w:rsidP="009E3821">
            <w:pPr>
              <w:jc w:val="center"/>
              <w:rPr>
                <w:rFonts w:ascii="Arial" w:hAnsi="Arial" w:cs="Arial"/>
              </w:rPr>
            </w:pPr>
            <w:r w:rsidRPr="009E3821">
              <w:rPr>
                <w:rFonts w:ascii="Arial" w:hAnsi="Arial" w:cs="Arial"/>
              </w:rPr>
              <w:t>X</w:t>
            </w:r>
            <w:r w:rsidRPr="009E3821">
              <w:rPr>
                <w:rFonts w:ascii="Arial" w:hAnsi="Arial" w:cs="Arial"/>
                <w:vertAlign w:val="superscript"/>
              </w:rPr>
              <w:t>2</w:t>
            </w:r>
            <w:r w:rsidRPr="009E3821">
              <w:rPr>
                <w:rFonts w:ascii="Arial" w:hAnsi="Arial" w:cs="Arial"/>
              </w:rPr>
              <w:t xml:space="preserve">= 0,089; </w:t>
            </w:r>
          </w:p>
          <w:p w14:paraId="3F4FFDDA" w14:textId="77777777" w:rsidR="00F8388B" w:rsidRPr="009E3821" w:rsidRDefault="00F8388B" w:rsidP="009E3821">
            <w:pPr>
              <w:jc w:val="center"/>
              <w:rPr>
                <w:rFonts w:ascii="Arial" w:hAnsi="Arial" w:cs="Arial"/>
              </w:rPr>
            </w:pPr>
            <w:r w:rsidRPr="009E3821">
              <w:rPr>
                <w:rFonts w:ascii="Arial" w:hAnsi="Arial" w:cs="Arial"/>
              </w:rPr>
              <w:t>p= 0,429</w:t>
            </w:r>
          </w:p>
        </w:tc>
      </w:tr>
      <w:tr w:rsidR="00F8388B" w:rsidRPr="009E3821" w14:paraId="2FD3F883" w14:textId="77777777" w:rsidTr="009E3821">
        <w:trPr>
          <w:trHeight w:val="300"/>
          <w:jc w:val="center"/>
        </w:trPr>
        <w:tc>
          <w:tcPr>
            <w:tcW w:w="2628" w:type="dxa"/>
            <w:tcMar>
              <w:top w:w="0" w:type="dxa"/>
              <w:left w:w="45" w:type="dxa"/>
              <w:bottom w:w="0" w:type="dxa"/>
              <w:right w:w="45" w:type="dxa"/>
            </w:tcMar>
            <w:vAlign w:val="bottom"/>
            <w:hideMark/>
          </w:tcPr>
          <w:p w14:paraId="43004009" w14:textId="77777777" w:rsidR="00F8388B" w:rsidRPr="009E3821" w:rsidRDefault="00F8388B" w:rsidP="009E3821">
            <w:pPr>
              <w:rPr>
                <w:rFonts w:ascii="Arial" w:hAnsi="Arial" w:cs="Arial"/>
              </w:rPr>
            </w:pPr>
            <w:r w:rsidRPr="009E3821">
              <w:rPr>
                <w:rFonts w:ascii="Arial" w:hAnsi="Arial" w:cs="Arial"/>
              </w:rPr>
              <w:t>No</w:t>
            </w:r>
          </w:p>
        </w:tc>
        <w:tc>
          <w:tcPr>
            <w:tcW w:w="723" w:type="dxa"/>
            <w:tcMar>
              <w:top w:w="0" w:type="dxa"/>
              <w:left w:w="45" w:type="dxa"/>
              <w:bottom w:w="0" w:type="dxa"/>
              <w:right w:w="45" w:type="dxa"/>
            </w:tcMar>
            <w:vAlign w:val="bottom"/>
            <w:hideMark/>
          </w:tcPr>
          <w:p w14:paraId="7BA57C3F" w14:textId="77777777" w:rsidR="00F8388B" w:rsidRPr="009E3821" w:rsidRDefault="00F8388B" w:rsidP="009E3821">
            <w:pPr>
              <w:jc w:val="center"/>
              <w:rPr>
                <w:rFonts w:ascii="Arial" w:hAnsi="Arial" w:cs="Arial"/>
              </w:rPr>
            </w:pPr>
            <w:r w:rsidRPr="009E3821">
              <w:rPr>
                <w:rFonts w:ascii="Arial" w:hAnsi="Arial" w:cs="Arial"/>
              </w:rPr>
              <w:t>73</w:t>
            </w:r>
          </w:p>
        </w:tc>
        <w:tc>
          <w:tcPr>
            <w:tcW w:w="1134" w:type="dxa"/>
            <w:tcMar>
              <w:top w:w="0" w:type="dxa"/>
              <w:left w:w="45" w:type="dxa"/>
              <w:bottom w:w="0" w:type="dxa"/>
              <w:right w:w="45" w:type="dxa"/>
            </w:tcMar>
            <w:vAlign w:val="bottom"/>
            <w:hideMark/>
          </w:tcPr>
          <w:p w14:paraId="169C7B12" w14:textId="77777777" w:rsidR="00F8388B" w:rsidRPr="009E3821" w:rsidRDefault="00F8388B" w:rsidP="009E3821">
            <w:pPr>
              <w:jc w:val="center"/>
              <w:rPr>
                <w:rFonts w:ascii="Arial" w:hAnsi="Arial" w:cs="Arial"/>
              </w:rPr>
            </w:pPr>
            <w:r w:rsidRPr="009E3821">
              <w:rPr>
                <w:rFonts w:ascii="Arial" w:hAnsi="Arial" w:cs="Arial"/>
              </w:rPr>
              <w:t>51,0</w:t>
            </w:r>
          </w:p>
        </w:tc>
        <w:tc>
          <w:tcPr>
            <w:tcW w:w="567" w:type="dxa"/>
            <w:tcMar>
              <w:top w:w="0" w:type="dxa"/>
              <w:left w:w="45" w:type="dxa"/>
              <w:bottom w:w="0" w:type="dxa"/>
              <w:right w:w="45" w:type="dxa"/>
            </w:tcMar>
            <w:vAlign w:val="bottom"/>
            <w:hideMark/>
          </w:tcPr>
          <w:p w14:paraId="0C2A1086" w14:textId="77777777" w:rsidR="00F8388B" w:rsidRPr="009E3821" w:rsidRDefault="00F8388B" w:rsidP="009E3821">
            <w:pPr>
              <w:jc w:val="center"/>
              <w:rPr>
                <w:rFonts w:ascii="Arial" w:hAnsi="Arial" w:cs="Arial"/>
              </w:rPr>
            </w:pPr>
            <w:r w:rsidRPr="009E3821">
              <w:rPr>
                <w:rFonts w:ascii="Arial" w:hAnsi="Arial" w:cs="Arial"/>
              </w:rPr>
              <w:t>75</w:t>
            </w:r>
          </w:p>
        </w:tc>
        <w:tc>
          <w:tcPr>
            <w:tcW w:w="992" w:type="dxa"/>
            <w:tcMar>
              <w:top w:w="0" w:type="dxa"/>
              <w:left w:w="45" w:type="dxa"/>
              <w:bottom w:w="0" w:type="dxa"/>
              <w:right w:w="45" w:type="dxa"/>
            </w:tcMar>
            <w:vAlign w:val="bottom"/>
            <w:hideMark/>
          </w:tcPr>
          <w:p w14:paraId="44C893E2" w14:textId="77777777" w:rsidR="00F8388B" w:rsidRPr="009E3821" w:rsidRDefault="00F8388B" w:rsidP="009E3821">
            <w:pPr>
              <w:jc w:val="center"/>
              <w:rPr>
                <w:rFonts w:ascii="Arial" w:hAnsi="Arial" w:cs="Arial"/>
              </w:rPr>
            </w:pPr>
            <w:r w:rsidRPr="009E3821">
              <w:rPr>
                <w:rFonts w:ascii="Arial" w:hAnsi="Arial" w:cs="Arial"/>
              </w:rPr>
              <w:t>52,8</w:t>
            </w:r>
          </w:p>
        </w:tc>
        <w:tc>
          <w:tcPr>
            <w:tcW w:w="2268" w:type="dxa"/>
            <w:vMerge/>
            <w:vAlign w:val="center"/>
            <w:hideMark/>
          </w:tcPr>
          <w:p w14:paraId="5DDE2F93" w14:textId="77777777" w:rsidR="00F8388B" w:rsidRPr="009E3821" w:rsidRDefault="00F8388B" w:rsidP="009E3821">
            <w:pPr>
              <w:rPr>
                <w:rFonts w:ascii="Arial" w:hAnsi="Arial" w:cs="Arial"/>
              </w:rPr>
            </w:pPr>
          </w:p>
        </w:tc>
      </w:tr>
      <w:tr w:rsidR="00F8388B" w:rsidRPr="009E3821" w14:paraId="7F7187D8" w14:textId="77777777" w:rsidTr="009E3821">
        <w:trPr>
          <w:trHeight w:val="300"/>
          <w:jc w:val="center"/>
        </w:trPr>
        <w:tc>
          <w:tcPr>
            <w:tcW w:w="2628" w:type="dxa"/>
            <w:tcMar>
              <w:top w:w="0" w:type="dxa"/>
              <w:left w:w="45" w:type="dxa"/>
              <w:bottom w:w="0" w:type="dxa"/>
              <w:right w:w="45" w:type="dxa"/>
            </w:tcMar>
            <w:vAlign w:val="bottom"/>
            <w:hideMark/>
          </w:tcPr>
          <w:p w14:paraId="71F198D2" w14:textId="77777777" w:rsidR="00F8388B" w:rsidRPr="009E3821" w:rsidRDefault="00F8388B" w:rsidP="009E3821">
            <w:pPr>
              <w:rPr>
                <w:rFonts w:ascii="Arial" w:hAnsi="Arial" w:cs="Arial"/>
                <w:b/>
              </w:rPr>
            </w:pPr>
            <w:r w:rsidRPr="009E3821">
              <w:rPr>
                <w:rFonts w:ascii="Arial" w:hAnsi="Arial" w:cs="Arial"/>
                <w:b/>
              </w:rPr>
              <w:t>Education</w:t>
            </w:r>
          </w:p>
        </w:tc>
        <w:tc>
          <w:tcPr>
            <w:tcW w:w="723" w:type="dxa"/>
            <w:tcMar>
              <w:top w:w="0" w:type="dxa"/>
              <w:left w:w="45" w:type="dxa"/>
              <w:bottom w:w="0" w:type="dxa"/>
              <w:right w:w="45" w:type="dxa"/>
            </w:tcMar>
            <w:vAlign w:val="bottom"/>
          </w:tcPr>
          <w:p w14:paraId="5C80AB52" w14:textId="77777777" w:rsidR="00F8388B" w:rsidRPr="009E3821" w:rsidRDefault="00F8388B" w:rsidP="009E3821">
            <w:pPr>
              <w:rPr>
                <w:rFonts w:ascii="Arial" w:hAnsi="Arial" w:cs="Arial"/>
              </w:rPr>
            </w:pPr>
          </w:p>
        </w:tc>
        <w:tc>
          <w:tcPr>
            <w:tcW w:w="1134" w:type="dxa"/>
            <w:tcMar>
              <w:top w:w="0" w:type="dxa"/>
              <w:left w:w="45" w:type="dxa"/>
              <w:bottom w:w="0" w:type="dxa"/>
              <w:right w:w="45" w:type="dxa"/>
            </w:tcMar>
            <w:vAlign w:val="bottom"/>
          </w:tcPr>
          <w:p w14:paraId="4F394C85" w14:textId="77777777" w:rsidR="00F8388B" w:rsidRPr="009E3821" w:rsidRDefault="00F8388B" w:rsidP="009E3821">
            <w:pPr>
              <w:rPr>
                <w:rFonts w:ascii="Arial" w:hAnsi="Arial" w:cs="Arial"/>
              </w:rPr>
            </w:pPr>
          </w:p>
        </w:tc>
        <w:tc>
          <w:tcPr>
            <w:tcW w:w="567" w:type="dxa"/>
            <w:tcMar>
              <w:top w:w="0" w:type="dxa"/>
              <w:left w:w="45" w:type="dxa"/>
              <w:bottom w:w="0" w:type="dxa"/>
              <w:right w:w="45" w:type="dxa"/>
            </w:tcMar>
            <w:vAlign w:val="bottom"/>
          </w:tcPr>
          <w:p w14:paraId="64395B16" w14:textId="77777777" w:rsidR="00F8388B" w:rsidRPr="009E3821" w:rsidRDefault="00F8388B" w:rsidP="009E3821">
            <w:pPr>
              <w:rPr>
                <w:rFonts w:ascii="Arial" w:hAnsi="Arial" w:cs="Arial"/>
              </w:rPr>
            </w:pPr>
          </w:p>
        </w:tc>
        <w:tc>
          <w:tcPr>
            <w:tcW w:w="992" w:type="dxa"/>
            <w:tcMar>
              <w:top w:w="0" w:type="dxa"/>
              <w:left w:w="45" w:type="dxa"/>
              <w:bottom w:w="0" w:type="dxa"/>
              <w:right w:w="45" w:type="dxa"/>
            </w:tcMar>
            <w:vAlign w:val="bottom"/>
          </w:tcPr>
          <w:p w14:paraId="076853DB" w14:textId="77777777" w:rsidR="00F8388B" w:rsidRPr="009E3821" w:rsidRDefault="00F8388B" w:rsidP="009E3821">
            <w:pPr>
              <w:rPr>
                <w:rFonts w:ascii="Arial" w:hAnsi="Arial" w:cs="Arial"/>
              </w:rPr>
            </w:pPr>
          </w:p>
        </w:tc>
        <w:tc>
          <w:tcPr>
            <w:tcW w:w="2268" w:type="dxa"/>
            <w:tcMar>
              <w:top w:w="0" w:type="dxa"/>
              <w:left w:w="45" w:type="dxa"/>
              <w:bottom w:w="0" w:type="dxa"/>
              <w:right w:w="45" w:type="dxa"/>
            </w:tcMar>
            <w:vAlign w:val="bottom"/>
          </w:tcPr>
          <w:p w14:paraId="4865AB82" w14:textId="77777777" w:rsidR="00F8388B" w:rsidRPr="009E3821" w:rsidRDefault="00F8388B" w:rsidP="009E3821">
            <w:pPr>
              <w:rPr>
                <w:rFonts w:ascii="Arial" w:hAnsi="Arial" w:cs="Arial"/>
              </w:rPr>
            </w:pPr>
          </w:p>
        </w:tc>
      </w:tr>
      <w:tr w:rsidR="00F8388B" w:rsidRPr="009E3821" w14:paraId="4D32960D" w14:textId="77777777" w:rsidTr="009E3821">
        <w:trPr>
          <w:trHeight w:val="300"/>
          <w:jc w:val="center"/>
        </w:trPr>
        <w:tc>
          <w:tcPr>
            <w:tcW w:w="2628" w:type="dxa"/>
            <w:tcMar>
              <w:top w:w="0" w:type="dxa"/>
              <w:left w:w="45" w:type="dxa"/>
              <w:bottom w:w="0" w:type="dxa"/>
              <w:right w:w="45" w:type="dxa"/>
            </w:tcMar>
            <w:vAlign w:val="bottom"/>
            <w:hideMark/>
          </w:tcPr>
          <w:p w14:paraId="41755FB5" w14:textId="77777777" w:rsidR="00F8388B" w:rsidRPr="009E3821" w:rsidRDefault="00F8388B" w:rsidP="009E3821">
            <w:pPr>
              <w:rPr>
                <w:rFonts w:ascii="Arial" w:hAnsi="Arial" w:cs="Arial"/>
              </w:rPr>
            </w:pPr>
            <w:r w:rsidRPr="009E3821">
              <w:rPr>
                <w:rFonts w:ascii="Arial" w:hAnsi="Arial" w:cs="Arial"/>
              </w:rPr>
              <w:t>Elementary School</w:t>
            </w:r>
          </w:p>
        </w:tc>
        <w:tc>
          <w:tcPr>
            <w:tcW w:w="723" w:type="dxa"/>
            <w:tcMar>
              <w:top w:w="0" w:type="dxa"/>
              <w:left w:w="45" w:type="dxa"/>
              <w:bottom w:w="0" w:type="dxa"/>
              <w:right w:w="45" w:type="dxa"/>
            </w:tcMar>
            <w:vAlign w:val="bottom"/>
            <w:hideMark/>
          </w:tcPr>
          <w:p w14:paraId="4EE56E81" w14:textId="77777777" w:rsidR="00F8388B" w:rsidRPr="009E3821" w:rsidRDefault="00F8388B" w:rsidP="009E3821">
            <w:pPr>
              <w:jc w:val="center"/>
              <w:rPr>
                <w:rFonts w:ascii="Arial" w:hAnsi="Arial" w:cs="Arial"/>
              </w:rPr>
            </w:pPr>
            <w:r w:rsidRPr="009E3821">
              <w:rPr>
                <w:rFonts w:ascii="Arial" w:hAnsi="Arial" w:cs="Arial"/>
              </w:rPr>
              <w:t>69</w:t>
            </w:r>
          </w:p>
        </w:tc>
        <w:tc>
          <w:tcPr>
            <w:tcW w:w="1134" w:type="dxa"/>
            <w:tcMar>
              <w:top w:w="0" w:type="dxa"/>
              <w:left w:w="45" w:type="dxa"/>
              <w:bottom w:w="0" w:type="dxa"/>
              <w:right w:w="45" w:type="dxa"/>
            </w:tcMar>
            <w:vAlign w:val="bottom"/>
            <w:hideMark/>
          </w:tcPr>
          <w:p w14:paraId="52CD3D34" w14:textId="77777777" w:rsidR="00F8388B" w:rsidRPr="009E3821" w:rsidRDefault="00F8388B" w:rsidP="009E3821">
            <w:pPr>
              <w:jc w:val="center"/>
              <w:rPr>
                <w:rFonts w:ascii="Arial" w:hAnsi="Arial" w:cs="Arial"/>
              </w:rPr>
            </w:pPr>
            <w:r w:rsidRPr="009E3821">
              <w:rPr>
                <w:rFonts w:ascii="Arial" w:hAnsi="Arial" w:cs="Arial"/>
              </w:rPr>
              <w:t>48,3</w:t>
            </w:r>
          </w:p>
        </w:tc>
        <w:tc>
          <w:tcPr>
            <w:tcW w:w="567" w:type="dxa"/>
            <w:tcMar>
              <w:top w:w="0" w:type="dxa"/>
              <w:left w:w="45" w:type="dxa"/>
              <w:bottom w:w="0" w:type="dxa"/>
              <w:right w:w="45" w:type="dxa"/>
            </w:tcMar>
            <w:vAlign w:val="bottom"/>
            <w:hideMark/>
          </w:tcPr>
          <w:p w14:paraId="26B1D4C6" w14:textId="77777777" w:rsidR="00F8388B" w:rsidRPr="009E3821" w:rsidRDefault="00F8388B" w:rsidP="009E3821">
            <w:pPr>
              <w:jc w:val="center"/>
              <w:rPr>
                <w:rFonts w:ascii="Arial" w:hAnsi="Arial" w:cs="Arial"/>
              </w:rPr>
            </w:pPr>
            <w:r w:rsidRPr="009E3821">
              <w:rPr>
                <w:rFonts w:ascii="Arial" w:hAnsi="Arial" w:cs="Arial"/>
              </w:rPr>
              <w:t>70</w:t>
            </w:r>
          </w:p>
        </w:tc>
        <w:tc>
          <w:tcPr>
            <w:tcW w:w="992" w:type="dxa"/>
            <w:tcMar>
              <w:top w:w="0" w:type="dxa"/>
              <w:left w:w="45" w:type="dxa"/>
              <w:bottom w:w="0" w:type="dxa"/>
              <w:right w:w="45" w:type="dxa"/>
            </w:tcMar>
            <w:vAlign w:val="bottom"/>
            <w:hideMark/>
          </w:tcPr>
          <w:p w14:paraId="0F3C8474" w14:textId="77777777" w:rsidR="00F8388B" w:rsidRPr="009E3821" w:rsidRDefault="00F8388B" w:rsidP="009E3821">
            <w:pPr>
              <w:jc w:val="center"/>
              <w:rPr>
                <w:rFonts w:ascii="Arial" w:hAnsi="Arial" w:cs="Arial"/>
              </w:rPr>
            </w:pPr>
            <w:r w:rsidRPr="009E3821">
              <w:rPr>
                <w:rFonts w:ascii="Arial" w:hAnsi="Arial" w:cs="Arial"/>
              </w:rPr>
              <w:t>49,3</w:t>
            </w:r>
          </w:p>
        </w:tc>
        <w:tc>
          <w:tcPr>
            <w:tcW w:w="2268" w:type="dxa"/>
            <w:vMerge w:val="restart"/>
            <w:tcMar>
              <w:top w:w="0" w:type="dxa"/>
              <w:left w:w="45" w:type="dxa"/>
              <w:bottom w:w="0" w:type="dxa"/>
              <w:right w:w="45" w:type="dxa"/>
            </w:tcMar>
            <w:vAlign w:val="center"/>
            <w:hideMark/>
          </w:tcPr>
          <w:p w14:paraId="1FB2056C" w14:textId="77777777" w:rsidR="00F8388B" w:rsidRPr="009E3821" w:rsidRDefault="00F8388B" w:rsidP="009E3821">
            <w:pPr>
              <w:jc w:val="center"/>
              <w:rPr>
                <w:rFonts w:ascii="Arial" w:hAnsi="Arial" w:cs="Arial"/>
              </w:rPr>
            </w:pPr>
            <w:r w:rsidRPr="009E3821">
              <w:rPr>
                <w:rFonts w:ascii="Arial" w:hAnsi="Arial" w:cs="Arial"/>
              </w:rPr>
              <w:t>X</w:t>
            </w:r>
            <w:r w:rsidRPr="009E3821">
              <w:rPr>
                <w:rFonts w:ascii="Arial" w:hAnsi="Arial" w:cs="Arial"/>
                <w:vertAlign w:val="superscript"/>
              </w:rPr>
              <w:t>2</w:t>
            </w:r>
            <w:r w:rsidRPr="009E3821">
              <w:rPr>
                <w:rFonts w:ascii="Arial" w:hAnsi="Arial" w:cs="Arial"/>
              </w:rPr>
              <w:t>= 4,898;</w:t>
            </w:r>
          </w:p>
          <w:p w14:paraId="0B86CB51" w14:textId="77777777" w:rsidR="00F8388B" w:rsidRPr="009E3821" w:rsidRDefault="00F8388B" w:rsidP="009E3821">
            <w:pPr>
              <w:jc w:val="center"/>
              <w:rPr>
                <w:rFonts w:ascii="Arial" w:hAnsi="Arial" w:cs="Arial"/>
              </w:rPr>
            </w:pPr>
            <w:r w:rsidRPr="009E3821">
              <w:rPr>
                <w:rFonts w:ascii="Arial" w:hAnsi="Arial" w:cs="Arial"/>
              </w:rPr>
              <w:t>p= 0,298</w:t>
            </w:r>
          </w:p>
        </w:tc>
      </w:tr>
      <w:tr w:rsidR="00F8388B" w:rsidRPr="009E3821" w14:paraId="126918A3" w14:textId="77777777" w:rsidTr="009E3821">
        <w:trPr>
          <w:trHeight w:val="300"/>
          <w:jc w:val="center"/>
        </w:trPr>
        <w:tc>
          <w:tcPr>
            <w:tcW w:w="2628" w:type="dxa"/>
            <w:tcMar>
              <w:top w:w="0" w:type="dxa"/>
              <w:left w:w="45" w:type="dxa"/>
              <w:bottom w:w="0" w:type="dxa"/>
              <w:right w:w="45" w:type="dxa"/>
            </w:tcMar>
            <w:vAlign w:val="bottom"/>
            <w:hideMark/>
          </w:tcPr>
          <w:p w14:paraId="28B35055" w14:textId="77777777" w:rsidR="00F8388B" w:rsidRPr="009E3821" w:rsidRDefault="00F8388B" w:rsidP="009E3821">
            <w:pPr>
              <w:rPr>
                <w:rFonts w:ascii="Arial" w:hAnsi="Arial" w:cs="Arial"/>
              </w:rPr>
            </w:pPr>
            <w:r w:rsidRPr="009E3821">
              <w:rPr>
                <w:rFonts w:ascii="Arial" w:hAnsi="Arial" w:cs="Arial"/>
              </w:rPr>
              <w:t>High School</w:t>
            </w:r>
          </w:p>
        </w:tc>
        <w:tc>
          <w:tcPr>
            <w:tcW w:w="723" w:type="dxa"/>
            <w:tcMar>
              <w:top w:w="0" w:type="dxa"/>
              <w:left w:w="45" w:type="dxa"/>
              <w:bottom w:w="0" w:type="dxa"/>
              <w:right w:w="45" w:type="dxa"/>
            </w:tcMar>
            <w:vAlign w:val="bottom"/>
            <w:hideMark/>
          </w:tcPr>
          <w:p w14:paraId="021D9E08" w14:textId="77777777" w:rsidR="00F8388B" w:rsidRPr="009E3821" w:rsidRDefault="00F8388B" w:rsidP="009E3821">
            <w:pPr>
              <w:jc w:val="center"/>
              <w:rPr>
                <w:rFonts w:ascii="Arial" w:hAnsi="Arial" w:cs="Arial"/>
              </w:rPr>
            </w:pPr>
            <w:r w:rsidRPr="009E3821">
              <w:rPr>
                <w:rFonts w:ascii="Arial" w:hAnsi="Arial" w:cs="Arial"/>
              </w:rPr>
              <w:t>31</w:t>
            </w:r>
          </w:p>
        </w:tc>
        <w:tc>
          <w:tcPr>
            <w:tcW w:w="1134" w:type="dxa"/>
            <w:tcMar>
              <w:top w:w="0" w:type="dxa"/>
              <w:left w:w="45" w:type="dxa"/>
              <w:bottom w:w="0" w:type="dxa"/>
              <w:right w:w="45" w:type="dxa"/>
            </w:tcMar>
            <w:vAlign w:val="bottom"/>
            <w:hideMark/>
          </w:tcPr>
          <w:p w14:paraId="45444184" w14:textId="77777777" w:rsidR="00F8388B" w:rsidRPr="009E3821" w:rsidRDefault="00F8388B" w:rsidP="009E3821">
            <w:pPr>
              <w:jc w:val="center"/>
              <w:rPr>
                <w:rFonts w:ascii="Arial" w:hAnsi="Arial" w:cs="Arial"/>
              </w:rPr>
            </w:pPr>
            <w:r w:rsidRPr="009E3821">
              <w:rPr>
                <w:rFonts w:ascii="Arial" w:hAnsi="Arial" w:cs="Arial"/>
              </w:rPr>
              <w:t>21,7</w:t>
            </w:r>
          </w:p>
        </w:tc>
        <w:tc>
          <w:tcPr>
            <w:tcW w:w="567" w:type="dxa"/>
            <w:tcMar>
              <w:top w:w="0" w:type="dxa"/>
              <w:left w:w="45" w:type="dxa"/>
              <w:bottom w:w="0" w:type="dxa"/>
              <w:right w:w="45" w:type="dxa"/>
            </w:tcMar>
            <w:vAlign w:val="bottom"/>
            <w:hideMark/>
          </w:tcPr>
          <w:p w14:paraId="66925007" w14:textId="77777777" w:rsidR="00F8388B" w:rsidRPr="009E3821" w:rsidRDefault="00F8388B" w:rsidP="009E3821">
            <w:pPr>
              <w:jc w:val="center"/>
              <w:rPr>
                <w:rFonts w:ascii="Arial" w:hAnsi="Arial" w:cs="Arial"/>
              </w:rPr>
            </w:pPr>
            <w:r w:rsidRPr="009E3821">
              <w:rPr>
                <w:rFonts w:ascii="Arial" w:hAnsi="Arial" w:cs="Arial"/>
              </w:rPr>
              <w:t>25</w:t>
            </w:r>
          </w:p>
        </w:tc>
        <w:tc>
          <w:tcPr>
            <w:tcW w:w="992" w:type="dxa"/>
            <w:tcMar>
              <w:top w:w="0" w:type="dxa"/>
              <w:left w:w="45" w:type="dxa"/>
              <w:bottom w:w="0" w:type="dxa"/>
              <w:right w:w="45" w:type="dxa"/>
            </w:tcMar>
            <w:vAlign w:val="bottom"/>
            <w:hideMark/>
          </w:tcPr>
          <w:p w14:paraId="1614FCAE" w14:textId="77777777" w:rsidR="00F8388B" w:rsidRPr="009E3821" w:rsidRDefault="00F8388B" w:rsidP="009E3821">
            <w:pPr>
              <w:jc w:val="center"/>
              <w:rPr>
                <w:rFonts w:ascii="Arial" w:hAnsi="Arial" w:cs="Arial"/>
              </w:rPr>
            </w:pPr>
            <w:r w:rsidRPr="009E3821">
              <w:rPr>
                <w:rFonts w:ascii="Arial" w:hAnsi="Arial" w:cs="Arial"/>
              </w:rPr>
              <w:t>17,6</w:t>
            </w:r>
          </w:p>
        </w:tc>
        <w:tc>
          <w:tcPr>
            <w:tcW w:w="2268" w:type="dxa"/>
            <w:vMerge/>
            <w:vAlign w:val="center"/>
            <w:hideMark/>
          </w:tcPr>
          <w:p w14:paraId="3E2E5469" w14:textId="77777777" w:rsidR="00F8388B" w:rsidRPr="009E3821" w:rsidRDefault="00F8388B" w:rsidP="009E3821">
            <w:pPr>
              <w:rPr>
                <w:rFonts w:ascii="Arial" w:hAnsi="Arial" w:cs="Arial"/>
              </w:rPr>
            </w:pPr>
          </w:p>
        </w:tc>
      </w:tr>
      <w:tr w:rsidR="00F8388B" w:rsidRPr="009E3821" w14:paraId="65128ADE" w14:textId="77777777" w:rsidTr="009E3821">
        <w:trPr>
          <w:trHeight w:val="300"/>
          <w:jc w:val="center"/>
        </w:trPr>
        <w:tc>
          <w:tcPr>
            <w:tcW w:w="2628" w:type="dxa"/>
            <w:tcMar>
              <w:top w:w="0" w:type="dxa"/>
              <w:left w:w="45" w:type="dxa"/>
              <w:bottom w:w="0" w:type="dxa"/>
              <w:right w:w="45" w:type="dxa"/>
            </w:tcMar>
            <w:vAlign w:val="bottom"/>
            <w:hideMark/>
          </w:tcPr>
          <w:p w14:paraId="64E2EC8B" w14:textId="77777777" w:rsidR="00F8388B" w:rsidRPr="009E3821" w:rsidRDefault="00F8388B" w:rsidP="009E3821">
            <w:pPr>
              <w:rPr>
                <w:rFonts w:ascii="Arial" w:hAnsi="Arial" w:cs="Arial"/>
              </w:rPr>
            </w:pPr>
            <w:r w:rsidRPr="009E3821">
              <w:rPr>
                <w:rFonts w:ascii="Arial" w:hAnsi="Arial" w:cs="Arial"/>
              </w:rPr>
              <w:t>Graduate</w:t>
            </w:r>
          </w:p>
        </w:tc>
        <w:tc>
          <w:tcPr>
            <w:tcW w:w="723" w:type="dxa"/>
            <w:tcMar>
              <w:top w:w="0" w:type="dxa"/>
              <w:left w:w="45" w:type="dxa"/>
              <w:bottom w:w="0" w:type="dxa"/>
              <w:right w:w="45" w:type="dxa"/>
            </w:tcMar>
            <w:vAlign w:val="bottom"/>
            <w:hideMark/>
          </w:tcPr>
          <w:p w14:paraId="70998DB3" w14:textId="77777777" w:rsidR="00F8388B" w:rsidRPr="009E3821" w:rsidRDefault="00F8388B" w:rsidP="009E3821">
            <w:pPr>
              <w:jc w:val="center"/>
              <w:rPr>
                <w:rFonts w:ascii="Arial" w:hAnsi="Arial" w:cs="Arial"/>
              </w:rPr>
            </w:pPr>
            <w:r w:rsidRPr="009E3821">
              <w:rPr>
                <w:rFonts w:ascii="Arial" w:hAnsi="Arial" w:cs="Arial"/>
              </w:rPr>
              <w:t>14</w:t>
            </w:r>
          </w:p>
        </w:tc>
        <w:tc>
          <w:tcPr>
            <w:tcW w:w="1134" w:type="dxa"/>
            <w:tcMar>
              <w:top w:w="0" w:type="dxa"/>
              <w:left w:w="45" w:type="dxa"/>
              <w:bottom w:w="0" w:type="dxa"/>
              <w:right w:w="45" w:type="dxa"/>
            </w:tcMar>
            <w:vAlign w:val="bottom"/>
            <w:hideMark/>
          </w:tcPr>
          <w:p w14:paraId="4DDDF9DF" w14:textId="77777777" w:rsidR="00F8388B" w:rsidRPr="009E3821" w:rsidRDefault="00F8388B" w:rsidP="009E3821">
            <w:pPr>
              <w:jc w:val="center"/>
              <w:rPr>
                <w:rFonts w:ascii="Arial" w:hAnsi="Arial" w:cs="Arial"/>
              </w:rPr>
            </w:pPr>
            <w:r w:rsidRPr="009E3821">
              <w:rPr>
                <w:rFonts w:ascii="Arial" w:hAnsi="Arial" w:cs="Arial"/>
              </w:rPr>
              <w:t>9,8</w:t>
            </w:r>
          </w:p>
        </w:tc>
        <w:tc>
          <w:tcPr>
            <w:tcW w:w="567" w:type="dxa"/>
            <w:tcMar>
              <w:top w:w="0" w:type="dxa"/>
              <w:left w:w="45" w:type="dxa"/>
              <w:bottom w:w="0" w:type="dxa"/>
              <w:right w:w="45" w:type="dxa"/>
            </w:tcMar>
            <w:vAlign w:val="bottom"/>
            <w:hideMark/>
          </w:tcPr>
          <w:p w14:paraId="57C7C4F0" w14:textId="77777777" w:rsidR="00F8388B" w:rsidRPr="009E3821" w:rsidRDefault="00F8388B" w:rsidP="009E3821">
            <w:pPr>
              <w:jc w:val="center"/>
              <w:rPr>
                <w:rFonts w:ascii="Arial" w:hAnsi="Arial" w:cs="Arial"/>
              </w:rPr>
            </w:pPr>
            <w:r w:rsidRPr="009E3821">
              <w:rPr>
                <w:rFonts w:ascii="Arial" w:hAnsi="Arial" w:cs="Arial"/>
              </w:rPr>
              <w:t>7</w:t>
            </w:r>
          </w:p>
        </w:tc>
        <w:tc>
          <w:tcPr>
            <w:tcW w:w="992" w:type="dxa"/>
            <w:tcMar>
              <w:top w:w="0" w:type="dxa"/>
              <w:left w:w="45" w:type="dxa"/>
              <w:bottom w:w="0" w:type="dxa"/>
              <w:right w:w="45" w:type="dxa"/>
            </w:tcMar>
            <w:vAlign w:val="bottom"/>
            <w:hideMark/>
          </w:tcPr>
          <w:p w14:paraId="25DB1EBB" w14:textId="77777777" w:rsidR="00F8388B" w:rsidRPr="009E3821" w:rsidRDefault="00F8388B" w:rsidP="009E3821">
            <w:pPr>
              <w:jc w:val="center"/>
              <w:rPr>
                <w:rFonts w:ascii="Arial" w:hAnsi="Arial" w:cs="Arial"/>
              </w:rPr>
            </w:pPr>
            <w:r w:rsidRPr="009E3821">
              <w:rPr>
                <w:rFonts w:ascii="Arial" w:hAnsi="Arial" w:cs="Arial"/>
              </w:rPr>
              <w:t>4,9</w:t>
            </w:r>
          </w:p>
        </w:tc>
        <w:tc>
          <w:tcPr>
            <w:tcW w:w="2268" w:type="dxa"/>
            <w:vMerge/>
            <w:vAlign w:val="center"/>
            <w:hideMark/>
          </w:tcPr>
          <w:p w14:paraId="6236A2DB" w14:textId="77777777" w:rsidR="00F8388B" w:rsidRPr="009E3821" w:rsidRDefault="00F8388B" w:rsidP="009E3821">
            <w:pPr>
              <w:rPr>
                <w:rFonts w:ascii="Arial" w:hAnsi="Arial" w:cs="Arial"/>
              </w:rPr>
            </w:pPr>
          </w:p>
        </w:tc>
      </w:tr>
      <w:tr w:rsidR="00F8388B" w:rsidRPr="009E3821" w14:paraId="4C1AC808" w14:textId="77777777" w:rsidTr="009E3821">
        <w:trPr>
          <w:trHeight w:val="300"/>
          <w:jc w:val="center"/>
        </w:trPr>
        <w:tc>
          <w:tcPr>
            <w:tcW w:w="2628" w:type="dxa"/>
            <w:tcMar>
              <w:top w:w="0" w:type="dxa"/>
              <w:left w:w="45" w:type="dxa"/>
              <w:bottom w:w="0" w:type="dxa"/>
              <w:right w:w="45" w:type="dxa"/>
            </w:tcMar>
            <w:vAlign w:val="bottom"/>
            <w:hideMark/>
          </w:tcPr>
          <w:p w14:paraId="1366424A" w14:textId="77777777" w:rsidR="00F8388B" w:rsidRPr="009E3821" w:rsidRDefault="00F8388B" w:rsidP="009E3821">
            <w:pPr>
              <w:rPr>
                <w:rFonts w:ascii="Arial" w:hAnsi="Arial" w:cs="Arial"/>
              </w:rPr>
            </w:pPr>
            <w:r w:rsidRPr="009E3821">
              <w:rPr>
                <w:rFonts w:ascii="Arial" w:hAnsi="Arial" w:cs="Arial"/>
              </w:rPr>
              <w:t>Not literate</w:t>
            </w:r>
          </w:p>
        </w:tc>
        <w:tc>
          <w:tcPr>
            <w:tcW w:w="723" w:type="dxa"/>
            <w:tcMar>
              <w:top w:w="0" w:type="dxa"/>
              <w:left w:w="45" w:type="dxa"/>
              <w:bottom w:w="0" w:type="dxa"/>
              <w:right w:w="45" w:type="dxa"/>
            </w:tcMar>
            <w:vAlign w:val="bottom"/>
            <w:hideMark/>
          </w:tcPr>
          <w:p w14:paraId="5509C9FA" w14:textId="77777777" w:rsidR="00F8388B" w:rsidRPr="009E3821" w:rsidRDefault="00F8388B" w:rsidP="009E3821">
            <w:pPr>
              <w:jc w:val="center"/>
              <w:rPr>
                <w:rFonts w:ascii="Arial" w:hAnsi="Arial" w:cs="Arial"/>
              </w:rPr>
            </w:pPr>
            <w:r w:rsidRPr="009E3821">
              <w:rPr>
                <w:rFonts w:ascii="Arial" w:hAnsi="Arial" w:cs="Arial"/>
              </w:rPr>
              <w:t>7</w:t>
            </w:r>
          </w:p>
        </w:tc>
        <w:tc>
          <w:tcPr>
            <w:tcW w:w="1134" w:type="dxa"/>
            <w:tcMar>
              <w:top w:w="0" w:type="dxa"/>
              <w:left w:w="45" w:type="dxa"/>
              <w:bottom w:w="0" w:type="dxa"/>
              <w:right w:w="45" w:type="dxa"/>
            </w:tcMar>
            <w:vAlign w:val="bottom"/>
            <w:hideMark/>
          </w:tcPr>
          <w:p w14:paraId="73966564" w14:textId="77777777" w:rsidR="00F8388B" w:rsidRPr="009E3821" w:rsidRDefault="00F8388B" w:rsidP="009E3821">
            <w:pPr>
              <w:jc w:val="center"/>
              <w:rPr>
                <w:rFonts w:ascii="Arial" w:hAnsi="Arial" w:cs="Arial"/>
              </w:rPr>
            </w:pPr>
            <w:r w:rsidRPr="009E3821">
              <w:rPr>
                <w:rFonts w:ascii="Arial" w:hAnsi="Arial" w:cs="Arial"/>
              </w:rPr>
              <w:t>4,9</w:t>
            </w:r>
          </w:p>
        </w:tc>
        <w:tc>
          <w:tcPr>
            <w:tcW w:w="567" w:type="dxa"/>
            <w:tcMar>
              <w:top w:w="0" w:type="dxa"/>
              <w:left w:w="45" w:type="dxa"/>
              <w:bottom w:w="0" w:type="dxa"/>
              <w:right w:w="45" w:type="dxa"/>
            </w:tcMar>
            <w:vAlign w:val="bottom"/>
            <w:hideMark/>
          </w:tcPr>
          <w:p w14:paraId="6BBCAAE8" w14:textId="77777777" w:rsidR="00F8388B" w:rsidRPr="009E3821" w:rsidRDefault="00F8388B" w:rsidP="009E3821">
            <w:pPr>
              <w:jc w:val="center"/>
              <w:rPr>
                <w:rFonts w:ascii="Arial" w:hAnsi="Arial" w:cs="Arial"/>
              </w:rPr>
            </w:pPr>
            <w:r w:rsidRPr="009E3821">
              <w:rPr>
                <w:rFonts w:ascii="Arial" w:hAnsi="Arial" w:cs="Arial"/>
              </w:rPr>
              <w:t>8</w:t>
            </w:r>
          </w:p>
        </w:tc>
        <w:tc>
          <w:tcPr>
            <w:tcW w:w="992" w:type="dxa"/>
            <w:tcMar>
              <w:top w:w="0" w:type="dxa"/>
              <w:left w:w="45" w:type="dxa"/>
              <w:bottom w:w="0" w:type="dxa"/>
              <w:right w:w="45" w:type="dxa"/>
            </w:tcMar>
            <w:vAlign w:val="bottom"/>
            <w:hideMark/>
          </w:tcPr>
          <w:p w14:paraId="3FF5709B" w14:textId="77777777" w:rsidR="00F8388B" w:rsidRPr="009E3821" w:rsidRDefault="00F8388B" w:rsidP="009E3821">
            <w:pPr>
              <w:jc w:val="center"/>
              <w:rPr>
                <w:rFonts w:ascii="Arial" w:hAnsi="Arial" w:cs="Arial"/>
              </w:rPr>
            </w:pPr>
            <w:r w:rsidRPr="009E3821">
              <w:rPr>
                <w:rFonts w:ascii="Arial" w:hAnsi="Arial" w:cs="Arial"/>
              </w:rPr>
              <w:t>5,6</w:t>
            </w:r>
          </w:p>
        </w:tc>
        <w:tc>
          <w:tcPr>
            <w:tcW w:w="2268" w:type="dxa"/>
            <w:vMerge/>
            <w:vAlign w:val="center"/>
            <w:hideMark/>
          </w:tcPr>
          <w:p w14:paraId="45EDBA8F" w14:textId="77777777" w:rsidR="00F8388B" w:rsidRPr="009E3821" w:rsidRDefault="00F8388B" w:rsidP="009E3821">
            <w:pPr>
              <w:rPr>
                <w:rFonts w:ascii="Arial" w:hAnsi="Arial" w:cs="Arial"/>
              </w:rPr>
            </w:pPr>
          </w:p>
        </w:tc>
      </w:tr>
      <w:tr w:rsidR="00F8388B" w:rsidRPr="009E3821" w14:paraId="22D92A13" w14:textId="77777777" w:rsidTr="009E3821">
        <w:trPr>
          <w:trHeight w:val="300"/>
          <w:jc w:val="center"/>
        </w:trPr>
        <w:tc>
          <w:tcPr>
            <w:tcW w:w="2628" w:type="dxa"/>
            <w:tcMar>
              <w:top w:w="0" w:type="dxa"/>
              <w:left w:w="45" w:type="dxa"/>
              <w:bottom w:w="0" w:type="dxa"/>
              <w:right w:w="45" w:type="dxa"/>
            </w:tcMar>
            <w:vAlign w:val="bottom"/>
            <w:hideMark/>
          </w:tcPr>
          <w:p w14:paraId="3A78AAB5" w14:textId="77777777" w:rsidR="00F8388B" w:rsidRPr="009E3821" w:rsidRDefault="00F8388B" w:rsidP="009E3821">
            <w:pPr>
              <w:rPr>
                <w:rFonts w:ascii="Arial" w:hAnsi="Arial" w:cs="Arial"/>
              </w:rPr>
            </w:pPr>
            <w:r w:rsidRPr="009E3821">
              <w:rPr>
                <w:rFonts w:ascii="Arial" w:hAnsi="Arial" w:cs="Arial"/>
              </w:rPr>
              <w:t>Not informed</w:t>
            </w:r>
          </w:p>
        </w:tc>
        <w:tc>
          <w:tcPr>
            <w:tcW w:w="723" w:type="dxa"/>
            <w:tcMar>
              <w:top w:w="0" w:type="dxa"/>
              <w:left w:w="45" w:type="dxa"/>
              <w:bottom w:w="0" w:type="dxa"/>
              <w:right w:w="45" w:type="dxa"/>
            </w:tcMar>
            <w:vAlign w:val="bottom"/>
            <w:hideMark/>
          </w:tcPr>
          <w:p w14:paraId="4239A663" w14:textId="77777777" w:rsidR="00F8388B" w:rsidRPr="009E3821" w:rsidRDefault="00F8388B" w:rsidP="009E3821">
            <w:pPr>
              <w:jc w:val="center"/>
              <w:rPr>
                <w:rFonts w:ascii="Arial" w:hAnsi="Arial" w:cs="Arial"/>
              </w:rPr>
            </w:pPr>
            <w:r w:rsidRPr="009E3821">
              <w:rPr>
                <w:rFonts w:ascii="Arial" w:hAnsi="Arial" w:cs="Arial"/>
              </w:rPr>
              <w:t>22</w:t>
            </w:r>
          </w:p>
        </w:tc>
        <w:tc>
          <w:tcPr>
            <w:tcW w:w="1134" w:type="dxa"/>
            <w:tcMar>
              <w:top w:w="0" w:type="dxa"/>
              <w:left w:w="45" w:type="dxa"/>
              <w:bottom w:w="0" w:type="dxa"/>
              <w:right w:w="45" w:type="dxa"/>
            </w:tcMar>
            <w:vAlign w:val="bottom"/>
            <w:hideMark/>
          </w:tcPr>
          <w:p w14:paraId="38B10C7E" w14:textId="77777777" w:rsidR="00F8388B" w:rsidRPr="009E3821" w:rsidRDefault="00F8388B" w:rsidP="009E3821">
            <w:pPr>
              <w:jc w:val="center"/>
              <w:rPr>
                <w:rFonts w:ascii="Arial" w:hAnsi="Arial" w:cs="Arial"/>
              </w:rPr>
            </w:pPr>
            <w:r w:rsidRPr="009E3821">
              <w:rPr>
                <w:rFonts w:ascii="Arial" w:hAnsi="Arial" w:cs="Arial"/>
              </w:rPr>
              <w:t>15,4</w:t>
            </w:r>
          </w:p>
        </w:tc>
        <w:tc>
          <w:tcPr>
            <w:tcW w:w="567" w:type="dxa"/>
            <w:tcMar>
              <w:top w:w="0" w:type="dxa"/>
              <w:left w:w="45" w:type="dxa"/>
              <w:bottom w:w="0" w:type="dxa"/>
              <w:right w:w="45" w:type="dxa"/>
            </w:tcMar>
            <w:vAlign w:val="bottom"/>
            <w:hideMark/>
          </w:tcPr>
          <w:p w14:paraId="7B390028" w14:textId="77777777" w:rsidR="00F8388B" w:rsidRPr="009E3821" w:rsidRDefault="00F8388B" w:rsidP="009E3821">
            <w:pPr>
              <w:jc w:val="center"/>
              <w:rPr>
                <w:rFonts w:ascii="Arial" w:hAnsi="Arial" w:cs="Arial"/>
              </w:rPr>
            </w:pPr>
            <w:r w:rsidRPr="009E3821">
              <w:rPr>
                <w:rFonts w:ascii="Arial" w:hAnsi="Arial" w:cs="Arial"/>
              </w:rPr>
              <w:t>32</w:t>
            </w:r>
          </w:p>
        </w:tc>
        <w:tc>
          <w:tcPr>
            <w:tcW w:w="992" w:type="dxa"/>
            <w:tcMar>
              <w:top w:w="0" w:type="dxa"/>
              <w:left w:w="45" w:type="dxa"/>
              <w:bottom w:w="0" w:type="dxa"/>
              <w:right w:w="45" w:type="dxa"/>
            </w:tcMar>
            <w:vAlign w:val="bottom"/>
            <w:hideMark/>
          </w:tcPr>
          <w:p w14:paraId="54C7FC2F" w14:textId="77777777" w:rsidR="00F8388B" w:rsidRPr="009E3821" w:rsidRDefault="00F8388B" w:rsidP="009E3821">
            <w:pPr>
              <w:jc w:val="center"/>
              <w:rPr>
                <w:rFonts w:ascii="Arial" w:hAnsi="Arial" w:cs="Arial"/>
              </w:rPr>
            </w:pPr>
            <w:r w:rsidRPr="009E3821">
              <w:rPr>
                <w:rFonts w:ascii="Arial" w:hAnsi="Arial" w:cs="Arial"/>
              </w:rPr>
              <w:t>22,5</w:t>
            </w:r>
          </w:p>
        </w:tc>
        <w:tc>
          <w:tcPr>
            <w:tcW w:w="2268" w:type="dxa"/>
            <w:vMerge/>
            <w:vAlign w:val="center"/>
            <w:hideMark/>
          </w:tcPr>
          <w:p w14:paraId="17228872" w14:textId="77777777" w:rsidR="00F8388B" w:rsidRPr="009E3821" w:rsidRDefault="00F8388B" w:rsidP="009E3821">
            <w:pPr>
              <w:rPr>
                <w:rFonts w:ascii="Arial" w:hAnsi="Arial" w:cs="Arial"/>
              </w:rPr>
            </w:pPr>
          </w:p>
        </w:tc>
      </w:tr>
      <w:tr w:rsidR="00F8388B" w:rsidRPr="009E3821" w14:paraId="7FF35759" w14:textId="77777777" w:rsidTr="009E3821">
        <w:trPr>
          <w:trHeight w:val="300"/>
          <w:jc w:val="center"/>
        </w:trPr>
        <w:tc>
          <w:tcPr>
            <w:tcW w:w="2628" w:type="dxa"/>
            <w:tcMar>
              <w:top w:w="0" w:type="dxa"/>
              <w:left w:w="45" w:type="dxa"/>
              <w:bottom w:w="0" w:type="dxa"/>
              <w:right w:w="45" w:type="dxa"/>
            </w:tcMar>
            <w:vAlign w:val="bottom"/>
            <w:hideMark/>
          </w:tcPr>
          <w:p w14:paraId="002FD846" w14:textId="77777777" w:rsidR="00F8388B" w:rsidRPr="009E3821" w:rsidRDefault="00F8388B" w:rsidP="009E3821">
            <w:pPr>
              <w:rPr>
                <w:rFonts w:ascii="Arial" w:hAnsi="Arial" w:cs="Arial"/>
                <w:b/>
              </w:rPr>
            </w:pPr>
            <w:r w:rsidRPr="009E3821">
              <w:rPr>
                <w:rFonts w:ascii="Arial" w:hAnsi="Arial" w:cs="Arial"/>
                <w:b/>
              </w:rPr>
              <w:t>Race</w:t>
            </w:r>
          </w:p>
        </w:tc>
        <w:tc>
          <w:tcPr>
            <w:tcW w:w="723" w:type="dxa"/>
            <w:tcMar>
              <w:top w:w="0" w:type="dxa"/>
              <w:left w:w="45" w:type="dxa"/>
              <w:bottom w:w="0" w:type="dxa"/>
              <w:right w:w="45" w:type="dxa"/>
            </w:tcMar>
            <w:vAlign w:val="bottom"/>
          </w:tcPr>
          <w:p w14:paraId="46889FD7" w14:textId="77777777" w:rsidR="00F8388B" w:rsidRPr="009E3821" w:rsidRDefault="00F8388B" w:rsidP="009E3821">
            <w:pPr>
              <w:rPr>
                <w:rFonts w:ascii="Arial" w:hAnsi="Arial" w:cs="Arial"/>
              </w:rPr>
            </w:pPr>
          </w:p>
        </w:tc>
        <w:tc>
          <w:tcPr>
            <w:tcW w:w="1134" w:type="dxa"/>
            <w:tcMar>
              <w:top w:w="0" w:type="dxa"/>
              <w:left w:w="45" w:type="dxa"/>
              <w:bottom w:w="0" w:type="dxa"/>
              <w:right w:w="45" w:type="dxa"/>
            </w:tcMar>
            <w:vAlign w:val="bottom"/>
          </w:tcPr>
          <w:p w14:paraId="0268CD9B" w14:textId="77777777" w:rsidR="00F8388B" w:rsidRPr="009E3821" w:rsidRDefault="00F8388B" w:rsidP="009E3821">
            <w:pPr>
              <w:rPr>
                <w:rFonts w:ascii="Arial" w:hAnsi="Arial" w:cs="Arial"/>
              </w:rPr>
            </w:pPr>
          </w:p>
        </w:tc>
        <w:tc>
          <w:tcPr>
            <w:tcW w:w="567" w:type="dxa"/>
            <w:tcMar>
              <w:top w:w="0" w:type="dxa"/>
              <w:left w:w="45" w:type="dxa"/>
              <w:bottom w:w="0" w:type="dxa"/>
              <w:right w:w="45" w:type="dxa"/>
            </w:tcMar>
            <w:vAlign w:val="bottom"/>
          </w:tcPr>
          <w:p w14:paraId="09A474A6" w14:textId="77777777" w:rsidR="00F8388B" w:rsidRPr="009E3821" w:rsidRDefault="00F8388B" w:rsidP="009E3821">
            <w:pPr>
              <w:rPr>
                <w:rFonts w:ascii="Arial" w:hAnsi="Arial" w:cs="Arial"/>
              </w:rPr>
            </w:pPr>
          </w:p>
        </w:tc>
        <w:tc>
          <w:tcPr>
            <w:tcW w:w="992" w:type="dxa"/>
            <w:tcMar>
              <w:top w:w="0" w:type="dxa"/>
              <w:left w:w="45" w:type="dxa"/>
              <w:bottom w:w="0" w:type="dxa"/>
              <w:right w:w="45" w:type="dxa"/>
            </w:tcMar>
            <w:vAlign w:val="bottom"/>
          </w:tcPr>
          <w:p w14:paraId="051BC6C6" w14:textId="77777777" w:rsidR="00F8388B" w:rsidRPr="009E3821" w:rsidRDefault="00F8388B" w:rsidP="009E3821">
            <w:pPr>
              <w:rPr>
                <w:rFonts w:ascii="Arial" w:hAnsi="Arial" w:cs="Arial"/>
              </w:rPr>
            </w:pPr>
          </w:p>
        </w:tc>
        <w:tc>
          <w:tcPr>
            <w:tcW w:w="2268" w:type="dxa"/>
            <w:tcMar>
              <w:top w:w="0" w:type="dxa"/>
              <w:left w:w="45" w:type="dxa"/>
              <w:bottom w:w="0" w:type="dxa"/>
              <w:right w:w="45" w:type="dxa"/>
            </w:tcMar>
            <w:vAlign w:val="bottom"/>
          </w:tcPr>
          <w:p w14:paraId="15A54276" w14:textId="77777777" w:rsidR="00F8388B" w:rsidRPr="009E3821" w:rsidRDefault="00F8388B" w:rsidP="009E3821">
            <w:pPr>
              <w:rPr>
                <w:rFonts w:ascii="Arial" w:hAnsi="Arial" w:cs="Arial"/>
              </w:rPr>
            </w:pPr>
          </w:p>
        </w:tc>
      </w:tr>
      <w:tr w:rsidR="00F8388B" w:rsidRPr="009E3821" w14:paraId="76F83F8F" w14:textId="77777777" w:rsidTr="009E3821">
        <w:trPr>
          <w:trHeight w:val="300"/>
          <w:jc w:val="center"/>
        </w:trPr>
        <w:tc>
          <w:tcPr>
            <w:tcW w:w="2628" w:type="dxa"/>
            <w:tcMar>
              <w:top w:w="0" w:type="dxa"/>
              <w:left w:w="45" w:type="dxa"/>
              <w:bottom w:w="0" w:type="dxa"/>
              <w:right w:w="45" w:type="dxa"/>
            </w:tcMar>
            <w:vAlign w:val="bottom"/>
            <w:hideMark/>
          </w:tcPr>
          <w:p w14:paraId="356AEA44" w14:textId="77777777" w:rsidR="00F8388B" w:rsidRPr="009E3821" w:rsidRDefault="00F8388B" w:rsidP="009E3821">
            <w:pPr>
              <w:rPr>
                <w:rFonts w:ascii="Arial" w:hAnsi="Arial" w:cs="Arial"/>
              </w:rPr>
            </w:pPr>
            <w:r w:rsidRPr="009E3821">
              <w:rPr>
                <w:rFonts w:ascii="Arial" w:hAnsi="Arial" w:cs="Arial"/>
              </w:rPr>
              <w:t>White</w:t>
            </w:r>
          </w:p>
        </w:tc>
        <w:tc>
          <w:tcPr>
            <w:tcW w:w="723" w:type="dxa"/>
            <w:tcMar>
              <w:top w:w="0" w:type="dxa"/>
              <w:left w:w="45" w:type="dxa"/>
              <w:bottom w:w="0" w:type="dxa"/>
              <w:right w:w="45" w:type="dxa"/>
            </w:tcMar>
            <w:vAlign w:val="bottom"/>
            <w:hideMark/>
          </w:tcPr>
          <w:p w14:paraId="61AA1322" w14:textId="77777777" w:rsidR="00F8388B" w:rsidRPr="009E3821" w:rsidRDefault="00F8388B" w:rsidP="009E3821">
            <w:pPr>
              <w:jc w:val="center"/>
              <w:rPr>
                <w:rFonts w:ascii="Arial" w:hAnsi="Arial" w:cs="Arial"/>
              </w:rPr>
            </w:pPr>
            <w:r w:rsidRPr="009E3821">
              <w:rPr>
                <w:rFonts w:ascii="Arial" w:hAnsi="Arial" w:cs="Arial"/>
              </w:rPr>
              <w:t>119</w:t>
            </w:r>
          </w:p>
        </w:tc>
        <w:tc>
          <w:tcPr>
            <w:tcW w:w="1134" w:type="dxa"/>
            <w:tcMar>
              <w:top w:w="0" w:type="dxa"/>
              <w:left w:w="45" w:type="dxa"/>
              <w:bottom w:w="0" w:type="dxa"/>
              <w:right w:w="45" w:type="dxa"/>
            </w:tcMar>
            <w:vAlign w:val="bottom"/>
            <w:hideMark/>
          </w:tcPr>
          <w:p w14:paraId="54ACF6C9" w14:textId="77777777" w:rsidR="00F8388B" w:rsidRPr="009E3821" w:rsidRDefault="00F8388B" w:rsidP="009E3821">
            <w:pPr>
              <w:jc w:val="center"/>
              <w:rPr>
                <w:rFonts w:ascii="Arial" w:hAnsi="Arial" w:cs="Arial"/>
              </w:rPr>
            </w:pPr>
            <w:r w:rsidRPr="009E3821">
              <w:rPr>
                <w:rFonts w:ascii="Arial" w:hAnsi="Arial" w:cs="Arial"/>
              </w:rPr>
              <w:t>83,2</w:t>
            </w:r>
          </w:p>
        </w:tc>
        <w:tc>
          <w:tcPr>
            <w:tcW w:w="567" w:type="dxa"/>
            <w:tcMar>
              <w:top w:w="0" w:type="dxa"/>
              <w:left w:w="45" w:type="dxa"/>
              <w:bottom w:w="0" w:type="dxa"/>
              <w:right w:w="45" w:type="dxa"/>
            </w:tcMar>
            <w:vAlign w:val="bottom"/>
            <w:hideMark/>
          </w:tcPr>
          <w:p w14:paraId="0A846B64" w14:textId="77777777" w:rsidR="00F8388B" w:rsidRPr="009E3821" w:rsidRDefault="00F8388B" w:rsidP="009E3821">
            <w:pPr>
              <w:jc w:val="center"/>
              <w:rPr>
                <w:rFonts w:ascii="Arial" w:hAnsi="Arial" w:cs="Arial"/>
              </w:rPr>
            </w:pPr>
            <w:r w:rsidRPr="009E3821">
              <w:rPr>
                <w:rFonts w:ascii="Arial" w:hAnsi="Arial" w:cs="Arial"/>
              </w:rPr>
              <w:t>110</w:t>
            </w:r>
          </w:p>
        </w:tc>
        <w:tc>
          <w:tcPr>
            <w:tcW w:w="992" w:type="dxa"/>
            <w:tcMar>
              <w:top w:w="0" w:type="dxa"/>
              <w:left w:w="45" w:type="dxa"/>
              <w:bottom w:w="0" w:type="dxa"/>
              <w:right w:w="45" w:type="dxa"/>
            </w:tcMar>
            <w:vAlign w:val="bottom"/>
            <w:hideMark/>
          </w:tcPr>
          <w:p w14:paraId="1518A429" w14:textId="77777777" w:rsidR="00F8388B" w:rsidRPr="009E3821" w:rsidRDefault="00F8388B" w:rsidP="009E3821">
            <w:pPr>
              <w:jc w:val="center"/>
              <w:rPr>
                <w:rFonts w:ascii="Arial" w:hAnsi="Arial" w:cs="Arial"/>
              </w:rPr>
            </w:pPr>
            <w:r w:rsidRPr="009E3821">
              <w:rPr>
                <w:rFonts w:ascii="Arial" w:hAnsi="Arial" w:cs="Arial"/>
              </w:rPr>
              <w:t>77,5</w:t>
            </w:r>
          </w:p>
        </w:tc>
        <w:tc>
          <w:tcPr>
            <w:tcW w:w="2268" w:type="dxa"/>
            <w:vMerge w:val="restart"/>
            <w:tcMar>
              <w:top w:w="0" w:type="dxa"/>
              <w:left w:w="45" w:type="dxa"/>
              <w:bottom w:w="0" w:type="dxa"/>
              <w:right w:w="45" w:type="dxa"/>
            </w:tcMar>
            <w:vAlign w:val="center"/>
            <w:hideMark/>
          </w:tcPr>
          <w:p w14:paraId="6D5E81A6" w14:textId="77777777" w:rsidR="00F8388B" w:rsidRPr="009E3821" w:rsidRDefault="00F8388B" w:rsidP="009E3821">
            <w:pPr>
              <w:jc w:val="center"/>
              <w:rPr>
                <w:rFonts w:ascii="Arial" w:hAnsi="Arial" w:cs="Arial"/>
              </w:rPr>
            </w:pPr>
            <w:r w:rsidRPr="009E3821">
              <w:rPr>
                <w:rFonts w:ascii="Arial" w:hAnsi="Arial" w:cs="Arial"/>
              </w:rPr>
              <w:t>X</w:t>
            </w:r>
            <w:r w:rsidRPr="009E3821">
              <w:rPr>
                <w:rFonts w:ascii="Arial" w:hAnsi="Arial" w:cs="Arial"/>
                <w:vertAlign w:val="superscript"/>
              </w:rPr>
              <w:t>2</w:t>
            </w:r>
            <w:r w:rsidRPr="009E3821">
              <w:rPr>
                <w:rFonts w:ascii="Arial" w:hAnsi="Arial" w:cs="Arial"/>
              </w:rPr>
              <w:t xml:space="preserve">= 9,538; </w:t>
            </w:r>
          </w:p>
          <w:p w14:paraId="5DA0A574" w14:textId="77777777" w:rsidR="00F8388B" w:rsidRPr="009E3821" w:rsidRDefault="00F8388B" w:rsidP="009E3821">
            <w:pPr>
              <w:jc w:val="center"/>
              <w:rPr>
                <w:rFonts w:ascii="Arial" w:hAnsi="Arial" w:cs="Arial"/>
              </w:rPr>
            </w:pPr>
            <w:r w:rsidRPr="009E3821">
              <w:rPr>
                <w:rFonts w:ascii="Arial" w:hAnsi="Arial" w:cs="Arial"/>
              </w:rPr>
              <w:t>p= 0,049*</w:t>
            </w:r>
          </w:p>
        </w:tc>
      </w:tr>
      <w:tr w:rsidR="00F8388B" w:rsidRPr="009E3821" w14:paraId="2AA95DBD" w14:textId="77777777" w:rsidTr="009E3821">
        <w:trPr>
          <w:trHeight w:val="300"/>
          <w:jc w:val="center"/>
        </w:trPr>
        <w:tc>
          <w:tcPr>
            <w:tcW w:w="2628" w:type="dxa"/>
            <w:tcMar>
              <w:top w:w="0" w:type="dxa"/>
              <w:left w:w="45" w:type="dxa"/>
              <w:bottom w:w="0" w:type="dxa"/>
              <w:right w:w="45" w:type="dxa"/>
            </w:tcMar>
            <w:vAlign w:val="bottom"/>
            <w:hideMark/>
          </w:tcPr>
          <w:p w14:paraId="2CAB4AC9" w14:textId="77777777" w:rsidR="00F8388B" w:rsidRPr="009E3821" w:rsidRDefault="00F8388B" w:rsidP="009E3821">
            <w:pPr>
              <w:rPr>
                <w:rFonts w:ascii="Arial" w:hAnsi="Arial" w:cs="Arial"/>
              </w:rPr>
            </w:pPr>
            <w:r w:rsidRPr="009E3821">
              <w:rPr>
                <w:rFonts w:ascii="Arial" w:hAnsi="Arial" w:cs="Arial"/>
              </w:rPr>
              <w:t>Yellow</w:t>
            </w:r>
          </w:p>
        </w:tc>
        <w:tc>
          <w:tcPr>
            <w:tcW w:w="723" w:type="dxa"/>
            <w:tcMar>
              <w:top w:w="0" w:type="dxa"/>
              <w:left w:w="45" w:type="dxa"/>
              <w:bottom w:w="0" w:type="dxa"/>
              <w:right w:w="45" w:type="dxa"/>
            </w:tcMar>
            <w:vAlign w:val="bottom"/>
            <w:hideMark/>
          </w:tcPr>
          <w:p w14:paraId="4260C1FC" w14:textId="77777777" w:rsidR="00F8388B" w:rsidRPr="009E3821" w:rsidRDefault="00F8388B" w:rsidP="009E3821">
            <w:pPr>
              <w:jc w:val="center"/>
              <w:rPr>
                <w:rFonts w:ascii="Arial" w:hAnsi="Arial" w:cs="Arial"/>
              </w:rPr>
            </w:pPr>
            <w:r w:rsidRPr="009E3821">
              <w:rPr>
                <w:rFonts w:ascii="Arial" w:hAnsi="Arial" w:cs="Arial"/>
              </w:rPr>
              <w:t>5</w:t>
            </w:r>
          </w:p>
        </w:tc>
        <w:tc>
          <w:tcPr>
            <w:tcW w:w="1134" w:type="dxa"/>
            <w:tcMar>
              <w:top w:w="0" w:type="dxa"/>
              <w:left w:w="45" w:type="dxa"/>
              <w:bottom w:w="0" w:type="dxa"/>
              <w:right w:w="45" w:type="dxa"/>
            </w:tcMar>
            <w:vAlign w:val="bottom"/>
            <w:hideMark/>
          </w:tcPr>
          <w:p w14:paraId="14FEA688" w14:textId="77777777" w:rsidR="00F8388B" w:rsidRPr="009E3821" w:rsidRDefault="00F8388B" w:rsidP="009E3821">
            <w:pPr>
              <w:jc w:val="center"/>
              <w:rPr>
                <w:rFonts w:ascii="Arial" w:hAnsi="Arial" w:cs="Arial"/>
              </w:rPr>
            </w:pPr>
            <w:r w:rsidRPr="009E3821">
              <w:rPr>
                <w:rFonts w:ascii="Arial" w:hAnsi="Arial" w:cs="Arial"/>
              </w:rPr>
              <w:t>3,5</w:t>
            </w:r>
          </w:p>
        </w:tc>
        <w:tc>
          <w:tcPr>
            <w:tcW w:w="567" w:type="dxa"/>
            <w:tcMar>
              <w:top w:w="0" w:type="dxa"/>
              <w:left w:w="45" w:type="dxa"/>
              <w:bottom w:w="0" w:type="dxa"/>
              <w:right w:w="45" w:type="dxa"/>
            </w:tcMar>
            <w:vAlign w:val="bottom"/>
            <w:hideMark/>
          </w:tcPr>
          <w:p w14:paraId="08477BE9" w14:textId="77777777" w:rsidR="00F8388B" w:rsidRPr="009E3821" w:rsidRDefault="00F8388B" w:rsidP="009E3821">
            <w:pPr>
              <w:jc w:val="center"/>
              <w:rPr>
                <w:rFonts w:ascii="Arial" w:hAnsi="Arial" w:cs="Arial"/>
              </w:rPr>
            </w:pPr>
            <w:r w:rsidRPr="009E3821">
              <w:rPr>
                <w:rFonts w:ascii="Arial" w:hAnsi="Arial" w:cs="Arial"/>
              </w:rPr>
              <w:t>1</w:t>
            </w:r>
          </w:p>
        </w:tc>
        <w:tc>
          <w:tcPr>
            <w:tcW w:w="992" w:type="dxa"/>
            <w:tcMar>
              <w:top w:w="0" w:type="dxa"/>
              <w:left w:w="45" w:type="dxa"/>
              <w:bottom w:w="0" w:type="dxa"/>
              <w:right w:w="45" w:type="dxa"/>
            </w:tcMar>
            <w:vAlign w:val="bottom"/>
            <w:hideMark/>
          </w:tcPr>
          <w:p w14:paraId="39695E94" w14:textId="77777777" w:rsidR="00F8388B" w:rsidRPr="009E3821" w:rsidRDefault="00F8388B" w:rsidP="009E3821">
            <w:pPr>
              <w:jc w:val="center"/>
              <w:rPr>
                <w:rFonts w:ascii="Arial" w:hAnsi="Arial" w:cs="Arial"/>
              </w:rPr>
            </w:pPr>
            <w:r w:rsidRPr="009E3821">
              <w:rPr>
                <w:rFonts w:ascii="Arial" w:hAnsi="Arial" w:cs="Arial"/>
              </w:rPr>
              <w:t>7,0</w:t>
            </w:r>
          </w:p>
        </w:tc>
        <w:tc>
          <w:tcPr>
            <w:tcW w:w="2268" w:type="dxa"/>
            <w:vMerge/>
            <w:vAlign w:val="center"/>
            <w:hideMark/>
          </w:tcPr>
          <w:p w14:paraId="1A5E31CE" w14:textId="77777777" w:rsidR="00F8388B" w:rsidRPr="009E3821" w:rsidRDefault="00F8388B" w:rsidP="009E3821">
            <w:pPr>
              <w:rPr>
                <w:rFonts w:ascii="Arial" w:hAnsi="Arial" w:cs="Arial"/>
              </w:rPr>
            </w:pPr>
          </w:p>
        </w:tc>
      </w:tr>
      <w:tr w:rsidR="00F8388B" w:rsidRPr="009E3821" w14:paraId="0D2DFDC4" w14:textId="77777777" w:rsidTr="009E3821">
        <w:trPr>
          <w:trHeight w:val="300"/>
          <w:jc w:val="center"/>
        </w:trPr>
        <w:tc>
          <w:tcPr>
            <w:tcW w:w="2628" w:type="dxa"/>
            <w:tcMar>
              <w:top w:w="0" w:type="dxa"/>
              <w:left w:w="45" w:type="dxa"/>
              <w:bottom w:w="0" w:type="dxa"/>
              <w:right w:w="45" w:type="dxa"/>
            </w:tcMar>
            <w:vAlign w:val="bottom"/>
            <w:hideMark/>
          </w:tcPr>
          <w:p w14:paraId="3E7DF473" w14:textId="77777777" w:rsidR="00F8388B" w:rsidRPr="009E3821" w:rsidRDefault="00F8388B" w:rsidP="009E3821">
            <w:pPr>
              <w:rPr>
                <w:rFonts w:ascii="Arial" w:hAnsi="Arial" w:cs="Arial"/>
              </w:rPr>
            </w:pPr>
            <w:r w:rsidRPr="009E3821">
              <w:rPr>
                <w:rFonts w:ascii="Arial" w:hAnsi="Arial" w:cs="Arial"/>
              </w:rPr>
              <w:t>Indigenous</w:t>
            </w:r>
          </w:p>
        </w:tc>
        <w:tc>
          <w:tcPr>
            <w:tcW w:w="723" w:type="dxa"/>
            <w:tcMar>
              <w:top w:w="0" w:type="dxa"/>
              <w:left w:w="45" w:type="dxa"/>
              <w:bottom w:w="0" w:type="dxa"/>
              <w:right w:w="45" w:type="dxa"/>
            </w:tcMar>
            <w:vAlign w:val="bottom"/>
            <w:hideMark/>
          </w:tcPr>
          <w:p w14:paraId="0117C2FD" w14:textId="77777777" w:rsidR="00F8388B" w:rsidRPr="009E3821" w:rsidRDefault="00F8388B" w:rsidP="009E3821">
            <w:pPr>
              <w:jc w:val="center"/>
              <w:rPr>
                <w:rFonts w:ascii="Arial" w:hAnsi="Arial" w:cs="Arial"/>
              </w:rPr>
            </w:pPr>
            <w:r w:rsidRPr="009E3821">
              <w:rPr>
                <w:rFonts w:ascii="Arial" w:hAnsi="Arial" w:cs="Arial"/>
              </w:rPr>
              <w:t>7</w:t>
            </w:r>
          </w:p>
        </w:tc>
        <w:tc>
          <w:tcPr>
            <w:tcW w:w="1134" w:type="dxa"/>
            <w:tcMar>
              <w:top w:w="0" w:type="dxa"/>
              <w:left w:w="45" w:type="dxa"/>
              <w:bottom w:w="0" w:type="dxa"/>
              <w:right w:w="45" w:type="dxa"/>
            </w:tcMar>
            <w:vAlign w:val="bottom"/>
            <w:hideMark/>
          </w:tcPr>
          <w:p w14:paraId="07A003E9" w14:textId="77777777" w:rsidR="00F8388B" w:rsidRPr="009E3821" w:rsidRDefault="00F8388B" w:rsidP="009E3821">
            <w:pPr>
              <w:jc w:val="center"/>
              <w:rPr>
                <w:rFonts w:ascii="Arial" w:hAnsi="Arial" w:cs="Arial"/>
              </w:rPr>
            </w:pPr>
            <w:r w:rsidRPr="009E3821">
              <w:rPr>
                <w:rFonts w:ascii="Arial" w:hAnsi="Arial" w:cs="Arial"/>
              </w:rPr>
              <w:t>4,9</w:t>
            </w:r>
          </w:p>
        </w:tc>
        <w:tc>
          <w:tcPr>
            <w:tcW w:w="567" w:type="dxa"/>
            <w:tcMar>
              <w:top w:w="0" w:type="dxa"/>
              <w:left w:w="45" w:type="dxa"/>
              <w:bottom w:w="0" w:type="dxa"/>
              <w:right w:w="45" w:type="dxa"/>
            </w:tcMar>
            <w:vAlign w:val="bottom"/>
            <w:hideMark/>
          </w:tcPr>
          <w:p w14:paraId="20C2A444" w14:textId="77777777" w:rsidR="00F8388B" w:rsidRPr="009E3821" w:rsidRDefault="00F8388B" w:rsidP="009E3821">
            <w:pPr>
              <w:jc w:val="center"/>
              <w:rPr>
                <w:rFonts w:ascii="Arial" w:hAnsi="Arial" w:cs="Arial"/>
              </w:rPr>
            </w:pPr>
            <w:r w:rsidRPr="009E3821">
              <w:rPr>
                <w:rFonts w:ascii="Arial" w:hAnsi="Arial" w:cs="Arial"/>
              </w:rPr>
              <w:t>6</w:t>
            </w:r>
          </w:p>
        </w:tc>
        <w:tc>
          <w:tcPr>
            <w:tcW w:w="992" w:type="dxa"/>
            <w:tcMar>
              <w:top w:w="0" w:type="dxa"/>
              <w:left w:w="45" w:type="dxa"/>
              <w:bottom w:w="0" w:type="dxa"/>
              <w:right w:w="45" w:type="dxa"/>
            </w:tcMar>
            <w:vAlign w:val="bottom"/>
            <w:hideMark/>
          </w:tcPr>
          <w:p w14:paraId="66248088" w14:textId="77777777" w:rsidR="00F8388B" w:rsidRPr="009E3821" w:rsidRDefault="00F8388B" w:rsidP="009E3821">
            <w:pPr>
              <w:jc w:val="center"/>
              <w:rPr>
                <w:rFonts w:ascii="Arial" w:hAnsi="Arial" w:cs="Arial"/>
              </w:rPr>
            </w:pPr>
            <w:r w:rsidRPr="009E3821">
              <w:rPr>
                <w:rFonts w:ascii="Arial" w:hAnsi="Arial" w:cs="Arial"/>
              </w:rPr>
              <w:t>4,2</w:t>
            </w:r>
          </w:p>
        </w:tc>
        <w:tc>
          <w:tcPr>
            <w:tcW w:w="2268" w:type="dxa"/>
            <w:vMerge/>
            <w:vAlign w:val="center"/>
            <w:hideMark/>
          </w:tcPr>
          <w:p w14:paraId="2163CFF7" w14:textId="77777777" w:rsidR="00F8388B" w:rsidRPr="009E3821" w:rsidRDefault="00F8388B" w:rsidP="009E3821">
            <w:pPr>
              <w:rPr>
                <w:rFonts w:ascii="Arial" w:hAnsi="Arial" w:cs="Arial"/>
              </w:rPr>
            </w:pPr>
          </w:p>
        </w:tc>
      </w:tr>
      <w:tr w:rsidR="00F8388B" w:rsidRPr="009E3821" w14:paraId="3878EB8E" w14:textId="77777777" w:rsidTr="009E3821">
        <w:trPr>
          <w:trHeight w:val="300"/>
          <w:jc w:val="center"/>
        </w:trPr>
        <w:tc>
          <w:tcPr>
            <w:tcW w:w="2628" w:type="dxa"/>
            <w:tcMar>
              <w:top w:w="0" w:type="dxa"/>
              <w:left w:w="45" w:type="dxa"/>
              <w:bottom w:w="0" w:type="dxa"/>
              <w:right w:w="45" w:type="dxa"/>
            </w:tcMar>
            <w:vAlign w:val="bottom"/>
            <w:hideMark/>
          </w:tcPr>
          <w:p w14:paraId="386D032C" w14:textId="77777777" w:rsidR="00F8388B" w:rsidRPr="009E3821" w:rsidRDefault="00F8388B" w:rsidP="009E3821">
            <w:pPr>
              <w:rPr>
                <w:rFonts w:ascii="Arial" w:hAnsi="Arial" w:cs="Arial"/>
              </w:rPr>
            </w:pPr>
            <w:r w:rsidRPr="009E3821">
              <w:rPr>
                <w:rFonts w:ascii="Arial" w:hAnsi="Arial" w:cs="Arial"/>
              </w:rPr>
              <w:t>Black</w:t>
            </w:r>
          </w:p>
        </w:tc>
        <w:tc>
          <w:tcPr>
            <w:tcW w:w="723" w:type="dxa"/>
            <w:tcMar>
              <w:top w:w="0" w:type="dxa"/>
              <w:left w:w="45" w:type="dxa"/>
              <w:bottom w:w="0" w:type="dxa"/>
              <w:right w:w="45" w:type="dxa"/>
            </w:tcMar>
            <w:vAlign w:val="bottom"/>
            <w:hideMark/>
          </w:tcPr>
          <w:p w14:paraId="491F86F3" w14:textId="77777777" w:rsidR="00F8388B" w:rsidRPr="009E3821" w:rsidRDefault="00F8388B" w:rsidP="009E3821">
            <w:pPr>
              <w:jc w:val="center"/>
              <w:rPr>
                <w:rFonts w:ascii="Arial" w:hAnsi="Arial" w:cs="Arial"/>
              </w:rPr>
            </w:pPr>
            <w:r w:rsidRPr="009E3821">
              <w:rPr>
                <w:rFonts w:ascii="Arial" w:hAnsi="Arial" w:cs="Arial"/>
              </w:rPr>
              <w:t>1</w:t>
            </w:r>
          </w:p>
        </w:tc>
        <w:tc>
          <w:tcPr>
            <w:tcW w:w="1134" w:type="dxa"/>
            <w:tcMar>
              <w:top w:w="0" w:type="dxa"/>
              <w:left w:w="45" w:type="dxa"/>
              <w:bottom w:w="0" w:type="dxa"/>
              <w:right w:w="45" w:type="dxa"/>
            </w:tcMar>
            <w:vAlign w:val="bottom"/>
            <w:hideMark/>
          </w:tcPr>
          <w:p w14:paraId="5988FB8E" w14:textId="77777777" w:rsidR="00F8388B" w:rsidRPr="009E3821" w:rsidRDefault="00F8388B" w:rsidP="009E3821">
            <w:pPr>
              <w:jc w:val="center"/>
              <w:rPr>
                <w:rFonts w:ascii="Arial" w:hAnsi="Arial" w:cs="Arial"/>
              </w:rPr>
            </w:pPr>
            <w:r w:rsidRPr="009E3821">
              <w:rPr>
                <w:rFonts w:ascii="Arial" w:hAnsi="Arial" w:cs="Arial"/>
              </w:rPr>
              <w:t>7,0</w:t>
            </w:r>
          </w:p>
        </w:tc>
        <w:tc>
          <w:tcPr>
            <w:tcW w:w="567" w:type="dxa"/>
            <w:tcMar>
              <w:top w:w="0" w:type="dxa"/>
              <w:left w:w="45" w:type="dxa"/>
              <w:bottom w:w="0" w:type="dxa"/>
              <w:right w:w="45" w:type="dxa"/>
            </w:tcMar>
            <w:vAlign w:val="bottom"/>
            <w:hideMark/>
          </w:tcPr>
          <w:p w14:paraId="77276A46" w14:textId="77777777" w:rsidR="00F8388B" w:rsidRPr="009E3821" w:rsidRDefault="00F8388B" w:rsidP="009E3821">
            <w:pPr>
              <w:jc w:val="center"/>
              <w:rPr>
                <w:rFonts w:ascii="Arial" w:hAnsi="Arial" w:cs="Arial"/>
              </w:rPr>
            </w:pPr>
            <w:r w:rsidRPr="009E3821">
              <w:rPr>
                <w:rFonts w:ascii="Arial" w:hAnsi="Arial" w:cs="Arial"/>
              </w:rPr>
              <w:t>0</w:t>
            </w:r>
          </w:p>
        </w:tc>
        <w:tc>
          <w:tcPr>
            <w:tcW w:w="992" w:type="dxa"/>
            <w:tcMar>
              <w:top w:w="0" w:type="dxa"/>
              <w:left w:w="45" w:type="dxa"/>
              <w:bottom w:w="0" w:type="dxa"/>
              <w:right w:w="45" w:type="dxa"/>
            </w:tcMar>
            <w:vAlign w:val="bottom"/>
            <w:hideMark/>
          </w:tcPr>
          <w:p w14:paraId="3E24EAA7" w14:textId="77777777" w:rsidR="00F8388B" w:rsidRPr="009E3821" w:rsidRDefault="00F8388B" w:rsidP="009E3821">
            <w:pPr>
              <w:jc w:val="center"/>
              <w:rPr>
                <w:rFonts w:ascii="Arial" w:hAnsi="Arial" w:cs="Arial"/>
              </w:rPr>
            </w:pPr>
            <w:r w:rsidRPr="009E3821">
              <w:rPr>
                <w:rFonts w:ascii="Arial" w:hAnsi="Arial" w:cs="Arial"/>
              </w:rPr>
              <w:t>0,0</w:t>
            </w:r>
          </w:p>
        </w:tc>
        <w:tc>
          <w:tcPr>
            <w:tcW w:w="2268" w:type="dxa"/>
            <w:vMerge/>
            <w:vAlign w:val="center"/>
            <w:hideMark/>
          </w:tcPr>
          <w:p w14:paraId="294ADFD0" w14:textId="77777777" w:rsidR="00F8388B" w:rsidRPr="009E3821" w:rsidRDefault="00F8388B" w:rsidP="009E3821">
            <w:pPr>
              <w:rPr>
                <w:rFonts w:ascii="Arial" w:hAnsi="Arial" w:cs="Arial"/>
              </w:rPr>
            </w:pPr>
          </w:p>
        </w:tc>
      </w:tr>
      <w:tr w:rsidR="00F8388B" w:rsidRPr="009E3821" w14:paraId="28AEE7AB" w14:textId="77777777" w:rsidTr="009E3821">
        <w:trPr>
          <w:trHeight w:val="300"/>
          <w:jc w:val="center"/>
        </w:trPr>
        <w:tc>
          <w:tcPr>
            <w:tcW w:w="2628" w:type="dxa"/>
            <w:tcMar>
              <w:top w:w="0" w:type="dxa"/>
              <w:left w:w="45" w:type="dxa"/>
              <w:bottom w:w="0" w:type="dxa"/>
              <w:right w:w="45" w:type="dxa"/>
            </w:tcMar>
            <w:vAlign w:val="bottom"/>
            <w:hideMark/>
          </w:tcPr>
          <w:p w14:paraId="11F17AE2" w14:textId="77777777" w:rsidR="00F8388B" w:rsidRPr="009E3821" w:rsidRDefault="00F8388B" w:rsidP="009E3821">
            <w:pPr>
              <w:rPr>
                <w:rFonts w:ascii="Arial" w:hAnsi="Arial" w:cs="Arial"/>
              </w:rPr>
            </w:pPr>
            <w:r w:rsidRPr="009E3821">
              <w:rPr>
                <w:rFonts w:ascii="Arial" w:hAnsi="Arial" w:cs="Arial"/>
              </w:rPr>
              <w:t>Brown</w:t>
            </w:r>
          </w:p>
        </w:tc>
        <w:tc>
          <w:tcPr>
            <w:tcW w:w="723" w:type="dxa"/>
            <w:tcMar>
              <w:top w:w="0" w:type="dxa"/>
              <w:left w:w="45" w:type="dxa"/>
              <w:bottom w:w="0" w:type="dxa"/>
              <w:right w:w="45" w:type="dxa"/>
            </w:tcMar>
            <w:vAlign w:val="bottom"/>
            <w:hideMark/>
          </w:tcPr>
          <w:p w14:paraId="7803F0D6" w14:textId="77777777" w:rsidR="00F8388B" w:rsidRPr="009E3821" w:rsidRDefault="00F8388B" w:rsidP="009E3821">
            <w:pPr>
              <w:jc w:val="center"/>
              <w:rPr>
                <w:rFonts w:ascii="Arial" w:hAnsi="Arial" w:cs="Arial"/>
              </w:rPr>
            </w:pPr>
            <w:r w:rsidRPr="009E3821">
              <w:rPr>
                <w:rFonts w:ascii="Arial" w:hAnsi="Arial" w:cs="Arial"/>
              </w:rPr>
              <w:t>11</w:t>
            </w:r>
          </w:p>
        </w:tc>
        <w:tc>
          <w:tcPr>
            <w:tcW w:w="1134" w:type="dxa"/>
            <w:tcMar>
              <w:top w:w="0" w:type="dxa"/>
              <w:left w:w="45" w:type="dxa"/>
              <w:bottom w:w="0" w:type="dxa"/>
              <w:right w:w="45" w:type="dxa"/>
            </w:tcMar>
            <w:vAlign w:val="bottom"/>
            <w:hideMark/>
          </w:tcPr>
          <w:p w14:paraId="4A3B3F8C" w14:textId="77777777" w:rsidR="00F8388B" w:rsidRPr="009E3821" w:rsidRDefault="00F8388B" w:rsidP="009E3821">
            <w:pPr>
              <w:jc w:val="center"/>
              <w:rPr>
                <w:rFonts w:ascii="Arial" w:hAnsi="Arial" w:cs="Arial"/>
              </w:rPr>
            </w:pPr>
            <w:r w:rsidRPr="009E3821">
              <w:rPr>
                <w:rFonts w:ascii="Arial" w:hAnsi="Arial" w:cs="Arial"/>
              </w:rPr>
              <w:t>7,7</w:t>
            </w:r>
          </w:p>
        </w:tc>
        <w:tc>
          <w:tcPr>
            <w:tcW w:w="567" w:type="dxa"/>
            <w:tcMar>
              <w:top w:w="0" w:type="dxa"/>
              <w:left w:w="45" w:type="dxa"/>
              <w:bottom w:w="0" w:type="dxa"/>
              <w:right w:w="45" w:type="dxa"/>
            </w:tcMar>
            <w:vAlign w:val="bottom"/>
            <w:hideMark/>
          </w:tcPr>
          <w:p w14:paraId="5E01B6CC" w14:textId="77777777" w:rsidR="00F8388B" w:rsidRPr="009E3821" w:rsidRDefault="00F8388B" w:rsidP="009E3821">
            <w:pPr>
              <w:jc w:val="center"/>
              <w:rPr>
                <w:rFonts w:ascii="Arial" w:hAnsi="Arial" w:cs="Arial"/>
              </w:rPr>
            </w:pPr>
            <w:r w:rsidRPr="009E3821">
              <w:rPr>
                <w:rFonts w:ascii="Arial" w:hAnsi="Arial" w:cs="Arial"/>
              </w:rPr>
              <w:t>25</w:t>
            </w:r>
          </w:p>
        </w:tc>
        <w:tc>
          <w:tcPr>
            <w:tcW w:w="992" w:type="dxa"/>
            <w:tcMar>
              <w:top w:w="0" w:type="dxa"/>
              <w:left w:w="45" w:type="dxa"/>
              <w:bottom w:w="0" w:type="dxa"/>
              <w:right w:w="45" w:type="dxa"/>
            </w:tcMar>
            <w:vAlign w:val="bottom"/>
            <w:hideMark/>
          </w:tcPr>
          <w:p w14:paraId="02CEA141" w14:textId="77777777" w:rsidR="00F8388B" w:rsidRPr="009E3821" w:rsidRDefault="00F8388B" w:rsidP="009E3821">
            <w:pPr>
              <w:jc w:val="center"/>
              <w:rPr>
                <w:rFonts w:ascii="Arial" w:hAnsi="Arial" w:cs="Arial"/>
              </w:rPr>
            </w:pPr>
            <w:r w:rsidRPr="009E3821">
              <w:rPr>
                <w:rFonts w:ascii="Arial" w:hAnsi="Arial" w:cs="Arial"/>
              </w:rPr>
              <w:t>17,6</w:t>
            </w:r>
          </w:p>
        </w:tc>
        <w:tc>
          <w:tcPr>
            <w:tcW w:w="2268" w:type="dxa"/>
            <w:vMerge/>
            <w:vAlign w:val="center"/>
            <w:hideMark/>
          </w:tcPr>
          <w:p w14:paraId="4C0CF8BA" w14:textId="77777777" w:rsidR="00F8388B" w:rsidRPr="009E3821" w:rsidRDefault="00F8388B" w:rsidP="009E3821">
            <w:pPr>
              <w:rPr>
                <w:rFonts w:ascii="Arial" w:hAnsi="Arial" w:cs="Arial"/>
              </w:rPr>
            </w:pPr>
          </w:p>
        </w:tc>
      </w:tr>
      <w:tr w:rsidR="00F8388B" w:rsidRPr="009E3821" w14:paraId="5778CF99" w14:textId="77777777" w:rsidTr="009E3821">
        <w:trPr>
          <w:trHeight w:val="300"/>
          <w:jc w:val="center"/>
        </w:trPr>
        <w:tc>
          <w:tcPr>
            <w:tcW w:w="2628" w:type="dxa"/>
            <w:tcMar>
              <w:top w:w="0" w:type="dxa"/>
              <w:left w:w="45" w:type="dxa"/>
              <w:bottom w:w="0" w:type="dxa"/>
              <w:right w:w="45" w:type="dxa"/>
            </w:tcMar>
            <w:vAlign w:val="bottom"/>
            <w:hideMark/>
          </w:tcPr>
          <w:p w14:paraId="58FA4B69" w14:textId="77777777" w:rsidR="00F8388B" w:rsidRPr="009E3821" w:rsidRDefault="00F8388B" w:rsidP="009E3821">
            <w:pPr>
              <w:rPr>
                <w:rFonts w:ascii="Arial" w:hAnsi="Arial" w:cs="Arial"/>
                <w:b/>
              </w:rPr>
            </w:pPr>
            <w:r w:rsidRPr="009E3821">
              <w:rPr>
                <w:rFonts w:ascii="Arial" w:hAnsi="Arial" w:cs="Arial"/>
                <w:b/>
              </w:rPr>
              <w:t>Religion</w:t>
            </w:r>
          </w:p>
        </w:tc>
        <w:tc>
          <w:tcPr>
            <w:tcW w:w="723" w:type="dxa"/>
            <w:tcMar>
              <w:top w:w="0" w:type="dxa"/>
              <w:left w:w="45" w:type="dxa"/>
              <w:bottom w:w="0" w:type="dxa"/>
              <w:right w:w="45" w:type="dxa"/>
            </w:tcMar>
            <w:vAlign w:val="bottom"/>
          </w:tcPr>
          <w:p w14:paraId="152BCF24" w14:textId="77777777" w:rsidR="00F8388B" w:rsidRPr="009E3821" w:rsidRDefault="00F8388B" w:rsidP="009E3821">
            <w:pPr>
              <w:rPr>
                <w:rFonts w:ascii="Arial" w:hAnsi="Arial" w:cs="Arial"/>
              </w:rPr>
            </w:pPr>
          </w:p>
        </w:tc>
        <w:tc>
          <w:tcPr>
            <w:tcW w:w="1134" w:type="dxa"/>
            <w:tcMar>
              <w:top w:w="0" w:type="dxa"/>
              <w:left w:w="45" w:type="dxa"/>
              <w:bottom w:w="0" w:type="dxa"/>
              <w:right w:w="45" w:type="dxa"/>
            </w:tcMar>
            <w:vAlign w:val="bottom"/>
          </w:tcPr>
          <w:p w14:paraId="4CB6634E" w14:textId="77777777" w:rsidR="00F8388B" w:rsidRPr="009E3821" w:rsidRDefault="00F8388B" w:rsidP="009E3821">
            <w:pPr>
              <w:rPr>
                <w:rFonts w:ascii="Arial" w:hAnsi="Arial" w:cs="Arial"/>
              </w:rPr>
            </w:pPr>
          </w:p>
        </w:tc>
        <w:tc>
          <w:tcPr>
            <w:tcW w:w="567" w:type="dxa"/>
            <w:tcMar>
              <w:top w:w="0" w:type="dxa"/>
              <w:left w:w="45" w:type="dxa"/>
              <w:bottom w:w="0" w:type="dxa"/>
              <w:right w:w="45" w:type="dxa"/>
            </w:tcMar>
            <w:vAlign w:val="bottom"/>
          </w:tcPr>
          <w:p w14:paraId="0C0C8F44" w14:textId="77777777" w:rsidR="00F8388B" w:rsidRPr="009E3821" w:rsidRDefault="00F8388B" w:rsidP="009E3821">
            <w:pPr>
              <w:rPr>
                <w:rFonts w:ascii="Arial" w:hAnsi="Arial" w:cs="Arial"/>
              </w:rPr>
            </w:pPr>
          </w:p>
        </w:tc>
        <w:tc>
          <w:tcPr>
            <w:tcW w:w="992" w:type="dxa"/>
            <w:tcMar>
              <w:top w:w="0" w:type="dxa"/>
              <w:left w:w="45" w:type="dxa"/>
              <w:bottom w:w="0" w:type="dxa"/>
              <w:right w:w="45" w:type="dxa"/>
            </w:tcMar>
            <w:vAlign w:val="bottom"/>
          </w:tcPr>
          <w:p w14:paraId="58E0D4B4" w14:textId="77777777" w:rsidR="00F8388B" w:rsidRPr="009E3821" w:rsidRDefault="00F8388B" w:rsidP="009E3821">
            <w:pPr>
              <w:rPr>
                <w:rFonts w:ascii="Arial" w:hAnsi="Arial" w:cs="Arial"/>
              </w:rPr>
            </w:pPr>
          </w:p>
        </w:tc>
        <w:tc>
          <w:tcPr>
            <w:tcW w:w="2268" w:type="dxa"/>
            <w:tcMar>
              <w:top w:w="0" w:type="dxa"/>
              <w:left w:w="45" w:type="dxa"/>
              <w:bottom w:w="0" w:type="dxa"/>
              <w:right w:w="45" w:type="dxa"/>
            </w:tcMar>
            <w:vAlign w:val="bottom"/>
          </w:tcPr>
          <w:p w14:paraId="444CF5A7" w14:textId="77777777" w:rsidR="00F8388B" w:rsidRPr="009E3821" w:rsidRDefault="00F8388B" w:rsidP="009E3821">
            <w:pPr>
              <w:rPr>
                <w:rFonts w:ascii="Arial" w:hAnsi="Arial" w:cs="Arial"/>
              </w:rPr>
            </w:pPr>
          </w:p>
        </w:tc>
      </w:tr>
      <w:tr w:rsidR="00F8388B" w:rsidRPr="009E3821" w14:paraId="53CF5A73" w14:textId="77777777" w:rsidTr="009E3821">
        <w:trPr>
          <w:trHeight w:val="300"/>
          <w:jc w:val="center"/>
        </w:trPr>
        <w:tc>
          <w:tcPr>
            <w:tcW w:w="2628" w:type="dxa"/>
            <w:tcMar>
              <w:top w:w="0" w:type="dxa"/>
              <w:left w:w="45" w:type="dxa"/>
              <w:bottom w:w="0" w:type="dxa"/>
              <w:right w:w="45" w:type="dxa"/>
            </w:tcMar>
            <w:vAlign w:val="bottom"/>
            <w:hideMark/>
          </w:tcPr>
          <w:p w14:paraId="50C108CE" w14:textId="77777777" w:rsidR="00F8388B" w:rsidRPr="009E3821" w:rsidRDefault="00F8388B" w:rsidP="009E3821">
            <w:pPr>
              <w:rPr>
                <w:rFonts w:ascii="Arial" w:hAnsi="Arial" w:cs="Arial"/>
              </w:rPr>
            </w:pPr>
            <w:r w:rsidRPr="009E3821">
              <w:rPr>
                <w:rFonts w:ascii="Arial" w:hAnsi="Arial" w:cs="Arial"/>
              </w:rPr>
              <w:t>Catholic</w:t>
            </w:r>
          </w:p>
        </w:tc>
        <w:tc>
          <w:tcPr>
            <w:tcW w:w="723" w:type="dxa"/>
            <w:tcMar>
              <w:top w:w="0" w:type="dxa"/>
              <w:left w:w="45" w:type="dxa"/>
              <w:bottom w:w="0" w:type="dxa"/>
              <w:right w:w="45" w:type="dxa"/>
            </w:tcMar>
            <w:vAlign w:val="bottom"/>
            <w:hideMark/>
          </w:tcPr>
          <w:p w14:paraId="187BBA14" w14:textId="77777777" w:rsidR="00F8388B" w:rsidRPr="009E3821" w:rsidRDefault="00F8388B" w:rsidP="009E3821">
            <w:pPr>
              <w:jc w:val="center"/>
              <w:rPr>
                <w:rFonts w:ascii="Arial" w:hAnsi="Arial" w:cs="Arial"/>
              </w:rPr>
            </w:pPr>
            <w:r w:rsidRPr="009E3821">
              <w:rPr>
                <w:rFonts w:ascii="Arial" w:hAnsi="Arial" w:cs="Arial"/>
              </w:rPr>
              <w:t>84</w:t>
            </w:r>
          </w:p>
        </w:tc>
        <w:tc>
          <w:tcPr>
            <w:tcW w:w="1134" w:type="dxa"/>
            <w:tcMar>
              <w:top w:w="0" w:type="dxa"/>
              <w:left w:w="45" w:type="dxa"/>
              <w:bottom w:w="0" w:type="dxa"/>
              <w:right w:w="45" w:type="dxa"/>
            </w:tcMar>
            <w:vAlign w:val="bottom"/>
            <w:hideMark/>
          </w:tcPr>
          <w:p w14:paraId="5D9E52AD" w14:textId="77777777" w:rsidR="00F8388B" w:rsidRPr="009E3821" w:rsidRDefault="00F8388B" w:rsidP="009E3821">
            <w:pPr>
              <w:jc w:val="center"/>
              <w:rPr>
                <w:rFonts w:ascii="Arial" w:hAnsi="Arial" w:cs="Arial"/>
              </w:rPr>
            </w:pPr>
            <w:r w:rsidRPr="009E3821">
              <w:rPr>
                <w:rFonts w:ascii="Arial" w:hAnsi="Arial" w:cs="Arial"/>
              </w:rPr>
              <w:t>58,7</w:t>
            </w:r>
          </w:p>
        </w:tc>
        <w:tc>
          <w:tcPr>
            <w:tcW w:w="567" w:type="dxa"/>
            <w:tcMar>
              <w:top w:w="0" w:type="dxa"/>
              <w:left w:w="45" w:type="dxa"/>
              <w:bottom w:w="0" w:type="dxa"/>
              <w:right w:w="45" w:type="dxa"/>
            </w:tcMar>
            <w:vAlign w:val="bottom"/>
            <w:hideMark/>
          </w:tcPr>
          <w:p w14:paraId="1DD6A6A5" w14:textId="77777777" w:rsidR="00F8388B" w:rsidRPr="009E3821" w:rsidRDefault="00F8388B" w:rsidP="009E3821">
            <w:pPr>
              <w:jc w:val="center"/>
              <w:rPr>
                <w:rFonts w:ascii="Arial" w:hAnsi="Arial" w:cs="Arial"/>
              </w:rPr>
            </w:pPr>
            <w:r w:rsidRPr="009E3821">
              <w:rPr>
                <w:rFonts w:ascii="Arial" w:hAnsi="Arial" w:cs="Arial"/>
              </w:rPr>
              <w:t>77</w:t>
            </w:r>
          </w:p>
        </w:tc>
        <w:tc>
          <w:tcPr>
            <w:tcW w:w="992" w:type="dxa"/>
            <w:tcMar>
              <w:top w:w="0" w:type="dxa"/>
              <w:left w:w="45" w:type="dxa"/>
              <w:bottom w:w="0" w:type="dxa"/>
              <w:right w:w="45" w:type="dxa"/>
            </w:tcMar>
            <w:vAlign w:val="bottom"/>
            <w:hideMark/>
          </w:tcPr>
          <w:p w14:paraId="4EC3BBB7" w14:textId="77777777" w:rsidR="00F8388B" w:rsidRPr="009E3821" w:rsidRDefault="00F8388B" w:rsidP="009E3821">
            <w:pPr>
              <w:jc w:val="center"/>
              <w:rPr>
                <w:rFonts w:ascii="Arial" w:hAnsi="Arial" w:cs="Arial"/>
              </w:rPr>
            </w:pPr>
            <w:r w:rsidRPr="009E3821">
              <w:rPr>
                <w:rFonts w:ascii="Arial" w:hAnsi="Arial" w:cs="Arial"/>
              </w:rPr>
              <w:t>54,2</w:t>
            </w:r>
          </w:p>
        </w:tc>
        <w:tc>
          <w:tcPr>
            <w:tcW w:w="2268" w:type="dxa"/>
            <w:vMerge w:val="restart"/>
            <w:tcMar>
              <w:top w:w="0" w:type="dxa"/>
              <w:left w:w="45" w:type="dxa"/>
              <w:bottom w:w="0" w:type="dxa"/>
              <w:right w:w="45" w:type="dxa"/>
            </w:tcMar>
            <w:vAlign w:val="center"/>
            <w:hideMark/>
          </w:tcPr>
          <w:p w14:paraId="46054907" w14:textId="77777777" w:rsidR="00F8388B" w:rsidRPr="009E3821" w:rsidRDefault="00F8388B" w:rsidP="009E3821">
            <w:pPr>
              <w:jc w:val="center"/>
              <w:rPr>
                <w:rFonts w:ascii="Arial" w:hAnsi="Arial" w:cs="Arial"/>
              </w:rPr>
            </w:pPr>
            <w:r w:rsidRPr="009E3821">
              <w:rPr>
                <w:rFonts w:ascii="Arial" w:hAnsi="Arial" w:cs="Arial"/>
              </w:rPr>
              <w:t>X</w:t>
            </w:r>
            <w:r w:rsidRPr="009E3821">
              <w:rPr>
                <w:rFonts w:ascii="Arial" w:hAnsi="Arial" w:cs="Arial"/>
                <w:vertAlign w:val="superscript"/>
              </w:rPr>
              <w:t>2</w:t>
            </w:r>
            <w:r w:rsidRPr="009E3821">
              <w:rPr>
                <w:rFonts w:ascii="Arial" w:hAnsi="Arial" w:cs="Arial"/>
              </w:rPr>
              <w:t>= 2,625; p=0,622</w:t>
            </w:r>
          </w:p>
        </w:tc>
      </w:tr>
      <w:tr w:rsidR="00F8388B" w:rsidRPr="009E3821" w14:paraId="61DEF1F8" w14:textId="77777777" w:rsidTr="009E3821">
        <w:trPr>
          <w:trHeight w:val="300"/>
          <w:jc w:val="center"/>
        </w:trPr>
        <w:tc>
          <w:tcPr>
            <w:tcW w:w="2628" w:type="dxa"/>
            <w:tcMar>
              <w:top w:w="0" w:type="dxa"/>
              <w:left w:w="45" w:type="dxa"/>
              <w:bottom w:w="0" w:type="dxa"/>
              <w:right w:w="45" w:type="dxa"/>
            </w:tcMar>
            <w:hideMark/>
          </w:tcPr>
          <w:p w14:paraId="54CDBD80" w14:textId="77777777" w:rsidR="00F8388B" w:rsidRPr="009E3821" w:rsidRDefault="00F8388B" w:rsidP="009E3821">
            <w:pPr>
              <w:rPr>
                <w:rFonts w:ascii="Arial" w:hAnsi="Arial" w:cs="Arial"/>
              </w:rPr>
            </w:pPr>
            <w:proofErr w:type="spellStart"/>
            <w:r w:rsidRPr="009E3821">
              <w:rPr>
                <w:rFonts w:ascii="Arial" w:hAnsi="Arial" w:cs="Arial"/>
              </w:rPr>
              <w:t>Evangélica</w:t>
            </w:r>
            <w:proofErr w:type="spellEnd"/>
          </w:p>
        </w:tc>
        <w:tc>
          <w:tcPr>
            <w:tcW w:w="723" w:type="dxa"/>
            <w:tcMar>
              <w:top w:w="0" w:type="dxa"/>
              <w:left w:w="45" w:type="dxa"/>
              <w:bottom w:w="0" w:type="dxa"/>
              <w:right w:w="45" w:type="dxa"/>
            </w:tcMar>
            <w:vAlign w:val="bottom"/>
            <w:hideMark/>
          </w:tcPr>
          <w:p w14:paraId="73EBBB87" w14:textId="77777777" w:rsidR="00F8388B" w:rsidRPr="009E3821" w:rsidRDefault="00F8388B" w:rsidP="009E3821">
            <w:pPr>
              <w:jc w:val="center"/>
              <w:rPr>
                <w:rFonts w:ascii="Arial" w:hAnsi="Arial" w:cs="Arial"/>
              </w:rPr>
            </w:pPr>
            <w:r w:rsidRPr="009E3821">
              <w:rPr>
                <w:rFonts w:ascii="Arial" w:hAnsi="Arial" w:cs="Arial"/>
              </w:rPr>
              <w:t>34</w:t>
            </w:r>
          </w:p>
        </w:tc>
        <w:tc>
          <w:tcPr>
            <w:tcW w:w="1134" w:type="dxa"/>
            <w:tcMar>
              <w:top w:w="0" w:type="dxa"/>
              <w:left w:w="45" w:type="dxa"/>
              <w:bottom w:w="0" w:type="dxa"/>
              <w:right w:w="45" w:type="dxa"/>
            </w:tcMar>
            <w:vAlign w:val="bottom"/>
            <w:hideMark/>
          </w:tcPr>
          <w:p w14:paraId="358616B1" w14:textId="77777777" w:rsidR="00F8388B" w:rsidRPr="009E3821" w:rsidRDefault="00F8388B" w:rsidP="009E3821">
            <w:pPr>
              <w:jc w:val="center"/>
              <w:rPr>
                <w:rFonts w:ascii="Arial" w:hAnsi="Arial" w:cs="Arial"/>
              </w:rPr>
            </w:pPr>
            <w:r w:rsidRPr="009E3821">
              <w:rPr>
                <w:rFonts w:ascii="Arial" w:hAnsi="Arial" w:cs="Arial"/>
              </w:rPr>
              <w:t>23,8</w:t>
            </w:r>
          </w:p>
        </w:tc>
        <w:tc>
          <w:tcPr>
            <w:tcW w:w="567" w:type="dxa"/>
            <w:tcMar>
              <w:top w:w="0" w:type="dxa"/>
              <w:left w:w="45" w:type="dxa"/>
              <w:bottom w:w="0" w:type="dxa"/>
              <w:right w:w="45" w:type="dxa"/>
            </w:tcMar>
            <w:vAlign w:val="bottom"/>
            <w:hideMark/>
          </w:tcPr>
          <w:p w14:paraId="74214676" w14:textId="77777777" w:rsidR="00F8388B" w:rsidRPr="009E3821" w:rsidRDefault="00F8388B" w:rsidP="009E3821">
            <w:pPr>
              <w:jc w:val="center"/>
              <w:rPr>
                <w:rFonts w:ascii="Arial" w:hAnsi="Arial" w:cs="Arial"/>
              </w:rPr>
            </w:pPr>
            <w:r w:rsidRPr="009E3821">
              <w:rPr>
                <w:rFonts w:ascii="Arial" w:hAnsi="Arial" w:cs="Arial"/>
              </w:rPr>
              <w:t>31</w:t>
            </w:r>
          </w:p>
        </w:tc>
        <w:tc>
          <w:tcPr>
            <w:tcW w:w="992" w:type="dxa"/>
            <w:tcMar>
              <w:top w:w="0" w:type="dxa"/>
              <w:left w:w="45" w:type="dxa"/>
              <w:bottom w:w="0" w:type="dxa"/>
              <w:right w:w="45" w:type="dxa"/>
            </w:tcMar>
            <w:vAlign w:val="bottom"/>
            <w:hideMark/>
          </w:tcPr>
          <w:p w14:paraId="3B99059E" w14:textId="77777777" w:rsidR="00F8388B" w:rsidRPr="009E3821" w:rsidRDefault="00F8388B" w:rsidP="009E3821">
            <w:pPr>
              <w:jc w:val="center"/>
              <w:rPr>
                <w:rFonts w:ascii="Arial" w:hAnsi="Arial" w:cs="Arial"/>
              </w:rPr>
            </w:pPr>
            <w:r w:rsidRPr="009E3821">
              <w:rPr>
                <w:rFonts w:ascii="Arial" w:hAnsi="Arial" w:cs="Arial"/>
              </w:rPr>
              <w:t>21,8</w:t>
            </w:r>
          </w:p>
        </w:tc>
        <w:tc>
          <w:tcPr>
            <w:tcW w:w="2268" w:type="dxa"/>
            <w:vMerge/>
            <w:vAlign w:val="center"/>
            <w:hideMark/>
          </w:tcPr>
          <w:p w14:paraId="787955D6" w14:textId="77777777" w:rsidR="00F8388B" w:rsidRPr="009E3821" w:rsidRDefault="00F8388B" w:rsidP="009E3821">
            <w:pPr>
              <w:rPr>
                <w:rFonts w:ascii="Arial" w:hAnsi="Arial" w:cs="Arial"/>
              </w:rPr>
            </w:pPr>
          </w:p>
        </w:tc>
      </w:tr>
      <w:tr w:rsidR="00F8388B" w:rsidRPr="009E3821" w14:paraId="0F936171" w14:textId="77777777" w:rsidTr="009E3821">
        <w:trPr>
          <w:trHeight w:val="300"/>
          <w:jc w:val="center"/>
        </w:trPr>
        <w:tc>
          <w:tcPr>
            <w:tcW w:w="2628" w:type="dxa"/>
            <w:tcMar>
              <w:top w:w="0" w:type="dxa"/>
              <w:left w:w="45" w:type="dxa"/>
              <w:bottom w:w="0" w:type="dxa"/>
              <w:right w:w="45" w:type="dxa"/>
            </w:tcMar>
            <w:hideMark/>
          </w:tcPr>
          <w:p w14:paraId="40F5A16B" w14:textId="77777777" w:rsidR="00F8388B" w:rsidRPr="009E3821" w:rsidRDefault="00F8388B" w:rsidP="009E3821">
            <w:pPr>
              <w:rPr>
                <w:rFonts w:ascii="Arial" w:hAnsi="Arial" w:cs="Arial"/>
              </w:rPr>
            </w:pPr>
            <w:proofErr w:type="spellStart"/>
            <w:r w:rsidRPr="009E3821">
              <w:rPr>
                <w:rFonts w:ascii="Arial" w:hAnsi="Arial" w:cs="Arial"/>
              </w:rPr>
              <w:t>Outras</w:t>
            </w:r>
            <w:proofErr w:type="spellEnd"/>
          </w:p>
        </w:tc>
        <w:tc>
          <w:tcPr>
            <w:tcW w:w="723" w:type="dxa"/>
            <w:tcMar>
              <w:top w:w="0" w:type="dxa"/>
              <w:left w:w="45" w:type="dxa"/>
              <w:bottom w:w="0" w:type="dxa"/>
              <w:right w:w="45" w:type="dxa"/>
            </w:tcMar>
            <w:vAlign w:val="bottom"/>
            <w:hideMark/>
          </w:tcPr>
          <w:p w14:paraId="2A3E560C" w14:textId="77777777" w:rsidR="00F8388B" w:rsidRPr="009E3821" w:rsidRDefault="00F8388B" w:rsidP="009E3821">
            <w:pPr>
              <w:jc w:val="center"/>
              <w:rPr>
                <w:rFonts w:ascii="Arial" w:hAnsi="Arial" w:cs="Arial"/>
              </w:rPr>
            </w:pPr>
            <w:r w:rsidRPr="009E3821">
              <w:rPr>
                <w:rFonts w:ascii="Arial" w:hAnsi="Arial" w:cs="Arial"/>
              </w:rPr>
              <w:t>1</w:t>
            </w:r>
          </w:p>
        </w:tc>
        <w:tc>
          <w:tcPr>
            <w:tcW w:w="1134" w:type="dxa"/>
            <w:tcMar>
              <w:top w:w="0" w:type="dxa"/>
              <w:left w:w="45" w:type="dxa"/>
              <w:bottom w:w="0" w:type="dxa"/>
              <w:right w:w="45" w:type="dxa"/>
            </w:tcMar>
            <w:vAlign w:val="bottom"/>
            <w:hideMark/>
          </w:tcPr>
          <w:p w14:paraId="3477CB79" w14:textId="77777777" w:rsidR="00F8388B" w:rsidRPr="009E3821" w:rsidRDefault="00F8388B" w:rsidP="009E3821">
            <w:pPr>
              <w:jc w:val="center"/>
              <w:rPr>
                <w:rFonts w:ascii="Arial" w:hAnsi="Arial" w:cs="Arial"/>
              </w:rPr>
            </w:pPr>
            <w:r w:rsidRPr="009E3821">
              <w:rPr>
                <w:rFonts w:ascii="Arial" w:hAnsi="Arial" w:cs="Arial"/>
              </w:rPr>
              <w:t>7,0</w:t>
            </w:r>
          </w:p>
        </w:tc>
        <w:tc>
          <w:tcPr>
            <w:tcW w:w="567" w:type="dxa"/>
            <w:tcMar>
              <w:top w:w="0" w:type="dxa"/>
              <w:left w:w="45" w:type="dxa"/>
              <w:bottom w:w="0" w:type="dxa"/>
              <w:right w:w="45" w:type="dxa"/>
            </w:tcMar>
            <w:vAlign w:val="bottom"/>
            <w:hideMark/>
          </w:tcPr>
          <w:p w14:paraId="72C5B4E0" w14:textId="77777777" w:rsidR="00F8388B" w:rsidRPr="009E3821" w:rsidRDefault="00F8388B" w:rsidP="009E3821">
            <w:pPr>
              <w:jc w:val="center"/>
              <w:rPr>
                <w:rFonts w:ascii="Arial" w:hAnsi="Arial" w:cs="Arial"/>
              </w:rPr>
            </w:pPr>
            <w:r w:rsidRPr="009E3821">
              <w:rPr>
                <w:rFonts w:ascii="Arial" w:hAnsi="Arial" w:cs="Arial"/>
              </w:rPr>
              <w:t>1</w:t>
            </w:r>
          </w:p>
        </w:tc>
        <w:tc>
          <w:tcPr>
            <w:tcW w:w="992" w:type="dxa"/>
            <w:tcMar>
              <w:top w:w="0" w:type="dxa"/>
              <w:left w:w="45" w:type="dxa"/>
              <w:bottom w:w="0" w:type="dxa"/>
              <w:right w:w="45" w:type="dxa"/>
            </w:tcMar>
            <w:vAlign w:val="bottom"/>
            <w:hideMark/>
          </w:tcPr>
          <w:p w14:paraId="25B8E000" w14:textId="77777777" w:rsidR="00F8388B" w:rsidRPr="009E3821" w:rsidRDefault="00F8388B" w:rsidP="009E3821">
            <w:pPr>
              <w:jc w:val="center"/>
              <w:rPr>
                <w:rFonts w:ascii="Arial" w:hAnsi="Arial" w:cs="Arial"/>
              </w:rPr>
            </w:pPr>
            <w:r w:rsidRPr="009E3821">
              <w:rPr>
                <w:rFonts w:ascii="Arial" w:hAnsi="Arial" w:cs="Arial"/>
              </w:rPr>
              <w:t>7,0</w:t>
            </w:r>
          </w:p>
        </w:tc>
        <w:tc>
          <w:tcPr>
            <w:tcW w:w="2268" w:type="dxa"/>
            <w:vMerge/>
            <w:vAlign w:val="center"/>
            <w:hideMark/>
          </w:tcPr>
          <w:p w14:paraId="407625C2" w14:textId="77777777" w:rsidR="00F8388B" w:rsidRPr="009E3821" w:rsidRDefault="00F8388B" w:rsidP="009E3821">
            <w:pPr>
              <w:rPr>
                <w:rFonts w:ascii="Arial" w:hAnsi="Arial" w:cs="Arial"/>
              </w:rPr>
            </w:pPr>
          </w:p>
        </w:tc>
      </w:tr>
      <w:tr w:rsidR="00F8388B" w:rsidRPr="009E3821" w14:paraId="5CB3DAB1" w14:textId="77777777" w:rsidTr="009E3821">
        <w:trPr>
          <w:trHeight w:val="300"/>
          <w:jc w:val="center"/>
        </w:trPr>
        <w:tc>
          <w:tcPr>
            <w:tcW w:w="2628" w:type="dxa"/>
            <w:tcMar>
              <w:top w:w="0" w:type="dxa"/>
              <w:left w:w="45" w:type="dxa"/>
              <w:bottom w:w="0" w:type="dxa"/>
              <w:right w:w="45" w:type="dxa"/>
            </w:tcMar>
            <w:hideMark/>
          </w:tcPr>
          <w:p w14:paraId="240DD6FD" w14:textId="77777777" w:rsidR="00F8388B" w:rsidRPr="009E3821" w:rsidRDefault="00F8388B" w:rsidP="009E3821">
            <w:pPr>
              <w:rPr>
                <w:rFonts w:ascii="Arial" w:hAnsi="Arial" w:cs="Arial"/>
              </w:rPr>
            </w:pPr>
            <w:r w:rsidRPr="009E3821">
              <w:rPr>
                <w:rFonts w:ascii="Arial" w:hAnsi="Arial" w:cs="Arial"/>
              </w:rPr>
              <w:t xml:space="preserve">Sem </w:t>
            </w:r>
            <w:proofErr w:type="spellStart"/>
            <w:r w:rsidRPr="009E3821">
              <w:rPr>
                <w:rFonts w:ascii="Arial" w:hAnsi="Arial" w:cs="Arial"/>
              </w:rPr>
              <w:t>religião</w:t>
            </w:r>
            <w:proofErr w:type="spellEnd"/>
          </w:p>
        </w:tc>
        <w:tc>
          <w:tcPr>
            <w:tcW w:w="723" w:type="dxa"/>
            <w:tcMar>
              <w:top w:w="0" w:type="dxa"/>
              <w:left w:w="45" w:type="dxa"/>
              <w:bottom w:w="0" w:type="dxa"/>
              <w:right w:w="45" w:type="dxa"/>
            </w:tcMar>
            <w:vAlign w:val="bottom"/>
            <w:hideMark/>
          </w:tcPr>
          <w:p w14:paraId="41FD5E75" w14:textId="77777777" w:rsidR="00F8388B" w:rsidRPr="009E3821" w:rsidRDefault="00F8388B" w:rsidP="009E3821">
            <w:pPr>
              <w:jc w:val="center"/>
              <w:rPr>
                <w:rFonts w:ascii="Arial" w:hAnsi="Arial" w:cs="Arial"/>
              </w:rPr>
            </w:pPr>
            <w:r w:rsidRPr="009E3821">
              <w:rPr>
                <w:rFonts w:ascii="Arial" w:hAnsi="Arial" w:cs="Arial"/>
              </w:rPr>
              <w:t>2</w:t>
            </w:r>
          </w:p>
        </w:tc>
        <w:tc>
          <w:tcPr>
            <w:tcW w:w="1134" w:type="dxa"/>
            <w:tcMar>
              <w:top w:w="0" w:type="dxa"/>
              <w:left w:w="45" w:type="dxa"/>
              <w:bottom w:w="0" w:type="dxa"/>
              <w:right w:w="45" w:type="dxa"/>
            </w:tcMar>
            <w:vAlign w:val="bottom"/>
            <w:hideMark/>
          </w:tcPr>
          <w:p w14:paraId="301D9156" w14:textId="77777777" w:rsidR="00F8388B" w:rsidRPr="009E3821" w:rsidRDefault="00F8388B" w:rsidP="009E3821">
            <w:pPr>
              <w:jc w:val="center"/>
              <w:rPr>
                <w:rFonts w:ascii="Arial" w:hAnsi="Arial" w:cs="Arial"/>
              </w:rPr>
            </w:pPr>
            <w:r w:rsidRPr="009E3821">
              <w:rPr>
                <w:rFonts w:ascii="Arial" w:hAnsi="Arial" w:cs="Arial"/>
              </w:rPr>
              <w:t>1,4</w:t>
            </w:r>
          </w:p>
        </w:tc>
        <w:tc>
          <w:tcPr>
            <w:tcW w:w="567" w:type="dxa"/>
            <w:tcMar>
              <w:top w:w="0" w:type="dxa"/>
              <w:left w:w="45" w:type="dxa"/>
              <w:bottom w:w="0" w:type="dxa"/>
              <w:right w:w="45" w:type="dxa"/>
            </w:tcMar>
            <w:vAlign w:val="bottom"/>
            <w:hideMark/>
          </w:tcPr>
          <w:p w14:paraId="795D5A1E" w14:textId="77777777" w:rsidR="00F8388B" w:rsidRPr="009E3821" w:rsidRDefault="00F8388B" w:rsidP="009E3821">
            <w:pPr>
              <w:jc w:val="center"/>
              <w:rPr>
                <w:rFonts w:ascii="Arial" w:hAnsi="Arial" w:cs="Arial"/>
              </w:rPr>
            </w:pPr>
            <w:r w:rsidRPr="009E3821">
              <w:rPr>
                <w:rFonts w:ascii="Arial" w:hAnsi="Arial" w:cs="Arial"/>
              </w:rPr>
              <w:t>1</w:t>
            </w:r>
          </w:p>
        </w:tc>
        <w:tc>
          <w:tcPr>
            <w:tcW w:w="992" w:type="dxa"/>
            <w:tcMar>
              <w:top w:w="0" w:type="dxa"/>
              <w:left w:w="45" w:type="dxa"/>
              <w:bottom w:w="0" w:type="dxa"/>
              <w:right w:w="45" w:type="dxa"/>
            </w:tcMar>
            <w:vAlign w:val="bottom"/>
            <w:hideMark/>
          </w:tcPr>
          <w:p w14:paraId="0D5734DA" w14:textId="77777777" w:rsidR="00F8388B" w:rsidRPr="009E3821" w:rsidRDefault="00F8388B" w:rsidP="009E3821">
            <w:pPr>
              <w:jc w:val="center"/>
              <w:rPr>
                <w:rFonts w:ascii="Arial" w:hAnsi="Arial" w:cs="Arial"/>
              </w:rPr>
            </w:pPr>
            <w:r w:rsidRPr="009E3821">
              <w:rPr>
                <w:rFonts w:ascii="Arial" w:hAnsi="Arial" w:cs="Arial"/>
              </w:rPr>
              <w:t>7,0</w:t>
            </w:r>
          </w:p>
        </w:tc>
        <w:tc>
          <w:tcPr>
            <w:tcW w:w="2268" w:type="dxa"/>
            <w:vMerge/>
            <w:vAlign w:val="center"/>
            <w:hideMark/>
          </w:tcPr>
          <w:p w14:paraId="65933DB9" w14:textId="77777777" w:rsidR="00F8388B" w:rsidRPr="009E3821" w:rsidRDefault="00F8388B" w:rsidP="009E3821">
            <w:pPr>
              <w:rPr>
                <w:rFonts w:ascii="Arial" w:hAnsi="Arial" w:cs="Arial"/>
              </w:rPr>
            </w:pPr>
          </w:p>
        </w:tc>
      </w:tr>
      <w:tr w:rsidR="00F8388B" w:rsidRPr="009E3821" w14:paraId="570342AD" w14:textId="77777777" w:rsidTr="009E3821">
        <w:trPr>
          <w:trHeight w:val="300"/>
          <w:jc w:val="center"/>
        </w:trPr>
        <w:tc>
          <w:tcPr>
            <w:tcW w:w="2628" w:type="dxa"/>
            <w:tcMar>
              <w:top w:w="0" w:type="dxa"/>
              <w:left w:w="45" w:type="dxa"/>
              <w:bottom w:w="0" w:type="dxa"/>
              <w:right w:w="45" w:type="dxa"/>
            </w:tcMar>
            <w:hideMark/>
          </w:tcPr>
          <w:p w14:paraId="7AD99522" w14:textId="77777777" w:rsidR="00F8388B" w:rsidRPr="009E3821" w:rsidRDefault="00F8388B" w:rsidP="009E3821">
            <w:pPr>
              <w:rPr>
                <w:rFonts w:ascii="Arial" w:hAnsi="Arial" w:cs="Arial"/>
              </w:rPr>
            </w:pPr>
            <w:proofErr w:type="spellStart"/>
            <w:r w:rsidRPr="009E3821">
              <w:rPr>
                <w:rFonts w:ascii="Arial" w:hAnsi="Arial" w:cs="Arial"/>
              </w:rPr>
              <w:t>Não</w:t>
            </w:r>
            <w:proofErr w:type="spellEnd"/>
            <w:r w:rsidRPr="009E3821">
              <w:rPr>
                <w:rFonts w:ascii="Arial" w:hAnsi="Arial" w:cs="Arial"/>
              </w:rPr>
              <w:t xml:space="preserve"> </w:t>
            </w:r>
            <w:proofErr w:type="spellStart"/>
            <w:r w:rsidRPr="009E3821">
              <w:rPr>
                <w:rFonts w:ascii="Arial" w:hAnsi="Arial" w:cs="Arial"/>
              </w:rPr>
              <w:t>informado</w:t>
            </w:r>
            <w:proofErr w:type="spellEnd"/>
          </w:p>
        </w:tc>
        <w:tc>
          <w:tcPr>
            <w:tcW w:w="723" w:type="dxa"/>
            <w:tcMar>
              <w:top w:w="0" w:type="dxa"/>
              <w:left w:w="45" w:type="dxa"/>
              <w:bottom w:w="0" w:type="dxa"/>
              <w:right w:w="45" w:type="dxa"/>
            </w:tcMar>
            <w:vAlign w:val="bottom"/>
            <w:hideMark/>
          </w:tcPr>
          <w:p w14:paraId="083B3B95" w14:textId="77777777" w:rsidR="00F8388B" w:rsidRPr="009E3821" w:rsidRDefault="00F8388B" w:rsidP="009E3821">
            <w:pPr>
              <w:jc w:val="center"/>
              <w:rPr>
                <w:rFonts w:ascii="Arial" w:hAnsi="Arial" w:cs="Arial"/>
              </w:rPr>
            </w:pPr>
            <w:r w:rsidRPr="009E3821">
              <w:rPr>
                <w:rFonts w:ascii="Arial" w:hAnsi="Arial" w:cs="Arial"/>
              </w:rPr>
              <w:t>22</w:t>
            </w:r>
          </w:p>
        </w:tc>
        <w:tc>
          <w:tcPr>
            <w:tcW w:w="1134" w:type="dxa"/>
            <w:tcMar>
              <w:top w:w="0" w:type="dxa"/>
              <w:left w:w="45" w:type="dxa"/>
              <w:bottom w:w="0" w:type="dxa"/>
              <w:right w:w="45" w:type="dxa"/>
            </w:tcMar>
            <w:vAlign w:val="bottom"/>
            <w:hideMark/>
          </w:tcPr>
          <w:p w14:paraId="63696AEA" w14:textId="77777777" w:rsidR="00F8388B" w:rsidRPr="009E3821" w:rsidRDefault="00F8388B" w:rsidP="009E3821">
            <w:pPr>
              <w:jc w:val="center"/>
              <w:rPr>
                <w:rFonts w:ascii="Arial" w:hAnsi="Arial" w:cs="Arial"/>
              </w:rPr>
            </w:pPr>
            <w:r w:rsidRPr="009E3821">
              <w:rPr>
                <w:rFonts w:ascii="Arial" w:hAnsi="Arial" w:cs="Arial"/>
              </w:rPr>
              <w:t>15,4</w:t>
            </w:r>
          </w:p>
        </w:tc>
        <w:tc>
          <w:tcPr>
            <w:tcW w:w="567" w:type="dxa"/>
            <w:tcMar>
              <w:top w:w="0" w:type="dxa"/>
              <w:left w:w="45" w:type="dxa"/>
              <w:bottom w:w="0" w:type="dxa"/>
              <w:right w:w="45" w:type="dxa"/>
            </w:tcMar>
            <w:vAlign w:val="bottom"/>
            <w:hideMark/>
          </w:tcPr>
          <w:p w14:paraId="5E377E27" w14:textId="77777777" w:rsidR="00F8388B" w:rsidRPr="009E3821" w:rsidRDefault="00F8388B" w:rsidP="009E3821">
            <w:pPr>
              <w:jc w:val="center"/>
              <w:rPr>
                <w:rFonts w:ascii="Arial" w:hAnsi="Arial" w:cs="Arial"/>
              </w:rPr>
            </w:pPr>
            <w:r w:rsidRPr="009E3821">
              <w:rPr>
                <w:rFonts w:ascii="Arial" w:hAnsi="Arial" w:cs="Arial"/>
              </w:rPr>
              <w:t>32</w:t>
            </w:r>
          </w:p>
        </w:tc>
        <w:tc>
          <w:tcPr>
            <w:tcW w:w="992" w:type="dxa"/>
            <w:tcMar>
              <w:top w:w="0" w:type="dxa"/>
              <w:left w:w="45" w:type="dxa"/>
              <w:bottom w:w="0" w:type="dxa"/>
              <w:right w:w="45" w:type="dxa"/>
            </w:tcMar>
            <w:vAlign w:val="bottom"/>
            <w:hideMark/>
          </w:tcPr>
          <w:p w14:paraId="11EF94A2" w14:textId="77777777" w:rsidR="00F8388B" w:rsidRPr="009E3821" w:rsidRDefault="00F8388B" w:rsidP="009E3821">
            <w:pPr>
              <w:jc w:val="center"/>
              <w:rPr>
                <w:rFonts w:ascii="Arial" w:hAnsi="Arial" w:cs="Arial"/>
              </w:rPr>
            </w:pPr>
            <w:r w:rsidRPr="009E3821">
              <w:rPr>
                <w:rFonts w:ascii="Arial" w:hAnsi="Arial" w:cs="Arial"/>
              </w:rPr>
              <w:t>22,5</w:t>
            </w:r>
          </w:p>
        </w:tc>
        <w:tc>
          <w:tcPr>
            <w:tcW w:w="2268" w:type="dxa"/>
            <w:vMerge/>
            <w:vAlign w:val="center"/>
            <w:hideMark/>
          </w:tcPr>
          <w:p w14:paraId="2F25C4FF" w14:textId="77777777" w:rsidR="00F8388B" w:rsidRPr="009E3821" w:rsidRDefault="00F8388B" w:rsidP="009E3821">
            <w:pPr>
              <w:rPr>
                <w:rFonts w:ascii="Arial" w:hAnsi="Arial" w:cs="Arial"/>
              </w:rPr>
            </w:pPr>
          </w:p>
        </w:tc>
      </w:tr>
      <w:tr w:rsidR="00F8388B" w:rsidRPr="009E3821" w14:paraId="2B24A527" w14:textId="77777777" w:rsidTr="009E3821">
        <w:trPr>
          <w:trHeight w:val="300"/>
          <w:jc w:val="center"/>
        </w:trPr>
        <w:tc>
          <w:tcPr>
            <w:tcW w:w="2628" w:type="dxa"/>
            <w:tcMar>
              <w:top w:w="0" w:type="dxa"/>
              <w:left w:w="45" w:type="dxa"/>
              <w:bottom w:w="0" w:type="dxa"/>
              <w:right w:w="45" w:type="dxa"/>
            </w:tcMar>
            <w:hideMark/>
          </w:tcPr>
          <w:p w14:paraId="3321D119" w14:textId="77777777" w:rsidR="00F8388B" w:rsidRPr="009E3821" w:rsidRDefault="00F8388B" w:rsidP="009E3821">
            <w:pPr>
              <w:rPr>
                <w:rFonts w:ascii="Arial" w:hAnsi="Arial" w:cs="Arial"/>
                <w:b/>
              </w:rPr>
            </w:pPr>
            <w:r w:rsidRPr="009E3821">
              <w:rPr>
                <w:rFonts w:ascii="Arial" w:hAnsi="Arial" w:cs="Arial"/>
                <w:b/>
              </w:rPr>
              <w:t>Dyslipidemia</w:t>
            </w:r>
          </w:p>
        </w:tc>
        <w:tc>
          <w:tcPr>
            <w:tcW w:w="723" w:type="dxa"/>
            <w:tcMar>
              <w:top w:w="0" w:type="dxa"/>
              <w:left w:w="45" w:type="dxa"/>
              <w:bottom w:w="0" w:type="dxa"/>
              <w:right w:w="45" w:type="dxa"/>
            </w:tcMar>
            <w:vAlign w:val="bottom"/>
          </w:tcPr>
          <w:p w14:paraId="335F754A" w14:textId="77777777" w:rsidR="00F8388B" w:rsidRPr="009E3821" w:rsidRDefault="00F8388B" w:rsidP="009E3821">
            <w:pPr>
              <w:rPr>
                <w:rFonts w:ascii="Arial" w:hAnsi="Arial" w:cs="Arial"/>
              </w:rPr>
            </w:pPr>
          </w:p>
        </w:tc>
        <w:tc>
          <w:tcPr>
            <w:tcW w:w="1134" w:type="dxa"/>
            <w:tcMar>
              <w:top w:w="0" w:type="dxa"/>
              <w:left w:w="45" w:type="dxa"/>
              <w:bottom w:w="0" w:type="dxa"/>
              <w:right w:w="45" w:type="dxa"/>
            </w:tcMar>
            <w:vAlign w:val="bottom"/>
          </w:tcPr>
          <w:p w14:paraId="70235D1D" w14:textId="77777777" w:rsidR="00F8388B" w:rsidRPr="009E3821" w:rsidRDefault="00F8388B" w:rsidP="009E3821">
            <w:pPr>
              <w:rPr>
                <w:rFonts w:ascii="Arial" w:hAnsi="Arial" w:cs="Arial"/>
              </w:rPr>
            </w:pPr>
          </w:p>
        </w:tc>
        <w:tc>
          <w:tcPr>
            <w:tcW w:w="567" w:type="dxa"/>
            <w:tcMar>
              <w:top w:w="0" w:type="dxa"/>
              <w:left w:w="45" w:type="dxa"/>
              <w:bottom w:w="0" w:type="dxa"/>
              <w:right w:w="45" w:type="dxa"/>
            </w:tcMar>
            <w:vAlign w:val="bottom"/>
          </w:tcPr>
          <w:p w14:paraId="17B81B72" w14:textId="77777777" w:rsidR="00F8388B" w:rsidRPr="009E3821" w:rsidRDefault="00F8388B" w:rsidP="009E3821">
            <w:pPr>
              <w:rPr>
                <w:rFonts w:ascii="Arial" w:hAnsi="Arial" w:cs="Arial"/>
              </w:rPr>
            </w:pPr>
          </w:p>
        </w:tc>
        <w:tc>
          <w:tcPr>
            <w:tcW w:w="992" w:type="dxa"/>
            <w:tcMar>
              <w:top w:w="0" w:type="dxa"/>
              <w:left w:w="45" w:type="dxa"/>
              <w:bottom w:w="0" w:type="dxa"/>
              <w:right w:w="45" w:type="dxa"/>
            </w:tcMar>
            <w:vAlign w:val="bottom"/>
          </w:tcPr>
          <w:p w14:paraId="0D01AC46" w14:textId="77777777" w:rsidR="00F8388B" w:rsidRPr="009E3821" w:rsidRDefault="00F8388B" w:rsidP="009E3821">
            <w:pPr>
              <w:rPr>
                <w:rFonts w:ascii="Arial" w:hAnsi="Arial" w:cs="Arial"/>
              </w:rPr>
            </w:pPr>
          </w:p>
        </w:tc>
        <w:tc>
          <w:tcPr>
            <w:tcW w:w="2268" w:type="dxa"/>
            <w:tcMar>
              <w:top w:w="0" w:type="dxa"/>
              <w:left w:w="45" w:type="dxa"/>
              <w:bottom w:w="0" w:type="dxa"/>
              <w:right w:w="45" w:type="dxa"/>
            </w:tcMar>
            <w:vAlign w:val="bottom"/>
          </w:tcPr>
          <w:p w14:paraId="143AB454" w14:textId="77777777" w:rsidR="00F8388B" w:rsidRPr="009E3821" w:rsidRDefault="00F8388B" w:rsidP="009E3821">
            <w:pPr>
              <w:rPr>
                <w:rFonts w:ascii="Arial" w:hAnsi="Arial" w:cs="Arial"/>
              </w:rPr>
            </w:pPr>
          </w:p>
        </w:tc>
      </w:tr>
      <w:tr w:rsidR="00F8388B" w:rsidRPr="009E3821" w14:paraId="07669507" w14:textId="77777777" w:rsidTr="009E3821">
        <w:trPr>
          <w:trHeight w:val="300"/>
          <w:jc w:val="center"/>
        </w:trPr>
        <w:tc>
          <w:tcPr>
            <w:tcW w:w="2628" w:type="dxa"/>
            <w:tcMar>
              <w:top w:w="0" w:type="dxa"/>
              <w:left w:w="45" w:type="dxa"/>
              <w:bottom w:w="0" w:type="dxa"/>
              <w:right w:w="45" w:type="dxa"/>
            </w:tcMar>
            <w:hideMark/>
          </w:tcPr>
          <w:p w14:paraId="37E08A35" w14:textId="77777777" w:rsidR="00F8388B" w:rsidRPr="009E3821" w:rsidRDefault="00F8388B" w:rsidP="009E3821">
            <w:pPr>
              <w:rPr>
                <w:rFonts w:ascii="Arial" w:hAnsi="Arial" w:cs="Arial"/>
              </w:rPr>
            </w:pPr>
            <w:r w:rsidRPr="009E3821">
              <w:rPr>
                <w:rFonts w:ascii="Arial" w:hAnsi="Arial" w:cs="Arial"/>
              </w:rPr>
              <w:t>Yes</w:t>
            </w:r>
          </w:p>
        </w:tc>
        <w:tc>
          <w:tcPr>
            <w:tcW w:w="723" w:type="dxa"/>
            <w:tcMar>
              <w:top w:w="0" w:type="dxa"/>
              <w:left w:w="45" w:type="dxa"/>
              <w:bottom w:w="0" w:type="dxa"/>
              <w:right w:w="45" w:type="dxa"/>
            </w:tcMar>
            <w:vAlign w:val="bottom"/>
            <w:hideMark/>
          </w:tcPr>
          <w:p w14:paraId="3C22E035" w14:textId="77777777" w:rsidR="00F8388B" w:rsidRPr="009E3821" w:rsidRDefault="00F8388B" w:rsidP="009E3821">
            <w:pPr>
              <w:jc w:val="center"/>
              <w:rPr>
                <w:rFonts w:ascii="Arial" w:hAnsi="Arial" w:cs="Arial"/>
              </w:rPr>
            </w:pPr>
            <w:r w:rsidRPr="009E3821">
              <w:rPr>
                <w:rFonts w:ascii="Arial" w:hAnsi="Arial" w:cs="Arial"/>
              </w:rPr>
              <w:t>12</w:t>
            </w:r>
          </w:p>
        </w:tc>
        <w:tc>
          <w:tcPr>
            <w:tcW w:w="1134" w:type="dxa"/>
            <w:tcMar>
              <w:top w:w="0" w:type="dxa"/>
              <w:left w:w="45" w:type="dxa"/>
              <w:bottom w:w="0" w:type="dxa"/>
              <w:right w:w="45" w:type="dxa"/>
            </w:tcMar>
            <w:vAlign w:val="bottom"/>
            <w:hideMark/>
          </w:tcPr>
          <w:p w14:paraId="210019A3" w14:textId="77777777" w:rsidR="00F8388B" w:rsidRPr="009E3821" w:rsidRDefault="00F8388B" w:rsidP="009E3821">
            <w:pPr>
              <w:jc w:val="center"/>
              <w:rPr>
                <w:rFonts w:ascii="Arial" w:hAnsi="Arial" w:cs="Arial"/>
              </w:rPr>
            </w:pPr>
            <w:r w:rsidRPr="009E3821">
              <w:rPr>
                <w:rFonts w:ascii="Arial" w:hAnsi="Arial" w:cs="Arial"/>
              </w:rPr>
              <w:t>8,4</w:t>
            </w:r>
          </w:p>
        </w:tc>
        <w:tc>
          <w:tcPr>
            <w:tcW w:w="567" w:type="dxa"/>
            <w:tcMar>
              <w:top w:w="0" w:type="dxa"/>
              <w:left w:w="45" w:type="dxa"/>
              <w:bottom w:w="0" w:type="dxa"/>
              <w:right w:w="45" w:type="dxa"/>
            </w:tcMar>
            <w:vAlign w:val="bottom"/>
            <w:hideMark/>
          </w:tcPr>
          <w:p w14:paraId="1BE44787" w14:textId="77777777" w:rsidR="00F8388B" w:rsidRPr="009E3821" w:rsidRDefault="00F8388B" w:rsidP="009E3821">
            <w:pPr>
              <w:jc w:val="center"/>
              <w:rPr>
                <w:rFonts w:ascii="Arial" w:hAnsi="Arial" w:cs="Arial"/>
              </w:rPr>
            </w:pPr>
            <w:r w:rsidRPr="009E3821">
              <w:rPr>
                <w:rFonts w:ascii="Arial" w:hAnsi="Arial" w:cs="Arial"/>
              </w:rPr>
              <w:t>13</w:t>
            </w:r>
          </w:p>
        </w:tc>
        <w:tc>
          <w:tcPr>
            <w:tcW w:w="992" w:type="dxa"/>
            <w:tcMar>
              <w:top w:w="0" w:type="dxa"/>
              <w:left w:w="45" w:type="dxa"/>
              <w:bottom w:w="0" w:type="dxa"/>
              <w:right w:w="45" w:type="dxa"/>
            </w:tcMar>
            <w:vAlign w:val="bottom"/>
            <w:hideMark/>
          </w:tcPr>
          <w:p w14:paraId="1F98BA32" w14:textId="77777777" w:rsidR="00F8388B" w:rsidRPr="009E3821" w:rsidRDefault="00F8388B" w:rsidP="009E3821">
            <w:pPr>
              <w:jc w:val="center"/>
              <w:rPr>
                <w:rFonts w:ascii="Arial" w:hAnsi="Arial" w:cs="Arial"/>
              </w:rPr>
            </w:pPr>
            <w:r w:rsidRPr="009E3821">
              <w:rPr>
                <w:rFonts w:ascii="Arial" w:hAnsi="Arial" w:cs="Arial"/>
              </w:rPr>
              <w:t>9,2</w:t>
            </w:r>
          </w:p>
        </w:tc>
        <w:tc>
          <w:tcPr>
            <w:tcW w:w="2268" w:type="dxa"/>
            <w:vMerge w:val="restart"/>
            <w:tcMar>
              <w:top w:w="0" w:type="dxa"/>
              <w:left w:w="45" w:type="dxa"/>
              <w:bottom w:w="0" w:type="dxa"/>
              <w:right w:w="45" w:type="dxa"/>
            </w:tcMar>
            <w:vAlign w:val="center"/>
            <w:hideMark/>
          </w:tcPr>
          <w:p w14:paraId="412BD3D3" w14:textId="77777777" w:rsidR="00F8388B" w:rsidRPr="009E3821" w:rsidRDefault="00F8388B" w:rsidP="009E3821">
            <w:pPr>
              <w:jc w:val="center"/>
              <w:rPr>
                <w:rFonts w:ascii="Arial" w:hAnsi="Arial" w:cs="Arial"/>
              </w:rPr>
            </w:pPr>
            <w:r w:rsidRPr="009E3821">
              <w:rPr>
                <w:rFonts w:ascii="Arial" w:hAnsi="Arial" w:cs="Arial"/>
              </w:rPr>
              <w:t>X</w:t>
            </w:r>
            <w:r w:rsidRPr="009E3821">
              <w:rPr>
                <w:rFonts w:ascii="Arial" w:hAnsi="Arial" w:cs="Arial"/>
                <w:vertAlign w:val="superscript"/>
              </w:rPr>
              <w:t>2</w:t>
            </w:r>
            <w:r w:rsidRPr="009E3821">
              <w:rPr>
                <w:rFonts w:ascii="Arial" w:hAnsi="Arial" w:cs="Arial"/>
              </w:rPr>
              <w:t>= 0,052;</w:t>
            </w:r>
          </w:p>
          <w:p w14:paraId="496A2051" w14:textId="77777777" w:rsidR="00F8388B" w:rsidRPr="009E3821" w:rsidRDefault="00F8388B" w:rsidP="009E3821">
            <w:pPr>
              <w:jc w:val="center"/>
              <w:rPr>
                <w:rFonts w:ascii="Arial" w:hAnsi="Arial" w:cs="Arial"/>
              </w:rPr>
            </w:pPr>
            <w:r w:rsidRPr="009E3821">
              <w:rPr>
                <w:rFonts w:ascii="Arial" w:hAnsi="Arial" w:cs="Arial"/>
              </w:rPr>
              <w:t>p= 0,493</w:t>
            </w:r>
          </w:p>
        </w:tc>
      </w:tr>
      <w:tr w:rsidR="00F8388B" w:rsidRPr="009E3821" w14:paraId="6526C271" w14:textId="77777777" w:rsidTr="009E3821">
        <w:trPr>
          <w:trHeight w:val="300"/>
          <w:jc w:val="center"/>
        </w:trPr>
        <w:tc>
          <w:tcPr>
            <w:tcW w:w="2628" w:type="dxa"/>
            <w:tcMar>
              <w:top w:w="0" w:type="dxa"/>
              <w:left w:w="45" w:type="dxa"/>
              <w:bottom w:w="0" w:type="dxa"/>
              <w:right w:w="45" w:type="dxa"/>
            </w:tcMar>
            <w:hideMark/>
          </w:tcPr>
          <w:p w14:paraId="056FD99B" w14:textId="77777777" w:rsidR="00F8388B" w:rsidRPr="009E3821" w:rsidRDefault="00F8388B" w:rsidP="009E3821">
            <w:pPr>
              <w:rPr>
                <w:rFonts w:ascii="Arial" w:hAnsi="Arial" w:cs="Arial"/>
              </w:rPr>
            </w:pPr>
            <w:r w:rsidRPr="009E3821">
              <w:rPr>
                <w:rFonts w:ascii="Arial" w:hAnsi="Arial" w:cs="Arial"/>
              </w:rPr>
              <w:t>No</w:t>
            </w:r>
          </w:p>
        </w:tc>
        <w:tc>
          <w:tcPr>
            <w:tcW w:w="723" w:type="dxa"/>
            <w:tcMar>
              <w:top w:w="0" w:type="dxa"/>
              <w:left w:w="45" w:type="dxa"/>
              <w:bottom w:w="0" w:type="dxa"/>
              <w:right w:w="45" w:type="dxa"/>
            </w:tcMar>
            <w:vAlign w:val="bottom"/>
            <w:hideMark/>
          </w:tcPr>
          <w:p w14:paraId="2EFBBB4B" w14:textId="77777777" w:rsidR="00F8388B" w:rsidRPr="009E3821" w:rsidRDefault="00F8388B" w:rsidP="009E3821">
            <w:pPr>
              <w:jc w:val="center"/>
              <w:rPr>
                <w:rFonts w:ascii="Arial" w:hAnsi="Arial" w:cs="Arial"/>
              </w:rPr>
            </w:pPr>
            <w:r w:rsidRPr="009E3821">
              <w:rPr>
                <w:rFonts w:ascii="Arial" w:hAnsi="Arial" w:cs="Arial"/>
              </w:rPr>
              <w:t>131</w:t>
            </w:r>
          </w:p>
        </w:tc>
        <w:tc>
          <w:tcPr>
            <w:tcW w:w="1134" w:type="dxa"/>
            <w:tcMar>
              <w:top w:w="0" w:type="dxa"/>
              <w:left w:w="45" w:type="dxa"/>
              <w:bottom w:w="0" w:type="dxa"/>
              <w:right w:w="45" w:type="dxa"/>
            </w:tcMar>
            <w:vAlign w:val="bottom"/>
            <w:hideMark/>
          </w:tcPr>
          <w:p w14:paraId="0A4CF7A1" w14:textId="77777777" w:rsidR="00F8388B" w:rsidRPr="009E3821" w:rsidRDefault="00F8388B" w:rsidP="009E3821">
            <w:pPr>
              <w:jc w:val="center"/>
              <w:rPr>
                <w:rFonts w:ascii="Arial" w:hAnsi="Arial" w:cs="Arial"/>
              </w:rPr>
            </w:pPr>
            <w:r w:rsidRPr="009E3821">
              <w:rPr>
                <w:rFonts w:ascii="Arial" w:hAnsi="Arial" w:cs="Arial"/>
              </w:rPr>
              <w:t>91,6</w:t>
            </w:r>
          </w:p>
        </w:tc>
        <w:tc>
          <w:tcPr>
            <w:tcW w:w="567" w:type="dxa"/>
            <w:tcMar>
              <w:top w:w="0" w:type="dxa"/>
              <w:left w:w="45" w:type="dxa"/>
              <w:bottom w:w="0" w:type="dxa"/>
              <w:right w:w="45" w:type="dxa"/>
            </w:tcMar>
            <w:vAlign w:val="bottom"/>
            <w:hideMark/>
          </w:tcPr>
          <w:p w14:paraId="45C484A0" w14:textId="77777777" w:rsidR="00F8388B" w:rsidRPr="009E3821" w:rsidRDefault="00F8388B" w:rsidP="009E3821">
            <w:pPr>
              <w:jc w:val="center"/>
              <w:rPr>
                <w:rFonts w:ascii="Arial" w:hAnsi="Arial" w:cs="Arial"/>
              </w:rPr>
            </w:pPr>
            <w:r w:rsidRPr="009E3821">
              <w:rPr>
                <w:rFonts w:ascii="Arial" w:hAnsi="Arial" w:cs="Arial"/>
              </w:rPr>
              <w:t>129</w:t>
            </w:r>
          </w:p>
        </w:tc>
        <w:tc>
          <w:tcPr>
            <w:tcW w:w="992" w:type="dxa"/>
            <w:tcMar>
              <w:top w:w="0" w:type="dxa"/>
              <w:left w:w="45" w:type="dxa"/>
              <w:bottom w:w="0" w:type="dxa"/>
              <w:right w:w="45" w:type="dxa"/>
            </w:tcMar>
            <w:vAlign w:val="bottom"/>
            <w:hideMark/>
          </w:tcPr>
          <w:p w14:paraId="1F20BD40" w14:textId="77777777" w:rsidR="00F8388B" w:rsidRPr="009E3821" w:rsidRDefault="00F8388B" w:rsidP="009E3821">
            <w:pPr>
              <w:jc w:val="center"/>
              <w:rPr>
                <w:rFonts w:ascii="Arial" w:hAnsi="Arial" w:cs="Arial"/>
              </w:rPr>
            </w:pPr>
            <w:r w:rsidRPr="009E3821">
              <w:rPr>
                <w:rFonts w:ascii="Arial" w:hAnsi="Arial" w:cs="Arial"/>
              </w:rPr>
              <w:t>90,8</w:t>
            </w:r>
          </w:p>
        </w:tc>
        <w:tc>
          <w:tcPr>
            <w:tcW w:w="2268" w:type="dxa"/>
            <w:vMerge/>
            <w:vAlign w:val="center"/>
            <w:hideMark/>
          </w:tcPr>
          <w:p w14:paraId="460912E5" w14:textId="77777777" w:rsidR="00F8388B" w:rsidRPr="009E3821" w:rsidRDefault="00F8388B" w:rsidP="009E3821">
            <w:pPr>
              <w:rPr>
                <w:rFonts w:ascii="Arial" w:hAnsi="Arial" w:cs="Arial"/>
              </w:rPr>
            </w:pPr>
          </w:p>
        </w:tc>
      </w:tr>
      <w:tr w:rsidR="00F8388B" w:rsidRPr="009E3821" w14:paraId="3C7D3C14" w14:textId="77777777" w:rsidTr="009E3821">
        <w:trPr>
          <w:trHeight w:val="300"/>
          <w:jc w:val="center"/>
        </w:trPr>
        <w:tc>
          <w:tcPr>
            <w:tcW w:w="2628" w:type="dxa"/>
            <w:tcMar>
              <w:top w:w="0" w:type="dxa"/>
              <w:left w:w="45" w:type="dxa"/>
              <w:bottom w:w="0" w:type="dxa"/>
              <w:right w:w="45" w:type="dxa"/>
            </w:tcMar>
            <w:hideMark/>
          </w:tcPr>
          <w:p w14:paraId="1AFE4E6E" w14:textId="77777777" w:rsidR="00F8388B" w:rsidRPr="009E3821" w:rsidRDefault="00F8388B" w:rsidP="009E3821">
            <w:pPr>
              <w:rPr>
                <w:rFonts w:ascii="Arial" w:hAnsi="Arial" w:cs="Arial"/>
                <w:b/>
              </w:rPr>
            </w:pPr>
            <w:r w:rsidRPr="009E3821">
              <w:rPr>
                <w:rFonts w:ascii="Arial" w:hAnsi="Arial" w:cs="Arial"/>
                <w:b/>
              </w:rPr>
              <w:t>Systemic Arterial Hypertension</w:t>
            </w:r>
          </w:p>
        </w:tc>
        <w:tc>
          <w:tcPr>
            <w:tcW w:w="723" w:type="dxa"/>
            <w:tcMar>
              <w:top w:w="0" w:type="dxa"/>
              <w:left w:w="45" w:type="dxa"/>
              <w:bottom w:w="0" w:type="dxa"/>
              <w:right w:w="45" w:type="dxa"/>
            </w:tcMar>
            <w:vAlign w:val="bottom"/>
          </w:tcPr>
          <w:p w14:paraId="2913A296" w14:textId="77777777" w:rsidR="00F8388B" w:rsidRPr="009E3821" w:rsidRDefault="00F8388B" w:rsidP="009E3821">
            <w:pPr>
              <w:rPr>
                <w:rFonts w:ascii="Arial" w:hAnsi="Arial" w:cs="Arial"/>
              </w:rPr>
            </w:pPr>
          </w:p>
        </w:tc>
        <w:tc>
          <w:tcPr>
            <w:tcW w:w="1134" w:type="dxa"/>
            <w:tcMar>
              <w:top w:w="0" w:type="dxa"/>
              <w:left w:w="45" w:type="dxa"/>
              <w:bottom w:w="0" w:type="dxa"/>
              <w:right w:w="45" w:type="dxa"/>
            </w:tcMar>
            <w:vAlign w:val="bottom"/>
          </w:tcPr>
          <w:p w14:paraId="7151190D" w14:textId="77777777" w:rsidR="00F8388B" w:rsidRPr="009E3821" w:rsidRDefault="00F8388B" w:rsidP="009E3821">
            <w:pPr>
              <w:rPr>
                <w:rFonts w:ascii="Arial" w:hAnsi="Arial" w:cs="Arial"/>
              </w:rPr>
            </w:pPr>
          </w:p>
        </w:tc>
        <w:tc>
          <w:tcPr>
            <w:tcW w:w="567" w:type="dxa"/>
            <w:tcMar>
              <w:top w:w="0" w:type="dxa"/>
              <w:left w:w="45" w:type="dxa"/>
              <w:bottom w:w="0" w:type="dxa"/>
              <w:right w:w="45" w:type="dxa"/>
            </w:tcMar>
            <w:vAlign w:val="bottom"/>
          </w:tcPr>
          <w:p w14:paraId="4F3AE947" w14:textId="77777777" w:rsidR="00F8388B" w:rsidRPr="009E3821" w:rsidRDefault="00F8388B" w:rsidP="009E3821">
            <w:pPr>
              <w:rPr>
                <w:rFonts w:ascii="Arial" w:hAnsi="Arial" w:cs="Arial"/>
              </w:rPr>
            </w:pPr>
          </w:p>
        </w:tc>
        <w:tc>
          <w:tcPr>
            <w:tcW w:w="992" w:type="dxa"/>
            <w:tcMar>
              <w:top w:w="0" w:type="dxa"/>
              <w:left w:w="45" w:type="dxa"/>
              <w:bottom w:w="0" w:type="dxa"/>
              <w:right w:w="45" w:type="dxa"/>
            </w:tcMar>
            <w:vAlign w:val="bottom"/>
          </w:tcPr>
          <w:p w14:paraId="221435D1" w14:textId="77777777" w:rsidR="00F8388B" w:rsidRPr="009E3821" w:rsidRDefault="00F8388B" w:rsidP="009E3821">
            <w:pPr>
              <w:rPr>
                <w:rFonts w:ascii="Arial" w:hAnsi="Arial" w:cs="Arial"/>
              </w:rPr>
            </w:pPr>
          </w:p>
        </w:tc>
        <w:tc>
          <w:tcPr>
            <w:tcW w:w="2268" w:type="dxa"/>
            <w:tcMar>
              <w:top w:w="0" w:type="dxa"/>
              <w:left w:w="45" w:type="dxa"/>
              <w:bottom w:w="0" w:type="dxa"/>
              <w:right w:w="45" w:type="dxa"/>
            </w:tcMar>
            <w:vAlign w:val="bottom"/>
          </w:tcPr>
          <w:p w14:paraId="7C61516A" w14:textId="77777777" w:rsidR="00F8388B" w:rsidRPr="009E3821" w:rsidRDefault="00F8388B" w:rsidP="009E3821">
            <w:pPr>
              <w:rPr>
                <w:rFonts w:ascii="Arial" w:hAnsi="Arial" w:cs="Arial"/>
              </w:rPr>
            </w:pPr>
          </w:p>
        </w:tc>
      </w:tr>
      <w:tr w:rsidR="00F8388B" w:rsidRPr="009E3821" w14:paraId="44E22207" w14:textId="77777777" w:rsidTr="009E3821">
        <w:trPr>
          <w:trHeight w:val="300"/>
          <w:jc w:val="center"/>
        </w:trPr>
        <w:tc>
          <w:tcPr>
            <w:tcW w:w="2628" w:type="dxa"/>
            <w:tcMar>
              <w:top w:w="0" w:type="dxa"/>
              <w:left w:w="45" w:type="dxa"/>
              <w:bottom w:w="0" w:type="dxa"/>
              <w:right w:w="45" w:type="dxa"/>
            </w:tcMar>
            <w:hideMark/>
          </w:tcPr>
          <w:p w14:paraId="2B76ACC0" w14:textId="77777777" w:rsidR="00F8388B" w:rsidRPr="009E3821" w:rsidRDefault="00F8388B" w:rsidP="009E3821">
            <w:pPr>
              <w:rPr>
                <w:rFonts w:ascii="Arial" w:hAnsi="Arial" w:cs="Arial"/>
              </w:rPr>
            </w:pPr>
            <w:r w:rsidRPr="009E3821">
              <w:rPr>
                <w:rFonts w:ascii="Arial" w:hAnsi="Arial" w:cs="Arial"/>
              </w:rPr>
              <w:t>Yes</w:t>
            </w:r>
          </w:p>
        </w:tc>
        <w:tc>
          <w:tcPr>
            <w:tcW w:w="723" w:type="dxa"/>
            <w:tcMar>
              <w:top w:w="0" w:type="dxa"/>
              <w:left w:w="45" w:type="dxa"/>
              <w:bottom w:w="0" w:type="dxa"/>
              <w:right w:w="45" w:type="dxa"/>
            </w:tcMar>
            <w:vAlign w:val="bottom"/>
            <w:hideMark/>
          </w:tcPr>
          <w:p w14:paraId="02CE014B" w14:textId="77777777" w:rsidR="00F8388B" w:rsidRPr="009E3821" w:rsidRDefault="00F8388B" w:rsidP="009E3821">
            <w:pPr>
              <w:jc w:val="center"/>
              <w:rPr>
                <w:rFonts w:ascii="Arial" w:hAnsi="Arial" w:cs="Arial"/>
              </w:rPr>
            </w:pPr>
            <w:r w:rsidRPr="009E3821">
              <w:rPr>
                <w:rFonts w:ascii="Arial" w:hAnsi="Arial" w:cs="Arial"/>
              </w:rPr>
              <w:t>60</w:t>
            </w:r>
          </w:p>
        </w:tc>
        <w:tc>
          <w:tcPr>
            <w:tcW w:w="1134" w:type="dxa"/>
            <w:tcMar>
              <w:top w:w="0" w:type="dxa"/>
              <w:left w:w="45" w:type="dxa"/>
              <w:bottom w:w="0" w:type="dxa"/>
              <w:right w:w="45" w:type="dxa"/>
            </w:tcMar>
            <w:vAlign w:val="bottom"/>
            <w:hideMark/>
          </w:tcPr>
          <w:p w14:paraId="34144EEC" w14:textId="77777777" w:rsidR="00F8388B" w:rsidRPr="009E3821" w:rsidRDefault="00F8388B" w:rsidP="009E3821">
            <w:pPr>
              <w:jc w:val="center"/>
              <w:rPr>
                <w:rFonts w:ascii="Arial" w:hAnsi="Arial" w:cs="Arial"/>
              </w:rPr>
            </w:pPr>
            <w:r w:rsidRPr="009E3821">
              <w:rPr>
                <w:rFonts w:ascii="Arial" w:hAnsi="Arial" w:cs="Arial"/>
              </w:rPr>
              <w:t>42,0</w:t>
            </w:r>
          </w:p>
        </w:tc>
        <w:tc>
          <w:tcPr>
            <w:tcW w:w="567" w:type="dxa"/>
            <w:tcMar>
              <w:top w:w="0" w:type="dxa"/>
              <w:left w:w="45" w:type="dxa"/>
              <w:bottom w:w="0" w:type="dxa"/>
              <w:right w:w="45" w:type="dxa"/>
            </w:tcMar>
            <w:vAlign w:val="bottom"/>
            <w:hideMark/>
          </w:tcPr>
          <w:p w14:paraId="0A2481D1" w14:textId="77777777" w:rsidR="00F8388B" w:rsidRPr="009E3821" w:rsidRDefault="00F8388B" w:rsidP="009E3821">
            <w:pPr>
              <w:jc w:val="center"/>
              <w:rPr>
                <w:rFonts w:ascii="Arial" w:hAnsi="Arial" w:cs="Arial"/>
              </w:rPr>
            </w:pPr>
            <w:r w:rsidRPr="009E3821">
              <w:rPr>
                <w:rFonts w:ascii="Arial" w:hAnsi="Arial" w:cs="Arial"/>
              </w:rPr>
              <w:t>71</w:t>
            </w:r>
          </w:p>
        </w:tc>
        <w:tc>
          <w:tcPr>
            <w:tcW w:w="992" w:type="dxa"/>
            <w:tcMar>
              <w:top w:w="0" w:type="dxa"/>
              <w:left w:w="45" w:type="dxa"/>
              <w:bottom w:w="0" w:type="dxa"/>
              <w:right w:w="45" w:type="dxa"/>
            </w:tcMar>
            <w:vAlign w:val="bottom"/>
            <w:hideMark/>
          </w:tcPr>
          <w:p w14:paraId="3594DD62" w14:textId="77777777" w:rsidR="00F8388B" w:rsidRPr="009E3821" w:rsidRDefault="00F8388B" w:rsidP="009E3821">
            <w:pPr>
              <w:jc w:val="center"/>
              <w:rPr>
                <w:rFonts w:ascii="Arial" w:hAnsi="Arial" w:cs="Arial"/>
              </w:rPr>
            </w:pPr>
            <w:r w:rsidRPr="009E3821">
              <w:rPr>
                <w:rFonts w:ascii="Arial" w:hAnsi="Arial" w:cs="Arial"/>
              </w:rPr>
              <w:t>50,0</w:t>
            </w:r>
          </w:p>
        </w:tc>
        <w:tc>
          <w:tcPr>
            <w:tcW w:w="2268" w:type="dxa"/>
            <w:vMerge w:val="restart"/>
            <w:tcMar>
              <w:top w:w="0" w:type="dxa"/>
              <w:left w:w="45" w:type="dxa"/>
              <w:bottom w:w="0" w:type="dxa"/>
              <w:right w:w="45" w:type="dxa"/>
            </w:tcMar>
            <w:vAlign w:val="center"/>
            <w:hideMark/>
          </w:tcPr>
          <w:p w14:paraId="2AFDC3C2" w14:textId="77777777" w:rsidR="00F8388B" w:rsidRPr="009E3821" w:rsidRDefault="00F8388B" w:rsidP="009E3821">
            <w:pPr>
              <w:jc w:val="center"/>
              <w:rPr>
                <w:rFonts w:ascii="Arial" w:hAnsi="Arial" w:cs="Arial"/>
              </w:rPr>
            </w:pPr>
            <w:r w:rsidRPr="009E3821">
              <w:rPr>
                <w:rFonts w:ascii="Arial" w:hAnsi="Arial" w:cs="Arial"/>
              </w:rPr>
              <w:t>X</w:t>
            </w:r>
            <w:r w:rsidRPr="009E3821">
              <w:rPr>
                <w:rFonts w:ascii="Arial" w:hAnsi="Arial" w:cs="Arial"/>
                <w:vertAlign w:val="superscript"/>
              </w:rPr>
              <w:t>2</w:t>
            </w:r>
            <w:r w:rsidRPr="009E3821">
              <w:rPr>
                <w:rFonts w:ascii="Arial" w:hAnsi="Arial" w:cs="Arial"/>
              </w:rPr>
              <w:t xml:space="preserve">=1,855; </w:t>
            </w:r>
          </w:p>
          <w:p w14:paraId="644BA412" w14:textId="77777777" w:rsidR="00F8388B" w:rsidRPr="009E3821" w:rsidRDefault="00F8388B" w:rsidP="009E3821">
            <w:pPr>
              <w:jc w:val="center"/>
              <w:rPr>
                <w:rFonts w:ascii="Arial" w:hAnsi="Arial" w:cs="Arial"/>
              </w:rPr>
            </w:pPr>
            <w:r w:rsidRPr="009E3821">
              <w:rPr>
                <w:rFonts w:ascii="Arial" w:hAnsi="Arial" w:cs="Arial"/>
              </w:rPr>
              <w:t>p= 0,107</w:t>
            </w:r>
          </w:p>
        </w:tc>
      </w:tr>
      <w:tr w:rsidR="00F8388B" w:rsidRPr="009E3821" w14:paraId="7553A0AB" w14:textId="77777777" w:rsidTr="009E3821">
        <w:trPr>
          <w:trHeight w:val="300"/>
          <w:jc w:val="center"/>
        </w:trPr>
        <w:tc>
          <w:tcPr>
            <w:tcW w:w="2628" w:type="dxa"/>
            <w:tcMar>
              <w:top w:w="0" w:type="dxa"/>
              <w:left w:w="45" w:type="dxa"/>
              <w:bottom w:w="0" w:type="dxa"/>
              <w:right w:w="45" w:type="dxa"/>
            </w:tcMar>
            <w:hideMark/>
          </w:tcPr>
          <w:p w14:paraId="32403811" w14:textId="77777777" w:rsidR="00F8388B" w:rsidRPr="009E3821" w:rsidRDefault="00F8388B" w:rsidP="009E3821">
            <w:pPr>
              <w:rPr>
                <w:rFonts w:ascii="Arial" w:hAnsi="Arial" w:cs="Arial"/>
              </w:rPr>
            </w:pPr>
            <w:r w:rsidRPr="009E3821">
              <w:rPr>
                <w:rFonts w:ascii="Arial" w:hAnsi="Arial" w:cs="Arial"/>
              </w:rPr>
              <w:t>No</w:t>
            </w:r>
          </w:p>
        </w:tc>
        <w:tc>
          <w:tcPr>
            <w:tcW w:w="723" w:type="dxa"/>
            <w:tcMar>
              <w:top w:w="0" w:type="dxa"/>
              <w:left w:w="45" w:type="dxa"/>
              <w:bottom w:w="0" w:type="dxa"/>
              <w:right w:w="45" w:type="dxa"/>
            </w:tcMar>
            <w:vAlign w:val="bottom"/>
            <w:hideMark/>
          </w:tcPr>
          <w:p w14:paraId="64B3AFA0" w14:textId="77777777" w:rsidR="00F8388B" w:rsidRPr="009E3821" w:rsidRDefault="00F8388B" w:rsidP="009E3821">
            <w:pPr>
              <w:jc w:val="center"/>
              <w:rPr>
                <w:rFonts w:ascii="Arial" w:hAnsi="Arial" w:cs="Arial"/>
              </w:rPr>
            </w:pPr>
            <w:r w:rsidRPr="009E3821">
              <w:rPr>
                <w:rFonts w:ascii="Arial" w:hAnsi="Arial" w:cs="Arial"/>
              </w:rPr>
              <w:t>83</w:t>
            </w:r>
          </w:p>
        </w:tc>
        <w:tc>
          <w:tcPr>
            <w:tcW w:w="1134" w:type="dxa"/>
            <w:tcMar>
              <w:top w:w="0" w:type="dxa"/>
              <w:left w:w="45" w:type="dxa"/>
              <w:bottom w:w="0" w:type="dxa"/>
              <w:right w:w="45" w:type="dxa"/>
            </w:tcMar>
            <w:vAlign w:val="bottom"/>
            <w:hideMark/>
          </w:tcPr>
          <w:p w14:paraId="5C6589F4" w14:textId="77777777" w:rsidR="00F8388B" w:rsidRPr="009E3821" w:rsidRDefault="00F8388B" w:rsidP="009E3821">
            <w:pPr>
              <w:jc w:val="center"/>
              <w:rPr>
                <w:rFonts w:ascii="Arial" w:hAnsi="Arial" w:cs="Arial"/>
              </w:rPr>
            </w:pPr>
            <w:r w:rsidRPr="009E3821">
              <w:rPr>
                <w:rFonts w:ascii="Arial" w:hAnsi="Arial" w:cs="Arial"/>
              </w:rPr>
              <w:t>58,0</w:t>
            </w:r>
          </w:p>
        </w:tc>
        <w:tc>
          <w:tcPr>
            <w:tcW w:w="567" w:type="dxa"/>
            <w:tcMar>
              <w:top w:w="0" w:type="dxa"/>
              <w:left w:w="45" w:type="dxa"/>
              <w:bottom w:w="0" w:type="dxa"/>
              <w:right w:w="45" w:type="dxa"/>
            </w:tcMar>
            <w:vAlign w:val="bottom"/>
            <w:hideMark/>
          </w:tcPr>
          <w:p w14:paraId="3E6A4702" w14:textId="77777777" w:rsidR="00F8388B" w:rsidRPr="009E3821" w:rsidRDefault="00F8388B" w:rsidP="009E3821">
            <w:pPr>
              <w:jc w:val="center"/>
              <w:rPr>
                <w:rFonts w:ascii="Arial" w:hAnsi="Arial" w:cs="Arial"/>
              </w:rPr>
            </w:pPr>
            <w:r w:rsidRPr="009E3821">
              <w:rPr>
                <w:rFonts w:ascii="Arial" w:hAnsi="Arial" w:cs="Arial"/>
              </w:rPr>
              <w:t>71</w:t>
            </w:r>
          </w:p>
        </w:tc>
        <w:tc>
          <w:tcPr>
            <w:tcW w:w="992" w:type="dxa"/>
            <w:tcMar>
              <w:top w:w="0" w:type="dxa"/>
              <w:left w:w="45" w:type="dxa"/>
              <w:bottom w:w="0" w:type="dxa"/>
              <w:right w:w="45" w:type="dxa"/>
            </w:tcMar>
            <w:vAlign w:val="bottom"/>
            <w:hideMark/>
          </w:tcPr>
          <w:p w14:paraId="0E32EAC0" w14:textId="77777777" w:rsidR="00F8388B" w:rsidRPr="009E3821" w:rsidRDefault="00F8388B" w:rsidP="009E3821">
            <w:pPr>
              <w:jc w:val="center"/>
              <w:rPr>
                <w:rFonts w:ascii="Arial" w:hAnsi="Arial" w:cs="Arial"/>
              </w:rPr>
            </w:pPr>
            <w:r w:rsidRPr="009E3821">
              <w:rPr>
                <w:rFonts w:ascii="Arial" w:hAnsi="Arial" w:cs="Arial"/>
              </w:rPr>
              <w:t>50,0</w:t>
            </w:r>
          </w:p>
        </w:tc>
        <w:tc>
          <w:tcPr>
            <w:tcW w:w="2268" w:type="dxa"/>
            <w:vMerge/>
            <w:vAlign w:val="center"/>
            <w:hideMark/>
          </w:tcPr>
          <w:p w14:paraId="5264851E" w14:textId="77777777" w:rsidR="00F8388B" w:rsidRPr="009E3821" w:rsidRDefault="00F8388B" w:rsidP="009E3821">
            <w:pPr>
              <w:rPr>
                <w:rFonts w:ascii="Arial" w:hAnsi="Arial" w:cs="Arial"/>
              </w:rPr>
            </w:pPr>
          </w:p>
        </w:tc>
      </w:tr>
      <w:tr w:rsidR="00F8388B" w:rsidRPr="009E3821" w14:paraId="3CABF41F" w14:textId="77777777" w:rsidTr="009E3821">
        <w:trPr>
          <w:trHeight w:val="300"/>
          <w:jc w:val="center"/>
        </w:trPr>
        <w:tc>
          <w:tcPr>
            <w:tcW w:w="2628" w:type="dxa"/>
            <w:tcMar>
              <w:top w:w="0" w:type="dxa"/>
              <w:left w:w="45" w:type="dxa"/>
              <w:bottom w:w="0" w:type="dxa"/>
              <w:right w:w="45" w:type="dxa"/>
            </w:tcMar>
            <w:hideMark/>
          </w:tcPr>
          <w:p w14:paraId="2447B8FC" w14:textId="77777777" w:rsidR="00F8388B" w:rsidRPr="009E3821" w:rsidRDefault="00F8388B" w:rsidP="009E3821">
            <w:pPr>
              <w:rPr>
                <w:rFonts w:ascii="Arial" w:hAnsi="Arial" w:cs="Arial"/>
                <w:b/>
              </w:rPr>
            </w:pPr>
            <w:r w:rsidRPr="009E3821">
              <w:rPr>
                <w:rFonts w:ascii="Arial" w:hAnsi="Arial" w:cs="Arial"/>
                <w:b/>
              </w:rPr>
              <w:t>Diabetes Mellitus</w:t>
            </w:r>
          </w:p>
        </w:tc>
        <w:tc>
          <w:tcPr>
            <w:tcW w:w="723" w:type="dxa"/>
            <w:tcMar>
              <w:top w:w="0" w:type="dxa"/>
              <w:left w:w="45" w:type="dxa"/>
              <w:bottom w:w="0" w:type="dxa"/>
              <w:right w:w="45" w:type="dxa"/>
            </w:tcMar>
            <w:vAlign w:val="bottom"/>
          </w:tcPr>
          <w:p w14:paraId="6E904E92" w14:textId="77777777" w:rsidR="00F8388B" w:rsidRPr="009E3821" w:rsidRDefault="00F8388B" w:rsidP="009E3821">
            <w:pPr>
              <w:rPr>
                <w:rFonts w:ascii="Arial" w:hAnsi="Arial" w:cs="Arial"/>
              </w:rPr>
            </w:pPr>
          </w:p>
        </w:tc>
        <w:tc>
          <w:tcPr>
            <w:tcW w:w="1134" w:type="dxa"/>
            <w:tcMar>
              <w:top w:w="0" w:type="dxa"/>
              <w:left w:w="45" w:type="dxa"/>
              <w:bottom w:w="0" w:type="dxa"/>
              <w:right w:w="45" w:type="dxa"/>
            </w:tcMar>
            <w:vAlign w:val="bottom"/>
          </w:tcPr>
          <w:p w14:paraId="31232BA1" w14:textId="77777777" w:rsidR="00F8388B" w:rsidRPr="009E3821" w:rsidRDefault="00F8388B" w:rsidP="009E3821">
            <w:pPr>
              <w:rPr>
                <w:rFonts w:ascii="Arial" w:hAnsi="Arial" w:cs="Arial"/>
              </w:rPr>
            </w:pPr>
          </w:p>
        </w:tc>
        <w:tc>
          <w:tcPr>
            <w:tcW w:w="567" w:type="dxa"/>
            <w:tcMar>
              <w:top w:w="0" w:type="dxa"/>
              <w:left w:w="45" w:type="dxa"/>
              <w:bottom w:w="0" w:type="dxa"/>
              <w:right w:w="45" w:type="dxa"/>
            </w:tcMar>
            <w:vAlign w:val="bottom"/>
          </w:tcPr>
          <w:p w14:paraId="2D4D8B3E" w14:textId="77777777" w:rsidR="00F8388B" w:rsidRPr="009E3821" w:rsidRDefault="00F8388B" w:rsidP="009E3821">
            <w:pPr>
              <w:rPr>
                <w:rFonts w:ascii="Arial" w:hAnsi="Arial" w:cs="Arial"/>
              </w:rPr>
            </w:pPr>
          </w:p>
        </w:tc>
        <w:tc>
          <w:tcPr>
            <w:tcW w:w="992" w:type="dxa"/>
            <w:tcMar>
              <w:top w:w="0" w:type="dxa"/>
              <w:left w:w="45" w:type="dxa"/>
              <w:bottom w:w="0" w:type="dxa"/>
              <w:right w:w="45" w:type="dxa"/>
            </w:tcMar>
            <w:vAlign w:val="bottom"/>
          </w:tcPr>
          <w:p w14:paraId="12E39581" w14:textId="77777777" w:rsidR="00F8388B" w:rsidRPr="009E3821" w:rsidRDefault="00F8388B" w:rsidP="009E3821">
            <w:pPr>
              <w:rPr>
                <w:rFonts w:ascii="Arial" w:hAnsi="Arial" w:cs="Arial"/>
              </w:rPr>
            </w:pPr>
          </w:p>
        </w:tc>
        <w:tc>
          <w:tcPr>
            <w:tcW w:w="2268" w:type="dxa"/>
            <w:tcMar>
              <w:top w:w="0" w:type="dxa"/>
              <w:left w:w="45" w:type="dxa"/>
              <w:bottom w:w="0" w:type="dxa"/>
              <w:right w:w="45" w:type="dxa"/>
            </w:tcMar>
            <w:vAlign w:val="bottom"/>
          </w:tcPr>
          <w:p w14:paraId="3FEB3062" w14:textId="77777777" w:rsidR="00F8388B" w:rsidRPr="009E3821" w:rsidRDefault="00F8388B" w:rsidP="009E3821">
            <w:pPr>
              <w:rPr>
                <w:rFonts w:ascii="Arial" w:hAnsi="Arial" w:cs="Arial"/>
              </w:rPr>
            </w:pPr>
          </w:p>
        </w:tc>
      </w:tr>
      <w:tr w:rsidR="00F8388B" w:rsidRPr="009E3821" w14:paraId="59A49903" w14:textId="77777777" w:rsidTr="009E3821">
        <w:trPr>
          <w:trHeight w:val="300"/>
          <w:jc w:val="center"/>
        </w:trPr>
        <w:tc>
          <w:tcPr>
            <w:tcW w:w="2628" w:type="dxa"/>
            <w:tcMar>
              <w:top w:w="0" w:type="dxa"/>
              <w:left w:w="45" w:type="dxa"/>
              <w:bottom w:w="0" w:type="dxa"/>
              <w:right w:w="45" w:type="dxa"/>
            </w:tcMar>
            <w:hideMark/>
          </w:tcPr>
          <w:p w14:paraId="2BC11EE8" w14:textId="77777777" w:rsidR="00F8388B" w:rsidRPr="009E3821" w:rsidRDefault="00F8388B" w:rsidP="009E3821">
            <w:pPr>
              <w:rPr>
                <w:rFonts w:ascii="Arial" w:hAnsi="Arial" w:cs="Arial"/>
              </w:rPr>
            </w:pPr>
            <w:r w:rsidRPr="009E3821">
              <w:rPr>
                <w:rFonts w:ascii="Arial" w:hAnsi="Arial" w:cs="Arial"/>
              </w:rPr>
              <w:t>Yes</w:t>
            </w:r>
          </w:p>
        </w:tc>
        <w:tc>
          <w:tcPr>
            <w:tcW w:w="723" w:type="dxa"/>
            <w:tcMar>
              <w:top w:w="0" w:type="dxa"/>
              <w:left w:w="45" w:type="dxa"/>
              <w:bottom w:w="0" w:type="dxa"/>
              <w:right w:w="45" w:type="dxa"/>
            </w:tcMar>
            <w:vAlign w:val="bottom"/>
            <w:hideMark/>
          </w:tcPr>
          <w:p w14:paraId="2ACB755C" w14:textId="77777777" w:rsidR="00F8388B" w:rsidRPr="009E3821" w:rsidRDefault="00F8388B" w:rsidP="009E3821">
            <w:pPr>
              <w:jc w:val="center"/>
              <w:rPr>
                <w:rFonts w:ascii="Arial" w:hAnsi="Arial" w:cs="Arial"/>
              </w:rPr>
            </w:pPr>
            <w:r w:rsidRPr="009E3821">
              <w:rPr>
                <w:rFonts w:ascii="Arial" w:hAnsi="Arial" w:cs="Arial"/>
              </w:rPr>
              <w:t>26</w:t>
            </w:r>
          </w:p>
        </w:tc>
        <w:tc>
          <w:tcPr>
            <w:tcW w:w="1134" w:type="dxa"/>
            <w:tcMar>
              <w:top w:w="0" w:type="dxa"/>
              <w:left w:w="45" w:type="dxa"/>
              <w:bottom w:w="0" w:type="dxa"/>
              <w:right w:w="45" w:type="dxa"/>
            </w:tcMar>
            <w:vAlign w:val="bottom"/>
            <w:hideMark/>
          </w:tcPr>
          <w:p w14:paraId="5A622469" w14:textId="77777777" w:rsidR="00F8388B" w:rsidRPr="009E3821" w:rsidRDefault="00F8388B" w:rsidP="009E3821">
            <w:pPr>
              <w:jc w:val="center"/>
              <w:rPr>
                <w:rFonts w:ascii="Arial" w:hAnsi="Arial" w:cs="Arial"/>
              </w:rPr>
            </w:pPr>
            <w:r w:rsidRPr="009E3821">
              <w:rPr>
                <w:rFonts w:ascii="Arial" w:hAnsi="Arial" w:cs="Arial"/>
              </w:rPr>
              <w:t>18,2</w:t>
            </w:r>
          </w:p>
        </w:tc>
        <w:tc>
          <w:tcPr>
            <w:tcW w:w="567" w:type="dxa"/>
            <w:tcMar>
              <w:top w:w="0" w:type="dxa"/>
              <w:left w:w="45" w:type="dxa"/>
              <w:bottom w:w="0" w:type="dxa"/>
              <w:right w:w="45" w:type="dxa"/>
            </w:tcMar>
            <w:vAlign w:val="bottom"/>
            <w:hideMark/>
          </w:tcPr>
          <w:p w14:paraId="021BAFC2" w14:textId="77777777" w:rsidR="00F8388B" w:rsidRPr="009E3821" w:rsidRDefault="00F8388B" w:rsidP="009E3821">
            <w:pPr>
              <w:jc w:val="center"/>
              <w:rPr>
                <w:rFonts w:ascii="Arial" w:hAnsi="Arial" w:cs="Arial"/>
              </w:rPr>
            </w:pPr>
            <w:r w:rsidRPr="009E3821">
              <w:rPr>
                <w:rFonts w:ascii="Arial" w:hAnsi="Arial" w:cs="Arial"/>
              </w:rPr>
              <w:t>37</w:t>
            </w:r>
          </w:p>
        </w:tc>
        <w:tc>
          <w:tcPr>
            <w:tcW w:w="992" w:type="dxa"/>
            <w:tcMar>
              <w:top w:w="0" w:type="dxa"/>
              <w:left w:w="45" w:type="dxa"/>
              <w:bottom w:w="0" w:type="dxa"/>
              <w:right w:w="45" w:type="dxa"/>
            </w:tcMar>
            <w:vAlign w:val="bottom"/>
            <w:hideMark/>
          </w:tcPr>
          <w:p w14:paraId="7B325042" w14:textId="77777777" w:rsidR="00F8388B" w:rsidRPr="009E3821" w:rsidRDefault="00F8388B" w:rsidP="009E3821">
            <w:pPr>
              <w:jc w:val="center"/>
              <w:rPr>
                <w:rFonts w:ascii="Arial" w:hAnsi="Arial" w:cs="Arial"/>
              </w:rPr>
            </w:pPr>
            <w:r w:rsidRPr="009E3821">
              <w:rPr>
                <w:rFonts w:ascii="Arial" w:hAnsi="Arial" w:cs="Arial"/>
              </w:rPr>
              <w:t>26,1</w:t>
            </w:r>
          </w:p>
        </w:tc>
        <w:tc>
          <w:tcPr>
            <w:tcW w:w="2268" w:type="dxa"/>
            <w:vMerge w:val="restart"/>
            <w:tcMar>
              <w:top w:w="0" w:type="dxa"/>
              <w:left w:w="45" w:type="dxa"/>
              <w:bottom w:w="0" w:type="dxa"/>
              <w:right w:w="45" w:type="dxa"/>
            </w:tcMar>
            <w:vAlign w:val="center"/>
            <w:hideMark/>
          </w:tcPr>
          <w:p w14:paraId="543DE951" w14:textId="77777777" w:rsidR="00F8388B" w:rsidRPr="009E3821" w:rsidRDefault="00F8388B" w:rsidP="009E3821">
            <w:pPr>
              <w:jc w:val="center"/>
              <w:rPr>
                <w:rFonts w:ascii="Arial" w:hAnsi="Arial" w:cs="Arial"/>
              </w:rPr>
            </w:pPr>
            <w:r w:rsidRPr="009E3821">
              <w:rPr>
                <w:rFonts w:ascii="Arial" w:hAnsi="Arial" w:cs="Arial"/>
              </w:rPr>
              <w:t>X</w:t>
            </w:r>
            <w:r w:rsidRPr="009E3821">
              <w:rPr>
                <w:rFonts w:ascii="Arial" w:hAnsi="Arial" w:cs="Arial"/>
                <w:vertAlign w:val="superscript"/>
              </w:rPr>
              <w:t>2</w:t>
            </w:r>
            <w:r w:rsidRPr="009E3821">
              <w:rPr>
                <w:rFonts w:ascii="Arial" w:hAnsi="Arial" w:cs="Arial"/>
              </w:rPr>
              <w:t>= 2,566;</w:t>
            </w:r>
          </w:p>
          <w:p w14:paraId="662CA436" w14:textId="77777777" w:rsidR="00F8388B" w:rsidRPr="009E3821" w:rsidRDefault="00F8388B" w:rsidP="009E3821">
            <w:pPr>
              <w:jc w:val="center"/>
              <w:rPr>
                <w:rFonts w:ascii="Arial" w:hAnsi="Arial" w:cs="Arial"/>
              </w:rPr>
            </w:pPr>
            <w:r w:rsidRPr="009E3821">
              <w:rPr>
                <w:rFonts w:ascii="Arial" w:hAnsi="Arial" w:cs="Arial"/>
              </w:rPr>
              <w:t>p= 0,072</w:t>
            </w:r>
          </w:p>
        </w:tc>
      </w:tr>
      <w:tr w:rsidR="00F8388B" w:rsidRPr="009E3821" w14:paraId="69AC4206" w14:textId="77777777" w:rsidTr="009E3821">
        <w:trPr>
          <w:trHeight w:val="300"/>
          <w:jc w:val="center"/>
        </w:trPr>
        <w:tc>
          <w:tcPr>
            <w:tcW w:w="2628" w:type="dxa"/>
            <w:tcMar>
              <w:top w:w="0" w:type="dxa"/>
              <w:left w:w="45" w:type="dxa"/>
              <w:bottom w:w="0" w:type="dxa"/>
              <w:right w:w="45" w:type="dxa"/>
            </w:tcMar>
            <w:hideMark/>
          </w:tcPr>
          <w:p w14:paraId="1A8EE96D" w14:textId="77777777" w:rsidR="00F8388B" w:rsidRPr="009E3821" w:rsidRDefault="00F8388B" w:rsidP="009E3821">
            <w:pPr>
              <w:rPr>
                <w:rFonts w:ascii="Arial" w:hAnsi="Arial" w:cs="Arial"/>
              </w:rPr>
            </w:pPr>
            <w:r w:rsidRPr="009E3821">
              <w:rPr>
                <w:rFonts w:ascii="Arial" w:hAnsi="Arial" w:cs="Arial"/>
              </w:rPr>
              <w:t>No</w:t>
            </w:r>
          </w:p>
        </w:tc>
        <w:tc>
          <w:tcPr>
            <w:tcW w:w="723" w:type="dxa"/>
            <w:tcMar>
              <w:top w:w="0" w:type="dxa"/>
              <w:left w:w="45" w:type="dxa"/>
              <w:bottom w:w="0" w:type="dxa"/>
              <w:right w:w="45" w:type="dxa"/>
            </w:tcMar>
            <w:vAlign w:val="bottom"/>
            <w:hideMark/>
          </w:tcPr>
          <w:p w14:paraId="779DAC32" w14:textId="77777777" w:rsidR="00F8388B" w:rsidRPr="009E3821" w:rsidRDefault="00F8388B" w:rsidP="009E3821">
            <w:pPr>
              <w:jc w:val="center"/>
              <w:rPr>
                <w:rFonts w:ascii="Arial" w:hAnsi="Arial" w:cs="Arial"/>
              </w:rPr>
            </w:pPr>
            <w:r w:rsidRPr="009E3821">
              <w:rPr>
                <w:rFonts w:ascii="Arial" w:hAnsi="Arial" w:cs="Arial"/>
              </w:rPr>
              <w:t>117</w:t>
            </w:r>
          </w:p>
        </w:tc>
        <w:tc>
          <w:tcPr>
            <w:tcW w:w="1134" w:type="dxa"/>
            <w:tcMar>
              <w:top w:w="0" w:type="dxa"/>
              <w:left w:w="45" w:type="dxa"/>
              <w:bottom w:w="0" w:type="dxa"/>
              <w:right w:w="45" w:type="dxa"/>
            </w:tcMar>
            <w:vAlign w:val="bottom"/>
            <w:hideMark/>
          </w:tcPr>
          <w:p w14:paraId="76E403CE" w14:textId="77777777" w:rsidR="00F8388B" w:rsidRPr="009E3821" w:rsidRDefault="00F8388B" w:rsidP="009E3821">
            <w:pPr>
              <w:jc w:val="center"/>
              <w:rPr>
                <w:rFonts w:ascii="Arial" w:hAnsi="Arial" w:cs="Arial"/>
              </w:rPr>
            </w:pPr>
            <w:r w:rsidRPr="009E3821">
              <w:rPr>
                <w:rFonts w:ascii="Arial" w:hAnsi="Arial" w:cs="Arial"/>
              </w:rPr>
              <w:t>81,8</w:t>
            </w:r>
          </w:p>
        </w:tc>
        <w:tc>
          <w:tcPr>
            <w:tcW w:w="567" w:type="dxa"/>
            <w:tcMar>
              <w:top w:w="0" w:type="dxa"/>
              <w:left w:w="45" w:type="dxa"/>
              <w:bottom w:w="0" w:type="dxa"/>
              <w:right w:w="45" w:type="dxa"/>
            </w:tcMar>
            <w:vAlign w:val="bottom"/>
            <w:hideMark/>
          </w:tcPr>
          <w:p w14:paraId="2472E99A" w14:textId="77777777" w:rsidR="00F8388B" w:rsidRPr="009E3821" w:rsidRDefault="00F8388B" w:rsidP="009E3821">
            <w:pPr>
              <w:jc w:val="center"/>
              <w:rPr>
                <w:rFonts w:ascii="Arial" w:hAnsi="Arial" w:cs="Arial"/>
              </w:rPr>
            </w:pPr>
            <w:r w:rsidRPr="009E3821">
              <w:rPr>
                <w:rFonts w:ascii="Arial" w:hAnsi="Arial" w:cs="Arial"/>
              </w:rPr>
              <w:t>105</w:t>
            </w:r>
          </w:p>
        </w:tc>
        <w:tc>
          <w:tcPr>
            <w:tcW w:w="992" w:type="dxa"/>
            <w:tcMar>
              <w:top w:w="0" w:type="dxa"/>
              <w:left w:w="45" w:type="dxa"/>
              <w:bottom w:w="0" w:type="dxa"/>
              <w:right w:w="45" w:type="dxa"/>
            </w:tcMar>
            <w:vAlign w:val="bottom"/>
            <w:hideMark/>
          </w:tcPr>
          <w:p w14:paraId="677884D8" w14:textId="77777777" w:rsidR="00F8388B" w:rsidRPr="009E3821" w:rsidRDefault="00F8388B" w:rsidP="009E3821">
            <w:pPr>
              <w:jc w:val="center"/>
              <w:rPr>
                <w:rFonts w:ascii="Arial" w:hAnsi="Arial" w:cs="Arial"/>
              </w:rPr>
            </w:pPr>
            <w:r w:rsidRPr="009E3821">
              <w:rPr>
                <w:rFonts w:ascii="Arial" w:hAnsi="Arial" w:cs="Arial"/>
              </w:rPr>
              <w:t>73,9</w:t>
            </w:r>
          </w:p>
        </w:tc>
        <w:tc>
          <w:tcPr>
            <w:tcW w:w="2268" w:type="dxa"/>
            <w:vMerge/>
            <w:vAlign w:val="center"/>
            <w:hideMark/>
          </w:tcPr>
          <w:p w14:paraId="158D52C0" w14:textId="77777777" w:rsidR="00F8388B" w:rsidRPr="009E3821" w:rsidRDefault="00F8388B" w:rsidP="009E3821">
            <w:pPr>
              <w:rPr>
                <w:rFonts w:ascii="Arial" w:hAnsi="Arial" w:cs="Arial"/>
              </w:rPr>
            </w:pPr>
          </w:p>
        </w:tc>
      </w:tr>
      <w:tr w:rsidR="00F8388B" w:rsidRPr="009E3821" w14:paraId="63D5C864" w14:textId="77777777" w:rsidTr="009E3821">
        <w:trPr>
          <w:trHeight w:val="300"/>
          <w:jc w:val="center"/>
        </w:trPr>
        <w:tc>
          <w:tcPr>
            <w:tcW w:w="2628" w:type="dxa"/>
            <w:hideMark/>
          </w:tcPr>
          <w:p w14:paraId="106DDBD1" w14:textId="77777777" w:rsidR="00F8388B" w:rsidRPr="009E3821" w:rsidRDefault="00F8388B" w:rsidP="009E3821">
            <w:pPr>
              <w:rPr>
                <w:rFonts w:ascii="Arial" w:hAnsi="Arial" w:cs="Arial"/>
                <w:b/>
              </w:rPr>
            </w:pPr>
            <w:r w:rsidRPr="009E3821">
              <w:rPr>
                <w:rFonts w:ascii="Arial" w:hAnsi="Arial" w:cs="Arial"/>
                <w:b/>
              </w:rPr>
              <w:t>Obesity/overweight</w:t>
            </w:r>
          </w:p>
        </w:tc>
        <w:tc>
          <w:tcPr>
            <w:tcW w:w="723" w:type="dxa"/>
            <w:tcMar>
              <w:top w:w="0" w:type="dxa"/>
              <w:left w:w="45" w:type="dxa"/>
              <w:bottom w:w="0" w:type="dxa"/>
              <w:right w:w="45" w:type="dxa"/>
            </w:tcMar>
            <w:vAlign w:val="bottom"/>
          </w:tcPr>
          <w:p w14:paraId="61968929" w14:textId="77777777" w:rsidR="00F8388B" w:rsidRPr="009E3821" w:rsidRDefault="00F8388B" w:rsidP="009E3821">
            <w:pPr>
              <w:rPr>
                <w:rFonts w:ascii="Arial" w:hAnsi="Arial" w:cs="Arial"/>
              </w:rPr>
            </w:pPr>
          </w:p>
        </w:tc>
        <w:tc>
          <w:tcPr>
            <w:tcW w:w="1134" w:type="dxa"/>
            <w:tcMar>
              <w:top w:w="0" w:type="dxa"/>
              <w:left w:w="45" w:type="dxa"/>
              <w:bottom w:w="0" w:type="dxa"/>
              <w:right w:w="45" w:type="dxa"/>
            </w:tcMar>
            <w:vAlign w:val="bottom"/>
          </w:tcPr>
          <w:p w14:paraId="6718D87D" w14:textId="77777777" w:rsidR="00F8388B" w:rsidRPr="009E3821" w:rsidRDefault="00F8388B" w:rsidP="009E3821">
            <w:pPr>
              <w:rPr>
                <w:rFonts w:ascii="Arial" w:hAnsi="Arial" w:cs="Arial"/>
              </w:rPr>
            </w:pPr>
          </w:p>
        </w:tc>
        <w:tc>
          <w:tcPr>
            <w:tcW w:w="567" w:type="dxa"/>
            <w:tcMar>
              <w:top w:w="0" w:type="dxa"/>
              <w:left w:w="45" w:type="dxa"/>
              <w:bottom w:w="0" w:type="dxa"/>
              <w:right w:w="45" w:type="dxa"/>
            </w:tcMar>
            <w:vAlign w:val="bottom"/>
          </w:tcPr>
          <w:p w14:paraId="3F361125" w14:textId="77777777" w:rsidR="00F8388B" w:rsidRPr="009E3821" w:rsidRDefault="00F8388B" w:rsidP="009E3821">
            <w:pPr>
              <w:rPr>
                <w:rFonts w:ascii="Arial" w:hAnsi="Arial" w:cs="Arial"/>
              </w:rPr>
            </w:pPr>
          </w:p>
        </w:tc>
        <w:tc>
          <w:tcPr>
            <w:tcW w:w="992" w:type="dxa"/>
            <w:tcMar>
              <w:top w:w="0" w:type="dxa"/>
              <w:left w:w="45" w:type="dxa"/>
              <w:bottom w:w="0" w:type="dxa"/>
              <w:right w:w="45" w:type="dxa"/>
            </w:tcMar>
            <w:vAlign w:val="bottom"/>
          </w:tcPr>
          <w:p w14:paraId="183C9B33" w14:textId="77777777" w:rsidR="00F8388B" w:rsidRPr="009E3821" w:rsidRDefault="00F8388B" w:rsidP="009E3821">
            <w:pPr>
              <w:rPr>
                <w:rFonts w:ascii="Arial" w:hAnsi="Arial" w:cs="Arial"/>
              </w:rPr>
            </w:pPr>
          </w:p>
        </w:tc>
        <w:tc>
          <w:tcPr>
            <w:tcW w:w="2268" w:type="dxa"/>
            <w:tcMar>
              <w:top w:w="0" w:type="dxa"/>
              <w:left w:w="45" w:type="dxa"/>
              <w:bottom w:w="0" w:type="dxa"/>
              <w:right w:w="45" w:type="dxa"/>
            </w:tcMar>
            <w:vAlign w:val="bottom"/>
          </w:tcPr>
          <w:p w14:paraId="681AB670" w14:textId="77777777" w:rsidR="00F8388B" w:rsidRPr="009E3821" w:rsidRDefault="00F8388B" w:rsidP="009E3821">
            <w:pPr>
              <w:rPr>
                <w:rFonts w:ascii="Arial" w:hAnsi="Arial" w:cs="Arial"/>
              </w:rPr>
            </w:pPr>
          </w:p>
        </w:tc>
      </w:tr>
      <w:tr w:rsidR="00F8388B" w:rsidRPr="009E3821" w14:paraId="57F40219" w14:textId="77777777" w:rsidTr="009E3821">
        <w:trPr>
          <w:trHeight w:val="300"/>
          <w:jc w:val="center"/>
        </w:trPr>
        <w:tc>
          <w:tcPr>
            <w:tcW w:w="2628" w:type="dxa"/>
            <w:tcMar>
              <w:top w:w="0" w:type="dxa"/>
              <w:left w:w="45" w:type="dxa"/>
              <w:bottom w:w="0" w:type="dxa"/>
              <w:right w:w="45" w:type="dxa"/>
            </w:tcMar>
            <w:hideMark/>
          </w:tcPr>
          <w:p w14:paraId="1B759F23" w14:textId="77777777" w:rsidR="00F8388B" w:rsidRPr="009E3821" w:rsidRDefault="00F8388B" w:rsidP="009E3821">
            <w:pPr>
              <w:rPr>
                <w:rFonts w:ascii="Arial" w:hAnsi="Arial" w:cs="Arial"/>
              </w:rPr>
            </w:pPr>
            <w:r w:rsidRPr="009E3821">
              <w:rPr>
                <w:rFonts w:ascii="Arial" w:hAnsi="Arial" w:cs="Arial"/>
              </w:rPr>
              <w:t>Yes</w:t>
            </w:r>
          </w:p>
        </w:tc>
        <w:tc>
          <w:tcPr>
            <w:tcW w:w="723" w:type="dxa"/>
            <w:tcMar>
              <w:top w:w="0" w:type="dxa"/>
              <w:left w:w="45" w:type="dxa"/>
              <w:bottom w:w="0" w:type="dxa"/>
              <w:right w:w="45" w:type="dxa"/>
            </w:tcMar>
            <w:vAlign w:val="bottom"/>
            <w:hideMark/>
          </w:tcPr>
          <w:p w14:paraId="0A66D065" w14:textId="77777777" w:rsidR="00F8388B" w:rsidRPr="009E3821" w:rsidRDefault="00F8388B" w:rsidP="009E3821">
            <w:pPr>
              <w:jc w:val="center"/>
              <w:rPr>
                <w:rFonts w:ascii="Arial" w:hAnsi="Arial" w:cs="Arial"/>
              </w:rPr>
            </w:pPr>
            <w:r w:rsidRPr="009E3821">
              <w:rPr>
                <w:rFonts w:ascii="Arial" w:hAnsi="Arial" w:cs="Arial"/>
              </w:rPr>
              <w:t>32</w:t>
            </w:r>
          </w:p>
        </w:tc>
        <w:tc>
          <w:tcPr>
            <w:tcW w:w="1134" w:type="dxa"/>
            <w:tcMar>
              <w:top w:w="0" w:type="dxa"/>
              <w:left w:w="45" w:type="dxa"/>
              <w:bottom w:w="0" w:type="dxa"/>
              <w:right w:w="45" w:type="dxa"/>
            </w:tcMar>
            <w:vAlign w:val="bottom"/>
            <w:hideMark/>
          </w:tcPr>
          <w:p w14:paraId="25555B87" w14:textId="77777777" w:rsidR="00F8388B" w:rsidRPr="009E3821" w:rsidRDefault="00F8388B" w:rsidP="009E3821">
            <w:pPr>
              <w:jc w:val="center"/>
              <w:rPr>
                <w:rFonts w:ascii="Arial" w:hAnsi="Arial" w:cs="Arial"/>
              </w:rPr>
            </w:pPr>
            <w:r w:rsidRPr="009E3821">
              <w:rPr>
                <w:rFonts w:ascii="Arial" w:hAnsi="Arial" w:cs="Arial"/>
              </w:rPr>
              <w:t>22,4</w:t>
            </w:r>
          </w:p>
        </w:tc>
        <w:tc>
          <w:tcPr>
            <w:tcW w:w="567" w:type="dxa"/>
            <w:tcMar>
              <w:top w:w="0" w:type="dxa"/>
              <w:left w:w="45" w:type="dxa"/>
              <w:bottom w:w="0" w:type="dxa"/>
              <w:right w:w="45" w:type="dxa"/>
            </w:tcMar>
            <w:vAlign w:val="bottom"/>
            <w:hideMark/>
          </w:tcPr>
          <w:p w14:paraId="56A523A8" w14:textId="77777777" w:rsidR="00F8388B" w:rsidRPr="009E3821" w:rsidRDefault="00F8388B" w:rsidP="009E3821">
            <w:pPr>
              <w:jc w:val="center"/>
              <w:rPr>
                <w:rFonts w:ascii="Arial" w:hAnsi="Arial" w:cs="Arial"/>
              </w:rPr>
            </w:pPr>
            <w:r w:rsidRPr="009E3821">
              <w:rPr>
                <w:rFonts w:ascii="Arial" w:hAnsi="Arial" w:cs="Arial"/>
              </w:rPr>
              <w:t>32</w:t>
            </w:r>
          </w:p>
        </w:tc>
        <w:tc>
          <w:tcPr>
            <w:tcW w:w="992" w:type="dxa"/>
            <w:tcMar>
              <w:top w:w="0" w:type="dxa"/>
              <w:left w:w="45" w:type="dxa"/>
              <w:bottom w:w="0" w:type="dxa"/>
              <w:right w:w="45" w:type="dxa"/>
            </w:tcMar>
            <w:vAlign w:val="bottom"/>
            <w:hideMark/>
          </w:tcPr>
          <w:p w14:paraId="1855C72A" w14:textId="77777777" w:rsidR="00F8388B" w:rsidRPr="009E3821" w:rsidRDefault="00F8388B" w:rsidP="009E3821">
            <w:pPr>
              <w:jc w:val="center"/>
              <w:rPr>
                <w:rFonts w:ascii="Arial" w:hAnsi="Arial" w:cs="Arial"/>
              </w:rPr>
            </w:pPr>
            <w:r w:rsidRPr="009E3821">
              <w:rPr>
                <w:rFonts w:ascii="Arial" w:hAnsi="Arial" w:cs="Arial"/>
              </w:rPr>
              <w:t>22,5</w:t>
            </w:r>
          </w:p>
        </w:tc>
        <w:tc>
          <w:tcPr>
            <w:tcW w:w="2268" w:type="dxa"/>
            <w:vMerge w:val="restart"/>
            <w:tcMar>
              <w:top w:w="0" w:type="dxa"/>
              <w:left w:w="45" w:type="dxa"/>
              <w:bottom w:w="0" w:type="dxa"/>
              <w:right w:w="45" w:type="dxa"/>
            </w:tcMar>
            <w:vAlign w:val="center"/>
            <w:hideMark/>
          </w:tcPr>
          <w:p w14:paraId="2DC655A6" w14:textId="77777777" w:rsidR="00F8388B" w:rsidRPr="009E3821" w:rsidRDefault="00F8388B" w:rsidP="009E3821">
            <w:pPr>
              <w:jc w:val="center"/>
              <w:rPr>
                <w:rFonts w:ascii="Arial" w:hAnsi="Arial" w:cs="Arial"/>
              </w:rPr>
            </w:pPr>
            <w:r w:rsidRPr="009E3821">
              <w:rPr>
                <w:rFonts w:ascii="Arial" w:hAnsi="Arial" w:cs="Arial"/>
              </w:rPr>
              <w:t>X</w:t>
            </w:r>
            <w:r w:rsidRPr="009E3821">
              <w:rPr>
                <w:rFonts w:ascii="Arial" w:hAnsi="Arial" w:cs="Arial"/>
                <w:vertAlign w:val="superscript"/>
              </w:rPr>
              <w:t>2</w:t>
            </w:r>
            <w:r w:rsidRPr="009E3821">
              <w:rPr>
                <w:rFonts w:ascii="Arial" w:hAnsi="Arial" w:cs="Arial"/>
              </w:rPr>
              <w:t>= 0,001;</w:t>
            </w:r>
          </w:p>
          <w:p w14:paraId="2CD08E68" w14:textId="77777777" w:rsidR="00F8388B" w:rsidRPr="009E3821" w:rsidRDefault="00F8388B" w:rsidP="009E3821">
            <w:pPr>
              <w:jc w:val="center"/>
              <w:rPr>
                <w:rFonts w:ascii="Arial" w:hAnsi="Arial" w:cs="Arial"/>
              </w:rPr>
            </w:pPr>
            <w:r w:rsidRPr="009E3821">
              <w:rPr>
                <w:rFonts w:ascii="Arial" w:hAnsi="Arial" w:cs="Arial"/>
              </w:rPr>
              <w:t>p= 0,544</w:t>
            </w:r>
          </w:p>
        </w:tc>
      </w:tr>
      <w:tr w:rsidR="00F8388B" w:rsidRPr="009E3821" w14:paraId="5D4FF510" w14:textId="77777777" w:rsidTr="009E3821">
        <w:trPr>
          <w:trHeight w:val="300"/>
          <w:jc w:val="center"/>
        </w:trPr>
        <w:tc>
          <w:tcPr>
            <w:tcW w:w="2628" w:type="dxa"/>
            <w:tcMar>
              <w:top w:w="0" w:type="dxa"/>
              <w:left w:w="45" w:type="dxa"/>
              <w:bottom w:w="0" w:type="dxa"/>
              <w:right w:w="45" w:type="dxa"/>
            </w:tcMar>
            <w:hideMark/>
          </w:tcPr>
          <w:p w14:paraId="47015C83" w14:textId="77777777" w:rsidR="00F8388B" w:rsidRPr="009E3821" w:rsidRDefault="00F8388B" w:rsidP="009E3821">
            <w:pPr>
              <w:rPr>
                <w:rFonts w:ascii="Arial" w:hAnsi="Arial" w:cs="Arial"/>
              </w:rPr>
            </w:pPr>
            <w:r w:rsidRPr="009E3821">
              <w:rPr>
                <w:rFonts w:ascii="Arial" w:hAnsi="Arial" w:cs="Arial"/>
              </w:rPr>
              <w:t>No</w:t>
            </w:r>
          </w:p>
        </w:tc>
        <w:tc>
          <w:tcPr>
            <w:tcW w:w="723" w:type="dxa"/>
            <w:tcMar>
              <w:top w:w="0" w:type="dxa"/>
              <w:left w:w="45" w:type="dxa"/>
              <w:bottom w:w="0" w:type="dxa"/>
              <w:right w:w="45" w:type="dxa"/>
            </w:tcMar>
            <w:vAlign w:val="bottom"/>
            <w:hideMark/>
          </w:tcPr>
          <w:p w14:paraId="1A46E8DB" w14:textId="77777777" w:rsidR="00F8388B" w:rsidRPr="009E3821" w:rsidRDefault="00F8388B" w:rsidP="009E3821">
            <w:pPr>
              <w:jc w:val="center"/>
              <w:rPr>
                <w:rFonts w:ascii="Arial" w:hAnsi="Arial" w:cs="Arial"/>
              </w:rPr>
            </w:pPr>
            <w:r w:rsidRPr="009E3821">
              <w:rPr>
                <w:rFonts w:ascii="Arial" w:hAnsi="Arial" w:cs="Arial"/>
              </w:rPr>
              <w:t>111</w:t>
            </w:r>
          </w:p>
        </w:tc>
        <w:tc>
          <w:tcPr>
            <w:tcW w:w="1134" w:type="dxa"/>
            <w:tcMar>
              <w:top w:w="0" w:type="dxa"/>
              <w:left w:w="45" w:type="dxa"/>
              <w:bottom w:w="0" w:type="dxa"/>
              <w:right w:w="45" w:type="dxa"/>
            </w:tcMar>
            <w:vAlign w:val="bottom"/>
            <w:hideMark/>
          </w:tcPr>
          <w:p w14:paraId="2D5FD62D" w14:textId="77777777" w:rsidR="00F8388B" w:rsidRPr="009E3821" w:rsidRDefault="00F8388B" w:rsidP="009E3821">
            <w:pPr>
              <w:jc w:val="center"/>
              <w:rPr>
                <w:rFonts w:ascii="Arial" w:hAnsi="Arial" w:cs="Arial"/>
              </w:rPr>
            </w:pPr>
            <w:r w:rsidRPr="009E3821">
              <w:rPr>
                <w:rFonts w:ascii="Arial" w:hAnsi="Arial" w:cs="Arial"/>
              </w:rPr>
              <w:t>77,6</w:t>
            </w:r>
          </w:p>
        </w:tc>
        <w:tc>
          <w:tcPr>
            <w:tcW w:w="567" w:type="dxa"/>
            <w:tcMar>
              <w:top w:w="0" w:type="dxa"/>
              <w:left w:w="45" w:type="dxa"/>
              <w:bottom w:w="0" w:type="dxa"/>
              <w:right w:w="45" w:type="dxa"/>
            </w:tcMar>
            <w:vAlign w:val="bottom"/>
            <w:hideMark/>
          </w:tcPr>
          <w:p w14:paraId="50A8542A" w14:textId="77777777" w:rsidR="00F8388B" w:rsidRPr="009E3821" w:rsidRDefault="00F8388B" w:rsidP="009E3821">
            <w:pPr>
              <w:jc w:val="center"/>
              <w:rPr>
                <w:rFonts w:ascii="Arial" w:hAnsi="Arial" w:cs="Arial"/>
              </w:rPr>
            </w:pPr>
            <w:r w:rsidRPr="009E3821">
              <w:rPr>
                <w:rFonts w:ascii="Arial" w:hAnsi="Arial" w:cs="Arial"/>
              </w:rPr>
              <w:t>110</w:t>
            </w:r>
          </w:p>
        </w:tc>
        <w:tc>
          <w:tcPr>
            <w:tcW w:w="992" w:type="dxa"/>
            <w:tcMar>
              <w:top w:w="0" w:type="dxa"/>
              <w:left w:w="45" w:type="dxa"/>
              <w:bottom w:w="0" w:type="dxa"/>
              <w:right w:w="45" w:type="dxa"/>
            </w:tcMar>
            <w:vAlign w:val="bottom"/>
            <w:hideMark/>
          </w:tcPr>
          <w:p w14:paraId="64B1A499" w14:textId="77777777" w:rsidR="00F8388B" w:rsidRPr="009E3821" w:rsidRDefault="00F8388B" w:rsidP="009E3821">
            <w:pPr>
              <w:jc w:val="center"/>
              <w:rPr>
                <w:rFonts w:ascii="Arial" w:hAnsi="Arial" w:cs="Arial"/>
              </w:rPr>
            </w:pPr>
            <w:r w:rsidRPr="009E3821">
              <w:rPr>
                <w:rFonts w:ascii="Arial" w:hAnsi="Arial" w:cs="Arial"/>
              </w:rPr>
              <w:t>77,5</w:t>
            </w:r>
          </w:p>
        </w:tc>
        <w:tc>
          <w:tcPr>
            <w:tcW w:w="2268" w:type="dxa"/>
            <w:vMerge/>
            <w:vAlign w:val="center"/>
            <w:hideMark/>
          </w:tcPr>
          <w:p w14:paraId="0E047D84" w14:textId="77777777" w:rsidR="00F8388B" w:rsidRPr="009E3821" w:rsidRDefault="00F8388B" w:rsidP="009E3821">
            <w:pPr>
              <w:rPr>
                <w:rFonts w:ascii="Arial" w:hAnsi="Arial" w:cs="Arial"/>
              </w:rPr>
            </w:pPr>
          </w:p>
        </w:tc>
      </w:tr>
      <w:tr w:rsidR="00F8388B" w:rsidRPr="009E3821" w14:paraId="1593D15C" w14:textId="77777777" w:rsidTr="009E3821">
        <w:trPr>
          <w:trHeight w:val="300"/>
          <w:jc w:val="center"/>
        </w:trPr>
        <w:tc>
          <w:tcPr>
            <w:tcW w:w="2628" w:type="dxa"/>
            <w:hideMark/>
          </w:tcPr>
          <w:p w14:paraId="5F7944EC" w14:textId="77777777" w:rsidR="00F8388B" w:rsidRPr="009E3821" w:rsidRDefault="00F8388B" w:rsidP="009E3821">
            <w:pPr>
              <w:rPr>
                <w:rFonts w:ascii="Arial" w:hAnsi="Arial" w:cs="Arial"/>
                <w:b/>
              </w:rPr>
            </w:pPr>
            <w:r w:rsidRPr="009E3821">
              <w:rPr>
                <w:rFonts w:ascii="Arial" w:hAnsi="Arial" w:cs="Arial"/>
                <w:b/>
              </w:rPr>
              <w:t>Smoker/ex-smoker</w:t>
            </w:r>
          </w:p>
        </w:tc>
        <w:tc>
          <w:tcPr>
            <w:tcW w:w="723" w:type="dxa"/>
            <w:tcMar>
              <w:top w:w="0" w:type="dxa"/>
              <w:left w:w="45" w:type="dxa"/>
              <w:bottom w:w="0" w:type="dxa"/>
              <w:right w:w="45" w:type="dxa"/>
            </w:tcMar>
            <w:vAlign w:val="bottom"/>
          </w:tcPr>
          <w:p w14:paraId="4A55F0F8" w14:textId="77777777" w:rsidR="00F8388B" w:rsidRPr="009E3821" w:rsidRDefault="00F8388B" w:rsidP="009E3821">
            <w:pPr>
              <w:rPr>
                <w:rFonts w:ascii="Arial" w:hAnsi="Arial" w:cs="Arial"/>
              </w:rPr>
            </w:pPr>
          </w:p>
        </w:tc>
        <w:tc>
          <w:tcPr>
            <w:tcW w:w="1134" w:type="dxa"/>
            <w:tcMar>
              <w:top w:w="0" w:type="dxa"/>
              <w:left w:w="45" w:type="dxa"/>
              <w:bottom w:w="0" w:type="dxa"/>
              <w:right w:w="45" w:type="dxa"/>
            </w:tcMar>
            <w:vAlign w:val="bottom"/>
          </w:tcPr>
          <w:p w14:paraId="5E0A2EC3" w14:textId="77777777" w:rsidR="00F8388B" w:rsidRPr="009E3821" w:rsidRDefault="00F8388B" w:rsidP="009E3821">
            <w:pPr>
              <w:rPr>
                <w:rFonts w:ascii="Arial" w:hAnsi="Arial" w:cs="Arial"/>
              </w:rPr>
            </w:pPr>
          </w:p>
        </w:tc>
        <w:tc>
          <w:tcPr>
            <w:tcW w:w="567" w:type="dxa"/>
            <w:tcMar>
              <w:top w:w="0" w:type="dxa"/>
              <w:left w:w="45" w:type="dxa"/>
              <w:bottom w:w="0" w:type="dxa"/>
              <w:right w:w="45" w:type="dxa"/>
            </w:tcMar>
            <w:vAlign w:val="bottom"/>
          </w:tcPr>
          <w:p w14:paraId="47B0D26B" w14:textId="77777777" w:rsidR="00F8388B" w:rsidRPr="009E3821" w:rsidRDefault="00F8388B" w:rsidP="009E3821">
            <w:pPr>
              <w:rPr>
                <w:rFonts w:ascii="Arial" w:hAnsi="Arial" w:cs="Arial"/>
              </w:rPr>
            </w:pPr>
          </w:p>
        </w:tc>
        <w:tc>
          <w:tcPr>
            <w:tcW w:w="992" w:type="dxa"/>
            <w:tcMar>
              <w:top w:w="0" w:type="dxa"/>
              <w:left w:w="45" w:type="dxa"/>
              <w:bottom w:w="0" w:type="dxa"/>
              <w:right w:w="45" w:type="dxa"/>
            </w:tcMar>
            <w:vAlign w:val="bottom"/>
          </w:tcPr>
          <w:p w14:paraId="65853C12" w14:textId="77777777" w:rsidR="00F8388B" w:rsidRPr="009E3821" w:rsidRDefault="00F8388B" w:rsidP="009E3821">
            <w:pPr>
              <w:rPr>
                <w:rFonts w:ascii="Arial" w:hAnsi="Arial" w:cs="Arial"/>
              </w:rPr>
            </w:pPr>
          </w:p>
        </w:tc>
        <w:tc>
          <w:tcPr>
            <w:tcW w:w="2268" w:type="dxa"/>
            <w:tcMar>
              <w:top w:w="0" w:type="dxa"/>
              <w:left w:w="45" w:type="dxa"/>
              <w:bottom w:w="0" w:type="dxa"/>
              <w:right w:w="45" w:type="dxa"/>
            </w:tcMar>
            <w:vAlign w:val="bottom"/>
          </w:tcPr>
          <w:p w14:paraId="435E5947" w14:textId="77777777" w:rsidR="00F8388B" w:rsidRPr="009E3821" w:rsidRDefault="00F8388B" w:rsidP="009E3821">
            <w:pPr>
              <w:rPr>
                <w:rFonts w:ascii="Arial" w:hAnsi="Arial" w:cs="Arial"/>
              </w:rPr>
            </w:pPr>
          </w:p>
        </w:tc>
      </w:tr>
      <w:tr w:rsidR="00F8388B" w:rsidRPr="009E3821" w14:paraId="73E1A9BE" w14:textId="77777777" w:rsidTr="009E3821">
        <w:trPr>
          <w:trHeight w:val="300"/>
          <w:jc w:val="center"/>
        </w:trPr>
        <w:tc>
          <w:tcPr>
            <w:tcW w:w="2628" w:type="dxa"/>
            <w:tcMar>
              <w:top w:w="0" w:type="dxa"/>
              <w:left w:w="45" w:type="dxa"/>
              <w:bottom w:w="0" w:type="dxa"/>
              <w:right w:w="45" w:type="dxa"/>
            </w:tcMar>
            <w:hideMark/>
          </w:tcPr>
          <w:p w14:paraId="62D384B8" w14:textId="77777777" w:rsidR="00F8388B" w:rsidRPr="009E3821" w:rsidRDefault="00F8388B" w:rsidP="009E3821">
            <w:pPr>
              <w:rPr>
                <w:rFonts w:ascii="Arial" w:hAnsi="Arial" w:cs="Arial"/>
              </w:rPr>
            </w:pPr>
            <w:r w:rsidRPr="009E3821">
              <w:rPr>
                <w:rFonts w:ascii="Arial" w:hAnsi="Arial" w:cs="Arial"/>
              </w:rPr>
              <w:t>Yes</w:t>
            </w:r>
          </w:p>
        </w:tc>
        <w:tc>
          <w:tcPr>
            <w:tcW w:w="723" w:type="dxa"/>
            <w:tcMar>
              <w:top w:w="0" w:type="dxa"/>
              <w:left w:w="45" w:type="dxa"/>
              <w:bottom w:w="0" w:type="dxa"/>
              <w:right w:w="45" w:type="dxa"/>
            </w:tcMar>
            <w:vAlign w:val="bottom"/>
            <w:hideMark/>
          </w:tcPr>
          <w:p w14:paraId="67977FED" w14:textId="77777777" w:rsidR="00F8388B" w:rsidRPr="009E3821" w:rsidRDefault="00F8388B" w:rsidP="009E3821">
            <w:pPr>
              <w:jc w:val="center"/>
              <w:rPr>
                <w:rFonts w:ascii="Arial" w:hAnsi="Arial" w:cs="Arial"/>
              </w:rPr>
            </w:pPr>
            <w:r w:rsidRPr="009E3821">
              <w:rPr>
                <w:rFonts w:ascii="Arial" w:hAnsi="Arial" w:cs="Arial"/>
              </w:rPr>
              <w:t>21</w:t>
            </w:r>
          </w:p>
        </w:tc>
        <w:tc>
          <w:tcPr>
            <w:tcW w:w="1134" w:type="dxa"/>
            <w:tcMar>
              <w:top w:w="0" w:type="dxa"/>
              <w:left w:w="45" w:type="dxa"/>
              <w:bottom w:w="0" w:type="dxa"/>
              <w:right w:w="45" w:type="dxa"/>
            </w:tcMar>
            <w:vAlign w:val="bottom"/>
            <w:hideMark/>
          </w:tcPr>
          <w:p w14:paraId="3A139551" w14:textId="77777777" w:rsidR="00F8388B" w:rsidRPr="009E3821" w:rsidRDefault="00F8388B" w:rsidP="009E3821">
            <w:pPr>
              <w:jc w:val="center"/>
              <w:rPr>
                <w:rFonts w:ascii="Arial" w:hAnsi="Arial" w:cs="Arial"/>
              </w:rPr>
            </w:pPr>
            <w:r w:rsidRPr="009E3821">
              <w:rPr>
                <w:rFonts w:ascii="Arial" w:hAnsi="Arial" w:cs="Arial"/>
              </w:rPr>
              <w:t>14,7</w:t>
            </w:r>
          </w:p>
        </w:tc>
        <w:tc>
          <w:tcPr>
            <w:tcW w:w="567" w:type="dxa"/>
            <w:tcMar>
              <w:top w:w="0" w:type="dxa"/>
              <w:left w:w="45" w:type="dxa"/>
              <w:bottom w:w="0" w:type="dxa"/>
              <w:right w:w="45" w:type="dxa"/>
            </w:tcMar>
            <w:vAlign w:val="bottom"/>
            <w:hideMark/>
          </w:tcPr>
          <w:p w14:paraId="1C5425AF" w14:textId="77777777" w:rsidR="00F8388B" w:rsidRPr="009E3821" w:rsidRDefault="00F8388B" w:rsidP="009E3821">
            <w:pPr>
              <w:jc w:val="center"/>
              <w:rPr>
                <w:rFonts w:ascii="Arial" w:hAnsi="Arial" w:cs="Arial"/>
              </w:rPr>
            </w:pPr>
            <w:r w:rsidRPr="009E3821">
              <w:rPr>
                <w:rFonts w:ascii="Arial" w:hAnsi="Arial" w:cs="Arial"/>
              </w:rPr>
              <w:t>21</w:t>
            </w:r>
          </w:p>
        </w:tc>
        <w:tc>
          <w:tcPr>
            <w:tcW w:w="992" w:type="dxa"/>
            <w:tcMar>
              <w:top w:w="0" w:type="dxa"/>
              <w:left w:w="45" w:type="dxa"/>
              <w:bottom w:w="0" w:type="dxa"/>
              <w:right w:w="45" w:type="dxa"/>
            </w:tcMar>
            <w:vAlign w:val="bottom"/>
            <w:hideMark/>
          </w:tcPr>
          <w:p w14:paraId="63367B92" w14:textId="77777777" w:rsidR="00F8388B" w:rsidRPr="009E3821" w:rsidRDefault="00F8388B" w:rsidP="009E3821">
            <w:pPr>
              <w:jc w:val="center"/>
              <w:rPr>
                <w:rFonts w:ascii="Arial" w:hAnsi="Arial" w:cs="Arial"/>
              </w:rPr>
            </w:pPr>
            <w:r w:rsidRPr="009E3821">
              <w:rPr>
                <w:rFonts w:ascii="Arial" w:hAnsi="Arial" w:cs="Arial"/>
              </w:rPr>
              <w:t>14,8</w:t>
            </w:r>
          </w:p>
        </w:tc>
        <w:tc>
          <w:tcPr>
            <w:tcW w:w="2268" w:type="dxa"/>
            <w:vMerge w:val="restart"/>
            <w:tcMar>
              <w:top w:w="0" w:type="dxa"/>
              <w:left w:w="45" w:type="dxa"/>
              <w:bottom w:w="0" w:type="dxa"/>
              <w:right w:w="45" w:type="dxa"/>
            </w:tcMar>
            <w:vAlign w:val="center"/>
            <w:hideMark/>
          </w:tcPr>
          <w:p w14:paraId="3C2F7771" w14:textId="77777777" w:rsidR="00F8388B" w:rsidRPr="009E3821" w:rsidRDefault="00F8388B" w:rsidP="009E3821">
            <w:pPr>
              <w:jc w:val="center"/>
              <w:rPr>
                <w:rFonts w:ascii="Arial" w:hAnsi="Arial" w:cs="Arial"/>
              </w:rPr>
            </w:pPr>
            <w:r w:rsidRPr="009E3821">
              <w:rPr>
                <w:rFonts w:ascii="Arial" w:hAnsi="Arial" w:cs="Arial"/>
              </w:rPr>
              <w:t>X</w:t>
            </w:r>
            <w:r w:rsidRPr="009E3821">
              <w:rPr>
                <w:rFonts w:ascii="Arial" w:hAnsi="Arial" w:cs="Arial"/>
                <w:vertAlign w:val="superscript"/>
              </w:rPr>
              <w:t>2</w:t>
            </w:r>
            <w:r w:rsidRPr="009E3821">
              <w:rPr>
                <w:rFonts w:ascii="Arial" w:hAnsi="Arial" w:cs="Arial"/>
              </w:rPr>
              <w:t>= 0,001;</w:t>
            </w:r>
          </w:p>
          <w:p w14:paraId="0405F702" w14:textId="77777777" w:rsidR="00F8388B" w:rsidRPr="009E3821" w:rsidRDefault="00F8388B" w:rsidP="009E3821">
            <w:pPr>
              <w:jc w:val="center"/>
              <w:rPr>
                <w:rFonts w:ascii="Arial" w:hAnsi="Arial" w:cs="Arial"/>
              </w:rPr>
            </w:pPr>
            <w:r w:rsidRPr="009E3821">
              <w:rPr>
                <w:rFonts w:ascii="Arial" w:hAnsi="Arial" w:cs="Arial"/>
              </w:rPr>
              <w:t>p= 0,577</w:t>
            </w:r>
          </w:p>
        </w:tc>
      </w:tr>
      <w:tr w:rsidR="00F8388B" w:rsidRPr="009E3821" w14:paraId="695B7491" w14:textId="77777777" w:rsidTr="009E3821">
        <w:trPr>
          <w:trHeight w:val="300"/>
          <w:jc w:val="center"/>
        </w:trPr>
        <w:tc>
          <w:tcPr>
            <w:tcW w:w="2628" w:type="dxa"/>
            <w:tcMar>
              <w:top w:w="0" w:type="dxa"/>
              <w:left w:w="45" w:type="dxa"/>
              <w:bottom w:w="0" w:type="dxa"/>
              <w:right w:w="45" w:type="dxa"/>
            </w:tcMar>
            <w:hideMark/>
          </w:tcPr>
          <w:p w14:paraId="3339C9B2" w14:textId="77777777" w:rsidR="00F8388B" w:rsidRPr="009E3821" w:rsidRDefault="00F8388B" w:rsidP="009E3821">
            <w:pPr>
              <w:rPr>
                <w:rFonts w:ascii="Arial" w:hAnsi="Arial" w:cs="Arial"/>
              </w:rPr>
            </w:pPr>
            <w:r w:rsidRPr="009E3821">
              <w:rPr>
                <w:rFonts w:ascii="Arial" w:hAnsi="Arial" w:cs="Arial"/>
              </w:rPr>
              <w:t>No</w:t>
            </w:r>
          </w:p>
        </w:tc>
        <w:tc>
          <w:tcPr>
            <w:tcW w:w="723" w:type="dxa"/>
            <w:tcMar>
              <w:top w:w="0" w:type="dxa"/>
              <w:left w:w="45" w:type="dxa"/>
              <w:bottom w:w="0" w:type="dxa"/>
              <w:right w:w="45" w:type="dxa"/>
            </w:tcMar>
            <w:vAlign w:val="bottom"/>
            <w:hideMark/>
          </w:tcPr>
          <w:p w14:paraId="4AFB8C41" w14:textId="77777777" w:rsidR="00F8388B" w:rsidRPr="009E3821" w:rsidRDefault="00F8388B" w:rsidP="009E3821">
            <w:pPr>
              <w:jc w:val="center"/>
              <w:rPr>
                <w:rFonts w:ascii="Arial" w:hAnsi="Arial" w:cs="Arial"/>
              </w:rPr>
            </w:pPr>
            <w:r w:rsidRPr="009E3821">
              <w:rPr>
                <w:rFonts w:ascii="Arial" w:hAnsi="Arial" w:cs="Arial"/>
              </w:rPr>
              <w:t>122</w:t>
            </w:r>
          </w:p>
        </w:tc>
        <w:tc>
          <w:tcPr>
            <w:tcW w:w="1134" w:type="dxa"/>
            <w:tcMar>
              <w:top w:w="0" w:type="dxa"/>
              <w:left w:w="45" w:type="dxa"/>
              <w:bottom w:w="0" w:type="dxa"/>
              <w:right w:w="45" w:type="dxa"/>
            </w:tcMar>
            <w:vAlign w:val="bottom"/>
            <w:hideMark/>
          </w:tcPr>
          <w:p w14:paraId="2F40643E" w14:textId="77777777" w:rsidR="00F8388B" w:rsidRPr="009E3821" w:rsidRDefault="00F8388B" w:rsidP="009E3821">
            <w:pPr>
              <w:jc w:val="center"/>
              <w:rPr>
                <w:rFonts w:ascii="Arial" w:hAnsi="Arial" w:cs="Arial"/>
              </w:rPr>
            </w:pPr>
            <w:r w:rsidRPr="009E3821">
              <w:rPr>
                <w:rFonts w:ascii="Arial" w:hAnsi="Arial" w:cs="Arial"/>
              </w:rPr>
              <w:t>85,3</w:t>
            </w:r>
          </w:p>
        </w:tc>
        <w:tc>
          <w:tcPr>
            <w:tcW w:w="567" w:type="dxa"/>
            <w:tcMar>
              <w:top w:w="0" w:type="dxa"/>
              <w:left w:w="45" w:type="dxa"/>
              <w:bottom w:w="0" w:type="dxa"/>
              <w:right w:w="45" w:type="dxa"/>
            </w:tcMar>
            <w:vAlign w:val="bottom"/>
            <w:hideMark/>
          </w:tcPr>
          <w:p w14:paraId="54527511" w14:textId="77777777" w:rsidR="00F8388B" w:rsidRPr="009E3821" w:rsidRDefault="00F8388B" w:rsidP="009E3821">
            <w:pPr>
              <w:jc w:val="center"/>
              <w:rPr>
                <w:rFonts w:ascii="Arial" w:hAnsi="Arial" w:cs="Arial"/>
              </w:rPr>
            </w:pPr>
            <w:r w:rsidRPr="009E3821">
              <w:rPr>
                <w:rFonts w:ascii="Arial" w:hAnsi="Arial" w:cs="Arial"/>
              </w:rPr>
              <w:t>121</w:t>
            </w:r>
          </w:p>
        </w:tc>
        <w:tc>
          <w:tcPr>
            <w:tcW w:w="992" w:type="dxa"/>
            <w:tcMar>
              <w:top w:w="0" w:type="dxa"/>
              <w:left w:w="45" w:type="dxa"/>
              <w:bottom w:w="0" w:type="dxa"/>
              <w:right w:w="45" w:type="dxa"/>
            </w:tcMar>
            <w:vAlign w:val="bottom"/>
            <w:hideMark/>
          </w:tcPr>
          <w:p w14:paraId="7A61DF25" w14:textId="77777777" w:rsidR="00F8388B" w:rsidRPr="009E3821" w:rsidRDefault="00F8388B" w:rsidP="009E3821">
            <w:pPr>
              <w:jc w:val="center"/>
              <w:rPr>
                <w:rFonts w:ascii="Arial" w:hAnsi="Arial" w:cs="Arial"/>
              </w:rPr>
            </w:pPr>
            <w:r w:rsidRPr="009E3821">
              <w:rPr>
                <w:rFonts w:ascii="Arial" w:hAnsi="Arial" w:cs="Arial"/>
              </w:rPr>
              <w:t>85,2</w:t>
            </w:r>
          </w:p>
        </w:tc>
        <w:tc>
          <w:tcPr>
            <w:tcW w:w="2268" w:type="dxa"/>
            <w:vMerge/>
            <w:vAlign w:val="center"/>
            <w:hideMark/>
          </w:tcPr>
          <w:p w14:paraId="17BA83B5" w14:textId="77777777" w:rsidR="00F8388B" w:rsidRPr="009E3821" w:rsidRDefault="00F8388B" w:rsidP="009E3821">
            <w:pPr>
              <w:rPr>
                <w:rFonts w:ascii="Arial" w:hAnsi="Arial" w:cs="Arial"/>
              </w:rPr>
            </w:pPr>
          </w:p>
        </w:tc>
      </w:tr>
      <w:tr w:rsidR="00F8388B" w:rsidRPr="009E3821" w14:paraId="41CF07E0" w14:textId="77777777" w:rsidTr="009E3821">
        <w:trPr>
          <w:trHeight w:val="300"/>
          <w:jc w:val="center"/>
        </w:trPr>
        <w:tc>
          <w:tcPr>
            <w:tcW w:w="2628" w:type="dxa"/>
            <w:hideMark/>
          </w:tcPr>
          <w:p w14:paraId="7493D941" w14:textId="77777777" w:rsidR="00F8388B" w:rsidRPr="009E3821" w:rsidRDefault="00F8388B" w:rsidP="009E3821">
            <w:pPr>
              <w:rPr>
                <w:rFonts w:ascii="Arial" w:hAnsi="Arial" w:cs="Arial"/>
                <w:b/>
              </w:rPr>
            </w:pPr>
            <w:r w:rsidRPr="009E3821">
              <w:rPr>
                <w:rFonts w:ascii="Arial" w:hAnsi="Arial" w:cs="Arial"/>
                <w:b/>
              </w:rPr>
              <w:lastRenderedPageBreak/>
              <w:t>Heart disease/previous ischemic event</w:t>
            </w:r>
          </w:p>
        </w:tc>
        <w:tc>
          <w:tcPr>
            <w:tcW w:w="723" w:type="dxa"/>
            <w:tcMar>
              <w:top w:w="0" w:type="dxa"/>
              <w:left w:w="45" w:type="dxa"/>
              <w:bottom w:w="0" w:type="dxa"/>
              <w:right w:w="45" w:type="dxa"/>
            </w:tcMar>
            <w:vAlign w:val="bottom"/>
          </w:tcPr>
          <w:p w14:paraId="6702991C" w14:textId="77777777" w:rsidR="00F8388B" w:rsidRPr="009E3821" w:rsidRDefault="00F8388B" w:rsidP="009E3821">
            <w:pPr>
              <w:rPr>
                <w:rFonts w:ascii="Arial" w:hAnsi="Arial" w:cs="Arial"/>
              </w:rPr>
            </w:pPr>
          </w:p>
        </w:tc>
        <w:tc>
          <w:tcPr>
            <w:tcW w:w="1134" w:type="dxa"/>
            <w:tcMar>
              <w:top w:w="0" w:type="dxa"/>
              <w:left w:w="45" w:type="dxa"/>
              <w:bottom w:w="0" w:type="dxa"/>
              <w:right w:w="45" w:type="dxa"/>
            </w:tcMar>
            <w:vAlign w:val="bottom"/>
          </w:tcPr>
          <w:p w14:paraId="69B8A2CF" w14:textId="77777777" w:rsidR="00F8388B" w:rsidRPr="009E3821" w:rsidRDefault="00F8388B" w:rsidP="009E3821">
            <w:pPr>
              <w:rPr>
                <w:rFonts w:ascii="Arial" w:hAnsi="Arial" w:cs="Arial"/>
              </w:rPr>
            </w:pPr>
          </w:p>
        </w:tc>
        <w:tc>
          <w:tcPr>
            <w:tcW w:w="567" w:type="dxa"/>
            <w:tcMar>
              <w:top w:w="0" w:type="dxa"/>
              <w:left w:w="45" w:type="dxa"/>
              <w:bottom w:w="0" w:type="dxa"/>
              <w:right w:w="45" w:type="dxa"/>
            </w:tcMar>
            <w:vAlign w:val="bottom"/>
          </w:tcPr>
          <w:p w14:paraId="6B4ABEA8" w14:textId="77777777" w:rsidR="00F8388B" w:rsidRPr="009E3821" w:rsidRDefault="00F8388B" w:rsidP="009E3821">
            <w:pPr>
              <w:rPr>
                <w:rFonts w:ascii="Arial" w:hAnsi="Arial" w:cs="Arial"/>
              </w:rPr>
            </w:pPr>
          </w:p>
        </w:tc>
        <w:tc>
          <w:tcPr>
            <w:tcW w:w="992" w:type="dxa"/>
            <w:tcMar>
              <w:top w:w="0" w:type="dxa"/>
              <w:left w:w="45" w:type="dxa"/>
              <w:bottom w:w="0" w:type="dxa"/>
              <w:right w:w="45" w:type="dxa"/>
            </w:tcMar>
            <w:vAlign w:val="bottom"/>
          </w:tcPr>
          <w:p w14:paraId="2D811C9B" w14:textId="77777777" w:rsidR="00F8388B" w:rsidRPr="009E3821" w:rsidRDefault="00F8388B" w:rsidP="009E3821">
            <w:pPr>
              <w:rPr>
                <w:rFonts w:ascii="Arial" w:hAnsi="Arial" w:cs="Arial"/>
              </w:rPr>
            </w:pPr>
          </w:p>
        </w:tc>
        <w:tc>
          <w:tcPr>
            <w:tcW w:w="2268" w:type="dxa"/>
            <w:tcMar>
              <w:top w:w="0" w:type="dxa"/>
              <w:left w:w="45" w:type="dxa"/>
              <w:bottom w:w="0" w:type="dxa"/>
              <w:right w:w="45" w:type="dxa"/>
            </w:tcMar>
            <w:vAlign w:val="bottom"/>
          </w:tcPr>
          <w:p w14:paraId="4D333D99" w14:textId="77777777" w:rsidR="00F8388B" w:rsidRPr="009E3821" w:rsidRDefault="00F8388B" w:rsidP="009E3821">
            <w:pPr>
              <w:rPr>
                <w:rFonts w:ascii="Arial" w:hAnsi="Arial" w:cs="Arial"/>
              </w:rPr>
            </w:pPr>
          </w:p>
        </w:tc>
      </w:tr>
      <w:tr w:rsidR="00F8388B" w:rsidRPr="009E3821" w14:paraId="5F2C0F11" w14:textId="77777777" w:rsidTr="009E3821">
        <w:trPr>
          <w:trHeight w:val="300"/>
          <w:jc w:val="center"/>
        </w:trPr>
        <w:tc>
          <w:tcPr>
            <w:tcW w:w="2628" w:type="dxa"/>
            <w:tcMar>
              <w:top w:w="0" w:type="dxa"/>
              <w:left w:w="45" w:type="dxa"/>
              <w:bottom w:w="0" w:type="dxa"/>
              <w:right w:w="45" w:type="dxa"/>
            </w:tcMar>
            <w:hideMark/>
          </w:tcPr>
          <w:p w14:paraId="3E6DE86D" w14:textId="77777777" w:rsidR="00F8388B" w:rsidRPr="009E3821" w:rsidRDefault="00F8388B" w:rsidP="009E3821">
            <w:pPr>
              <w:rPr>
                <w:rFonts w:ascii="Arial" w:hAnsi="Arial" w:cs="Arial"/>
              </w:rPr>
            </w:pPr>
            <w:r w:rsidRPr="009E3821">
              <w:rPr>
                <w:rFonts w:ascii="Arial" w:hAnsi="Arial" w:cs="Arial"/>
              </w:rPr>
              <w:t>Yes</w:t>
            </w:r>
          </w:p>
        </w:tc>
        <w:tc>
          <w:tcPr>
            <w:tcW w:w="723" w:type="dxa"/>
            <w:tcMar>
              <w:top w:w="0" w:type="dxa"/>
              <w:left w:w="45" w:type="dxa"/>
              <w:bottom w:w="0" w:type="dxa"/>
              <w:right w:w="45" w:type="dxa"/>
            </w:tcMar>
            <w:vAlign w:val="bottom"/>
            <w:hideMark/>
          </w:tcPr>
          <w:p w14:paraId="197A8573" w14:textId="77777777" w:rsidR="00F8388B" w:rsidRPr="009E3821" w:rsidRDefault="00F8388B" w:rsidP="009E3821">
            <w:pPr>
              <w:jc w:val="center"/>
              <w:rPr>
                <w:rFonts w:ascii="Arial" w:hAnsi="Arial" w:cs="Arial"/>
              </w:rPr>
            </w:pPr>
            <w:r w:rsidRPr="009E3821">
              <w:rPr>
                <w:rFonts w:ascii="Arial" w:hAnsi="Arial" w:cs="Arial"/>
              </w:rPr>
              <w:t>13</w:t>
            </w:r>
          </w:p>
        </w:tc>
        <w:tc>
          <w:tcPr>
            <w:tcW w:w="1134" w:type="dxa"/>
            <w:tcMar>
              <w:top w:w="0" w:type="dxa"/>
              <w:left w:w="45" w:type="dxa"/>
              <w:bottom w:w="0" w:type="dxa"/>
              <w:right w:w="45" w:type="dxa"/>
            </w:tcMar>
            <w:vAlign w:val="bottom"/>
            <w:hideMark/>
          </w:tcPr>
          <w:p w14:paraId="0C5E5D2E" w14:textId="77777777" w:rsidR="00F8388B" w:rsidRPr="009E3821" w:rsidRDefault="00F8388B" w:rsidP="009E3821">
            <w:pPr>
              <w:jc w:val="center"/>
              <w:rPr>
                <w:rFonts w:ascii="Arial" w:hAnsi="Arial" w:cs="Arial"/>
              </w:rPr>
            </w:pPr>
            <w:r w:rsidRPr="009E3821">
              <w:rPr>
                <w:rFonts w:ascii="Arial" w:hAnsi="Arial" w:cs="Arial"/>
              </w:rPr>
              <w:t>9,1</w:t>
            </w:r>
          </w:p>
        </w:tc>
        <w:tc>
          <w:tcPr>
            <w:tcW w:w="567" w:type="dxa"/>
            <w:tcMar>
              <w:top w:w="0" w:type="dxa"/>
              <w:left w:w="45" w:type="dxa"/>
              <w:bottom w:w="0" w:type="dxa"/>
              <w:right w:w="45" w:type="dxa"/>
            </w:tcMar>
            <w:vAlign w:val="bottom"/>
            <w:hideMark/>
          </w:tcPr>
          <w:p w14:paraId="1B295D5E" w14:textId="77777777" w:rsidR="00F8388B" w:rsidRPr="009E3821" w:rsidRDefault="00F8388B" w:rsidP="009E3821">
            <w:pPr>
              <w:jc w:val="center"/>
              <w:rPr>
                <w:rFonts w:ascii="Arial" w:hAnsi="Arial" w:cs="Arial"/>
              </w:rPr>
            </w:pPr>
            <w:r w:rsidRPr="009E3821">
              <w:rPr>
                <w:rFonts w:ascii="Arial" w:hAnsi="Arial" w:cs="Arial"/>
              </w:rPr>
              <w:t>19</w:t>
            </w:r>
          </w:p>
        </w:tc>
        <w:tc>
          <w:tcPr>
            <w:tcW w:w="992" w:type="dxa"/>
            <w:tcMar>
              <w:top w:w="0" w:type="dxa"/>
              <w:left w:w="45" w:type="dxa"/>
              <w:bottom w:w="0" w:type="dxa"/>
              <w:right w:w="45" w:type="dxa"/>
            </w:tcMar>
            <w:vAlign w:val="bottom"/>
            <w:hideMark/>
          </w:tcPr>
          <w:p w14:paraId="1CEFA6B5" w14:textId="77777777" w:rsidR="00F8388B" w:rsidRPr="009E3821" w:rsidRDefault="00F8388B" w:rsidP="009E3821">
            <w:pPr>
              <w:jc w:val="center"/>
              <w:rPr>
                <w:rFonts w:ascii="Arial" w:hAnsi="Arial" w:cs="Arial"/>
              </w:rPr>
            </w:pPr>
            <w:r w:rsidRPr="009E3821">
              <w:rPr>
                <w:rFonts w:ascii="Arial" w:hAnsi="Arial" w:cs="Arial"/>
              </w:rPr>
              <w:t>13,4</w:t>
            </w:r>
          </w:p>
        </w:tc>
        <w:tc>
          <w:tcPr>
            <w:tcW w:w="2268" w:type="dxa"/>
            <w:vMerge w:val="restart"/>
            <w:tcMar>
              <w:top w:w="0" w:type="dxa"/>
              <w:left w:w="45" w:type="dxa"/>
              <w:bottom w:w="0" w:type="dxa"/>
              <w:right w:w="45" w:type="dxa"/>
            </w:tcMar>
            <w:vAlign w:val="center"/>
            <w:hideMark/>
          </w:tcPr>
          <w:p w14:paraId="30DB3324" w14:textId="77777777" w:rsidR="00F8388B" w:rsidRPr="009E3821" w:rsidRDefault="00F8388B" w:rsidP="009E3821">
            <w:pPr>
              <w:jc w:val="center"/>
              <w:rPr>
                <w:rFonts w:ascii="Arial" w:hAnsi="Arial" w:cs="Arial"/>
              </w:rPr>
            </w:pPr>
            <w:r w:rsidRPr="009E3821">
              <w:rPr>
                <w:rFonts w:ascii="Arial" w:hAnsi="Arial" w:cs="Arial"/>
              </w:rPr>
              <w:t>X</w:t>
            </w:r>
            <w:r w:rsidRPr="009E3821">
              <w:rPr>
                <w:rFonts w:ascii="Arial" w:hAnsi="Arial" w:cs="Arial"/>
                <w:vertAlign w:val="superscript"/>
              </w:rPr>
              <w:t>2</w:t>
            </w:r>
            <w:r w:rsidRPr="009E3821">
              <w:rPr>
                <w:rFonts w:ascii="Arial" w:hAnsi="Arial" w:cs="Arial"/>
              </w:rPr>
              <w:t>= 1,315;</w:t>
            </w:r>
          </w:p>
          <w:p w14:paraId="6445A732" w14:textId="77777777" w:rsidR="00F8388B" w:rsidRPr="009E3821" w:rsidRDefault="00F8388B" w:rsidP="009E3821">
            <w:pPr>
              <w:jc w:val="center"/>
              <w:rPr>
                <w:rFonts w:ascii="Arial" w:hAnsi="Arial" w:cs="Arial"/>
              </w:rPr>
            </w:pPr>
            <w:r w:rsidRPr="009E3821">
              <w:rPr>
                <w:rFonts w:ascii="Arial" w:hAnsi="Arial" w:cs="Arial"/>
              </w:rPr>
              <w:t>p= 0,169</w:t>
            </w:r>
          </w:p>
        </w:tc>
      </w:tr>
      <w:tr w:rsidR="00F8388B" w:rsidRPr="009E3821" w14:paraId="1BD57C1C" w14:textId="77777777" w:rsidTr="009E3821">
        <w:trPr>
          <w:trHeight w:val="300"/>
          <w:jc w:val="center"/>
        </w:trPr>
        <w:tc>
          <w:tcPr>
            <w:tcW w:w="2628" w:type="dxa"/>
            <w:tcMar>
              <w:top w:w="0" w:type="dxa"/>
              <w:left w:w="45" w:type="dxa"/>
              <w:bottom w:w="0" w:type="dxa"/>
              <w:right w:w="45" w:type="dxa"/>
            </w:tcMar>
            <w:hideMark/>
          </w:tcPr>
          <w:p w14:paraId="384ADA37" w14:textId="77777777" w:rsidR="00F8388B" w:rsidRPr="009E3821" w:rsidRDefault="00F8388B" w:rsidP="009E3821">
            <w:pPr>
              <w:rPr>
                <w:rFonts w:ascii="Arial" w:hAnsi="Arial" w:cs="Arial"/>
              </w:rPr>
            </w:pPr>
            <w:r w:rsidRPr="009E3821">
              <w:rPr>
                <w:rFonts w:ascii="Arial" w:hAnsi="Arial" w:cs="Arial"/>
              </w:rPr>
              <w:t>No</w:t>
            </w:r>
          </w:p>
        </w:tc>
        <w:tc>
          <w:tcPr>
            <w:tcW w:w="723" w:type="dxa"/>
            <w:tcMar>
              <w:top w:w="0" w:type="dxa"/>
              <w:left w:w="45" w:type="dxa"/>
              <w:bottom w:w="0" w:type="dxa"/>
              <w:right w:w="45" w:type="dxa"/>
            </w:tcMar>
            <w:vAlign w:val="bottom"/>
            <w:hideMark/>
          </w:tcPr>
          <w:p w14:paraId="2AA23E0F" w14:textId="77777777" w:rsidR="00F8388B" w:rsidRPr="009E3821" w:rsidRDefault="00F8388B" w:rsidP="009E3821">
            <w:pPr>
              <w:jc w:val="center"/>
              <w:rPr>
                <w:rFonts w:ascii="Arial" w:hAnsi="Arial" w:cs="Arial"/>
              </w:rPr>
            </w:pPr>
            <w:r w:rsidRPr="009E3821">
              <w:rPr>
                <w:rFonts w:ascii="Arial" w:hAnsi="Arial" w:cs="Arial"/>
              </w:rPr>
              <w:t>130</w:t>
            </w:r>
          </w:p>
        </w:tc>
        <w:tc>
          <w:tcPr>
            <w:tcW w:w="1134" w:type="dxa"/>
            <w:tcMar>
              <w:top w:w="0" w:type="dxa"/>
              <w:left w:w="45" w:type="dxa"/>
              <w:bottom w:w="0" w:type="dxa"/>
              <w:right w:w="45" w:type="dxa"/>
            </w:tcMar>
            <w:vAlign w:val="bottom"/>
            <w:hideMark/>
          </w:tcPr>
          <w:p w14:paraId="2D338344" w14:textId="77777777" w:rsidR="00F8388B" w:rsidRPr="009E3821" w:rsidRDefault="00F8388B" w:rsidP="009E3821">
            <w:pPr>
              <w:jc w:val="center"/>
              <w:rPr>
                <w:rFonts w:ascii="Arial" w:hAnsi="Arial" w:cs="Arial"/>
              </w:rPr>
            </w:pPr>
            <w:r w:rsidRPr="009E3821">
              <w:rPr>
                <w:rFonts w:ascii="Arial" w:hAnsi="Arial" w:cs="Arial"/>
              </w:rPr>
              <w:t>90,9</w:t>
            </w:r>
          </w:p>
        </w:tc>
        <w:tc>
          <w:tcPr>
            <w:tcW w:w="567" w:type="dxa"/>
            <w:tcMar>
              <w:top w:w="0" w:type="dxa"/>
              <w:left w:w="45" w:type="dxa"/>
              <w:bottom w:w="0" w:type="dxa"/>
              <w:right w:w="45" w:type="dxa"/>
            </w:tcMar>
            <w:vAlign w:val="bottom"/>
            <w:hideMark/>
          </w:tcPr>
          <w:p w14:paraId="2C3F9BED" w14:textId="77777777" w:rsidR="00F8388B" w:rsidRPr="009E3821" w:rsidRDefault="00F8388B" w:rsidP="009E3821">
            <w:pPr>
              <w:jc w:val="center"/>
              <w:rPr>
                <w:rFonts w:ascii="Arial" w:hAnsi="Arial" w:cs="Arial"/>
              </w:rPr>
            </w:pPr>
            <w:r w:rsidRPr="009E3821">
              <w:rPr>
                <w:rFonts w:ascii="Arial" w:hAnsi="Arial" w:cs="Arial"/>
              </w:rPr>
              <w:t>123</w:t>
            </w:r>
          </w:p>
        </w:tc>
        <w:tc>
          <w:tcPr>
            <w:tcW w:w="992" w:type="dxa"/>
            <w:tcMar>
              <w:top w:w="0" w:type="dxa"/>
              <w:left w:w="45" w:type="dxa"/>
              <w:bottom w:w="0" w:type="dxa"/>
              <w:right w:w="45" w:type="dxa"/>
            </w:tcMar>
            <w:vAlign w:val="bottom"/>
            <w:hideMark/>
          </w:tcPr>
          <w:p w14:paraId="1F4D8CDF" w14:textId="77777777" w:rsidR="00F8388B" w:rsidRPr="009E3821" w:rsidRDefault="00F8388B" w:rsidP="009E3821">
            <w:pPr>
              <w:jc w:val="center"/>
              <w:rPr>
                <w:rFonts w:ascii="Arial" w:hAnsi="Arial" w:cs="Arial"/>
              </w:rPr>
            </w:pPr>
            <w:r w:rsidRPr="009E3821">
              <w:rPr>
                <w:rFonts w:ascii="Arial" w:hAnsi="Arial" w:cs="Arial"/>
              </w:rPr>
              <w:t>86,6</w:t>
            </w:r>
          </w:p>
        </w:tc>
        <w:tc>
          <w:tcPr>
            <w:tcW w:w="2268" w:type="dxa"/>
            <w:vMerge/>
            <w:vAlign w:val="center"/>
            <w:hideMark/>
          </w:tcPr>
          <w:p w14:paraId="7D21FC35" w14:textId="77777777" w:rsidR="00F8388B" w:rsidRPr="009E3821" w:rsidRDefault="00F8388B" w:rsidP="009E3821">
            <w:pPr>
              <w:rPr>
                <w:rFonts w:ascii="Arial" w:hAnsi="Arial" w:cs="Arial"/>
              </w:rPr>
            </w:pPr>
          </w:p>
        </w:tc>
      </w:tr>
      <w:tr w:rsidR="00F8388B" w:rsidRPr="009E3821" w14:paraId="32F17ABF" w14:textId="77777777" w:rsidTr="009E3821">
        <w:trPr>
          <w:trHeight w:val="300"/>
          <w:jc w:val="center"/>
        </w:trPr>
        <w:tc>
          <w:tcPr>
            <w:tcW w:w="2628" w:type="dxa"/>
            <w:tcMar>
              <w:top w:w="0" w:type="dxa"/>
              <w:left w:w="45" w:type="dxa"/>
              <w:bottom w:w="0" w:type="dxa"/>
              <w:right w:w="45" w:type="dxa"/>
            </w:tcMar>
            <w:hideMark/>
          </w:tcPr>
          <w:p w14:paraId="68070594" w14:textId="77777777" w:rsidR="00F8388B" w:rsidRPr="009E3821" w:rsidRDefault="00F8388B" w:rsidP="009E3821">
            <w:pPr>
              <w:rPr>
                <w:rFonts w:ascii="Arial" w:hAnsi="Arial" w:cs="Arial"/>
                <w:b/>
              </w:rPr>
            </w:pPr>
            <w:r w:rsidRPr="009E3821">
              <w:rPr>
                <w:rFonts w:ascii="Arial" w:hAnsi="Arial" w:cs="Arial"/>
                <w:b/>
              </w:rPr>
              <w:t>Other morbidity</w:t>
            </w:r>
          </w:p>
        </w:tc>
        <w:tc>
          <w:tcPr>
            <w:tcW w:w="723" w:type="dxa"/>
            <w:tcMar>
              <w:top w:w="0" w:type="dxa"/>
              <w:left w:w="45" w:type="dxa"/>
              <w:bottom w:w="0" w:type="dxa"/>
              <w:right w:w="45" w:type="dxa"/>
            </w:tcMar>
            <w:vAlign w:val="bottom"/>
          </w:tcPr>
          <w:p w14:paraId="706DDC93" w14:textId="77777777" w:rsidR="00F8388B" w:rsidRPr="009E3821" w:rsidRDefault="00F8388B" w:rsidP="009E3821">
            <w:pPr>
              <w:rPr>
                <w:rFonts w:ascii="Arial" w:hAnsi="Arial" w:cs="Arial"/>
              </w:rPr>
            </w:pPr>
          </w:p>
        </w:tc>
        <w:tc>
          <w:tcPr>
            <w:tcW w:w="1134" w:type="dxa"/>
            <w:tcMar>
              <w:top w:w="0" w:type="dxa"/>
              <w:left w:w="45" w:type="dxa"/>
              <w:bottom w:w="0" w:type="dxa"/>
              <w:right w:w="45" w:type="dxa"/>
            </w:tcMar>
            <w:vAlign w:val="bottom"/>
          </w:tcPr>
          <w:p w14:paraId="41B3DD20" w14:textId="77777777" w:rsidR="00F8388B" w:rsidRPr="009E3821" w:rsidRDefault="00F8388B" w:rsidP="009E3821">
            <w:pPr>
              <w:rPr>
                <w:rFonts w:ascii="Arial" w:hAnsi="Arial" w:cs="Arial"/>
              </w:rPr>
            </w:pPr>
          </w:p>
        </w:tc>
        <w:tc>
          <w:tcPr>
            <w:tcW w:w="567" w:type="dxa"/>
            <w:tcMar>
              <w:top w:w="0" w:type="dxa"/>
              <w:left w:w="45" w:type="dxa"/>
              <w:bottom w:w="0" w:type="dxa"/>
              <w:right w:w="45" w:type="dxa"/>
            </w:tcMar>
            <w:vAlign w:val="bottom"/>
          </w:tcPr>
          <w:p w14:paraId="2C36F9DB" w14:textId="77777777" w:rsidR="00F8388B" w:rsidRPr="009E3821" w:rsidRDefault="00F8388B" w:rsidP="009E3821">
            <w:pPr>
              <w:rPr>
                <w:rFonts w:ascii="Arial" w:hAnsi="Arial" w:cs="Arial"/>
              </w:rPr>
            </w:pPr>
          </w:p>
        </w:tc>
        <w:tc>
          <w:tcPr>
            <w:tcW w:w="992" w:type="dxa"/>
            <w:tcMar>
              <w:top w:w="0" w:type="dxa"/>
              <w:left w:w="45" w:type="dxa"/>
              <w:bottom w:w="0" w:type="dxa"/>
              <w:right w:w="45" w:type="dxa"/>
            </w:tcMar>
            <w:vAlign w:val="bottom"/>
          </w:tcPr>
          <w:p w14:paraId="541C093E" w14:textId="77777777" w:rsidR="00F8388B" w:rsidRPr="009E3821" w:rsidRDefault="00F8388B" w:rsidP="009E3821">
            <w:pPr>
              <w:rPr>
                <w:rFonts w:ascii="Arial" w:hAnsi="Arial" w:cs="Arial"/>
              </w:rPr>
            </w:pPr>
          </w:p>
        </w:tc>
        <w:tc>
          <w:tcPr>
            <w:tcW w:w="2268" w:type="dxa"/>
            <w:tcMar>
              <w:top w:w="0" w:type="dxa"/>
              <w:left w:w="45" w:type="dxa"/>
              <w:bottom w:w="0" w:type="dxa"/>
              <w:right w:w="45" w:type="dxa"/>
            </w:tcMar>
            <w:vAlign w:val="bottom"/>
          </w:tcPr>
          <w:p w14:paraId="529B82B0" w14:textId="77777777" w:rsidR="00F8388B" w:rsidRPr="009E3821" w:rsidRDefault="00F8388B" w:rsidP="009E3821">
            <w:pPr>
              <w:rPr>
                <w:rFonts w:ascii="Arial" w:hAnsi="Arial" w:cs="Arial"/>
              </w:rPr>
            </w:pPr>
          </w:p>
        </w:tc>
      </w:tr>
      <w:tr w:rsidR="00F8388B" w:rsidRPr="009E3821" w14:paraId="7F3CA528" w14:textId="77777777" w:rsidTr="009E3821">
        <w:trPr>
          <w:trHeight w:val="300"/>
          <w:jc w:val="center"/>
        </w:trPr>
        <w:tc>
          <w:tcPr>
            <w:tcW w:w="2628" w:type="dxa"/>
            <w:tcMar>
              <w:top w:w="0" w:type="dxa"/>
              <w:left w:w="45" w:type="dxa"/>
              <w:bottom w:w="0" w:type="dxa"/>
              <w:right w:w="45" w:type="dxa"/>
            </w:tcMar>
            <w:hideMark/>
          </w:tcPr>
          <w:p w14:paraId="74FEBEEF" w14:textId="77777777" w:rsidR="00F8388B" w:rsidRPr="009E3821" w:rsidRDefault="00F8388B" w:rsidP="009E3821">
            <w:pPr>
              <w:rPr>
                <w:rFonts w:ascii="Arial" w:hAnsi="Arial" w:cs="Arial"/>
              </w:rPr>
            </w:pPr>
            <w:r w:rsidRPr="009E3821">
              <w:rPr>
                <w:rFonts w:ascii="Arial" w:hAnsi="Arial" w:cs="Arial"/>
              </w:rPr>
              <w:t>Yes</w:t>
            </w:r>
          </w:p>
        </w:tc>
        <w:tc>
          <w:tcPr>
            <w:tcW w:w="723" w:type="dxa"/>
            <w:tcMar>
              <w:top w:w="0" w:type="dxa"/>
              <w:left w:w="45" w:type="dxa"/>
              <w:bottom w:w="0" w:type="dxa"/>
              <w:right w:w="45" w:type="dxa"/>
            </w:tcMar>
            <w:vAlign w:val="bottom"/>
            <w:hideMark/>
          </w:tcPr>
          <w:p w14:paraId="6BEFD6F3" w14:textId="77777777" w:rsidR="00F8388B" w:rsidRPr="009E3821" w:rsidRDefault="00F8388B" w:rsidP="009E3821">
            <w:pPr>
              <w:jc w:val="center"/>
              <w:rPr>
                <w:rFonts w:ascii="Arial" w:hAnsi="Arial" w:cs="Arial"/>
              </w:rPr>
            </w:pPr>
            <w:r w:rsidRPr="009E3821">
              <w:rPr>
                <w:rFonts w:ascii="Arial" w:hAnsi="Arial" w:cs="Arial"/>
              </w:rPr>
              <w:t>53</w:t>
            </w:r>
          </w:p>
        </w:tc>
        <w:tc>
          <w:tcPr>
            <w:tcW w:w="1134" w:type="dxa"/>
            <w:tcMar>
              <w:top w:w="0" w:type="dxa"/>
              <w:left w:w="45" w:type="dxa"/>
              <w:bottom w:w="0" w:type="dxa"/>
              <w:right w:w="45" w:type="dxa"/>
            </w:tcMar>
            <w:vAlign w:val="bottom"/>
            <w:hideMark/>
          </w:tcPr>
          <w:p w14:paraId="6B16197E" w14:textId="77777777" w:rsidR="00F8388B" w:rsidRPr="009E3821" w:rsidRDefault="00F8388B" w:rsidP="009E3821">
            <w:pPr>
              <w:jc w:val="center"/>
              <w:rPr>
                <w:rFonts w:ascii="Arial" w:hAnsi="Arial" w:cs="Arial"/>
              </w:rPr>
            </w:pPr>
            <w:r w:rsidRPr="009E3821">
              <w:rPr>
                <w:rFonts w:ascii="Arial" w:hAnsi="Arial" w:cs="Arial"/>
              </w:rPr>
              <w:t>37,1</w:t>
            </w:r>
          </w:p>
        </w:tc>
        <w:tc>
          <w:tcPr>
            <w:tcW w:w="567" w:type="dxa"/>
            <w:tcMar>
              <w:top w:w="0" w:type="dxa"/>
              <w:left w:w="45" w:type="dxa"/>
              <w:bottom w:w="0" w:type="dxa"/>
              <w:right w:w="45" w:type="dxa"/>
            </w:tcMar>
            <w:vAlign w:val="bottom"/>
            <w:hideMark/>
          </w:tcPr>
          <w:p w14:paraId="49DCE24C" w14:textId="77777777" w:rsidR="00F8388B" w:rsidRPr="009E3821" w:rsidRDefault="00F8388B" w:rsidP="009E3821">
            <w:pPr>
              <w:jc w:val="center"/>
              <w:rPr>
                <w:rFonts w:ascii="Arial" w:hAnsi="Arial" w:cs="Arial"/>
              </w:rPr>
            </w:pPr>
            <w:r w:rsidRPr="009E3821">
              <w:rPr>
                <w:rFonts w:ascii="Arial" w:hAnsi="Arial" w:cs="Arial"/>
              </w:rPr>
              <w:t>52</w:t>
            </w:r>
          </w:p>
        </w:tc>
        <w:tc>
          <w:tcPr>
            <w:tcW w:w="992" w:type="dxa"/>
            <w:tcMar>
              <w:top w:w="0" w:type="dxa"/>
              <w:left w:w="45" w:type="dxa"/>
              <w:bottom w:w="0" w:type="dxa"/>
              <w:right w:w="45" w:type="dxa"/>
            </w:tcMar>
            <w:vAlign w:val="bottom"/>
            <w:hideMark/>
          </w:tcPr>
          <w:p w14:paraId="39E24A43" w14:textId="77777777" w:rsidR="00F8388B" w:rsidRPr="009E3821" w:rsidRDefault="00F8388B" w:rsidP="009E3821">
            <w:pPr>
              <w:jc w:val="center"/>
              <w:rPr>
                <w:rFonts w:ascii="Arial" w:hAnsi="Arial" w:cs="Arial"/>
              </w:rPr>
            </w:pPr>
            <w:r w:rsidRPr="009E3821">
              <w:rPr>
                <w:rFonts w:ascii="Arial" w:hAnsi="Arial" w:cs="Arial"/>
              </w:rPr>
              <w:t>36,6</w:t>
            </w:r>
          </w:p>
        </w:tc>
        <w:tc>
          <w:tcPr>
            <w:tcW w:w="2268" w:type="dxa"/>
            <w:vMerge w:val="restart"/>
            <w:tcBorders>
              <w:top w:val="nil"/>
              <w:left w:val="nil"/>
              <w:bottom w:val="single" w:sz="12" w:space="0" w:color="000000"/>
              <w:right w:val="nil"/>
            </w:tcBorders>
            <w:tcMar>
              <w:top w:w="0" w:type="dxa"/>
              <w:left w:w="45" w:type="dxa"/>
              <w:bottom w:w="0" w:type="dxa"/>
              <w:right w:w="45" w:type="dxa"/>
            </w:tcMar>
            <w:vAlign w:val="center"/>
            <w:hideMark/>
          </w:tcPr>
          <w:p w14:paraId="3947BF36" w14:textId="77777777" w:rsidR="00F8388B" w:rsidRPr="009E3821" w:rsidRDefault="00F8388B" w:rsidP="009E3821">
            <w:pPr>
              <w:jc w:val="center"/>
              <w:rPr>
                <w:rFonts w:ascii="Arial" w:hAnsi="Arial" w:cs="Arial"/>
              </w:rPr>
            </w:pPr>
            <w:r w:rsidRPr="009E3821">
              <w:rPr>
                <w:rFonts w:ascii="Arial" w:hAnsi="Arial" w:cs="Arial"/>
              </w:rPr>
              <w:t>X</w:t>
            </w:r>
            <w:r w:rsidRPr="009E3821">
              <w:rPr>
                <w:rFonts w:ascii="Arial" w:hAnsi="Arial" w:cs="Arial"/>
                <w:vertAlign w:val="superscript"/>
              </w:rPr>
              <w:t>2</w:t>
            </w:r>
            <w:r w:rsidRPr="009E3821">
              <w:rPr>
                <w:rFonts w:ascii="Arial" w:hAnsi="Arial" w:cs="Arial"/>
              </w:rPr>
              <w:t>= 0,006;</w:t>
            </w:r>
          </w:p>
          <w:p w14:paraId="107F506A" w14:textId="77777777" w:rsidR="00F8388B" w:rsidRPr="009E3821" w:rsidRDefault="00F8388B" w:rsidP="009E3821">
            <w:pPr>
              <w:jc w:val="center"/>
              <w:rPr>
                <w:rFonts w:ascii="Arial" w:hAnsi="Arial" w:cs="Arial"/>
              </w:rPr>
            </w:pPr>
            <w:r w:rsidRPr="009E3821">
              <w:rPr>
                <w:rFonts w:ascii="Arial" w:hAnsi="Arial" w:cs="Arial"/>
              </w:rPr>
              <w:t>p= 0,518</w:t>
            </w:r>
          </w:p>
        </w:tc>
      </w:tr>
      <w:tr w:rsidR="00F8388B" w:rsidRPr="009E3821" w14:paraId="69DC63D4" w14:textId="77777777" w:rsidTr="009E3821">
        <w:trPr>
          <w:trHeight w:val="300"/>
          <w:jc w:val="center"/>
        </w:trPr>
        <w:tc>
          <w:tcPr>
            <w:tcW w:w="2628" w:type="dxa"/>
            <w:tcBorders>
              <w:top w:val="nil"/>
              <w:left w:val="nil"/>
              <w:bottom w:val="single" w:sz="12" w:space="0" w:color="000000"/>
              <w:right w:val="nil"/>
            </w:tcBorders>
            <w:tcMar>
              <w:top w:w="0" w:type="dxa"/>
              <w:left w:w="45" w:type="dxa"/>
              <w:bottom w:w="0" w:type="dxa"/>
              <w:right w:w="45" w:type="dxa"/>
            </w:tcMar>
            <w:hideMark/>
          </w:tcPr>
          <w:p w14:paraId="5498E7A4" w14:textId="77777777" w:rsidR="00F8388B" w:rsidRPr="009E3821" w:rsidRDefault="00F8388B" w:rsidP="009E3821">
            <w:pPr>
              <w:rPr>
                <w:rFonts w:ascii="Arial" w:hAnsi="Arial" w:cs="Arial"/>
              </w:rPr>
            </w:pPr>
            <w:r w:rsidRPr="009E3821">
              <w:rPr>
                <w:rFonts w:ascii="Arial" w:hAnsi="Arial" w:cs="Arial"/>
              </w:rPr>
              <w:t>No</w:t>
            </w:r>
          </w:p>
        </w:tc>
        <w:tc>
          <w:tcPr>
            <w:tcW w:w="723" w:type="dxa"/>
            <w:tcBorders>
              <w:top w:val="nil"/>
              <w:left w:val="nil"/>
              <w:bottom w:val="single" w:sz="12" w:space="0" w:color="000000"/>
              <w:right w:val="nil"/>
            </w:tcBorders>
            <w:tcMar>
              <w:top w:w="0" w:type="dxa"/>
              <w:left w:w="45" w:type="dxa"/>
              <w:bottom w:w="0" w:type="dxa"/>
              <w:right w:w="45" w:type="dxa"/>
            </w:tcMar>
            <w:vAlign w:val="bottom"/>
            <w:hideMark/>
          </w:tcPr>
          <w:p w14:paraId="08FB5F04" w14:textId="77777777" w:rsidR="00F8388B" w:rsidRPr="009E3821" w:rsidRDefault="00F8388B" w:rsidP="009E3821">
            <w:pPr>
              <w:jc w:val="center"/>
              <w:rPr>
                <w:rFonts w:ascii="Arial" w:hAnsi="Arial" w:cs="Arial"/>
              </w:rPr>
            </w:pPr>
            <w:r w:rsidRPr="009E3821">
              <w:rPr>
                <w:rFonts w:ascii="Arial" w:hAnsi="Arial" w:cs="Arial"/>
              </w:rPr>
              <w:t>90</w:t>
            </w:r>
          </w:p>
        </w:tc>
        <w:tc>
          <w:tcPr>
            <w:tcW w:w="1134" w:type="dxa"/>
            <w:tcBorders>
              <w:top w:val="nil"/>
              <w:left w:val="nil"/>
              <w:bottom w:val="single" w:sz="12" w:space="0" w:color="000000"/>
              <w:right w:val="nil"/>
            </w:tcBorders>
            <w:tcMar>
              <w:top w:w="0" w:type="dxa"/>
              <w:left w:w="45" w:type="dxa"/>
              <w:bottom w:w="0" w:type="dxa"/>
              <w:right w:w="45" w:type="dxa"/>
            </w:tcMar>
            <w:vAlign w:val="bottom"/>
            <w:hideMark/>
          </w:tcPr>
          <w:p w14:paraId="2E78C72A" w14:textId="77777777" w:rsidR="00F8388B" w:rsidRPr="009E3821" w:rsidRDefault="00F8388B" w:rsidP="009E3821">
            <w:pPr>
              <w:jc w:val="center"/>
              <w:rPr>
                <w:rFonts w:ascii="Arial" w:hAnsi="Arial" w:cs="Arial"/>
              </w:rPr>
            </w:pPr>
            <w:r w:rsidRPr="009E3821">
              <w:rPr>
                <w:rFonts w:ascii="Arial" w:hAnsi="Arial" w:cs="Arial"/>
              </w:rPr>
              <w:t>62,9</w:t>
            </w:r>
          </w:p>
        </w:tc>
        <w:tc>
          <w:tcPr>
            <w:tcW w:w="567" w:type="dxa"/>
            <w:tcBorders>
              <w:top w:val="nil"/>
              <w:left w:val="nil"/>
              <w:bottom w:val="single" w:sz="12" w:space="0" w:color="000000"/>
              <w:right w:val="nil"/>
            </w:tcBorders>
            <w:tcMar>
              <w:top w:w="0" w:type="dxa"/>
              <w:left w:w="45" w:type="dxa"/>
              <w:bottom w:w="0" w:type="dxa"/>
              <w:right w:w="45" w:type="dxa"/>
            </w:tcMar>
            <w:vAlign w:val="bottom"/>
            <w:hideMark/>
          </w:tcPr>
          <w:p w14:paraId="6A7D5E43" w14:textId="77777777" w:rsidR="00F8388B" w:rsidRPr="009E3821" w:rsidRDefault="00F8388B" w:rsidP="009E3821">
            <w:pPr>
              <w:jc w:val="center"/>
              <w:rPr>
                <w:rFonts w:ascii="Arial" w:hAnsi="Arial" w:cs="Arial"/>
              </w:rPr>
            </w:pPr>
            <w:r w:rsidRPr="009E3821">
              <w:rPr>
                <w:rFonts w:ascii="Arial" w:hAnsi="Arial" w:cs="Arial"/>
              </w:rPr>
              <w:t>90</w:t>
            </w:r>
          </w:p>
        </w:tc>
        <w:tc>
          <w:tcPr>
            <w:tcW w:w="992" w:type="dxa"/>
            <w:tcBorders>
              <w:top w:val="nil"/>
              <w:left w:val="nil"/>
              <w:bottom w:val="single" w:sz="12" w:space="0" w:color="000000"/>
              <w:right w:val="nil"/>
            </w:tcBorders>
            <w:tcMar>
              <w:top w:w="0" w:type="dxa"/>
              <w:left w:w="45" w:type="dxa"/>
              <w:bottom w:w="0" w:type="dxa"/>
              <w:right w:w="45" w:type="dxa"/>
            </w:tcMar>
            <w:vAlign w:val="bottom"/>
            <w:hideMark/>
          </w:tcPr>
          <w:p w14:paraId="66961F88" w14:textId="77777777" w:rsidR="00F8388B" w:rsidRPr="009E3821" w:rsidRDefault="00F8388B" w:rsidP="009E3821">
            <w:pPr>
              <w:jc w:val="center"/>
              <w:rPr>
                <w:rFonts w:ascii="Arial" w:hAnsi="Arial" w:cs="Arial"/>
              </w:rPr>
            </w:pPr>
            <w:r w:rsidRPr="009E3821">
              <w:rPr>
                <w:rFonts w:ascii="Arial" w:hAnsi="Arial" w:cs="Arial"/>
              </w:rPr>
              <w:t>63,4</w:t>
            </w:r>
          </w:p>
        </w:tc>
        <w:tc>
          <w:tcPr>
            <w:tcW w:w="2268" w:type="dxa"/>
            <w:vMerge/>
            <w:tcBorders>
              <w:top w:val="nil"/>
              <w:left w:val="nil"/>
              <w:bottom w:val="single" w:sz="12" w:space="0" w:color="000000"/>
              <w:right w:val="nil"/>
            </w:tcBorders>
            <w:vAlign w:val="center"/>
            <w:hideMark/>
          </w:tcPr>
          <w:p w14:paraId="28449387" w14:textId="77777777" w:rsidR="00F8388B" w:rsidRPr="009E3821" w:rsidRDefault="00F8388B" w:rsidP="009E3821">
            <w:pPr>
              <w:rPr>
                <w:rFonts w:ascii="Arial" w:hAnsi="Arial" w:cs="Arial"/>
              </w:rPr>
            </w:pPr>
          </w:p>
        </w:tc>
      </w:tr>
    </w:tbl>
    <w:p w14:paraId="46EEA849" w14:textId="77777777" w:rsidR="00F8388B" w:rsidRPr="00F8388B" w:rsidRDefault="00F8388B" w:rsidP="00F8388B">
      <w:pPr>
        <w:rPr>
          <w:rFonts w:ascii="Arial" w:hAnsi="Arial" w:cs="Arial"/>
        </w:rPr>
      </w:pPr>
      <w:r w:rsidRPr="00F8388B">
        <w:rPr>
          <w:rFonts w:ascii="Arial" w:hAnsi="Arial" w:cs="Arial"/>
        </w:rPr>
        <w:t>Source: The authors (2023).</w:t>
      </w:r>
    </w:p>
    <w:p w14:paraId="767FE72B" w14:textId="77777777" w:rsidR="00F8388B" w:rsidRDefault="00F8388B" w:rsidP="00FE535E">
      <w:pPr>
        <w:jc w:val="both"/>
        <w:rPr>
          <w:rFonts w:ascii="Arial" w:hAnsi="Arial" w:cs="Arial"/>
        </w:rPr>
      </w:pPr>
    </w:p>
    <w:p w14:paraId="225D61D6" w14:textId="77777777" w:rsidR="00FE535E" w:rsidRPr="006B0F6C" w:rsidRDefault="00FE535E" w:rsidP="00FE535E">
      <w:pPr>
        <w:jc w:val="both"/>
        <w:rPr>
          <w:rFonts w:ascii="Arial" w:hAnsi="Arial" w:cs="Arial"/>
        </w:rPr>
      </w:pPr>
      <w:r w:rsidRPr="006B0F6C">
        <w:rPr>
          <w:rFonts w:ascii="Arial" w:hAnsi="Arial" w:cs="Arial"/>
        </w:rPr>
        <w:t>The nursing predominated as the place of hospitalization in year 1 and the intensive care unit in year 2 (p = 0.339). The ventilation modality, the spectacle-type nasal cannula was used in both periods (76.2% in year 1 and 73.2% in year 2) (p = 0.562). Non-invasive ventilation was used in 32.9% in year 1 and 54.9% in year 2 (p &lt; 0.05). Invasive mechanical ventilation modalities were used in both years. In total, 29.4% of patients underwent orotracheal intubation in year 1 and 33.8% in year 2, while tracheostomy was used in 8.4% of patients in year 1 and 10.6% in year 2 (p = 0.531) (Table II).</w:t>
      </w:r>
    </w:p>
    <w:p w14:paraId="737F1852" w14:textId="77777777" w:rsidR="00FE535E" w:rsidRPr="006B0F6C" w:rsidRDefault="00FE535E" w:rsidP="00FE535E">
      <w:pPr>
        <w:jc w:val="both"/>
        <w:rPr>
          <w:rFonts w:ascii="Arial" w:hAnsi="Arial" w:cs="Arial"/>
        </w:rPr>
      </w:pPr>
      <w:r w:rsidRPr="006B0F6C">
        <w:rPr>
          <w:rFonts w:ascii="Arial" w:hAnsi="Arial" w:cs="Arial"/>
        </w:rPr>
        <w:t>Smaller percentages of patients required procedures during hospitalization, the main ones being: chest tubes (7.0% in year 1 and 3.5% in year 2) (p = 0.189) and hemodialysis (7.7% in year 1 and 6.3% in year 2) (p = 0.655). As for the medication, antibiotics were widely used in both study periods (p = 0.318), as were anticoagulants (p = 0.996). Blood components were used in the minority of cases (21.7% in year 1 and 17.6% in year 2) (p = 0.387). Complications, such as hemodynamic shock and acid-base disorders, were present in both periods (57.3% in year 1 and 56.6% in year 2) (p = 0.864) (Table II).</w:t>
      </w:r>
    </w:p>
    <w:p w14:paraId="6DD4E9DD" w14:textId="77777777" w:rsidR="00FE535E" w:rsidRPr="006B0F6C" w:rsidRDefault="00FE535E" w:rsidP="00FE535E">
      <w:pPr>
        <w:jc w:val="both"/>
        <w:rPr>
          <w:rFonts w:ascii="Arial" w:hAnsi="Arial" w:cs="Arial"/>
        </w:rPr>
      </w:pPr>
      <w:r w:rsidRPr="006B0F6C">
        <w:rPr>
          <w:rFonts w:ascii="Arial" w:hAnsi="Arial" w:cs="Arial"/>
        </w:rPr>
        <w:t>With regard to imaging tests, isolated computed tomography scans were performed in 49.7% of patients in year 1 and 42.2% in year 2, unlike X-rays, which were prescribed in isolation for only a few patients (year 1 = 6.3% and year 2 = 7.0%). X-rays and computed tomography scans together in the same patient were prescribed for 42.7% in period 1 and 45.8% in period 2 (Table II).</w:t>
      </w:r>
    </w:p>
    <w:p w14:paraId="1C1CA8AA" w14:textId="77777777" w:rsidR="00FE535E" w:rsidRPr="006B0F6C" w:rsidRDefault="00FE535E" w:rsidP="00FE535E">
      <w:pPr>
        <w:jc w:val="both"/>
        <w:rPr>
          <w:rFonts w:ascii="Arial" w:hAnsi="Arial" w:cs="Arial"/>
        </w:rPr>
      </w:pPr>
      <w:r w:rsidRPr="006B0F6C">
        <w:rPr>
          <w:rFonts w:ascii="Arial" w:hAnsi="Arial" w:cs="Arial"/>
        </w:rPr>
        <w:t>Among those hospitalized with Covid-19 who underwent computed tomography scans, the results revealed the rate of pulmonary impairment, with the majority of patients (34.3%) having 50 to 75% pulmonary impairment in year 1. In year 2, the majority (40.1%) had 25 to 50% lung involvement (p &lt; 0.05) (Table II).</w:t>
      </w:r>
    </w:p>
    <w:p w14:paraId="127F5275" w14:textId="1EA95768" w:rsidR="00FE535E" w:rsidRDefault="00FE535E" w:rsidP="00FE535E">
      <w:pPr>
        <w:jc w:val="both"/>
        <w:rPr>
          <w:rFonts w:ascii="Arial" w:hAnsi="Arial" w:cs="Arial"/>
        </w:rPr>
      </w:pPr>
      <w:r w:rsidRPr="006B0F6C">
        <w:rPr>
          <w:rFonts w:ascii="Arial" w:hAnsi="Arial" w:cs="Arial"/>
        </w:rPr>
        <w:t>About the Covid-19 vaccine, no patient was immunized during year 1, as it was not yet available. In year 2, however, 28.2% of the medical records reported at least one dose (p &lt;0.05). With regard to the type of diet offered to patients in the two periods, the oral route prevailed (p = 0.161). As for the outcome, there were higher rates of discharge in both years (year 1 = 61.5% and year 2 = 61.3%), followed by death (year 1 = 31.5% and year 2 = 30.3%) and with less prevalence of transfer/evasion (p = 0.892) (Table II).</w:t>
      </w:r>
    </w:p>
    <w:p w14:paraId="618AE0E2" w14:textId="02AE119B" w:rsidR="00FE535E" w:rsidRPr="009E3821" w:rsidRDefault="00FE535E" w:rsidP="009E3821">
      <w:pPr>
        <w:jc w:val="center"/>
        <w:rPr>
          <w:rFonts w:ascii="Arial" w:hAnsi="Arial" w:cs="Arial"/>
          <w:b/>
          <w:bCs/>
        </w:rPr>
      </w:pPr>
    </w:p>
    <w:p w14:paraId="76EBE399" w14:textId="7ACE7515" w:rsidR="009E3821" w:rsidRPr="009E3821" w:rsidRDefault="009E3821" w:rsidP="009E3821">
      <w:pPr>
        <w:jc w:val="center"/>
        <w:rPr>
          <w:rFonts w:ascii="Arial" w:hAnsi="Arial" w:cs="Arial"/>
          <w:b/>
          <w:bCs/>
          <w:color w:val="000000"/>
        </w:rPr>
      </w:pPr>
      <w:r w:rsidRPr="009E3821">
        <w:rPr>
          <w:rFonts w:ascii="Arial" w:hAnsi="Arial" w:cs="Arial"/>
          <w:b/>
          <w:bCs/>
        </w:rPr>
        <w:t>Table II.  Profile of Covid-19 hospitalizations in a Brazilian public hospital. Year 1 (March 11, 2020 to March 11, 2021) and year 2 (March 12, 2021 to March 11, 2022). n = number of medical records consulted; X</w:t>
      </w:r>
      <w:r w:rsidRPr="009E3821">
        <w:rPr>
          <w:rFonts w:ascii="Arial" w:hAnsi="Arial" w:cs="Arial"/>
          <w:b/>
          <w:bCs/>
          <w:vertAlign w:val="superscript"/>
        </w:rPr>
        <w:t>2</w:t>
      </w:r>
      <w:r w:rsidRPr="009E3821">
        <w:rPr>
          <w:rFonts w:ascii="Arial" w:hAnsi="Arial" w:cs="Arial"/>
          <w:b/>
          <w:bCs/>
        </w:rPr>
        <w:t xml:space="preserve"> = Chi-squared test.</w:t>
      </w:r>
    </w:p>
    <w:tbl>
      <w:tblPr>
        <w:tblW w:w="8310" w:type="dxa"/>
        <w:tblInd w:w="-230" w:type="dxa"/>
        <w:tblLayout w:type="fixed"/>
        <w:tblLook w:val="0400" w:firstRow="0" w:lastRow="0" w:firstColumn="0" w:lastColumn="0" w:noHBand="0" w:noVBand="1"/>
      </w:tblPr>
      <w:tblGrid>
        <w:gridCol w:w="2755"/>
        <w:gridCol w:w="736"/>
        <w:gridCol w:w="708"/>
        <w:gridCol w:w="709"/>
        <w:gridCol w:w="851"/>
        <w:gridCol w:w="2551"/>
      </w:tblGrid>
      <w:tr w:rsidR="009E3821" w:rsidRPr="009E3821" w14:paraId="30228D2A" w14:textId="77777777" w:rsidTr="009E3821">
        <w:trPr>
          <w:trHeight w:val="300"/>
        </w:trPr>
        <w:tc>
          <w:tcPr>
            <w:tcW w:w="2755" w:type="dxa"/>
            <w:tcBorders>
              <w:top w:val="single" w:sz="12" w:space="0" w:color="000000"/>
              <w:left w:val="nil"/>
              <w:bottom w:val="single" w:sz="8" w:space="0" w:color="000000"/>
              <w:right w:val="nil"/>
            </w:tcBorders>
            <w:vAlign w:val="bottom"/>
          </w:tcPr>
          <w:p w14:paraId="528765D5" w14:textId="77777777" w:rsidR="009E3821" w:rsidRPr="009E3821" w:rsidRDefault="009E3821" w:rsidP="009E3821">
            <w:pPr>
              <w:rPr>
                <w:rFonts w:ascii="Arial" w:hAnsi="Arial" w:cs="Arial"/>
              </w:rPr>
            </w:pPr>
          </w:p>
        </w:tc>
        <w:tc>
          <w:tcPr>
            <w:tcW w:w="1444" w:type="dxa"/>
            <w:gridSpan w:val="2"/>
            <w:tcBorders>
              <w:top w:val="single" w:sz="12" w:space="0" w:color="000000"/>
              <w:left w:val="nil"/>
              <w:bottom w:val="single" w:sz="8" w:space="0" w:color="000000"/>
              <w:right w:val="nil"/>
            </w:tcBorders>
            <w:vAlign w:val="bottom"/>
          </w:tcPr>
          <w:p w14:paraId="2F5A82F5" w14:textId="77777777" w:rsidR="009E3821" w:rsidRPr="009E3821" w:rsidRDefault="009E3821" w:rsidP="009E3821">
            <w:pPr>
              <w:jc w:val="center"/>
              <w:rPr>
                <w:rFonts w:ascii="Arial" w:hAnsi="Arial" w:cs="Arial"/>
              </w:rPr>
            </w:pPr>
            <w:r w:rsidRPr="009E3821">
              <w:rPr>
                <w:rFonts w:ascii="Arial" w:hAnsi="Arial" w:cs="Arial"/>
                <w:b/>
              </w:rPr>
              <w:t>Year 1</w:t>
            </w:r>
            <w:r w:rsidRPr="009E3821">
              <w:rPr>
                <w:rFonts w:ascii="Arial" w:hAnsi="Arial" w:cs="Arial"/>
              </w:rPr>
              <w:t xml:space="preserve"> </w:t>
            </w:r>
          </w:p>
        </w:tc>
        <w:tc>
          <w:tcPr>
            <w:tcW w:w="1560" w:type="dxa"/>
            <w:gridSpan w:val="2"/>
            <w:tcBorders>
              <w:top w:val="single" w:sz="12" w:space="0" w:color="000000"/>
              <w:left w:val="nil"/>
              <w:bottom w:val="single" w:sz="8" w:space="0" w:color="000000"/>
              <w:right w:val="nil"/>
            </w:tcBorders>
            <w:vAlign w:val="bottom"/>
          </w:tcPr>
          <w:p w14:paraId="3E5EBE08" w14:textId="77777777" w:rsidR="009E3821" w:rsidRPr="009E3821" w:rsidRDefault="009E3821" w:rsidP="009E3821">
            <w:pPr>
              <w:jc w:val="center"/>
              <w:rPr>
                <w:rFonts w:ascii="Arial" w:hAnsi="Arial" w:cs="Arial"/>
              </w:rPr>
            </w:pPr>
            <w:r w:rsidRPr="009E3821">
              <w:rPr>
                <w:rFonts w:ascii="Arial" w:hAnsi="Arial" w:cs="Arial"/>
                <w:b/>
              </w:rPr>
              <w:t>Year 2</w:t>
            </w:r>
            <w:r w:rsidRPr="009E3821">
              <w:rPr>
                <w:rFonts w:ascii="Arial" w:hAnsi="Arial" w:cs="Arial"/>
              </w:rPr>
              <w:t xml:space="preserve"> </w:t>
            </w:r>
          </w:p>
        </w:tc>
        <w:tc>
          <w:tcPr>
            <w:tcW w:w="2551" w:type="dxa"/>
            <w:tcBorders>
              <w:top w:val="single" w:sz="12" w:space="0" w:color="000000"/>
              <w:left w:val="nil"/>
              <w:bottom w:val="single" w:sz="8" w:space="0" w:color="000000"/>
              <w:right w:val="nil"/>
            </w:tcBorders>
            <w:vAlign w:val="bottom"/>
          </w:tcPr>
          <w:p w14:paraId="53AD0841" w14:textId="77777777" w:rsidR="009E3821" w:rsidRPr="009E3821" w:rsidRDefault="009E3821" w:rsidP="009E3821">
            <w:pPr>
              <w:jc w:val="center"/>
              <w:rPr>
                <w:rFonts w:ascii="Arial" w:hAnsi="Arial" w:cs="Arial"/>
              </w:rPr>
            </w:pPr>
            <w:r w:rsidRPr="009E3821">
              <w:rPr>
                <w:rFonts w:ascii="Arial" w:hAnsi="Arial" w:cs="Arial"/>
              </w:rPr>
              <w:t xml:space="preserve"> </w:t>
            </w:r>
          </w:p>
        </w:tc>
      </w:tr>
      <w:tr w:rsidR="009E3821" w:rsidRPr="009E3821" w14:paraId="684E0AD9" w14:textId="77777777" w:rsidTr="009E3821">
        <w:trPr>
          <w:trHeight w:val="300"/>
        </w:trPr>
        <w:tc>
          <w:tcPr>
            <w:tcW w:w="2755" w:type="dxa"/>
            <w:tcBorders>
              <w:top w:val="single" w:sz="8" w:space="0" w:color="000000"/>
              <w:left w:val="nil"/>
              <w:bottom w:val="single" w:sz="8" w:space="0" w:color="000000"/>
              <w:right w:val="nil"/>
            </w:tcBorders>
            <w:vAlign w:val="bottom"/>
          </w:tcPr>
          <w:p w14:paraId="388E5F26" w14:textId="77777777" w:rsidR="009E3821" w:rsidRPr="009E3821" w:rsidRDefault="009E3821" w:rsidP="009E3821">
            <w:pPr>
              <w:rPr>
                <w:rFonts w:ascii="Arial" w:hAnsi="Arial" w:cs="Arial"/>
              </w:rPr>
            </w:pPr>
            <w:r w:rsidRPr="009E3821">
              <w:rPr>
                <w:rFonts w:ascii="Arial" w:hAnsi="Arial" w:cs="Arial"/>
                <w:b/>
              </w:rPr>
              <w:t>Variable</w:t>
            </w:r>
            <w:r w:rsidRPr="009E3821">
              <w:rPr>
                <w:rFonts w:ascii="Arial" w:hAnsi="Arial" w:cs="Arial"/>
              </w:rPr>
              <w:t xml:space="preserve"> </w:t>
            </w:r>
          </w:p>
        </w:tc>
        <w:tc>
          <w:tcPr>
            <w:tcW w:w="736" w:type="dxa"/>
            <w:tcBorders>
              <w:top w:val="single" w:sz="8" w:space="0" w:color="000000"/>
              <w:left w:val="nil"/>
              <w:bottom w:val="single" w:sz="8" w:space="0" w:color="000000"/>
              <w:right w:val="nil"/>
            </w:tcBorders>
            <w:vAlign w:val="bottom"/>
          </w:tcPr>
          <w:p w14:paraId="48E4F4F1" w14:textId="77777777" w:rsidR="009E3821" w:rsidRPr="009E3821" w:rsidRDefault="009E3821" w:rsidP="009E3821">
            <w:pPr>
              <w:jc w:val="center"/>
              <w:rPr>
                <w:rFonts w:ascii="Arial" w:hAnsi="Arial" w:cs="Arial"/>
              </w:rPr>
            </w:pPr>
            <w:r w:rsidRPr="009E3821">
              <w:rPr>
                <w:rFonts w:ascii="Arial" w:hAnsi="Arial" w:cs="Arial"/>
                <w:b/>
              </w:rPr>
              <w:t>n</w:t>
            </w:r>
            <w:r w:rsidRPr="009E3821">
              <w:rPr>
                <w:rFonts w:ascii="Arial" w:hAnsi="Arial" w:cs="Arial"/>
              </w:rPr>
              <w:t xml:space="preserve"> </w:t>
            </w:r>
          </w:p>
        </w:tc>
        <w:tc>
          <w:tcPr>
            <w:tcW w:w="708" w:type="dxa"/>
            <w:tcBorders>
              <w:top w:val="nil"/>
              <w:left w:val="nil"/>
              <w:bottom w:val="single" w:sz="8" w:space="0" w:color="000000"/>
              <w:right w:val="nil"/>
            </w:tcBorders>
            <w:vAlign w:val="bottom"/>
          </w:tcPr>
          <w:p w14:paraId="1295ADFA" w14:textId="77777777" w:rsidR="009E3821" w:rsidRPr="009E3821" w:rsidRDefault="009E3821" w:rsidP="009E3821">
            <w:pPr>
              <w:jc w:val="center"/>
              <w:rPr>
                <w:rFonts w:ascii="Arial" w:hAnsi="Arial" w:cs="Arial"/>
              </w:rPr>
            </w:pPr>
            <w:r w:rsidRPr="009E3821">
              <w:rPr>
                <w:rFonts w:ascii="Arial" w:hAnsi="Arial" w:cs="Arial"/>
                <w:b/>
              </w:rPr>
              <w:t>%</w:t>
            </w:r>
            <w:r w:rsidRPr="009E3821">
              <w:rPr>
                <w:rFonts w:ascii="Arial" w:hAnsi="Arial" w:cs="Arial"/>
              </w:rPr>
              <w:t xml:space="preserve"> </w:t>
            </w:r>
          </w:p>
        </w:tc>
        <w:tc>
          <w:tcPr>
            <w:tcW w:w="709" w:type="dxa"/>
            <w:tcBorders>
              <w:top w:val="single" w:sz="8" w:space="0" w:color="000000"/>
              <w:left w:val="nil"/>
              <w:bottom w:val="single" w:sz="8" w:space="0" w:color="000000"/>
              <w:right w:val="nil"/>
            </w:tcBorders>
            <w:vAlign w:val="bottom"/>
          </w:tcPr>
          <w:p w14:paraId="133FFCEE" w14:textId="77777777" w:rsidR="009E3821" w:rsidRPr="009E3821" w:rsidRDefault="009E3821" w:rsidP="009E3821">
            <w:pPr>
              <w:jc w:val="center"/>
              <w:rPr>
                <w:rFonts w:ascii="Arial" w:hAnsi="Arial" w:cs="Arial"/>
              </w:rPr>
            </w:pPr>
            <w:r w:rsidRPr="009E3821">
              <w:rPr>
                <w:rFonts w:ascii="Arial" w:hAnsi="Arial" w:cs="Arial"/>
                <w:b/>
              </w:rPr>
              <w:t>n</w:t>
            </w:r>
            <w:r w:rsidRPr="009E3821">
              <w:rPr>
                <w:rFonts w:ascii="Arial" w:hAnsi="Arial" w:cs="Arial"/>
              </w:rPr>
              <w:t xml:space="preserve"> </w:t>
            </w:r>
          </w:p>
        </w:tc>
        <w:tc>
          <w:tcPr>
            <w:tcW w:w="851" w:type="dxa"/>
            <w:tcBorders>
              <w:top w:val="nil"/>
              <w:left w:val="nil"/>
              <w:bottom w:val="single" w:sz="8" w:space="0" w:color="000000"/>
              <w:right w:val="nil"/>
            </w:tcBorders>
            <w:vAlign w:val="bottom"/>
          </w:tcPr>
          <w:p w14:paraId="18D6F747" w14:textId="77777777" w:rsidR="009E3821" w:rsidRPr="009E3821" w:rsidRDefault="009E3821" w:rsidP="009E3821">
            <w:pPr>
              <w:jc w:val="center"/>
              <w:rPr>
                <w:rFonts w:ascii="Arial" w:hAnsi="Arial" w:cs="Arial"/>
              </w:rPr>
            </w:pPr>
            <w:r w:rsidRPr="009E3821">
              <w:rPr>
                <w:rFonts w:ascii="Arial" w:hAnsi="Arial" w:cs="Arial"/>
                <w:b/>
              </w:rPr>
              <w:t>%</w:t>
            </w:r>
            <w:r w:rsidRPr="009E3821">
              <w:rPr>
                <w:rFonts w:ascii="Arial" w:hAnsi="Arial" w:cs="Arial"/>
              </w:rPr>
              <w:t xml:space="preserve"> </w:t>
            </w:r>
          </w:p>
        </w:tc>
        <w:tc>
          <w:tcPr>
            <w:tcW w:w="2551" w:type="dxa"/>
            <w:tcBorders>
              <w:top w:val="single" w:sz="8" w:space="0" w:color="000000"/>
              <w:left w:val="nil"/>
              <w:bottom w:val="single" w:sz="8" w:space="0" w:color="000000"/>
              <w:right w:val="nil"/>
            </w:tcBorders>
            <w:vAlign w:val="bottom"/>
          </w:tcPr>
          <w:p w14:paraId="09D916D8" w14:textId="77777777" w:rsidR="009E3821" w:rsidRPr="009E3821" w:rsidRDefault="009E3821" w:rsidP="009E3821">
            <w:pPr>
              <w:jc w:val="center"/>
              <w:rPr>
                <w:rFonts w:ascii="Arial" w:hAnsi="Arial" w:cs="Arial"/>
              </w:rPr>
            </w:pPr>
            <w:r w:rsidRPr="009E3821">
              <w:rPr>
                <w:rFonts w:ascii="Arial" w:hAnsi="Arial" w:cs="Arial"/>
                <w:b/>
              </w:rPr>
              <w:t>Significance</w:t>
            </w:r>
            <w:r w:rsidRPr="009E3821">
              <w:rPr>
                <w:rFonts w:ascii="Arial" w:hAnsi="Arial" w:cs="Arial"/>
              </w:rPr>
              <w:t xml:space="preserve"> </w:t>
            </w:r>
          </w:p>
        </w:tc>
      </w:tr>
      <w:tr w:rsidR="009E3821" w:rsidRPr="009E3821" w14:paraId="385FA561" w14:textId="77777777" w:rsidTr="009E3821">
        <w:trPr>
          <w:trHeight w:val="300"/>
        </w:trPr>
        <w:tc>
          <w:tcPr>
            <w:tcW w:w="2755" w:type="dxa"/>
            <w:tcBorders>
              <w:top w:val="single" w:sz="8" w:space="0" w:color="000000"/>
              <w:left w:val="nil"/>
              <w:bottom w:val="nil"/>
              <w:right w:val="nil"/>
            </w:tcBorders>
          </w:tcPr>
          <w:p w14:paraId="15031162" w14:textId="77777777" w:rsidR="009E3821" w:rsidRPr="009E3821" w:rsidRDefault="009E3821" w:rsidP="009E3821">
            <w:pPr>
              <w:rPr>
                <w:rFonts w:ascii="Arial" w:hAnsi="Arial" w:cs="Arial"/>
                <w:b/>
              </w:rPr>
            </w:pPr>
            <w:r w:rsidRPr="009E3821">
              <w:rPr>
                <w:rFonts w:ascii="Arial" w:hAnsi="Arial" w:cs="Arial"/>
                <w:b/>
              </w:rPr>
              <w:t xml:space="preserve">Place of hospitalization </w:t>
            </w:r>
          </w:p>
        </w:tc>
        <w:tc>
          <w:tcPr>
            <w:tcW w:w="736" w:type="dxa"/>
            <w:tcBorders>
              <w:top w:val="single" w:sz="8" w:space="0" w:color="000000"/>
              <w:left w:val="nil"/>
              <w:bottom w:val="nil"/>
              <w:right w:val="nil"/>
            </w:tcBorders>
            <w:vAlign w:val="bottom"/>
          </w:tcPr>
          <w:p w14:paraId="31BE9B51" w14:textId="77777777" w:rsidR="009E3821" w:rsidRPr="009E3821" w:rsidRDefault="009E3821" w:rsidP="009E3821">
            <w:pPr>
              <w:rPr>
                <w:rFonts w:ascii="Arial" w:hAnsi="Arial" w:cs="Arial"/>
              </w:rPr>
            </w:pPr>
            <w:r w:rsidRPr="009E3821">
              <w:rPr>
                <w:rFonts w:ascii="Arial" w:hAnsi="Arial" w:cs="Arial"/>
              </w:rPr>
              <w:t xml:space="preserve"> </w:t>
            </w:r>
          </w:p>
        </w:tc>
        <w:tc>
          <w:tcPr>
            <w:tcW w:w="708" w:type="dxa"/>
            <w:tcBorders>
              <w:top w:val="single" w:sz="8" w:space="0" w:color="000000"/>
              <w:left w:val="nil"/>
              <w:bottom w:val="nil"/>
              <w:right w:val="nil"/>
            </w:tcBorders>
            <w:vAlign w:val="bottom"/>
          </w:tcPr>
          <w:p w14:paraId="78594D89" w14:textId="77777777" w:rsidR="009E3821" w:rsidRPr="009E3821" w:rsidRDefault="009E3821" w:rsidP="009E3821">
            <w:pPr>
              <w:rPr>
                <w:rFonts w:ascii="Arial" w:hAnsi="Arial" w:cs="Arial"/>
              </w:rPr>
            </w:pPr>
            <w:r w:rsidRPr="009E3821">
              <w:rPr>
                <w:rFonts w:ascii="Arial" w:hAnsi="Arial" w:cs="Arial"/>
              </w:rPr>
              <w:t xml:space="preserve"> </w:t>
            </w:r>
          </w:p>
        </w:tc>
        <w:tc>
          <w:tcPr>
            <w:tcW w:w="709" w:type="dxa"/>
            <w:tcBorders>
              <w:top w:val="single" w:sz="8" w:space="0" w:color="000000"/>
              <w:left w:val="nil"/>
              <w:bottom w:val="nil"/>
              <w:right w:val="nil"/>
            </w:tcBorders>
            <w:vAlign w:val="bottom"/>
          </w:tcPr>
          <w:p w14:paraId="15007C2E" w14:textId="77777777" w:rsidR="009E3821" w:rsidRPr="009E3821" w:rsidRDefault="009E3821" w:rsidP="009E3821">
            <w:pPr>
              <w:rPr>
                <w:rFonts w:ascii="Arial" w:hAnsi="Arial" w:cs="Arial"/>
              </w:rPr>
            </w:pPr>
            <w:r w:rsidRPr="009E3821">
              <w:rPr>
                <w:rFonts w:ascii="Arial" w:hAnsi="Arial" w:cs="Arial"/>
              </w:rPr>
              <w:t xml:space="preserve"> </w:t>
            </w:r>
          </w:p>
        </w:tc>
        <w:tc>
          <w:tcPr>
            <w:tcW w:w="851" w:type="dxa"/>
            <w:tcBorders>
              <w:top w:val="single" w:sz="8" w:space="0" w:color="000000"/>
              <w:left w:val="nil"/>
              <w:bottom w:val="nil"/>
              <w:right w:val="nil"/>
            </w:tcBorders>
            <w:vAlign w:val="bottom"/>
          </w:tcPr>
          <w:p w14:paraId="4EA8AA7B" w14:textId="77777777" w:rsidR="009E3821" w:rsidRPr="009E3821" w:rsidRDefault="009E3821" w:rsidP="009E3821">
            <w:pPr>
              <w:rPr>
                <w:rFonts w:ascii="Arial" w:hAnsi="Arial" w:cs="Arial"/>
              </w:rPr>
            </w:pPr>
            <w:r w:rsidRPr="009E3821">
              <w:rPr>
                <w:rFonts w:ascii="Arial" w:hAnsi="Arial" w:cs="Arial"/>
              </w:rPr>
              <w:t xml:space="preserve"> </w:t>
            </w:r>
          </w:p>
        </w:tc>
        <w:tc>
          <w:tcPr>
            <w:tcW w:w="2551" w:type="dxa"/>
            <w:tcBorders>
              <w:top w:val="single" w:sz="8" w:space="0" w:color="000000"/>
              <w:left w:val="nil"/>
              <w:bottom w:val="nil"/>
              <w:right w:val="nil"/>
            </w:tcBorders>
            <w:vAlign w:val="bottom"/>
          </w:tcPr>
          <w:p w14:paraId="37A10C3F" w14:textId="77777777" w:rsidR="009E3821" w:rsidRPr="009E3821" w:rsidRDefault="009E3821" w:rsidP="009E3821">
            <w:pPr>
              <w:rPr>
                <w:rFonts w:ascii="Arial" w:hAnsi="Arial" w:cs="Arial"/>
              </w:rPr>
            </w:pPr>
            <w:r w:rsidRPr="009E3821">
              <w:rPr>
                <w:rFonts w:ascii="Arial" w:hAnsi="Arial" w:cs="Arial"/>
              </w:rPr>
              <w:t xml:space="preserve"> </w:t>
            </w:r>
          </w:p>
        </w:tc>
      </w:tr>
      <w:tr w:rsidR="009E3821" w:rsidRPr="009E3821" w14:paraId="6A4315C7" w14:textId="77777777" w:rsidTr="009E3821">
        <w:trPr>
          <w:trHeight w:val="300"/>
        </w:trPr>
        <w:tc>
          <w:tcPr>
            <w:tcW w:w="2755" w:type="dxa"/>
            <w:tcBorders>
              <w:top w:val="nil"/>
              <w:left w:val="nil"/>
              <w:bottom w:val="nil"/>
              <w:right w:val="nil"/>
            </w:tcBorders>
          </w:tcPr>
          <w:p w14:paraId="48584192" w14:textId="77777777" w:rsidR="009E3821" w:rsidRPr="009E3821" w:rsidRDefault="009E3821" w:rsidP="009E3821">
            <w:pPr>
              <w:rPr>
                <w:rFonts w:ascii="Arial" w:hAnsi="Arial" w:cs="Arial"/>
              </w:rPr>
            </w:pPr>
            <w:r w:rsidRPr="009E3821">
              <w:rPr>
                <w:rFonts w:ascii="Arial" w:hAnsi="Arial" w:cs="Arial"/>
              </w:rPr>
              <w:t xml:space="preserve">Nursing </w:t>
            </w:r>
          </w:p>
        </w:tc>
        <w:tc>
          <w:tcPr>
            <w:tcW w:w="736" w:type="dxa"/>
            <w:tcBorders>
              <w:top w:val="nil"/>
              <w:left w:val="nil"/>
              <w:bottom w:val="nil"/>
              <w:right w:val="nil"/>
            </w:tcBorders>
            <w:vAlign w:val="bottom"/>
          </w:tcPr>
          <w:p w14:paraId="7CD854E1" w14:textId="77777777" w:rsidR="009E3821" w:rsidRPr="009E3821" w:rsidRDefault="009E3821" w:rsidP="009E3821">
            <w:pPr>
              <w:jc w:val="center"/>
              <w:rPr>
                <w:rFonts w:ascii="Arial" w:hAnsi="Arial" w:cs="Arial"/>
              </w:rPr>
            </w:pPr>
            <w:r w:rsidRPr="009E3821">
              <w:rPr>
                <w:rFonts w:ascii="Arial" w:hAnsi="Arial" w:cs="Arial"/>
              </w:rPr>
              <w:t xml:space="preserve">74 </w:t>
            </w:r>
          </w:p>
        </w:tc>
        <w:tc>
          <w:tcPr>
            <w:tcW w:w="708" w:type="dxa"/>
            <w:tcBorders>
              <w:top w:val="nil"/>
              <w:left w:val="nil"/>
              <w:bottom w:val="nil"/>
              <w:right w:val="nil"/>
            </w:tcBorders>
            <w:vAlign w:val="bottom"/>
          </w:tcPr>
          <w:p w14:paraId="123D2996" w14:textId="77777777" w:rsidR="009E3821" w:rsidRPr="009E3821" w:rsidRDefault="009E3821" w:rsidP="009E3821">
            <w:pPr>
              <w:jc w:val="center"/>
              <w:rPr>
                <w:rFonts w:ascii="Arial" w:hAnsi="Arial" w:cs="Arial"/>
              </w:rPr>
            </w:pPr>
            <w:r w:rsidRPr="009E3821">
              <w:rPr>
                <w:rFonts w:ascii="Arial" w:hAnsi="Arial" w:cs="Arial"/>
              </w:rPr>
              <w:t xml:space="preserve">51,7 </w:t>
            </w:r>
          </w:p>
        </w:tc>
        <w:tc>
          <w:tcPr>
            <w:tcW w:w="709" w:type="dxa"/>
            <w:tcBorders>
              <w:top w:val="nil"/>
              <w:left w:val="nil"/>
              <w:bottom w:val="nil"/>
              <w:right w:val="nil"/>
            </w:tcBorders>
            <w:vAlign w:val="bottom"/>
          </w:tcPr>
          <w:p w14:paraId="4F711E0F" w14:textId="77777777" w:rsidR="009E3821" w:rsidRPr="009E3821" w:rsidRDefault="009E3821" w:rsidP="009E3821">
            <w:pPr>
              <w:jc w:val="center"/>
              <w:rPr>
                <w:rFonts w:ascii="Arial" w:hAnsi="Arial" w:cs="Arial"/>
              </w:rPr>
            </w:pPr>
            <w:r w:rsidRPr="009E3821">
              <w:rPr>
                <w:rFonts w:ascii="Arial" w:hAnsi="Arial" w:cs="Arial"/>
              </w:rPr>
              <w:t xml:space="preserve">69 </w:t>
            </w:r>
          </w:p>
        </w:tc>
        <w:tc>
          <w:tcPr>
            <w:tcW w:w="851" w:type="dxa"/>
            <w:tcBorders>
              <w:top w:val="nil"/>
              <w:left w:val="nil"/>
              <w:bottom w:val="nil"/>
              <w:right w:val="nil"/>
            </w:tcBorders>
            <w:vAlign w:val="bottom"/>
          </w:tcPr>
          <w:p w14:paraId="419AF2A0" w14:textId="77777777" w:rsidR="009E3821" w:rsidRPr="009E3821" w:rsidRDefault="009E3821" w:rsidP="009E3821">
            <w:pPr>
              <w:jc w:val="center"/>
              <w:rPr>
                <w:rFonts w:ascii="Arial" w:hAnsi="Arial" w:cs="Arial"/>
              </w:rPr>
            </w:pPr>
            <w:r w:rsidRPr="009E3821">
              <w:rPr>
                <w:rFonts w:ascii="Arial" w:hAnsi="Arial" w:cs="Arial"/>
              </w:rPr>
              <w:t xml:space="preserve">48,6 </w:t>
            </w:r>
          </w:p>
        </w:tc>
        <w:tc>
          <w:tcPr>
            <w:tcW w:w="2551" w:type="dxa"/>
            <w:vMerge w:val="restart"/>
            <w:tcBorders>
              <w:top w:val="nil"/>
              <w:left w:val="nil"/>
              <w:bottom w:val="nil"/>
              <w:right w:val="nil"/>
            </w:tcBorders>
            <w:vAlign w:val="center"/>
          </w:tcPr>
          <w:p w14:paraId="705AC168" w14:textId="77777777" w:rsidR="009E3821" w:rsidRPr="009E3821" w:rsidRDefault="009E3821" w:rsidP="009E3821">
            <w:pPr>
              <w:jc w:val="center"/>
              <w:rPr>
                <w:rFonts w:ascii="Arial" w:hAnsi="Arial" w:cs="Arial"/>
              </w:rPr>
            </w:pPr>
            <w:r w:rsidRPr="009E3821">
              <w:rPr>
                <w:rFonts w:ascii="Arial" w:hAnsi="Arial" w:cs="Arial"/>
              </w:rPr>
              <w:t>X</w:t>
            </w:r>
            <w:r w:rsidRPr="009E3821">
              <w:rPr>
                <w:rFonts w:ascii="Arial" w:hAnsi="Arial" w:cs="Arial"/>
                <w:vertAlign w:val="superscript"/>
              </w:rPr>
              <w:t>2</w:t>
            </w:r>
            <w:r w:rsidRPr="009E3821">
              <w:rPr>
                <w:rFonts w:ascii="Arial" w:hAnsi="Arial" w:cs="Arial"/>
              </w:rPr>
              <w:t xml:space="preserve">= 0,284;  </w:t>
            </w:r>
          </w:p>
          <w:p w14:paraId="64BAB874" w14:textId="77777777" w:rsidR="009E3821" w:rsidRPr="009E3821" w:rsidRDefault="009E3821" w:rsidP="009E3821">
            <w:pPr>
              <w:jc w:val="center"/>
              <w:rPr>
                <w:rFonts w:ascii="Arial" w:hAnsi="Arial" w:cs="Arial"/>
              </w:rPr>
            </w:pPr>
            <w:r w:rsidRPr="009E3821">
              <w:rPr>
                <w:rFonts w:ascii="Arial" w:hAnsi="Arial" w:cs="Arial"/>
              </w:rPr>
              <w:t xml:space="preserve">p= 0,339 </w:t>
            </w:r>
          </w:p>
        </w:tc>
      </w:tr>
      <w:tr w:rsidR="009E3821" w:rsidRPr="009E3821" w14:paraId="7E939326" w14:textId="77777777" w:rsidTr="009E3821">
        <w:trPr>
          <w:trHeight w:val="300"/>
        </w:trPr>
        <w:tc>
          <w:tcPr>
            <w:tcW w:w="2755" w:type="dxa"/>
            <w:tcBorders>
              <w:top w:val="nil"/>
              <w:left w:val="nil"/>
              <w:bottom w:val="nil"/>
              <w:right w:val="nil"/>
            </w:tcBorders>
          </w:tcPr>
          <w:p w14:paraId="2AA752C1" w14:textId="77777777" w:rsidR="009E3821" w:rsidRPr="009E3821" w:rsidRDefault="009E3821" w:rsidP="009E3821">
            <w:pPr>
              <w:rPr>
                <w:rFonts w:ascii="Arial" w:hAnsi="Arial" w:cs="Arial"/>
              </w:rPr>
            </w:pPr>
            <w:r w:rsidRPr="009E3821">
              <w:rPr>
                <w:rFonts w:ascii="Arial" w:hAnsi="Arial" w:cs="Arial"/>
              </w:rPr>
              <w:t xml:space="preserve">Intensive care unit </w:t>
            </w:r>
          </w:p>
        </w:tc>
        <w:tc>
          <w:tcPr>
            <w:tcW w:w="736" w:type="dxa"/>
            <w:tcBorders>
              <w:top w:val="nil"/>
              <w:left w:val="nil"/>
              <w:bottom w:val="nil"/>
              <w:right w:val="nil"/>
            </w:tcBorders>
            <w:vAlign w:val="bottom"/>
          </w:tcPr>
          <w:p w14:paraId="701E7952" w14:textId="77777777" w:rsidR="009E3821" w:rsidRPr="009E3821" w:rsidRDefault="009E3821" w:rsidP="009E3821">
            <w:pPr>
              <w:jc w:val="center"/>
              <w:rPr>
                <w:rFonts w:ascii="Arial" w:hAnsi="Arial" w:cs="Arial"/>
              </w:rPr>
            </w:pPr>
            <w:r w:rsidRPr="009E3821">
              <w:rPr>
                <w:rFonts w:ascii="Arial" w:hAnsi="Arial" w:cs="Arial"/>
              </w:rPr>
              <w:t xml:space="preserve">69 </w:t>
            </w:r>
          </w:p>
        </w:tc>
        <w:tc>
          <w:tcPr>
            <w:tcW w:w="708" w:type="dxa"/>
            <w:tcBorders>
              <w:top w:val="nil"/>
              <w:left w:val="nil"/>
              <w:bottom w:val="nil"/>
              <w:right w:val="nil"/>
            </w:tcBorders>
            <w:vAlign w:val="bottom"/>
          </w:tcPr>
          <w:p w14:paraId="5C213C5E" w14:textId="77777777" w:rsidR="009E3821" w:rsidRPr="009E3821" w:rsidRDefault="009E3821" w:rsidP="009E3821">
            <w:pPr>
              <w:jc w:val="center"/>
              <w:rPr>
                <w:rFonts w:ascii="Arial" w:hAnsi="Arial" w:cs="Arial"/>
              </w:rPr>
            </w:pPr>
            <w:r w:rsidRPr="009E3821">
              <w:rPr>
                <w:rFonts w:ascii="Arial" w:hAnsi="Arial" w:cs="Arial"/>
              </w:rPr>
              <w:t xml:space="preserve">48,3 </w:t>
            </w:r>
          </w:p>
        </w:tc>
        <w:tc>
          <w:tcPr>
            <w:tcW w:w="709" w:type="dxa"/>
            <w:tcBorders>
              <w:top w:val="nil"/>
              <w:left w:val="nil"/>
              <w:bottom w:val="nil"/>
              <w:right w:val="nil"/>
            </w:tcBorders>
            <w:vAlign w:val="bottom"/>
          </w:tcPr>
          <w:p w14:paraId="0215CC7A" w14:textId="77777777" w:rsidR="009E3821" w:rsidRPr="009E3821" w:rsidRDefault="009E3821" w:rsidP="009E3821">
            <w:pPr>
              <w:jc w:val="center"/>
              <w:rPr>
                <w:rFonts w:ascii="Arial" w:hAnsi="Arial" w:cs="Arial"/>
              </w:rPr>
            </w:pPr>
            <w:r w:rsidRPr="009E3821">
              <w:rPr>
                <w:rFonts w:ascii="Arial" w:hAnsi="Arial" w:cs="Arial"/>
              </w:rPr>
              <w:t xml:space="preserve">73 </w:t>
            </w:r>
          </w:p>
        </w:tc>
        <w:tc>
          <w:tcPr>
            <w:tcW w:w="851" w:type="dxa"/>
            <w:tcBorders>
              <w:top w:val="nil"/>
              <w:left w:val="nil"/>
              <w:bottom w:val="nil"/>
              <w:right w:val="nil"/>
            </w:tcBorders>
            <w:vAlign w:val="bottom"/>
          </w:tcPr>
          <w:p w14:paraId="19520E22" w14:textId="77777777" w:rsidR="009E3821" w:rsidRPr="009E3821" w:rsidRDefault="009E3821" w:rsidP="009E3821">
            <w:pPr>
              <w:jc w:val="center"/>
              <w:rPr>
                <w:rFonts w:ascii="Arial" w:hAnsi="Arial" w:cs="Arial"/>
              </w:rPr>
            </w:pPr>
            <w:r w:rsidRPr="009E3821">
              <w:rPr>
                <w:rFonts w:ascii="Arial" w:hAnsi="Arial" w:cs="Arial"/>
              </w:rPr>
              <w:t xml:space="preserve">51,4 </w:t>
            </w:r>
          </w:p>
        </w:tc>
        <w:tc>
          <w:tcPr>
            <w:tcW w:w="2551" w:type="dxa"/>
            <w:vMerge/>
            <w:tcBorders>
              <w:top w:val="nil"/>
              <w:left w:val="nil"/>
              <w:bottom w:val="nil"/>
              <w:right w:val="nil"/>
            </w:tcBorders>
            <w:vAlign w:val="center"/>
          </w:tcPr>
          <w:p w14:paraId="7BF4EF77" w14:textId="77777777" w:rsidR="009E3821" w:rsidRPr="009E3821" w:rsidRDefault="009E3821" w:rsidP="009E3821">
            <w:pPr>
              <w:widowControl w:val="0"/>
              <w:pBdr>
                <w:top w:val="nil"/>
                <w:left w:val="nil"/>
                <w:bottom w:val="nil"/>
                <w:right w:val="nil"/>
                <w:between w:val="nil"/>
              </w:pBdr>
              <w:rPr>
                <w:rFonts w:ascii="Arial" w:hAnsi="Arial" w:cs="Arial"/>
              </w:rPr>
            </w:pPr>
          </w:p>
        </w:tc>
      </w:tr>
      <w:tr w:rsidR="009E3821" w:rsidRPr="009E3821" w14:paraId="2CCC1790" w14:textId="77777777" w:rsidTr="009E3821">
        <w:trPr>
          <w:trHeight w:val="300"/>
        </w:trPr>
        <w:tc>
          <w:tcPr>
            <w:tcW w:w="2755" w:type="dxa"/>
            <w:tcBorders>
              <w:top w:val="nil"/>
              <w:left w:val="nil"/>
              <w:bottom w:val="nil"/>
              <w:right w:val="nil"/>
            </w:tcBorders>
          </w:tcPr>
          <w:p w14:paraId="7E8120CC" w14:textId="77777777" w:rsidR="009E3821" w:rsidRPr="009E3821" w:rsidRDefault="009E3821" w:rsidP="009E3821">
            <w:pPr>
              <w:rPr>
                <w:rFonts w:ascii="Arial" w:hAnsi="Arial" w:cs="Arial"/>
                <w:b/>
              </w:rPr>
            </w:pPr>
            <w:r w:rsidRPr="009E3821">
              <w:rPr>
                <w:rFonts w:ascii="Arial" w:hAnsi="Arial" w:cs="Arial"/>
                <w:b/>
              </w:rPr>
              <w:t xml:space="preserve">Nasal cannula </w:t>
            </w:r>
          </w:p>
        </w:tc>
        <w:tc>
          <w:tcPr>
            <w:tcW w:w="736" w:type="dxa"/>
            <w:tcBorders>
              <w:top w:val="nil"/>
              <w:left w:val="nil"/>
              <w:bottom w:val="nil"/>
              <w:right w:val="nil"/>
            </w:tcBorders>
            <w:vAlign w:val="bottom"/>
          </w:tcPr>
          <w:p w14:paraId="3AD42606" w14:textId="77777777" w:rsidR="009E3821" w:rsidRPr="009E3821" w:rsidRDefault="009E3821" w:rsidP="009E3821">
            <w:pPr>
              <w:rPr>
                <w:rFonts w:ascii="Arial" w:hAnsi="Arial" w:cs="Arial"/>
              </w:rPr>
            </w:pPr>
            <w:r w:rsidRPr="009E3821">
              <w:rPr>
                <w:rFonts w:ascii="Arial" w:hAnsi="Arial" w:cs="Arial"/>
              </w:rPr>
              <w:t xml:space="preserve"> </w:t>
            </w:r>
          </w:p>
        </w:tc>
        <w:tc>
          <w:tcPr>
            <w:tcW w:w="708" w:type="dxa"/>
            <w:tcBorders>
              <w:top w:val="nil"/>
              <w:left w:val="nil"/>
              <w:bottom w:val="nil"/>
              <w:right w:val="nil"/>
            </w:tcBorders>
            <w:vAlign w:val="bottom"/>
          </w:tcPr>
          <w:p w14:paraId="77C38E04" w14:textId="77777777" w:rsidR="009E3821" w:rsidRPr="009E3821" w:rsidRDefault="009E3821" w:rsidP="009E3821">
            <w:pPr>
              <w:rPr>
                <w:rFonts w:ascii="Arial" w:hAnsi="Arial" w:cs="Arial"/>
              </w:rPr>
            </w:pPr>
            <w:r w:rsidRPr="009E3821">
              <w:rPr>
                <w:rFonts w:ascii="Arial" w:hAnsi="Arial" w:cs="Arial"/>
              </w:rPr>
              <w:t xml:space="preserve"> </w:t>
            </w:r>
          </w:p>
        </w:tc>
        <w:tc>
          <w:tcPr>
            <w:tcW w:w="709" w:type="dxa"/>
            <w:tcBorders>
              <w:top w:val="nil"/>
              <w:left w:val="nil"/>
              <w:bottom w:val="nil"/>
              <w:right w:val="nil"/>
            </w:tcBorders>
            <w:vAlign w:val="bottom"/>
          </w:tcPr>
          <w:p w14:paraId="242C277E" w14:textId="77777777" w:rsidR="009E3821" w:rsidRPr="009E3821" w:rsidRDefault="009E3821" w:rsidP="009E3821">
            <w:pPr>
              <w:rPr>
                <w:rFonts w:ascii="Arial" w:hAnsi="Arial" w:cs="Arial"/>
              </w:rPr>
            </w:pPr>
            <w:r w:rsidRPr="009E3821">
              <w:rPr>
                <w:rFonts w:ascii="Arial" w:hAnsi="Arial" w:cs="Arial"/>
              </w:rPr>
              <w:t xml:space="preserve"> </w:t>
            </w:r>
          </w:p>
        </w:tc>
        <w:tc>
          <w:tcPr>
            <w:tcW w:w="851" w:type="dxa"/>
            <w:tcBorders>
              <w:top w:val="nil"/>
              <w:left w:val="nil"/>
              <w:bottom w:val="nil"/>
              <w:right w:val="nil"/>
            </w:tcBorders>
            <w:vAlign w:val="bottom"/>
          </w:tcPr>
          <w:p w14:paraId="4CF3BFF3" w14:textId="77777777" w:rsidR="009E3821" w:rsidRPr="009E3821" w:rsidRDefault="009E3821" w:rsidP="009E3821">
            <w:pPr>
              <w:rPr>
                <w:rFonts w:ascii="Arial" w:hAnsi="Arial" w:cs="Arial"/>
              </w:rPr>
            </w:pPr>
            <w:r w:rsidRPr="009E3821">
              <w:rPr>
                <w:rFonts w:ascii="Arial" w:hAnsi="Arial" w:cs="Arial"/>
              </w:rPr>
              <w:t xml:space="preserve"> </w:t>
            </w:r>
          </w:p>
        </w:tc>
        <w:tc>
          <w:tcPr>
            <w:tcW w:w="2551" w:type="dxa"/>
            <w:tcBorders>
              <w:top w:val="nil"/>
              <w:left w:val="nil"/>
              <w:bottom w:val="nil"/>
              <w:right w:val="nil"/>
            </w:tcBorders>
            <w:vAlign w:val="bottom"/>
          </w:tcPr>
          <w:p w14:paraId="3E17A971" w14:textId="77777777" w:rsidR="009E3821" w:rsidRPr="009E3821" w:rsidRDefault="009E3821" w:rsidP="009E3821">
            <w:pPr>
              <w:rPr>
                <w:rFonts w:ascii="Arial" w:hAnsi="Arial" w:cs="Arial"/>
              </w:rPr>
            </w:pPr>
            <w:r w:rsidRPr="009E3821">
              <w:rPr>
                <w:rFonts w:ascii="Arial" w:hAnsi="Arial" w:cs="Arial"/>
              </w:rPr>
              <w:t xml:space="preserve"> </w:t>
            </w:r>
          </w:p>
        </w:tc>
      </w:tr>
      <w:tr w:rsidR="009E3821" w:rsidRPr="009E3821" w14:paraId="154C8111" w14:textId="77777777" w:rsidTr="009E3821">
        <w:trPr>
          <w:trHeight w:val="300"/>
        </w:trPr>
        <w:tc>
          <w:tcPr>
            <w:tcW w:w="2755" w:type="dxa"/>
            <w:tcBorders>
              <w:top w:val="nil"/>
              <w:left w:val="nil"/>
              <w:bottom w:val="nil"/>
              <w:right w:val="nil"/>
            </w:tcBorders>
          </w:tcPr>
          <w:p w14:paraId="2CB0BC0A" w14:textId="77777777" w:rsidR="009E3821" w:rsidRPr="009E3821" w:rsidRDefault="009E3821" w:rsidP="009E3821">
            <w:pPr>
              <w:rPr>
                <w:rFonts w:ascii="Arial" w:hAnsi="Arial" w:cs="Arial"/>
              </w:rPr>
            </w:pPr>
            <w:r w:rsidRPr="009E3821">
              <w:rPr>
                <w:rFonts w:ascii="Arial" w:hAnsi="Arial" w:cs="Arial"/>
              </w:rPr>
              <w:t xml:space="preserve">Yes </w:t>
            </w:r>
          </w:p>
        </w:tc>
        <w:tc>
          <w:tcPr>
            <w:tcW w:w="736" w:type="dxa"/>
            <w:tcBorders>
              <w:top w:val="nil"/>
              <w:left w:val="nil"/>
              <w:bottom w:val="nil"/>
              <w:right w:val="nil"/>
            </w:tcBorders>
            <w:vAlign w:val="bottom"/>
          </w:tcPr>
          <w:p w14:paraId="132AA57A" w14:textId="77777777" w:rsidR="009E3821" w:rsidRPr="009E3821" w:rsidRDefault="009E3821" w:rsidP="009E3821">
            <w:pPr>
              <w:jc w:val="center"/>
              <w:rPr>
                <w:rFonts w:ascii="Arial" w:hAnsi="Arial" w:cs="Arial"/>
              </w:rPr>
            </w:pPr>
            <w:r w:rsidRPr="009E3821">
              <w:rPr>
                <w:rFonts w:ascii="Arial" w:hAnsi="Arial" w:cs="Arial"/>
              </w:rPr>
              <w:t xml:space="preserve">109 </w:t>
            </w:r>
          </w:p>
        </w:tc>
        <w:tc>
          <w:tcPr>
            <w:tcW w:w="708" w:type="dxa"/>
            <w:tcBorders>
              <w:top w:val="nil"/>
              <w:left w:val="nil"/>
              <w:bottom w:val="nil"/>
              <w:right w:val="nil"/>
            </w:tcBorders>
            <w:vAlign w:val="bottom"/>
          </w:tcPr>
          <w:p w14:paraId="661AE4A0" w14:textId="77777777" w:rsidR="009E3821" w:rsidRPr="009E3821" w:rsidRDefault="009E3821" w:rsidP="009E3821">
            <w:pPr>
              <w:jc w:val="center"/>
              <w:rPr>
                <w:rFonts w:ascii="Arial" w:hAnsi="Arial" w:cs="Arial"/>
              </w:rPr>
            </w:pPr>
            <w:r w:rsidRPr="009E3821">
              <w:rPr>
                <w:rFonts w:ascii="Arial" w:hAnsi="Arial" w:cs="Arial"/>
              </w:rPr>
              <w:t xml:space="preserve">76,2 </w:t>
            </w:r>
          </w:p>
        </w:tc>
        <w:tc>
          <w:tcPr>
            <w:tcW w:w="709" w:type="dxa"/>
            <w:tcBorders>
              <w:top w:val="nil"/>
              <w:left w:val="nil"/>
              <w:bottom w:val="nil"/>
              <w:right w:val="nil"/>
            </w:tcBorders>
            <w:vAlign w:val="bottom"/>
          </w:tcPr>
          <w:p w14:paraId="30C1CDE1" w14:textId="77777777" w:rsidR="009E3821" w:rsidRPr="009E3821" w:rsidRDefault="009E3821" w:rsidP="009E3821">
            <w:pPr>
              <w:jc w:val="center"/>
              <w:rPr>
                <w:rFonts w:ascii="Arial" w:hAnsi="Arial" w:cs="Arial"/>
              </w:rPr>
            </w:pPr>
            <w:r w:rsidRPr="009E3821">
              <w:rPr>
                <w:rFonts w:ascii="Arial" w:hAnsi="Arial" w:cs="Arial"/>
              </w:rPr>
              <w:t xml:space="preserve">104 </w:t>
            </w:r>
          </w:p>
        </w:tc>
        <w:tc>
          <w:tcPr>
            <w:tcW w:w="851" w:type="dxa"/>
            <w:tcBorders>
              <w:top w:val="nil"/>
              <w:left w:val="nil"/>
              <w:bottom w:val="nil"/>
              <w:right w:val="nil"/>
            </w:tcBorders>
            <w:vAlign w:val="bottom"/>
          </w:tcPr>
          <w:p w14:paraId="1603FEF7" w14:textId="77777777" w:rsidR="009E3821" w:rsidRPr="009E3821" w:rsidRDefault="009E3821" w:rsidP="009E3821">
            <w:pPr>
              <w:jc w:val="center"/>
              <w:rPr>
                <w:rFonts w:ascii="Arial" w:hAnsi="Arial" w:cs="Arial"/>
              </w:rPr>
            </w:pPr>
            <w:r w:rsidRPr="009E3821">
              <w:rPr>
                <w:rFonts w:ascii="Arial" w:hAnsi="Arial" w:cs="Arial"/>
              </w:rPr>
              <w:t xml:space="preserve">73,2 </w:t>
            </w:r>
          </w:p>
        </w:tc>
        <w:tc>
          <w:tcPr>
            <w:tcW w:w="2551" w:type="dxa"/>
            <w:vMerge w:val="restart"/>
            <w:tcBorders>
              <w:top w:val="nil"/>
              <w:left w:val="nil"/>
              <w:bottom w:val="nil"/>
              <w:right w:val="nil"/>
            </w:tcBorders>
            <w:vAlign w:val="center"/>
          </w:tcPr>
          <w:p w14:paraId="3259157C" w14:textId="77777777" w:rsidR="009E3821" w:rsidRPr="009E3821" w:rsidRDefault="009E3821" w:rsidP="009E3821">
            <w:pPr>
              <w:jc w:val="center"/>
              <w:rPr>
                <w:rFonts w:ascii="Arial" w:hAnsi="Arial" w:cs="Arial"/>
              </w:rPr>
            </w:pPr>
            <w:r w:rsidRPr="009E3821">
              <w:rPr>
                <w:rFonts w:ascii="Arial" w:hAnsi="Arial" w:cs="Arial"/>
              </w:rPr>
              <w:t>X</w:t>
            </w:r>
            <w:r w:rsidRPr="009E3821">
              <w:rPr>
                <w:rFonts w:ascii="Arial" w:hAnsi="Arial" w:cs="Arial"/>
                <w:vertAlign w:val="superscript"/>
              </w:rPr>
              <w:t>2</w:t>
            </w:r>
            <w:r w:rsidRPr="009E3821">
              <w:rPr>
                <w:rFonts w:ascii="Arial" w:hAnsi="Arial" w:cs="Arial"/>
              </w:rPr>
              <w:t xml:space="preserve">= 0,336;  </w:t>
            </w:r>
          </w:p>
          <w:p w14:paraId="1E9A0207" w14:textId="77777777" w:rsidR="009E3821" w:rsidRPr="009E3821" w:rsidRDefault="009E3821" w:rsidP="009E3821">
            <w:pPr>
              <w:jc w:val="center"/>
              <w:rPr>
                <w:rFonts w:ascii="Arial" w:hAnsi="Arial" w:cs="Arial"/>
              </w:rPr>
            </w:pPr>
            <w:r w:rsidRPr="009E3821">
              <w:rPr>
                <w:rFonts w:ascii="Arial" w:hAnsi="Arial" w:cs="Arial"/>
              </w:rPr>
              <w:lastRenderedPageBreak/>
              <w:t xml:space="preserve">p= 2,562 </w:t>
            </w:r>
          </w:p>
        </w:tc>
      </w:tr>
      <w:tr w:rsidR="009E3821" w:rsidRPr="009E3821" w14:paraId="121F3997" w14:textId="77777777" w:rsidTr="009E3821">
        <w:trPr>
          <w:trHeight w:val="300"/>
        </w:trPr>
        <w:tc>
          <w:tcPr>
            <w:tcW w:w="2755" w:type="dxa"/>
            <w:tcBorders>
              <w:top w:val="nil"/>
              <w:left w:val="nil"/>
              <w:bottom w:val="nil"/>
              <w:right w:val="nil"/>
            </w:tcBorders>
          </w:tcPr>
          <w:p w14:paraId="33001755" w14:textId="77777777" w:rsidR="009E3821" w:rsidRPr="009E3821" w:rsidRDefault="009E3821" w:rsidP="009E3821">
            <w:pPr>
              <w:rPr>
                <w:rFonts w:ascii="Arial" w:hAnsi="Arial" w:cs="Arial"/>
              </w:rPr>
            </w:pPr>
            <w:r w:rsidRPr="009E3821">
              <w:rPr>
                <w:rFonts w:ascii="Arial" w:hAnsi="Arial" w:cs="Arial"/>
              </w:rPr>
              <w:lastRenderedPageBreak/>
              <w:t xml:space="preserve">No </w:t>
            </w:r>
          </w:p>
        </w:tc>
        <w:tc>
          <w:tcPr>
            <w:tcW w:w="736" w:type="dxa"/>
            <w:tcBorders>
              <w:top w:val="nil"/>
              <w:left w:val="nil"/>
              <w:bottom w:val="nil"/>
              <w:right w:val="nil"/>
            </w:tcBorders>
            <w:vAlign w:val="bottom"/>
          </w:tcPr>
          <w:p w14:paraId="258BED86" w14:textId="77777777" w:rsidR="009E3821" w:rsidRPr="009E3821" w:rsidRDefault="009E3821" w:rsidP="009E3821">
            <w:pPr>
              <w:jc w:val="center"/>
              <w:rPr>
                <w:rFonts w:ascii="Arial" w:hAnsi="Arial" w:cs="Arial"/>
              </w:rPr>
            </w:pPr>
            <w:r w:rsidRPr="009E3821">
              <w:rPr>
                <w:rFonts w:ascii="Arial" w:hAnsi="Arial" w:cs="Arial"/>
              </w:rPr>
              <w:t xml:space="preserve">34 </w:t>
            </w:r>
          </w:p>
        </w:tc>
        <w:tc>
          <w:tcPr>
            <w:tcW w:w="708" w:type="dxa"/>
            <w:tcBorders>
              <w:top w:val="nil"/>
              <w:left w:val="nil"/>
              <w:bottom w:val="nil"/>
              <w:right w:val="nil"/>
            </w:tcBorders>
            <w:vAlign w:val="bottom"/>
          </w:tcPr>
          <w:p w14:paraId="0423F8C3" w14:textId="77777777" w:rsidR="009E3821" w:rsidRPr="009E3821" w:rsidRDefault="009E3821" w:rsidP="009E3821">
            <w:pPr>
              <w:jc w:val="center"/>
              <w:rPr>
                <w:rFonts w:ascii="Arial" w:hAnsi="Arial" w:cs="Arial"/>
              </w:rPr>
            </w:pPr>
            <w:r w:rsidRPr="009E3821">
              <w:rPr>
                <w:rFonts w:ascii="Arial" w:hAnsi="Arial" w:cs="Arial"/>
              </w:rPr>
              <w:t xml:space="preserve">23,8 </w:t>
            </w:r>
          </w:p>
        </w:tc>
        <w:tc>
          <w:tcPr>
            <w:tcW w:w="709" w:type="dxa"/>
            <w:tcBorders>
              <w:top w:val="nil"/>
              <w:left w:val="nil"/>
              <w:bottom w:val="nil"/>
              <w:right w:val="nil"/>
            </w:tcBorders>
            <w:vAlign w:val="bottom"/>
          </w:tcPr>
          <w:p w14:paraId="730B0476" w14:textId="77777777" w:rsidR="009E3821" w:rsidRPr="009E3821" w:rsidRDefault="009E3821" w:rsidP="009E3821">
            <w:pPr>
              <w:jc w:val="center"/>
              <w:rPr>
                <w:rFonts w:ascii="Arial" w:hAnsi="Arial" w:cs="Arial"/>
              </w:rPr>
            </w:pPr>
            <w:r w:rsidRPr="009E3821">
              <w:rPr>
                <w:rFonts w:ascii="Arial" w:hAnsi="Arial" w:cs="Arial"/>
              </w:rPr>
              <w:t xml:space="preserve">38 </w:t>
            </w:r>
          </w:p>
        </w:tc>
        <w:tc>
          <w:tcPr>
            <w:tcW w:w="851" w:type="dxa"/>
            <w:tcBorders>
              <w:top w:val="nil"/>
              <w:left w:val="nil"/>
              <w:bottom w:val="nil"/>
              <w:right w:val="nil"/>
            </w:tcBorders>
            <w:vAlign w:val="bottom"/>
          </w:tcPr>
          <w:p w14:paraId="08B728D8" w14:textId="77777777" w:rsidR="009E3821" w:rsidRPr="009E3821" w:rsidRDefault="009E3821" w:rsidP="009E3821">
            <w:pPr>
              <w:jc w:val="center"/>
              <w:rPr>
                <w:rFonts w:ascii="Arial" w:hAnsi="Arial" w:cs="Arial"/>
              </w:rPr>
            </w:pPr>
            <w:r w:rsidRPr="009E3821">
              <w:rPr>
                <w:rFonts w:ascii="Arial" w:hAnsi="Arial" w:cs="Arial"/>
              </w:rPr>
              <w:t xml:space="preserve">26,8 </w:t>
            </w:r>
          </w:p>
        </w:tc>
        <w:tc>
          <w:tcPr>
            <w:tcW w:w="2551" w:type="dxa"/>
            <w:vMerge/>
            <w:tcBorders>
              <w:top w:val="nil"/>
              <w:left w:val="nil"/>
              <w:bottom w:val="nil"/>
              <w:right w:val="nil"/>
            </w:tcBorders>
            <w:vAlign w:val="center"/>
          </w:tcPr>
          <w:p w14:paraId="75A69140" w14:textId="77777777" w:rsidR="009E3821" w:rsidRPr="009E3821" w:rsidRDefault="009E3821" w:rsidP="009E3821">
            <w:pPr>
              <w:widowControl w:val="0"/>
              <w:pBdr>
                <w:top w:val="nil"/>
                <w:left w:val="nil"/>
                <w:bottom w:val="nil"/>
                <w:right w:val="nil"/>
                <w:between w:val="nil"/>
              </w:pBdr>
              <w:rPr>
                <w:rFonts w:ascii="Arial" w:hAnsi="Arial" w:cs="Arial"/>
              </w:rPr>
            </w:pPr>
          </w:p>
        </w:tc>
      </w:tr>
      <w:tr w:rsidR="009E3821" w:rsidRPr="009E3821" w14:paraId="3CEC0540" w14:textId="77777777" w:rsidTr="009E3821">
        <w:trPr>
          <w:trHeight w:val="300"/>
        </w:trPr>
        <w:tc>
          <w:tcPr>
            <w:tcW w:w="2755" w:type="dxa"/>
            <w:tcBorders>
              <w:top w:val="nil"/>
              <w:left w:val="nil"/>
              <w:bottom w:val="nil"/>
              <w:right w:val="nil"/>
            </w:tcBorders>
          </w:tcPr>
          <w:p w14:paraId="52F11AB7" w14:textId="77777777" w:rsidR="009E3821" w:rsidRPr="009E3821" w:rsidRDefault="009E3821" w:rsidP="009E3821">
            <w:pPr>
              <w:rPr>
                <w:rFonts w:ascii="Arial" w:hAnsi="Arial" w:cs="Arial"/>
                <w:b/>
              </w:rPr>
            </w:pPr>
            <w:r w:rsidRPr="009E3821">
              <w:rPr>
                <w:rFonts w:ascii="Arial" w:hAnsi="Arial" w:cs="Arial"/>
                <w:b/>
              </w:rPr>
              <w:t xml:space="preserve">Non-invasive ventilation </w:t>
            </w:r>
          </w:p>
        </w:tc>
        <w:tc>
          <w:tcPr>
            <w:tcW w:w="736" w:type="dxa"/>
            <w:tcBorders>
              <w:top w:val="nil"/>
              <w:left w:val="nil"/>
              <w:bottom w:val="nil"/>
              <w:right w:val="nil"/>
            </w:tcBorders>
            <w:vAlign w:val="bottom"/>
          </w:tcPr>
          <w:p w14:paraId="069AB58D" w14:textId="77777777" w:rsidR="009E3821" w:rsidRPr="009E3821" w:rsidRDefault="009E3821" w:rsidP="009E3821">
            <w:pPr>
              <w:rPr>
                <w:rFonts w:ascii="Arial" w:hAnsi="Arial" w:cs="Arial"/>
              </w:rPr>
            </w:pPr>
            <w:r w:rsidRPr="009E3821">
              <w:rPr>
                <w:rFonts w:ascii="Arial" w:hAnsi="Arial" w:cs="Arial"/>
              </w:rPr>
              <w:t xml:space="preserve"> </w:t>
            </w:r>
          </w:p>
        </w:tc>
        <w:tc>
          <w:tcPr>
            <w:tcW w:w="708" w:type="dxa"/>
            <w:tcBorders>
              <w:top w:val="nil"/>
              <w:left w:val="nil"/>
              <w:bottom w:val="nil"/>
              <w:right w:val="nil"/>
            </w:tcBorders>
            <w:vAlign w:val="bottom"/>
          </w:tcPr>
          <w:p w14:paraId="7833983E" w14:textId="77777777" w:rsidR="009E3821" w:rsidRPr="009E3821" w:rsidRDefault="009E3821" w:rsidP="009E3821">
            <w:pPr>
              <w:rPr>
                <w:rFonts w:ascii="Arial" w:hAnsi="Arial" w:cs="Arial"/>
              </w:rPr>
            </w:pPr>
            <w:r w:rsidRPr="009E3821">
              <w:rPr>
                <w:rFonts w:ascii="Arial" w:hAnsi="Arial" w:cs="Arial"/>
              </w:rPr>
              <w:t xml:space="preserve"> </w:t>
            </w:r>
          </w:p>
        </w:tc>
        <w:tc>
          <w:tcPr>
            <w:tcW w:w="709" w:type="dxa"/>
            <w:tcBorders>
              <w:top w:val="nil"/>
              <w:left w:val="nil"/>
              <w:bottom w:val="nil"/>
              <w:right w:val="nil"/>
            </w:tcBorders>
            <w:vAlign w:val="bottom"/>
          </w:tcPr>
          <w:p w14:paraId="6E64814D" w14:textId="77777777" w:rsidR="009E3821" w:rsidRPr="009E3821" w:rsidRDefault="009E3821" w:rsidP="009E3821">
            <w:pPr>
              <w:rPr>
                <w:rFonts w:ascii="Arial" w:hAnsi="Arial" w:cs="Arial"/>
              </w:rPr>
            </w:pPr>
            <w:r w:rsidRPr="009E3821">
              <w:rPr>
                <w:rFonts w:ascii="Arial" w:hAnsi="Arial" w:cs="Arial"/>
              </w:rPr>
              <w:t xml:space="preserve"> </w:t>
            </w:r>
          </w:p>
        </w:tc>
        <w:tc>
          <w:tcPr>
            <w:tcW w:w="851" w:type="dxa"/>
            <w:tcBorders>
              <w:top w:val="nil"/>
              <w:left w:val="nil"/>
              <w:bottom w:val="nil"/>
              <w:right w:val="nil"/>
            </w:tcBorders>
            <w:vAlign w:val="bottom"/>
          </w:tcPr>
          <w:p w14:paraId="20C14DB4" w14:textId="77777777" w:rsidR="009E3821" w:rsidRPr="009E3821" w:rsidRDefault="009E3821" w:rsidP="009E3821">
            <w:pPr>
              <w:rPr>
                <w:rFonts w:ascii="Arial" w:hAnsi="Arial" w:cs="Arial"/>
              </w:rPr>
            </w:pPr>
            <w:r w:rsidRPr="009E3821">
              <w:rPr>
                <w:rFonts w:ascii="Arial" w:hAnsi="Arial" w:cs="Arial"/>
              </w:rPr>
              <w:t xml:space="preserve"> </w:t>
            </w:r>
          </w:p>
        </w:tc>
        <w:tc>
          <w:tcPr>
            <w:tcW w:w="2551" w:type="dxa"/>
            <w:tcBorders>
              <w:top w:val="nil"/>
              <w:left w:val="nil"/>
              <w:bottom w:val="nil"/>
              <w:right w:val="nil"/>
            </w:tcBorders>
            <w:vAlign w:val="bottom"/>
          </w:tcPr>
          <w:p w14:paraId="32CEA711" w14:textId="77777777" w:rsidR="009E3821" w:rsidRPr="009E3821" w:rsidRDefault="009E3821" w:rsidP="009E3821">
            <w:pPr>
              <w:rPr>
                <w:rFonts w:ascii="Arial" w:hAnsi="Arial" w:cs="Arial"/>
              </w:rPr>
            </w:pPr>
            <w:r w:rsidRPr="009E3821">
              <w:rPr>
                <w:rFonts w:ascii="Arial" w:hAnsi="Arial" w:cs="Arial"/>
              </w:rPr>
              <w:t xml:space="preserve"> </w:t>
            </w:r>
          </w:p>
        </w:tc>
      </w:tr>
      <w:tr w:rsidR="009E3821" w:rsidRPr="009E3821" w14:paraId="6247E9C1" w14:textId="77777777" w:rsidTr="009E3821">
        <w:trPr>
          <w:trHeight w:val="300"/>
        </w:trPr>
        <w:tc>
          <w:tcPr>
            <w:tcW w:w="2755" w:type="dxa"/>
            <w:tcBorders>
              <w:top w:val="nil"/>
              <w:left w:val="nil"/>
              <w:bottom w:val="nil"/>
              <w:right w:val="nil"/>
            </w:tcBorders>
          </w:tcPr>
          <w:p w14:paraId="45924C6E" w14:textId="77777777" w:rsidR="009E3821" w:rsidRPr="009E3821" w:rsidRDefault="009E3821" w:rsidP="009E3821">
            <w:pPr>
              <w:rPr>
                <w:rFonts w:ascii="Arial" w:hAnsi="Arial" w:cs="Arial"/>
              </w:rPr>
            </w:pPr>
            <w:r w:rsidRPr="009E3821">
              <w:rPr>
                <w:rFonts w:ascii="Arial" w:hAnsi="Arial" w:cs="Arial"/>
              </w:rPr>
              <w:t xml:space="preserve">Yes </w:t>
            </w:r>
          </w:p>
        </w:tc>
        <w:tc>
          <w:tcPr>
            <w:tcW w:w="736" w:type="dxa"/>
            <w:tcBorders>
              <w:top w:val="nil"/>
              <w:left w:val="nil"/>
              <w:bottom w:val="nil"/>
              <w:right w:val="nil"/>
            </w:tcBorders>
            <w:vAlign w:val="bottom"/>
          </w:tcPr>
          <w:p w14:paraId="188AEC2F" w14:textId="77777777" w:rsidR="009E3821" w:rsidRPr="009E3821" w:rsidRDefault="009E3821" w:rsidP="009E3821">
            <w:pPr>
              <w:jc w:val="center"/>
              <w:rPr>
                <w:rFonts w:ascii="Arial" w:hAnsi="Arial" w:cs="Arial"/>
              </w:rPr>
            </w:pPr>
            <w:r w:rsidRPr="009E3821">
              <w:rPr>
                <w:rFonts w:ascii="Arial" w:hAnsi="Arial" w:cs="Arial"/>
              </w:rPr>
              <w:t xml:space="preserve">47 </w:t>
            </w:r>
          </w:p>
        </w:tc>
        <w:tc>
          <w:tcPr>
            <w:tcW w:w="708" w:type="dxa"/>
            <w:tcBorders>
              <w:top w:val="nil"/>
              <w:left w:val="nil"/>
              <w:bottom w:val="nil"/>
              <w:right w:val="nil"/>
            </w:tcBorders>
            <w:vAlign w:val="bottom"/>
          </w:tcPr>
          <w:p w14:paraId="249380D9" w14:textId="77777777" w:rsidR="009E3821" w:rsidRPr="009E3821" w:rsidRDefault="009E3821" w:rsidP="009E3821">
            <w:pPr>
              <w:jc w:val="center"/>
              <w:rPr>
                <w:rFonts w:ascii="Arial" w:hAnsi="Arial" w:cs="Arial"/>
              </w:rPr>
            </w:pPr>
            <w:r w:rsidRPr="009E3821">
              <w:rPr>
                <w:rFonts w:ascii="Arial" w:hAnsi="Arial" w:cs="Arial"/>
              </w:rPr>
              <w:t xml:space="preserve">32,9 </w:t>
            </w:r>
          </w:p>
        </w:tc>
        <w:tc>
          <w:tcPr>
            <w:tcW w:w="709" w:type="dxa"/>
            <w:tcBorders>
              <w:top w:val="nil"/>
              <w:left w:val="nil"/>
              <w:bottom w:val="nil"/>
              <w:right w:val="nil"/>
            </w:tcBorders>
            <w:vAlign w:val="bottom"/>
          </w:tcPr>
          <w:p w14:paraId="49C2BA08" w14:textId="77777777" w:rsidR="009E3821" w:rsidRPr="009E3821" w:rsidRDefault="009E3821" w:rsidP="009E3821">
            <w:pPr>
              <w:jc w:val="center"/>
              <w:rPr>
                <w:rFonts w:ascii="Arial" w:hAnsi="Arial" w:cs="Arial"/>
              </w:rPr>
            </w:pPr>
            <w:r w:rsidRPr="009E3821">
              <w:rPr>
                <w:rFonts w:ascii="Arial" w:hAnsi="Arial" w:cs="Arial"/>
              </w:rPr>
              <w:t xml:space="preserve">78 </w:t>
            </w:r>
          </w:p>
        </w:tc>
        <w:tc>
          <w:tcPr>
            <w:tcW w:w="851" w:type="dxa"/>
            <w:tcBorders>
              <w:top w:val="nil"/>
              <w:left w:val="nil"/>
              <w:bottom w:val="nil"/>
              <w:right w:val="nil"/>
            </w:tcBorders>
            <w:vAlign w:val="bottom"/>
          </w:tcPr>
          <w:p w14:paraId="4E679D65" w14:textId="77777777" w:rsidR="009E3821" w:rsidRPr="009E3821" w:rsidRDefault="009E3821" w:rsidP="009E3821">
            <w:pPr>
              <w:jc w:val="center"/>
              <w:rPr>
                <w:rFonts w:ascii="Arial" w:hAnsi="Arial" w:cs="Arial"/>
              </w:rPr>
            </w:pPr>
            <w:r w:rsidRPr="009E3821">
              <w:rPr>
                <w:rFonts w:ascii="Arial" w:hAnsi="Arial" w:cs="Arial"/>
              </w:rPr>
              <w:t xml:space="preserve">54,9 </w:t>
            </w:r>
          </w:p>
        </w:tc>
        <w:tc>
          <w:tcPr>
            <w:tcW w:w="2551" w:type="dxa"/>
            <w:vMerge w:val="restart"/>
            <w:tcBorders>
              <w:top w:val="nil"/>
              <w:left w:val="nil"/>
              <w:bottom w:val="nil"/>
              <w:right w:val="nil"/>
            </w:tcBorders>
            <w:vAlign w:val="center"/>
          </w:tcPr>
          <w:p w14:paraId="780E1962" w14:textId="77777777" w:rsidR="009E3821" w:rsidRPr="009E3821" w:rsidRDefault="009E3821" w:rsidP="009E3821">
            <w:pPr>
              <w:jc w:val="center"/>
              <w:rPr>
                <w:rFonts w:ascii="Arial" w:hAnsi="Arial" w:cs="Arial"/>
              </w:rPr>
            </w:pPr>
            <w:r w:rsidRPr="009E3821">
              <w:rPr>
                <w:rFonts w:ascii="Arial" w:hAnsi="Arial" w:cs="Arial"/>
              </w:rPr>
              <w:t>X</w:t>
            </w:r>
            <w:r w:rsidRPr="009E3821">
              <w:rPr>
                <w:rFonts w:ascii="Arial" w:hAnsi="Arial" w:cs="Arial"/>
                <w:vertAlign w:val="superscript"/>
              </w:rPr>
              <w:t>2</w:t>
            </w:r>
            <w:r w:rsidRPr="009E3821">
              <w:rPr>
                <w:rFonts w:ascii="Arial" w:hAnsi="Arial" w:cs="Arial"/>
              </w:rPr>
              <w:t xml:space="preserve">= 14,085;  </w:t>
            </w:r>
          </w:p>
          <w:p w14:paraId="4FF0C1CE" w14:textId="77777777" w:rsidR="009E3821" w:rsidRPr="009E3821" w:rsidRDefault="009E3821" w:rsidP="009E3821">
            <w:pPr>
              <w:jc w:val="center"/>
              <w:rPr>
                <w:rFonts w:ascii="Arial" w:hAnsi="Arial" w:cs="Arial"/>
              </w:rPr>
            </w:pPr>
            <w:r w:rsidRPr="009E3821">
              <w:rPr>
                <w:rFonts w:ascii="Arial" w:hAnsi="Arial" w:cs="Arial"/>
              </w:rPr>
              <w:t xml:space="preserve">p= 0,000* </w:t>
            </w:r>
          </w:p>
        </w:tc>
      </w:tr>
      <w:tr w:rsidR="009E3821" w:rsidRPr="009E3821" w14:paraId="3B51D64E" w14:textId="77777777" w:rsidTr="009E3821">
        <w:trPr>
          <w:trHeight w:val="300"/>
        </w:trPr>
        <w:tc>
          <w:tcPr>
            <w:tcW w:w="2755" w:type="dxa"/>
            <w:tcBorders>
              <w:top w:val="nil"/>
              <w:left w:val="nil"/>
              <w:bottom w:val="nil"/>
              <w:right w:val="nil"/>
            </w:tcBorders>
          </w:tcPr>
          <w:p w14:paraId="7BDF7CDB" w14:textId="77777777" w:rsidR="009E3821" w:rsidRPr="009E3821" w:rsidRDefault="009E3821" w:rsidP="009E3821">
            <w:pPr>
              <w:rPr>
                <w:rFonts w:ascii="Arial" w:hAnsi="Arial" w:cs="Arial"/>
              </w:rPr>
            </w:pPr>
            <w:r w:rsidRPr="009E3821">
              <w:rPr>
                <w:rFonts w:ascii="Arial" w:hAnsi="Arial" w:cs="Arial"/>
              </w:rPr>
              <w:t xml:space="preserve">No </w:t>
            </w:r>
          </w:p>
        </w:tc>
        <w:tc>
          <w:tcPr>
            <w:tcW w:w="736" w:type="dxa"/>
            <w:tcBorders>
              <w:top w:val="nil"/>
              <w:left w:val="nil"/>
              <w:bottom w:val="nil"/>
              <w:right w:val="nil"/>
            </w:tcBorders>
            <w:vAlign w:val="bottom"/>
          </w:tcPr>
          <w:p w14:paraId="47C5E567" w14:textId="77777777" w:rsidR="009E3821" w:rsidRPr="009E3821" w:rsidRDefault="009E3821" w:rsidP="009E3821">
            <w:pPr>
              <w:jc w:val="center"/>
              <w:rPr>
                <w:rFonts w:ascii="Arial" w:hAnsi="Arial" w:cs="Arial"/>
              </w:rPr>
            </w:pPr>
            <w:r w:rsidRPr="009E3821">
              <w:rPr>
                <w:rFonts w:ascii="Arial" w:hAnsi="Arial" w:cs="Arial"/>
              </w:rPr>
              <w:t xml:space="preserve">96 </w:t>
            </w:r>
          </w:p>
        </w:tc>
        <w:tc>
          <w:tcPr>
            <w:tcW w:w="708" w:type="dxa"/>
            <w:tcBorders>
              <w:top w:val="nil"/>
              <w:left w:val="nil"/>
              <w:bottom w:val="nil"/>
              <w:right w:val="nil"/>
            </w:tcBorders>
            <w:vAlign w:val="bottom"/>
          </w:tcPr>
          <w:p w14:paraId="0DFE8666" w14:textId="77777777" w:rsidR="009E3821" w:rsidRPr="009E3821" w:rsidRDefault="009E3821" w:rsidP="009E3821">
            <w:pPr>
              <w:jc w:val="center"/>
              <w:rPr>
                <w:rFonts w:ascii="Arial" w:hAnsi="Arial" w:cs="Arial"/>
              </w:rPr>
            </w:pPr>
            <w:r w:rsidRPr="009E3821">
              <w:rPr>
                <w:rFonts w:ascii="Arial" w:hAnsi="Arial" w:cs="Arial"/>
              </w:rPr>
              <w:t xml:space="preserve">67,1 </w:t>
            </w:r>
          </w:p>
        </w:tc>
        <w:tc>
          <w:tcPr>
            <w:tcW w:w="709" w:type="dxa"/>
            <w:tcBorders>
              <w:top w:val="nil"/>
              <w:left w:val="nil"/>
              <w:bottom w:val="nil"/>
              <w:right w:val="nil"/>
            </w:tcBorders>
            <w:vAlign w:val="bottom"/>
          </w:tcPr>
          <w:p w14:paraId="7876B2B2" w14:textId="77777777" w:rsidR="009E3821" w:rsidRPr="009E3821" w:rsidRDefault="009E3821" w:rsidP="009E3821">
            <w:pPr>
              <w:jc w:val="center"/>
              <w:rPr>
                <w:rFonts w:ascii="Arial" w:hAnsi="Arial" w:cs="Arial"/>
              </w:rPr>
            </w:pPr>
            <w:r w:rsidRPr="009E3821">
              <w:rPr>
                <w:rFonts w:ascii="Arial" w:hAnsi="Arial" w:cs="Arial"/>
              </w:rPr>
              <w:t xml:space="preserve">64 </w:t>
            </w:r>
          </w:p>
        </w:tc>
        <w:tc>
          <w:tcPr>
            <w:tcW w:w="851" w:type="dxa"/>
            <w:tcBorders>
              <w:top w:val="nil"/>
              <w:left w:val="nil"/>
              <w:bottom w:val="nil"/>
              <w:right w:val="nil"/>
            </w:tcBorders>
            <w:vAlign w:val="bottom"/>
          </w:tcPr>
          <w:p w14:paraId="7CB246FA" w14:textId="77777777" w:rsidR="009E3821" w:rsidRPr="009E3821" w:rsidRDefault="009E3821" w:rsidP="009E3821">
            <w:pPr>
              <w:jc w:val="center"/>
              <w:rPr>
                <w:rFonts w:ascii="Arial" w:hAnsi="Arial" w:cs="Arial"/>
              </w:rPr>
            </w:pPr>
            <w:r w:rsidRPr="009E3821">
              <w:rPr>
                <w:rFonts w:ascii="Arial" w:hAnsi="Arial" w:cs="Arial"/>
              </w:rPr>
              <w:t xml:space="preserve">45,1 </w:t>
            </w:r>
          </w:p>
        </w:tc>
        <w:tc>
          <w:tcPr>
            <w:tcW w:w="2551" w:type="dxa"/>
            <w:vMerge/>
            <w:tcBorders>
              <w:top w:val="nil"/>
              <w:left w:val="nil"/>
              <w:bottom w:val="nil"/>
              <w:right w:val="nil"/>
            </w:tcBorders>
            <w:vAlign w:val="center"/>
          </w:tcPr>
          <w:p w14:paraId="5E59EFD0" w14:textId="77777777" w:rsidR="009E3821" w:rsidRPr="009E3821" w:rsidRDefault="009E3821" w:rsidP="009E3821">
            <w:pPr>
              <w:widowControl w:val="0"/>
              <w:pBdr>
                <w:top w:val="nil"/>
                <w:left w:val="nil"/>
                <w:bottom w:val="nil"/>
                <w:right w:val="nil"/>
                <w:between w:val="nil"/>
              </w:pBdr>
              <w:rPr>
                <w:rFonts w:ascii="Arial" w:hAnsi="Arial" w:cs="Arial"/>
              </w:rPr>
            </w:pPr>
          </w:p>
        </w:tc>
      </w:tr>
      <w:tr w:rsidR="009E3821" w:rsidRPr="009E3821" w14:paraId="7637CD01" w14:textId="77777777" w:rsidTr="009E3821">
        <w:trPr>
          <w:trHeight w:val="300"/>
        </w:trPr>
        <w:tc>
          <w:tcPr>
            <w:tcW w:w="2755" w:type="dxa"/>
            <w:tcBorders>
              <w:top w:val="nil"/>
              <w:left w:val="nil"/>
              <w:bottom w:val="nil"/>
              <w:right w:val="nil"/>
            </w:tcBorders>
          </w:tcPr>
          <w:p w14:paraId="4D973CB6" w14:textId="77777777" w:rsidR="009E3821" w:rsidRPr="009E3821" w:rsidRDefault="009E3821" w:rsidP="009E3821">
            <w:pPr>
              <w:rPr>
                <w:rFonts w:ascii="Arial" w:hAnsi="Arial" w:cs="Arial"/>
                <w:b/>
              </w:rPr>
            </w:pPr>
            <w:r w:rsidRPr="009E3821">
              <w:rPr>
                <w:rFonts w:ascii="Arial" w:hAnsi="Arial" w:cs="Arial"/>
                <w:b/>
              </w:rPr>
              <w:t xml:space="preserve">Orotracheal intubation </w:t>
            </w:r>
          </w:p>
        </w:tc>
        <w:tc>
          <w:tcPr>
            <w:tcW w:w="736" w:type="dxa"/>
            <w:tcBorders>
              <w:top w:val="nil"/>
              <w:left w:val="nil"/>
              <w:bottom w:val="nil"/>
              <w:right w:val="nil"/>
            </w:tcBorders>
            <w:vAlign w:val="bottom"/>
          </w:tcPr>
          <w:p w14:paraId="3E00EBCF" w14:textId="77777777" w:rsidR="009E3821" w:rsidRPr="009E3821" w:rsidRDefault="009E3821" w:rsidP="009E3821">
            <w:pPr>
              <w:rPr>
                <w:rFonts w:ascii="Arial" w:hAnsi="Arial" w:cs="Arial"/>
              </w:rPr>
            </w:pPr>
            <w:r w:rsidRPr="009E3821">
              <w:rPr>
                <w:rFonts w:ascii="Arial" w:hAnsi="Arial" w:cs="Arial"/>
              </w:rPr>
              <w:t xml:space="preserve"> </w:t>
            </w:r>
          </w:p>
        </w:tc>
        <w:tc>
          <w:tcPr>
            <w:tcW w:w="708" w:type="dxa"/>
            <w:tcBorders>
              <w:top w:val="nil"/>
              <w:left w:val="nil"/>
              <w:bottom w:val="nil"/>
              <w:right w:val="nil"/>
            </w:tcBorders>
            <w:vAlign w:val="bottom"/>
          </w:tcPr>
          <w:p w14:paraId="446327EF" w14:textId="77777777" w:rsidR="009E3821" w:rsidRPr="009E3821" w:rsidRDefault="009E3821" w:rsidP="009E3821">
            <w:pPr>
              <w:rPr>
                <w:rFonts w:ascii="Arial" w:hAnsi="Arial" w:cs="Arial"/>
              </w:rPr>
            </w:pPr>
            <w:r w:rsidRPr="009E3821">
              <w:rPr>
                <w:rFonts w:ascii="Arial" w:hAnsi="Arial" w:cs="Arial"/>
              </w:rPr>
              <w:t xml:space="preserve"> </w:t>
            </w:r>
          </w:p>
        </w:tc>
        <w:tc>
          <w:tcPr>
            <w:tcW w:w="709" w:type="dxa"/>
            <w:tcBorders>
              <w:top w:val="nil"/>
              <w:left w:val="nil"/>
              <w:bottom w:val="nil"/>
              <w:right w:val="nil"/>
            </w:tcBorders>
            <w:vAlign w:val="bottom"/>
          </w:tcPr>
          <w:p w14:paraId="2AFFDD75" w14:textId="77777777" w:rsidR="009E3821" w:rsidRPr="009E3821" w:rsidRDefault="009E3821" w:rsidP="009E3821">
            <w:pPr>
              <w:rPr>
                <w:rFonts w:ascii="Arial" w:hAnsi="Arial" w:cs="Arial"/>
              </w:rPr>
            </w:pPr>
            <w:r w:rsidRPr="009E3821">
              <w:rPr>
                <w:rFonts w:ascii="Arial" w:hAnsi="Arial" w:cs="Arial"/>
              </w:rPr>
              <w:t xml:space="preserve"> </w:t>
            </w:r>
          </w:p>
        </w:tc>
        <w:tc>
          <w:tcPr>
            <w:tcW w:w="851" w:type="dxa"/>
            <w:tcBorders>
              <w:top w:val="nil"/>
              <w:left w:val="nil"/>
              <w:bottom w:val="nil"/>
              <w:right w:val="nil"/>
            </w:tcBorders>
            <w:vAlign w:val="bottom"/>
          </w:tcPr>
          <w:p w14:paraId="34DF9EFB" w14:textId="77777777" w:rsidR="009E3821" w:rsidRPr="009E3821" w:rsidRDefault="009E3821" w:rsidP="009E3821">
            <w:pPr>
              <w:rPr>
                <w:rFonts w:ascii="Arial" w:hAnsi="Arial" w:cs="Arial"/>
              </w:rPr>
            </w:pPr>
            <w:r w:rsidRPr="009E3821">
              <w:rPr>
                <w:rFonts w:ascii="Arial" w:hAnsi="Arial" w:cs="Arial"/>
              </w:rPr>
              <w:t xml:space="preserve"> </w:t>
            </w:r>
          </w:p>
        </w:tc>
        <w:tc>
          <w:tcPr>
            <w:tcW w:w="2551" w:type="dxa"/>
            <w:tcBorders>
              <w:top w:val="nil"/>
              <w:left w:val="nil"/>
              <w:bottom w:val="nil"/>
              <w:right w:val="nil"/>
            </w:tcBorders>
            <w:vAlign w:val="bottom"/>
          </w:tcPr>
          <w:p w14:paraId="01E2D5FC" w14:textId="77777777" w:rsidR="009E3821" w:rsidRPr="009E3821" w:rsidRDefault="009E3821" w:rsidP="009E3821">
            <w:pPr>
              <w:rPr>
                <w:rFonts w:ascii="Arial" w:hAnsi="Arial" w:cs="Arial"/>
              </w:rPr>
            </w:pPr>
            <w:r w:rsidRPr="009E3821">
              <w:rPr>
                <w:rFonts w:ascii="Arial" w:hAnsi="Arial" w:cs="Arial"/>
              </w:rPr>
              <w:t xml:space="preserve"> </w:t>
            </w:r>
          </w:p>
        </w:tc>
      </w:tr>
      <w:tr w:rsidR="009E3821" w:rsidRPr="009E3821" w14:paraId="560F2B56" w14:textId="77777777" w:rsidTr="009E3821">
        <w:trPr>
          <w:trHeight w:val="300"/>
        </w:trPr>
        <w:tc>
          <w:tcPr>
            <w:tcW w:w="2755" w:type="dxa"/>
            <w:tcBorders>
              <w:top w:val="nil"/>
              <w:left w:val="nil"/>
              <w:bottom w:val="nil"/>
              <w:right w:val="nil"/>
            </w:tcBorders>
          </w:tcPr>
          <w:p w14:paraId="55C0A2DD" w14:textId="77777777" w:rsidR="009E3821" w:rsidRPr="009E3821" w:rsidRDefault="009E3821" w:rsidP="009E3821">
            <w:pPr>
              <w:rPr>
                <w:rFonts w:ascii="Arial" w:hAnsi="Arial" w:cs="Arial"/>
              </w:rPr>
            </w:pPr>
            <w:r w:rsidRPr="009E3821">
              <w:rPr>
                <w:rFonts w:ascii="Arial" w:hAnsi="Arial" w:cs="Arial"/>
              </w:rPr>
              <w:t xml:space="preserve">Yes </w:t>
            </w:r>
          </w:p>
        </w:tc>
        <w:tc>
          <w:tcPr>
            <w:tcW w:w="736" w:type="dxa"/>
            <w:tcBorders>
              <w:top w:val="nil"/>
              <w:left w:val="nil"/>
              <w:bottom w:val="nil"/>
              <w:right w:val="nil"/>
            </w:tcBorders>
            <w:vAlign w:val="bottom"/>
          </w:tcPr>
          <w:p w14:paraId="5A34E0A9" w14:textId="77777777" w:rsidR="009E3821" w:rsidRPr="009E3821" w:rsidRDefault="009E3821" w:rsidP="009E3821">
            <w:pPr>
              <w:jc w:val="center"/>
              <w:rPr>
                <w:rFonts w:ascii="Arial" w:hAnsi="Arial" w:cs="Arial"/>
              </w:rPr>
            </w:pPr>
            <w:r w:rsidRPr="009E3821">
              <w:rPr>
                <w:rFonts w:ascii="Arial" w:hAnsi="Arial" w:cs="Arial"/>
              </w:rPr>
              <w:t xml:space="preserve">42 </w:t>
            </w:r>
          </w:p>
        </w:tc>
        <w:tc>
          <w:tcPr>
            <w:tcW w:w="708" w:type="dxa"/>
            <w:tcBorders>
              <w:top w:val="nil"/>
              <w:left w:val="nil"/>
              <w:bottom w:val="nil"/>
              <w:right w:val="nil"/>
            </w:tcBorders>
            <w:vAlign w:val="bottom"/>
          </w:tcPr>
          <w:p w14:paraId="399B8E35" w14:textId="77777777" w:rsidR="009E3821" w:rsidRPr="009E3821" w:rsidRDefault="009E3821" w:rsidP="009E3821">
            <w:pPr>
              <w:jc w:val="center"/>
              <w:rPr>
                <w:rFonts w:ascii="Arial" w:hAnsi="Arial" w:cs="Arial"/>
              </w:rPr>
            </w:pPr>
            <w:r w:rsidRPr="009E3821">
              <w:rPr>
                <w:rFonts w:ascii="Arial" w:hAnsi="Arial" w:cs="Arial"/>
              </w:rPr>
              <w:t xml:space="preserve">29,4 </w:t>
            </w:r>
          </w:p>
        </w:tc>
        <w:tc>
          <w:tcPr>
            <w:tcW w:w="709" w:type="dxa"/>
            <w:tcBorders>
              <w:top w:val="nil"/>
              <w:left w:val="nil"/>
              <w:bottom w:val="nil"/>
              <w:right w:val="nil"/>
            </w:tcBorders>
            <w:vAlign w:val="bottom"/>
          </w:tcPr>
          <w:p w14:paraId="1FAB66CA" w14:textId="77777777" w:rsidR="009E3821" w:rsidRPr="009E3821" w:rsidRDefault="009E3821" w:rsidP="009E3821">
            <w:pPr>
              <w:jc w:val="center"/>
              <w:rPr>
                <w:rFonts w:ascii="Arial" w:hAnsi="Arial" w:cs="Arial"/>
              </w:rPr>
            </w:pPr>
            <w:r w:rsidRPr="009E3821">
              <w:rPr>
                <w:rFonts w:ascii="Arial" w:hAnsi="Arial" w:cs="Arial"/>
              </w:rPr>
              <w:t xml:space="preserve">48 </w:t>
            </w:r>
          </w:p>
        </w:tc>
        <w:tc>
          <w:tcPr>
            <w:tcW w:w="851" w:type="dxa"/>
            <w:tcBorders>
              <w:top w:val="nil"/>
              <w:left w:val="nil"/>
              <w:bottom w:val="nil"/>
              <w:right w:val="nil"/>
            </w:tcBorders>
            <w:vAlign w:val="bottom"/>
          </w:tcPr>
          <w:p w14:paraId="0D931D91" w14:textId="77777777" w:rsidR="009E3821" w:rsidRPr="009E3821" w:rsidRDefault="009E3821" w:rsidP="009E3821">
            <w:pPr>
              <w:jc w:val="center"/>
              <w:rPr>
                <w:rFonts w:ascii="Arial" w:hAnsi="Arial" w:cs="Arial"/>
              </w:rPr>
            </w:pPr>
            <w:r w:rsidRPr="009E3821">
              <w:rPr>
                <w:rFonts w:ascii="Arial" w:hAnsi="Arial" w:cs="Arial"/>
              </w:rPr>
              <w:t xml:space="preserve">33,8 </w:t>
            </w:r>
          </w:p>
        </w:tc>
        <w:tc>
          <w:tcPr>
            <w:tcW w:w="2551" w:type="dxa"/>
            <w:vMerge w:val="restart"/>
            <w:tcBorders>
              <w:top w:val="nil"/>
              <w:left w:val="nil"/>
              <w:bottom w:val="nil"/>
              <w:right w:val="nil"/>
            </w:tcBorders>
            <w:vAlign w:val="center"/>
          </w:tcPr>
          <w:p w14:paraId="5FE1F068" w14:textId="77777777" w:rsidR="009E3821" w:rsidRPr="009E3821" w:rsidRDefault="009E3821" w:rsidP="009E3821">
            <w:pPr>
              <w:jc w:val="center"/>
              <w:rPr>
                <w:rFonts w:ascii="Arial" w:hAnsi="Arial" w:cs="Arial"/>
              </w:rPr>
            </w:pPr>
            <w:r w:rsidRPr="009E3821">
              <w:rPr>
                <w:rFonts w:ascii="Arial" w:hAnsi="Arial" w:cs="Arial"/>
              </w:rPr>
              <w:t>X</w:t>
            </w:r>
            <w:r w:rsidRPr="009E3821">
              <w:rPr>
                <w:rFonts w:ascii="Arial" w:hAnsi="Arial" w:cs="Arial"/>
                <w:vertAlign w:val="superscript"/>
              </w:rPr>
              <w:t>2</w:t>
            </w:r>
            <w:r w:rsidRPr="009E3821">
              <w:rPr>
                <w:rFonts w:ascii="Arial" w:hAnsi="Arial" w:cs="Arial"/>
              </w:rPr>
              <w:t xml:space="preserve">= 0,648;  </w:t>
            </w:r>
          </w:p>
          <w:p w14:paraId="79D0B07A" w14:textId="77777777" w:rsidR="009E3821" w:rsidRPr="009E3821" w:rsidRDefault="009E3821" w:rsidP="009E3821">
            <w:pPr>
              <w:jc w:val="center"/>
              <w:rPr>
                <w:rFonts w:ascii="Arial" w:hAnsi="Arial" w:cs="Arial"/>
              </w:rPr>
            </w:pPr>
            <w:r w:rsidRPr="009E3821">
              <w:rPr>
                <w:rFonts w:ascii="Arial" w:hAnsi="Arial" w:cs="Arial"/>
              </w:rPr>
              <w:t xml:space="preserve">p= 0,421 </w:t>
            </w:r>
          </w:p>
        </w:tc>
      </w:tr>
      <w:tr w:rsidR="009E3821" w:rsidRPr="009E3821" w14:paraId="34EF0816" w14:textId="77777777" w:rsidTr="009E3821">
        <w:trPr>
          <w:trHeight w:val="300"/>
        </w:trPr>
        <w:tc>
          <w:tcPr>
            <w:tcW w:w="2755" w:type="dxa"/>
            <w:tcBorders>
              <w:top w:val="nil"/>
              <w:left w:val="nil"/>
              <w:bottom w:val="nil"/>
              <w:right w:val="nil"/>
            </w:tcBorders>
          </w:tcPr>
          <w:p w14:paraId="1EFE5531" w14:textId="77777777" w:rsidR="009E3821" w:rsidRPr="009E3821" w:rsidRDefault="009E3821" w:rsidP="009E3821">
            <w:pPr>
              <w:rPr>
                <w:rFonts w:ascii="Arial" w:hAnsi="Arial" w:cs="Arial"/>
              </w:rPr>
            </w:pPr>
            <w:r w:rsidRPr="009E3821">
              <w:rPr>
                <w:rFonts w:ascii="Arial" w:hAnsi="Arial" w:cs="Arial"/>
              </w:rPr>
              <w:t xml:space="preserve">No </w:t>
            </w:r>
          </w:p>
        </w:tc>
        <w:tc>
          <w:tcPr>
            <w:tcW w:w="736" w:type="dxa"/>
            <w:tcBorders>
              <w:top w:val="nil"/>
              <w:left w:val="nil"/>
              <w:bottom w:val="nil"/>
              <w:right w:val="nil"/>
            </w:tcBorders>
            <w:vAlign w:val="bottom"/>
          </w:tcPr>
          <w:p w14:paraId="1E16EF33" w14:textId="77777777" w:rsidR="009E3821" w:rsidRPr="009E3821" w:rsidRDefault="009E3821" w:rsidP="009E3821">
            <w:pPr>
              <w:jc w:val="center"/>
              <w:rPr>
                <w:rFonts w:ascii="Arial" w:hAnsi="Arial" w:cs="Arial"/>
              </w:rPr>
            </w:pPr>
            <w:r w:rsidRPr="009E3821">
              <w:rPr>
                <w:rFonts w:ascii="Arial" w:hAnsi="Arial" w:cs="Arial"/>
              </w:rPr>
              <w:t xml:space="preserve">101 </w:t>
            </w:r>
          </w:p>
        </w:tc>
        <w:tc>
          <w:tcPr>
            <w:tcW w:w="708" w:type="dxa"/>
            <w:tcBorders>
              <w:top w:val="nil"/>
              <w:left w:val="nil"/>
              <w:bottom w:val="nil"/>
              <w:right w:val="nil"/>
            </w:tcBorders>
            <w:vAlign w:val="bottom"/>
          </w:tcPr>
          <w:p w14:paraId="70E34C6B" w14:textId="77777777" w:rsidR="009E3821" w:rsidRPr="009E3821" w:rsidRDefault="009E3821" w:rsidP="009E3821">
            <w:pPr>
              <w:jc w:val="center"/>
              <w:rPr>
                <w:rFonts w:ascii="Arial" w:hAnsi="Arial" w:cs="Arial"/>
              </w:rPr>
            </w:pPr>
            <w:r w:rsidRPr="009E3821">
              <w:rPr>
                <w:rFonts w:ascii="Arial" w:hAnsi="Arial" w:cs="Arial"/>
              </w:rPr>
              <w:t xml:space="preserve">70,6 </w:t>
            </w:r>
          </w:p>
        </w:tc>
        <w:tc>
          <w:tcPr>
            <w:tcW w:w="709" w:type="dxa"/>
            <w:tcBorders>
              <w:top w:val="nil"/>
              <w:left w:val="nil"/>
              <w:bottom w:val="nil"/>
              <w:right w:val="nil"/>
            </w:tcBorders>
            <w:vAlign w:val="bottom"/>
          </w:tcPr>
          <w:p w14:paraId="5AF79D5B" w14:textId="77777777" w:rsidR="009E3821" w:rsidRPr="009E3821" w:rsidRDefault="009E3821" w:rsidP="009E3821">
            <w:pPr>
              <w:jc w:val="center"/>
              <w:rPr>
                <w:rFonts w:ascii="Arial" w:hAnsi="Arial" w:cs="Arial"/>
              </w:rPr>
            </w:pPr>
            <w:r w:rsidRPr="009E3821">
              <w:rPr>
                <w:rFonts w:ascii="Arial" w:hAnsi="Arial" w:cs="Arial"/>
              </w:rPr>
              <w:t xml:space="preserve">94 </w:t>
            </w:r>
          </w:p>
        </w:tc>
        <w:tc>
          <w:tcPr>
            <w:tcW w:w="851" w:type="dxa"/>
            <w:tcBorders>
              <w:top w:val="nil"/>
              <w:left w:val="nil"/>
              <w:bottom w:val="nil"/>
              <w:right w:val="nil"/>
            </w:tcBorders>
            <w:vAlign w:val="bottom"/>
          </w:tcPr>
          <w:p w14:paraId="685C88E5" w14:textId="77777777" w:rsidR="009E3821" w:rsidRPr="009E3821" w:rsidRDefault="009E3821" w:rsidP="009E3821">
            <w:pPr>
              <w:jc w:val="center"/>
              <w:rPr>
                <w:rFonts w:ascii="Arial" w:hAnsi="Arial" w:cs="Arial"/>
              </w:rPr>
            </w:pPr>
            <w:r w:rsidRPr="009E3821">
              <w:rPr>
                <w:rFonts w:ascii="Arial" w:hAnsi="Arial" w:cs="Arial"/>
              </w:rPr>
              <w:t xml:space="preserve">66,2 </w:t>
            </w:r>
          </w:p>
        </w:tc>
        <w:tc>
          <w:tcPr>
            <w:tcW w:w="2551" w:type="dxa"/>
            <w:vMerge/>
            <w:tcBorders>
              <w:top w:val="nil"/>
              <w:left w:val="nil"/>
              <w:bottom w:val="nil"/>
              <w:right w:val="nil"/>
            </w:tcBorders>
            <w:vAlign w:val="center"/>
          </w:tcPr>
          <w:p w14:paraId="40FC950E" w14:textId="77777777" w:rsidR="009E3821" w:rsidRPr="009E3821" w:rsidRDefault="009E3821" w:rsidP="009E3821">
            <w:pPr>
              <w:widowControl w:val="0"/>
              <w:pBdr>
                <w:top w:val="nil"/>
                <w:left w:val="nil"/>
                <w:bottom w:val="nil"/>
                <w:right w:val="nil"/>
                <w:between w:val="nil"/>
              </w:pBdr>
              <w:rPr>
                <w:rFonts w:ascii="Arial" w:hAnsi="Arial" w:cs="Arial"/>
              </w:rPr>
            </w:pPr>
          </w:p>
        </w:tc>
      </w:tr>
      <w:tr w:rsidR="009E3821" w:rsidRPr="009E3821" w14:paraId="10863913" w14:textId="77777777" w:rsidTr="009E3821">
        <w:trPr>
          <w:trHeight w:val="300"/>
        </w:trPr>
        <w:tc>
          <w:tcPr>
            <w:tcW w:w="2755" w:type="dxa"/>
            <w:tcBorders>
              <w:top w:val="nil"/>
              <w:left w:val="nil"/>
              <w:bottom w:val="nil"/>
              <w:right w:val="nil"/>
            </w:tcBorders>
          </w:tcPr>
          <w:p w14:paraId="51161134" w14:textId="77777777" w:rsidR="009E3821" w:rsidRPr="009E3821" w:rsidRDefault="009E3821" w:rsidP="009E3821">
            <w:pPr>
              <w:rPr>
                <w:rFonts w:ascii="Arial" w:hAnsi="Arial" w:cs="Arial"/>
                <w:b/>
              </w:rPr>
            </w:pPr>
            <w:r w:rsidRPr="009E3821">
              <w:rPr>
                <w:rFonts w:ascii="Arial" w:hAnsi="Arial" w:cs="Arial"/>
                <w:b/>
              </w:rPr>
              <w:t xml:space="preserve">Tracheostomy </w:t>
            </w:r>
          </w:p>
        </w:tc>
        <w:tc>
          <w:tcPr>
            <w:tcW w:w="736" w:type="dxa"/>
            <w:tcBorders>
              <w:top w:val="nil"/>
              <w:left w:val="nil"/>
              <w:bottom w:val="nil"/>
              <w:right w:val="nil"/>
            </w:tcBorders>
            <w:vAlign w:val="bottom"/>
          </w:tcPr>
          <w:p w14:paraId="569ED03B" w14:textId="77777777" w:rsidR="009E3821" w:rsidRPr="009E3821" w:rsidRDefault="009E3821" w:rsidP="009E3821">
            <w:pPr>
              <w:rPr>
                <w:rFonts w:ascii="Arial" w:hAnsi="Arial" w:cs="Arial"/>
              </w:rPr>
            </w:pPr>
            <w:r w:rsidRPr="009E3821">
              <w:rPr>
                <w:rFonts w:ascii="Arial" w:hAnsi="Arial" w:cs="Arial"/>
              </w:rPr>
              <w:t xml:space="preserve"> </w:t>
            </w:r>
          </w:p>
        </w:tc>
        <w:tc>
          <w:tcPr>
            <w:tcW w:w="708" w:type="dxa"/>
            <w:tcBorders>
              <w:top w:val="nil"/>
              <w:left w:val="nil"/>
              <w:bottom w:val="nil"/>
              <w:right w:val="nil"/>
            </w:tcBorders>
            <w:vAlign w:val="bottom"/>
          </w:tcPr>
          <w:p w14:paraId="25A74732" w14:textId="77777777" w:rsidR="009E3821" w:rsidRPr="009E3821" w:rsidRDefault="009E3821" w:rsidP="009E3821">
            <w:pPr>
              <w:rPr>
                <w:rFonts w:ascii="Arial" w:hAnsi="Arial" w:cs="Arial"/>
              </w:rPr>
            </w:pPr>
            <w:r w:rsidRPr="009E3821">
              <w:rPr>
                <w:rFonts w:ascii="Arial" w:hAnsi="Arial" w:cs="Arial"/>
              </w:rPr>
              <w:t xml:space="preserve"> </w:t>
            </w:r>
          </w:p>
        </w:tc>
        <w:tc>
          <w:tcPr>
            <w:tcW w:w="709" w:type="dxa"/>
            <w:tcBorders>
              <w:top w:val="nil"/>
              <w:left w:val="nil"/>
              <w:bottom w:val="nil"/>
              <w:right w:val="nil"/>
            </w:tcBorders>
            <w:vAlign w:val="bottom"/>
          </w:tcPr>
          <w:p w14:paraId="1D6301E3" w14:textId="77777777" w:rsidR="009E3821" w:rsidRPr="009E3821" w:rsidRDefault="009E3821" w:rsidP="009E3821">
            <w:pPr>
              <w:rPr>
                <w:rFonts w:ascii="Arial" w:hAnsi="Arial" w:cs="Arial"/>
              </w:rPr>
            </w:pPr>
            <w:r w:rsidRPr="009E3821">
              <w:rPr>
                <w:rFonts w:ascii="Arial" w:hAnsi="Arial" w:cs="Arial"/>
              </w:rPr>
              <w:t xml:space="preserve"> </w:t>
            </w:r>
          </w:p>
        </w:tc>
        <w:tc>
          <w:tcPr>
            <w:tcW w:w="851" w:type="dxa"/>
            <w:tcBorders>
              <w:top w:val="nil"/>
              <w:left w:val="nil"/>
              <w:bottom w:val="nil"/>
              <w:right w:val="nil"/>
            </w:tcBorders>
            <w:vAlign w:val="bottom"/>
          </w:tcPr>
          <w:p w14:paraId="7A4C2832" w14:textId="77777777" w:rsidR="009E3821" w:rsidRPr="009E3821" w:rsidRDefault="009E3821" w:rsidP="009E3821">
            <w:pPr>
              <w:rPr>
                <w:rFonts w:ascii="Arial" w:hAnsi="Arial" w:cs="Arial"/>
              </w:rPr>
            </w:pPr>
            <w:r w:rsidRPr="009E3821">
              <w:rPr>
                <w:rFonts w:ascii="Arial" w:hAnsi="Arial" w:cs="Arial"/>
              </w:rPr>
              <w:t xml:space="preserve"> </w:t>
            </w:r>
          </w:p>
        </w:tc>
        <w:tc>
          <w:tcPr>
            <w:tcW w:w="2551" w:type="dxa"/>
            <w:tcBorders>
              <w:top w:val="nil"/>
              <w:left w:val="nil"/>
              <w:bottom w:val="nil"/>
              <w:right w:val="nil"/>
            </w:tcBorders>
            <w:vAlign w:val="bottom"/>
          </w:tcPr>
          <w:p w14:paraId="56AEF1FC" w14:textId="77777777" w:rsidR="009E3821" w:rsidRPr="009E3821" w:rsidRDefault="009E3821" w:rsidP="009E3821">
            <w:pPr>
              <w:rPr>
                <w:rFonts w:ascii="Arial" w:hAnsi="Arial" w:cs="Arial"/>
              </w:rPr>
            </w:pPr>
            <w:r w:rsidRPr="009E3821">
              <w:rPr>
                <w:rFonts w:ascii="Arial" w:hAnsi="Arial" w:cs="Arial"/>
              </w:rPr>
              <w:t xml:space="preserve"> </w:t>
            </w:r>
          </w:p>
        </w:tc>
      </w:tr>
      <w:tr w:rsidR="009E3821" w:rsidRPr="009E3821" w14:paraId="4346B8FE" w14:textId="77777777" w:rsidTr="009E3821">
        <w:trPr>
          <w:trHeight w:val="300"/>
        </w:trPr>
        <w:tc>
          <w:tcPr>
            <w:tcW w:w="2755" w:type="dxa"/>
            <w:tcBorders>
              <w:top w:val="nil"/>
              <w:left w:val="nil"/>
              <w:bottom w:val="nil"/>
              <w:right w:val="nil"/>
            </w:tcBorders>
          </w:tcPr>
          <w:p w14:paraId="0848504B" w14:textId="77777777" w:rsidR="009E3821" w:rsidRPr="009E3821" w:rsidRDefault="009E3821" w:rsidP="009E3821">
            <w:pPr>
              <w:rPr>
                <w:rFonts w:ascii="Arial" w:hAnsi="Arial" w:cs="Arial"/>
              </w:rPr>
            </w:pPr>
            <w:r w:rsidRPr="009E3821">
              <w:rPr>
                <w:rFonts w:ascii="Arial" w:hAnsi="Arial" w:cs="Arial"/>
              </w:rPr>
              <w:t xml:space="preserve">Yes </w:t>
            </w:r>
          </w:p>
        </w:tc>
        <w:tc>
          <w:tcPr>
            <w:tcW w:w="736" w:type="dxa"/>
            <w:tcBorders>
              <w:top w:val="nil"/>
              <w:left w:val="nil"/>
              <w:bottom w:val="nil"/>
              <w:right w:val="nil"/>
            </w:tcBorders>
            <w:vAlign w:val="bottom"/>
          </w:tcPr>
          <w:p w14:paraId="593CFE2C" w14:textId="77777777" w:rsidR="009E3821" w:rsidRPr="009E3821" w:rsidRDefault="009E3821" w:rsidP="009E3821">
            <w:pPr>
              <w:jc w:val="center"/>
              <w:rPr>
                <w:rFonts w:ascii="Arial" w:hAnsi="Arial" w:cs="Arial"/>
              </w:rPr>
            </w:pPr>
            <w:r w:rsidRPr="009E3821">
              <w:rPr>
                <w:rFonts w:ascii="Arial" w:hAnsi="Arial" w:cs="Arial"/>
              </w:rPr>
              <w:t xml:space="preserve">12 </w:t>
            </w:r>
          </w:p>
        </w:tc>
        <w:tc>
          <w:tcPr>
            <w:tcW w:w="708" w:type="dxa"/>
            <w:tcBorders>
              <w:top w:val="nil"/>
              <w:left w:val="nil"/>
              <w:bottom w:val="nil"/>
              <w:right w:val="nil"/>
            </w:tcBorders>
            <w:vAlign w:val="bottom"/>
          </w:tcPr>
          <w:p w14:paraId="13EFCF47" w14:textId="77777777" w:rsidR="009E3821" w:rsidRPr="009E3821" w:rsidRDefault="009E3821" w:rsidP="009E3821">
            <w:pPr>
              <w:jc w:val="center"/>
              <w:rPr>
                <w:rFonts w:ascii="Arial" w:hAnsi="Arial" w:cs="Arial"/>
              </w:rPr>
            </w:pPr>
            <w:r w:rsidRPr="009E3821">
              <w:rPr>
                <w:rFonts w:ascii="Arial" w:hAnsi="Arial" w:cs="Arial"/>
              </w:rPr>
              <w:t xml:space="preserve">8,4 </w:t>
            </w:r>
          </w:p>
        </w:tc>
        <w:tc>
          <w:tcPr>
            <w:tcW w:w="709" w:type="dxa"/>
            <w:tcBorders>
              <w:top w:val="nil"/>
              <w:left w:val="nil"/>
              <w:bottom w:val="nil"/>
              <w:right w:val="nil"/>
            </w:tcBorders>
            <w:vAlign w:val="bottom"/>
          </w:tcPr>
          <w:p w14:paraId="71EFA2D8" w14:textId="77777777" w:rsidR="009E3821" w:rsidRPr="009E3821" w:rsidRDefault="009E3821" w:rsidP="009E3821">
            <w:pPr>
              <w:jc w:val="center"/>
              <w:rPr>
                <w:rFonts w:ascii="Arial" w:hAnsi="Arial" w:cs="Arial"/>
              </w:rPr>
            </w:pPr>
            <w:r w:rsidRPr="009E3821">
              <w:rPr>
                <w:rFonts w:ascii="Arial" w:hAnsi="Arial" w:cs="Arial"/>
              </w:rPr>
              <w:t xml:space="preserve">15 </w:t>
            </w:r>
          </w:p>
        </w:tc>
        <w:tc>
          <w:tcPr>
            <w:tcW w:w="851" w:type="dxa"/>
            <w:tcBorders>
              <w:top w:val="nil"/>
              <w:left w:val="nil"/>
              <w:bottom w:val="nil"/>
              <w:right w:val="nil"/>
            </w:tcBorders>
            <w:vAlign w:val="bottom"/>
          </w:tcPr>
          <w:p w14:paraId="11472053" w14:textId="77777777" w:rsidR="009E3821" w:rsidRPr="009E3821" w:rsidRDefault="009E3821" w:rsidP="009E3821">
            <w:pPr>
              <w:jc w:val="center"/>
              <w:rPr>
                <w:rFonts w:ascii="Arial" w:hAnsi="Arial" w:cs="Arial"/>
              </w:rPr>
            </w:pPr>
            <w:r w:rsidRPr="009E3821">
              <w:rPr>
                <w:rFonts w:ascii="Arial" w:hAnsi="Arial" w:cs="Arial"/>
              </w:rPr>
              <w:t xml:space="preserve">10,6 </w:t>
            </w:r>
          </w:p>
        </w:tc>
        <w:tc>
          <w:tcPr>
            <w:tcW w:w="2551" w:type="dxa"/>
            <w:vMerge w:val="restart"/>
            <w:tcBorders>
              <w:top w:val="nil"/>
              <w:left w:val="nil"/>
              <w:bottom w:val="nil"/>
              <w:right w:val="nil"/>
            </w:tcBorders>
            <w:vAlign w:val="center"/>
          </w:tcPr>
          <w:p w14:paraId="70AFBA56" w14:textId="77777777" w:rsidR="009E3821" w:rsidRPr="009E3821" w:rsidRDefault="009E3821" w:rsidP="009E3821">
            <w:pPr>
              <w:jc w:val="center"/>
              <w:rPr>
                <w:rFonts w:ascii="Arial" w:hAnsi="Arial" w:cs="Arial"/>
              </w:rPr>
            </w:pPr>
            <w:r w:rsidRPr="009E3821">
              <w:rPr>
                <w:rFonts w:ascii="Arial" w:hAnsi="Arial" w:cs="Arial"/>
              </w:rPr>
              <w:t>X</w:t>
            </w:r>
            <w:r w:rsidRPr="009E3821">
              <w:rPr>
                <w:rFonts w:ascii="Arial" w:hAnsi="Arial" w:cs="Arial"/>
                <w:vertAlign w:val="superscript"/>
              </w:rPr>
              <w:t>2</w:t>
            </w:r>
            <w:r w:rsidRPr="009E3821">
              <w:rPr>
                <w:rFonts w:ascii="Arial" w:hAnsi="Arial" w:cs="Arial"/>
              </w:rPr>
              <w:t xml:space="preserve">= 0,392;  </w:t>
            </w:r>
          </w:p>
          <w:p w14:paraId="208C5933" w14:textId="77777777" w:rsidR="009E3821" w:rsidRPr="009E3821" w:rsidRDefault="009E3821" w:rsidP="009E3821">
            <w:pPr>
              <w:jc w:val="center"/>
              <w:rPr>
                <w:rFonts w:ascii="Arial" w:hAnsi="Arial" w:cs="Arial"/>
              </w:rPr>
            </w:pPr>
            <w:r w:rsidRPr="009E3821">
              <w:rPr>
                <w:rFonts w:ascii="Arial" w:hAnsi="Arial" w:cs="Arial"/>
              </w:rPr>
              <w:t xml:space="preserve">p= 0,531 </w:t>
            </w:r>
          </w:p>
        </w:tc>
      </w:tr>
      <w:tr w:rsidR="009E3821" w:rsidRPr="009E3821" w14:paraId="416BC12F" w14:textId="77777777" w:rsidTr="009E3821">
        <w:trPr>
          <w:trHeight w:val="300"/>
        </w:trPr>
        <w:tc>
          <w:tcPr>
            <w:tcW w:w="2755" w:type="dxa"/>
            <w:tcBorders>
              <w:top w:val="nil"/>
              <w:left w:val="nil"/>
              <w:bottom w:val="nil"/>
              <w:right w:val="nil"/>
            </w:tcBorders>
          </w:tcPr>
          <w:p w14:paraId="0B33BC59" w14:textId="77777777" w:rsidR="009E3821" w:rsidRPr="009E3821" w:rsidRDefault="009E3821" w:rsidP="009E3821">
            <w:pPr>
              <w:rPr>
                <w:rFonts w:ascii="Arial" w:hAnsi="Arial" w:cs="Arial"/>
              </w:rPr>
            </w:pPr>
            <w:r w:rsidRPr="009E3821">
              <w:rPr>
                <w:rFonts w:ascii="Arial" w:hAnsi="Arial" w:cs="Arial"/>
              </w:rPr>
              <w:t xml:space="preserve">No </w:t>
            </w:r>
          </w:p>
        </w:tc>
        <w:tc>
          <w:tcPr>
            <w:tcW w:w="736" w:type="dxa"/>
            <w:tcBorders>
              <w:top w:val="nil"/>
              <w:left w:val="nil"/>
              <w:bottom w:val="nil"/>
              <w:right w:val="nil"/>
            </w:tcBorders>
            <w:vAlign w:val="bottom"/>
          </w:tcPr>
          <w:p w14:paraId="5ACD4E2A" w14:textId="77777777" w:rsidR="009E3821" w:rsidRPr="009E3821" w:rsidRDefault="009E3821" w:rsidP="009E3821">
            <w:pPr>
              <w:jc w:val="center"/>
              <w:rPr>
                <w:rFonts w:ascii="Arial" w:hAnsi="Arial" w:cs="Arial"/>
              </w:rPr>
            </w:pPr>
            <w:r w:rsidRPr="009E3821">
              <w:rPr>
                <w:rFonts w:ascii="Arial" w:hAnsi="Arial" w:cs="Arial"/>
              </w:rPr>
              <w:t xml:space="preserve">131 </w:t>
            </w:r>
          </w:p>
        </w:tc>
        <w:tc>
          <w:tcPr>
            <w:tcW w:w="708" w:type="dxa"/>
            <w:tcBorders>
              <w:top w:val="nil"/>
              <w:left w:val="nil"/>
              <w:bottom w:val="nil"/>
              <w:right w:val="nil"/>
            </w:tcBorders>
            <w:vAlign w:val="bottom"/>
          </w:tcPr>
          <w:p w14:paraId="113C8511" w14:textId="77777777" w:rsidR="009E3821" w:rsidRPr="009E3821" w:rsidRDefault="009E3821" w:rsidP="009E3821">
            <w:pPr>
              <w:jc w:val="center"/>
              <w:rPr>
                <w:rFonts w:ascii="Arial" w:hAnsi="Arial" w:cs="Arial"/>
              </w:rPr>
            </w:pPr>
            <w:r w:rsidRPr="009E3821">
              <w:rPr>
                <w:rFonts w:ascii="Arial" w:hAnsi="Arial" w:cs="Arial"/>
              </w:rPr>
              <w:t xml:space="preserve">91,6 </w:t>
            </w:r>
          </w:p>
        </w:tc>
        <w:tc>
          <w:tcPr>
            <w:tcW w:w="709" w:type="dxa"/>
            <w:tcBorders>
              <w:top w:val="nil"/>
              <w:left w:val="nil"/>
              <w:bottom w:val="nil"/>
              <w:right w:val="nil"/>
            </w:tcBorders>
            <w:vAlign w:val="bottom"/>
          </w:tcPr>
          <w:p w14:paraId="59C98E8D" w14:textId="77777777" w:rsidR="009E3821" w:rsidRPr="009E3821" w:rsidRDefault="009E3821" w:rsidP="009E3821">
            <w:pPr>
              <w:jc w:val="center"/>
              <w:rPr>
                <w:rFonts w:ascii="Arial" w:hAnsi="Arial" w:cs="Arial"/>
              </w:rPr>
            </w:pPr>
            <w:r w:rsidRPr="009E3821">
              <w:rPr>
                <w:rFonts w:ascii="Arial" w:hAnsi="Arial" w:cs="Arial"/>
              </w:rPr>
              <w:t xml:space="preserve">127 </w:t>
            </w:r>
          </w:p>
        </w:tc>
        <w:tc>
          <w:tcPr>
            <w:tcW w:w="851" w:type="dxa"/>
            <w:tcBorders>
              <w:top w:val="nil"/>
              <w:left w:val="nil"/>
              <w:bottom w:val="nil"/>
              <w:right w:val="nil"/>
            </w:tcBorders>
            <w:vAlign w:val="bottom"/>
          </w:tcPr>
          <w:p w14:paraId="246EABF7" w14:textId="77777777" w:rsidR="009E3821" w:rsidRPr="009E3821" w:rsidRDefault="009E3821" w:rsidP="009E3821">
            <w:pPr>
              <w:jc w:val="center"/>
              <w:rPr>
                <w:rFonts w:ascii="Arial" w:hAnsi="Arial" w:cs="Arial"/>
              </w:rPr>
            </w:pPr>
            <w:r w:rsidRPr="009E3821">
              <w:rPr>
                <w:rFonts w:ascii="Arial" w:hAnsi="Arial" w:cs="Arial"/>
              </w:rPr>
              <w:t xml:space="preserve">89,4 </w:t>
            </w:r>
          </w:p>
        </w:tc>
        <w:tc>
          <w:tcPr>
            <w:tcW w:w="2551" w:type="dxa"/>
            <w:vMerge/>
            <w:tcBorders>
              <w:top w:val="nil"/>
              <w:left w:val="nil"/>
              <w:bottom w:val="nil"/>
              <w:right w:val="nil"/>
            </w:tcBorders>
            <w:vAlign w:val="center"/>
          </w:tcPr>
          <w:p w14:paraId="44C7D60E" w14:textId="77777777" w:rsidR="009E3821" w:rsidRPr="009E3821" w:rsidRDefault="009E3821" w:rsidP="009E3821">
            <w:pPr>
              <w:widowControl w:val="0"/>
              <w:pBdr>
                <w:top w:val="nil"/>
                <w:left w:val="nil"/>
                <w:bottom w:val="nil"/>
                <w:right w:val="nil"/>
                <w:between w:val="nil"/>
              </w:pBdr>
              <w:rPr>
                <w:rFonts w:ascii="Arial" w:hAnsi="Arial" w:cs="Arial"/>
              </w:rPr>
            </w:pPr>
          </w:p>
        </w:tc>
      </w:tr>
      <w:tr w:rsidR="009E3821" w:rsidRPr="009E3821" w14:paraId="7F286828" w14:textId="77777777" w:rsidTr="009E3821">
        <w:trPr>
          <w:trHeight w:val="300"/>
        </w:trPr>
        <w:tc>
          <w:tcPr>
            <w:tcW w:w="2755" w:type="dxa"/>
            <w:tcBorders>
              <w:top w:val="nil"/>
              <w:left w:val="nil"/>
              <w:bottom w:val="nil"/>
              <w:right w:val="nil"/>
            </w:tcBorders>
          </w:tcPr>
          <w:p w14:paraId="5DDF09B4" w14:textId="77777777" w:rsidR="009E3821" w:rsidRPr="009E3821" w:rsidRDefault="009E3821" w:rsidP="009E3821">
            <w:pPr>
              <w:rPr>
                <w:rFonts w:ascii="Arial" w:hAnsi="Arial" w:cs="Arial"/>
                <w:b/>
              </w:rPr>
            </w:pPr>
            <w:r w:rsidRPr="009E3821">
              <w:rPr>
                <w:rFonts w:ascii="Arial" w:hAnsi="Arial" w:cs="Arial"/>
                <w:b/>
              </w:rPr>
              <w:t xml:space="preserve">Chest drain </w:t>
            </w:r>
          </w:p>
        </w:tc>
        <w:tc>
          <w:tcPr>
            <w:tcW w:w="736" w:type="dxa"/>
            <w:tcBorders>
              <w:top w:val="nil"/>
              <w:left w:val="nil"/>
              <w:bottom w:val="nil"/>
              <w:right w:val="nil"/>
            </w:tcBorders>
            <w:vAlign w:val="bottom"/>
          </w:tcPr>
          <w:p w14:paraId="5084323B" w14:textId="77777777" w:rsidR="009E3821" w:rsidRPr="009E3821" w:rsidRDefault="009E3821" w:rsidP="009E3821">
            <w:pPr>
              <w:rPr>
                <w:rFonts w:ascii="Arial" w:hAnsi="Arial" w:cs="Arial"/>
              </w:rPr>
            </w:pPr>
            <w:r w:rsidRPr="009E3821">
              <w:rPr>
                <w:rFonts w:ascii="Arial" w:hAnsi="Arial" w:cs="Arial"/>
              </w:rPr>
              <w:t xml:space="preserve"> </w:t>
            </w:r>
          </w:p>
        </w:tc>
        <w:tc>
          <w:tcPr>
            <w:tcW w:w="708" w:type="dxa"/>
            <w:tcBorders>
              <w:top w:val="nil"/>
              <w:left w:val="nil"/>
              <w:bottom w:val="nil"/>
              <w:right w:val="nil"/>
            </w:tcBorders>
            <w:vAlign w:val="bottom"/>
          </w:tcPr>
          <w:p w14:paraId="7A87D43A" w14:textId="77777777" w:rsidR="009E3821" w:rsidRPr="009E3821" w:rsidRDefault="009E3821" w:rsidP="009E3821">
            <w:pPr>
              <w:rPr>
                <w:rFonts w:ascii="Arial" w:hAnsi="Arial" w:cs="Arial"/>
              </w:rPr>
            </w:pPr>
            <w:r w:rsidRPr="009E3821">
              <w:rPr>
                <w:rFonts w:ascii="Arial" w:hAnsi="Arial" w:cs="Arial"/>
              </w:rPr>
              <w:t xml:space="preserve"> </w:t>
            </w:r>
          </w:p>
        </w:tc>
        <w:tc>
          <w:tcPr>
            <w:tcW w:w="709" w:type="dxa"/>
            <w:tcBorders>
              <w:top w:val="nil"/>
              <w:left w:val="nil"/>
              <w:bottom w:val="nil"/>
              <w:right w:val="nil"/>
            </w:tcBorders>
            <w:vAlign w:val="bottom"/>
          </w:tcPr>
          <w:p w14:paraId="47E5AA42" w14:textId="77777777" w:rsidR="009E3821" w:rsidRPr="009E3821" w:rsidRDefault="009E3821" w:rsidP="009E3821">
            <w:pPr>
              <w:rPr>
                <w:rFonts w:ascii="Arial" w:hAnsi="Arial" w:cs="Arial"/>
              </w:rPr>
            </w:pPr>
            <w:r w:rsidRPr="009E3821">
              <w:rPr>
                <w:rFonts w:ascii="Arial" w:hAnsi="Arial" w:cs="Arial"/>
              </w:rPr>
              <w:t xml:space="preserve"> </w:t>
            </w:r>
          </w:p>
        </w:tc>
        <w:tc>
          <w:tcPr>
            <w:tcW w:w="851" w:type="dxa"/>
            <w:tcBorders>
              <w:top w:val="nil"/>
              <w:left w:val="nil"/>
              <w:bottom w:val="nil"/>
              <w:right w:val="nil"/>
            </w:tcBorders>
            <w:vAlign w:val="bottom"/>
          </w:tcPr>
          <w:p w14:paraId="50C1831D" w14:textId="77777777" w:rsidR="009E3821" w:rsidRPr="009E3821" w:rsidRDefault="009E3821" w:rsidP="009E3821">
            <w:pPr>
              <w:rPr>
                <w:rFonts w:ascii="Arial" w:hAnsi="Arial" w:cs="Arial"/>
              </w:rPr>
            </w:pPr>
            <w:r w:rsidRPr="009E3821">
              <w:rPr>
                <w:rFonts w:ascii="Arial" w:hAnsi="Arial" w:cs="Arial"/>
              </w:rPr>
              <w:t xml:space="preserve"> </w:t>
            </w:r>
          </w:p>
        </w:tc>
        <w:tc>
          <w:tcPr>
            <w:tcW w:w="2551" w:type="dxa"/>
            <w:tcBorders>
              <w:top w:val="nil"/>
              <w:left w:val="nil"/>
              <w:bottom w:val="nil"/>
              <w:right w:val="nil"/>
            </w:tcBorders>
            <w:vAlign w:val="bottom"/>
          </w:tcPr>
          <w:p w14:paraId="2ACFC0E9" w14:textId="77777777" w:rsidR="009E3821" w:rsidRPr="009E3821" w:rsidRDefault="009E3821" w:rsidP="009E3821">
            <w:pPr>
              <w:rPr>
                <w:rFonts w:ascii="Arial" w:hAnsi="Arial" w:cs="Arial"/>
              </w:rPr>
            </w:pPr>
            <w:r w:rsidRPr="009E3821">
              <w:rPr>
                <w:rFonts w:ascii="Arial" w:hAnsi="Arial" w:cs="Arial"/>
              </w:rPr>
              <w:t xml:space="preserve"> </w:t>
            </w:r>
          </w:p>
        </w:tc>
      </w:tr>
      <w:tr w:rsidR="009E3821" w:rsidRPr="009E3821" w14:paraId="304246B4" w14:textId="77777777" w:rsidTr="009E3821">
        <w:trPr>
          <w:trHeight w:val="300"/>
        </w:trPr>
        <w:tc>
          <w:tcPr>
            <w:tcW w:w="2755" w:type="dxa"/>
            <w:tcBorders>
              <w:top w:val="nil"/>
              <w:left w:val="nil"/>
              <w:bottom w:val="nil"/>
              <w:right w:val="nil"/>
            </w:tcBorders>
          </w:tcPr>
          <w:p w14:paraId="4C30CB9A" w14:textId="77777777" w:rsidR="009E3821" w:rsidRPr="009E3821" w:rsidRDefault="009E3821" w:rsidP="009E3821">
            <w:pPr>
              <w:rPr>
                <w:rFonts w:ascii="Arial" w:hAnsi="Arial" w:cs="Arial"/>
              </w:rPr>
            </w:pPr>
            <w:r w:rsidRPr="009E3821">
              <w:rPr>
                <w:rFonts w:ascii="Arial" w:hAnsi="Arial" w:cs="Arial"/>
              </w:rPr>
              <w:t xml:space="preserve">Yes </w:t>
            </w:r>
          </w:p>
        </w:tc>
        <w:tc>
          <w:tcPr>
            <w:tcW w:w="736" w:type="dxa"/>
            <w:tcBorders>
              <w:top w:val="nil"/>
              <w:left w:val="nil"/>
              <w:bottom w:val="nil"/>
              <w:right w:val="nil"/>
            </w:tcBorders>
            <w:vAlign w:val="bottom"/>
          </w:tcPr>
          <w:p w14:paraId="06FFC391" w14:textId="77777777" w:rsidR="009E3821" w:rsidRPr="009E3821" w:rsidRDefault="009E3821" w:rsidP="009E3821">
            <w:pPr>
              <w:jc w:val="center"/>
              <w:rPr>
                <w:rFonts w:ascii="Arial" w:hAnsi="Arial" w:cs="Arial"/>
              </w:rPr>
            </w:pPr>
            <w:r w:rsidRPr="009E3821">
              <w:rPr>
                <w:rFonts w:ascii="Arial" w:hAnsi="Arial" w:cs="Arial"/>
              </w:rPr>
              <w:t xml:space="preserve">10 </w:t>
            </w:r>
          </w:p>
        </w:tc>
        <w:tc>
          <w:tcPr>
            <w:tcW w:w="708" w:type="dxa"/>
            <w:tcBorders>
              <w:top w:val="nil"/>
              <w:left w:val="nil"/>
              <w:bottom w:val="nil"/>
              <w:right w:val="nil"/>
            </w:tcBorders>
            <w:vAlign w:val="bottom"/>
          </w:tcPr>
          <w:p w14:paraId="1CFE4561" w14:textId="77777777" w:rsidR="009E3821" w:rsidRPr="009E3821" w:rsidRDefault="009E3821" w:rsidP="009E3821">
            <w:pPr>
              <w:jc w:val="center"/>
              <w:rPr>
                <w:rFonts w:ascii="Arial" w:hAnsi="Arial" w:cs="Arial"/>
              </w:rPr>
            </w:pPr>
            <w:r w:rsidRPr="009E3821">
              <w:rPr>
                <w:rFonts w:ascii="Arial" w:hAnsi="Arial" w:cs="Arial"/>
              </w:rPr>
              <w:t xml:space="preserve">7,0 </w:t>
            </w:r>
          </w:p>
        </w:tc>
        <w:tc>
          <w:tcPr>
            <w:tcW w:w="709" w:type="dxa"/>
            <w:tcBorders>
              <w:top w:val="nil"/>
              <w:left w:val="nil"/>
              <w:bottom w:val="nil"/>
              <w:right w:val="nil"/>
            </w:tcBorders>
            <w:vAlign w:val="bottom"/>
          </w:tcPr>
          <w:p w14:paraId="61B85A73" w14:textId="77777777" w:rsidR="009E3821" w:rsidRPr="009E3821" w:rsidRDefault="009E3821" w:rsidP="009E3821">
            <w:pPr>
              <w:jc w:val="center"/>
              <w:rPr>
                <w:rFonts w:ascii="Arial" w:hAnsi="Arial" w:cs="Arial"/>
              </w:rPr>
            </w:pPr>
            <w:r w:rsidRPr="009E3821">
              <w:rPr>
                <w:rFonts w:ascii="Arial" w:hAnsi="Arial" w:cs="Arial"/>
              </w:rPr>
              <w:t xml:space="preserve">5 </w:t>
            </w:r>
          </w:p>
        </w:tc>
        <w:tc>
          <w:tcPr>
            <w:tcW w:w="851" w:type="dxa"/>
            <w:tcBorders>
              <w:top w:val="nil"/>
              <w:left w:val="nil"/>
              <w:bottom w:val="nil"/>
              <w:right w:val="nil"/>
            </w:tcBorders>
            <w:vAlign w:val="bottom"/>
          </w:tcPr>
          <w:p w14:paraId="7872E12A" w14:textId="77777777" w:rsidR="009E3821" w:rsidRPr="009E3821" w:rsidRDefault="009E3821" w:rsidP="009E3821">
            <w:pPr>
              <w:jc w:val="center"/>
              <w:rPr>
                <w:rFonts w:ascii="Arial" w:hAnsi="Arial" w:cs="Arial"/>
              </w:rPr>
            </w:pPr>
            <w:r w:rsidRPr="009E3821">
              <w:rPr>
                <w:rFonts w:ascii="Arial" w:hAnsi="Arial" w:cs="Arial"/>
              </w:rPr>
              <w:t xml:space="preserve">3,5 </w:t>
            </w:r>
          </w:p>
        </w:tc>
        <w:tc>
          <w:tcPr>
            <w:tcW w:w="2551" w:type="dxa"/>
            <w:vMerge w:val="restart"/>
            <w:tcBorders>
              <w:top w:val="nil"/>
              <w:left w:val="nil"/>
              <w:bottom w:val="nil"/>
              <w:right w:val="nil"/>
            </w:tcBorders>
            <w:vAlign w:val="center"/>
          </w:tcPr>
          <w:p w14:paraId="6A34FDF8" w14:textId="77777777" w:rsidR="009E3821" w:rsidRPr="009E3821" w:rsidRDefault="009E3821" w:rsidP="009E3821">
            <w:pPr>
              <w:jc w:val="center"/>
              <w:rPr>
                <w:rFonts w:ascii="Arial" w:hAnsi="Arial" w:cs="Arial"/>
              </w:rPr>
            </w:pPr>
            <w:r w:rsidRPr="009E3821">
              <w:rPr>
                <w:rFonts w:ascii="Arial" w:hAnsi="Arial" w:cs="Arial"/>
              </w:rPr>
              <w:t>X</w:t>
            </w:r>
            <w:r w:rsidRPr="009E3821">
              <w:rPr>
                <w:rFonts w:ascii="Arial" w:hAnsi="Arial" w:cs="Arial"/>
                <w:vertAlign w:val="superscript"/>
              </w:rPr>
              <w:t>2</w:t>
            </w:r>
            <w:r w:rsidRPr="009E3821">
              <w:rPr>
                <w:rFonts w:ascii="Arial" w:hAnsi="Arial" w:cs="Arial"/>
              </w:rPr>
              <w:t xml:space="preserve">= 1,722;  </w:t>
            </w:r>
          </w:p>
          <w:p w14:paraId="0DFFFAB9" w14:textId="77777777" w:rsidR="009E3821" w:rsidRPr="009E3821" w:rsidRDefault="009E3821" w:rsidP="009E3821">
            <w:pPr>
              <w:jc w:val="center"/>
              <w:rPr>
                <w:rFonts w:ascii="Arial" w:hAnsi="Arial" w:cs="Arial"/>
              </w:rPr>
            </w:pPr>
            <w:r w:rsidRPr="009E3821">
              <w:rPr>
                <w:rFonts w:ascii="Arial" w:hAnsi="Arial" w:cs="Arial"/>
              </w:rPr>
              <w:t xml:space="preserve">p= 0,189 </w:t>
            </w:r>
          </w:p>
        </w:tc>
      </w:tr>
      <w:tr w:rsidR="009E3821" w:rsidRPr="009E3821" w14:paraId="7EC49988" w14:textId="77777777" w:rsidTr="009E3821">
        <w:trPr>
          <w:trHeight w:val="300"/>
        </w:trPr>
        <w:tc>
          <w:tcPr>
            <w:tcW w:w="2755" w:type="dxa"/>
            <w:tcBorders>
              <w:top w:val="nil"/>
              <w:left w:val="nil"/>
              <w:bottom w:val="nil"/>
              <w:right w:val="nil"/>
            </w:tcBorders>
          </w:tcPr>
          <w:p w14:paraId="799F2368" w14:textId="77777777" w:rsidR="009E3821" w:rsidRPr="009E3821" w:rsidRDefault="009E3821" w:rsidP="009E3821">
            <w:pPr>
              <w:rPr>
                <w:rFonts w:ascii="Arial" w:hAnsi="Arial" w:cs="Arial"/>
              </w:rPr>
            </w:pPr>
            <w:r w:rsidRPr="009E3821">
              <w:rPr>
                <w:rFonts w:ascii="Arial" w:hAnsi="Arial" w:cs="Arial"/>
              </w:rPr>
              <w:t xml:space="preserve">No </w:t>
            </w:r>
          </w:p>
        </w:tc>
        <w:tc>
          <w:tcPr>
            <w:tcW w:w="736" w:type="dxa"/>
            <w:tcBorders>
              <w:top w:val="nil"/>
              <w:left w:val="nil"/>
              <w:bottom w:val="nil"/>
              <w:right w:val="nil"/>
            </w:tcBorders>
            <w:vAlign w:val="bottom"/>
          </w:tcPr>
          <w:p w14:paraId="691E3993" w14:textId="77777777" w:rsidR="009E3821" w:rsidRPr="009E3821" w:rsidRDefault="009E3821" w:rsidP="009E3821">
            <w:pPr>
              <w:jc w:val="center"/>
              <w:rPr>
                <w:rFonts w:ascii="Arial" w:hAnsi="Arial" w:cs="Arial"/>
              </w:rPr>
            </w:pPr>
            <w:r w:rsidRPr="009E3821">
              <w:rPr>
                <w:rFonts w:ascii="Arial" w:hAnsi="Arial" w:cs="Arial"/>
              </w:rPr>
              <w:t xml:space="preserve">133 </w:t>
            </w:r>
          </w:p>
        </w:tc>
        <w:tc>
          <w:tcPr>
            <w:tcW w:w="708" w:type="dxa"/>
            <w:tcBorders>
              <w:top w:val="nil"/>
              <w:left w:val="nil"/>
              <w:bottom w:val="nil"/>
              <w:right w:val="nil"/>
            </w:tcBorders>
            <w:vAlign w:val="bottom"/>
          </w:tcPr>
          <w:p w14:paraId="4793B2B7" w14:textId="77777777" w:rsidR="009E3821" w:rsidRPr="009E3821" w:rsidRDefault="009E3821" w:rsidP="009E3821">
            <w:pPr>
              <w:jc w:val="center"/>
              <w:rPr>
                <w:rFonts w:ascii="Arial" w:hAnsi="Arial" w:cs="Arial"/>
              </w:rPr>
            </w:pPr>
            <w:r w:rsidRPr="009E3821">
              <w:rPr>
                <w:rFonts w:ascii="Arial" w:hAnsi="Arial" w:cs="Arial"/>
              </w:rPr>
              <w:t xml:space="preserve">93,0 </w:t>
            </w:r>
          </w:p>
        </w:tc>
        <w:tc>
          <w:tcPr>
            <w:tcW w:w="709" w:type="dxa"/>
            <w:tcBorders>
              <w:top w:val="nil"/>
              <w:left w:val="nil"/>
              <w:bottom w:val="nil"/>
              <w:right w:val="nil"/>
            </w:tcBorders>
            <w:vAlign w:val="bottom"/>
          </w:tcPr>
          <w:p w14:paraId="083BE90E" w14:textId="77777777" w:rsidR="009E3821" w:rsidRPr="009E3821" w:rsidRDefault="009E3821" w:rsidP="009E3821">
            <w:pPr>
              <w:jc w:val="center"/>
              <w:rPr>
                <w:rFonts w:ascii="Arial" w:hAnsi="Arial" w:cs="Arial"/>
              </w:rPr>
            </w:pPr>
            <w:r w:rsidRPr="009E3821">
              <w:rPr>
                <w:rFonts w:ascii="Arial" w:hAnsi="Arial" w:cs="Arial"/>
              </w:rPr>
              <w:t xml:space="preserve">137 </w:t>
            </w:r>
          </w:p>
        </w:tc>
        <w:tc>
          <w:tcPr>
            <w:tcW w:w="851" w:type="dxa"/>
            <w:tcBorders>
              <w:top w:val="nil"/>
              <w:left w:val="nil"/>
              <w:bottom w:val="nil"/>
              <w:right w:val="nil"/>
            </w:tcBorders>
            <w:vAlign w:val="bottom"/>
          </w:tcPr>
          <w:p w14:paraId="7D687801" w14:textId="77777777" w:rsidR="009E3821" w:rsidRPr="009E3821" w:rsidRDefault="009E3821" w:rsidP="009E3821">
            <w:pPr>
              <w:jc w:val="center"/>
              <w:rPr>
                <w:rFonts w:ascii="Arial" w:hAnsi="Arial" w:cs="Arial"/>
              </w:rPr>
            </w:pPr>
            <w:r w:rsidRPr="009E3821">
              <w:rPr>
                <w:rFonts w:ascii="Arial" w:hAnsi="Arial" w:cs="Arial"/>
              </w:rPr>
              <w:t xml:space="preserve">96,5 </w:t>
            </w:r>
          </w:p>
        </w:tc>
        <w:tc>
          <w:tcPr>
            <w:tcW w:w="2551" w:type="dxa"/>
            <w:vMerge/>
            <w:tcBorders>
              <w:top w:val="nil"/>
              <w:left w:val="nil"/>
              <w:bottom w:val="nil"/>
              <w:right w:val="nil"/>
            </w:tcBorders>
            <w:vAlign w:val="center"/>
          </w:tcPr>
          <w:p w14:paraId="2BD0A7DD" w14:textId="77777777" w:rsidR="009E3821" w:rsidRPr="009E3821" w:rsidRDefault="009E3821" w:rsidP="009E3821">
            <w:pPr>
              <w:widowControl w:val="0"/>
              <w:pBdr>
                <w:top w:val="nil"/>
                <w:left w:val="nil"/>
                <w:bottom w:val="nil"/>
                <w:right w:val="nil"/>
                <w:between w:val="nil"/>
              </w:pBdr>
              <w:rPr>
                <w:rFonts w:ascii="Arial" w:hAnsi="Arial" w:cs="Arial"/>
              </w:rPr>
            </w:pPr>
          </w:p>
        </w:tc>
      </w:tr>
      <w:tr w:rsidR="009E3821" w:rsidRPr="009E3821" w14:paraId="275E7EC3" w14:textId="77777777" w:rsidTr="009E3821">
        <w:trPr>
          <w:trHeight w:val="300"/>
        </w:trPr>
        <w:tc>
          <w:tcPr>
            <w:tcW w:w="2755" w:type="dxa"/>
            <w:tcBorders>
              <w:top w:val="nil"/>
              <w:left w:val="nil"/>
              <w:bottom w:val="nil"/>
              <w:right w:val="nil"/>
            </w:tcBorders>
          </w:tcPr>
          <w:p w14:paraId="5742E4D9" w14:textId="77777777" w:rsidR="009E3821" w:rsidRPr="009E3821" w:rsidRDefault="009E3821" w:rsidP="009E3821">
            <w:pPr>
              <w:rPr>
                <w:rFonts w:ascii="Arial" w:hAnsi="Arial" w:cs="Arial"/>
                <w:b/>
              </w:rPr>
            </w:pPr>
            <w:r w:rsidRPr="009E3821">
              <w:rPr>
                <w:rFonts w:ascii="Arial" w:hAnsi="Arial" w:cs="Arial"/>
                <w:b/>
              </w:rPr>
              <w:t xml:space="preserve">Hemodialysis </w:t>
            </w:r>
          </w:p>
        </w:tc>
        <w:tc>
          <w:tcPr>
            <w:tcW w:w="736" w:type="dxa"/>
            <w:tcBorders>
              <w:top w:val="nil"/>
              <w:left w:val="nil"/>
              <w:bottom w:val="nil"/>
              <w:right w:val="nil"/>
            </w:tcBorders>
            <w:vAlign w:val="bottom"/>
          </w:tcPr>
          <w:p w14:paraId="3C524F25" w14:textId="77777777" w:rsidR="009E3821" w:rsidRPr="009E3821" w:rsidRDefault="009E3821" w:rsidP="009E3821">
            <w:pPr>
              <w:rPr>
                <w:rFonts w:ascii="Arial" w:hAnsi="Arial" w:cs="Arial"/>
              </w:rPr>
            </w:pPr>
            <w:r w:rsidRPr="009E3821">
              <w:rPr>
                <w:rFonts w:ascii="Arial" w:hAnsi="Arial" w:cs="Arial"/>
              </w:rPr>
              <w:t xml:space="preserve"> </w:t>
            </w:r>
          </w:p>
        </w:tc>
        <w:tc>
          <w:tcPr>
            <w:tcW w:w="708" w:type="dxa"/>
            <w:tcBorders>
              <w:top w:val="nil"/>
              <w:left w:val="nil"/>
              <w:bottom w:val="nil"/>
              <w:right w:val="nil"/>
            </w:tcBorders>
            <w:vAlign w:val="bottom"/>
          </w:tcPr>
          <w:p w14:paraId="3CB31103" w14:textId="77777777" w:rsidR="009E3821" w:rsidRPr="009E3821" w:rsidRDefault="009E3821" w:rsidP="009E3821">
            <w:pPr>
              <w:rPr>
                <w:rFonts w:ascii="Arial" w:hAnsi="Arial" w:cs="Arial"/>
              </w:rPr>
            </w:pPr>
            <w:r w:rsidRPr="009E3821">
              <w:rPr>
                <w:rFonts w:ascii="Arial" w:hAnsi="Arial" w:cs="Arial"/>
              </w:rPr>
              <w:t xml:space="preserve"> </w:t>
            </w:r>
          </w:p>
        </w:tc>
        <w:tc>
          <w:tcPr>
            <w:tcW w:w="709" w:type="dxa"/>
            <w:tcBorders>
              <w:top w:val="nil"/>
              <w:left w:val="nil"/>
              <w:bottom w:val="nil"/>
              <w:right w:val="nil"/>
            </w:tcBorders>
            <w:vAlign w:val="bottom"/>
          </w:tcPr>
          <w:p w14:paraId="3CA08060" w14:textId="77777777" w:rsidR="009E3821" w:rsidRPr="009E3821" w:rsidRDefault="009E3821" w:rsidP="009E3821">
            <w:pPr>
              <w:rPr>
                <w:rFonts w:ascii="Arial" w:hAnsi="Arial" w:cs="Arial"/>
              </w:rPr>
            </w:pPr>
            <w:r w:rsidRPr="009E3821">
              <w:rPr>
                <w:rFonts w:ascii="Arial" w:hAnsi="Arial" w:cs="Arial"/>
              </w:rPr>
              <w:t xml:space="preserve"> </w:t>
            </w:r>
          </w:p>
        </w:tc>
        <w:tc>
          <w:tcPr>
            <w:tcW w:w="851" w:type="dxa"/>
            <w:tcBorders>
              <w:top w:val="nil"/>
              <w:left w:val="nil"/>
              <w:bottom w:val="nil"/>
              <w:right w:val="nil"/>
            </w:tcBorders>
            <w:vAlign w:val="bottom"/>
          </w:tcPr>
          <w:p w14:paraId="7469A602" w14:textId="77777777" w:rsidR="009E3821" w:rsidRPr="009E3821" w:rsidRDefault="009E3821" w:rsidP="009E3821">
            <w:pPr>
              <w:rPr>
                <w:rFonts w:ascii="Arial" w:hAnsi="Arial" w:cs="Arial"/>
              </w:rPr>
            </w:pPr>
            <w:r w:rsidRPr="009E3821">
              <w:rPr>
                <w:rFonts w:ascii="Arial" w:hAnsi="Arial" w:cs="Arial"/>
              </w:rPr>
              <w:t xml:space="preserve"> </w:t>
            </w:r>
          </w:p>
        </w:tc>
        <w:tc>
          <w:tcPr>
            <w:tcW w:w="2551" w:type="dxa"/>
            <w:tcBorders>
              <w:top w:val="nil"/>
              <w:left w:val="nil"/>
              <w:bottom w:val="nil"/>
              <w:right w:val="nil"/>
            </w:tcBorders>
            <w:vAlign w:val="bottom"/>
          </w:tcPr>
          <w:p w14:paraId="14129157" w14:textId="77777777" w:rsidR="009E3821" w:rsidRPr="009E3821" w:rsidRDefault="009E3821" w:rsidP="009E3821">
            <w:pPr>
              <w:rPr>
                <w:rFonts w:ascii="Arial" w:hAnsi="Arial" w:cs="Arial"/>
              </w:rPr>
            </w:pPr>
            <w:r w:rsidRPr="009E3821">
              <w:rPr>
                <w:rFonts w:ascii="Arial" w:hAnsi="Arial" w:cs="Arial"/>
              </w:rPr>
              <w:t xml:space="preserve"> </w:t>
            </w:r>
          </w:p>
        </w:tc>
      </w:tr>
      <w:tr w:rsidR="009E3821" w:rsidRPr="009E3821" w14:paraId="52C836BD" w14:textId="77777777" w:rsidTr="009E3821">
        <w:trPr>
          <w:trHeight w:val="300"/>
        </w:trPr>
        <w:tc>
          <w:tcPr>
            <w:tcW w:w="2755" w:type="dxa"/>
            <w:tcBorders>
              <w:top w:val="nil"/>
              <w:left w:val="nil"/>
              <w:bottom w:val="nil"/>
              <w:right w:val="nil"/>
            </w:tcBorders>
          </w:tcPr>
          <w:p w14:paraId="6F31D59B" w14:textId="77777777" w:rsidR="009E3821" w:rsidRPr="009E3821" w:rsidRDefault="009E3821" w:rsidP="009E3821">
            <w:pPr>
              <w:rPr>
                <w:rFonts w:ascii="Arial" w:hAnsi="Arial" w:cs="Arial"/>
              </w:rPr>
            </w:pPr>
            <w:r w:rsidRPr="009E3821">
              <w:rPr>
                <w:rFonts w:ascii="Arial" w:hAnsi="Arial" w:cs="Arial"/>
              </w:rPr>
              <w:t xml:space="preserve">Yes </w:t>
            </w:r>
          </w:p>
        </w:tc>
        <w:tc>
          <w:tcPr>
            <w:tcW w:w="736" w:type="dxa"/>
            <w:tcBorders>
              <w:top w:val="nil"/>
              <w:left w:val="nil"/>
              <w:bottom w:val="nil"/>
              <w:right w:val="nil"/>
            </w:tcBorders>
            <w:vAlign w:val="bottom"/>
          </w:tcPr>
          <w:p w14:paraId="65DC822F" w14:textId="77777777" w:rsidR="009E3821" w:rsidRPr="009E3821" w:rsidRDefault="009E3821" w:rsidP="009E3821">
            <w:pPr>
              <w:jc w:val="center"/>
              <w:rPr>
                <w:rFonts w:ascii="Arial" w:hAnsi="Arial" w:cs="Arial"/>
              </w:rPr>
            </w:pPr>
            <w:r w:rsidRPr="009E3821">
              <w:rPr>
                <w:rFonts w:ascii="Arial" w:hAnsi="Arial" w:cs="Arial"/>
              </w:rPr>
              <w:t xml:space="preserve">11 </w:t>
            </w:r>
          </w:p>
        </w:tc>
        <w:tc>
          <w:tcPr>
            <w:tcW w:w="708" w:type="dxa"/>
            <w:tcBorders>
              <w:top w:val="nil"/>
              <w:left w:val="nil"/>
              <w:bottom w:val="nil"/>
              <w:right w:val="nil"/>
            </w:tcBorders>
            <w:vAlign w:val="bottom"/>
          </w:tcPr>
          <w:p w14:paraId="577B2E0C" w14:textId="77777777" w:rsidR="009E3821" w:rsidRPr="009E3821" w:rsidRDefault="009E3821" w:rsidP="009E3821">
            <w:pPr>
              <w:jc w:val="center"/>
              <w:rPr>
                <w:rFonts w:ascii="Arial" w:hAnsi="Arial" w:cs="Arial"/>
              </w:rPr>
            </w:pPr>
            <w:r w:rsidRPr="009E3821">
              <w:rPr>
                <w:rFonts w:ascii="Arial" w:hAnsi="Arial" w:cs="Arial"/>
              </w:rPr>
              <w:t xml:space="preserve">7,7 </w:t>
            </w:r>
          </w:p>
        </w:tc>
        <w:tc>
          <w:tcPr>
            <w:tcW w:w="709" w:type="dxa"/>
            <w:tcBorders>
              <w:top w:val="nil"/>
              <w:left w:val="nil"/>
              <w:bottom w:val="nil"/>
              <w:right w:val="nil"/>
            </w:tcBorders>
            <w:vAlign w:val="bottom"/>
          </w:tcPr>
          <w:p w14:paraId="2BA26E8F" w14:textId="77777777" w:rsidR="009E3821" w:rsidRPr="009E3821" w:rsidRDefault="009E3821" w:rsidP="009E3821">
            <w:pPr>
              <w:jc w:val="center"/>
              <w:rPr>
                <w:rFonts w:ascii="Arial" w:hAnsi="Arial" w:cs="Arial"/>
              </w:rPr>
            </w:pPr>
            <w:r w:rsidRPr="009E3821">
              <w:rPr>
                <w:rFonts w:ascii="Arial" w:hAnsi="Arial" w:cs="Arial"/>
              </w:rPr>
              <w:t xml:space="preserve">9 </w:t>
            </w:r>
          </w:p>
        </w:tc>
        <w:tc>
          <w:tcPr>
            <w:tcW w:w="851" w:type="dxa"/>
            <w:tcBorders>
              <w:top w:val="nil"/>
              <w:left w:val="nil"/>
              <w:bottom w:val="nil"/>
              <w:right w:val="nil"/>
            </w:tcBorders>
            <w:vAlign w:val="bottom"/>
          </w:tcPr>
          <w:p w14:paraId="11782284" w14:textId="77777777" w:rsidR="009E3821" w:rsidRPr="009E3821" w:rsidRDefault="009E3821" w:rsidP="009E3821">
            <w:pPr>
              <w:jc w:val="center"/>
              <w:rPr>
                <w:rFonts w:ascii="Arial" w:hAnsi="Arial" w:cs="Arial"/>
              </w:rPr>
            </w:pPr>
            <w:r w:rsidRPr="009E3821">
              <w:rPr>
                <w:rFonts w:ascii="Arial" w:hAnsi="Arial" w:cs="Arial"/>
              </w:rPr>
              <w:t xml:space="preserve">6,3 </w:t>
            </w:r>
          </w:p>
        </w:tc>
        <w:tc>
          <w:tcPr>
            <w:tcW w:w="2551" w:type="dxa"/>
            <w:vMerge w:val="restart"/>
            <w:tcBorders>
              <w:top w:val="nil"/>
              <w:left w:val="nil"/>
              <w:bottom w:val="nil"/>
              <w:right w:val="nil"/>
            </w:tcBorders>
            <w:vAlign w:val="center"/>
          </w:tcPr>
          <w:p w14:paraId="48D0EF21" w14:textId="77777777" w:rsidR="009E3821" w:rsidRPr="009E3821" w:rsidRDefault="009E3821" w:rsidP="009E3821">
            <w:pPr>
              <w:jc w:val="center"/>
              <w:rPr>
                <w:rFonts w:ascii="Arial" w:hAnsi="Arial" w:cs="Arial"/>
              </w:rPr>
            </w:pPr>
            <w:r w:rsidRPr="009E3821">
              <w:rPr>
                <w:rFonts w:ascii="Arial" w:hAnsi="Arial" w:cs="Arial"/>
              </w:rPr>
              <w:t>X</w:t>
            </w:r>
            <w:r w:rsidRPr="009E3821">
              <w:rPr>
                <w:rFonts w:ascii="Arial" w:hAnsi="Arial" w:cs="Arial"/>
                <w:vertAlign w:val="superscript"/>
              </w:rPr>
              <w:t>2</w:t>
            </w:r>
            <w:r w:rsidRPr="009E3821">
              <w:rPr>
                <w:rFonts w:ascii="Arial" w:hAnsi="Arial" w:cs="Arial"/>
              </w:rPr>
              <w:t xml:space="preserve">= 0,200;  </w:t>
            </w:r>
          </w:p>
          <w:p w14:paraId="1272A247" w14:textId="77777777" w:rsidR="009E3821" w:rsidRPr="009E3821" w:rsidRDefault="009E3821" w:rsidP="009E3821">
            <w:pPr>
              <w:jc w:val="center"/>
              <w:rPr>
                <w:rFonts w:ascii="Arial" w:hAnsi="Arial" w:cs="Arial"/>
              </w:rPr>
            </w:pPr>
            <w:r w:rsidRPr="009E3821">
              <w:rPr>
                <w:rFonts w:ascii="Arial" w:hAnsi="Arial" w:cs="Arial"/>
              </w:rPr>
              <w:t xml:space="preserve">p= 0,655 </w:t>
            </w:r>
          </w:p>
        </w:tc>
      </w:tr>
      <w:tr w:rsidR="009E3821" w:rsidRPr="009E3821" w14:paraId="0288D275" w14:textId="77777777" w:rsidTr="009E3821">
        <w:trPr>
          <w:trHeight w:val="300"/>
        </w:trPr>
        <w:tc>
          <w:tcPr>
            <w:tcW w:w="2755" w:type="dxa"/>
            <w:tcBorders>
              <w:top w:val="nil"/>
              <w:left w:val="nil"/>
              <w:bottom w:val="nil"/>
              <w:right w:val="nil"/>
            </w:tcBorders>
          </w:tcPr>
          <w:p w14:paraId="65E8CC4C" w14:textId="77777777" w:rsidR="009E3821" w:rsidRPr="009E3821" w:rsidRDefault="009E3821" w:rsidP="009E3821">
            <w:pPr>
              <w:rPr>
                <w:rFonts w:ascii="Arial" w:hAnsi="Arial" w:cs="Arial"/>
              </w:rPr>
            </w:pPr>
            <w:r w:rsidRPr="009E3821">
              <w:rPr>
                <w:rFonts w:ascii="Arial" w:hAnsi="Arial" w:cs="Arial"/>
              </w:rPr>
              <w:t xml:space="preserve">No </w:t>
            </w:r>
          </w:p>
        </w:tc>
        <w:tc>
          <w:tcPr>
            <w:tcW w:w="736" w:type="dxa"/>
            <w:tcBorders>
              <w:top w:val="nil"/>
              <w:left w:val="nil"/>
              <w:bottom w:val="nil"/>
              <w:right w:val="nil"/>
            </w:tcBorders>
            <w:vAlign w:val="bottom"/>
          </w:tcPr>
          <w:p w14:paraId="2EF25F12" w14:textId="77777777" w:rsidR="009E3821" w:rsidRPr="009E3821" w:rsidRDefault="009E3821" w:rsidP="009E3821">
            <w:pPr>
              <w:jc w:val="center"/>
              <w:rPr>
                <w:rFonts w:ascii="Arial" w:hAnsi="Arial" w:cs="Arial"/>
              </w:rPr>
            </w:pPr>
            <w:r w:rsidRPr="009E3821">
              <w:rPr>
                <w:rFonts w:ascii="Arial" w:hAnsi="Arial" w:cs="Arial"/>
              </w:rPr>
              <w:t xml:space="preserve">132 </w:t>
            </w:r>
          </w:p>
        </w:tc>
        <w:tc>
          <w:tcPr>
            <w:tcW w:w="708" w:type="dxa"/>
            <w:tcBorders>
              <w:top w:val="nil"/>
              <w:left w:val="nil"/>
              <w:bottom w:val="nil"/>
              <w:right w:val="nil"/>
            </w:tcBorders>
            <w:vAlign w:val="bottom"/>
          </w:tcPr>
          <w:p w14:paraId="2335F8C0" w14:textId="77777777" w:rsidR="009E3821" w:rsidRPr="009E3821" w:rsidRDefault="009E3821" w:rsidP="009E3821">
            <w:pPr>
              <w:jc w:val="center"/>
              <w:rPr>
                <w:rFonts w:ascii="Arial" w:hAnsi="Arial" w:cs="Arial"/>
              </w:rPr>
            </w:pPr>
            <w:r w:rsidRPr="009E3821">
              <w:rPr>
                <w:rFonts w:ascii="Arial" w:hAnsi="Arial" w:cs="Arial"/>
              </w:rPr>
              <w:t xml:space="preserve">92,3 </w:t>
            </w:r>
          </w:p>
        </w:tc>
        <w:tc>
          <w:tcPr>
            <w:tcW w:w="709" w:type="dxa"/>
            <w:tcBorders>
              <w:top w:val="nil"/>
              <w:left w:val="nil"/>
              <w:bottom w:val="nil"/>
              <w:right w:val="nil"/>
            </w:tcBorders>
            <w:vAlign w:val="bottom"/>
          </w:tcPr>
          <w:p w14:paraId="6894B4F7" w14:textId="77777777" w:rsidR="009E3821" w:rsidRPr="009E3821" w:rsidRDefault="009E3821" w:rsidP="009E3821">
            <w:pPr>
              <w:jc w:val="center"/>
              <w:rPr>
                <w:rFonts w:ascii="Arial" w:hAnsi="Arial" w:cs="Arial"/>
              </w:rPr>
            </w:pPr>
            <w:r w:rsidRPr="009E3821">
              <w:rPr>
                <w:rFonts w:ascii="Arial" w:hAnsi="Arial" w:cs="Arial"/>
              </w:rPr>
              <w:t xml:space="preserve">133 </w:t>
            </w:r>
          </w:p>
        </w:tc>
        <w:tc>
          <w:tcPr>
            <w:tcW w:w="851" w:type="dxa"/>
            <w:tcBorders>
              <w:top w:val="nil"/>
              <w:left w:val="nil"/>
              <w:bottom w:val="nil"/>
              <w:right w:val="nil"/>
            </w:tcBorders>
            <w:vAlign w:val="bottom"/>
          </w:tcPr>
          <w:p w14:paraId="2BEF520E" w14:textId="77777777" w:rsidR="009E3821" w:rsidRPr="009E3821" w:rsidRDefault="009E3821" w:rsidP="009E3821">
            <w:pPr>
              <w:jc w:val="center"/>
              <w:rPr>
                <w:rFonts w:ascii="Arial" w:hAnsi="Arial" w:cs="Arial"/>
              </w:rPr>
            </w:pPr>
            <w:r w:rsidRPr="009E3821">
              <w:rPr>
                <w:rFonts w:ascii="Arial" w:hAnsi="Arial" w:cs="Arial"/>
              </w:rPr>
              <w:t xml:space="preserve">93,7 </w:t>
            </w:r>
          </w:p>
        </w:tc>
        <w:tc>
          <w:tcPr>
            <w:tcW w:w="2551" w:type="dxa"/>
            <w:vMerge/>
            <w:tcBorders>
              <w:top w:val="nil"/>
              <w:left w:val="nil"/>
              <w:bottom w:val="nil"/>
              <w:right w:val="nil"/>
            </w:tcBorders>
            <w:vAlign w:val="center"/>
          </w:tcPr>
          <w:p w14:paraId="172BB343" w14:textId="77777777" w:rsidR="009E3821" w:rsidRPr="009E3821" w:rsidRDefault="009E3821" w:rsidP="009E3821">
            <w:pPr>
              <w:widowControl w:val="0"/>
              <w:pBdr>
                <w:top w:val="nil"/>
                <w:left w:val="nil"/>
                <w:bottom w:val="nil"/>
                <w:right w:val="nil"/>
                <w:between w:val="nil"/>
              </w:pBdr>
              <w:rPr>
                <w:rFonts w:ascii="Arial" w:hAnsi="Arial" w:cs="Arial"/>
              </w:rPr>
            </w:pPr>
          </w:p>
        </w:tc>
      </w:tr>
      <w:tr w:rsidR="009E3821" w:rsidRPr="009E3821" w14:paraId="756C07D5" w14:textId="77777777" w:rsidTr="009E3821">
        <w:trPr>
          <w:trHeight w:val="300"/>
        </w:trPr>
        <w:tc>
          <w:tcPr>
            <w:tcW w:w="2755" w:type="dxa"/>
            <w:tcBorders>
              <w:top w:val="nil"/>
              <w:left w:val="nil"/>
              <w:bottom w:val="nil"/>
              <w:right w:val="nil"/>
            </w:tcBorders>
          </w:tcPr>
          <w:p w14:paraId="55FE800F" w14:textId="77777777" w:rsidR="009E3821" w:rsidRPr="009E3821" w:rsidRDefault="009E3821" w:rsidP="009E3821">
            <w:pPr>
              <w:rPr>
                <w:rFonts w:ascii="Arial" w:hAnsi="Arial" w:cs="Arial"/>
                <w:b/>
              </w:rPr>
            </w:pPr>
            <w:r w:rsidRPr="009E3821">
              <w:rPr>
                <w:rFonts w:ascii="Arial" w:hAnsi="Arial" w:cs="Arial"/>
                <w:b/>
              </w:rPr>
              <w:t xml:space="preserve">Other procedures </w:t>
            </w:r>
          </w:p>
        </w:tc>
        <w:tc>
          <w:tcPr>
            <w:tcW w:w="736" w:type="dxa"/>
            <w:tcBorders>
              <w:top w:val="nil"/>
              <w:left w:val="nil"/>
              <w:bottom w:val="nil"/>
              <w:right w:val="nil"/>
            </w:tcBorders>
            <w:vAlign w:val="bottom"/>
          </w:tcPr>
          <w:p w14:paraId="1F83AA14" w14:textId="77777777" w:rsidR="009E3821" w:rsidRPr="009E3821" w:rsidRDefault="009E3821" w:rsidP="009E3821">
            <w:pPr>
              <w:rPr>
                <w:rFonts w:ascii="Arial" w:hAnsi="Arial" w:cs="Arial"/>
              </w:rPr>
            </w:pPr>
            <w:r w:rsidRPr="009E3821">
              <w:rPr>
                <w:rFonts w:ascii="Arial" w:hAnsi="Arial" w:cs="Arial"/>
              </w:rPr>
              <w:t xml:space="preserve"> </w:t>
            </w:r>
          </w:p>
        </w:tc>
        <w:tc>
          <w:tcPr>
            <w:tcW w:w="708" w:type="dxa"/>
            <w:tcBorders>
              <w:top w:val="nil"/>
              <w:left w:val="nil"/>
              <w:bottom w:val="nil"/>
              <w:right w:val="nil"/>
            </w:tcBorders>
            <w:vAlign w:val="bottom"/>
          </w:tcPr>
          <w:p w14:paraId="19207797" w14:textId="77777777" w:rsidR="009E3821" w:rsidRPr="009E3821" w:rsidRDefault="009E3821" w:rsidP="009E3821">
            <w:pPr>
              <w:rPr>
                <w:rFonts w:ascii="Arial" w:hAnsi="Arial" w:cs="Arial"/>
              </w:rPr>
            </w:pPr>
            <w:r w:rsidRPr="009E3821">
              <w:rPr>
                <w:rFonts w:ascii="Arial" w:hAnsi="Arial" w:cs="Arial"/>
              </w:rPr>
              <w:t xml:space="preserve"> </w:t>
            </w:r>
          </w:p>
        </w:tc>
        <w:tc>
          <w:tcPr>
            <w:tcW w:w="709" w:type="dxa"/>
            <w:tcBorders>
              <w:top w:val="nil"/>
              <w:left w:val="nil"/>
              <w:bottom w:val="nil"/>
              <w:right w:val="nil"/>
            </w:tcBorders>
            <w:vAlign w:val="bottom"/>
          </w:tcPr>
          <w:p w14:paraId="0D98A9C9" w14:textId="77777777" w:rsidR="009E3821" w:rsidRPr="009E3821" w:rsidRDefault="009E3821" w:rsidP="009E3821">
            <w:pPr>
              <w:rPr>
                <w:rFonts w:ascii="Arial" w:hAnsi="Arial" w:cs="Arial"/>
              </w:rPr>
            </w:pPr>
            <w:r w:rsidRPr="009E3821">
              <w:rPr>
                <w:rFonts w:ascii="Arial" w:hAnsi="Arial" w:cs="Arial"/>
              </w:rPr>
              <w:t xml:space="preserve"> </w:t>
            </w:r>
          </w:p>
        </w:tc>
        <w:tc>
          <w:tcPr>
            <w:tcW w:w="851" w:type="dxa"/>
            <w:tcBorders>
              <w:top w:val="nil"/>
              <w:left w:val="nil"/>
              <w:bottom w:val="nil"/>
              <w:right w:val="nil"/>
            </w:tcBorders>
            <w:vAlign w:val="bottom"/>
          </w:tcPr>
          <w:p w14:paraId="34B633E6" w14:textId="77777777" w:rsidR="009E3821" w:rsidRPr="009E3821" w:rsidRDefault="009E3821" w:rsidP="009E3821">
            <w:pPr>
              <w:rPr>
                <w:rFonts w:ascii="Arial" w:hAnsi="Arial" w:cs="Arial"/>
              </w:rPr>
            </w:pPr>
            <w:r w:rsidRPr="009E3821">
              <w:rPr>
                <w:rFonts w:ascii="Arial" w:hAnsi="Arial" w:cs="Arial"/>
              </w:rPr>
              <w:t xml:space="preserve"> </w:t>
            </w:r>
          </w:p>
        </w:tc>
        <w:tc>
          <w:tcPr>
            <w:tcW w:w="2551" w:type="dxa"/>
            <w:tcBorders>
              <w:top w:val="nil"/>
              <w:left w:val="nil"/>
              <w:bottom w:val="nil"/>
              <w:right w:val="nil"/>
            </w:tcBorders>
            <w:vAlign w:val="bottom"/>
          </w:tcPr>
          <w:p w14:paraId="4CF1DB04" w14:textId="77777777" w:rsidR="009E3821" w:rsidRPr="009E3821" w:rsidRDefault="009E3821" w:rsidP="009E3821">
            <w:pPr>
              <w:rPr>
                <w:rFonts w:ascii="Arial" w:hAnsi="Arial" w:cs="Arial"/>
              </w:rPr>
            </w:pPr>
            <w:r w:rsidRPr="009E3821">
              <w:rPr>
                <w:rFonts w:ascii="Arial" w:hAnsi="Arial" w:cs="Arial"/>
              </w:rPr>
              <w:t xml:space="preserve"> </w:t>
            </w:r>
          </w:p>
        </w:tc>
      </w:tr>
      <w:tr w:rsidR="009E3821" w:rsidRPr="009E3821" w14:paraId="54D7CA94" w14:textId="77777777" w:rsidTr="009E3821">
        <w:trPr>
          <w:trHeight w:val="300"/>
        </w:trPr>
        <w:tc>
          <w:tcPr>
            <w:tcW w:w="2755" w:type="dxa"/>
            <w:tcBorders>
              <w:top w:val="nil"/>
              <w:left w:val="nil"/>
              <w:bottom w:val="nil"/>
              <w:right w:val="nil"/>
            </w:tcBorders>
          </w:tcPr>
          <w:p w14:paraId="4C757F59" w14:textId="77777777" w:rsidR="009E3821" w:rsidRPr="009E3821" w:rsidRDefault="009E3821" w:rsidP="009E3821">
            <w:pPr>
              <w:rPr>
                <w:rFonts w:ascii="Arial" w:hAnsi="Arial" w:cs="Arial"/>
              </w:rPr>
            </w:pPr>
            <w:r w:rsidRPr="009E3821">
              <w:rPr>
                <w:rFonts w:ascii="Arial" w:hAnsi="Arial" w:cs="Arial"/>
              </w:rPr>
              <w:t xml:space="preserve">Yes </w:t>
            </w:r>
          </w:p>
        </w:tc>
        <w:tc>
          <w:tcPr>
            <w:tcW w:w="736" w:type="dxa"/>
            <w:tcBorders>
              <w:top w:val="nil"/>
              <w:left w:val="nil"/>
              <w:bottom w:val="nil"/>
              <w:right w:val="nil"/>
            </w:tcBorders>
            <w:vAlign w:val="bottom"/>
          </w:tcPr>
          <w:p w14:paraId="52A354AB" w14:textId="77777777" w:rsidR="009E3821" w:rsidRPr="009E3821" w:rsidRDefault="009E3821" w:rsidP="009E3821">
            <w:pPr>
              <w:jc w:val="center"/>
              <w:rPr>
                <w:rFonts w:ascii="Arial" w:hAnsi="Arial" w:cs="Arial"/>
              </w:rPr>
            </w:pPr>
            <w:r w:rsidRPr="009E3821">
              <w:rPr>
                <w:rFonts w:ascii="Arial" w:hAnsi="Arial" w:cs="Arial"/>
              </w:rPr>
              <w:t xml:space="preserve">7 </w:t>
            </w:r>
          </w:p>
        </w:tc>
        <w:tc>
          <w:tcPr>
            <w:tcW w:w="708" w:type="dxa"/>
            <w:tcBorders>
              <w:top w:val="nil"/>
              <w:left w:val="nil"/>
              <w:bottom w:val="nil"/>
              <w:right w:val="nil"/>
            </w:tcBorders>
            <w:vAlign w:val="bottom"/>
          </w:tcPr>
          <w:p w14:paraId="5EF40E11" w14:textId="77777777" w:rsidR="009E3821" w:rsidRPr="009E3821" w:rsidRDefault="009E3821" w:rsidP="009E3821">
            <w:pPr>
              <w:jc w:val="center"/>
              <w:rPr>
                <w:rFonts w:ascii="Arial" w:hAnsi="Arial" w:cs="Arial"/>
              </w:rPr>
            </w:pPr>
            <w:r w:rsidRPr="009E3821">
              <w:rPr>
                <w:rFonts w:ascii="Arial" w:hAnsi="Arial" w:cs="Arial"/>
              </w:rPr>
              <w:t xml:space="preserve">4,9 </w:t>
            </w:r>
          </w:p>
        </w:tc>
        <w:tc>
          <w:tcPr>
            <w:tcW w:w="709" w:type="dxa"/>
            <w:tcBorders>
              <w:top w:val="nil"/>
              <w:left w:val="nil"/>
              <w:bottom w:val="nil"/>
              <w:right w:val="nil"/>
            </w:tcBorders>
            <w:vAlign w:val="bottom"/>
          </w:tcPr>
          <w:p w14:paraId="53CC9C3C" w14:textId="77777777" w:rsidR="009E3821" w:rsidRPr="009E3821" w:rsidRDefault="009E3821" w:rsidP="009E3821">
            <w:pPr>
              <w:jc w:val="center"/>
              <w:rPr>
                <w:rFonts w:ascii="Arial" w:hAnsi="Arial" w:cs="Arial"/>
              </w:rPr>
            </w:pPr>
            <w:r w:rsidRPr="009E3821">
              <w:rPr>
                <w:rFonts w:ascii="Arial" w:hAnsi="Arial" w:cs="Arial"/>
              </w:rPr>
              <w:t xml:space="preserve">3 </w:t>
            </w:r>
          </w:p>
        </w:tc>
        <w:tc>
          <w:tcPr>
            <w:tcW w:w="851" w:type="dxa"/>
            <w:tcBorders>
              <w:top w:val="nil"/>
              <w:left w:val="nil"/>
              <w:bottom w:val="nil"/>
              <w:right w:val="nil"/>
            </w:tcBorders>
            <w:vAlign w:val="bottom"/>
          </w:tcPr>
          <w:p w14:paraId="6B927F83" w14:textId="77777777" w:rsidR="009E3821" w:rsidRPr="009E3821" w:rsidRDefault="009E3821" w:rsidP="009E3821">
            <w:pPr>
              <w:jc w:val="center"/>
              <w:rPr>
                <w:rFonts w:ascii="Arial" w:hAnsi="Arial" w:cs="Arial"/>
              </w:rPr>
            </w:pPr>
            <w:r w:rsidRPr="009E3821">
              <w:rPr>
                <w:rFonts w:ascii="Arial" w:hAnsi="Arial" w:cs="Arial"/>
              </w:rPr>
              <w:t xml:space="preserve">2,1 </w:t>
            </w:r>
          </w:p>
        </w:tc>
        <w:tc>
          <w:tcPr>
            <w:tcW w:w="2551" w:type="dxa"/>
            <w:vMerge w:val="restart"/>
            <w:tcBorders>
              <w:top w:val="nil"/>
              <w:left w:val="nil"/>
              <w:bottom w:val="nil"/>
              <w:right w:val="nil"/>
            </w:tcBorders>
            <w:vAlign w:val="center"/>
          </w:tcPr>
          <w:p w14:paraId="6E32BCFF" w14:textId="77777777" w:rsidR="009E3821" w:rsidRPr="009E3821" w:rsidRDefault="009E3821" w:rsidP="009E3821">
            <w:pPr>
              <w:jc w:val="center"/>
              <w:rPr>
                <w:rFonts w:ascii="Arial" w:hAnsi="Arial" w:cs="Arial"/>
              </w:rPr>
            </w:pPr>
            <w:r w:rsidRPr="009E3821">
              <w:rPr>
                <w:rFonts w:ascii="Arial" w:hAnsi="Arial" w:cs="Arial"/>
              </w:rPr>
              <w:t>X</w:t>
            </w:r>
            <w:r w:rsidRPr="009E3821">
              <w:rPr>
                <w:rFonts w:ascii="Arial" w:hAnsi="Arial" w:cs="Arial"/>
                <w:vertAlign w:val="superscript"/>
              </w:rPr>
              <w:t>2</w:t>
            </w:r>
            <w:r w:rsidRPr="009E3821">
              <w:rPr>
                <w:rFonts w:ascii="Arial" w:hAnsi="Arial" w:cs="Arial"/>
              </w:rPr>
              <w:t xml:space="preserve">= 1,629;  </w:t>
            </w:r>
          </w:p>
          <w:p w14:paraId="2B897EF2" w14:textId="77777777" w:rsidR="009E3821" w:rsidRPr="009E3821" w:rsidRDefault="009E3821" w:rsidP="009E3821">
            <w:pPr>
              <w:jc w:val="center"/>
              <w:rPr>
                <w:rFonts w:ascii="Arial" w:hAnsi="Arial" w:cs="Arial"/>
              </w:rPr>
            </w:pPr>
            <w:r w:rsidRPr="009E3821">
              <w:rPr>
                <w:rFonts w:ascii="Arial" w:hAnsi="Arial" w:cs="Arial"/>
              </w:rPr>
              <w:t xml:space="preserve">p= 0,202 </w:t>
            </w:r>
          </w:p>
        </w:tc>
      </w:tr>
      <w:tr w:rsidR="009E3821" w:rsidRPr="009E3821" w14:paraId="3A7F2C51" w14:textId="77777777" w:rsidTr="009E3821">
        <w:trPr>
          <w:trHeight w:val="300"/>
        </w:trPr>
        <w:tc>
          <w:tcPr>
            <w:tcW w:w="2755" w:type="dxa"/>
            <w:tcBorders>
              <w:top w:val="nil"/>
              <w:left w:val="nil"/>
              <w:bottom w:val="nil"/>
              <w:right w:val="nil"/>
            </w:tcBorders>
          </w:tcPr>
          <w:p w14:paraId="7583603C" w14:textId="77777777" w:rsidR="009E3821" w:rsidRPr="009E3821" w:rsidRDefault="009E3821" w:rsidP="009E3821">
            <w:pPr>
              <w:rPr>
                <w:rFonts w:ascii="Arial" w:hAnsi="Arial" w:cs="Arial"/>
              </w:rPr>
            </w:pPr>
            <w:r w:rsidRPr="009E3821">
              <w:rPr>
                <w:rFonts w:ascii="Arial" w:hAnsi="Arial" w:cs="Arial"/>
              </w:rPr>
              <w:t xml:space="preserve">No </w:t>
            </w:r>
          </w:p>
        </w:tc>
        <w:tc>
          <w:tcPr>
            <w:tcW w:w="736" w:type="dxa"/>
            <w:tcBorders>
              <w:top w:val="nil"/>
              <w:left w:val="nil"/>
              <w:bottom w:val="nil"/>
              <w:right w:val="nil"/>
            </w:tcBorders>
            <w:vAlign w:val="bottom"/>
          </w:tcPr>
          <w:p w14:paraId="4C0FE125" w14:textId="77777777" w:rsidR="009E3821" w:rsidRPr="009E3821" w:rsidRDefault="009E3821" w:rsidP="009E3821">
            <w:pPr>
              <w:jc w:val="center"/>
              <w:rPr>
                <w:rFonts w:ascii="Arial" w:hAnsi="Arial" w:cs="Arial"/>
              </w:rPr>
            </w:pPr>
            <w:r w:rsidRPr="009E3821">
              <w:rPr>
                <w:rFonts w:ascii="Arial" w:hAnsi="Arial" w:cs="Arial"/>
              </w:rPr>
              <w:t xml:space="preserve">136 </w:t>
            </w:r>
          </w:p>
        </w:tc>
        <w:tc>
          <w:tcPr>
            <w:tcW w:w="708" w:type="dxa"/>
            <w:tcBorders>
              <w:top w:val="nil"/>
              <w:left w:val="nil"/>
              <w:bottom w:val="nil"/>
              <w:right w:val="nil"/>
            </w:tcBorders>
            <w:vAlign w:val="bottom"/>
          </w:tcPr>
          <w:p w14:paraId="183D3251" w14:textId="77777777" w:rsidR="009E3821" w:rsidRPr="009E3821" w:rsidRDefault="009E3821" w:rsidP="009E3821">
            <w:pPr>
              <w:jc w:val="center"/>
              <w:rPr>
                <w:rFonts w:ascii="Arial" w:hAnsi="Arial" w:cs="Arial"/>
              </w:rPr>
            </w:pPr>
            <w:r w:rsidRPr="009E3821">
              <w:rPr>
                <w:rFonts w:ascii="Arial" w:hAnsi="Arial" w:cs="Arial"/>
              </w:rPr>
              <w:t xml:space="preserve">95,1 </w:t>
            </w:r>
          </w:p>
        </w:tc>
        <w:tc>
          <w:tcPr>
            <w:tcW w:w="709" w:type="dxa"/>
            <w:tcBorders>
              <w:top w:val="nil"/>
              <w:left w:val="nil"/>
              <w:bottom w:val="nil"/>
              <w:right w:val="nil"/>
            </w:tcBorders>
            <w:vAlign w:val="bottom"/>
          </w:tcPr>
          <w:p w14:paraId="7EC01A26" w14:textId="77777777" w:rsidR="009E3821" w:rsidRPr="009E3821" w:rsidRDefault="009E3821" w:rsidP="009E3821">
            <w:pPr>
              <w:jc w:val="center"/>
              <w:rPr>
                <w:rFonts w:ascii="Arial" w:hAnsi="Arial" w:cs="Arial"/>
              </w:rPr>
            </w:pPr>
            <w:r w:rsidRPr="009E3821">
              <w:rPr>
                <w:rFonts w:ascii="Arial" w:hAnsi="Arial" w:cs="Arial"/>
              </w:rPr>
              <w:t xml:space="preserve">139 </w:t>
            </w:r>
          </w:p>
        </w:tc>
        <w:tc>
          <w:tcPr>
            <w:tcW w:w="851" w:type="dxa"/>
            <w:tcBorders>
              <w:top w:val="nil"/>
              <w:left w:val="nil"/>
              <w:bottom w:val="nil"/>
              <w:right w:val="nil"/>
            </w:tcBorders>
            <w:vAlign w:val="bottom"/>
          </w:tcPr>
          <w:p w14:paraId="2AB82402" w14:textId="77777777" w:rsidR="009E3821" w:rsidRPr="009E3821" w:rsidRDefault="009E3821" w:rsidP="009E3821">
            <w:pPr>
              <w:jc w:val="center"/>
              <w:rPr>
                <w:rFonts w:ascii="Arial" w:hAnsi="Arial" w:cs="Arial"/>
              </w:rPr>
            </w:pPr>
            <w:r w:rsidRPr="009E3821">
              <w:rPr>
                <w:rFonts w:ascii="Arial" w:hAnsi="Arial" w:cs="Arial"/>
              </w:rPr>
              <w:t xml:space="preserve">97,9 </w:t>
            </w:r>
          </w:p>
        </w:tc>
        <w:tc>
          <w:tcPr>
            <w:tcW w:w="2551" w:type="dxa"/>
            <w:vMerge/>
            <w:tcBorders>
              <w:top w:val="nil"/>
              <w:left w:val="nil"/>
              <w:bottom w:val="nil"/>
              <w:right w:val="nil"/>
            </w:tcBorders>
            <w:vAlign w:val="center"/>
          </w:tcPr>
          <w:p w14:paraId="754A3278" w14:textId="77777777" w:rsidR="009E3821" w:rsidRPr="009E3821" w:rsidRDefault="009E3821" w:rsidP="009E3821">
            <w:pPr>
              <w:widowControl w:val="0"/>
              <w:pBdr>
                <w:top w:val="nil"/>
                <w:left w:val="nil"/>
                <w:bottom w:val="nil"/>
                <w:right w:val="nil"/>
                <w:between w:val="nil"/>
              </w:pBdr>
              <w:rPr>
                <w:rFonts w:ascii="Arial" w:hAnsi="Arial" w:cs="Arial"/>
              </w:rPr>
            </w:pPr>
          </w:p>
        </w:tc>
      </w:tr>
      <w:tr w:rsidR="009E3821" w:rsidRPr="009E3821" w14:paraId="70F7F80E" w14:textId="77777777" w:rsidTr="009E3821">
        <w:trPr>
          <w:trHeight w:val="405"/>
        </w:trPr>
        <w:tc>
          <w:tcPr>
            <w:tcW w:w="2755" w:type="dxa"/>
            <w:tcBorders>
              <w:top w:val="nil"/>
              <w:left w:val="nil"/>
              <w:bottom w:val="nil"/>
              <w:right w:val="nil"/>
            </w:tcBorders>
          </w:tcPr>
          <w:p w14:paraId="3BD3E9AE" w14:textId="77777777" w:rsidR="009E3821" w:rsidRPr="009E3821" w:rsidRDefault="009E3821" w:rsidP="009E3821">
            <w:pPr>
              <w:rPr>
                <w:rFonts w:ascii="Arial" w:hAnsi="Arial" w:cs="Arial"/>
                <w:b/>
              </w:rPr>
            </w:pPr>
            <w:r w:rsidRPr="009E3821">
              <w:rPr>
                <w:rFonts w:ascii="Arial" w:hAnsi="Arial" w:cs="Arial"/>
                <w:b/>
              </w:rPr>
              <w:t xml:space="preserve">Antibiotics </w:t>
            </w:r>
          </w:p>
        </w:tc>
        <w:tc>
          <w:tcPr>
            <w:tcW w:w="736" w:type="dxa"/>
            <w:tcBorders>
              <w:top w:val="nil"/>
              <w:left w:val="nil"/>
              <w:bottom w:val="nil"/>
              <w:right w:val="nil"/>
            </w:tcBorders>
            <w:vAlign w:val="bottom"/>
          </w:tcPr>
          <w:p w14:paraId="4BB89246" w14:textId="77777777" w:rsidR="009E3821" w:rsidRPr="009E3821" w:rsidRDefault="009E3821" w:rsidP="009E3821">
            <w:pPr>
              <w:rPr>
                <w:rFonts w:ascii="Arial" w:hAnsi="Arial" w:cs="Arial"/>
              </w:rPr>
            </w:pPr>
            <w:r w:rsidRPr="009E3821">
              <w:rPr>
                <w:rFonts w:ascii="Arial" w:hAnsi="Arial" w:cs="Arial"/>
              </w:rPr>
              <w:t xml:space="preserve"> </w:t>
            </w:r>
          </w:p>
        </w:tc>
        <w:tc>
          <w:tcPr>
            <w:tcW w:w="708" w:type="dxa"/>
            <w:tcBorders>
              <w:top w:val="nil"/>
              <w:left w:val="nil"/>
              <w:bottom w:val="nil"/>
              <w:right w:val="nil"/>
            </w:tcBorders>
            <w:vAlign w:val="bottom"/>
          </w:tcPr>
          <w:p w14:paraId="02D06E03" w14:textId="77777777" w:rsidR="009E3821" w:rsidRPr="009E3821" w:rsidRDefault="009E3821" w:rsidP="009E3821">
            <w:pPr>
              <w:rPr>
                <w:rFonts w:ascii="Arial" w:hAnsi="Arial" w:cs="Arial"/>
              </w:rPr>
            </w:pPr>
            <w:r w:rsidRPr="009E3821">
              <w:rPr>
                <w:rFonts w:ascii="Arial" w:hAnsi="Arial" w:cs="Arial"/>
              </w:rPr>
              <w:t xml:space="preserve"> </w:t>
            </w:r>
          </w:p>
        </w:tc>
        <w:tc>
          <w:tcPr>
            <w:tcW w:w="709" w:type="dxa"/>
            <w:tcBorders>
              <w:top w:val="nil"/>
              <w:left w:val="nil"/>
              <w:bottom w:val="nil"/>
              <w:right w:val="nil"/>
            </w:tcBorders>
            <w:vAlign w:val="bottom"/>
          </w:tcPr>
          <w:p w14:paraId="11190FC2" w14:textId="77777777" w:rsidR="009E3821" w:rsidRPr="009E3821" w:rsidRDefault="009E3821" w:rsidP="009E3821">
            <w:pPr>
              <w:rPr>
                <w:rFonts w:ascii="Arial" w:hAnsi="Arial" w:cs="Arial"/>
              </w:rPr>
            </w:pPr>
            <w:r w:rsidRPr="009E3821">
              <w:rPr>
                <w:rFonts w:ascii="Arial" w:hAnsi="Arial" w:cs="Arial"/>
              </w:rPr>
              <w:t xml:space="preserve"> </w:t>
            </w:r>
          </w:p>
        </w:tc>
        <w:tc>
          <w:tcPr>
            <w:tcW w:w="851" w:type="dxa"/>
            <w:tcBorders>
              <w:top w:val="nil"/>
              <w:left w:val="nil"/>
              <w:bottom w:val="nil"/>
              <w:right w:val="nil"/>
            </w:tcBorders>
            <w:vAlign w:val="bottom"/>
          </w:tcPr>
          <w:p w14:paraId="097E2E78" w14:textId="77777777" w:rsidR="009E3821" w:rsidRPr="009E3821" w:rsidRDefault="009E3821" w:rsidP="009E3821">
            <w:pPr>
              <w:rPr>
                <w:rFonts w:ascii="Arial" w:hAnsi="Arial" w:cs="Arial"/>
              </w:rPr>
            </w:pPr>
            <w:r w:rsidRPr="009E3821">
              <w:rPr>
                <w:rFonts w:ascii="Arial" w:hAnsi="Arial" w:cs="Arial"/>
              </w:rPr>
              <w:t xml:space="preserve"> </w:t>
            </w:r>
          </w:p>
        </w:tc>
        <w:tc>
          <w:tcPr>
            <w:tcW w:w="2551" w:type="dxa"/>
            <w:tcBorders>
              <w:top w:val="nil"/>
              <w:left w:val="nil"/>
              <w:bottom w:val="nil"/>
              <w:right w:val="nil"/>
            </w:tcBorders>
            <w:vAlign w:val="bottom"/>
          </w:tcPr>
          <w:p w14:paraId="48C9636C" w14:textId="77777777" w:rsidR="009E3821" w:rsidRPr="009E3821" w:rsidRDefault="009E3821" w:rsidP="009E3821">
            <w:pPr>
              <w:rPr>
                <w:rFonts w:ascii="Arial" w:hAnsi="Arial" w:cs="Arial"/>
              </w:rPr>
            </w:pPr>
            <w:r w:rsidRPr="009E3821">
              <w:rPr>
                <w:rFonts w:ascii="Arial" w:hAnsi="Arial" w:cs="Arial"/>
              </w:rPr>
              <w:t xml:space="preserve"> </w:t>
            </w:r>
          </w:p>
        </w:tc>
      </w:tr>
      <w:tr w:rsidR="009E3821" w:rsidRPr="009E3821" w14:paraId="72FEDF11" w14:textId="77777777" w:rsidTr="009E3821">
        <w:trPr>
          <w:trHeight w:val="300"/>
        </w:trPr>
        <w:tc>
          <w:tcPr>
            <w:tcW w:w="2755" w:type="dxa"/>
            <w:tcBorders>
              <w:top w:val="nil"/>
              <w:left w:val="nil"/>
              <w:bottom w:val="nil"/>
              <w:right w:val="nil"/>
            </w:tcBorders>
          </w:tcPr>
          <w:p w14:paraId="73F41869" w14:textId="77777777" w:rsidR="009E3821" w:rsidRPr="009E3821" w:rsidRDefault="009E3821" w:rsidP="009E3821">
            <w:pPr>
              <w:rPr>
                <w:rFonts w:ascii="Arial" w:hAnsi="Arial" w:cs="Arial"/>
              </w:rPr>
            </w:pPr>
            <w:r w:rsidRPr="009E3821">
              <w:rPr>
                <w:rFonts w:ascii="Arial" w:hAnsi="Arial" w:cs="Arial"/>
              </w:rPr>
              <w:t xml:space="preserve">Yes </w:t>
            </w:r>
          </w:p>
        </w:tc>
        <w:tc>
          <w:tcPr>
            <w:tcW w:w="736" w:type="dxa"/>
            <w:tcBorders>
              <w:top w:val="nil"/>
              <w:left w:val="nil"/>
              <w:bottom w:val="nil"/>
              <w:right w:val="nil"/>
            </w:tcBorders>
            <w:vAlign w:val="bottom"/>
          </w:tcPr>
          <w:p w14:paraId="76596090" w14:textId="77777777" w:rsidR="009E3821" w:rsidRPr="009E3821" w:rsidRDefault="009E3821" w:rsidP="009E3821">
            <w:pPr>
              <w:jc w:val="center"/>
              <w:rPr>
                <w:rFonts w:ascii="Arial" w:hAnsi="Arial" w:cs="Arial"/>
              </w:rPr>
            </w:pPr>
            <w:r w:rsidRPr="009E3821">
              <w:rPr>
                <w:rFonts w:ascii="Arial" w:hAnsi="Arial" w:cs="Arial"/>
              </w:rPr>
              <w:t xml:space="preserve">142 </w:t>
            </w:r>
          </w:p>
        </w:tc>
        <w:tc>
          <w:tcPr>
            <w:tcW w:w="708" w:type="dxa"/>
            <w:tcBorders>
              <w:top w:val="nil"/>
              <w:left w:val="nil"/>
              <w:bottom w:val="nil"/>
              <w:right w:val="nil"/>
            </w:tcBorders>
            <w:vAlign w:val="bottom"/>
          </w:tcPr>
          <w:p w14:paraId="5DDA6E38" w14:textId="77777777" w:rsidR="009E3821" w:rsidRPr="009E3821" w:rsidRDefault="009E3821" w:rsidP="009E3821">
            <w:pPr>
              <w:jc w:val="center"/>
              <w:rPr>
                <w:rFonts w:ascii="Arial" w:hAnsi="Arial" w:cs="Arial"/>
              </w:rPr>
            </w:pPr>
            <w:r w:rsidRPr="009E3821">
              <w:rPr>
                <w:rFonts w:ascii="Arial" w:hAnsi="Arial" w:cs="Arial"/>
              </w:rPr>
              <w:t xml:space="preserve">99,3 </w:t>
            </w:r>
          </w:p>
        </w:tc>
        <w:tc>
          <w:tcPr>
            <w:tcW w:w="709" w:type="dxa"/>
            <w:tcBorders>
              <w:top w:val="nil"/>
              <w:left w:val="nil"/>
              <w:bottom w:val="nil"/>
              <w:right w:val="nil"/>
            </w:tcBorders>
            <w:vAlign w:val="bottom"/>
          </w:tcPr>
          <w:p w14:paraId="1FC34891" w14:textId="77777777" w:rsidR="009E3821" w:rsidRPr="009E3821" w:rsidRDefault="009E3821" w:rsidP="009E3821">
            <w:pPr>
              <w:jc w:val="center"/>
              <w:rPr>
                <w:rFonts w:ascii="Arial" w:hAnsi="Arial" w:cs="Arial"/>
              </w:rPr>
            </w:pPr>
            <w:r w:rsidRPr="009E3821">
              <w:rPr>
                <w:rFonts w:ascii="Arial" w:hAnsi="Arial" w:cs="Arial"/>
              </w:rPr>
              <w:t xml:space="preserve">142 </w:t>
            </w:r>
          </w:p>
        </w:tc>
        <w:tc>
          <w:tcPr>
            <w:tcW w:w="851" w:type="dxa"/>
            <w:tcBorders>
              <w:top w:val="nil"/>
              <w:left w:val="nil"/>
              <w:bottom w:val="nil"/>
              <w:right w:val="nil"/>
            </w:tcBorders>
            <w:vAlign w:val="bottom"/>
          </w:tcPr>
          <w:p w14:paraId="21C39D92" w14:textId="77777777" w:rsidR="009E3821" w:rsidRPr="009E3821" w:rsidRDefault="009E3821" w:rsidP="009E3821">
            <w:pPr>
              <w:jc w:val="center"/>
              <w:rPr>
                <w:rFonts w:ascii="Arial" w:hAnsi="Arial" w:cs="Arial"/>
              </w:rPr>
            </w:pPr>
            <w:r w:rsidRPr="009E3821">
              <w:rPr>
                <w:rFonts w:ascii="Arial" w:hAnsi="Arial" w:cs="Arial"/>
              </w:rPr>
              <w:t xml:space="preserve">100,0 </w:t>
            </w:r>
          </w:p>
        </w:tc>
        <w:tc>
          <w:tcPr>
            <w:tcW w:w="2551" w:type="dxa"/>
            <w:vMerge w:val="restart"/>
            <w:tcBorders>
              <w:top w:val="nil"/>
              <w:left w:val="nil"/>
              <w:bottom w:val="nil"/>
              <w:right w:val="nil"/>
            </w:tcBorders>
            <w:vAlign w:val="bottom"/>
          </w:tcPr>
          <w:p w14:paraId="6880BB09" w14:textId="77777777" w:rsidR="009E3821" w:rsidRPr="009E3821" w:rsidRDefault="009E3821" w:rsidP="009E3821">
            <w:pPr>
              <w:jc w:val="center"/>
              <w:rPr>
                <w:rFonts w:ascii="Arial" w:hAnsi="Arial" w:cs="Arial"/>
              </w:rPr>
            </w:pPr>
            <w:r w:rsidRPr="009E3821">
              <w:rPr>
                <w:rFonts w:ascii="Arial" w:hAnsi="Arial" w:cs="Arial"/>
              </w:rPr>
              <w:t xml:space="preserve">X2= 0,997;  </w:t>
            </w:r>
          </w:p>
          <w:p w14:paraId="2D942FAC" w14:textId="77777777" w:rsidR="009E3821" w:rsidRPr="009E3821" w:rsidRDefault="009E3821" w:rsidP="009E3821">
            <w:pPr>
              <w:jc w:val="center"/>
              <w:rPr>
                <w:rFonts w:ascii="Arial" w:hAnsi="Arial" w:cs="Arial"/>
              </w:rPr>
            </w:pPr>
            <w:r w:rsidRPr="009E3821">
              <w:rPr>
                <w:rFonts w:ascii="Arial" w:hAnsi="Arial" w:cs="Arial"/>
              </w:rPr>
              <w:t xml:space="preserve">p = 0,318 </w:t>
            </w:r>
          </w:p>
          <w:p w14:paraId="28F5A670" w14:textId="77777777" w:rsidR="009E3821" w:rsidRPr="009E3821" w:rsidRDefault="009E3821" w:rsidP="009E3821">
            <w:pPr>
              <w:jc w:val="center"/>
              <w:rPr>
                <w:rFonts w:ascii="Arial" w:hAnsi="Arial" w:cs="Arial"/>
              </w:rPr>
            </w:pPr>
            <w:r w:rsidRPr="009E3821">
              <w:rPr>
                <w:rFonts w:ascii="Arial" w:hAnsi="Arial" w:cs="Arial"/>
              </w:rPr>
              <w:t xml:space="preserve"> </w:t>
            </w:r>
          </w:p>
        </w:tc>
      </w:tr>
      <w:tr w:rsidR="009E3821" w:rsidRPr="009E3821" w14:paraId="4EBB311E" w14:textId="77777777" w:rsidTr="009E3821">
        <w:trPr>
          <w:trHeight w:val="300"/>
        </w:trPr>
        <w:tc>
          <w:tcPr>
            <w:tcW w:w="2755" w:type="dxa"/>
            <w:tcBorders>
              <w:top w:val="nil"/>
              <w:left w:val="nil"/>
              <w:bottom w:val="nil"/>
              <w:right w:val="nil"/>
            </w:tcBorders>
          </w:tcPr>
          <w:p w14:paraId="36C07AD9" w14:textId="77777777" w:rsidR="009E3821" w:rsidRPr="009E3821" w:rsidRDefault="009E3821" w:rsidP="009E3821">
            <w:pPr>
              <w:rPr>
                <w:rFonts w:ascii="Arial" w:hAnsi="Arial" w:cs="Arial"/>
              </w:rPr>
            </w:pPr>
            <w:r w:rsidRPr="009E3821">
              <w:rPr>
                <w:rFonts w:ascii="Arial" w:hAnsi="Arial" w:cs="Arial"/>
              </w:rPr>
              <w:t xml:space="preserve">No </w:t>
            </w:r>
          </w:p>
        </w:tc>
        <w:tc>
          <w:tcPr>
            <w:tcW w:w="736" w:type="dxa"/>
            <w:tcBorders>
              <w:top w:val="nil"/>
              <w:left w:val="nil"/>
              <w:bottom w:val="nil"/>
              <w:right w:val="nil"/>
            </w:tcBorders>
            <w:vAlign w:val="bottom"/>
          </w:tcPr>
          <w:p w14:paraId="1135B16C" w14:textId="77777777" w:rsidR="009E3821" w:rsidRPr="009E3821" w:rsidRDefault="009E3821" w:rsidP="009E3821">
            <w:pPr>
              <w:jc w:val="center"/>
              <w:rPr>
                <w:rFonts w:ascii="Arial" w:hAnsi="Arial" w:cs="Arial"/>
              </w:rPr>
            </w:pPr>
            <w:r w:rsidRPr="009E3821">
              <w:rPr>
                <w:rFonts w:ascii="Arial" w:hAnsi="Arial" w:cs="Arial"/>
              </w:rPr>
              <w:t xml:space="preserve">1 </w:t>
            </w:r>
          </w:p>
        </w:tc>
        <w:tc>
          <w:tcPr>
            <w:tcW w:w="708" w:type="dxa"/>
            <w:tcBorders>
              <w:top w:val="nil"/>
              <w:left w:val="nil"/>
              <w:bottom w:val="nil"/>
              <w:right w:val="nil"/>
            </w:tcBorders>
            <w:vAlign w:val="bottom"/>
          </w:tcPr>
          <w:p w14:paraId="53E446DD" w14:textId="77777777" w:rsidR="009E3821" w:rsidRPr="009E3821" w:rsidRDefault="009E3821" w:rsidP="009E3821">
            <w:pPr>
              <w:jc w:val="center"/>
              <w:rPr>
                <w:rFonts w:ascii="Arial" w:hAnsi="Arial" w:cs="Arial"/>
              </w:rPr>
            </w:pPr>
            <w:r w:rsidRPr="009E3821">
              <w:rPr>
                <w:rFonts w:ascii="Arial" w:hAnsi="Arial" w:cs="Arial"/>
              </w:rPr>
              <w:t xml:space="preserve">0,7 </w:t>
            </w:r>
          </w:p>
        </w:tc>
        <w:tc>
          <w:tcPr>
            <w:tcW w:w="709" w:type="dxa"/>
            <w:tcBorders>
              <w:top w:val="nil"/>
              <w:left w:val="nil"/>
              <w:bottom w:val="nil"/>
              <w:right w:val="nil"/>
            </w:tcBorders>
            <w:vAlign w:val="bottom"/>
          </w:tcPr>
          <w:p w14:paraId="777F62D3" w14:textId="77777777" w:rsidR="009E3821" w:rsidRPr="009E3821" w:rsidRDefault="009E3821" w:rsidP="009E3821">
            <w:pPr>
              <w:jc w:val="center"/>
              <w:rPr>
                <w:rFonts w:ascii="Arial" w:hAnsi="Arial" w:cs="Arial"/>
              </w:rPr>
            </w:pPr>
            <w:r w:rsidRPr="009E3821">
              <w:rPr>
                <w:rFonts w:ascii="Arial" w:hAnsi="Arial" w:cs="Arial"/>
              </w:rPr>
              <w:t xml:space="preserve">0 </w:t>
            </w:r>
          </w:p>
        </w:tc>
        <w:tc>
          <w:tcPr>
            <w:tcW w:w="851" w:type="dxa"/>
            <w:tcBorders>
              <w:top w:val="nil"/>
              <w:left w:val="nil"/>
              <w:bottom w:val="nil"/>
              <w:right w:val="nil"/>
            </w:tcBorders>
            <w:vAlign w:val="bottom"/>
          </w:tcPr>
          <w:p w14:paraId="6CFF30FC" w14:textId="77777777" w:rsidR="009E3821" w:rsidRPr="009E3821" w:rsidRDefault="009E3821" w:rsidP="009E3821">
            <w:pPr>
              <w:jc w:val="center"/>
              <w:rPr>
                <w:rFonts w:ascii="Arial" w:hAnsi="Arial" w:cs="Arial"/>
              </w:rPr>
            </w:pPr>
            <w:r w:rsidRPr="009E3821">
              <w:rPr>
                <w:rFonts w:ascii="Arial" w:hAnsi="Arial" w:cs="Arial"/>
              </w:rPr>
              <w:t xml:space="preserve">0,0 </w:t>
            </w:r>
          </w:p>
        </w:tc>
        <w:tc>
          <w:tcPr>
            <w:tcW w:w="2551" w:type="dxa"/>
            <w:vMerge/>
            <w:tcBorders>
              <w:top w:val="nil"/>
              <w:left w:val="nil"/>
              <w:bottom w:val="nil"/>
              <w:right w:val="nil"/>
            </w:tcBorders>
            <w:vAlign w:val="bottom"/>
          </w:tcPr>
          <w:p w14:paraId="150728F6" w14:textId="77777777" w:rsidR="009E3821" w:rsidRPr="009E3821" w:rsidRDefault="009E3821" w:rsidP="009E3821">
            <w:pPr>
              <w:widowControl w:val="0"/>
              <w:pBdr>
                <w:top w:val="nil"/>
                <w:left w:val="nil"/>
                <w:bottom w:val="nil"/>
                <w:right w:val="nil"/>
                <w:between w:val="nil"/>
              </w:pBdr>
              <w:rPr>
                <w:rFonts w:ascii="Arial" w:hAnsi="Arial" w:cs="Arial"/>
              </w:rPr>
            </w:pPr>
          </w:p>
        </w:tc>
      </w:tr>
      <w:tr w:rsidR="009E3821" w:rsidRPr="009E3821" w14:paraId="166B91BB" w14:textId="77777777" w:rsidTr="009E3821">
        <w:trPr>
          <w:trHeight w:val="300"/>
        </w:trPr>
        <w:tc>
          <w:tcPr>
            <w:tcW w:w="2755" w:type="dxa"/>
            <w:tcBorders>
              <w:top w:val="nil"/>
              <w:left w:val="nil"/>
              <w:bottom w:val="nil"/>
              <w:right w:val="nil"/>
            </w:tcBorders>
            <w:shd w:val="clear" w:color="auto" w:fill="FFFFFF"/>
          </w:tcPr>
          <w:p w14:paraId="7E583E3C" w14:textId="77777777" w:rsidR="009E3821" w:rsidRPr="009E3821" w:rsidRDefault="009E3821" w:rsidP="009E3821">
            <w:pPr>
              <w:rPr>
                <w:rFonts w:ascii="Arial" w:hAnsi="Arial" w:cs="Arial"/>
                <w:b/>
              </w:rPr>
            </w:pPr>
            <w:r w:rsidRPr="009E3821">
              <w:rPr>
                <w:rFonts w:ascii="Arial" w:hAnsi="Arial" w:cs="Arial"/>
                <w:b/>
              </w:rPr>
              <w:t xml:space="preserve">Anticoagulant </w:t>
            </w:r>
          </w:p>
        </w:tc>
        <w:tc>
          <w:tcPr>
            <w:tcW w:w="736" w:type="dxa"/>
            <w:tcBorders>
              <w:top w:val="nil"/>
              <w:left w:val="nil"/>
              <w:bottom w:val="nil"/>
              <w:right w:val="nil"/>
            </w:tcBorders>
            <w:vAlign w:val="bottom"/>
          </w:tcPr>
          <w:p w14:paraId="1A588B0C" w14:textId="77777777" w:rsidR="009E3821" w:rsidRPr="009E3821" w:rsidRDefault="009E3821" w:rsidP="009E3821">
            <w:pPr>
              <w:rPr>
                <w:rFonts w:ascii="Arial" w:hAnsi="Arial" w:cs="Arial"/>
              </w:rPr>
            </w:pPr>
            <w:r w:rsidRPr="009E3821">
              <w:rPr>
                <w:rFonts w:ascii="Arial" w:hAnsi="Arial" w:cs="Arial"/>
              </w:rPr>
              <w:t xml:space="preserve"> </w:t>
            </w:r>
          </w:p>
        </w:tc>
        <w:tc>
          <w:tcPr>
            <w:tcW w:w="708" w:type="dxa"/>
            <w:tcBorders>
              <w:top w:val="nil"/>
              <w:left w:val="nil"/>
              <w:bottom w:val="nil"/>
              <w:right w:val="nil"/>
            </w:tcBorders>
            <w:vAlign w:val="bottom"/>
          </w:tcPr>
          <w:p w14:paraId="51DAF997" w14:textId="77777777" w:rsidR="009E3821" w:rsidRPr="009E3821" w:rsidRDefault="009E3821" w:rsidP="009E3821">
            <w:pPr>
              <w:rPr>
                <w:rFonts w:ascii="Arial" w:hAnsi="Arial" w:cs="Arial"/>
              </w:rPr>
            </w:pPr>
            <w:r w:rsidRPr="009E3821">
              <w:rPr>
                <w:rFonts w:ascii="Arial" w:hAnsi="Arial" w:cs="Arial"/>
              </w:rPr>
              <w:t xml:space="preserve"> </w:t>
            </w:r>
          </w:p>
        </w:tc>
        <w:tc>
          <w:tcPr>
            <w:tcW w:w="709" w:type="dxa"/>
            <w:tcBorders>
              <w:top w:val="nil"/>
              <w:left w:val="nil"/>
              <w:bottom w:val="nil"/>
              <w:right w:val="nil"/>
            </w:tcBorders>
            <w:vAlign w:val="bottom"/>
          </w:tcPr>
          <w:p w14:paraId="58A5F277" w14:textId="77777777" w:rsidR="009E3821" w:rsidRPr="009E3821" w:rsidRDefault="009E3821" w:rsidP="009E3821">
            <w:pPr>
              <w:rPr>
                <w:rFonts w:ascii="Arial" w:hAnsi="Arial" w:cs="Arial"/>
              </w:rPr>
            </w:pPr>
            <w:r w:rsidRPr="009E3821">
              <w:rPr>
                <w:rFonts w:ascii="Arial" w:hAnsi="Arial" w:cs="Arial"/>
              </w:rPr>
              <w:t xml:space="preserve"> </w:t>
            </w:r>
          </w:p>
        </w:tc>
        <w:tc>
          <w:tcPr>
            <w:tcW w:w="851" w:type="dxa"/>
            <w:tcBorders>
              <w:top w:val="nil"/>
              <w:left w:val="nil"/>
              <w:bottom w:val="nil"/>
              <w:right w:val="nil"/>
            </w:tcBorders>
            <w:vAlign w:val="bottom"/>
          </w:tcPr>
          <w:p w14:paraId="7153AC8C" w14:textId="77777777" w:rsidR="009E3821" w:rsidRPr="009E3821" w:rsidRDefault="009E3821" w:rsidP="009E3821">
            <w:pPr>
              <w:rPr>
                <w:rFonts w:ascii="Arial" w:hAnsi="Arial" w:cs="Arial"/>
              </w:rPr>
            </w:pPr>
            <w:r w:rsidRPr="009E3821">
              <w:rPr>
                <w:rFonts w:ascii="Arial" w:hAnsi="Arial" w:cs="Arial"/>
              </w:rPr>
              <w:t xml:space="preserve"> </w:t>
            </w:r>
          </w:p>
        </w:tc>
        <w:tc>
          <w:tcPr>
            <w:tcW w:w="2551" w:type="dxa"/>
            <w:vMerge/>
            <w:tcBorders>
              <w:top w:val="nil"/>
              <w:left w:val="nil"/>
              <w:bottom w:val="nil"/>
              <w:right w:val="nil"/>
            </w:tcBorders>
            <w:vAlign w:val="bottom"/>
          </w:tcPr>
          <w:p w14:paraId="320F7796" w14:textId="77777777" w:rsidR="009E3821" w:rsidRPr="009E3821" w:rsidRDefault="009E3821" w:rsidP="009E3821">
            <w:pPr>
              <w:widowControl w:val="0"/>
              <w:pBdr>
                <w:top w:val="nil"/>
                <w:left w:val="nil"/>
                <w:bottom w:val="nil"/>
                <w:right w:val="nil"/>
                <w:between w:val="nil"/>
              </w:pBdr>
              <w:rPr>
                <w:rFonts w:ascii="Arial" w:hAnsi="Arial" w:cs="Arial"/>
              </w:rPr>
            </w:pPr>
          </w:p>
        </w:tc>
      </w:tr>
      <w:tr w:rsidR="009E3821" w:rsidRPr="009E3821" w14:paraId="73C95A69" w14:textId="77777777" w:rsidTr="009E3821">
        <w:trPr>
          <w:trHeight w:val="300"/>
        </w:trPr>
        <w:tc>
          <w:tcPr>
            <w:tcW w:w="2755" w:type="dxa"/>
            <w:tcBorders>
              <w:top w:val="nil"/>
              <w:left w:val="nil"/>
              <w:bottom w:val="nil"/>
              <w:right w:val="nil"/>
            </w:tcBorders>
          </w:tcPr>
          <w:p w14:paraId="37C27D6A" w14:textId="77777777" w:rsidR="009E3821" w:rsidRPr="009E3821" w:rsidRDefault="009E3821" w:rsidP="009E3821">
            <w:pPr>
              <w:rPr>
                <w:rFonts w:ascii="Arial" w:hAnsi="Arial" w:cs="Arial"/>
              </w:rPr>
            </w:pPr>
            <w:r w:rsidRPr="009E3821">
              <w:rPr>
                <w:rFonts w:ascii="Arial" w:hAnsi="Arial" w:cs="Arial"/>
              </w:rPr>
              <w:t xml:space="preserve">Yes </w:t>
            </w:r>
          </w:p>
        </w:tc>
        <w:tc>
          <w:tcPr>
            <w:tcW w:w="736" w:type="dxa"/>
            <w:tcBorders>
              <w:top w:val="nil"/>
              <w:left w:val="nil"/>
              <w:bottom w:val="nil"/>
              <w:right w:val="nil"/>
            </w:tcBorders>
            <w:vAlign w:val="bottom"/>
          </w:tcPr>
          <w:p w14:paraId="3B52141D" w14:textId="77777777" w:rsidR="009E3821" w:rsidRPr="009E3821" w:rsidRDefault="009E3821" w:rsidP="009E3821">
            <w:pPr>
              <w:jc w:val="center"/>
              <w:rPr>
                <w:rFonts w:ascii="Arial" w:hAnsi="Arial" w:cs="Arial"/>
              </w:rPr>
            </w:pPr>
            <w:r w:rsidRPr="009E3821">
              <w:rPr>
                <w:rFonts w:ascii="Arial" w:hAnsi="Arial" w:cs="Arial"/>
              </w:rPr>
              <w:t xml:space="preserve">142 </w:t>
            </w:r>
          </w:p>
        </w:tc>
        <w:tc>
          <w:tcPr>
            <w:tcW w:w="708" w:type="dxa"/>
            <w:tcBorders>
              <w:top w:val="nil"/>
              <w:left w:val="nil"/>
              <w:bottom w:val="nil"/>
              <w:right w:val="nil"/>
            </w:tcBorders>
            <w:vAlign w:val="bottom"/>
          </w:tcPr>
          <w:p w14:paraId="56DA76BF" w14:textId="77777777" w:rsidR="009E3821" w:rsidRPr="009E3821" w:rsidRDefault="009E3821" w:rsidP="009E3821">
            <w:pPr>
              <w:jc w:val="center"/>
              <w:rPr>
                <w:rFonts w:ascii="Arial" w:hAnsi="Arial" w:cs="Arial"/>
              </w:rPr>
            </w:pPr>
            <w:r w:rsidRPr="009E3821">
              <w:rPr>
                <w:rFonts w:ascii="Arial" w:hAnsi="Arial" w:cs="Arial"/>
              </w:rPr>
              <w:t xml:space="preserve">99,3 </w:t>
            </w:r>
          </w:p>
        </w:tc>
        <w:tc>
          <w:tcPr>
            <w:tcW w:w="709" w:type="dxa"/>
            <w:tcBorders>
              <w:top w:val="nil"/>
              <w:left w:val="nil"/>
              <w:bottom w:val="nil"/>
              <w:right w:val="nil"/>
            </w:tcBorders>
            <w:vAlign w:val="bottom"/>
          </w:tcPr>
          <w:p w14:paraId="160A71E7" w14:textId="77777777" w:rsidR="009E3821" w:rsidRPr="009E3821" w:rsidRDefault="009E3821" w:rsidP="009E3821">
            <w:pPr>
              <w:jc w:val="center"/>
              <w:rPr>
                <w:rFonts w:ascii="Arial" w:hAnsi="Arial" w:cs="Arial"/>
              </w:rPr>
            </w:pPr>
            <w:r w:rsidRPr="009E3821">
              <w:rPr>
                <w:rFonts w:ascii="Arial" w:hAnsi="Arial" w:cs="Arial"/>
              </w:rPr>
              <w:t xml:space="preserve">141 </w:t>
            </w:r>
          </w:p>
        </w:tc>
        <w:tc>
          <w:tcPr>
            <w:tcW w:w="851" w:type="dxa"/>
            <w:tcBorders>
              <w:top w:val="nil"/>
              <w:left w:val="nil"/>
              <w:bottom w:val="nil"/>
              <w:right w:val="nil"/>
            </w:tcBorders>
            <w:vAlign w:val="bottom"/>
          </w:tcPr>
          <w:p w14:paraId="29C06FB4" w14:textId="77777777" w:rsidR="009E3821" w:rsidRPr="009E3821" w:rsidRDefault="009E3821" w:rsidP="009E3821">
            <w:pPr>
              <w:jc w:val="center"/>
              <w:rPr>
                <w:rFonts w:ascii="Arial" w:hAnsi="Arial" w:cs="Arial"/>
              </w:rPr>
            </w:pPr>
            <w:r w:rsidRPr="009E3821">
              <w:rPr>
                <w:rFonts w:ascii="Arial" w:hAnsi="Arial" w:cs="Arial"/>
              </w:rPr>
              <w:t xml:space="preserve">99,3 </w:t>
            </w:r>
          </w:p>
        </w:tc>
        <w:tc>
          <w:tcPr>
            <w:tcW w:w="2551" w:type="dxa"/>
            <w:vMerge w:val="restart"/>
            <w:tcBorders>
              <w:top w:val="nil"/>
              <w:left w:val="nil"/>
              <w:bottom w:val="nil"/>
              <w:right w:val="nil"/>
            </w:tcBorders>
            <w:vAlign w:val="center"/>
          </w:tcPr>
          <w:p w14:paraId="568A1C7D" w14:textId="77777777" w:rsidR="009E3821" w:rsidRPr="009E3821" w:rsidRDefault="009E3821" w:rsidP="009E3821">
            <w:pPr>
              <w:jc w:val="center"/>
              <w:rPr>
                <w:rFonts w:ascii="Arial" w:hAnsi="Arial" w:cs="Arial"/>
              </w:rPr>
            </w:pPr>
            <w:r w:rsidRPr="009E3821">
              <w:rPr>
                <w:rFonts w:ascii="Arial" w:hAnsi="Arial" w:cs="Arial"/>
              </w:rPr>
              <w:t>X</w:t>
            </w:r>
            <w:r w:rsidRPr="009E3821">
              <w:rPr>
                <w:rFonts w:ascii="Arial" w:hAnsi="Arial" w:cs="Arial"/>
                <w:vertAlign w:val="superscript"/>
              </w:rPr>
              <w:t>2</w:t>
            </w:r>
            <w:r w:rsidRPr="009E3821">
              <w:rPr>
                <w:rFonts w:ascii="Arial" w:hAnsi="Arial" w:cs="Arial"/>
              </w:rPr>
              <w:t xml:space="preserve">= 0,000; </w:t>
            </w:r>
          </w:p>
          <w:p w14:paraId="0B73C7EC" w14:textId="77777777" w:rsidR="009E3821" w:rsidRPr="009E3821" w:rsidRDefault="009E3821" w:rsidP="009E3821">
            <w:pPr>
              <w:jc w:val="center"/>
              <w:rPr>
                <w:rFonts w:ascii="Arial" w:hAnsi="Arial" w:cs="Arial"/>
              </w:rPr>
            </w:pPr>
            <w:r w:rsidRPr="009E3821">
              <w:rPr>
                <w:rFonts w:ascii="Arial" w:hAnsi="Arial" w:cs="Arial"/>
              </w:rPr>
              <w:t xml:space="preserve">p = 0,996 </w:t>
            </w:r>
          </w:p>
        </w:tc>
      </w:tr>
      <w:tr w:rsidR="009E3821" w:rsidRPr="009E3821" w14:paraId="4BD657E6" w14:textId="77777777" w:rsidTr="009E3821">
        <w:trPr>
          <w:trHeight w:val="300"/>
        </w:trPr>
        <w:tc>
          <w:tcPr>
            <w:tcW w:w="2755" w:type="dxa"/>
            <w:tcBorders>
              <w:top w:val="nil"/>
              <w:left w:val="nil"/>
              <w:bottom w:val="nil"/>
              <w:right w:val="nil"/>
            </w:tcBorders>
          </w:tcPr>
          <w:p w14:paraId="0E9E5865" w14:textId="77777777" w:rsidR="009E3821" w:rsidRPr="009E3821" w:rsidRDefault="009E3821" w:rsidP="009E3821">
            <w:pPr>
              <w:rPr>
                <w:rFonts w:ascii="Arial" w:hAnsi="Arial" w:cs="Arial"/>
              </w:rPr>
            </w:pPr>
            <w:r w:rsidRPr="009E3821">
              <w:rPr>
                <w:rFonts w:ascii="Arial" w:hAnsi="Arial" w:cs="Arial"/>
              </w:rPr>
              <w:t xml:space="preserve">No </w:t>
            </w:r>
          </w:p>
        </w:tc>
        <w:tc>
          <w:tcPr>
            <w:tcW w:w="736" w:type="dxa"/>
            <w:tcBorders>
              <w:top w:val="nil"/>
              <w:left w:val="nil"/>
              <w:bottom w:val="nil"/>
              <w:right w:val="nil"/>
            </w:tcBorders>
            <w:vAlign w:val="bottom"/>
          </w:tcPr>
          <w:p w14:paraId="6BB1E40B" w14:textId="77777777" w:rsidR="009E3821" w:rsidRPr="009E3821" w:rsidRDefault="009E3821" w:rsidP="009E3821">
            <w:pPr>
              <w:jc w:val="center"/>
              <w:rPr>
                <w:rFonts w:ascii="Arial" w:hAnsi="Arial" w:cs="Arial"/>
              </w:rPr>
            </w:pPr>
            <w:r w:rsidRPr="009E3821">
              <w:rPr>
                <w:rFonts w:ascii="Arial" w:hAnsi="Arial" w:cs="Arial"/>
              </w:rPr>
              <w:t xml:space="preserve">1 </w:t>
            </w:r>
          </w:p>
        </w:tc>
        <w:tc>
          <w:tcPr>
            <w:tcW w:w="708" w:type="dxa"/>
            <w:tcBorders>
              <w:top w:val="nil"/>
              <w:left w:val="nil"/>
              <w:bottom w:val="nil"/>
              <w:right w:val="nil"/>
            </w:tcBorders>
            <w:vAlign w:val="bottom"/>
          </w:tcPr>
          <w:p w14:paraId="22867388" w14:textId="77777777" w:rsidR="009E3821" w:rsidRPr="009E3821" w:rsidRDefault="009E3821" w:rsidP="009E3821">
            <w:pPr>
              <w:jc w:val="center"/>
              <w:rPr>
                <w:rFonts w:ascii="Arial" w:hAnsi="Arial" w:cs="Arial"/>
              </w:rPr>
            </w:pPr>
            <w:r w:rsidRPr="009E3821">
              <w:rPr>
                <w:rFonts w:ascii="Arial" w:hAnsi="Arial" w:cs="Arial"/>
              </w:rPr>
              <w:t xml:space="preserve">0,7 </w:t>
            </w:r>
          </w:p>
        </w:tc>
        <w:tc>
          <w:tcPr>
            <w:tcW w:w="709" w:type="dxa"/>
            <w:tcBorders>
              <w:top w:val="nil"/>
              <w:left w:val="nil"/>
              <w:bottom w:val="nil"/>
              <w:right w:val="nil"/>
            </w:tcBorders>
            <w:vAlign w:val="bottom"/>
          </w:tcPr>
          <w:p w14:paraId="1B0AF3DD" w14:textId="77777777" w:rsidR="009E3821" w:rsidRPr="009E3821" w:rsidRDefault="009E3821" w:rsidP="009E3821">
            <w:pPr>
              <w:jc w:val="center"/>
              <w:rPr>
                <w:rFonts w:ascii="Arial" w:hAnsi="Arial" w:cs="Arial"/>
              </w:rPr>
            </w:pPr>
            <w:r w:rsidRPr="009E3821">
              <w:rPr>
                <w:rFonts w:ascii="Arial" w:hAnsi="Arial" w:cs="Arial"/>
              </w:rPr>
              <w:t xml:space="preserve">1 </w:t>
            </w:r>
          </w:p>
        </w:tc>
        <w:tc>
          <w:tcPr>
            <w:tcW w:w="851" w:type="dxa"/>
            <w:tcBorders>
              <w:top w:val="nil"/>
              <w:left w:val="nil"/>
              <w:bottom w:val="nil"/>
              <w:right w:val="nil"/>
            </w:tcBorders>
            <w:vAlign w:val="bottom"/>
          </w:tcPr>
          <w:p w14:paraId="0E3A1564" w14:textId="77777777" w:rsidR="009E3821" w:rsidRPr="009E3821" w:rsidRDefault="009E3821" w:rsidP="009E3821">
            <w:pPr>
              <w:jc w:val="center"/>
              <w:rPr>
                <w:rFonts w:ascii="Arial" w:hAnsi="Arial" w:cs="Arial"/>
              </w:rPr>
            </w:pPr>
            <w:r w:rsidRPr="009E3821">
              <w:rPr>
                <w:rFonts w:ascii="Arial" w:hAnsi="Arial" w:cs="Arial"/>
              </w:rPr>
              <w:t xml:space="preserve">0,7 </w:t>
            </w:r>
          </w:p>
        </w:tc>
        <w:tc>
          <w:tcPr>
            <w:tcW w:w="2551" w:type="dxa"/>
            <w:vMerge/>
            <w:tcBorders>
              <w:top w:val="nil"/>
              <w:left w:val="nil"/>
              <w:bottom w:val="nil"/>
              <w:right w:val="nil"/>
            </w:tcBorders>
            <w:vAlign w:val="center"/>
          </w:tcPr>
          <w:p w14:paraId="65536854" w14:textId="77777777" w:rsidR="009E3821" w:rsidRPr="009E3821" w:rsidRDefault="009E3821" w:rsidP="009E3821">
            <w:pPr>
              <w:widowControl w:val="0"/>
              <w:pBdr>
                <w:top w:val="nil"/>
                <w:left w:val="nil"/>
                <w:bottom w:val="nil"/>
                <w:right w:val="nil"/>
                <w:between w:val="nil"/>
              </w:pBdr>
              <w:rPr>
                <w:rFonts w:ascii="Arial" w:hAnsi="Arial" w:cs="Arial"/>
              </w:rPr>
            </w:pPr>
          </w:p>
        </w:tc>
      </w:tr>
      <w:tr w:rsidR="009E3821" w:rsidRPr="009E3821" w14:paraId="6C6FF13C" w14:textId="77777777" w:rsidTr="009E3821">
        <w:trPr>
          <w:trHeight w:val="300"/>
        </w:trPr>
        <w:tc>
          <w:tcPr>
            <w:tcW w:w="2755" w:type="dxa"/>
            <w:tcBorders>
              <w:top w:val="nil"/>
              <w:left w:val="nil"/>
              <w:bottom w:val="nil"/>
              <w:right w:val="nil"/>
            </w:tcBorders>
          </w:tcPr>
          <w:p w14:paraId="78F6F648" w14:textId="77777777" w:rsidR="009E3821" w:rsidRPr="009E3821" w:rsidRDefault="009E3821" w:rsidP="009E3821">
            <w:pPr>
              <w:rPr>
                <w:rFonts w:ascii="Arial" w:hAnsi="Arial" w:cs="Arial"/>
                <w:b/>
              </w:rPr>
            </w:pPr>
            <w:r w:rsidRPr="009E3821">
              <w:rPr>
                <w:rFonts w:ascii="Arial" w:hAnsi="Arial" w:cs="Arial"/>
                <w:b/>
              </w:rPr>
              <w:t xml:space="preserve">Blood component </w:t>
            </w:r>
          </w:p>
        </w:tc>
        <w:tc>
          <w:tcPr>
            <w:tcW w:w="736" w:type="dxa"/>
            <w:tcBorders>
              <w:top w:val="nil"/>
              <w:left w:val="nil"/>
              <w:bottom w:val="nil"/>
              <w:right w:val="nil"/>
            </w:tcBorders>
            <w:vAlign w:val="bottom"/>
          </w:tcPr>
          <w:p w14:paraId="35531F4B" w14:textId="77777777" w:rsidR="009E3821" w:rsidRPr="009E3821" w:rsidRDefault="009E3821" w:rsidP="009E3821">
            <w:pPr>
              <w:rPr>
                <w:rFonts w:ascii="Arial" w:hAnsi="Arial" w:cs="Arial"/>
              </w:rPr>
            </w:pPr>
            <w:r w:rsidRPr="009E3821">
              <w:rPr>
                <w:rFonts w:ascii="Arial" w:hAnsi="Arial" w:cs="Arial"/>
              </w:rPr>
              <w:t xml:space="preserve"> </w:t>
            </w:r>
          </w:p>
        </w:tc>
        <w:tc>
          <w:tcPr>
            <w:tcW w:w="708" w:type="dxa"/>
            <w:tcBorders>
              <w:top w:val="nil"/>
              <w:left w:val="nil"/>
              <w:bottom w:val="nil"/>
              <w:right w:val="nil"/>
            </w:tcBorders>
            <w:vAlign w:val="bottom"/>
          </w:tcPr>
          <w:p w14:paraId="50E452E4" w14:textId="77777777" w:rsidR="009E3821" w:rsidRPr="009E3821" w:rsidRDefault="009E3821" w:rsidP="009E3821">
            <w:pPr>
              <w:rPr>
                <w:rFonts w:ascii="Arial" w:hAnsi="Arial" w:cs="Arial"/>
              </w:rPr>
            </w:pPr>
            <w:r w:rsidRPr="009E3821">
              <w:rPr>
                <w:rFonts w:ascii="Arial" w:hAnsi="Arial" w:cs="Arial"/>
              </w:rPr>
              <w:t xml:space="preserve"> </w:t>
            </w:r>
          </w:p>
        </w:tc>
        <w:tc>
          <w:tcPr>
            <w:tcW w:w="709" w:type="dxa"/>
            <w:tcBorders>
              <w:top w:val="nil"/>
              <w:left w:val="nil"/>
              <w:bottom w:val="nil"/>
              <w:right w:val="nil"/>
            </w:tcBorders>
            <w:vAlign w:val="bottom"/>
          </w:tcPr>
          <w:p w14:paraId="624CDC14" w14:textId="77777777" w:rsidR="009E3821" w:rsidRPr="009E3821" w:rsidRDefault="009E3821" w:rsidP="009E3821">
            <w:pPr>
              <w:rPr>
                <w:rFonts w:ascii="Arial" w:hAnsi="Arial" w:cs="Arial"/>
              </w:rPr>
            </w:pPr>
            <w:r w:rsidRPr="009E3821">
              <w:rPr>
                <w:rFonts w:ascii="Arial" w:hAnsi="Arial" w:cs="Arial"/>
              </w:rPr>
              <w:t xml:space="preserve"> </w:t>
            </w:r>
          </w:p>
        </w:tc>
        <w:tc>
          <w:tcPr>
            <w:tcW w:w="851" w:type="dxa"/>
            <w:tcBorders>
              <w:top w:val="nil"/>
              <w:left w:val="nil"/>
              <w:bottom w:val="nil"/>
              <w:right w:val="nil"/>
            </w:tcBorders>
            <w:vAlign w:val="bottom"/>
          </w:tcPr>
          <w:p w14:paraId="39A3D0A5" w14:textId="77777777" w:rsidR="009E3821" w:rsidRPr="009E3821" w:rsidRDefault="009E3821" w:rsidP="009E3821">
            <w:pPr>
              <w:rPr>
                <w:rFonts w:ascii="Arial" w:hAnsi="Arial" w:cs="Arial"/>
              </w:rPr>
            </w:pPr>
            <w:r w:rsidRPr="009E3821">
              <w:rPr>
                <w:rFonts w:ascii="Arial" w:hAnsi="Arial" w:cs="Arial"/>
              </w:rPr>
              <w:t xml:space="preserve"> </w:t>
            </w:r>
          </w:p>
        </w:tc>
        <w:tc>
          <w:tcPr>
            <w:tcW w:w="2551" w:type="dxa"/>
            <w:tcBorders>
              <w:top w:val="nil"/>
              <w:left w:val="nil"/>
              <w:bottom w:val="nil"/>
              <w:right w:val="nil"/>
            </w:tcBorders>
            <w:vAlign w:val="bottom"/>
          </w:tcPr>
          <w:p w14:paraId="5C881A90" w14:textId="77777777" w:rsidR="009E3821" w:rsidRPr="009E3821" w:rsidRDefault="009E3821" w:rsidP="009E3821">
            <w:pPr>
              <w:rPr>
                <w:rFonts w:ascii="Arial" w:hAnsi="Arial" w:cs="Arial"/>
              </w:rPr>
            </w:pPr>
            <w:r w:rsidRPr="009E3821">
              <w:rPr>
                <w:rFonts w:ascii="Arial" w:hAnsi="Arial" w:cs="Arial"/>
              </w:rPr>
              <w:t xml:space="preserve"> </w:t>
            </w:r>
          </w:p>
        </w:tc>
      </w:tr>
      <w:tr w:rsidR="009E3821" w:rsidRPr="009E3821" w14:paraId="54FCCF2A" w14:textId="77777777" w:rsidTr="009E3821">
        <w:trPr>
          <w:trHeight w:val="300"/>
        </w:trPr>
        <w:tc>
          <w:tcPr>
            <w:tcW w:w="2755" w:type="dxa"/>
            <w:tcBorders>
              <w:top w:val="nil"/>
              <w:left w:val="nil"/>
              <w:bottom w:val="nil"/>
              <w:right w:val="nil"/>
            </w:tcBorders>
          </w:tcPr>
          <w:p w14:paraId="1D866C5B" w14:textId="77777777" w:rsidR="009E3821" w:rsidRPr="009E3821" w:rsidRDefault="009E3821" w:rsidP="009E3821">
            <w:pPr>
              <w:rPr>
                <w:rFonts w:ascii="Arial" w:hAnsi="Arial" w:cs="Arial"/>
              </w:rPr>
            </w:pPr>
            <w:r w:rsidRPr="009E3821">
              <w:rPr>
                <w:rFonts w:ascii="Arial" w:hAnsi="Arial" w:cs="Arial"/>
              </w:rPr>
              <w:t xml:space="preserve">Yes </w:t>
            </w:r>
          </w:p>
        </w:tc>
        <w:tc>
          <w:tcPr>
            <w:tcW w:w="736" w:type="dxa"/>
            <w:tcBorders>
              <w:top w:val="nil"/>
              <w:left w:val="nil"/>
              <w:bottom w:val="nil"/>
              <w:right w:val="nil"/>
            </w:tcBorders>
            <w:vAlign w:val="bottom"/>
          </w:tcPr>
          <w:p w14:paraId="48F7A5B7" w14:textId="77777777" w:rsidR="009E3821" w:rsidRPr="009E3821" w:rsidRDefault="009E3821" w:rsidP="009E3821">
            <w:pPr>
              <w:jc w:val="center"/>
              <w:rPr>
                <w:rFonts w:ascii="Arial" w:hAnsi="Arial" w:cs="Arial"/>
              </w:rPr>
            </w:pPr>
            <w:r w:rsidRPr="009E3821">
              <w:rPr>
                <w:rFonts w:ascii="Arial" w:hAnsi="Arial" w:cs="Arial"/>
              </w:rPr>
              <w:t xml:space="preserve">31 </w:t>
            </w:r>
          </w:p>
        </w:tc>
        <w:tc>
          <w:tcPr>
            <w:tcW w:w="708" w:type="dxa"/>
            <w:tcBorders>
              <w:top w:val="nil"/>
              <w:left w:val="nil"/>
              <w:bottom w:val="nil"/>
              <w:right w:val="nil"/>
            </w:tcBorders>
            <w:vAlign w:val="bottom"/>
          </w:tcPr>
          <w:p w14:paraId="5F9D4255" w14:textId="77777777" w:rsidR="009E3821" w:rsidRPr="009E3821" w:rsidRDefault="009E3821" w:rsidP="009E3821">
            <w:pPr>
              <w:jc w:val="center"/>
              <w:rPr>
                <w:rFonts w:ascii="Arial" w:hAnsi="Arial" w:cs="Arial"/>
              </w:rPr>
            </w:pPr>
            <w:r w:rsidRPr="009E3821">
              <w:rPr>
                <w:rFonts w:ascii="Arial" w:hAnsi="Arial" w:cs="Arial"/>
              </w:rPr>
              <w:t xml:space="preserve">21,7 </w:t>
            </w:r>
          </w:p>
        </w:tc>
        <w:tc>
          <w:tcPr>
            <w:tcW w:w="709" w:type="dxa"/>
            <w:tcBorders>
              <w:top w:val="nil"/>
              <w:left w:val="nil"/>
              <w:bottom w:val="nil"/>
              <w:right w:val="nil"/>
            </w:tcBorders>
            <w:vAlign w:val="bottom"/>
          </w:tcPr>
          <w:p w14:paraId="2F06A374" w14:textId="77777777" w:rsidR="009E3821" w:rsidRPr="009E3821" w:rsidRDefault="009E3821" w:rsidP="009E3821">
            <w:pPr>
              <w:jc w:val="center"/>
              <w:rPr>
                <w:rFonts w:ascii="Arial" w:hAnsi="Arial" w:cs="Arial"/>
              </w:rPr>
            </w:pPr>
            <w:r w:rsidRPr="009E3821">
              <w:rPr>
                <w:rFonts w:ascii="Arial" w:hAnsi="Arial" w:cs="Arial"/>
              </w:rPr>
              <w:t xml:space="preserve">25 </w:t>
            </w:r>
          </w:p>
        </w:tc>
        <w:tc>
          <w:tcPr>
            <w:tcW w:w="851" w:type="dxa"/>
            <w:tcBorders>
              <w:top w:val="nil"/>
              <w:left w:val="nil"/>
              <w:bottom w:val="nil"/>
              <w:right w:val="nil"/>
            </w:tcBorders>
            <w:vAlign w:val="bottom"/>
          </w:tcPr>
          <w:p w14:paraId="2CB95430" w14:textId="77777777" w:rsidR="009E3821" w:rsidRPr="009E3821" w:rsidRDefault="009E3821" w:rsidP="009E3821">
            <w:pPr>
              <w:jc w:val="center"/>
              <w:rPr>
                <w:rFonts w:ascii="Arial" w:hAnsi="Arial" w:cs="Arial"/>
              </w:rPr>
            </w:pPr>
            <w:r w:rsidRPr="009E3821">
              <w:rPr>
                <w:rFonts w:ascii="Arial" w:hAnsi="Arial" w:cs="Arial"/>
              </w:rPr>
              <w:t xml:space="preserve">17,6 </w:t>
            </w:r>
          </w:p>
        </w:tc>
        <w:tc>
          <w:tcPr>
            <w:tcW w:w="2551" w:type="dxa"/>
            <w:vMerge w:val="restart"/>
            <w:tcBorders>
              <w:top w:val="nil"/>
              <w:left w:val="nil"/>
              <w:bottom w:val="nil"/>
              <w:right w:val="nil"/>
            </w:tcBorders>
            <w:vAlign w:val="center"/>
          </w:tcPr>
          <w:p w14:paraId="5CDF6E02" w14:textId="77777777" w:rsidR="009E3821" w:rsidRPr="009E3821" w:rsidRDefault="009E3821" w:rsidP="009E3821">
            <w:pPr>
              <w:jc w:val="center"/>
              <w:rPr>
                <w:rFonts w:ascii="Arial" w:hAnsi="Arial" w:cs="Arial"/>
              </w:rPr>
            </w:pPr>
            <w:r w:rsidRPr="009E3821">
              <w:rPr>
                <w:rFonts w:ascii="Arial" w:hAnsi="Arial" w:cs="Arial"/>
              </w:rPr>
              <w:t>X</w:t>
            </w:r>
            <w:r w:rsidRPr="009E3821">
              <w:rPr>
                <w:rFonts w:ascii="Arial" w:hAnsi="Arial" w:cs="Arial"/>
                <w:vertAlign w:val="superscript"/>
              </w:rPr>
              <w:t>2</w:t>
            </w:r>
            <w:r w:rsidRPr="009E3821">
              <w:rPr>
                <w:rFonts w:ascii="Arial" w:hAnsi="Arial" w:cs="Arial"/>
              </w:rPr>
              <w:t xml:space="preserve">= 0,749;  </w:t>
            </w:r>
          </w:p>
          <w:p w14:paraId="028C21E4" w14:textId="77777777" w:rsidR="009E3821" w:rsidRPr="009E3821" w:rsidRDefault="009E3821" w:rsidP="009E3821">
            <w:pPr>
              <w:jc w:val="center"/>
              <w:rPr>
                <w:rFonts w:ascii="Arial" w:hAnsi="Arial" w:cs="Arial"/>
              </w:rPr>
            </w:pPr>
            <w:r w:rsidRPr="009E3821">
              <w:rPr>
                <w:rFonts w:ascii="Arial" w:hAnsi="Arial" w:cs="Arial"/>
              </w:rPr>
              <w:t xml:space="preserve">p= 0,387 </w:t>
            </w:r>
          </w:p>
        </w:tc>
      </w:tr>
      <w:tr w:rsidR="009E3821" w:rsidRPr="009E3821" w14:paraId="5530EDB8" w14:textId="77777777" w:rsidTr="009E3821">
        <w:trPr>
          <w:trHeight w:val="300"/>
        </w:trPr>
        <w:tc>
          <w:tcPr>
            <w:tcW w:w="2755" w:type="dxa"/>
            <w:tcBorders>
              <w:top w:val="nil"/>
              <w:left w:val="nil"/>
              <w:bottom w:val="nil"/>
              <w:right w:val="nil"/>
            </w:tcBorders>
          </w:tcPr>
          <w:p w14:paraId="01A465F7" w14:textId="77777777" w:rsidR="009E3821" w:rsidRPr="009E3821" w:rsidRDefault="009E3821" w:rsidP="009E3821">
            <w:pPr>
              <w:rPr>
                <w:rFonts w:ascii="Arial" w:hAnsi="Arial" w:cs="Arial"/>
              </w:rPr>
            </w:pPr>
            <w:r w:rsidRPr="009E3821">
              <w:rPr>
                <w:rFonts w:ascii="Arial" w:hAnsi="Arial" w:cs="Arial"/>
              </w:rPr>
              <w:t xml:space="preserve">No </w:t>
            </w:r>
          </w:p>
        </w:tc>
        <w:tc>
          <w:tcPr>
            <w:tcW w:w="736" w:type="dxa"/>
            <w:tcBorders>
              <w:top w:val="nil"/>
              <w:left w:val="nil"/>
              <w:bottom w:val="nil"/>
              <w:right w:val="nil"/>
            </w:tcBorders>
            <w:vAlign w:val="bottom"/>
          </w:tcPr>
          <w:p w14:paraId="1AE867D6" w14:textId="77777777" w:rsidR="009E3821" w:rsidRPr="009E3821" w:rsidRDefault="009E3821" w:rsidP="009E3821">
            <w:pPr>
              <w:jc w:val="center"/>
              <w:rPr>
                <w:rFonts w:ascii="Arial" w:hAnsi="Arial" w:cs="Arial"/>
              </w:rPr>
            </w:pPr>
            <w:r w:rsidRPr="009E3821">
              <w:rPr>
                <w:rFonts w:ascii="Arial" w:hAnsi="Arial" w:cs="Arial"/>
              </w:rPr>
              <w:t xml:space="preserve">112 </w:t>
            </w:r>
          </w:p>
        </w:tc>
        <w:tc>
          <w:tcPr>
            <w:tcW w:w="708" w:type="dxa"/>
            <w:tcBorders>
              <w:top w:val="nil"/>
              <w:left w:val="nil"/>
              <w:bottom w:val="nil"/>
              <w:right w:val="nil"/>
            </w:tcBorders>
            <w:vAlign w:val="bottom"/>
          </w:tcPr>
          <w:p w14:paraId="60E42B92" w14:textId="77777777" w:rsidR="009E3821" w:rsidRPr="009E3821" w:rsidRDefault="009E3821" w:rsidP="009E3821">
            <w:pPr>
              <w:jc w:val="center"/>
              <w:rPr>
                <w:rFonts w:ascii="Arial" w:hAnsi="Arial" w:cs="Arial"/>
              </w:rPr>
            </w:pPr>
            <w:r w:rsidRPr="009E3821">
              <w:rPr>
                <w:rFonts w:ascii="Arial" w:hAnsi="Arial" w:cs="Arial"/>
              </w:rPr>
              <w:t xml:space="preserve">78,3 </w:t>
            </w:r>
          </w:p>
        </w:tc>
        <w:tc>
          <w:tcPr>
            <w:tcW w:w="709" w:type="dxa"/>
            <w:tcBorders>
              <w:top w:val="nil"/>
              <w:left w:val="nil"/>
              <w:bottom w:val="nil"/>
              <w:right w:val="nil"/>
            </w:tcBorders>
            <w:vAlign w:val="bottom"/>
          </w:tcPr>
          <w:p w14:paraId="2C687989" w14:textId="77777777" w:rsidR="009E3821" w:rsidRPr="009E3821" w:rsidRDefault="009E3821" w:rsidP="009E3821">
            <w:pPr>
              <w:jc w:val="center"/>
              <w:rPr>
                <w:rFonts w:ascii="Arial" w:hAnsi="Arial" w:cs="Arial"/>
              </w:rPr>
            </w:pPr>
            <w:r w:rsidRPr="009E3821">
              <w:rPr>
                <w:rFonts w:ascii="Arial" w:hAnsi="Arial" w:cs="Arial"/>
              </w:rPr>
              <w:t xml:space="preserve">117 </w:t>
            </w:r>
          </w:p>
        </w:tc>
        <w:tc>
          <w:tcPr>
            <w:tcW w:w="851" w:type="dxa"/>
            <w:tcBorders>
              <w:top w:val="nil"/>
              <w:left w:val="nil"/>
              <w:bottom w:val="nil"/>
              <w:right w:val="nil"/>
            </w:tcBorders>
            <w:vAlign w:val="bottom"/>
          </w:tcPr>
          <w:p w14:paraId="3F0B57BC" w14:textId="77777777" w:rsidR="009E3821" w:rsidRPr="009E3821" w:rsidRDefault="009E3821" w:rsidP="009E3821">
            <w:pPr>
              <w:jc w:val="center"/>
              <w:rPr>
                <w:rFonts w:ascii="Arial" w:hAnsi="Arial" w:cs="Arial"/>
              </w:rPr>
            </w:pPr>
            <w:r w:rsidRPr="009E3821">
              <w:rPr>
                <w:rFonts w:ascii="Arial" w:hAnsi="Arial" w:cs="Arial"/>
              </w:rPr>
              <w:t xml:space="preserve">82,4 </w:t>
            </w:r>
          </w:p>
        </w:tc>
        <w:tc>
          <w:tcPr>
            <w:tcW w:w="2551" w:type="dxa"/>
            <w:vMerge/>
            <w:tcBorders>
              <w:top w:val="nil"/>
              <w:left w:val="nil"/>
              <w:bottom w:val="nil"/>
              <w:right w:val="nil"/>
            </w:tcBorders>
            <w:vAlign w:val="center"/>
          </w:tcPr>
          <w:p w14:paraId="31318E68" w14:textId="77777777" w:rsidR="009E3821" w:rsidRPr="009E3821" w:rsidRDefault="009E3821" w:rsidP="009E3821">
            <w:pPr>
              <w:widowControl w:val="0"/>
              <w:pBdr>
                <w:top w:val="nil"/>
                <w:left w:val="nil"/>
                <w:bottom w:val="nil"/>
                <w:right w:val="nil"/>
                <w:between w:val="nil"/>
              </w:pBdr>
              <w:rPr>
                <w:rFonts w:ascii="Arial" w:hAnsi="Arial" w:cs="Arial"/>
              </w:rPr>
            </w:pPr>
          </w:p>
        </w:tc>
      </w:tr>
      <w:tr w:rsidR="009E3821" w:rsidRPr="009E3821" w14:paraId="35A939FB" w14:textId="77777777" w:rsidTr="009E3821">
        <w:trPr>
          <w:trHeight w:val="300"/>
        </w:trPr>
        <w:tc>
          <w:tcPr>
            <w:tcW w:w="2755" w:type="dxa"/>
            <w:tcBorders>
              <w:top w:val="nil"/>
              <w:left w:val="nil"/>
              <w:bottom w:val="nil"/>
              <w:right w:val="nil"/>
            </w:tcBorders>
          </w:tcPr>
          <w:p w14:paraId="511C7FB0" w14:textId="77777777" w:rsidR="009E3821" w:rsidRPr="009E3821" w:rsidRDefault="009E3821" w:rsidP="009E3821">
            <w:pPr>
              <w:rPr>
                <w:rFonts w:ascii="Arial" w:hAnsi="Arial" w:cs="Arial"/>
                <w:b/>
              </w:rPr>
            </w:pPr>
            <w:r w:rsidRPr="009E3821">
              <w:rPr>
                <w:rFonts w:ascii="Arial" w:hAnsi="Arial" w:cs="Arial"/>
                <w:b/>
              </w:rPr>
              <w:t xml:space="preserve">Complications </w:t>
            </w:r>
          </w:p>
        </w:tc>
        <w:tc>
          <w:tcPr>
            <w:tcW w:w="736" w:type="dxa"/>
            <w:tcBorders>
              <w:top w:val="nil"/>
              <w:left w:val="nil"/>
              <w:bottom w:val="nil"/>
              <w:right w:val="nil"/>
            </w:tcBorders>
            <w:vAlign w:val="bottom"/>
          </w:tcPr>
          <w:p w14:paraId="4D5B6697" w14:textId="77777777" w:rsidR="009E3821" w:rsidRPr="009E3821" w:rsidRDefault="009E3821" w:rsidP="009E3821">
            <w:pPr>
              <w:rPr>
                <w:rFonts w:ascii="Arial" w:hAnsi="Arial" w:cs="Arial"/>
              </w:rPr>
            </w:pPr>
            <w:r w:rsidRPr="009E3821">
              <w:rPr>
                <w:rFonts w:ascii="Arial" w:hAnsi="Arial" w:cs="Arial"/>
              </w:rPr>
              <w:t xml:space="preserve"> </w:t>
            </w:r>
          </w:p>
        </w:tc>
        <w:tc>
          <w:tcPr>
            <w:tcW w:w="708" w:type="dxa"/>
            <w:tcBorders>
              <w:top w:val="nil"/>
              <w:left w:val="nil"/>
              <w:bottom w:val="nil"/>
              <w:right w:val="nil"/>
            </w:tcBorders>
            <w:vAlign w:val="bottom"/>
          </w:tcPr>
          <w:p w14:paraId="467B9F06" w14:textId="77777777" w:rsidR="009E3821" w:rsidRPr="009E3821" w:rsidRDefault="009E3821" w:rsidP="009E3821">
            <w:pPr>
              <w:rPr>
                <w:rFonts w:ascii="Arial" w:hAnsi="Arial" w:cs="Arial"/>
              </w:rPr>
            </w:pPr>
            <w:r w:rsidRPr="009E3821">
              <w:rPr>
                <w:rFonts w:ascii="Arial" w:hAnsi="Arial" w:cs="Arial"/>
              </w:rPr>
              <w:t xml:space="preserve"> </w:t>
            </w:r>
          </w:p>
        </w:tc>
        <w:tc>
          <w:tcPr>
            <w:tcW w:w="709" w:type="dxa"/>
            <w:tcBorders>
              <w:top w:val="nil"/>
              <w:left w:val="nil"/>
              <w:bottom w:val="nil"/>
              <w:right w:val="nil"/>
            </w:tcBorders>
            <w:vAlign w:val="bottom"/>
          </w:tcPr>
          <w:p w14:paraId="0F907FCD" w14:textId="77777777" w:rsidR="009E3821" w:rsidRPr="009E3821" w:rsidRDefault="009E3821" w:rsidP="009E3821">
            <w:pPr>
              <w:rPr>
                <w:rFonts w:ascii="Arial" w:hAnsi="Arial" w:cs="Arial"/>
              </w:rPr>
            </w:pPr>
            <w:r w:rsidRPr="009E3821">
              <w:rPr>
                <w:rFonts w:ascii="Arial" w:hAnsi="Arial" w:cs="Arial"/>
              </w:rPr>
              <w:t xml:space="preserve"> </w:t>
            </w:r>
          </w:p>
        </w:tc>
        <w:tc>
          <w:tcPr>
            <w:tcW w:w="851" w:type="dxa"/>
            <w:tcBorders>
              <w:top w:val="nil"/>
              <w:left w:val="nil"/>
              <w:bottom w:val="nil"/>
              <w:right w:val="nil"/>
            </w:tcBorders>
            <w:vAlign w:val="bottom"/>
          </w:tcPr>
          <w:p w14:paraId="35838E0D" w14:textId="77777777" w:rsidR="009E3821" w:rsidRPr="009E3821" w:rsidRDefault="009E3821" w:rsidP="009E3821">
            <w:pPr>
              <w:rPr>
                <w:rFonts w:ascii="Arial" w:hAnsi="Arial" w:cs="Arial"/>
              </w:rPr>
            </w:pPr>
            <w:r w:rsidRPr="009E3821">
              <w:rPr>
                <w:rFonts w:ascii="Arial" w:hAnsi="Arial" w:cs="Arial"/>
              </w:rPr>
              <w:t xml:space="preserve"> </w:t>
            </w:r>
          </w:p>
        </w:tc>
        <w:tc>
          <w:tcPr>
            <w:tcW w:w="2551" w:type="dxa"/>
            <w:tcBorders>
              <w:top w:val="nil"/>
              <w:left w:val="nil"/>
              <w:bottom w:val="nil"/>
              <w:right w:val="nil"/>
            </w:tcBorders>
            <w:vAlign w:val="bottom"/>
          </w:tcPr>
          <w:p w14:paraId="12ED5381" w14:textId="77777777" w:rsidR="009E3821" w:rsidRPr="009E3821" w:rsidRDefault="009E3821" w:rsidP="009E3821">
            <w:pPr>
              <w:rPr>
                <w:rFonts w:ascii="Arial" w:hAnsi="Arial" w:cs="Arial"/>
              </w:rPr>
            </w:pPr>
            <w:r w:rsidRPr="009E3821">
              <w:rPr>
                <w:rFonts w:ascii="Arial" w:hAnsi="Arial" w:cs="Arial"/>
              </w:rPr>
              <w:t xml:space="preserve"> </w:t>
            </w:r>
          </w:p>
        </w:tc>
      </w:tr>
      <w:tr w:rsidR="009E3821" w:rsidRPr="009E3821" w14:paraId="60BC2386" w14:textId="77777777" w:rsidTr="009E3821">
        <w:trPr>
          <w:trHeight w:val="300"/>
        </w:trPr>
        <w:tc>
          <w:tcPr>
            <w:tcW w:w="2755" w:type="dxa"/>
            <w:tcBorders>
              <w:top w:val="nil"/>
              <w:left w:val="nil"/>
              <w:bottom w:val="nil"/>
              <w:right w:val="nil"/>
            </w:tcBorders>
          </w:tcPr>
          <w:p w14:paraId="38221BEA" w14:textId="77777777" w:rsidR="009E3821" w:rsidRPr="009E3821" w:rsidRDefault="009E3821" w:rsidP="009E3821">
            <w:pPr>
              <w:rPr>
                <w:rFonts w:ascii="Arial" w:hAnsi="Arial" w:cs="Arial"/>
              </w:rPr>
            </w:pPr>
            <w:r w:rsidRPr="009E3821">
              <w:rPr>
                <w:rFonts w:ascii="Arial" w:hAnsi="Arial" w:cs="Arial"/>
              </w:rPr>
              <w:t xml:space="preserve">Yes </w:t>
            </w:r>
          </w:p>
        </w:tc>
        <w:tc>
          <w:tcPr>
            <w:tcW w:w="736" w:type="dxa"/>
            <w:tcBorders>
              <w:top w:val="nil"/>
              <w:left w:val="nil"/>
              <w:bottom w:val="nil"/>
              <w:right w:val="nil"/>
            </w:tcBorders>
            <w:vAlign w:val="bottom"/>
          </w:tcPr>
          <w:p w14:paraId="0F95AFA9" w14:textId="77777777" w:rsidR="009E3821" w:rsidRPr="009E3821" w:rsidRDefault="009E3821" w:rsidP="009E3821">
            <w:pPr>
              <w:jc w:val="center"/>
              <w:rPr>
                <w:rFonts w:ascii="Arial" w:hAnsi="Arial" w:cs="Arial"/>
              </w:rPr>
            </w:pPr>
            <w:r w:rsidRPr="009E3821">
              <w:rPr>
                <w:rFonts w:ascii="Arial" w:hAnsi="Arial" w:cs="Arial"/>
              </w:rPr>
              <w:t xml:space="preserve">82 </w:t>
            </w:r>
          </w:p>
        </w:tc>
        <w:tc>
          <w:tcPr>
            <w:tcW w:w="708" w:type="dxa"/>
            <w:tcBorders>
              <w:top w:val="nil"/>
              <w:left w:val="nil"/>
              <w:bottom w:val="nil"/>
              <w:right w:val="nil"/>
            </w:tcBorders>
            <w:vAlign w:val="bottom"/>
          </w:tcPr>
          <w:p w14:paraId="7C809D17" w14:textId="77777777" w:rsidR="009E3821" w:rsidRPr="009E3821" w:rsidRDefault="009E3821" w:rsidP="009E3821">
            <w:pPr>
              <w:jc w:val="center"/>
              <w:rPr>
                <w:rFonts w:ascii="Arial" w:hAnsi="Arial" w:cs="Arial"/>
              </w:rPr>
            </w:pPr>
            <w:r w:rsidRPr="009E3821">
              <w:rPr>
                <w:rFonts w:ascii="Arial" w:hAnsi="Arial" w:cs="Arial"/>
              </w:rPr>
              <w:t xml:space="preserve">57,3 </w:t>
            </w:r>
          </w:p>
        </w:tc>
        <w:tc>
          <w:tcPr>
            <w:tcW w:w="709" w:type="dxa"/>
            <w:tcBorders>
              <w:top w:val="nil"/>
              <w:left w:val="nil"/>
              <w:bottom w:val="nil"/>
              <w:right w:val="nil"/>
            </w:tcBorders>
            <w:vAlign w:val="bottom"/>
          </w:tcPr>
          <w:p w14:paraId="6D176C1F" w14:textId="77777777" w:rsidR="009E3821" w:rsidRPr="009E3821" w:rsidRDefault="009E3821" w:rsidP="009E3821">
            <w:pPr>
              <w:jc w:val="center"/>
              <w:rPr>
                <w:rFonts w:ascii="Arial" w:hAnsi="Arial" w:cs="Arial"/>
              </w:rPr>
            </w:pPr>
            <w:r w:rsidRPr="009E3821">
              <w:rPr>
                <w:rFonts w:ascii="Arial" w:hAnsi="Arial" w:cs="Arial"/>
              </w:rPr>
              <w:t xml:space="preserve">80 </w:t>
            </w:r>
          </w:p>
        </w:tc>
        <w:tc>
          <w:tcPr>
            <w:tcW w:w="851" w:type="dxa"/>
            <w:tcBorders>
              <w:top w:val="nil"/>
              <w:left w:val="nil"/>
              <w:bottom w:val="nil"/>
              <w:right w:val="nil"/>
            </w:tcBorders>
            <w:vAlign w:val="bottom"/>
          </w:tcPr>
          <w:p w14:paraId="369BC957" w14:textId="77777777" w:rsidR="009E3821" w:rsidRPr="009E3821" w:rsidRDefault="009E3821" w:rsidP="009E3821">
            <w:pPr>
              <w:jc w:val="center"/>
              <w:rPr>
                <w:rFonts w:ascii="Arial" w:hAnsi="Arial" w:cs="Arial"/>
              </w:rPr>
            </w:pPr>
            <w:r w:rsidRPr="009E3821">
              <w:rPr>
                <w:rFonts w:ascii="Arial" w:hAnsi="Arial" w:cs="Arial"/>
              </w:rPr>
              <w:t xml:space="preserve">56,3 </w:t>
            </w:r>
          </w:p>
        </w:tc>
        <w:tc>
          <w:tcPr>
            <w:tcW w:w="2551" w:type="dxa"/>
            <w:vMerge w:val="restart"/>
            <w:tcBorders>
              <w:top w:val="nil"/>
              <w:left w:val="nil"/>
              <w:bottom w:val="nil"/>
              <w:right w:val="nil"/>
            </w:tcBorders>
            <w:vAlign w:val="center"/>
          </w:tcPr>
          <w:p w14:paraId="1187CDA0" w14:textId="77777777" w:rsidR="009E3821" w:rsidRPr="009E3821" w:rsidRDefault="009E3821" w:rsidP="009E3821">
            <w:pPr>
              <w:jc w:val="center"/>
              <w:rPr>
                <w:rFonts w:ascii="Arial" w:hAnsi="Arial" w:cs="Arial"/>
              </w:rPr>
            </w:pPr>
            <w:r w:rsidRPr="009E3821">
              <w:rPr>
                <w:rFonts w:ascii="Arial" w:hAnsi="Arial" w:cs="Arial"/>
              </w:rPr>
              <w:t>X</w:t>
            </w:r>
            <w:r w:rsidRPr="009E3821">
              <w:rPr>
                <w:rFonts w:ascii="Arial" w:hAnsi="Arial" w:cs="Arial"/>
                <w:vertAlign w:val="superscript"/>
              </w:rPr>
              <w:t>2</w:t>
            </w:r>
            <w:r w:rsidRPr="009E3821">
              <w:rPr>
                <w:rFonts w:ascii="Arial" w:hAnsi="Arial" w:cs="Arial"/>
              </w:rPr>
              <w:t xml:space="preserve">= 0,029;  </w:t>
            </w:r>
          </w:p>
          <w:p w14:paraId="21E81D63" w14:textId="77777777" w:rsidR="009E3821" w:rsidRPr="009E3821" w:rsidRDefault="009E3821" w:rsidP="009E3821">
            <w:pPr>
              <w:jc w:val="center"/>
              <w:rPr>
                <w:rFonts w:ascii="Arial" w:hAnsi="Arial" w:cs="Arial"/>
              </w:rPr>
            </w:pPr>
            <w:r w:rsidRPr="009E3821">
              <w:rPr>
                <w:rFonts w:ascii="Arial" w:hAnsi="Arial" w:cs="Arial"/>
              </w:rPr>
              <w:t xml:space="preserve">p= 0,864 </w:t>
            </w:r>
          </w:p>
        </w:tc>
      </w:tr>
      <w:tr w:rsidR="009E3821" w:rsidRPr="009E3821" w14:paraId="7E849224" w14:textId="77777777" w:rsidTr="009E3821">
        <w:trPr>
          <w:trHeight w:val="300"/>
        </w:trPr>
        <w:tc>
          <w:tcPr>
            <w:tcW w:w="2755" w:type="dxa"/>
            <w:tcBorders>
              <w:top w:val="nil"/>
              <w:left w:val="nil"/>
              <w:bottom w:val="nil"/>
              <w:right w:val="nil"/>
            </w:tcBorders>
          </w:tcPr>
          <w:p w14:paraId="2CABAD3D" w14:textId="77777777" w:rsidR="009E3821" w:rsidRPr="009E3821" w:rsidRDefault="009E3821" w:rsidP="009E3821">
            <w:pPr>
              <w:rPr>
                <w:rFonts w:ascii="Arial" w:hAnsi="Arial" w:cs="Arial"/>
              </w:rPr>
            </w:pPr>
            <w:r w:rsidRPr="009E3821">
              <w:rPr>
                <w:rFonts w:ascii="Arial" w:hAnsi="Arial" w:cs="Arial"/>
              </w:rPr>
              <w:t xml:space="preserve">No </w:t>
            </w:r>
          </w:p>
        </w:tc>
        <w:tc>
          <w:tcPr>
            <w:tcW w:w="736" w:type="dxa"/>
            <w:tcBorders>
              <w:top w:val="nil"/>
              <w:left w:val="nil"/>
              <w:bottom w:val="nil"/>
              <w:right w:val="nil"/>
            </w:tcBorders>
            <w:vAlign w:val="bottom"/>
          </w:tcPr>
          <w:p w14:paraId="5121C3AB" w14:textId="77777777" w:rsidR="009E3821" w:rsidRPr="009E3821" w:rsidRDefault="009E3821" w:rsidP="009E3821">
            <w:pPr>
              <w:jc w:val="center"/>
              <w:rPr>
                <w:rFonts w:ascii="Arial" w:hAnsi="Arial" w:cs="Arial"/>
              </w:rPr>
            </w:pPr>
            <w:r w:rsidRPr="009E3821">
              <w:rPr>
                <w:rFonts w:ascii="Arial" w:hAnsi="Arial" w:cs="Arial"/>
              </w:rPr>
              <w:t xml:space="preserve">61 </w:t>
            </w:r>
          </w:p>
        </w:tc>
        <w:tc>
          <w:tcPr>
            <w:tcW w:w="708" w:type="dxa"/>
            <w:tcBorders>
              <w:top w:val="nil"/>
              <w:left w:val="nil"/>
              <w:bottom w:val="nil"/>
              <w:right w:val="nil"/>
            </w:tcBorders>
            <w:vAlign w:val="bottom"/>
          </w:tcPr>
          <w:p w14:paraId="175C4E0A" w14:textId="77777777" w:rsidR="009E3821" w:rsidRPr="009E3821" w:rsidRDefault="009E3821" w:rsidP="009E3821">
            <w:pPr>
              <w:jc w:val="center"/>
              <w:rPr>
                <w:rFonts w:ascii="Arial" w:hAnsi="Arial" w:cs="Arial"/>
              </w:rPr>
            </w:pPr>
            <w:r w:rsidRPr="009E3821">
              <w:rPr>
                <w:rFonts w:ascii="Arial" w:hAnsi="Arial" w:cs="Arial"/>
              </w:rPr>
              <w:t xml:space="preserve">42,7 </w:t>
            </w:r>
          </w:p>
        </w:tc>
        <w:tc>
          <w:tcPr>
            <w:tcW w:w="709" w:type="dxa"/>
            <w:tcBorders>
              <w:top w:val="nil"/>
              <w:left w:val="nil"/>
              <w:bottom w:val="nil"/>
              <w:right w:val="nil"/>
            </w:tcBorders>
            <w:vAlign w:val="bottom"/>
          </w:tcPr>
          <w:p w14:paraId="4B2AA415" w14:textId="77777777" w:rsidR="009E3821" w:rsidRPr="009E3821" w:rsidRDefault="009E3821" w:rsidP="009E3821">
            <w:pPr>
              <w:jc w:val="center"/>
              <w:rPr>
                <w:rFonts w:ascii="Arial" w:hAnsi="Arial" w:cs="Arial"/>
              </w:rPr>
            </w:pPr>
            <w:r w:rsidRPr="009E3821">
              <w:rPr>
                <w:rFonts w:ascii="Arial" w:hAnsi="Arial" w:cs="Arial"/>
              </w:rPr>
              <w:t xml:space="preserve">62 </w:t>
            </w:r>
          </w:p>
        </w:tc>
        <w:tc>
          <w:tcPr>
            <w:tcW w:w="851" w:type="dxa"/>
            <w:tcBorders>
              <w:top w:val="nil"/>
              <w:left w:val="nil"/>
              <w:bottom w:val="nil"/>
              <w:right w:val="nil"/>
            </w:tcBorders>
            <w:vAlign w:val="bottom"/>
          </w:tcPr>
          <w:p w14:paraId="3DE59A49" w14:textId="77777777" w:rsidR="009E3821" w:rsidRPr="009E3821" w:rsidRDefault="009E3821" w:rsidP="009E3821">
            <w:pPr>
              <w:jc w:val="center"/>
              <w:rPr>
                <w:rFonts w:ascii="Arial" w:hAnsi="Arial" w:cs="Arial"/>
              </w:rPr>
            </w:pPr>
            <w:r w:rsidRPr="009E3821">
              <w:rPr>
                <w:rFonts w:ascii="Arial" w:hAnsi="Arial" w:cs="Arial"/>
              </w:rPr>
              <w:t xml:space="preserve">43,7 </w:t>
            </w:r>
          </w:p>
        </w:tc>
        <w:tc>
          <w:tcPr>
            <w:tcW w:w="2551" w:type="dxa"/>
            <w:vMerge/>
            <w:tcBorders>
              <w:top w:val="nil"/>
              <w:left w:val="nil"/>
              <w:bottom w:val="nil"/>
              <w:right w:val="nil"/>
            </w:tcBorders>
            <w:vAlign w:val="center"/>
          </w:tcPr>
          <w:p w14:paraId="2C5CC880" w14:textId="77777777" w:rsidR="009E3821" w:rsidRPr="009E3821" w:rsidRDefault="009E3821" w:rsidP="009E3821">
            <w:pPr>
              <w:widowControl w:val="0"/>
              <w:pBdr>
                <w:top w:val="nil"/>
                <w:left w:val="nil"/>
                <w:bottom w:val="nil"/>
                <w:right w:val="nil"/>
                <w:between w:val="nil"/>
              </w:pBdr>
              <w:rPr>
                <w:rFonts w:ascii="Arial" w:hAnsi="Arial" w:cs="Arial"/>
              </w:rPr>
            </w:pPr>
          </w:p>
        </w:tc>
      </w:tr>
      <w:tr w:rsidR="009E3821" w:rsidRPr="009E3821" w14:paraId="66768883" w14:textId="77777777" w:rsidTr="009E3821">
        <w:trPr>
          <w:trHeight w:val="300"/>
        </w:trPr>
        <w:tc>
          <w:tcPr>
            <w:tcW w:w="2755" w:type="dxa"/>
            <w:tcBorders>
              <w:top w:val="nil"/>
              <w:left w:val="nil"/>
              <w:bottom w:val="nil"/>
              <w:right w:val="nil"/>
            </w:tcBorders>
          </w:tcPr>
          <w:p w14:paraId="3EE75F65" w14:textId="77777777" w:rsidR="009E3821" w:rsidRPr="009E3821" w:rsidRDefault="009E3821" w:rsidP="009E3821">
            <w:pPr>
              <w:rPr>
                <w:rFonts w:ascii="Arial" w:hAnsi="Arial" w:cs="Arial"/>
                <w:b/>
              </w:rPr>
            </w:pPr>
            <w:r w:rsidRPr="009E3821">
              <w:rPr>
                <w:rFonts w:ascii="Arial" w:hAnsi="Arial" w:cs="Arial"/>
                <w:b/>
              </w:rPr>
              <w:t xml:space="preserve">Imaging exam </w:t>
            </w:r>
          </w:p>
        </w:tc>
        <w:tc>
          <w:tcPr>
            <w:tcW w:w="736" w:type="dxa"/>
            <w:tcBorders>
              <w:top w:val="nil"/>
              <w:left w:val="nil"/>
              <w:bottom w:val="nil"/>
              <w:right w:val="nil"/>
            </w:tcBorders>
            <w:vAlign w:val="bottom"/>
          </w:tcPr>
          <w:p w14:paraId="4D438A52" w14:textId="77777777" w:rsidR="009E3821" w:rsidRPr="009E3821" w:rsidRDefault="009E3821" w:rsidP="009E3821">
            <w:pPr>
              <w:rPr>
                <w:rFonts w:ascii="Arial" w:hAnsi="Arial" w:cs="Arial"/>
              </w:rPr>
            </w:pPr>
            <w:r w:rsidRPr="009E3821">
              <w:rPr>
                <w:rFonts w:ascii="Arial" w:hAnsi="Arial" w:cs="Arial"/>
              </w:rPr>
              <w:t xml:space="preserve"> </w:t>
            </w:r>
          </w:p>
        </w:tc>
        <w:tc>
          <w:tcPr>
            <w:tcW w:w="708" w:type="dxa"/>
            <w:tcBorders>
              <w:top w:val="nil"/>
              <w:left w:val="nil"/>
              <w:bottom w:val="nil"/>
              <w:right w:val="nil"/>
            </w:tcBorders>
            <w:vAlign w:val="bottom"/>
          </w:tcPr>
          <w:p w14:paraId="331E4375" w14:textId="77777777" w:rsidR="009E3821" w:rsidRPr="009E3821" w:rsidRDefault="009E3821" w:rsidP="009E3821">
            <w:pPr>
              <w:rPr>
                <w:rFonts w:ascii="Arial" w:hAnsi="Arial" w:cs="Arial"/>
              </w:rPr>
            </w:pPr>
            <w:r w:rsidRPr="009E3821">
              <w:rPr>
                <w:rFonts w:ascii="Arial" w:hAnsi="Arial" w:cs="Arial"/>
              </w:rPr>
              <w:t xml:space="preserve"> </w:t>
            </w:r>
          </w:p>
        </w:tc>
        <w:tc>
          <w:tcPr>
            <w:tcW w:w="709" w:type="dxa"/>
            <w:tcBorders>
              <w:top w:val="nil"/>
              <w:left w:val="nil"/>
              <w:bottom w:val="nil"/>
              <w:right w:val="nil"/>
            </w:tcBorders>
            <w:vAlign w:val="bottom"/>
          </w:tcPr>
          <w:p w14:paraId="2B0EA6EA" w14:textId="77777777" w:rsidR="009E3821" w:rsidRPr="009E3821" w:rsidRDefault="009E3821" w:rsidP="009E3821">
            <w:pPr>
              <w:rPr>
                <w:rFonts w:ascii="Arial" w:hAnsi="Arial" w:cs="Arial"/>
              </w:rPr>
            </w:pPr>
            <w:r w:rsidRPr="009E3821">
              <w:rPr>
                <w:rFonts w:ascii="Arial" w:hAnsi="Arial" w:cs="Arial"/>
              </w:rPr>
              <w:t xml:space="preserve"> </w:t>
            </w:r>
          </w:p>
        </w:tc>
        <w:tc>
          <w:tcPr>
            <w:tcW w:w="851" w:type="dxa"/>
            <w:tcBorders>
              <w:top w:val="nil"/>
              <w:left w:val="nil"/>
              <w:bottom w:val="nil"/>
              <w:right w:val="nil"/>
            </w:tcBorders>
            <w:vAlign w:val="bottom"/>
          </w:tcPr>
          <w:p w14:paraId="6C261674" w14:textId="77777777" w:rsidR="009E3821" w:rsidRPr="009E3821" w:rsidRDefault="009E3821" w:rsidP="009E3821">
            <w:pPr>
              <w:rPr>
                <w:rFonts w:ascii="Arial" w:hAnsi="Arial" w:cs="Arial"/>
              </w:rPr>
            </w:pPr>
            <w:r w:rsidRPr="009E3821">
              <w:rPr>
                <w:rFonts w:ascii="Arial" w:hAnsi="Arial" w:cs="Arial"/>
              </w:rPr>
              <w:t xml:space="preserve"> </w:t>
            </w:r>
          </w:p>
        </w:tc>
        <w:tc>
          <w:tcPr>
            <w:tcW w:w="2551" w:type="dxa"/>
            <w:tcBorders>
              <w:top w:val="nil"/>
              <w:left w:val="nil"/>
              <w:bottom w:val="nil"/>
              <w:right w:val="nil"/>
            </w:tcBorders>
            <w:vAlign w:val="bottom"/>
          </w:tcPr>
          <w:p w14:paraId="0C3849DE" w14:textId="77777777" w:rsidR="009E3821" w:rsidRPr="009E3821" w:rsidRDefault="009E3821" w:rsidP="009E3821">
            <w:pPr>
              <w:rPr>
                <w:rFonts w:ascii="Arial" w:hAnsi="Arial" w:cs="Arial"/>
              </w:rPr>
            </w:pPr>
            <w:r w:rsidRPr="009E3821">
              <w:rPr>
                <w:rFonts w:ascii="Arial" w:hAnsi="Arial" w:cs="Arial"/>
              </w:rPr>
              <w:t xml:space="preserve"> </w:t>
            </w:r>
          </w:p>
        </w:tc>
      </w:tr>
      <w:tr w:rsidR="009E3821" w:rsidRPr="009E3821" w14:paraId="77D129B9" w14:textId="77777777" w:rsidTr="009E3821">
        <w:trPr>
          <w:trHeight w:val="300"/>
        </w:trPr>
        <w:tc>
          <w:tcPr>
            <w:tcW w:w="2755" w:type="dxa"/>
            <w:tcBorders>
              <w:top w:val="nil"/>
              <w:left w:val="nil"/>
              <w:bottom w:val="nil"/>
              <w:right w:val="nil"/>
            </w:tcBorders>
            <w:vAlign w:val="bottom"/>
          </w:tcPr>
          <w:p w14:paraId="6C5FF2A3" w14:textId="77777777" w:rsidR="009E3821" w:rsidRPr="009E3821" w:rsidRDefault="009E3821" w:rsidP="009E3821">
            <w:pPr>
              <w:rPr>
                <w:rFonts w:ascii="Arial" w:hAnsi="Arial" w:cs="Arial"/>
              </w:rPr>
            </w:pPr>
            <w:r w:rsidRPr="009E3821">
              <w:rPr>
                <w:rFonts w:ascii="Arial" w:hAnsi="Arial" w:cs="Arial"/>
                <w:color w:val="000000"/>
              </w:rPr>
              <w:t>Computed tomography</w:t>
            </w:r>
          </w:p>
        </w:tc>
        <w:tc>
          <w:tcPr>
            <w:tcW w:w="736" w:type="dxa"/>
            <w:tcBorders>
              <w:top w:val="nil"/>
              <w:left w:val="nil"/>
              <w:bottom w:val="nil"/>
              <w:right w:val="nil"/>
            </w:tcBorders>
            <w:vAlign w:val="bottom"/>
          </w:tcPr>
          <w:p w14:paraId="37EC4A61" w14:textId="77777777" w:rsidR="009E3821" w:rsidRPr="009E3821" w:rsidRDefault="009E3821" w:rsidP="009E3821">
            <w:pPr>
              <w:jc w:val="center"/>
              <w:rPr>
                <w:rFonts w:ascii="Arial" w:hAnsi="Arial" w:cs="Arial"/>
              </w:rPr>
            </w:pPr>
            <w:r w:rsidRPr="009E3821">
              <w:rPr>
                <w:rFonts w:ascii="Arial" w:hAnsi="Arial" w:cs="Arial"/>
              </w:rPr>
              <w:t xml:space="preserve">71 </w:t>
            </w:r>
          </w:p>
        </w:tc>
        <w:tc>
          <w:tcPr>
            <w:tcW w:w="708" w:type="dxa"/>
            <w:tcBorders>
              <w:top w:val="nil"/>
              <w:left w:val="nil"/>
              <w:bottom w:val="nil"/>
              <w:right w:val="nil"/>
            </w:tcBorders>
            <w:vAlign w:val="bottom"/>
          </w:tcPr>
          <w:p w14:paraId="7EEE4C1E" w14:textId="77777777" w:rsidR="009E3821" w:rsidRPr="009E3821" w:rsidRDefault="009E3821" w:rsidP="009E3821">
            <w:pPr>
              <w:jc w:val="center"/>
              <w:rPr>
                <w:rFonts w:ascii="Arial" w:hAnsi="Arial" w:cs="Arial"/>
              </w:rPr>
            </w:pPr>
            <w:r w:rsidRPr="009E3821">
              <w:rPr>
                <w:rFonts w:ascii="Arial" w:hAnsi="Arial" w:cs="Arial"/>
              </w:rPr>
              <w:t xml:space="preserve">49,7 </w:t>
            </w:r>
          </w:p>
        </w:tc>
        <w:tc>
          <w:tcPr>
            <w:tcW w:w="709" w:type="dxa"/>
            <w:tcBorders>
              <w:top w:val="nil"/>
              <w:left w:val="nil"/>
              <w:bottom w:val="nil"/>
              <w:right w:val="nil"/>
            </w:tcBorders>
            <w:vAlign w:val="bottom"/>
          </w:tcPr>
          <w:p w14:paraId="16EB15C9" w14:textId="77777777" w:rsidR="009E3821" w:rsidRPr="009E3821" w:rsidRDefault="009E3821" w:rsidP="009E3821">
            <w:pPr>
              <w:jc w:val="center"/>
              <w:rPr>
                <w:rFonts w:ascii="Arial" w:hAnsi="Arial" w:cs="Arial"/>
              </w:rPr>
            </w:pPr>
            <w:r w:rsidRPr="009E3821">
              <w:rPr>
                <w:rFonts w:ascii="Arial" w:hAnsi="Arial" w:cs="Arial"/>
              </w:rPr>
              <w:t xml:space="preserve">67 </w:t>
            </w:r>
          </w:p>
        </w:tc>
        <w:tc>
          <w:tcPr>
            <w:tcW w:w="851" w:type="dxa"/>
            <w:tcBorders>
              <w:top w:val="nil"/>
              <w:left w:val="nil"/>
              <w:bottom w:val="nil"/>
              <w:right w:val="nil"/>
            </w:tcBorders>
            <w:vAlign w:val="bottom"/>
          </w:tcPr>
          <w:p w14:paraId="53AF6F4C" w14:textId="77777777" w:rsidR="009E3821" w:rsidRPr="009E3821" w:rsidRDefault="009E3821" w:rsidP="009E3821">
            <w:pPr>
              <w:jc w:val="center"/>
              <w:rPr>
                <w:rFonts w:ascii="Arial" w:hAnsi="Arial" w:cs="Arial"/>
              </w:rPr>
            </w:pPr>
            <w:r w:rsidRPr="009E3821">
              <w:rPr>
                <w:rFonts w:ascii="Arial" w:hAnsi="Arial" w:cs="Arial"/>
              </w:rPr>
              <w:t xml:space="preserve">47,2 </w:t>
            </w:r>
          </w:p>
        </w:tc>
        <w:tc>
          <w:tcPr>
            <w:tcW w:w="2551" w:type="dxa"/>
            <w:vMerge w:val="restart"/>
            <w:tcBorders>
              <w:top w:val="nil"/>
              <w:left w:val="nil"/>
              <w:bottom w:val="nil"/>
              <w:right w:val="nil"/>
            </w:tcBorders>
            <w:vAlign w:val="center"/>
          </w:tcPr>
          <w:p w14:paraId="0C4DA80E" w14:textId="77777777" w:rsidR="009E3821" w:rsidRPr="009E3821" w:rsidRDefault="009E3821" w:rsidP="009E3821">
            <w:pPr>
              <w:jc w:val="center"/>
              <w:rPr>
                <w:rFonts w:ascii="Arial" w:hAnsi="Arial" w:cs="Arial"/>
              </w:rPr>
            </w:pPr>
            <w:r w:rsidRPr="009E3821">
              <w:rPr>
                <w:rFonts w:ascii="Arial" w:hAnsi="Arial" w:cs="Arial"/>
              </w:rPr>
              <w:t>X</w:t>
            </w:r>
            <w:r w:rsidRPr="009E3821">
              <w:rPr>
                <w:rFonts w:ascii="Arial" w:hAnsi="Arial" w:cs="Arial"/>
                <w:vertAlign w:val="superscript"/>
              </w:rPr>
              <w:t>2</w:t>
            </w:r>
            <w:r w:rsidRPr="009E3821">
              <w:rPr>
                <w:rFonts w:ascii="Arial" w:hAnsi="Arial" w:cs="Arial"/>
              </w:rPr>
              <w:t xml:space="preserve">= 2,292;  </w:t>
            </w:r>
          </w:p>
          <w:p w14:paraId="1A34D4B7" w14:textId="77777777" w:rsidR="009E3821" w:rsidRPr="009E3821" w:rsidRDefault="009E3821" w:rsidP="009E3821">
            <w:pPr>
              <w:jc w:val="center"/>
              <w:rPr>
                <w:rFonts w:ascii="Arial" w:hAnsi="Arial" w:cs="Arial"/>
              </w:rPr>
            </w:pPr>
            <w:r w:rsidRPr="009E3821">
              <w:rPr>
                <w:rFonts w:ascii="Arial" w:hAnsi="Arial" w:cs="Arial"/>
              </w:rPr>
              <w:t xml:space="preserve">p= 0,514 </w:t>
            </w:r>
          </w:p>
        </w:tc>
      </w:tr>
      <w:tr w:rsidR="009E3821" w:rsidRPr="009E3821" w14:paraId="4BCE017D" w14:textId="77777777" w:rsidTr="009E3821">
        <w:trPr>
          <w:trHeight w:val="300"/>
        </w:trPr>
        <w:tc>
          <w:tcPr>
            <w:tcW w:w="2755" w:type="dxa"/>
            <w:tcBorders>
              <w:top w:val="nil"/>
              <w:left w:val="nil"/>
              <w:bottom w:val="nil"/>
              <w:right w:val="nil"/>
            </w:tcBorders>
            <w:vAlign w:val="bottom"/>
          </w:tcPr>
          <w:p w14:paraId="2E3A95B8" w14:textId="77777777" w:rsidR="009E3821" w:rsidRPr="009E3821" w:rsidRDefault="009E3821" w:rsidP="009E3821">
            <w:pPr>
              <w:rPr>
                <w:rFonts w:ascii="Arial" w:hAnsi="Arial" w:cs="Arial"/>
              </w:rPr>
            </w:pPr>
            <w:r w:rsidRPr="009E3821">
              <w:rPr>
                <w:rFonts w:ascii="Arial" w:hAnsi="Arial" w:cs="Arial"/>
              </w:rPr>
              <w:t>X-ray</w:t>
            </w:r>
          </w:p>
        </w:tc>
        <w:tc>
          <w:tcPr>
            <w:tcW w:w="736" w:type="dxa"/>
            <w:tcBorders>
              <w:top w:val="nil"/>
              <w:left w:val="nil"/>
              <w:bottom w:val="nil"/>
              <w:right w:val="nil"/>
            </w:tcBorders>
            <w:vAlign w:val="bottom"/>
          </w:tcPr>
          <w:p w14:paraId="188E82E5" w14:textId="77777777" w:rsidR="009E3821" w:rsidRPr="009E3821" w:rsidRDefault="009E3821" w:rsidP="009E3821">
            <w:pPr>
              <w:jc w:val="center"/>
              <w:rPr>
                <w:rFonts w:ascii="Arial" w:hAnsi="Arial" w:cs="Arial"/>
              </w:rPr>
            </w:pPr>
            <w:r w:rsidRPr="009E3821">
              <w:rPr>
                <w:rFonts w:ascii="Arial" w:hAnsi="Arial" w:cs="Arial"/>
              </w:rPr>
              <w:t xml:space="preserve">9 </w:t>
            </w:r>
          </w:p>
        </w:tc>
        <w:tc>
          <w:tcPr>
            <w:tcW w:w="708" w:type="dxa"/>
            <w:tcBorders>
              <w:top w:val="nil"/>
              <w:left w:val="nil"/>
              <w:bottom w:val="nil"/>
              <w:right w:val="nil"/>
            </w:tcBorders>
            <w:vAlign w:val="bottom"/>
          </w:tcPr>
          <w:p w14:paraId="2E4056DF" w14:textId="77777777" w:rsidR="009E3821" w:rsidRPr="009E3821" w:rsidRDefault="009E3821" w:rsidP="009E3821">
            <w:pPr>
              <w:jc w:val="center"/>
              <w:rPr>
                <w:rFonts w:ascii="Arial" w:hAnsi="Arial" w:cs="Arial"/>
              </w:rPr>
            </w:pPr>
            <w:r w:rsidRPr="009E3821">
              <w:rPr>
                <w:rFonts w:ascii="Arial" w:hAnsi="Arial" w:cs="Arial"/>
              </w:rPr>
              <w:t xml:space="preserve">6,3 </w:t>
            </w:r>
          </w:p>
        </w:tc>
        <w:tc>
          <w:tcPr>
            <w:tcW w:w="709" w:type="dxa"/>
            <w:tcBorders>
              <w:top w:val="nil"/>
              <w:left w:val="nil"/>
              <w:bottom w:val="nil"/>
              <w:right w:val="nil"/>
            </w:tcBorders>
            <w:vAlign w:val="bottom"/>
          </w:tcPr>
          <w:p w14:paraId="75516E05" w14:textId="77777777" w:rsidR="009E3821" w:rsidRPr="009E3821" w:rsidRDefault="009E3821" w:rsidP="009E3821">
            <w:pPr>
              <w:jc w:val="center"/>
              <w:rPr>
                <w:rFonts w:ascii="Arial" w:hAnsi="Arial" w:cs="Arial"/>
              </w:rPr>
            </w:pPr>
            <w:r w:rsidRPr="009E3821">
              <w:rPr>
                <w:rFonts w:ascii="Arial" w:hAnsi="Arial" w:cs="Arial"/>
              </w:rPr>
              <w:t xml:space="preserve">10 </w:t>
            </w:r>
          </w:p>
        </w:tc>
        <w:tc>
          <w:tcPr>
            <w:tcW w:w="851" w:type="dxa"/>
            <w:tcBorders>
              <w:top w:val="nil"/>
              <w:left w:val="nil"/>
              <w:bottom w:val="nil"/>
              <w:right w:val="nil"/>
            </w:tcBorders>
            <w:vAlign w:val="bottom"/>
          </w:tcPr>
          <w:p w14:paraId="4FF69AD2" w14:textId="77777777" w:rsidR="009E3821" w:rsidRPr="009E3821" w:rsidRDefault="009E3821" w:rsidP="009E3821">
            <w:pPr>
              <w:jc w:val="center"/>
              <w:rPr>
                <w:rFonts w:ascii="Arial" w:hAnsi="Arial" w:cs="Arial"/>
              </w:rPr>
            </w:pPr>
            <w:r w:rsidRPr="009E3821">
              <w:rPr>
                <w:rFonts w:ascii="Arial" w:hAnsi="Arial" w:cs="Arial"/>
              </w:rPr>
              <w:t xml:space="preserve">7,0 </w:t>
            </w:r>
          </w:p>
        </w:tc>
        <w:tc>
          <w:tcPr>
            <w:tcW w:w="2551" w:type="dxa"/>
            <w:vMerge/>
            <w:tcBorders>
              <w:top w:val="nil"/>
              <w:left w:val="nil"/>
              <w:bottom w:val="nil"/>
              <w:right w:val="nil"/>
            </w:tcBorders>
            <w:vAlign w:val="center"/>
          </w:tcPr>
          <w:p w14:paraId="429E3E6F" w14:textId="77777777" w:rsidR="009E3821" w:rsidRPr="009E3821" w:rsidRDefault="009E3821" w:rsidP="009E3821">
            <w:pPr>
              <w:widowControl w:val="0"/>
              <w:pBdr>
                <w:top w:val="nil"/>
                <w:left w:val="nil"/>
                <w:bottom w:val="nil"/>
                <w:right w:val="nil"/>
                <w:between w:val="nil"/>
              </w:pBdr>
              <w:rPr>
                <w:rFonts w:ascii="Arial" w:hAnsi="Arial" w:cs="Arial"/>
              </w:rPr>
            </w:pPr>
          </w:p>
        </w:tc>
      </w:tr>
      <w:tr w:rsidR="009E3821" w:rsidRPr="009E3821" w14:paraId="380F45A2" w14:textId="77777777" w:rsidTr="009E3821">
        <w:trPr>
          <w:trHeight w:val="300"/>
        </w:trPr>
        <w:tc>
          <w:tcPr>
            <w:tcW w:w="2755" w:type="dxa"/>
            <w:tcBorders>
              <w:top w:val="nil"/>
              <w:left w:val="nil"/>
              <w:bottom w:val="nil"/>
              <w:right w:val="nil"/>
            </w:tcBorders>
            <w:vAlign w:val="bottom"/>
          </w:tcPr>
          <w:p w14:paraId="391BF818" w14:textId="77777777" w:rsidR="009E3821" w:rsidRPr="009E3821" w:rsidRDefault="009E3821" w:rsidP="009E3821">
            <w:pPr>
              <w:rPr>
                <w:rFonts w:ascii="Arial" w:hAnsi="Arial" w:cs="Arial"/>
              </w:rPr>
            </w:pPr>
            <w:r w:rsidRPr="009E3821">
              <w:rPr>
                <w:rFonts w:ascii="Arial" w:hAnsi="Arial" w:cs="Arial"/>
                <w:color w:val="000000"/>
              </w:rPr>
              <w:t>Computed tomography</w:t>
            </w:r>
            <w:r w:rsidRPr="009E3821">
              <w:rPr>
                <w:rFonts w:ascii="Arial" w:hAnsi="Arial" w:cs="Arial"/>
              </w:rPr>
              <w:t xml:space="preserve"> and X-ray </w:t>
            </w:r>
          </w:p>
        </w:tc>
        <w:tc>
          <w:tcPr>
            <w:tcW w:w="736" w:type="dxa"/>
            <w:tcBorders>
              <w:top w:val="nil"/>
              <w:left w:val="nil"/>
              <w:bottom w:val="nil"/>
              <w:right w:val="nil"/>
            </w:tcBorders>
            <w:vAlign w:val="bottom"/>
          </w:tcPr>
          <w:p w14:paraId="010988D7" w14:textId="77777777" w:rsidR="009E3821" w:rsidRPr="009E3821" w:rsidRDefault="009E3821" w:rsidP="009E3821">
            <w:pPr>
              <w:jc w:val="center"/>
              <w:rPr>
                <w:rFonts w:ascii="Arial" w:hAnsi="Arial" w:cs="Arial"/>
              </w:rPr>
            </w:pPr>
            <w:r w:rsidRPr="009E3821">
              <w:rPr>
                <w:rFonts w:ascii="Arial" w:hAnsi="Arial" w:cs="Arial"/>
              </w:rPr>
              <w:t xml:space="preserve">61 </w:t>
            </w:r>
          </w:p>
        </w:tc>
        <w:tc>
          <w:tcPr>
            <w:tcW w:w="708" w:type="dxa"/>
            <w:tcBorders>
              <w:top w:val="nil"/>
              <w:left w:val="nil"/>
              <w:bottom w:val="nil"/>
              <w:right w:val="nil"/>
            </w:tcBorders>
            <w:vAlign w:val="bottom"/>
          </w:tcPr>
          <w:p w14:paraId="65D34498" w14:textId="77777777" w:rsidR="009E3821" w:rsidRPr="009E3821" w:rsidRDefault="009E3821" w:rsidP="009E3821">
            <w:pPr>
              <w:jc w:val="center"/>
              <w:rPr>
                <w:rFonts w:ascii="Arial" w:hAnsi="Arial" w:cs="Arial"/>
              </w:rPr>
            </w:pPr>
            <w:r w:rsidRPr="009E3821">
              <w:rPr>
                <w:rFonts w:ascii="Arial" w:hAnsi="Arial" w:cs="Arial"/>
              </w:rPr>
              <w:t xml:space="preserve">42,7 </w:t>
            </w:r>
          </w:p>
        </w:tc>
        <w:tc>
          <w:tcPr>
            <w:tcW w:w="709" w:type="dxa"/>
            <w:tcBorders>
              <w:top w:val="nil"/>
              <w:left w:val="nil"/>
              <w:bottom w:val="nil"/>
              <w:right w:val="nil"/>
            </w:tcBorders>
            <w:vAlign w:val="bottom"/>
          </w:tcPr>
          <w:p w14:paraId="74FB66AA" w14:textId="77777777" w:rsidR="009E3821" w:rsidRPr="009E3821" w:rsidRDefault="009E3821" w:rsidP="009E3821">
            <w:pPr>
              <w:jc w:val="center"/>
              <w:rPr>
                <w:rFonts w:ascii="Arial" w:hAnsi="Arial" w:cs="Arial"/>
              </w:rPr>
            </w:pPr>
            <w:r w:rsidRPr="009E3821">
              <w:rPr>
                <w:rFonts w:ascii="Arial" w:hAnsi="Arial" w:cs="Arial"/>
              </w:rPr>
              <w:t xml:space="preserve">65 </w:t>
            </w:r>
          </w:p>
        </w:tc>
        <w:tc>
          <w:tcPr>
            <w:tcW w:w="851" w:type="dxa"/>
            <w:tcBorders>
              <w:top w:val="nil"/>
              <w:left w:val="nil"/>
              <w:bottom w:val="nil"/>
              <w:right w:val="nil"/>
            </w:tcBorders>
            <w:vAlign w:val="bottom"/>
          </w:tcPr>
          <w:p w14:paraId="6B9E7F31" w14:textId="77777777" w:rsidR="009E3821" w:rsidRPr="009E3821" w:rsidRDefault="009E3821" w:rsidP="009E3821">
            <w:pPr>
              <w:jc w:val="center"/>
              <w:rPr>
                <w:rFonts w:ascii="Arial" w:hAnsi="Arial" w:cs="Arial"/>
              </w:rPr>
            </w:pPr>
            <w:r w:rsidRPr="009E3821">
              <w:rPr>
                <w:rFonts w:ascii="Arial" w:hAnsi="Arial" w:cs="Arial"/>
              </w:rPr>
              <w:t xml:space="preserve">45,8 </w:t>
            </w:r>
          </w:p>
        </w:tc>
        <w:tc>
          <w:tcPr>
            <w:tcW w:w="2551" w:type="dxa"/>
            <w:vMerge/>
            <w:tcBorders>
              <w:top w:val="nil"/>
              <w:left w:val="nil"/>
              <w:bottom w:val="nil"/>
              <w:right w:val="nil"/>
            </w:tcBorders>
            <w:vAlign w:val="center"/>
          </w:tcPr>
          <w:p w14:paraId="3A826952" w14:textId="77777777" w:rsidR="009E3821" w:rsidRPr="009E3821" w:rsidRDefault="009E3821" w:rsidP="009E3821">
            <w:pPr>
              <w:widowControl w:val="0"/>
              <w:pBdr>
                <w:top w:val="nil"/>
                <w:left w:val="nil"/>
                <w:bottom w:val="nil"/>
                <w:right w:val="nil"/>
                <w:between w:val="nil"/>
              </w:pBdr>
              <w:rPr>
                <w:rFonts w:ascii="Arial" w:hAnsi="Arial" w:cs="Arial"/>
              </w:rPr>
            </w:pPr>
          </w:p>
        </w:tc>
      </w:tr>
      <w:tr w:rsidR="009E3821" w:rsidRPr="009E3821" w14:paraId="09AD8C82" w14:textId="77777777" w:rsidTr="009E3821">
        <w:trPr>
          <w:trHeight w:val="300"/>
        </w:trPr>
        <w:tc>
          <w:tcPr>
            <w:tcW w:w="2755" w:type="dxa"/>
            <w:tcBorders>
              <w:top w:val="nil"/>
              <w:left w:val="nil"/>
              <w:bottom w:val="nil"/>
              <w:right w:val="nil"/>
            </w:tcBorders>
            <w:vAlign w:val="bottom"/>
          </w:tcPr>
          <w:p w14:paraId="3CEF1F55" w14:textId="77777777" w:rsidR="009E3821" w:rsidRPr="009E3821" w:rsidRDefault="009E3821" w:rsidP="009E3821">
            <w:pPr>
              <w:rPr>
                <w:rFonts w:ascii="Arial" w:hAnsi="Arial" w:cs="Arial"/>
              </w:rPr>
            </w:pPr>
            <w:r w:rsidRPr="009E3821">
              <w:rPr>
                <w:rFonts w:ascii="Arial" w:hAnsi="Arial" w:cs="Arial"/>
              </w:rPr>
              <w:t xml:space="preserve">None </w:t>
            </w:r>
          </w:p>
        </w:tc>
        <w:tc>
          <w:tcPr>
            <w:tcW w:w="736" w:type="dxa"/>
            <w:tcBorders>
              <w:top w:val="nil"/>
              <w:left w:val="nil"/>
              <w:bottom w:val="nil"/>
              <w:right w:val="nil"/>
            </w:tcBorders>
            <w:vAlign w:val="bottom"/>
          </w:tcPr>
          <w:p w14:paraId="3C91E4A8" w14:textId="77777777" w:rsidR="009E3821" w:rsidRPr="009E3821" w:rsidRDefault="009E3821" w:rsidP="009E3821">
            <w:pPr>
              <w:jc w:val="center"/>
              <w:rPr>
                <w:rFonts w:ascii="Arial" w:hAnsi="Arial" w:cs="Arial"/>
              </w:rPr>
            </w:pPr>
            <w:r w:rsidRPr="009E3821">
              <w:rPr>
                <w:rFonts w:ascii="Arial" w:hAnsi="Arial" w:cs="Arial"/>
              </w:rPr>
              <w:t xml:space="preserve">2 </w:t>
            </w:r>
          </w:p>
        </w:tc>
        <w:tc>
          <w:tcPr>
            <w:tcW w:w="708" w:type="dxa"/>
            <w:tcBorders>
              <w:top w:val="nil"/>
              <w:left w:val="nil"/>
              <w:bottom w:val="nil"/>
              <w:right w:val="nil"/>
            </w:tcBorders>
            <w:vAlign w:val="bottom"/>
          </w:tcPr>
          <w:p w14:paraId="43FDE6A2" w14:textId="77777777" w:rsidR="009E3821" w:rsidRPr="009E3821" w:rsidRDefault="009E3821" w:rsidP="009E3821">
            <w:pPr>
              <w:jc w:val="center"/>
              <w:rPr>
                <w:rFonts w:ascii="Arial" w:hAnsi="Arial" w:cs="Arial"/>
              </w:rPr>
            </w:pPr>
            <w:r w:rsidRPr="009E3821">
              <w:rPr>
                <w:rFonts w:ascii="Arial" w:hAnsi="Arial" w:cs="Arial"/>
              </w:rPr>
              <w:t xml:space="preserve">1,4 </w:t>
            </w:r>
          </w:p>
        </w:tc>
        <w:tc>
          <w:tcPr>
            <w:tcW w:w="709" w:type="dxa"/>
            <w:tcBorders>
              <w:top w:val="nil"/>
              <w:left w:val="nil"/>
              <w:bottom w:val="nil"/>
              <w:right w:val="nil"/>
            </w:tcBorders>
            <w:vAlign w:val="bottom"/>
          </w:tcPr>
          <w:p w14:paraId="7E85BA60" w14:textId="77777777" w:rsidR="009E3821" w:rsidRPr="009E3821" w:rsidRDefault="009E3821" w:rsidP="009E3821">
            <w:pPr>
              <w:jc w:val="center"/>
              <w:rPr>
                <w:rFonts w:ascii="Arial" w:hAnsi="Arial" w:cs="Arial"/>
              </w:rPr>
            </w:pPr>
            <w:r w:rsidRPr="009E3821">
              <w:rPr>
                <w:rFonts w:ascii="Arial" w:hAnsi="Arial" w:cs="Arial"/>
              </w:rPr>
              <w:t xml:space="preserve">0 </w:t>
            </w:r>
          </w:p>
        </w:tc>
        <w:tc>
          <w:tcPr>
            <w:tcW w:w="851" w:type="dxa"/>
            <w:tcBorders>
              <w:top w:val="nil"/>
              <w:left w:val="nil"/>
              <w:bottom w:val="nil"/>
              <w:right w:val="nil"/>
            </w:tcBorders>
            <w:vAlign w:val="bottom"/>
          </w:tcPr>
          <w:p w14:paraId="6B4BF9CC" w14:textId="77777777" w:rsidR="009E3821" w:rsidRPr="009E3821" w:rsidRDefault="009E3821" w:rsidP="009E3821">
            <w:pPr>
              <w:jc w:val="center"/>
              <w:rPr>
                <w:rFonts w:ascii="Arial" w:hAnsi="Arial" w:cs="Arial"/>
              </w:rPr>
            </w:pPr>
            <w:r w:rsidRPr="009E3821">
              <w:rPr>
                <w:rFonts w:ascii="Arial" w:hAnsi="Arial" w:cs="Arial"/>
              </w:rPr>
              <w:t xml:space="preserve">0,0 </w:t>
            </w:r>
          </w:p>
        </w:tc>
        <w:tc>
          <w:tcPr>
            <w:tcW w:w="2551" w:type="dxa"/>
            <w:vMerge/>
            <w:tcBorders>
              <w:top w:val="nil"/>
              <w:left w:val="nil"/>
              <w:bottom w:val="nil"/>
              <w:right w:val="nil"/>
            </w:tcBorders>
            <w:vAlign w:val="center"/>
          </w:tcPr>
          <w:p w14:paraId="5CBAE9F0" w14:textId="77777777" w:rsidR="009E3821" w:rsidRPr="009E3821" w:rsidRDefault="009E3821" w:rsidP="009E3821">
            <w:pPr>
              <w:widowControl w:val="0"/>
              <w:pBdr>
                <w:top w:val="nil"/>
                <w:left w:val="nil"/>
                <w:bottom w:val="nil"/>
                <w:right w:val="nil"/>
                <w:between w:val="nil"/>
              </w:pBdr>
              <w:rPr>
                <w:rFonts w:ascii="Arial" w:hAnsi="Arial" w:cs="Arial"/>
              </w:rPr>
            </w:pPr>
          </w:p>
        </w:tc>
      </w:tr>
      <w:tr w:rsidR="009E3821" w:rsidRPr="009E3821" w14:paraId="4575C0E8" w14:textId="77777777" w:rsidTr="009E3821">
        <w:trPr>
          <w:trHeight w:val="300"/>
        </w:trPr>
        <w:tc>
          <w:tcPr>
            <w:tcW w:w="2755" w:type="dxa"/>
            <w:tcBorders>
              <w:top w:val="nil"/>
              <w:left w:val="nil"/>
              <w:bottom w:val="nil"/>
              <w:right w:val="nil"/>
            </w:tcBorders>
            <w:vAlign w:val="bottom"/>
          </w:tcPr>
          <w:p w14:paraId="61F4156A" w14:textId="77777777" w:rsidR="009E3821" w:rsidRPr="009E3821" w:rsidRDefault="009E3821" w:rsidP="009E3821">
            <w:pPr>
              <w:rPr>
                <w:rFonts w:ascii="Arial" w:hAnsi="Arial" w:cs="Arial"/>
              </w:rPr>
            </w:pPr>
            <w:r w:rsidRPr="009E3821">
              <w:rPr>
                <w:rFonts w:ascii="Arial" w:hAnsi="Arial" w:cs="Arial"/>
                <w:b/>
                <w:color w:val="000000"/>
              </w:rPr>
              <w:t>Lung involvement in chest computed tomography</w:t>
            </w:r>
          </w:p>
        </w:tc>
        <w:tc>
          <w:tcPr>
            <w:tcW w:w="736" w:type="dxa"/>
            <w:tcBorders>
              <w:top w:val="nil"/>
              <w:left w:val="nil"/>
              <w:bottom w:val="nil"/>
              <w:right w:val="nil"/>
            </w:tcBorders>
            <w:vAlign w:val="bottom"/>
          </w:tcPr>
          <w:p w14:paraId="6BE67A91" w14:textId="77777777" w:rsidR="009E3821" w:rsidRPr="009E3821" w:rsidRDefault="009E3821" w:rsidP="009E3821">
            <w:pPr>
              <w:rPr>
                <w:rFonts w:ascii="Arial" w:hAnsi="Arial" w:cs="Arial"/>
              </w:rPr>
            </w:pPr>
            <w:r w:rsidRPr="009E3821">
              <w:rPr>
                <w:rFonts w:ascii="Arial" w:hAnsi="Arial" w:cs="Arial"/>
              </w:rPr>
              <w:t xml:space="preserve"> </w:t>
            </w:r>
          </w:p>
        </w:tc>
        <w:tc>
          <w:tcPr>
            <w:tcW w:w="708" w:type="dxa"/>
            <w:tcBorders>
              <w:top w:val="nil"/>
              <w:left w:val="nil"/>
              <w:bottom w:val="nil"/>
              <w:right w:val="nil"/>
            </w:tcBorders>
            <w:vAlign w:val="bottom"/>
          </w:tcPr>
          <w:p w14:paraId="03F8FE92" w14:textId="77777777" w:rsidR="009E3821" w:rsidRPr="009E3821" w:rsidRDefault="009E3821" w:rsidP="009E3821">
            <w:pPr>
              <w:rPr>
                <w:rFonts w:ascii="Arial" w:hAnsi="Arial" w:cs="Arial"/>
              </w:rPr>
            </w:pPr>
            <w:r w:rsidRPr="009E3821">
              <w:rPr>
                <w:rFonts w:ascii="Arial" w:hAnsi="Arial" w:cs="Arial"/>
              </w:rPr>
              <w:t xml:space="preserve"> </w:t>
            </w:r>
          </w:p>
        </w:tc>
        <w:tc>
          <w:tcPr>
            <w:tcW w:w="709" w:type="dxa"/>
            <w:tcBorders>
              <w:top w:val="nil"/>
              <w:left w:val="nil"/>
              <w:bottom w:val="nil"/>
              <w:right w:val="nil"/>
            </w:tcBorders>
            <w:vAlign w:val="bottom"/>
          </w:tcPr>
          <w:p w14:paraId="024ADE1E" w14:textId="77777777" w:rsidR="009E3821" w:rsidRPr="009E3821" w:rsidRDefault="009E3821" w:rsidP="009E3821">
            <w:pPr>
              <w:rPr>
                <w:rFonts w:ascii="Arial" w:hAnsi="Arial" w:cs="Arial"/>
              </w:rPr>
            </w:pPr>
            <w:r w:rsidRPr="009E3821">
              <w:rPr>
                <w:rFonts w:ascii="Arial" w:hAnsi="Arial" w:cs="Arial"/>
              </w:rPr>
              <w:t xml:space="preserve"> </w:t>
            </w:r>
          </w:p>
        </w:tc>
        <w:tc>
          <w:tcPr>
            <w:tcW w:w="851" w:type="dxa"/>
            <w:tcBorders>
              <w:top w:val="nil"/>
              <w:left w:val="nil"/>
              <w:bottom w:val="nil"/>
              <w:right w:val="nil"/>
            </w:tcBorders>
            <w:vAlign w:val="bottom"/>
          </w:tcPr>
          <w:p w14:paraId="0D37C56C" w14:textId="77777777" w:rsidR="009E3821" w:rsidRPr="009E3821" w:rsidRDefault="009E3821" w:rsidP="009E3821">
            <w:pPr>
              <w:rPr>
                <w:rFonts w:ascii="Arial" w:hAnsi="Arial" w:cs="Arial"/>
              </w:rPr>
            </w:pPr>
            <w:r w:rsidRPr="009E3821">
              <w:rPr>
                <w:rFonts w:ascii="Arial" w:hAnsi="Arial" w:cs="Arial"/>
              </w:rPr>
              <w:t xml:space="preserve"> </w:t>
            </w:r>
          </w:p>
        </w:tc>
        <w:tc>
          <w:tcPr>
            <w:tcW w:w="2551" w:type="dxa"/>
            <w:tcBorders>
              <w:top w:val="nil"/>
              <w:left w:val="nil"/>
              <w:bottom w:val="nil"/>
              <w:right w:val="nil"/>
            </w:tcBorders>
            <w:vAlign w:val="bottom"/>
          </w:tcPr>
          <w:p w14:paraId="2F9D6D45" w14:textId="77777777" w:rsidR="009E3821" w:rsidRPr="009E3821" w:rsidRDefault="009E3821" w:rsidP="009E3821">
            <w:pPr>
              <w:rPr>
                <w:rFonts w:ascii="Arial" w:hAnsi="Arial" w:cs="Arial"/>
              </w:rPr>
            </w:pPr>
            <w:r w:rsidRPr="009E3821">
              <w:rPr>
                <w:rFonts w:ascii="Arial" w:hAnsi="Arial" w:cs="Arial"/>
              </w:rPr>
              <w:t xml:space="preserve"> </w:t>
            </w:r>
          </w:p>
        </w:tc>
      </w:tr>
      <w:tr w:rsidR="009E3821" w:rsidRPr="009E3821" w14:paraId="7177808E" w14:textId="77777777" w:rsidTr="009E3821">
        <w:trPr>
          <w:trHeight w:val="300"/>
        </w:trPr>
        <w:tc>
          <w:tcPr>
            <w:tcW w:w="2755" w:type="dxa"/>
            <w:tcBorders>
              <w:top w:val="nil"/>
              <w:left w:val="nil"/>
              <w:bottom w:val="nil"/>
              <w:right w:val="nil"/>
            </w:tcBorders>
            <w:vAlign w:val="bottom"/>
          </w:tcPr>
          <w:p w14:paraId="51764E7F" w14:textId="77777777" w:rsidR="009E3821" w:rsidRPr="009E3821" w:rsidRDefault="009E3821" w:rsidP="009E3821">
            <w:pPr>
              <w:rPr>
                <w:rFonts w:ascii="Arial" w:hAnsi="Arial" w:cs="Arial"/>
              </w:rPr>
            </w:pPr>
            <w:r w:rsidRPr="009E3821">
              <w:rPr>
                <w:rFonts w:ascii="Arial" w:hAnsi="Arial" w:cs="Arial"/>
              </w:rPr>
              <w:t xml:space="preserve">&lt;25% </w:t>
            </w:r>
          </w:p>
        </w:tc>
        <w:tc>
          <w:tcPr>
            <w:tcW w:w="736" w:type="dxa"/>
            <w:tcBorders>
              <w:top w:val="nil"/>
              <w:left w:val="nil"/>
              <w:bottom w:val="nil"/>
              <w:right w:val="nil"/>
            </w:tcBorders>
            <w:vAlign w:val="bottom"/>
          </w:tcPr>
          <w:p w14:paraId="42AE47F0" w14:textId="77777777" w:rsidR="009E3821" w:rsidRPr="009E3821" w:rsidRDefault="009E3821" w:rsidP="009E3821">
            <w:pPr>
              <w:jc w:val="center"/>
              <w:rPr>
                <w:rFonts w:ascii="Arial" w:hAnsi="Arial" w:cs="Arial"/>
              </w:rPr>
            </w:pPr>
            <w:r w:rsidRPr="009E3821">
              <w:rPr>
                <w:rFonts w:ascii="Arial" w:hAnsi="Arial" w:cs="Arial"/>
              </w:rPr>
              <w:t xml:space="preserve">11 </w:t>
            </w:r>
          </w:p>
        </w:tc>
        <w:tc>
          <w:tcPr>
            <w:tcW w:w="708" w:type="dxa"/>
            <w:tcBorders>
              <w:top w:val="nil"/>
              <w:left w:val="nil"/>
              <w:bottom w:val="nil"/>
              <w:right w:val="nil"/>
            </w:tcBorders>
            <w:vAlign w:val="bottom"/>
          </w:tcPr>
          <w:p w14:paraId="330A87F2" w14:textId="77777777" w:rsidR="009E3821" w:rsidRPr="009E3821" w:rsidRDefault="009E3821" w:rsidP="009E3821">
            <w:pPr>
              <w:jc w:val="center"/>
              <w:rPr>
                <w:rFonts w:ascii="Arial" w:hAnsi="Arial" w:cs="Arial"/>
              </w:rPr>
            </w:pPr>
            <w:r w:rsidRPr="009E3821">
              <w:rPr>
                <w:rFonts w:ascii="Arial" w:hAnsi="Arial" w:cs="Arial"/>
              </w:rPr>
              <w:t xml:space="preserve">7,7 </w:t>
            </w:r>
          </w:p>
        </w:tc>
        <w:tc>
          <w:tcPr>
            <w:tcW w:w="709" w:type="dxa"/>
            <w:tcBorders>
              <w:top w:val="nil"/>
              <w:left w:val="nil"/>
              <w:bottom w:val="nil"/>
              <w:right w:val="nil"/>
            </w:tcBorders>
            <w:vAlign w:val="bottom"/>
          </w:tcPr>
          <w:p w14:paraId="360E2CE0" w14:textId="77777777" w:rsidR="009E3821" w:rsidRPr="009E3821" w:rsidRDefault="009E3821" w:rsidP="009E3821">
            <w:pPr>
              <w:jc w:val="center"/>
              <w:rPr>
                <w:rFonts w:ascii="Arial" w:hAnsi="Arial" w:cs="Arial"/>
              </w:rPr>
            </w:pPr>
            <w:r w:rsidRPr="009E3821">
              <w:rPr>
                <w:rFonts w:ascii="Arial" w:hAnsi="Arial" w:cs="Arial"/>
              </w:rPr>
              <w:t xml:space="preserve">9 </w:t>
            </w:r>
          </w:p>
        </w:tc>
        <w:tc>
          <w:tcPr>
            <w:tcW w:w="851" w:type="dxa"/>
            <w:tcBorders>
              <w:top w:val="nil"/>
              <w:left w:val="nil"/>
              <w:bottom w:val="nil"/>
              <w:right w:val="nil"/>
            </w:tcBorders>
            <w:vAlign w:val="bottom"/>
          </w:tcPr>
          <w:p w14:paraId="58DC5EAC" w14:textId="77777777" w:rsidR="009E3821" w:rsidRPr="009E3821" w:rsidRDefault="009E3821" w:rsidP="009E3821">
            <w:pPr>
              <w:jc w:val="center"/>
              <w:rPr>
                <w:rFonts w:ascii="Arial" w:hAnsi="Arial" w:cs="Arial"/>
              </w:rPr>
            </w:pPr>
            <w:r w:rsidRPr="009E3821">
              <w:rPr>
                <w:rFonts w:ascii="Arial" w:hAnsi="Arial" w:cs="Arial"/>
              </w:rPr>
              <w:t xml:space="preserve">6,3 </w:t>
            </w:r>
          </w:p>
        </w:tc>
        <w:tc>
          <w:tcPr>
            <w:tcW w:w="2551" w:type="dxa"/>
            <w:vMerge w:val="restart"/>
            <w:tcBorders>
              <w:top w:val="nil"/>
              <w:left w:val="nil"/>
              <w:bottom w:val="nil"/>
              <w:right w:val="nil"/>
            </w:tcBorders>
            <w:vAlign w:val="center"/>
          </w:tcPr>
          <w:p w14:paraId="1928C966" w14:textId="77777777" w:rsidR="009E3821" w:rsidRPr="009E3821" w:rsidRDefault="009E3821" w:rsidP="009E3821">
            <w:pPr>
              <w:jc w:val="center"/>
              <w:rPr>
                <w:rFonts w:ascii="Arial" w:hAnsi="Arial" w:cs="Arial"/>
              </w:rPr>
            </w:pPr>
            <w:r w:rsidRPr="009E3821">
              <w:rPr>
                <w:rFonts w:ascii="Arial" w:hAnsi="Arial" w:cs="Arial"/>
              </w:rPr>
              <w:t>X</w:t>
            </w:r>
            <w:r w:rsidRPr="009E3821">
              <w:rPr>
                <w:rFonts w:ascii="Arial" w:hAnsi="Arial" w:cs="Arial"/>
                <w:vertAlign w:val="superscript"/>
              </w:rPr>
              <w:t>2</w:t>
            </w:r>
            <w:r w:rsidRPr="009E3821">
              <w:rPr>
                <w:rFonts w:ascii="Arial" w:hAnsi="Arial" w:cs="Arial"/>
              </w:rPr>
              <w:t xml:space="preserve">= 12,040;  </w:t>
            </w:r>
          </w:p>
          <w:p w14:paraId="4CC30A85" w14:textId="77777777" w:rsidR="009E3821" w:rsidRPr="009E3821" w:rsidRDefault="009E3821" w:rsidP="009E3821">
            <w:pPr>
              <w:jc w:val="center"/>
              <w:rPr>
                <w:rFonts w:ascii="Arial" w:hAnsi="Arial" w:cs="Arial"/>
              </w:rPr>
            </w:pPr>
            <w:r w:rsidRPr="009E3821">
              <w:rPr>
                <w:rFonts w:ascii="Arial" w:hAnsi="Arial" w:cs="Arial"/>
              </w:rPr>
              <w:t xml:space="preserve">p= 0,034* </w:t>
            </w:r>
          </w:p>
        </w:tc>
      </w:tr>
      <w:tr w:rsidR="009E3821" w:rsidRPr="009E3821" w14:paraId="723375AC" w14:textId="77777777" w:rsidTr="009E3821">
        <w:trPr>
          <w:trHeight w:val="300"/>
        </w:trPr>
        <w:tc>
          <w:tcPr>
            <w:tcW w:w="2755" w:type="dxa"/>
            <w:tcBorders>
              <w:top w:val="nil"/>
              <w:left w:val="nil"/>
              <w:bottom w:val="nil"/>
              <w:right w:val="nil"/>
            </w:tcBorders>
            <w:vAlign w:val="bottom"/>
          </w:tcPr>
          <w:p w14:paraId="108BCB8A" w14:textId="77777777" w:rsidR="009E3821" w:rsidRPr="009E3821" w:rsidRDefault="009E3821" w:rsidP="009E3821">
            <w:pPr>
              <w:rPr>
                <w:rFonts w:ascii="Arial" w:hAnsi="Arial" w:cs="Arial"/>
              </w:rPr>
            </w:pPr>
            <w:r w:rsidRPr="009E3821">
              <w:rPr>
                <w:rFonts w:ascii="Arial" w:hAnsi="Arial" w:cs="Arial"/>
              </w:rPr>
              <w:t xml:space="preserve">25-50% </w:t>
            </w:r>
          </w:p>
        </w:tc>
        <w:tc>
          <w:tcPr>
            <w:tcW w:w="736" w:type="dxa"/>
            <w:tcBorders>
              <w:top w:val="nil"/>
              <w:left w:val="nil"/>
              <w:bottom w:val="nil"/>
              <w:right w:val="nil"/>
            </w:tcBorders>
            <w:vAlign w:val="bottom"/>
          </w:tcPr>
          <w:p w14:paraId="5E0C1BA9" w14:textId="77777777" w:rsidR="009E3821" w:rsidRPr="009E3821" w:rsidRDefault="009E3821" w:rsidP="009E3821">
            <w:pPr>
              <w:jc w:val="center"/>
              <w:rPr>
                <w:rFonts w:ascii="Arial" w:hAnsi="Arial" w:cs="Arial"/>
              </w:rPr>
            </w:pPr>
            <w:r w:rsidRPr="009E3821">
              <w:rPr>
                <w:rFonts w:ascii="Arial" w:hAnsi="Arial" w:cs="Arial"/>
              </w:rPr>
              <w:t xml:space="preserve">36 </w:t>
            </w:r>
          </w:p>
        </w:tc>
        <w:tc>
          <w:tcPr>
            <w:tcW w:w="708" w:type="dxa"/>
            <w:tcBorders>
              <w:top w:val="nil"/>
              <w:left w:val="nil"/>
              <w:bottom w:val="nil"/>
              <w:right w:val="nil"/>
            </w:tcBorders>
            <w:vAlign w:val="bottom"/>
          </w:tcPr>
          <w:p w14:paraId="118E1AE2" w14:textId="77777777" w:rsidR="009E3821" w:rsidRPr="009E3821" w:rsidRDefault="009E3821" w:rsidP="009E3821">
            <w:pPr>
              <w:jc w:val="center"/>
              <w:rPr>
                <w:rFonts w:ascii="Arial" w:hAnsi="Arial" w:cs="Arial"/>
              </w:rPr>
            </w:pPr>
            <w:r w:rsidRPr="009E3821">
              <w:rPr>
                <w:rFonts w:ascii="Arial" w:hAnsi="Arial" w:cs="Arial"/>
              </w:rPr>
              <w:t xml:space="preserve">25,2 </w:t>
            </w:r>
          </w:p>
        </w:tc>
        <w:tc>
          <w:tcPr>
            <w:tcW w:w="709" w:type="dxa"/>
            <w:tcBorders>
              <w:top w:val="nil"/>
              <w:left w:val="nil"/>
              <w:bottom w:val="nil"/>
              <w:right w:val="nil"/>
            </w:tcBorders>
            <w:vAlign w:val="bottom"/>
          </w:tcPr>
          <w:p w14:paraId="13AA0694" w14:textId="77777777" w:rsidR="009E3821" w:rsidRPr="009E3821" w:rsidRDefault="009E3821" w:rsidP="009E3821">
            <w:pPr>
              <w:jc w:val="center"/>
              <w:rPr>
                <w:rFonts w:ascii="Arial" w:hAnsi="Arial" w:cs="Arial"/>
              </w:rPr>
            </w:pPr>
            <w:r w:rsidRPr="009E3821">
              <w:rPr>
                <w:rFonts w:ascii="Arial" w:hAnsi="Arial" w:cs="Arial"/>
              </w:rPr>
              <w:t xml:space="preserve">57 </w:t>
            </w:r>
          </w:p>
        </w:tc>
        <w:tc>
          <w:tcPr>
            <w:tcW w:w="851" w:type="dxa"/>
            <w:tcBorders>
              <w:top w:val="nil"/>
              <w:left w:val="nil"/>
              <w:bottom w:val="nil"/>
              <w:right w:val="nil"/>
            </w:tcBorders>
            <w:vAlign w:val="bottom"/>
          </w:tcPr>
          <w:p w14:paraId="7CCB1143" w14:textId="77777777" w:rsidR="009E3821" w:rsidRPr="009E3821" w:rsidRDefault="009E3821" w:rsidP="009E3821">
            <w:pPr>
              <w:jc w:val="center"/>
              <w:rPr>
                <w:rFonts w:ascii="Arial" w:hAnsi="Arial" w:cs="Arial"/>
              </w:rPr>
            </w:pPr>
            <w:r w:rsidRPr="009E3821">
              <w:rPr>
                <w:rFonts w:ascii="Arial" w:hAnsi="Arial" w:cs="Arial"/>
              </w:rPr>
              <w:t xml:space="preserve">40,1 </w:t>
            </w:r>
          </w:p>
        </w:tc>
        <w:tc>
          <w:tcPr>
            <w:tcW w:w="2551" w:type="dxa"/>
            <w:vMerge/>
            <w:tcBorders>
              <w:top w:val="nil"/>
              <w:left w:val="nil"/>
              <w:bottom w:val="nil"/>
              <w:right w:val="nil"/>
            </w:tcBorders>
            <w:vAlign w:val="center"/>
          </w:tcPr>
          <w:p w14:paraId="15622BB5" w14:textId="77777777" w:rsidR="009E3821" w:rsidRPr="009E3821" w:rsidRDefault="009E3821" w:rsidP="009E3821">
            <w:pPr>
              <w:widowControl w:val="0"/>
              <w:pBdr>
                <w:top w:val="nil"/>
                <w:left w:val="nil"/>
                <w:bottom w:val="nil"/>
                <w:right w:val="nil"/>
                <w:between w:val="nil"/>
              </w:pBdr>
              <w:rPr>
                <w:rFonts w:ascii="Arial" w:hAnsi="Arial" w:cs="Arial"/>
              </w:rPr>
            </w:pPr>
          </w:p>
        </w:tc>
      </w:tr>
      <w:tr w:rsidR="009E3821" w:rsidRPr="009E3821" w14:paraId="25B9D3B6" w14:textId="77777777" w:rsidTr="009E3821">
        <w:trPr>
          <w:trHeight w:val="300"/>
        </w:trPr>
        <w:tc>
          <w:tcPr>
            <w:tcW w:w="2755" w:type="dxa"/>
            <w:tcBorders>
              <w:top w:val="nil"/>
              <w:left w:val="nil"/>
              <w:bottom w:val="nil"/>
              <w:right w:val="nil"/>
            </w:tcBorders>
            <w:vAlign w:val="bottom"/>
          </w:tcPr>
          <w:p w14:paraId="3B364D28" w14:textId="77777777" w:rsidR="009E3821" w:rsidRPr="009E3821" w:rsidRDefault="009E3821" w:rsidP="009E3821">
            <w:pPr>
              <w:rPr>
                <w:rFonts w:ascii="Arial" w:hAnsi="Arial" w:cs="Arial"/>
              </w:rPr>
            </w:pPr>
            <w:r w:rsidRPr="009E3821">
              <w:rPr>
                <w:rFonts w:ascii="Arial" w:hAnsi="Arial" w:cs="Arial"/>
              </w:rPr>
              <w:lastRenderedPageBreak/>
              <w:t xml:space="preserve">50-75% </w:t>
            </w:r>
          </w:p>
        </w:tc>
        <w:tc>
          <w:tcPr>
            <w:tcW w:w="736" w:type="dxa"/>
            <w:tcBorders>
              <w:top w:val="nil"/>
              <w:left w:val="nil"/>
              <w:bottom w:val="nil"/>
              <w:right w:val="nil"/>
            </w:tcBorders>
            <w:vAlign w:val="bottom"/>
          </w:tcPr>
          <w:p w14:paraId="2D3AD32C" w14:textId="77777777" w:rsidR="009E3821" w:rsidRPr="009E3821" w:rsidRDefault="009E3821" w:rsidP="009E3821">
            <w:pPr>
              <w:jc w:val="center"/>
              <w:rPr>
                <w:rFonts w:ascii="Arial" w:hAnsi="Arial" w:cs="Arial"/>
              </w:rPr>
            </w:pPr>
            <w:r w:rsidRPr="009E3821">
              <w:rPr>
                <w:rFonts w:ascii="Arial" w:hAnsi="Arial" w:cs="Arial"/>
              </w:rPr>
              <w:t xml:space="preserve">49 </w:t>
            </w:r>
          </w:p>
        </w:tc>
        <w:tc>
          <w:tcPr>
            <w:tcW w:w="708" w:type="dxa"/>
            <w:tcBorders>
              <w:top w:val="nil"/>
              <w:left w:val="nil"/>
              <w:bottom w:val="nil"/>
              <w:right w:val="nil"/>
            </w:tcBorders>
            <w:vAlign w:val="bottom"/>
          </w:tcPr>
          <w:p w14:paraId="44C3F814" w14:textId="77777777" w:rsidR="009E3821" w:rsidRPr="009E3821" w:rsidRDefault="009E3821" w:rsidP="009E3821">
            <w:pPr>
              <w:jc w:val="center"/>
              <w:rPr>
                <w:rFonts w:ascii="Arial" w:hAnsi="Arial" w:cs="Arial"/>
              </w:rPr>
            </w:pPr>
            <w:r w:rsidRPr="009E3821">
              <w:rPr>
                <w:rFonts w:ascii="Arial" w:hAnsi="Arial" w:cs="Arial"/>
              </w:rPr>
              <w:t xml:space="preserve">34,3 </w:t>
            </w:r>
          </w:p>
        </w:tc>
        <w:tc>
          <w:tcPr>
            <w:tcW w:w="709" w:type="dxa"/>
            <w:tcBorders>
              <w:top w:val="nil"/>
              <w:left w:val="nil"/>
              <w:bottom w:val="nil"/>
              <w:right w:val="nil"/>
            </w:tcBorders>
            <w:vAlign w:val="bottom"/>
          </w:tcPr>
          <w:p w14:paraId="2D1100D7" w14:textId="77777777" w:rsidR="009E3821" w:rsidRPr="009E3821" w:rsidRDefault="009E3821" w:rsidP="009E3821">
            <w:pPr>
              <w:jc w:val="center"/>
              <w:rPr>
                <w:rFonts w:ascii="Arial" w:hAnsi="Arial" w:cs="Arial"/>
              </w:rPr>
            </w:pPr>
            <w:r w:rsidRPr="009E3821">
              <w:rPr>
                <w:rFonts w:ascii="Arial" w:hAnsi="Arial" w:cs="Arial"/>
              </w:rPr>
              <w:t xml:space="preserve">48 </w:t>
            </w:r>
          </w:p>
        </w:tc>
        <w:tc>
          <w:tcPr>
            <w:tcW w:w="851" w:type="dxa"/>
            <w:tcBorders>
              <w:top w:val="nil"/>
              <w:left w:val="nil"/>
              <w:bottom w:val="nil"/>
              <w:right w:val="nil"/>
            </w:tcBorders>
            <w:vAlign w:val="bottom"/>
          </w:tcPr>
          <w:p w14:paraId="005A0F54" w14:textId="77777777" w:rsidR="009E3821" w:rsidRPr="009E3821" w:rsidRDefault="009E3821" w:rsidP="009E3821">
            <w:pPr>
              <w:jc w:val="center"/>
              <w:rPr>
                <w:rFonts w:ascii="Arial" w:hAnsi="Arial" w:cs="Arial"/>
              </w:rPr>
            </w:pPr>
            <w:r w:rsidRPr="009E3821">
              <w:rPr>
                <w:rFonts w:ascii="Arial" w:hAnsi="Arial" w:cs="Arial"/>
              </w:rPr>
              <w:t xml:space="preserve">33,8 </w:t>
            </w:r>
          </w:p>
        </w:tc>
        <w:tc>
          <w:tcPr>
            <w:tcW w:w="2551" w:type="dxa"/>
            <w:vMerge/>
            <w:tcBorders>
              <w:top w:val="nil"/>
              <w:left w:val="nil"/>
              <w:bottom w:val="nil"/>
              <w:right w:val="nil"/>
            </w:tcBorders>
            <w:vAlign w:val="center"/>
          </w:tcPr>
          <w:p w14:paraId="1A0AA71D" w14:textId="77777777" w:rsidR="009E3821" w:rsidRPr="009E3821" w:rsidRDefault="009E3821" w:rsidP="009E3821">
            <w:pPr>
              <w:widowControl w:val="0"/>
              <w:pBdr>
                <w:top w:val="nil"/>
                <w:left w:val="nil"/>
                <w:bottom w:val="nil"/>
                <w:right w:val="nil"/>
                <w:between w:val="nil"/>
              </w:pBdr>
              <w:rPr>
                <w:rFonts w:ascii="Arial" w:hAnsi="Arial" w:cs="Arial"/>
              </w:rPr>
            </w:pPr>
          </w:p>
        </w:tc>
      </w:tr>
      <w:tr w:rsidR="009E3821" w:rsidRPr="009E3821" w14:paraId="0D7E519F" w14:textId="77777777" w:rsidTr="009E3821">
        <w:trPr>
          <w:trHeight w:val="300"/>
        </w:trPr>
        <w:tc>
          <w:tcPr>
            <w:tcW w:w="2755" w:type="dxa"/>
            <w:tcBorders>
              <w:top w:val="nil"/>
              <w:left w:val="nil"/>
              <w:bottom w:val="nil"/>
              <w:right w:val="nil"/>
            </w:tcBorders>
            <w:vAlign w:val="bottom"/>
          </w:tcPr>
          <w:p w14:paraId="64FBBC98" w14:textId="77777777" w:rsidR="009E3821" w:rsidRPr="009E3821" w:rsidRDefault="009E3821" w:rsidP="009E3821">
            <w:pPr>
              <w:rPr>
                <w:rFonts w:ascii="Arial" w:hAnsi="Arial" w:cs="Arial"/>
              </w:rPr>
            </w:pPr>
            <w:r w:rsidRPr="009E3821">
              <w:rPr>
                <w:rFonts w:ascii="Arial" w:hAnsi="Arial" w:cs="Arial"/>
              </w:rPr>
              <w:t xml:space="preserve">&gt;75% </w:t>
            </w:r>
          </w:p>
        </w:tc>
        <w:tc>
          <w:tcPr>
            <w:tcW w:w="736" w:type="dxa"/>
            <w:tcBorders>
              <w:top w:val="nil"/>
              <w:left w:val="nil"/>
              <w:bottom w:val="nil"/>
              <w:right w:val="nil"/>
            </w:tcBorders>
            <w:vAlign w:val="bottom"/>
          </w:tcPr>
          <w:p w14:paraId="287F1093" w14:textId="77777777" w:rsidR="009E3821" w:rsidRPr="009E3821" w:rsidRDefault="009E3821" w:rsidP="009E3821">
            <w:pPr>
              <w:jc w:val="center"/>
              <w:rPr>
                <w:rFonts w:ascii="Arial" w:hAnsi="Arial" w:cs="Arial"/>
              </w:rPr>
            </w:pPr>
            <w:r w:rsidRPr="009E3821">
              <w:rPr>
                <w:rFonts w:ascii="Arial" w:hAnsi="Arial" w:cs="Arial"/>
              </w:rPr>
              <w:t xml:space="preserve">4 </w:t>
            </w:r>
          </w:p>
        </w:tc>
        <w:tc>
          <w:tcPr>
            <w:tcW w:w="708" w:type="dxa"/>
            <w:tcBorders>
              <w:top w:val="nil"/>
              <w:left w:val="nil"/>
              <w:bottom w:val="nil"/>
              <w:right w:val="nil"/>
            </w:tcBorders>
            <w:vAlign w:val="bottom"/>
          </w:tcPr>
          <w:p w14:paraId="2DABACD2" w14:textId="77777777" w:rsidR="009E3821" w:rsidRPr="009E3821" w:rsidRDefault="009E3821" w:rsidP="009E3821">
            <w:pPr>
              <w:jc w:val="center"/>
              <w:rPr>
                <w:rFonts w:ascii="Arial" w:hAnsi="Arial" w:cs="Arial"/>
              </w:rPr>
            </w:pPr>
            <w:r w:rsidRPr="009E3821">
              <w:rPr>
                <w:rFonts w:ascii="Arial" w:hAnsi="Arial" w:cs="Arial"/>
              </w:rPr>
              <w:t xml:space="preserve">2,8 </w:t>
            </w:r>
          </w:p>
        </w:tc>
        <w:tc>
          <w:tcPr>
            <w:tcW w:w="709" w:type="dxa"/>
            <w:tcBorders>
              <w:top w:val="nil"/>
              <w:left w:val="nil"/>
              <w:bottom w:val="nil"/>
              <w:right w:val="nil"/>
            </w:tcBorders>
            <w:vAlign w:val="bottom"/>
          </w:tcPr>
          <w:p w14:paraId="2E11D0D4" w14:textId="77777777" w:rsidR="009E3821" w:rsidRPr="009E3821" w:rsidRDefault="009E3821" w:rsidP="009E3821">
            <w:pPr>
              <w:jc w:val="center"/>
              <w:rPr>
                <w:rFonts w:ascii="Arial" w:hAnsi="Arial" w:cs="Arial"/>
              </w:rPr>
            </w:pPr>
            <w:r w:rsidRPr="009E3821">
              <w:rPr>
                <w:rFonts w:ascii="Arial" w:hAnsi="Arial" w:cs="Arial"/>
              </w:rPr>
              <w:t xml:space="preserve">4 </w:t>
            </w:r>
          </w:p>
        </w:tc>
        <w:tc>
          <w:tcPr>
            <w:tcW w:w="851" w:type="dxa"/>
            <w:tcBorders>
              <w:top w:val="nil"/>
              <w:left w:val="nil"/>
              <w:bottom w:val="nil"/>
              <w:right w:val="nil"/>
            </w:tcBorders>
            <w:vAlign w:val="bottom"/>
          </w:tcPr>
          <w:p w14:paraId="7C851500" w14:textId="77777777" w:rsidR="009E3821" w:rsidRPr="009E3821" w:rsidRDefault="009E3821" w:rsidP="009E3821">
            <w:pPr>
              <w:jc w:val="center"/>
              <w:rPr>
                <w:rFonts w:ascii="Arial" w:hAnsi="Arial" w:cs="Arial"/>
              </w:rPr>
            </w:pPr>
            <w:r w:rsidRPr="009E3821">
              <w:rPr>
                <w:rFonts w:ascii="Arial" w:hAnsi="Arial" w:cs="Arial"/>
              </w:rPr>
              <w:t xml:space="preserve">2,8 </w:t>
            </w:r>
          </w:p>
        </w:tc>
        <w:tc>
          <w:tcPr>
            <w:tcW w:w="2551" w:type="dxa"/>
            <w:vMerge/>
            <w:tcBorders>
              <w:top w:val="nil"/>
              <w:left w:val="nil"/>
              <w:bottom w:val="nil"/>
              <w:right w:val="nil"/>
            </w:tcBorders>
            <w:vAlign w:val="center"/>
          </w:tcPr>
          <w:p w14:paraId="1883A5DA" w14:textId="77777777" w:rsidR="009E3821" w:rsidRPr="009E3821" w:rsidRDefault="009E3821" w:rsidP="009E3821">
            <w:pPr>
              <w:widowControl w:val="0"/>
              <w:pBdr>
                <w:top w:val="nil"/>
                <w:left w:val="nil"/>
                <w:bottom w:val="nil"/>
                <w:right w:val="nil"/>
                <w:between w:val="nil"/>
              </w:pBdr>
              <w:rPr>
                <w:rFonts w:ascii="Arial" w:hAnsi="Arial" w:cs="Arial"/>
              </w:rPr>
            </w:pPr>
          </w:p>
        </w:tc>
      </w:tr>
      <w:tr w:rsidR="009E3821" w:rsidRPr="009E3821" w14:paraId="717A5A83" w14:textId="77777777" w:rsidTr="009E3821">
        <w:trPr>
          <w:trHeight w:val="300"/>
        </w:trPr>
        <w:tc>
          <w:tcPr>
            <w:tcW w:w="2755" w:type="dxa"/>
            <w:tcBorders>
              <w:top w:val="nil"/>
              <w:left w:val="nil"/>
              <w:bottom w:val="nil"/>
              <w:right w:val="nil"/>
            </w:tcBorders>
          </w:tcPr>
          <w:p w14:paraId="420E07CB" w14:textId="77777777" w:rsidR="009E3821" w:rsidRPr="009E3821" w:rsidRDefault="009E3821" w:rsidP="009E3821">
            <w:pPr>
              <w:rPr>
                <w:rFonts w:ascii="Arial" w:hAnsi="Arial" w:cs="Arial"/>
              </w:rPr>
            </w:pPr>
            <w:r w:rsidRPr="009E3821">
              <w:rPr>
                <w:rFonts w:ascii="Arial" w:hAnsi="Arial" w:cs="Arial"/>
              </w:rPr>
              <w:t xml:space="preserve">Not realized </w:t>
            </w:r>
          </w:p>
        </w:tc>
        <w:tc>
          <w:tcPr>
            <w:tcW w:w="736" w:type="dxa"/>
            <w:tcBorders>
              <w:top w:val="nil"/>
              <w:left w:val="nil"/>
              <w:bottom w:val="nil"/>
              <w:right w:val="nil"/>
            </w:tcBorders>
            <w:vAlign w:val="bottom"/>
          </w:tcPr>
          <w:p w14:paraId="2F4DD814" w14:textId="77777777" w:rsidR="009E3821" w:rsidRPr="009E3821" w:rsidRDefault="009E3821" w:rsidP="009E3821">
            <w:pPr>
              <w:jc w:val="center"/>
              <w:rPr>
                <w:rFonts w:ascii="Arial" w:hAnsi="Arial" w:cs="Arial"/>
              </w:rPr>
            </w:pPr>
            <w:r w:rsidRPr="009E3821">
              <w:rPr>
                <w:rFonts w:ascii="Arial" w:hAnsi="Arial" w:cs="Arial"/>
              </w:rPr>
              <w:t xml:space="preserve">11 </w:t>
            </w:r>
          </w:p>
        </w:tc>
        <w:tc>
          <w:tcPr>
            <w:tcW w:w="708" w:type="dxa"/>
            <w:tcBorders>
              <w:top w:val="nil"/>
              <w:left w:val="nil"/>
              <w:bottom w:val="nil"/>
              <w:right w:val="nil"/>
            </w:tcBorders>
            <w:vAlign w:val="bottom"/>
          </w:tcPr>
          <w:p w14:paraId="58674F3B" w14:textId="77777777" w:rsidR="009E3821" w:rsidRPr="009E3821" w:rsidRDefault="009E3821" w:rsidP="009E3821">
            <w:pPr>
              <w:jc w:val="center"/>
              <w:rPr>
                <w:rFonts w:ascii="Arial" w:hAnsi="Arial" w:cs="Arial"/>
              </w:rPr>
            </w:pPr>
            <w:r w:rsidRPr="009E3821">
              <w:rPr>
                <w:rFonts w:ascii="Arial" w:hAnsi="Arial" w:cs="Arial"/>
              </w:rPr>
              <w:t xml:space="preserve">7,7 </w:t>
            </w:r>
          </w:p>
        </w:tc>
        <w:tc>
          <w:tcPr>
            <w:tcW w:w="709" w:type="dxa"/>
            <w:tcBorders>
              <w:top w:val="nil"/>
              <w:left w:val="nil"/>
              <w:bottom w:val="nil"/>
              <w:right w:val="nil"/>
            </w:tcBorders>
            <w:vAlign w:val="bottom"/>
          </w:tcPr>
          <w:p w14:paraId="0E576DB8" w14:textId="77777777" w:rsidR="009E3821" w:rsidRPr="009E3821" w:rsidRDefault="009E3821" w:rsidP="009E3821">
            <w:pPr>
              <w:jc w:val="center"/>
              <w:rPr>
                <w:rFonts w:ascii="Arial" w:hAnsi="Arial" w:cs="Arial"/>
              </w:rPr>
            </w:pPr>
            <w:r w:rsidRPr="009E3821">
              <w:rPr>
                <w:rFonts w:ascii="Arial" w:hAnsi="Arial" w:cs="Arial"/>
              </w:rPr>
              <w:t xml:space="preserve">10 </w:t>
            </w:r>
          </w:p>
        </w:tc>
        <w:tc>
          <w:tcPr>
            <w:tcW w:w="851" w:type="dxa"/>
            <w:tcBorders>
              <w:top w:val="nil"/>
              <w:left w:val="nil"/>
              <w:bottom w:val="nil"/>
              <w:right w:val="nil"/>
            </w:tcBorders>
            <w:vAlign w:val="bottom"/>
          </w:tcPr>
          <w:p w14:paraId="4B18D2CE" w14:textId="77777777" w:rsidR="009E3821" w:rsidRPr="009E3821" w:rsidRDefault="009E3821" w:rsidP="009E3821">
            <w:pPr>
              <w:jc w:val="center"/>
              <w:rPr>
                <w:rFonts w:ascii="Arial" w:hAnsi="Arial" w:cs="Arial"/>
              </w:rPr>
            </w:pPr>
            <w:r w:rsidRPr="009E3821">
              <w:rPr>
                <w:rFonts w:ascii="Arial" w:hAnsi="Arial" w:cs="Arial"/>
              </w:rPr>
              <w:t xml:space="preserve">7,0 </w:t>
            </w:r>
          </w:p>
        </w:tc>
        <w:tc>
          <w:tcPr>
            <w:tcW w:w="2551" w:type="dxa"/>
            <w:vMerge/>
            <w:tcBorders>
              <w:top w:val="nil"/>
              <w:left w:val="nil"/>
              <w:bottom w:val="nil"/>
              <w:right w:val="nil"/>
            </w:tcBorders>
            <w:vAlign w:val="center"/>
          </w:tcPr>
          <w:p w14:paraId="125C1410" w14:textId="77777777" w:rsidR="009E3821" w:rsidRPr="009E3821" w:rsidRDefault="009E3821" w:rsidP="009E3821">
            <w:pPr>
              <w:widowControl w:val="0"/>
              <w:pBdr>
                <w:top w:val="nil"/>
                <w:left w:val="nil"/>
                <w:bottom w:val="nil"/>
                <w:right w:val="nil"/>
                <w:between w:val="nil"/>
              </w:pBdr>
              <w:rPr>
                <w:rFonts w:ascii="Arial" w:hAnsi="Arial" w:cs="Arial"/>
              </w:rPr>
            </w:pPr>
          </w:p>
        </w:tc>
      </w:tr>
      <w:tr w:rsidR="009E3821" w:rsidRPr="009E3821" w14:paraId="6086C6BF" w14:textId="77777777" w:rsidTr="009E3821">
        <w:trPr>
          <w:trHeight w:val="300"/>
        </w:trPr>
        <w:tc>
          <w:tcPr>
            <w:tcW w:w="2755" w:type="dxa"/>
            <w:tcBorders>
              <w:top w:val="nil"/>
              <w:left w:val="nil"/>
              <w:bottom w:val="nil"/>
              <w:right w:val="nil"/>
            </w:tcBorders>
          </w:tcPr>
          <w:p w14:paraId="7DEF5656" w14:textId="77777777" w:rsidR="009E3821" w:rsidRPr="009E3821" w:rsidRDefault="009E3821" w:rsidP="009E3821">
            <w:pPr>
              <w:rPr>
                <w:rFonts w:ascii="Arial" w:hAnsi="Arial" w:cs="Arial"/>
              </w:rPr>
            </w:pPr>
            <w:r w:rsidRPr="009E3821">
              <w:rPr>
                <w:rFonts w:ascii="Arial" w:hAnsi="Arial" w:cs="Arial"/>
              </w:rPr>
              <w:t xml:space="preserve">Not informed </w:t>
            </w:r>
          </w:p>
        </w:tc>
        <w:tc>
          <w:tcPr>
            <w:tcW w:w="736" w:type="dxa"/>
            <w:tcBorders>
              <w:top w:val="nil"/>
              <w:left w:val="nil"/>
              <w:bottom w:val="nil"/>
              <w:right w:val="nil"/>
            </w:tcBorders>
            <w:vAlign w:val="bottom"/>
          </w:tcPr>
          <w:p w14:paraId="61D02018" w14:textId="77777777" w:rsidR="009E3821" w:rsidRPr="009E3821" w:rsidRDefault="009E3821" w:rsidP="009E3821">
            <w:pPr>
              <w:jc w:val="center"/>
              <w:rPr>
                <w:rFonts w:ascii="Arial" w:hAnsi="Arial" w:cs="Arial"/>
              </w:rPr>
            </w:pPr>
            <w:r w:rsidRPr="009E3821">
              <w:rPr>
                <w:rFonts w:ascii="Arial" w:hAnsi="Arial" w:cs="Arial"/>
              </w:rPr>
              <w:t xml:space="preserve">32 </w:t>
            </w:r>
          </w:p>
        </w:tc>
        <w:tc>
          <w:tcPr>
            <w:tcW w:w="708" w:type="dxa"/>
            <w:tcBorders>
              <w:top w:val="nil"/>
              <w:left w:val="nil"/>
              <w:bottom w:val="nil"/>
              <w:right w:val="nil"/>
            </w:tcBorders>
            <w:vAlign w:val="bottom"/>
          </w:tcPr>
          <w:p w14:paraId="086C267E" w14:textId="77777777" w:rsidR="009E3821" w:rsidRPr="009E3821" w:rsidRDefault="009E3821" w:rsidP="009E3821">
            <w:pPr>
              <w:jc w:val="center"/>
              <w:rPr>
                <w:rFonts w:ascii="Arial" w:hAnsi="Arial" w:cs="Arial"/>
              </w:rPr>
            </w:pPr>
            <w:r w:rsidRPr="009E3821">
              <w:rPr>
                <w:rFonts w:ascii="Arial" w:hAnsi="Arial" w:cs="Arial"/>
              </w:rPr>
              <w:t xml:space="preserve">22,4 </w:t>
            </w:r>
          </w:p>
        </w:tc>
        <w:tc>
          <w:tcPr>
            <w:tcW w:w="709" w:type="dxa"/>
            <w:tcBorders>
              <w:top w:val="nil"/>
              <w:left w:val="nil"/>
              <w:bottom w:val="nil"/>
              <w:right w:val="nil"/>
            </w:tcBorders>
            <w:vAlign w:val="bottom"/>
          </w:tcPr>
          <w:p w14:paraId="380D6739" w14:textId="77777777" w:rsidR="009E3821" w:rsidRPr="009E3821" w:rsidRDefault="009E3821" w:rsidP="009E3821">
            <w:pPr>
              <w:jc w:val="center"/>
              <w:rPr>
                <w:rFonts w:ascii="Arial" w:hAnsi="Arial" w:cs="Arial"/>
              </w:rPr>
            </w:pPr>
            <w:r w:rsidRPr="009E3821">
              <w:rPr>
                <w:rFonts w:ascii="Arial" w:hAnsi="Arial" w:cs="Arial"/>
              </w:rPr>
              <w:t xml:space="preserve">14 </w:t>
            </w:r>
          </w:p>
        </w:tc>
        <w:tc>
          <w:tcPr>
            <w:tcW w:w="851" w:type="dxa"/>
            <w:tcBorders>
              <w:top w:val="nil"/>
              <w:left w:val="nil"/>
              <w:bottom w:val="nil"/>
              <w:right w:val="nil"/>
            </w:tcBorders>
            <w:vAlign w:val="bottom"/>
          </w:tcPr>
          <w:p w14:paraId="753DB911" w14:textId="77777777" w:rsidR="009E3821" w:rsidRPr="009E3821" w:rsidRDefault="009E3821" w:rsidP="009E3821">
            <w:pPr>
              <w:jc w:val="center"/>
              <w:rPr>
                <w:rFonts w:ascii="Arial" w:hAnsi="Arial" w:cs="Arial"/>
              </w:rPr>
            </w:pPr>
            <w:r w:rsidRPr="009E3821">
              <w:rPr>
                <w:rFonts w:ascii="Arial" w:hAnsi="Arial" w:cs="Arial"/>
              </w:rPr>
              <w:t xml:space="preserve">9,9 </w:t>
            </w:r>
          </w:p>
        </w:tc>
        <w:tc>
          <w:tcPr>
            <w:tcW w:w="2551" w:type="dxa"/>
            <w:vMerge/>
            <w:tcBorders>
              <w:top w:val="nil"/>
              <w:left w:val="nil"/>
              <w:bottom w:val="nil"/>
              <w:right w:val="nil"/>
            </w:tcBorders>
            <w:vAlign w:val="center"/>
          </w:tcPr>
          <w:p w14:paraId="5BF1A654" w14:textId="77777777" w:rsidR="009E3821" w:rsidRPr="009E3821" w:rsidRDefault="009E3821" w:rsidP="009E3821">
            <w:pPr>
              <w:widowControl w:val="0"/>
              <w:pBdr>
                <w:top w:val="nil"/>
                <w:left w:val="nil"/>
                <w:bottom w:val="nil"/>
                <w:right w:val="nil"/>
                <w:between w:val="nil"/>
              </w:pBdr>
              <w:rPr>
                <w:rFonts w:ascii="Arial" w:hAnsi="Arial" w:cs="Arial"/>
              </w:rPr>
            </w:pPr>
          </w:p>
        </w:tc>
      </w:tr>
      <w:tr w:rsidR="009E3821" w:rsidRPr="009E3821" w14:paraId="71178741" w14:textId="77777777" w:rsidTr="009E3821">
        <w:trPr>
          <w:trHeight w:val="300"/>
        </w:trPr>
        <w:tc>
          <w:tcPr>
            <w:tcW w:w="2755" w:type="dxa"/>
            <w:tcBorders>
              <w:top w:val="nil"/>
              <w:left w:val="nil"/>
              <w:bottom w:val="nil"/>
              <w:right w:val="nil"/>
            </w:tcBorders>
          </w:tcPr>
          <w:p w14:paraId="2D836C3F" w14:textId="77777777" w:rsidR="009E3821" w:rsidRPr="009E3821" w:rsidRDefault="009E3821" w:rsidP="009E3821">
            <w:pPr>
              <w:rPr>
                <w:rFonts w:ascii="Arial" w:hAnsi="Arial" w:cs="Arial"/>
                <w:b/>
              </w:rPr>
            </w:pPr>
            <w:r w:rsidRPr="009E3821">
              <w:rPr>
                <w:rFonts w:ascii="Arial" w:hAnsi="Arial" w:cs="Arial"/>
                <w:b/>
              </w:rPr>
              <w:t xml:space="preserve">Covid-19 vaccine </w:t>
            </w:r>
          </w:p>
        </w:tc>
        <w:tc>
          <w:tcPr>
            <w:tcW w:w="736" w:type="dxa"/>
            <w:tcBorders>
              <w:top w:val="nil"/>
              <w:left w:val="nil"/>
              <w:bottom w:val="nil"/>
              <w:right w:val="nil"/>
            </w:tcBorders>
            <w:vAlign w:val="bottom"/>
          </w:tcPr>
          <w:p w14:paraId="25DC8514" w14:textId="77777777" w:rsidR="009E3821" w:rsidRPr="009E3821" w:rsidRDefault="009E3821" w:rsidP="009E3821">
            <w:pPr>
              <w:rPr>
                <w:rFonts w:ascii="Arial" w:hAnsi="Arial" w:cs="Arial"/>
              </w:rPr>
            </w:pPr>
            <w:r w:rsidRPr="009E3821">
              <w:rPr>
                <w:rFonts w:ascii="Arial" w:hAnsi="Arial" w:cs="Arial"/>
              </w:rPr>
              <w:t xml:space="preserve"> </w:t>
            </w:r>
          </w:p>
        </w:tc>
        <w:tc>
          <w:tcPr>
            <w:tcW w:w="708" w:type="dxa"/>
            <w:tcBorders>
              <w:top w:val="nil"/>
              <w:left w:val="nil"/>
              <w:bottom w:val="nil"/>
              <w:right w:val="nil"/>
            </w:tcBorders>
            <w:vAlign w:val="bottom"/>
          </w:tcPr>
          <w:p w14:paraId="17EA2217" w14:textId="77777777" w:rsidR="009E3821" w:rsidRPr="009E3821" w:rsidRDefault="009E3821" w:rsidP="009E3821">
            <w:pPr>
              <w:rPr>
                <w:rFonts w:ascii="Arial" w:hAnsi="Arial" w:cs="Arial"/>
              </w:rPr>
            </w:pPr>
            <w:r w:rsidRPr="009E3821">
              <w:rPr>
                <w:rFonts w:ascii="Arial" w:hAnsi="Arial" w:cs="Arial"/>
              </w:rPr>
              <w:t xml:space="preserve"> </w:t>
            </w:r>
          </w:p>
        </w:tc>
        <w:tc>
          <w:tcPr>
            <w:tcW w:w="709" w:type="dxa"/>
            <w:tcBorders>
              <w:top w:val="nil"/>
              <w:left w:val="nil"/>
              <w:bottom w:val="nil"/>
              <w:right w:val="nil"/>
            </w:tcBorders>
            <w:vAlign w:val="bottom"/>
          </w:tcPr>
          <w:p w14:paraId="0C2A8D52" w14:textId="77777777" w:rsidR="009E3821" w:rsidRPr="009E3821" w:rsidRDefault="009E3821" w:rsidP="009E3821">
            <w:pPr>
              <w:rPr>
                <w:rFonts w:ascii="Arial" w:hAnsi="Arial" w:cs="Arial"/>
              </w:rPr>
            </w:pPr>
            <w:r w:rsidRPr="009E3821">
              <w:rPr>
                <w:rFonts w:ascii="Arial" w:hAnsi="Arial" w:cs="Arial"/>
              </w:rPr>
              <w:t xml:space="preserve"> </w:t>
            </w:r>
          </w:p>
        </w:tc>
        <w:tc>
          <w:tcPr>
            <w:tcW w:w="851" w:type="dxa"/>
            <w:tcBorders>
              <w:top w:val="nil"/>
              <w:left w:val="nil"/>
              <w:bottom w:val="nil"/>
              <w:right w:val="nil"/>
            </w:tcBorders>
            <w:vAlign w:val="bottom"/>
          </w:tcPr>
          <w:p w14:paraId="577C48C5" w14:textId="77777777" w:rsidR="009E3821" w:rsidRPr="009E3821" w:rsidRDefault="009E3821" w:rsidP="009E3821">
            <w:pPr>
              <w:rPr>
                <w:rFonts w:ascii="Arial" w:hAnsi="Arial" w:cs="Arial"/>
              </w:rPr>
            </w:pPr>
            <w:r w:rsidRPr="009E3821">
              <w:rPr>
                <w:rFonts w:ascii="Arial" w:hAnsi="Arial" w:cs="Arial"/>
              </w:rPr>
              <w:t xml:space="preserve"> </w:t>
            </w:r>
          </w:p>
        </w:tc>
        <w:tc>
          <w:tcPr>
            <w:tcW w:w="2551" w:type="dxa"/>
            <w:tcBorders>
              <w:top w:val="nil"/>
              <w:left w:val="nil"/>
              <w:bottom w:val="nil"/>
              <w:right w:val="nil"/>
            </w:tcBorders>
            <w:vAlign w:val="bottom"/>
          </w:tcPr>
          <w:p w14:paraId="5600A06E" w14:textId="77777777" w:rsidR="009E3821" w:rsidRPr="009E3821" w:rsidRDefault="009E3821" w:rsidP="009E3821">
            <w:pPr>
              <w:rPr>
                <w:rFonts w:ascii="Arial" w:hAnsi="Arial" w:cs="Arial"/>
              </w:rPr>
            </w:pPr>
            <w:r w:rsidRPr="009E3821">
              <w:rPr>
                <w:rFonts w:ascii="Arial" w:hAnsi="Arial" w:cs="Arial"/>
              </w:rPr>
              <w:t xml:space="preserve"> </w:t>
            </w:r>
          </w:p>
        </w:tc>
      </w:tr>
      <w:tr w:rsidR="009E3821" w:rsidRPr="009E3821" w14:paraId="4817B966" w14:textId="77777777" w:rsidTr="009E3821">
        <w:trPr>
          <w:trHeight w:val="300"/>
        </w:trPr>
        <w:tc>
          <w:tcPr>
            <w:tcW w:w="2755" w:type="dxa"/>
            <w:tcBorders>
              <w:top w:val="nil"/>
              <w:left w:val="nil"/>
              <w:bottom w:val="nil"/>
              <w:right w:val="nil"/>
            </w:tcBorders>
          </w:tcPr>
          <w:p w14:paraId="2EACCD03" w14:textId="77777777" w:rsidR="009E3821" w:rsidRPr="009E3821" w:rsidRDefault="009E3821" w:rsidP="009E3821">
            <w:pPr>
              <w:rPr>
                <w:rFonts w:ascii="Arial" w:hAnsi="Arial" w:cs="Arial"/>
              </w:rPr>
            </w:pPr>
            <w:r w:rsidRPr="009E3821">
              <w:rPr>
                <w:rFonts w:ascii="Arial" w:hAnsi="Arial" w:cs="Arial"/>
              </w:rPr>
              <w:t xml:space="preserve">Yes </w:t>
            </w:r>
          </w:p>
        </w:tc>
        <w:tc>
          <w:tcPr>
            <w:tcW w:w="736" w:type="dxa"/>
            <w:tcBorders>
              <w:top w:val="nil"/>
              <w:left w:val="nil"/>
              <w:bottom w:val="nil"/>
              <w:right w:val="nil"/>
            </w:tcBorders>
            <w:vAlign w:val="bottom"/>
          </w:tcPr>
          <w:p w14:paraId="3641C46E" w14:textId="77777777" w:rsidR="009E3821" w:rsidRPr="009E3821" w:rsidRDefault="009E3821" w:rsidP="009E3821">
            <w:pPr>
              <w:jc w:val="center"/>
              <w:rPr>
                <w:rFonts w:ascii="Arial" w:hAnsi="Arial" w:cs="Arial"/>
              </w:rPr>
            </w:pPr>
            <w:r w:rsidRPr="009E3821">
              <w:rPr>
                <w:rFonts w:ascii="Arial" w:hAnsi="Arial" w:cs="Arial"/>
              </w:rPr>
              <w:t xml:space="preserve">0 </w:t>
            </w:r>
          </w:p>
        </w:tc>
        <w:tc>
          <w:tcPr>
            <w:tcW w:w="708" w:type="dxa"/>
            <w:tcBorders>
              <w:top w:val="nil"/>
              <w:left w:val="nil"/>
              <w:bottom w:val="nil"/>
              <w:right w:val="nil"/>
            </w:tcBorders>
            <w:vAlign w:val="bottom"/>
          </w:tcPr>
          <w:p w14:paraId="14198FB9" w14:textId="77777777" w:rsidR="009E3821" w:rsidRPr="009E3821" w:rsidRDefault="009E3821" w:rsidP="009E3821">
            <w:pPr>
              <w:jc w:val="center"/>
              <w:rPr>
                <w:rFonts w:ascii="Arial" w:hAnsi="Arial" w:cs="Arial"/>
              </w:rPr>
            </w:pPr>
            <w:r w:rsidRPr="009E3821">
              <w:rPr>
                <w:rFonts w:ascii="Arial" w:hAnsi="Arial" w:cs="Arial"/>
              </w:rPr>
              <w:t xml:space="preserve">0,0 </w:t>
            </w:r>
          </w:p>
        </w:tc>
        <w:tc>
          <w:tcPr>
            <w:tcW w:w="709" w:type="dxa"/>
            <w:tcBorders>
              <w:top w:val="nil"/>
              <w:left w:val="nil"/>
              <w:bottom w:val="nil"/>
              <w:right w:val="nil"/>
            </w:tcBorders>
            <w:vAlign w:val="bottom"/>
          </w:tcPr>
          <w:p w14:paraId="33AB64EE" w14:textId="77777777" w:rsidR="009E3821" w:rsidRPr="009E3821" w:rsidRDefault="009E3821" w:rsidP="009E3821">
            <w:pPr>
              <w:jc w:val="center"/>
              <w:rPr>
                <w:rFonts w:ascii="Arial" w:hAnsi="Arial" w:cs="Arial"/>
              </w:rPr>
            </w:pPr>
            <w:r w:rsidRPr="009E3821">
              <w:rPr>
                <w:rFonts w:ascii="Arial" w:hAnsi="Arial" w:cs="Arial"/>
              </w:rPr>
              <w:t xml:space="preserve">40 </w:t>
            </w:r>
          </w:p>
        </w:tc>
        <w:tc>
          <w:tcPr>
            <w:tcW w:w="851" w:type="dxa"/>
            <w:tcBorders>
              <w:top w:val="nil"/>
              <w:left w:val="nil"/>
              <w:bottom w:val="nil"/>
              <w:right w:val="nil"/>
            </w:tcBorders>
            <w:vAlign w:val="bottom"/>
          </w:tcPr>
          <w:p w14:paraId="514BC531" w14:textId="77777777" w:rsidR="009E3821" w:rsidRPr="009E3821" w:rsidRDefault="009E3821" w:rsidP="009E3821">
            <w:pPr>
              <w:jc w:val="center"/>
              <w:rPr>
                <w:rFonts w:ascii="Arial" w:hAnsi="Arial" w:cs="Arial"/>
              </w:rPr>
            </w:pPr>
            <w:r w:rsidRPr="009E3821">
              <w:rPr>
                <w:rFonts w:ascii="Arial" w:hAnsi="Arial" w:cs="Arial"/>
              </w:rPr>
              <w:t xml:space="preserve">28,2 </w:t>
            </w:r>
          </w:p>
        </w:tc>
        <w:tc>
          <w:tcPr>
            <w:tcW w:w="2551" w:type="dxa"/>
            <w:vMerge w:val="restart"/>
            <w:tcBorders>
              <w:top w:val="nil"/>
              <w:left w:val="nil"/>
              <w:bottom w:val="nil"/>
              <w:right w:val="nil"/>
            </w:tcBorders>
            <w:vAlign w:val="center"/>
          </w:tcPr>
          <w:p w14:paraId="62D8D49F" w14:textId="77777777" w:rsidR="009E3821" w:rsidRPr="009E3821" w:rsidRDefault="009E3821" w:rsidP="009E3821">
            <w:pPr>
              <w:jc w:val="center"/>
              <w:rPr>
                <w:rFonts w:ascii="Arial" w:hAnsi="Arial" w:cs="Arial"/>
              </w:rPr>
            </w:pPr>
            <w:r w:rsidRPr="009E3821">
              <w:rPr>
                <w:rFonts w:ascii="Arial" w:hAnsi="Arial" w:cs="Arial"/>
              </w:rPr>
              <w:t>X</w:t>
            </w:r>
            <w:r w:rsidRPr="009E3821">
              <w:rPr>
                <w:rFonts w:ascii="Arial" w:hAnsi="Arial" w:cs="Arial"/>
                <w:vertAlign w:val="superscript"/>
              </w:rPr>
              <w:t>2</w:t>
            </w:r>
            <w:r w:rsidRPr="009E3821">
              <w:rPr>
                <w:rFonts w:ascii="Arial" w:hAnsi="Arial" w:cs="Arial"/>
              </w:rPr>
              <w:t xml:space="preserve">= 261,966;  </w:t>
            </w:r>
          </w:p>
          <w:p w14:paraId="3361C036" w14:textId="77777777" w:rsidR="009E3821" w:rsidRPr="009E3821" w:rsidRDefault="009E3821" w:rsidP="009E3821">
            <w:pPr>
              <w:jc w:val="center"/>
              <w:rPr>
                <w:rFonts w:ascii="Arial" w:hAnsi="Arial" w:cs="Arial"/>
              </w:rPr>
            </w:pPr>
            <w:r w:rsidRPr="009E3821">
              <w:rPr>
                <w:rFonts w:ascii="Arial" w:hAnsi="Arial" w:cs="Arial"/>
              </w:rPr>
              <w:t xml:space="preserve">p= 0,000* </w:t>
            </w:r>
          </w:p>
        </w:tc>
      </w:tr>
      <w:tr w:rsidR="009E3821" w:rsidRPr="009E3821" w14:paraId="1FA270DB" w14:textId="77777777" w:rsidTr="009E3821">
        <w:trPr>
          <w:trHeight w:val="300"/>
        </w:trPr>
        <w:tc>
          <w:tcPr>
            <w:tcW w:w="2755" w:type="dxa"/>
            <w:tcBorders>
              <w:top w:val="nil"/>
              <w:left w:val="nil"/>
              <w:bottom w:val="nil"/>
              <w:right w:val="nil"/>
            </w:tcBorders>
          </w:tcPr>
          <w:p w14:paraId="51305977" w14:textId="77777777" w:rsidR="009E3821" w:rsidRPr="009E3821" w:rsidRDefault="009E3821" w:rsidP="009E3821">
            <w:pPr>
              <w:rPr>
                <w:rFonts w:ascii="Arial" w:hAnsi="Arial" w:cs="Arial"/>
              </w:rPr>
            </w:pPr>
            <w:r w:rsidRPr="009E3821">
              <w:rPr>
                <w:rFonts w:ascii="Arial" w:hAnsi="Arial" w:cs="Arial"/>
              </w:rPr>
              <w:t xml:space="preserve">Not performed </w:t>
            </w:r>
          </w:p>
        </w:tc>
        <w:tc>
          <w:tcPr>
            <w:tcW w:w="736" w:type="dxa"/>
            <w:tcBorders>
              <w:top w:val="nil"/>
              <w:left w:val="nil"/>
              <w:bottom w:val="nil"/>
              <w:right w:val="nil"/>
            </w:tcBorders>
            <w:vAlign w:val="bottom"/>
          </w:tcPr>
          <w:p w14:paraId="46E51B26" w14:textId="77777777" w:rsidR="009E3821" w:rsidRPr="009E3821" w:rsidRDefault="009E3821" w:rsidP="009E3821">
            <w:pPr>
              <w:jc w:val="center"/>
              <w:rPr>
                <w:rFonts w:ascii="Arial" w:hAnsi="Arial" w:cs="Arial"/>
              </w:rPr>
            </w:pPr>
            <w:r w:rsidRPr="009E3821">
              <w:rPr>
                <w:rFonts w:ascii="Arial" w:hAnsi="Arial" w:cs="Arial"/>
              </w:rPr>
              <w:t xml:space="preserve">143 </w:t>
            </w:r>
          </w:p>
        </w:tc>
        <w:tc>
          <w:tcPr>
            <w:tcW w:w="708" w:type="dxa"/>
            <w:tcBorders>
              <w:top w:val="nil"/>
              <w:left w:val="nil"/>
              <w:bottom w:val="nil"/>
              <w:right w:val="nil"/>
            </w:tcBorders>
            <w:vAlign w:val="bottom"/>
          </w:tcPr>
          <w:p w14:paraId="5E4F5061" w14:textId="77777777" w:rsidR="009E3821" w:rsidRPr="009E3821" w:rsidRDefault="009E3821" w:rsidP="009E3821">
            <w:pPr>
              <w:jc w:val="center"/>
              <w:rPr>
                <w:rFonts w:ascii="Arial" w:hAnsi="Arial" w:cs="Arial"/>
              </w:rPr>
            </w:pPr>
            <w:r w:rsidRPr="009E3821">
              <w:rPr>
                <w:rFonts w:ascii="Arial" w:hAnsi="Arial" w:cs="Arial"/>
              </w:rPr>
              <w:t xml:space="preserve">100,0 </w:t>
            </w:r>
          </w:p>
        </w:tc>
        <w:tc>
          <w:tcPr>
            <w:tcW w:w="709" w:type="dxa"/>
            <w:tcBorders>
              <w:top w:val="nil"/>
              <w:left w:val="nil"/>
              <w:bottom w:val="nil"/>
              <w:right w:val="nil"/>
            </w:tcBorders>
            <w:vAlign w:val="bottom"/>
          </w:tcPr>
          <w:p w14:paraId="23CB6F55" w14:textId="77777777" w:rsidR="009E3821" w:rsidRPr="009E3821" w:rsidRDefault="009E3821" w:rsidP="009E3821">
            <w:pPr>
              <w:jc w:val="center"/>
              <w:rPr>
                <w:rFonts w:ascii="Arial" w:hAnsi="Arial" w:cs="Arial"/>
              </w:rPr>
            </w:pPr>
            <w:r w:rsidRPr="009E3821">
              <w:rPr>
                <w:rFonts w:ascii="Arial" w:hAnsi="Arial" w:cs="Arial"/>
              </w:rPr>
              <w:t xml:space="preserve">6 </w:t>
            </w:r>
          </w:p>
        </w:tc>
        <w:tc>
          <w:tcPr>
            <w:tcW w:w="851" w:type="dxa"/>
            <w:tcBorders>
              <w:top w:val="nil"/>
              <w:left w:val="nil"/>
              <w:bottom w:val="nil"/>
              <w:right w:val="nil"/>
            </w:tcBorders>
            <w:vAlign w:val="bottom"/>
          </w:tcPr>
          <w:p w14:paraId="4E7ADE67" w14:textId="77777777" w:rsidR="009E3821" w:rsidRPr="009E3821" w:rsidRDefault="009E3821" w:rsidP="009E3821">
            <w:pPr>
              <w:jc w:val="center"/>
              <w:rPr>
                <w:rFonts w:ascii="Arial" w:hAnsi="Arial" w:cs="Arial"/>
              </w:rPr>
            </w:pPr>
            <w:r w:rsidRPr="009E3821">
              <w:rPr>
                <w:rFonts w:ascii="Arial" w:hAnsi="Arial" w:cs="Arial"/>
              </w:rPr>
              <w:t xml:space="preserve">4,2 </w:t>
            </w:r>
          </w:p>
        </w:tc>
        <w:tc>
          <w:tcPr>
            <w:tcW w:w="2551" w:type="dxa"/>
            <w:vMerge/>
            <w:tcBorders>
              <w:top w:val="nil"/>
              <w:left w:val="nil"/>
              <w:bottom w:val="nil"/>
              <w:right w:val="nil"/>
            </w:tcBorders>
            <w:vAlign w:val="center"/>
          </w:tcPr>
          <w:p w14:paraId="5AB2FD0B" w14:textId="77777777" w:rsidR="009E3821" w:rsidRPr="009E3821" w:rsidRDefault="009E3821" w:rsidP="009E3821">
            <w:pPr>
              <w:widowControl w:val="0"/>
              <w:pBdr>
                <w:top w:val="nil"/>
                <w:left w:val="nil"/>
                <w:bottom w:val="nil"/>
                <w:right w:val="nil"/>
                <w:between w:val="nil"/>
              </w:pBdr>
              <w:rPr>
                <w:rFonts w:ascii="Arial" w:hAnsi="Arial" w:cs="Arial"/>
              </w:rPr>
            </w:pPr>
          </w:p>
        </w:tc>
      </w:tr>
      <w:tr w:rsidR="009E3821" w:rsidRPr="009E3821" w14:paraId="212A17BC" w14:textId="77777777" w:rsidTr="009E3821">
        <w:trPr>
          <w:trHeight w:val="300"/>
        </w:trPr>
        <w:tc>
          <w:tcPr>
            <w:tcW w:w="2755" w:type="dxa"/>
            <w:tcBorders>
              <w:top w:val="nil"/>
              <w:left w:val="nil"/>
              <w:bottom w:val="nil"/>
              <w:right w:val="nil"/>
            </w:tcBorders>
          </w:tcPr>
          <w:p w14:paraId="35D03D94" w14:textId="77777777" w:rsidR="009E3821" w:rsidRPr="009E3821" w:rsidRDefault="009E3821" w:rsidP="009E3821">
            <w:pPr>
              <w:rPr>
                <w:rFonts w:ascii="Arial" w:hAnsi="Arial" w:cs="Arial"/>
              </w:rPr>
            </w:pPr>
            <w:r w:rsidRPr="009E3821">
              <w:rPr>
                <w:rFonts w:ascii="Arial" w:hAnsi="Arial" w:cs="Arial"/>
              </w:rPr>
              <w:t xml:space="preserve">Not informed </w:t>
            </w:r>
          </w:p>
        </w:tc>
        <w:tc>
          <w:tcPr>
            <w:tcW w:w="736" w:type="dxa"/>
            <w:tcBorders>
              <w:top w:val="nil"/>
              <w:left w:val="nil"/>
              <w:bottom w:val="nil"/>
              <w:right w:val="nil"/>
            </w:tcBorders>
            <w:vAlign w:val="bottom"/>
          </w:tcPr>
          <w:p w14:paraId="10D71D34" w14:textId="77777777" w:rsidR="009E3821" w:rsidRPr="009E3821" w:rsidRDefault="009E3821" w:rsidP="009E3821">
            <w:pPr>
              <w:jc w:val="center"/>
              <w:rPr>
                <w:rFonts w:ascii="Arial" w:hAnsi="Arial" w:cs="Arial"/>
              </w:rPr>
            </w:pPr>
            <w:r w:rsidRPr="009E3821">
              <w:rPr>
                <w:rFonts w:ascii="Arial" w:hAnsi="Arial" w:cs="Arial"/>
              </w:rPr>
              <w:t xml:space="preserve">0 </w:t>
            </w:r>
          </w:p>
        </w:tc>
        <w:tc>
          <w:tcPr>
            <w:tcW w:w="708" w:type="dxa"/>
            <w:tcBorders>
              <w:top w:val="nil"/>
              <w:left w:val="nil"/>
              <w:bottom w:val="nil"/>
              <w:right w:val="nil"/>
            </w:tcBorders>
            <w:vAlign w:val="bottom"/>
          </w:tcPr>
          <w:p w14:paraId="2787FD7A" w14:textId="77777777" w:rsidR="009E3821" w:rsidRPr="009E3821" w:rsidRDefault="009E3821" w:rsidP="009E3821">
            <w:pPr>
              <w:jc w:val="center"/>
              <w:rPr>
                <w:rFonts w:ascii="Arial" w:hAnsi="Arial" w:cs="Arial"/>
              </w:rPr>
            </w:pPr>
            <w:r w:rsidRPr="009E3821">
              <w:rPr>
                <w:rFonts w:ascii="Arial" w:hAnsi="Arial" w:cs="Arial"/>
              </w:rPr>
              <w:t xml:space="preserve">0,0 </w:t>
            </w:r>
          </w:p>
        </w:tc>
        <w:tc>
          <w:tcPr>
            <w:tcW w:w="709" w:type="dxa"/>
            <w:tcBorders>
              <w:top w:val="nil"/>
              <w:left w:val="nil"/>
              <w:bottom w:val="nil"/>
              <w:right w:val="nil"/>
            </w:tcBorders>
            <w:vAlign w:val="bottom"/>
          </w:tcPr>
          <w:p w14:paraId="271403E5" w14:textId="77777777" w:rsidR="009E3821" w:rsidRPr="009E3821" w:rsidRDefault="009E3821" w:rsidP="009E3821">
            <w:pPr>
              <w:jc w:val="center"/>
              <w:rPr>
                <w:rFonts w:ascii="Arial" w:hAnsi="Arial" w:cs="Arial"/>
              </w:rPr>
            </w:pPr>
            <w:r w:rsidRPr="009E3821">
              <w:rPr>
                <w:rFonts w:ascii="Arial" w:hAnsi="Arial" w:cs="Arial"/>
              </w:rPr>
              <w:t xml:space="preserve">96 </w:t>
            </w:r>
          </w:p>
        </w:tc>
        <w:tc>
          <w:tcPr>
            <w:tcW w:w="851" w:type="dxa"/>
            <w:tcBorders>
              <w:top w:val="nil"/>
              <w:left w:val="nil"/>
              <w:bottom w:val="nil"/>
              <w:right w:val="nil"/>
            </w:tcBorders>
            <w:vAlign w:val="bottom"/>
          </w:tcPr>
          <w:p w14:paraId="45E6221C" w14:textId="77777777" w:rsidR="009E3821" w:rsidRPr="009E3821" w:rsidRDefault="009E3821" w:rsidP="009E3821">
            <w:pPr>
              <w:jc w:val="center"/>
              <w:rPr>
                <w:rFonts w:ascii="Arial" w:hAnsi="Arial" w:cs="Arial"/>
              </w:rPr>
            </w:pPr>
            <w:r w:rsidRPr="009E3821">
              <w:rPr>
                <w:rFonts w:ascii="Arial" w:hAnsi="Arial" w:cs="Arial"/>
              </w:rPr>
              <w:t xml:space="preserve">67,6 </w:t>
            </w:r>
          </w:p>
        </w:tc>
        <w:tc>
          <w:tcPr>
            <w:tcW w:w="2551" w:type="dxa"/>
            <w:vMerge/>
            <w:tcBorders>
              <w:top w:val="nil"/>
              <w:left w:val="nil"/>
              <w:bottom w:val="nil"/>
              <w:right w:val="nil"/>
            </w:tcBorders>
            <w:vAlign w:val="center"/>
          </w:tcPr>
          <w:p w14:paraId="28B775AC" w14:textId="77777777" w:rsidR="009E3821" w:rsidRPr="009E3821" w:rsidRDefault="009E3821" w:rsidP="009E3821">
            <w:pPr>
              <w:widowControl w:val="0"/>
              <w:pBdr>
                <w:top w:val="nil"/>
                <w:left w:val="nil"/>
                <w:bottom w:val="nil"/>
                <w:right w:val="nil"/>
                <w:between w:val="nil"/>
              </w:pBdr>
              <w:rPr>
                <w:rFonts w:ascii="Arial" w:hAnsi="Arial" w:cs="Arial"/>
              </w:rPr>
            </w:pPr>
          </w:p>
        </w:tc>
      </w:tr>
      <w:tr w:rsidR="009E3821" w:rsidRPr="009E3821" w14:paraId="7F5CCFCC" w14:textId="77777777" w:rsidTr="009E3821">
        <w:trPr>
          <w:trHeight w:val="300"/>
        </w:trPr>
        <w:tc>
          <w:tcPr>
            <w:tcW w:w="2755" w:type="dxa"/>
            <w:tcBorders>
              <w:top w:val="nil"/>
              <w:left w:val="nil"/>
              <w:bottom w:val="nil"/>
              <w:right w:val="nil"/>
            </w:tcBorders>
            <w:shd w:val="clear" w:color="auto" w:fill="FFFFFF"/>
          </w:tcPr>
          <w:p w14:paraId="66DD4F60" w14:textId="77777777" w:rsidR="009E3821" w:rsidRPr="009E3821" w:rsidRDefault="009E3821" w:rsidP="009E3821">
            <w:pPr>
              <w:rPr>
                <w:rFonts w:ascii="Arial" w:hAnsi="Arial" w:cs="Arial"/>
                <w:b/>
              </w:rPr>
            </w:pPr>
            <w:r w:rsidRPr="009E3821">
              <w:rPr>
                <w:rFonts w:ascii="Arial" w:hAnsi="Arial" w:cs="Arial"/>
                <w:b/>
              </w:rPr>
              <w:t xml:space="preserve">Type of diet </w:t>
            </w:r>
          </w:p>
        </w:tc>
        <w:tc>
          <w:tcPr>
            <w:tcW w:w="736" w:type="dxa"/>
            <w:tcBorders>
              <w:top w:val="nil"/>
              <w:left w:val="nil"/>
              <w:bottom w:val="nil"/>
              <w:right w:val="nil"/>
            </w:tcBorders>
            <w:vAlign w:val="bottom"/>
          </w:tcPr>
          <w:p w14:paraId="533B0C09" w14:textId="77777777" w:rsidR="009E3821" w:rsidRPr="009E3821" w:rsidRDefault="009E3821" w:rsidP="009E3821">
            <w:pPr>
              <w:rPr>
                <w:rFonts w:ascii="Arial" w:hAnsi="Arial" w:cs="Arial"/>
              </w:rPr>
            </w:pPr>
            <w:r w:rsidRPr="009E3821">
              <w:rPr>
                <w:rFonts w:ascii="Arial" w:hAnsi="Arial" w:cs="Arial"/>
              </w:rPr>
              <w:t xml:space="preserve"> </w:t>
            </w:r>
          </w:p>
        </w:tc>
        <w:tc>
          <w:tcPr>
            <w:tcW w:w="708" w:type="dxa"/>
            <w:tcBorders>
              <w:top w:val="nil"/>
              <w:left w:val="nil"/>
              <w:bottom w:val="nil"/>
              <w:right w:val="nil"/>
            </w:tcBorders>
            <w:vAlign w:val="bottom"/>
          </w:tcPr>
          <w:p w14:paraId="1B49A045" w14:textId="77777777" w:rsidR="009E3821" w:rsidRPr="009E3821" w:rsidRDefault="009E3821" w:rsidP="009E3821">
            <w:pPr>
              <w:rPr>
                <w:rFonts w:ascii="Arial" w:hAnsi="Arial" w:cs="Arial"/>
              </w:rPr>
            </w:pPr>
            <w:r w:rsidRPr="009E3821">
              <w:rPr>
                <w:rFonts w:ascii="Arial" w:hAnsi="Arial" w:cs="Arial"/>
              </w:rPr>
              <w:t xml:space="preserve"> </w:t>
            </w:r>
          </w:p>
        </w:tc>
        <w:tc>
          <w:tcPr>
            <w:tcW w:w="709" w:type="dxa"/>
            <w:tcBorders>
              <w:top w:val="nil"/>
              <w:left w:val="nil"/>
              <w:bottom w:val="nil"/>
              <w:right w:val="nil"/>
            </w:tcBorders>
            <w:vAlign w:val="bottom"/>
          </w:tcPr>
          <w:p w14:paraId="7296393A" w14:textId="77777777" w:rsidR="009E3821" w:rsidRPr="009E3821" w:rsidRDefault="009E3821" w:rsidP="009E3821">
            <w:pPr>
              <w:rPr>
                <w:rFonts w:ascii="Arial" w:hAnsi="Arial" w:cs="Arial"/>
              </w:rPr>
            </w:pPr>
            <w:r w:rsidRPr="009E3821">
              <w:rPr>
                <w:rFonts w:ascii="Arial" w:hAnsi="Arial" w:cs="Arial"/>
              </w:rPr>
              <w:t xml:space="preserve"> </w:t>
            </w:r>
          </w:p>
        </w:tc>
        <w:tc>
          <w:tcPr>
            <w:tcW w:w="851" w:type="dxa"/>
            <w:tcBorders>
              <w:top w:val="nil"/>
              <w:left w:val="nil"/>
              <w:bottom w:val="nil"/>
              <w:right w:val="nil"/>
            </w:tcBorders>
            <w:vAlign w:val="bottom"/>
          </w:tcPr>
          <w:p w14:paraId="081E4ED3" w14:textId="77777777" w:rsidR="009E3821" w:rsidRPr="009E3821" w:rsidRDefault="009E3821" w:rsidP="009E3821">
            <w:pPr>
              <w:rPr>
                <w:rFonts w:ascii="Arial" w:hAnsi="Arial" w:cs="Arial"/>
              </w:rPr>
            </w:pPr>
            <w:r w:rsidRPr="009E3821">
              <w:rPr>
                <w:rFonts w:ascii="Arial" w:hAnsi="Arial" w:cs="Arial"/>
              </w:rPr>
              <w:t xml:space="preserve"> </w:t>
            </w:r>
          </w:p>
        </w:tc>
        <w:tc>
          <w:tcPr>
            <w:tcW w:w="2551" w:type="dxa"/>
            <w:tcBorders>
              <w:top w:val="nil"/>
              <w:left w:val="nil"/>
              <w:bottom w:val="nil"/>
              <w:right w:val="nil"/>
            </w:tcBorders>
            <w:vAlign w:val="bottom"/>
          </w:tcPr>
          <w:p w14:paraId="0DC2A5BC" w14:textId="77777777" w:rsidR="009E3821" w:rsidRPr="009E3821" w:rsidRDefault="009E3821" w:rsidP="009E3821">
            <w:pPr>
              <w:rPr>
                <w:rFonts w:ascii="Arial" w:hAnsi="Arial" w:cs="Arial"/>
              </w:rPr>
            </w:pPr>
            <w:r w:rsidRPr="009E3821">
              <w:rPr>
                <w:rFonts w:ascii="Arial" w:hAnsi="Arial" w:cs="Arial"/>
              </w:rPr>
              <w:t xml:space="preserve"> </w:t>
            </w:r>
          </w:p>
        </w:tc>
      </w:tr>
      <w:tr w:rsidR="009E3821" w:rsidRPr="009E3821" w14:paraId="24C7159A" w14:textId="77777777" w:rsidTr="009E3821">
        <w:trPr>
          <w:trHeight w:val="300"/>
        </w:trPr>
        <w:tc>
          <w:tcPr>
            <w:tcW w:w="2755" w:type="dxa"/>
            <w:tcBorders>
              <w:top w:val="nil"/>
              <w:left w:val="nil"/>
              <w:bottom w:val="nil"/>
              <w:right w:val="nil"/>
            </w:tcBorders>
          </w:tcPr>
          <w:p w14:paraId="269CAF49" w14:textId="77777777" w:rsidR="009E3821" w:rsidRPr="009E3821" w:rsidRDefault="009E3821" w:rsidP="009E3821">
            <w:pPr>
              <w:rPr>
                <w:rFonts w:ascii="Arial" w:hAnsi="Arial" w:cs="Arial"/>
              </w:rPr>
            </w:pPr>
            <w:r w:rsidRPr="009E3821">
              <w:rPr>
                <w:rFonts w:ascii="Arial" w:hAnsi="Arial" w:cs="Arial"/>
              </w:rPr>
              <w:t xml:space="preserve">Oral </w:t>
            </w:r>
          </w:p>
        </w:tc>
        <w:tc>
          <w:tcPr>
            <w:tcW w:w="736" w:type="dxa"/>
            <w:tcBorders>
              <w:top w:val="nil"/>
              <w:left w:val="nil"/>
              <w:bottom w:val="nil"/>
              <w:right w:val="nil"/>
            </w:tcBorders>
            <w:vAlign w:val="bottom"/>
          </w:tcPr>
          <w:p w14:paraId="63FD45D4" w14:textId="77777777" w:rsidR="009E3821" w:rsidRPr="009E3821" w:rsidRDefault="009E3821" w:rsidP="009E3821">
            <w:pPr>
              <w:jc w:val="center"/>
              <w:rPr>
                <w:rFonts w:ascii="Arial" w:hAnsi="Arial" w:cs="Arial"/>
              </w:rPr>
            </w:pPr>
            <w:r w:rsidRPr="009E3821">
              <w:rPr>
                <w:rFonts w:ascii="Arial" w:hAnsi="Arial" w:cs="Arial"/>
              </w:rPr>
              <w:t xml:space="preserve">97 </w:t>
            </w:r>
          </w:p>
        </w:tc>
        <w:tc>
          <w:tcPr>
            <w:tcW w:w="708" w:type="dxa"/>
            <w:tcBorders>
              <w:top w:val="nil"/>
              <w:left w:val="nil"/>
              <w:bottom w:val="nil"/>
              <w:right w:val="nil"/>
            </w:tcBorders>
            <w:vAlign w:val="bottom"/>
          </w:tcPr>
          <w:p w14:paraId="066CCCB5" w14:textId="77777777" w:rsidR="009E3821" w:rsidRPr="009E3821" w:rsidRDefault="009E3821" w:rsidP="009E3821">
            <w:pPr>
              <w:jc w:val="center"/>
              <w:rPr>
                <w:rFonts w:ascii="Arial" w:hAnsi="Arial" w:cs="Arial"/>
              </w:rPr>
            </w:pPr>
            <w:r w:rsidRPr="009E3821">
              <w:rPr>
                <w:rFonts w:ascii="Arial" w:hAnsi="Arial" w:cs="Arial"/>
              </w:rPr>
              <w:t xml:space="preserve">67,8 </w:t>
            </w:r>
          </w:p>
        </w:tc>
        <w:tc>
          <w:tcPr>
            <w:tcW w:w="709" w:type="dxa"/>
            <w:tcBorders>
              <w:top w:val="nil"/>
              <w:left w:val="nil"/>
              <w:bottom w:val="nil"/>
              <w:right w:val="nil"/>
            </w:tcBorders>
            <w:vAlign w:val="bottom"/>
          </w:tcPr>
          <w:p w14:paraId="16F5E471" w14:textId="77777777" w:rsidR="009E3821" w:rsidRPr="009E3821" w:rsidRDefault="009E3821" w:rsidP="009E3821">
            <w:pPr>
              <w:jc w:val="center"/>
              <w:rPr>
                <w:rFonts w:ascii="Arial" w:hAnsi="Arial" w:cs="Arial"/>
              </w:rPr>
            </w:pPr>
            <w:r w:rsidRPr="009E3821">
              <w:rPr>
                <w:rFonts w:ascii="Arial" w:hAnsi="Arial" w:cs="Arial"/>
              </w:rPr>
              <w:t xml:space="preserve">85 </w:t>
            </w:r>
          </w:p>
        </w:tc>
        <w:tc>
          <w:tcPr>
            <w:tcW w:w="851" w:type="dxa"/>
            <w:tcBorders>
              <w:top w:val="nil"/>
              <w:left w:val="nil"/>
              <w:bottom w:val="nil"/>
              <w:right w:val="nil"/>
            </w:tcBorders>
            <w:vAlign w:val="bottom"/>
          </w:tcPr>
          <w:p w14:paraId="72498EBA" w14:textId="77777777" w:rsidR="009E3821" w:rsidRPr="009E3821" w:rsidRDefault="009E3821" w:rsidP="009E3821">
            <w:pPr>
              <w:jc w:val="center"/>
              <w:rPr>
                <w:rFonts w:ascii="Arial" w:hAnsi="Arial" w:cs="Arial"/>
              </w:rPr>
            </w:pPr>
            <w:r w:rsidRPr="009E3821">
              <w:rPr>
                <w:rFonts w:ascii="Arial" w:hAnsi="Arial" w:cs="Arial"/>
              </w:rPr>
              <w:t xml:space="preserve">59,9 </w:t>
            </w:r>
          </w:p>
        </w:tc>
        <w:tc>
          <w:tcPr>
            <w:tcW w:w="2551" w:type="dxa"/>
            <w:vMerge w:val="restart"/>
            <w:tcBorders>
              <w:top w:val="nil"/>
              <w:left w:val="nil"/>
              <w:bottom w:val="nil"/>
              <w:right w:val="nil"/>
            </w:tcBorders>
            <w:vAlign w:val="center"/>
          </w:tcPr>
          <w:p w14:paraId="0AF560F2" w14:textId="77777777" w:rsidR="009E3821" w:rsidRPr="009E3821" w:rsidRDefault="009E3821" w:rsidP="009E3821">
            <w:pPr>
              <w:jc w:val="center"/>
              <w:rPr>
                <w:rFonts w:ascii="Arial" w:hAnsi="Arial" w:cs="Arial"/>
              </w:rPr>
            </w:pPr>
            <w:r w:rsidRPr="009E3821">
              <w:rPr>
                <w:rFonts w:ascii="Arial" w:hAnsi="Arial" w:cs="Arial"/>
              </w:rPr>
              <w:t>X</w:t>
            </w:r>
            <w:r w:rsidRPr="009E3821">
              <w:rPr>
                <w:rFonts w:ascii="Arial" w:hAnsi="Arial" w:cs="Arial"/>
                <w:vertAlign w:val="superscript"/>
              </w:rPr>
              <w:t>2</w:t>
            </w:r>
            <w:r w:rsidRPr="009E3821">
              <w:rPr>
                <w:rFonts w:ascii="Arial" w:hAnsi="Arial" w:cs="Arial"/>
              </w:rPr>
              <w:t xml:space="preserve">= 1,962;  </w:t>
            </w:r>
          </w:p>
          <w:p w14:paraId="0294E2A2" w14:textId="77777777" w:rsidR="009E3821" w:rsidRPr="009E3821" w:rsidRDefault="009E3821" w:rsidP="009E3821">
            <w:pPr>
              <w:jc w:val="center"/>
              <w:rPr>
                <w:rFonts w:ascii="Arial" w:hAnsi="Arial" w:cs="Arial"/>
              </w:rPr>
            </w:pPr>
            <w:r w:rsidRPr="009E3821">
              <w:rPr>
                <w:rFonts w:ascii="Arial" w:hAnsi="Arial" w:cs="Arial"/>
              </w:rPr>
              <w:t xml:space="preserve">p= 0,161 </w:t>
            </w:r>
          </w:p>
        </w:tc>
      </w:tr>
      <w:tr w:rsidR="009E3821" w:rsidRPr="009E3821" w14:paraId="3DA99895" w14:textId="77777777" w:rsidTr="009E3821">
        <w:trPr>
          <w:trHeight w:val="300"/>
        </w:trPr>
        <w:tc>
          <w:tcPr>
            <w:tcW w:w="2755" w:type="dxa"/>
            <w:tcBorders>
              <w:top w:val="nil"/>
              <w:left w:val="nil"/>
              <w:bottom w:val="nil"/>
              <w:right w:val="nil"/>
            </w:tcBorders>
          </w:tcPr>
          <w:p w14:paraId="049489FF" w14:textId="77777777" w:rsidR="009E3821" w:rsidRPr="009E3821" w:rsidRDefault="009E3821" w:rsidP="009E3821">
            <w:pPr>
              <w:rPr>
                <w:rFonts w:ascii="Arial" w:hAnsi="Arial" w:cs="Arial"/>
              </w:rPr>
            </w:pPr>
            <w:r w:rsidRPr="009E3821">
              <w:rPr>
                <w:rFonts w:ascii="Arial" w:hAnsi="Arial" w:cs="Arial"/>
              </w:rPr>
              <w:t xml:space="preserve">Enteral  </w:t>
            </w:r>
          </w:p>
        </w:tc>
        <w:tc>
          <w:tcPr>
            <w:tcW w:w="736" w:type="dxa"/>
            <w:tcBorders>
              <w:top w:val="nil"/>
              <w:left w:val="nil"/>
              <w:bottom w:val="nil"/>
              <w:right w:val="nil"/>
            </w:tcBorders>
            <w:vAlign w:val="bottom"/>
          </w:tcPr>
          <w:p w14:paraId="517EA5F8" w14:textId="77777777" w:rsidR="009E3821" w:rsidRPr="009E3821" w:rsidRDefault="009E3821" w:rsidP="009E3821">
            <w:pPr>
              <w:jc w:val="center"/>
              <w:rPr>
                <w:rFonts w:ascii="Arial" w:hAnsi="Arial" w:cs="Arial"/>
              </w:rPr>
            </w:pPr>
            <w:r w:rsidRPr="009E3821">
              <w:rPr>
                <w:rFonts w:ascii="Arial" w:hAnsi="Arial" w:cs="Arial"/>
              </w:rPr>
              <w:t xml:space="preserve">46 </w:t>
            </w:r>
          </w:p>
        </w:tc>
        <w:tc>
          <w:tcPr>
            <w:tcW w:w="708" w:type="dxa"/>
            <w:tcBorders>
              <w:top w:val="nil"/>
              <w:left w:val="nil"/>
              <w:bottom w:val="nil"/>
              <w:right w:val="nil"/>
            </w:tcBorders>
            <w:vAlign w:val="bottom"/>
          </w:tcPr>
          <w:p w14:paraId="02B20CFD" w14:textId="77777777" w:rsidR="009E3821" w:rsidRPr="009E3821" w:rsidRDefault="009E3821" w:rsidP="009E3821">
            <w:pPr>
              <w:jc w:val="center"/>
              <w:rPr>
                <w:rFonts w:ascii="Arial" w:hAnsi="Arial" w:cs="Arial"/>
              </w:rPr>
            </w:pPr>
            <w:r w:rsidRPr="009E3821">
              <w:rPr>
                <w:rFonts w:ascii="Arial" w:hAnsi="Arial" w:cs="Arial"/>
              </w:rPr>
              <w:t xml:space="preserve">32,2 </w:t>
            </w:r>
          </w:p>
        </w:tc>
        <w:tc>
          <w:tcPr>
            <w:tcW w:w="709" w:type="dxa"/>
            <w:tcBorders>
              <w:top w:val="nil"/>
              <w:left w:val="nil"/>
              <w:bottom w:val="nil"/>
              <w:right w:val="nil"/>
            </w:tcBorders>
            <w:vAlign w:val="bottom"/>
          </w:tcPr>
          <w:p w14:paraId="03A8FCFD" w14:textId="77777777" w:rsidR="009E3821" w:rsidRPr="009E3821" w:rsidRDefault="009E3821" w:rsidP="009E3821">
            <w:pPr>
              <w:jc w:val="center"/>
              <w:rPr>
                <w:rFonts w:ascii="Arial" w:hAnsi="Arial" w:cs="Arial"/>
              </w:rPr>
            </w:pPr>
            <w:r w:rsidRPr="009E3821">
              <w:rPr>
                <w:rFonts w:ascii="Arial" w:hAnsi="Arial" w:cs="Arial"/>
              </w:rPr>
              <w:t xml:space="preserve">57 </w:t>
            </w:r>
          </w:p>
        </w:tc>
        <w:tc>
          <w:tcPr>
            <w:tcW w:w="851" w:type="dxa"/>
            <w:tcBorders>
              <w:top w:val="nil"/>
              <w:left w:val="nil"/>
              <w:bottom w:val="nil"/>
              <w:right w:val="nil"/>
            </w:tcBorders>
            <w:vAlign w:val="bottom"/>
          </w:tcPr>
          <w:p w14:paraId="04FE166F" w14:textId="77777777" w:rsidR="009E3821" w:rsidRPr="009E3821" w:rsidRDefault="009E3821" w:rsidP="009E3821">
            <w:pPr>
              <w:jc w:val="center"/>
              <w:rPr>
                <w:rFonts w:ascii="Arial" w:hAnsi="Arial" w:cs="Arial"/>
              </w:rPr>
            </w:pPr>
            <w:r w:rsidRPr="009E3821">
              <w:rPr>
                <w:rFonts w:ascii="Arial" w:hAnsi="Arial" w:cs="Arial"/>
              </w:rPr>
              <w:t xml:space="preserve">40,1 </w:t>
            </w:r>
          </w:p>
        </w:tc>
        <w:tc>
          <w:tcPr>
            <w:tcW w:w="2551" w:type="dxa"/>
            <w:vMerge/>
            <w:tcBorders>
              <w:top w:val="nil"/>
              <w:left w:val="nil"/>
              <w:bottom w:val="nil"/>
              <w:right w:val="nil"/>
            </w:tcBorders>
            <w:vAlign w:val="center"/>
          </w:tcPr>
          <w:p w14:paraId="22AF645A" w14:textId="77777777" w:rsidR="009E3821" w:rsidRPr="009E3821" w:rsidRDefault="009E3821" w:rsidP="009E3821">
            <w:pPr>
              <w:widowControl w:val="0"/>
              <w:pBdr>
                <w:top w:val="nil"/>
                <w:left w:val="nil"/>
                <w:bottom w:val="nil"/>
                <w:right w:val="nil"/>
                <w:between w:val="nil"/>
              </w:pBdr>
              <w:rPr>
                <w:rFonts w:ascii="Arial" w:hAnsi="Arial" w:cs="Arial"/>
              </w:rPr>
            </w:pPr>
          </w:p>
        </w:tc>
      </w:tr>
      <w:tr w:rsidR="009E3821" w:rsidRPr="009E3821" w14:paraId="335EA0BF" w14:textId="77777777" w:rsidTr="009E3821">
        <w:trPr>
          <w:trHeight w:val="300"/>
        </w:trPr>
        <w:tc>
          <w:tcPr>
            <w:tcW w:w="2755" w:type="dxa"/>
            <w:tcBorders>
              <w:top w:val="nil"/>
              <w:left w:val="nil"/>
              <w:bottom w:val="nil"/>
              <w:right w:val="nil"/>
            </w:tcBorders>
          </w:tcPr>
          <w:p w14:paraId="2E4F4E71" w14:textId="77777777" w:rsidR="009E3821" w:rsidRPr="009E3821" w:rsidRDefault="009E3821" w:rsidP="009E3821">
            <w:pPr>
              <w:rPr>
                <w:rFonts w:ascii="Arial" w:hAnsi="Arial" w:cs="Arial"/>
                <w:b/>
              </w:rPr>
            </w:pPr>
            <w:r w:rsidRPr="009E3821">
              <w:rPr>
                <w:rFonts w:ascii="Arial" w:hAnsi="Arial" w:cs="Arial"/>
                <w:b/>
              </w:rPr>
              <w:t xml:space="preserve">Outcome </w:t>
            </w:r>
          </w:p>
        </w:tc>
        <w:tc>
          <w:tcPr>
            <w:tcW w:w="736" w:type="dxa"/>
            <w:tcBorders>
              <w:top w:val="nil"/>
              <w:left w:val="nil"/>
              <w:bottom w:val="nil"/>
              <w:right w:val="nil"/>
            </w:tcBorders>
            <w:vAlign w:val="bottom"/>
          </w:tcPr>
          <w:p w14:paraId="33811560" w14:textId="77777777" w:rsidR="009E3821" w:rsidRPr="009E3821" w:rsidRDefault="009E3821" w:rsidP="009E3821">
            <w:pPr>
              <w:rPr>
                <w:rFonts w:ascii="Arial" w:hAnsi="Arial" w:cs="Arial"/>
              </w:rPr>
            </w:pPr>
            <w:r w:rsidRPr="009E3821">
              <w:rPr>
                <w:rFonts w:ascii="Arial" w:hAnsi="Arial" w:cs="Arial"/>
              </w:rPr>
              <w:t xml:space="preserve"> </w:t>
            </w:r>
          </w:p>
        </w:tc>
        <w:tc>
          <w:tcPr>
            <w:tcW w:w="708" w:type="dxa"/>
            <w:tcBorders>
              <w:top w:val="nil"/>
              <w:left w:val="nil"/>
              <w:bottom w:val="nil"/>
              <w:right w:val="nil"/>
            </w:tcBorders>
            <w:vAlign w:val="bottom"/>
          </w:tcPr>
          <w:p w14:paraId="7A1DD2EC" w14:textId="77777777" w:rsidR="009E3821" w:rsidRPr="009E3821" w:rsidRDefault="009E3821" w:rsidP="009E3821">
            <w:pPr>
              <w:rPr>
                <w:rFonts w:ascii="Arial" w:hAnsi="Arial" w:cs="Arial"/>
              </w:rPr>
            </w:pPr>
            <w:r w:rsidRPr="009E3821">
              <w:rPr>
                <w:rFonts w:ascii="Arial" w:hAnsi="Arial" w:cs="Arial"/>
              </w:rPr>
              <w:t xml:space="preserve"> </w:t>
            </w:r>
          </w:p>
        </w:tc>
        <w:tc>
          <w:tcPr>
            <w:tcW w:w="709" w:type="dxa"/>
            <w:tcBorders>
              <w:top w:val="nil"/>
              <w:left w:val="nil"/>
              <w:bottom w:val="nil"/>
              <w:right w:val="nil"/>
            </w:tcBorders>
            <w:vAlign w:val="bottom"/>
          </w:tcPr>
          <w:p w14:paraId="653199C6" w14:textId="77777777" w:rsidR="009E3821" w:rsidRPr="009E3821" w:rsidRDefault="009E3821" w:rsidP="009E3821">
            <w:pPr>
              <w:rPr>
                <w:rFonts w:ascii="Arial" w:hAnsi="Arial" w:cs="Arial"/>
              </w:rPr>
            </w:pPr>
            <w:r w:rsidRPr="009E3821">
              <w:rPr>
                <w:rFonts w:ascii="Arial" w:hAnsi="Arial" w:cs="Arial"/>
              </w:rPr>
              <w:t xml:space="preserve"> </w:t>
            </w:r>
          </w:p>
        </w:tc>
        <w:tc>
          <w:tcPr>
            <w:tcW w:w="851" w:type="dxa"/>
            <w:tcBorders>
              <w:top w:val="nil"/>
              <w:left w:val="nil"/>
              <w:bottom w:val="nil"/>
              <w:right w:val="nil"/>
            </w:tcBorders>
            <w:vAlign w:val="bottom"/>
          </w:tcPr>
          <w:p w14:paraId="3AE52C74" w14:textId="77777777" w:rsidR="009E3821" w:rsidRPr="009E3821" w:rsidRDefault="009E3821" w:rsidP="009E3821">
            <w:pPr>
              <w:rPr>
                <w:rFonts w:ascii="Arial" w:hAnsi="Arial" w:cs="Arial"/>
              </w:rPr>
            </w:pPr>
            <w:r w:rsidRPr="009E3821">
              <w:rPr>
                <w:rFonts w:ascii="Arial" w:hAnsi="Arial" w:cs="Arial"/>
              </w:rPr>
              <w:t xml:space="preserve"> </w:t>
            </w:r>
          </w:p>
        </w:tc>
        <w:tc>
          <w:tcPr>
            <w:tcW w:w="2551" w:type="dxa"/>
            <w:tcBorders>
              <w:top w:val="nil"/>
              <w:left w:val="nil"/>
              <w:bottom w:val="nil"/>
              <w:right w:val="nil"/>
            </w:tcBorders>
            <w:vAlign w:val="bottom"/>
          </w:tcPr>
          <w:p w14:paraId="04E72AB9" w14:textId="77777777" w:rsidR="009E3821" w:rsidRPr="009E3821" w:rsidRDefault="009E3821" w:rsidP="009E3821">
            <w:pPr>
              <w:rPr>
                <w:rFonts w:ascii="Arial" w:hAnsi="Arial" w:cs="Arial"/>
              </w:rPr>
            </w:pPr>
            <w:r w:rsidRPr="009E3821">
              <w:rPr>
                <w:rFonts w:ascii="Arial" w:hAnsi="Arial" w:cs="Arial"/>
              </w:rPr>
              <w:t xml:space="preserve"> </w:t>
            </w:r>
          </w:p>
        </w:tc>
      </w:tr>
      <w:tr w:rsidR="009E3821" w:rsidRPr="009E3821" w14:paraId="58525216" w14:textId="77777777" w:rsidTr="009E3821">
        <w:trPr>
          <w:trHeight w:val="300"/>
        </w:trPr>
        <w:tc>
          <w:tcPr>
            <w:tcW w:w="2755" w:type="dxa"/>
            <w:tcBorders>
              <w:top w:val="nil"/>
              <w:left w:val="nil"/>
              <w:bottom w:val="nil"/>
              <w:right w:val="nil"/>
            </w:tcBorders>
          </w:tcPr>
          <w:p w14:paraId="5049994D" w14:textId="77777777" w:rsidR="009E3821" w:rsidRPr="009E3821" w:rsidRDefault="009E3821" w:rsidP="009E3821">
            <w:pPr>
              <w:rPr>
                <w:rFonts w:ascii="Arial" w:hAnsi="Arial" w:cs="Arial"/>
              </w:rPr>
            </w:pPr>
            <w:r w:rsidRPr="009E3821">
              <w:rPr>
                <w:rFonts w:ascii="Arial" w:hAnsi="Arial" w:cs="Arial"/>
              </w:rPr>
              <w:t xml:space="preserve">Discharge </w:t>
            </w:r>
          </w:p>
        </w:tc>
        <w:tc>
          <w:tcPr>
            <w:tcW w:w="736" w:type="dxa"/>
            <w:tcBorders>
              <w:top w:val="nil"/>
              <w:left w:val="nil"/>
              <w:bottom w:val="nil"/>
              <w:right w:val="nil"/>
            </w:tcBorders>
            <w:vAlign w:val="bottom"/>
          </w:tcPr>
          <w:p w14:paraId="328AF79D" w14:textId="77777777" w:rsidR="009E3821" w:rsidRPr="009E3821" w:rsidRDefault="009E3821" w:rsidP="009E3821">
            <w:pPr>
              <w:jc w:val="center"/>
              <w:rPr>
                <w:rFonts w:ascii="Arial" w:hAnsi="Arial" w:cs="Arial"/>
              </w:rPr>
            </w:pPr>
            <w:r w:rsidRPr="009E3821">
              <w:rPr>
                <w:rFonts w:ascii="Arial" w:hAnsi="Arial" w:cs="Arial"/>
              </w:rPr>
              <w:t xml:space="preserve">88 </w:t>
            </w:r>
          </w:p>
        </w:tc>
        <w:tc>
          <w:tcPr>
            <w:tcW w:w="708" w:type="dxa"/>
            <w:tcBorders>
              <w:top w:val="nil"/>
              <w:left w:val="nil"/>
              <w:bottom w:val="nil"/>
              <w:right w:val="nil"/>
            </w:tcBorders>
            <w:vAlign w:val="bottom"/>
          </w:tcPr>
          <w:p w14:paraId="184A174E" w14:textId="77777777" w:rsidR="009E3821" w:rsidRPr="009E3821" w:rsidRDefault="009E3821" w:rsidP="009E3821">
            <w:pPr>
              <w:jc w:val="center"/>
              <w:rPr>
                <w:rFonts w:ascii="Arial" w:hAnsi="Arial" w:cs="Arial"/>
              </w:rPr>
            </w:pPr>
            <w:r w:rsidRPr="009E3821">
              <w:rPr>
                <w:rFonts w:ascii="Arial" w:hAnsi="Arial" w:cs="Arial"/>
              </w:rPr>
              <w:t xml:space="preserve">61,5 </w:t>
            </w:r>
          </w:p>
        </w:tc>
        <w:tc>
          <w:tcPr>
            <w:tcW w:w="709" w:type="dxa"/>
            <w:tcBorders>
              <w:top w:val="nil"/>
              <w:left w:val="nil"/>
              <w:bottom w:val="nil"/>
              <w:right w:val="nil"/>
            </w:tcBorders>
            <w:vAlign w:val="bottom"/>
          </w:tcPr>
          <w:p w14:paraId="6D6CD9EF" w14:textId="77777777" w:rsidR="009E3821" w:rsidRPr="009E3821" w:rsidRDefault="009E3821" w:rsidP="009E3821">
            <w:pPr>
              <w:jc w:val="center"/>
              <w:rPr>
                <w:rFonts w:ascii="Arial" w:hAnsi="Arial" w:cs="Arial"/>
              </w:rPr>
            </w:pPr>
            <w:r w:rsidRPr="009E3821">
              <w:rPr>
                <w:rFonts w:ascii="Arial" w:hAnsi="Arial" w:cs="Arial"/>
              </w:rPr>
              <w:t xml:space="preserve">87 </w:t>
            </w:r>
          </w:p>
        </w:tc>
        <w:tc>
          <w:tcPr>
            <w:tcW w:w="851" w:type="dxa"/>
            <w:tcBorders>
              <w:top w:val="nil"/>
              <w:left w:val="nil"/>
              <w:bottom w:val="nil"/>
              <w:right w:val="nil"/>
            </w:tcBorders>
            <w:vAlign w:val="bottom"/>
          </w:tcPr>
          <w:p w14:paraId="03F1946C" w14:textId="77777777" w:rsidR="009E3821" w:rsidRPr="009E3821" w:rsidRDefault="009E3821" w:rsidP="009E3821">
            <w:pPr>
              <w:jc w:val="center"/>
              <w:rPr>
                <w:rFonts w:ascii="Arial" w:hAnsi="Arial" w:cs="Arial"/>
              </w:rPr>
            </w:pPr>
            <w:r w:rsidRPr="009E3821">
              <w:rPr>
                <w:rFonts w:ascii="Arial" w:hAnsi="Arial" w:cs="Arial"/>
              </w:rPr>
              <w:t xml:space="preserve">61,3 </w:t>
            </w:r>
          </w:p>
        </w:tc>
        <w:tc>
          <w:tcPr>
            <w:tcW w:w="2551" w:type="dxa"/>
            <w:vMerge w:val="restart"/>
            <w:tcBorders>
              <w:top w:val="nil"/>
              <w:left w:val="nil"/>
              <w:bottom w:val="single" w:sz="12" w:space="0" w:color="000000"/>
              <w:right w:val="nil"/>
            </w:tcBorders>
            <w:vAlign w:val="center"/>
          </w:tcPr>
          <w:p w14:paraId="65D7AA9B" w14:textId="77777777" w:rsidR="009E3821" w:rsidRPr="009E3821" w:rsidRDefault="009E3821" w:rsidP="009E3821">
            <w:pPr>
              <w:jc w:val="center"/>
              <w:rPr>
                <w:rFonts w:ascii="Arial" w:hAnsi="Arial" w:cs="Arial"/>
              </w:rPr>
            </w:pPr>
            <w:r w:rsidRPr="009E3821">
              <w:rPr>
                <w:rFonts w:ascii="Arial" w:hAnsi="Arial" w:cs="Arial"/>
              </w:rPr>
              <w:t>X</w:t>
            </w:r>
            <w:r w:rsidRPr="009E3821">
              <w:rPr>
                <w:rFonts w:ascii="Arial" w:hAnsi="Arial" w:cs="Arial"/>
                <w:vertAlign w:val="superscript"/>
              </w:rPr>
              <w:t>2</w:t>
            </w:r>
            <w:r w:rsidRPr="009E3821">
              <w:rPr>
                <w:rFonts w:ascii="Arial" w:hAnsi="Arial" w:cs="Arial"/>
              </w:rPr>
              <w:t xml:space="preserve">= 0,229;  </w:t>
            </w:r>
          </w:p>
          <w:p w14:paraId="1DB8DF11" w14:textId="77777777" w:rsidR="009E3821" w:rsidRPr="009E3821" w:rsidRDefault="009E3821" w:rsidP="009E3821">
            <w:pPr>
              <w:jc w:val="center"/>
              <w:rPr>
                <w:rFonts w:ascii="Arial" w:hAnsi="Arial" w:cs="Arial"/>
              </w:rPr>
            </w:pPr>
            <w:r w:rsidRPr="009E3821">
              <w:rPr>
                <w:rFonts w:ascii="Arial" w:hAnsi="Arial" w:cs="Arial"/>
              </w:rPr>
              <w:t xml:space="preserve">p= 0,892 </w:t>
            </w:r>
          </w:p>
        </w:tc>
      </w:tr>
      <w:tr w:rsidR="009E3821" w:rsidRPr="009E3821" w14:paraId="745E5443" w14:textId="77777777" w:rsidTr="009E3821">
        <w:trPr>
          <w:trHeight w:val="300"/>
        </w:trPr>
        <w:tc>
          <w:tcPr>
            <w:tcW w:w="2755" w:type="dxa"/>
            <w:tcBorders>
              <w:top w:val="nil"/>
              <w:left w:val="nil"/>
              <w:right w:val="nil"/>
            </w:tcBorders>
          </w:tcPr>
          <w:p w14:paraId="6923F7B2" w14:textId="77777777" w:rsidR="009E3821" w:rsidRPr="009E3821" w:rsidRDefault="009E3821" w:rsidP="009E3821">
            <w:pPr>
              <w:rPr>
                <w:rFonts w:ascii="Arial" w:hAnsi="Arial" w:cs="Arial"/>
              </w:rPr>
            </w:pPr>
            <w:r w:rsidRPr="009E3821">
              <w:rPr>
                <w:rFonts w:ascii="Arial" w:hAnsi="Arial" w:cs="Arial"/>
              </w:rPr>
              <w:t xml:space="preserve">Death </w:t>
            </w:r>
          </w:p>
        </w:tc>
        <w:tc>
          <w:tcPr>
            <w:tcW w:w="736" w:type="dxa"/>
            <w:tcBorders>
              <w:top w:val="nil"/>
              <w:left w:val="nil"/>
              <w:right w:val="nil"/>
            </w:tcBorders>
            <w:vAlign w:val="bottom"/>
          </w:tcPr>
          <w:p w14:paraId="23E26279" w14:textId="77777777" w:rsidR="009E3821" w:rsidRPr="009E3821" w:rsidRDefault="009E3821" w:rsidP="009E3821">
            <w:pPr>
              <w:jc w:val="center"/>
              <w:rPr>
                <w:rFonts w:ascii="Arial" w:hAnsi="Arial" w:cs="Arial"/>
              </w:rPr>
            </w:pPr>
            <w:r w:rsidRPr="009E3821">
              <w:rPr>
                <w:rFonts w:ascii="Arial" w:hAnsi="Arial" w:cs="Arial"/>
              </w:rPr>
              <w:t xml:space="preserve">45 </w:t>
            </w:r>
          </w:p>
        </w:tc>
        <w:tc>
          <w:tcPr>
            <w:tcW w:w="708" w:type="dxa"/>
            <w:tcBorders>
              <w:top w:val="nil"/>
              <w:left w:val="nil"/>
              <w:right w:val="nil"/>
            </w:tcBorders>
            <w:vAlign w:val="bottom"/>
          </w:tcPr>
          <w:p w14:paraId="3EE88AA2" w14:textId="77777777" w:rsidR="009E3821" w:rsidRPr="009E3821" w:rsidRDefault="009E3821" w:rsidP="009E3821">
            <w:pPr>
              <w:jc w:val="center"/>
              <w:rPr>
                <w:rFonts w:ascii="Arial" w:hAnsi="Arial" w:cs="Arial"/>
              </w:rPr>
            </w:pPr>
            <w:r w:rsidRPr="009E3821">
              <w:rPr>
                <w:rFonts w:ascii="Arial" w:hAnsi="Arial" w:cs="Arial"/>
              </w:rPr>
              <w:t xml:space="preserve">31,5 </w:t>
            </w:r>
          </w:p>
        </w:tc>
        <w:tc>
          <w:tcPr>
            <w:tcW w:w="709" w:type="dxa"/>
            <w:tcBorders>
              <w:top w:val="nil"/>
              <w:left w:val="nil"/>
              <w:right w:val="nil"/>
            </w:tcBorders>
            <w:vAlign w:val="bottom"/>
          </w:tcPr>
          <w:p w14:paraId="7A1B380C" w14:textId="77777777" w:rsidR="009E3821" w:rsidRPr="009E3821" w:rsidRDefault="009E3821" w:rsidP="009E3821">
            <w:pPr>
              <w:jc w:val="center"/>
              <w:rPr>
                <w:rFonts w:ascii="Arial" w:hAnsi="Arial" w:cs="Arial"/>
              </w:rPr>
            </w:pPr>
            <w:r w:rsidRPr="009E3821">
              <w:rPr>
                <w:rFonts w:ascii="Arial" w:hAnsi="Arial" w:cs="Arial"/>
              </w:rPr>
              <w:t xml:space="preserve">43 </w:t>
            </w:r>
          </w:p>
        </w:tc>
        <w:tc>
          <w:tcPr>
            <w:tcW w:w="851" w:type="dxa"/>
            <w:tcBorders>
              <w:top w:val="nil"/>
              <w:left w:val="nil"/>
              <w:right w:val="nil"/>
            </w:tcBorders>
            <w:vAlign w:val="bottom"/>
          </w:tcPr>
          <w:p w14:paraId="01422457" w14:textId="77777777" w:rsidR="009E3821" w:rsidRPr="009E3821" w:rsidRDefault="009E3821" w:rsidP="009E3821">
            <w:pPr>
              <w:jc w:val="center"/>
              <w:rPr>
                <w:rFonts w:ascii="Arial" w:hAnsi="Arial" w:cs="Arial"/>
              </w:rPr>
            </w:pPr>
            <w:r w:rsidRPr="009E3821">
              <w:rPr>
                <w:rFonts w:ascii="Arial" w:hAnsi="Arial" w:cs="Arial"/>
              </w:rPr>
              <w:t xml:space="preserve">30,3 </w:t>
            </w:r>
          </w:p>
        </w:tc>
        <w:tc>
          <w:tcPr>
            <w:tcW w:w="2551" w:type="dxa"/>
            <w:vMerge/>
            <w:tcBorders>
              <w:top w:val="nil"/>
              <w:left w:val="nil"/>
              <w:bottom w:val="single" w:sz="12" w:space="0" w:color="000000"/>
              <w:right w:val="nil"/>
            </w:tcBorders>
            <w:vAlign w:val="center"/>
          </w:tcPr>
          <w:p w14:paraId="6178DA5F" w14:textId="77777777" w:rsidR="009E3821" w:rsidRPr="009E3821" w:rsidRDefault="009E3821" w:rsidP="009E3821">
            <w:pPr>
              <w:widowControl w:val="0"/>
              <w:pBdr>
                <w:top w:val="nil"/>
                <w:left w:val="nil"/>
                <w:bottom w:val="nil"/>
                <w:right w:val="nil"/>
                <w:between w:val="nil"/>
              </w:pBdr>
              <w:rPr>
                <w:rFonts w:ascii="Arial" w:hAnsi="Arial" w:cs="Arial"/>
              </w:rPr>
            </w:pPr>
          </w:p>
        </w:tc>
      </w:tr>
      <w:tr w:rsidR="009E3821" w:rsidRPr="009E3821" w14:paraId="53EFA702" w14:textId="77777777" w:rsidTr="009E3821">
        <w:trPr>
          <w:trHeight w:val="300"/>
        </w:trPr>
        <w:tc>
          <w:tcPr>
            <w:tcW w:w="2755" w:type="dxa"/>
            <w:tcBorders>
              <w:top w:val="nil"/>
              <w:left w:val="nil"/>
              <w:bottom w:val="single" w:sz="12" w:space="0" w:color="000000"/>
              <w:right w:val="nil"/>
            </w:tcBorders>
          </w:tcPr>
          <w:p w14:paraId="61D38D44" w14:textId="77777777" w:rsidR="009E3821" w:rsidRPr="009E3821" w:rsidRDefault="009E3821" w:rsidP="009E3821">
            <w:pPr>
              <w:rPr>
                <w:rFonts w:ascii="Arial" w:hAnsi="Arial" w:cs="Arial"/>
              </w:rPr>
            </w:pPr>
            <w:r w:rsidRPr="009E3821">
              <w:rPr>
                <w:rFonts w:ascii="Arial" w:hAnsi="Arial" w:cs="Arial"/>
              </w:rPr>
              <w:t xml:space="preserve">Transfer/Evasion </w:t>
            </w:r>
          </w:p>
        </w:tc>
        <w:tc>
          <w:tcPr>
            <w:tcW w:w="736" w:type="dxa"/>
            <w:tcBorders>
              <w:top w:val="nil"/>
              <w:left w:val="nil"/>
              <w:bottom w:val="single" w:sz="12" w:space="0" w:color="000000"/>
              <w:right w:val="nil"/>
            </w:tcBorders>
            <w:vAlign w:val="bottom"/>
          </w:tcPr>
          <w:p w14:paraId="0BDF5E85" w14:textId="77777777" w:rsidR="009E3821" w:rsidRPr="009E3821" w:rsidRDefault="009E3821" w:rsidP="009E3821">
            <w:pPr>
              <w:jc w:val="center"/>
              <w:rPr>
                <w:rFonts w:ascii="Arial" w:hAnsi="Arial" w:cs="Arial"/>
              </w:rPr>
            </w:pPr>
            <w:r w:rsidRPr="009E3821">
              <w:rPr>
                <w:rFonts w:ascii="Arial" w:hAnsi="Arial" w:cs="Arial"/>
              </w:rPr>
              <w:t xml:space="preserve">10 </w:t>
            </w:r>
          </w:p>
        </w:tc>
        <w:tc>
          <w:tcPr>
            <w:tcW w:w="708" w:type="dxa"/>
            <w:tcBorders>
              <w:top w:val="nil"/>
              <w:left w:val="nil"/>
              <w:bottom w:val="single" w:sz="12" w:space="0" w:color="000000"/>
              <w:right w:val="nil"/>
            </w:tcBorders>
            <w:vAlign w:val="bottom"/>
          </w:tcPr>
          <w:p w14:paraId="1339CE9D" w14:textId="77777777" w:rsidR="009E3821" w:rsidRPr="009E3821" w:rsidRDefault="009E3821" w:rsidP="009E3821">
            <w:pPr>
              <w:jc w:val="center"/>
              <w:rPr>
                <w:rFonts w:ascii="Arial" w:hAnsi="Arial" w:cs="Arial"/>
              </w:rPr>
            </w:pPr>
            <w:r w:rsidRPr="009E3821">
              <w:rPr>
                <w:rFonts w:ascii="Arial" w:hAnsi="Arial" w:cs="Arial"/>
              </w:rPr>
              <w:t xml:space="preserve">7,0 </w:t>
            </w:r>
          </w:p>
        </w:tc>
        <w:tc>
          <w:tcPr>
            <w:tcW w:w="709" w:type="dxa"/>
            <w:tcBorders>
              <w:top w:val="nil"/>
              <w:left w:val="nil"/>
              <w:bottom w:val="single" w:sz="12" w:space="0" w:color="000000"/>
              <w:right w:val="nil"/>
            </w:tcBorders>
            <w:vAlign w:val="bottom"/>
          </w:tcPr>
          <w:p w14:paraId="2BB81CA7" w14:textId="77777777" w:rsidR="009E3821" w:rsidRPr="009E3821" w:rsidRDefault="009E3821" w:rsidP="009E3821">
            <w:pPr>
              <w:jc w:val="center"/>
              <w:rPr>
                <w:rFonts w:ascii="Arial" w:hAnsi="Arial" w:cs="Arial"/>
              </w:rPr>
            </w:pPr>
            <w:r w:rsidRPr="009E3821">
              <w:rPr>
                <w:rFonts w:ascii="Arial" w:hAnsi="Arial" w:cs="Arial"/>
              </w:rPr>
              <w:t xml:space="preserve">12 </w:t>
            </w:r>
          </w:p>
        </w:tc>
        <w:tc>
          <w:tcPr>
            <w:tcW w:w="851" w:type="dxa"/>
            <w:tcBorders>
              <w:top w:val="nil"/>
              <w:left w:val="nil"/>
              <w:bottom w:val="single" w:sz="12" w:space="0" w:color="000000"/>
              <w:right w:val="nil"/>
            </w:tcBorders>
            <w:vAlign w:val="bottom"/>
          </w:tcPr>
          <w:p w14:paraId="512FEE4F" w14:textId="77777777" w:rsidR="009E3821" w:rsidRPr="009E3821" w:rsidRDefault="009E3821" w:rsidP="009E3821">
            <w:pPr>
              <w:jc w:val="center"/>
              <w:rPr>
                <w:rFonts w:ascii="Arial" w:hAnsi="Arial" w:cs="Arial"/>
              </w:rPr>
            </w:pPr>
            <w:r w:rsidRPr="009E3821">
              <w:rPr>
                <w:rFonts w:ascii="Arial" w:hAnsi="Arial" w:cs="Arial"/>
              </w:rPr>
              <w:t>8,5</w:t>
            </w:r>
          </w:p>
        </w:tc>
        <w:tc>
          <w:tcPr>
            <w:tcW w:w="2551" w:type="dxa"/>
            <w:vMerge/>
            <w:tcBorders>
              <w:top w:val="nil"/>
              <w:left w:val="nil"/>
              <w:bottom w:val="single" w:sz="12" w:space="0" w:color="000000"/>
              <w:right w:val="nil"/>
            </w:tcBorders>
            <w:vAlign w:val="center"/>
          </w:tcPr>
          <w:p w14:paraId="36D63D05" w14:textId="77777777" w:rsidR="009E3821" w:rsidRPr="009E3821" w:rsidRDefault="009E3821" w:rsidP="009E3821">
            <w:pPr>
              <w:widowControl w:val="0"/>
              <w:pBdr>
                <w:top w:val="nil"/>
                <w:left w:val="nil"/>
                <w:bottom w:val="nil"/>
                <w:right w:val="nil"/>
                <w:between w:val="nil"/>
              </w:pBdr>
              <w:rPr>
                <w:rFonts w:ascii="Arial" w:hAnsi="Arial" w:cs="Arial"/>
              </w:rPr>
            </w:pPr>
          </w:p>
        </w:tc>
      </w:tr>
    </w:tbl>
    <w:p w14:paraId="2BE6C86D" w14:textId="77777777" w:rsidR="009E3821" w:rsidRPr="009E3821" w:rsidRDefault="009E3821" w:rsidP="009E3821">
      <w:pPr>
        <w:spacing w:line="360" w:lineRule="auto"/>
        <w:jc w:val="both"/>
        <w:rPr>
          <w:rFonts w:ascii="Arial" w:hAnsi="Arial" w:cs="Arial"/>
          <w:color w:val="000000"/>
        </w:rPr>
      </w:pPr>
      <w:r w:rsidRPr="009E3821">
        <w:rPr>
          <w:rFonts w:ascii="Arial" w:hAnsi="Arial" w:cs="Arial"/>
        </w:rPr>
        <w:t>Source: The authors (2023).</w:t>
      </w:r>
    </w:p>
    <w:p w14:paraId="6AE610F7" w14:textId="77777777" w:rsidR="009E3821" w:rsidRPr="006B0F6C" w:rsidRDefault="009E3821" w:rsidP="00FE535E">
      <w:pPr>
        <w:jc w:val="both"/>
        <w:rPr>
          <w:rFonts w:ascii="Arial" w:hAnsi="Arial" w:cs="Arial"/>
        </w:rPr>
      </w:pPr>
    </w:p>
    <w:p w14:paraId="398B1E08" w14:textId="77777777" w:rsidR="00FE535E" w:rsidRPr="006B0F6C" w:rsidRDefault="00FE535E" w:rsidP="00FE535E">
      <w:pPr>
        <w:jc w:val="both"/>
        <w:rPr>
          <w:rFonts w:ascii="Arial" w:hAnsi="Arial" w:cs="Arial"/>
        </w:rPr>
      </w:pPr>
      <w:r w:rsidRPr="006B0F6C">
        <w:rPr>
          <w:rFonts w:ascii="Arial" w:hAnsi="Arial" w:cs="Arial"/>
        </w:rPr>
        <w:t xml:space="preserve">There was no significant difference (U = 37.5; p &gt; 0.05) between the complications: hemodynamic shock (6.1%, 5.4%); </w:t>
      </w:r>
      <w:proofErr w:type="spellStart"/>
      <w:r w:rsidRPr="006B0F6C">
        <w:rPr>
          <w:rFonts w:ascii="Arial" w:hAnsi="Arial" w:cs="Arial"/>
        </w:rPr>
        <w:t>acidobasic</w:t>
      </w:r>
      <w:proofErr w:type="spellEnd"/>
      <w:r w:rsidRPr="006B0F6C">
        <w:rPr>
          <w:rFonts w:ascii="Arial" w:hAnsi="Arial" w:cs="Arial"/>
        </w:rPr>
        <w:t xml:space="preserve"> disorders (6.7%, 10.2%); </w:t>
      </w:r>
      <w:proofErr w:type="spellStart"/>
      <w:r w:rsidRPr="006B0F6C">
        <w:rPr>
          <w:rFonts w:ascii="Arial" w:hAnsi="Arial" w:cs="Arial"/>
        </w:rPr>
        <w:t>hydroelectrolytic</w:t>
      </w:r>
      <w:proofErr w:type="spellEnd"/>
      <w:r w:rsidRPr="006B0F6C">
        <w:rPr>
          <w:rFonts w:ascii="Arial" w:hAnsi="Arial" w:cs="Arial"/>
        </w:rPr>
        <w:t xml:space="preserve"> disorders (18.4%, 26.3%); hypotension (7.4%, 10.2%); acute or chronic acute renal failure (8.0%, 7.2%); pneumonia (11.0%, 5.4%); severe acute respiratory distress syndrome (3.1%, 3.6%); septic shock (7.4%, 6.6%); and other complications (31.9%, 25.1), for year 1 and 2, respectively.</w:t>
      </w:r>
    </w:p>
    <w:p w14:paraId="290BF658" w14:textId="71E7582E" w:rsidR="00FE535E" w:rsidRDefault="00FE535E" w:rsidP="00FE535E">
      <w:pPr>
        <w:jc w:val="both"/>
        <w:rPr>
          <w:rFonts w:ascii="Arial" w:hAnsi="Arial" w:cs="Arial"/>
        </w:rPr>
      </w:pPr>
      <w:r w:rsidRPr="006B0F6C">
        <w:rPr>
          <w:rFonts w:ascii="Arial" w:hAnsi="Arial" w:cs="Arial"/>
        </w:rPr>
        <w:t xml:space="preserve">However, there was a significant association between age and the periods analyzed (p &lt; 0.05), with the average in year 1 being higher than in year 2 (59.8 and 56.6, respectively). Length of stay also showed a significant association (p &lt; 0.05), with an average of 9.5 days in year 1 and 11.8 in year 2, with the maximum number of days hospitalized decreasing from 76 to 58 from the first to the second period. As for saturation, the average (91%) remained the same in both years, with no significant association (p = 0.641). Similarly, orotracheal intubation time averaged 2.4 days in year 1 and 4.3 in year 2 (p = 0.081) (Table III). </w:t>
      </w:r>
    </w:p>
    <w:p w14:paraId="532EE05C" w14:textId="6C5CA771" w:rsidR="00FE535E" w:rsidRDefault="00FE535E" w:rsidP="00FE535E">
      <w:pPr>
        <w:jc w:val="both"/>
        <w:rPr>
          <w:rFonts w:ascii="Arial" w:hAnsi="Arial" w:cs="Arial"/>
        </w:rPr>
      </w:pPr>
    </w:p>
    <w:p w14:paraId="360142BE" w14:textId="304BABB3" w:rsidR="009E3821" w:rsidRPr="009E3821" w:rsidRDefault="009E3821" w:rsidP="009E3821">
      <w:pPr>
        <w:jc w:val="center"/>
        <w:rPr>
          <w:rFonts w:ascii="Arial" w:hAnsi="Arial" w:cs="Arial"/>
          <w:b/>
          <w:color w:val="000000"/>
        </w:rPr>
      </w:pPr>
      <w:r w:rsidRPr="009E3821">
        <w:rPr>
          <w:rFonts w:ascii="Arial" w:hAnsi="Arial" w:cs="Arial"/>
          <w:b/>
        </w:rPr>
        <w:t>Table III. Clinical profile and care provided to patients admitted with Covid-19 to a Brazilian public hospital in year 1 (March 11, 2020 to March 11, 2021) and year 2 (March 12, 2021 to March 11, 2022). U = Mann-Whitney test.</w:t>
      </w:r>
    </w:p>
    <w:tbl>
      <w:tblPr>
        <w:tblW w:w="8312" w:type="dxa"/>
        <w:tblInd w:w="-90" w:type="dxa"/>
        <w:tblLayout w:type="fixed"/>
        <w:tblLook w:val="0400" w:firstRow="0" w:lastRow="0" w:firstColumn="0" w:lastColumn="0" w:noHBand="0" w:noVBand="1"/>
      </w:tblPr>
      <w:tblGrid>
        <w:gridCol w:w="2027"/>
        <w:gridCol w:w="757"/>
        <w:gridCol w:w="1417"/>
        <w:gridCol w:w="1134"/>
        <w:gridCol w:w="1276"/>
        <w:gridCol w:w="1701"/>
      </w:tblGrid>
      <w:tr w:rsidR="009E3821" w:rsidRPr="009E3821" w14:paraId="50362D88" w14:textId="77777777" w:rsidTr="009E3821">
        <w:trPr>
          <w:trHeight w:val="300"/>
        </w:trPr>
        <w:tc>
          <w:tcPr>
            <w:tcW w:w="2027" w:type="dxa"/>
            <w:tcBorders>
              <w:top w:val="single" w:sz="12" w:space="0" w:color="000000"/>
              <w:left w:val="nil"/>
              <w:bottom w:val="single" w:sz="8" w:space="0" w:color="000000"/>
              <w:right w:val="nil"/>
            </w:tcBorders>
            <w:tcMar>
              <w:top w:w="0" w:type="dxa"/>
              <w:left w:w="45" w:type="dxa"/>
              <w:bottom w:w="0" w:type="dxa"/>
              <w:right w:w="45" w:type="dxa"/>
            </w:tcMar>
            <w:vAlign w:val="bottom"/>
            <w:hideMark/>
          </w:tcPr>
          <w:p w14:paraId="696A31D0" w14:textId="77777777" w:rsidR="009E3821" w:rsidRPr="009E3821" w:rsidRDefault="009E3821" w:rsidP="009E3821">
            <w:pPr>
              <w:jc w:val="center"/>
              <w:rPr>
                <w:rFonts w:ascii="Arial" w:hAnsi="Arial" w:cs="Arial"/>
              </w:rPr>
            </w:pPr>
            <w:r w:rsidRPr="009E3821">
              <w:rPr>
                <w:rFonts w:ascii="Arial" w:hAnsi="Arial" w:cs="Arial"/>
                <w:b/>
              </w:rPr>
              <w:t>Variables</w:t>
            </w:r>
          </w:p>
        </w:tc>
        <w:tc>
          <w:tcPr>
            <w:tcW w:w="757" w:type="dxa"/>
            <w:tcBorders>
              <w:top w:val="single" w:sz="12" w:space="0" w:color="000000"/>
              <w:left w:val="nil"/>
              <w:bottom w:val="single" w:sz="8" w:space="0" w:color="000000"/>
              <w:right w:val="nil"/>
            </w:tcBorders>
            <w:tcMar>
              <w:top w:w="0" w:type="dxa"/>
              <w:left w:w="45" w:type="dxa"/>
              <w:bottom w:w="0" w:type="dxa"/>
              <w:right w:w="45" w:type="dxa"/>
            </w:tcMar>
            <w:vAlign w:val="bottom"/>
            <w:hideMark/>
          </w:tcPr>
          <w:p w14:paraId="2A05DAA5" w14:textId="77777777" w:rsidR="009E3821" w:rsidRPr="009E3821" w:rsidRDefault="009E3821" w:rsidP="009E3821">
            <w:pPr>
              <w:jc w:val="center"/>
              <w:rPr>
                <w:rFonts w:ascii="Arial" w:hAnsi="Arial" w:cs="Arial"/>
              </w:rPr>
            </w:pPr>
            <w:r w:rsidRPr="009E3821">
              <w:rPr>
                <w:rFonts w:ascii="Arial" w:hAnsi="Arial" w:cs="Arial"/>
                <w:b/>
              </w:rPr>
              <w:t>Year</w:t>
            </w:r>
          </w:p>
        </w:tc>
        <w:tc>
          <w:tcPr>
            <w:tcW w:w="1417" w:type="dxa"/>
            <w:tcBorders>
              <w:top w:val="single" w:sz="12" w:space="0" w:color="000000"/>
              <w:left w:val="nil"/>
              <w:bottom w:val="single" w:sz="8" w:space="0" w:color="000000"/>
              <w:right w:val="nil"/>
            </w:tcBorders>
            <w:tcMar>
              <w:top w:w="0" w:type="dxa"/>
              <w:left w:w="45" w:type="dxa"/>
              <w:bottom w:w="0" w:type="dxa"/>
              <w:right w:w="45" w:type="dxa"/>
            </w:tcMar>
            <w:vAlign w:val="bottom"/>
            <w:hideMark/>
          </w:tcPr>
          <w:p w14:paraId="3DA1BCDD" w14:textId="77777777" w:rsidR="009E3821" w:rsidRPr="009E3821" w:rsidRDefault="009E3821" w:rsidP="009E3821">
            <w:pPr>
              <w:jc w:val="center"/>
              <w:rPr>
                <w:rFonts w:ascii="Arial" w:hAnsi="Arial" w:cs="Arial"/>
              </w:rPr>
            </w:pPr>
            <w:r w:rsidRPr="009E3821">
              <w:rPr>
                <w:rFonts w:ascii="Arial" w:hAnsi="Arial" w:cs="Arial"/>
                <w:b/>
              </w:rPr>
              <w:t>Average (SD)</w:t>
            </w:r>
          </w:p>
        </w:tc>
        <w:tc>
          <w:tcPr>
            <w:tcW w:w="1134" w:type="dxa"/>
            <w:tcBorders>
              <w:top w:val="single" w:sz="12" w:space="0" w:color="000000"/>
              <w:left w:val="nil"/>
              <w:bottom w:val="single" w:sz="8" w:space="0" w:color="000000"/>
              <w:right w:val="nil"/>
            </w:tcBorders>
            <w:tcMar>
              <w:top w:w="0" w:type="dxa"/>
              <w:left w:w="45" w:type="dxa"/>
              <w:bottom w:w="0" w:type="dxa"/>
              <w:right w:w="45" w:type="dxa"/>
            </w:tcMar>
            <w:hideMark/>
          </w:tcPr>
          <w:p w14:paraId="00D74AB9" w14:textId="77777777" w:rsidR="009E3821" w:rsidRPr="009E3821" w:rsidRDefault="009E3821" w:rsidP="009E3821">
            <w:pPr>
              <w:jc w:val="center"/>
              <w:rPr>
                <w:rFonts w:ascii="Arial" w:hAnsi="Arial" w:cs="Arial"/>
                <w:b/>
              </w:rPr>
            </w:pPr>
            <w:r w:rsidRPr="009E3821">
              <w:rPr>
                <w:rFonts w:ascii="Arial" w:hAnsi="Arial" w:cs="Arial"/>
                <w:b/>
              </w:rPr>
              <w:t>Minimum value</w:t>
            </w:r>
          </w:p>
        </w:tc>
        <w:tc>
          <w:tcPr>
            <w:tcW w:w="1276" w:type="dxa"/>
            <w:tcBorders>
              <w:top w:val="single" w:sz="12" w:space="0" w:color="000000"/>
              <w:left w:val="nil"/>
              <w:bottom w:val="single" w:sz="8" w:space="0" w:color="000000"/>
              <w:right w:val="nil"/>
            </w:tcBorders>
            <w:tcMar>
              <w:top w:w="0" w:type="dxa"/>
              <w:left w:w="45" w:type="dxa"/>
              <w:bottom w:w="0" w:type="dxa"/>
              <w:right w:w="45" w:type="dxa"/>
            </w:tcMar>
            <w:hideMark/>
          </w:tcPr>
          <w:p w14:paraId="5E5A45EA" w14:textId="77777777" w:rsidR="009E3821" w:rsidRPr="009E3821" w:rsidRDefault="009E3821" w:rsidP="009E3821">
            <w:pPr>
              <w:jc w:val="center"/>
              <w:rPr>
                <w:rFonts w:ascii="Arial" w:hAnsi="Arial" w:cs="Arial"/>
                <w:b/>
              </w:rPr>
            </w:pPr>
            <w:r w:rsidRPr="009E3821">
              <w:rPr>
                <w:rFonts w:ascii="Arial" w:hAnsi="Arial" w:cs="Arial"/>
                <w:b/>
              </w:rPr>
              <w:t>Maximum value</w:t>
            </w:r>
          </w:p>
        </w:tc>
        <w:tc>
          <w:tcPr>
            <w:tcW w:w="1701" w:type="dxa"/>
            <w:tcBorders>
              <w:top w:val="single" w:sz="12" w:space="0" w:color="000000"/>
              <w:left w:val="nil"/>
              <w:bottom w:val="single" w:sz="8" w:space="0" w:color="000000"/>
              <w:right w:val="nil"/>
            </w:tcBorders>
            <w:tcMar>
              <w:top w:w="0" w:type="dxa"/>
              <w:left w:w="45" w:type="dxa"/>
              <w:bottom w:w="0" w:type="dxa"/>
              <w:right w:w="45" w:type="dxa"/>
            </w:tcMar>
            <w:vAlign w:val="bottom"/>
            <w:hideMark/>
          </w:tcPr>
          <w:p w14:paraId="48391061" w14:textId="77777777" w:rsidR="009E3821" w:rsidRPr="009E3821" w:rsidRDefault="009E3821" w:rsidP="009E3821">
            <w:pPr>
              <w:jc w:val="center"/>
              <w:rPr>
                <w:rFonts w:ascii="Arial" w:hAnsi="Arial" w:cs="Arial"/>
                <w:b/>
              </w:rPr>
            </w:pPr>
            <w:r w:rsidRPr="009E3821">
              <w:rPr>
                <w:rFonts w:ascii="Arial" w:hAnsi="Arial" w:cs="Arial"/>
                <w:b/>
              </w:rPr>
              <w:t>Significance</w:t>
            </w:r>
          </w:p>
        </w:tc>
      </w:tr>
      <w:tr w:rsidR="009E3821" w:rsidRPr="009E3821" w14:paraId="3A362E25" w14:textId="77777777" w:rsidTr="009E3821">
        <w:trPr>
          <w:trHeight w:val="300"/>
        </w:trPr>
        <w:tc>
          <w:tcPr>
            <w:tcW w:w="2027" w:type="dxa"/>
            <w:vMerge w:val="restart"/>
            <w:tcMar>
              <w:top w:w="0" w:type="dxa"/>
              <w:left w:w="45" w:type="dxa"/>
              <w:bottom w:w="0" w:type="dxa"/>
              <w:right w:w="45" w:type="dxa"/>
            </w:tcMar>
            <w:vAlign w:val="center"/>
            <w:hideMark/>
          </w:tcPr>
          <w:p w14:paraId="497DA182" w14:textId="77777777" w:rsidR="009E3821" w:rsidRPr="009E3821" w:rsidRDefault="009E3821" w:rsidP="009E3821">
            <w:pPr>
              <w:jc w:val="center"/>
              <w:rPr>
                <w:rFonts w:ascii="Arial" w:hAnsi="Arial" w:cs="Arial"/>
                <w:bCs/>
              </w:rPr>
            </w:pPr>
            <w:r w:rsidRPr="009E3821">
              <w:rPr>
                <w:rFonts w:ascii="Arial" w:hAnsi="Arial" w:cs="Arial"/>
                <w:bCs/>
              </w:rPr>
              <w:t>Age (years)</w:t>
            </w:r>
          </w:p>
        </w:tc>
        <w:tc>
          <w:tcPr>
            <w:tcW w:w="757" w:type="dxa"/>
            <w:tcMar>
              <w:top w:w="0" w:type="dxa"/>
              <w:left w:w="45" w:type="dxa"/>
              <w:bottom w:w="0" w:type="dxa"/>
              <w:right w:w="45" w:type="dxa"/>
            </w:tcMar>
            <w:vAlign w:val="bottom"/>
            <w:hideMark/>
          </w:tcPr>
          <w:p w14:paraId="73A9CFAA" w14:textId="77777777" w:rsidR="009E3821" w:rsidRPr="009E3821" w:rsidRDefault="009E3821" w:rsidP="009E3821">
            <w:pPr>
              <w:jc w:val="center"/>
              <w:rPr>
                <w:rFonts w:ascii="Arial" w:hAnsi="Arial" w:cs="Arial"/>
              </w:rPr>
            </w:pPr>
            <w:r w:rsidRPr="009E3821">
              <w:rPr>
                <w:rFonts w:ascii="Arial" w:hAnsi="Arial" w:cs="Arial"/>
              </w:rPr>
              <w:t>1</w:t>
            </w:r>
          </w:p>
        </w:tc>
        <w:tc>
          <w:tcPr>
            <w:tcW w:w="1417" w:type="dxa"/>
            <w:tcMar>
              <w:top w:w="0" w:type="dxa"/>
              <w:left w:w="45" w:type="dxa"/>
              <w:bottom w:w="0" w:type="dxa"/>
              <w:right w:w="45" w:type="dxa"/>
            </w:tcMar>
            <w:vAlign w:val="bottom"/>
            <w:hideMark/>
          </w:tcPr>
          <w:p w14:paraId="5490ABFC" w14:textId="77777777" w:rsidR="009E3821" w:rsidRPr="009E3821" w:rsidRDefault="009E3821" w:rsidP="009E3821">
            <w:pPr>
              <w:jc w:val="center"/>
              <w:rPr>
                <w:rFonts w:ascii="Arial" w:hAnsi="Arial" w:cs="Arial"/>
              </w:rPr>
            </w:pPr>
            <w:r w:rsidRPr="009E3821">
              <w:rPr>
                <w:rFonts w:ascii="Arial" w:hAnsi="Arial" w:cs="Arial"/>
              </w:rPr>
              <w:t>59,8 (16,7)</w:t>
            </w:r>
          </w:p>
        </w:tc>
        <w:tc>
          <w:tcPr>
            <w:tcW w:w="1134" w:type="dxa"/>
            <w:tcMar>
              <w:top w:w="0" w:type="dxa"/>
              <w:left w:w="45" w:type="dxa"/>
              <w:bottom w:w="0" w:type="dxa"/>
              <w:right w:w="45" w:type="dxa"/>
            </w:tcMar>
            <w:vAlign w:val="bottom"/>
            <w:hideMark/>
          </w:tcPr>
          <w:p w14:paraId="4D22CCDF" w14:textId="77777777" w:rsidR="009E3821" w:rsidRPr="009E3821" w:rsidRDefault="009E3821" w:rsidP="009E3821">
            <w:pPr>
              <w:jc w:val="center"/>
              <w:rPr>
                <w:rFonts w:ascii="Arial" w:hAnsi="Arial" w:cs="Arial"/>
              </w:rPr>
            </w:pPr>
            <w:r w:rsidRPr="009E3821">
              <w:rPr>
                <w:rFonts w:ascii="Arial" w:hAnsi="Arial" w:cs="Arial"/>
              </w:rPr>
              <w:t>19,0</w:t>
            </w:r>
          </w:p>
        </w:tc>
        <w:tc>
          <w:tcPr>
            <w:tcW w:w="1276" w:type="dxa"/>
            <w:tcMar>
              <w:top w:w="0" w:type="dxa"/>
              <w:left w:w="45" w:type="dxa"/>
              <w:bottom w:w="0" w:type="dxa"/>
              <w:right w:w="45" w:type="dxa"/>
            </w:tcMar>
            <w:vAlign w:val="bottom"/>
            <w:hideMark/>
          </w:tcPr>
          <w:p w14:paraId="4B1A572F" w14:textId="77777777" w:rsidR="009E3821" w:rsidRPr="009E3821" w:rsidRDefault="009E3821" w:rsidP="009E3821">
            <w:pPr>
              <w:jc w:val="center"/>
              <w:rPr>
                <w:rFonts w:ascii="Arial" w:hAnsi="Arial" w:cs="Arial"/>
              </w:rPr>
            </w:pPr>
            <w:r w:rsidRPr="009E3821">
              <w:rPr>
                <w:rFonts w:ascii="Arial" w:hAnsi="Arial" w:cs="Arial"/>
              </w:rPr>
              <w:t>92,0</w:t>
            </w:r>
          </w:p>
        </w:tc>
        <w:tc>
          <w:tcPr>
            <w:tcW w:w="1701" w:type="dxa"/>
            <w:vMerge w:val="restart"/>
            <w:tcMar>
              <w:top w:w="0" w:type="dxa"/>
              <w:left w:w="45" w:type="dxa"/>
              <w:bottom w:w="0" w:type="dxa"/>
              <w:right w:w="45" w:type="dxa"/>
            </w:tcMar>
            <w:vAlign w:val="bottom"/>
            <w:hideMark/>
          </w:tcPr>
          <w:p w14:paraId="4C8F8D8D" w14:textId="77777777" w:rsidR="009E3821" w:rsidRPr="009E3821" w:rsidRDefault="009E3821" w:rsidP="009E3821">
            <w:pPr>
              <w:jc w:val="center"/>
              <w:rPr>
                <w:rFonts w:ascii="Arial" w:hAnsi="Arial" w:cs="Arial"/>
              </w:rPr>
            </w:pPr>
            <w:r w:rsidRPr="009E3821">
              <w:rPr>
                <w:rFonts w:ascii="Arial" w:hAnsi="Arial" w:cs="Arial"/>
              </w:rPr>
              <w:t>U= 8775,0; p= 0,048*</w:t>
            </w:r>
          </w:p>
        </w:tc>
      </w:tr>
      <w:tr w:rsidR="009E3821" w:rsidRPr="009E3821" w14:paraId="489FE5AA" w14:textId="77777777" w:rsidTr="009E3821">
        <w:trPr>
          <w:trHeight w:val="300"/>
        </w:trPr>
        <w:tc>
          <w:tcPr>
            <w:tcW w:w="2027" w:type="dxa"/>
            <w:vMerge/>
            <w:vAlign w:val="center"/>
            <w:hideMark/>
          </w:tcPr>
          <w:p w14:paraId="4B9505B3" w14:textId="77777777" w:rsidR="009E3821" w:rsidRPr="009E3821" w:rsidRDefault="009E3821" w:rsidP="009E3821">
            <w:pPr>
              <w:rPr>
                <w:rFonts w:ascii="Arial" w:hAnsi="Arial" w:cs="Arial"/>
                <w:bCs/>
              </w:rPr>
            </w:pPr>
          </w:p>
        </w:tc>
        <w:tc>
          <w:tcPr>
            <w:tcW w:w="757" w:type="dxa"/>
            <w:tcMar>
              <w:top w:w="0" w:type="dxa"/>
              <w:left w:w="45" w:type="dxa"/>
              <w:bottom w:w="0" w:type="dxa"/>
              <w:right w:w="45" w:type="dxa"/>
            </w:tcMar>
            <w:vAlign w:val="bottom"/>
            <w:hideMark/>
          </w:tcPr>
          <w:p w14:paraId="2F089013" w14:textId="77777777" w:rsidR="009E3821" w:rsidRPr="009E3821" w:rsidRDefault="009E3821" w:rsidP="009E3821">
            <w:pPr>
              <w:jc w:val="center"/>
              <w:rPr>
                <w:rFonts w:ascii="Arial" w:hAnsi="Arial" w:cs="Arial"/>
              </w:rPr>
            </w:pPr>
            <w:r w:rsidRPr="009E3821">
              <w:rPr>
                <w:rFonts w:ascii="Arial" w:hAnsi="Arial" w:cs="Arial"/>
              </w:rPr>
              <w:t>2</w:t>
            </w:r>
          </w:p>
        </w:tc>
        <w:tc>
          <w:tcPr>
            <w:tcW w:w="1417" w:type="dxa"/>
            <w:tcMar>
              <w:top w:w="0" w:type="dxa"/>
              <w:left w:w="45" w:type="dxa"/>
              <w:bottom w:w="0" w:type="dxa"/>
              <w:right w:w="45" w:type="dxa"/>
            </w:tcMar>
            <w:vAlign w:val="bottom"/>
            <w:hideMark/>
          </w:tcPr>
          <w:p w14:paraId="768BFFE4" w14:textId="77777777" w:rsidR="009E3821" w:rsidRPr="009E3821" w:rsidRDefault="009E3821" w:rsidP="009E3821">
            <w:pPr>
              <w:jc w:val="center"/>
              <w:rPr>
                <w:rFonts w:ascii="Arial" w:hAnsi="Arial" w:cs="Arial"/>
              </w:rPr>
            </w:pPr>
            <w:r w:rsidRPr="009E3821">
              <w:rPr>
                <w:rFonts w:ascii="Arial" w:hAnsi="Arial" w:cs="Arial"/>
              </w:rPr>
              <w:t>56,6 (15,6)</w:t>
            </w:r>
          </w:p>
        </w:tc>
        <w:tc>
          <w:tcPr>
            <w:tcW w:w="1134" w:type="dxa"/>
            <w:tcMar>
              <w:top w:w="0" w:type="dxa"/>
              <w:left w:w="45" w:type="dxa"/>
              <w:bottom w:w="0" w:type="dxa"/>
              <w:right w:w="45" w:type="dxa"/>
            </w:tcMar>
            <w:vAlign w:val="bottom"/>
            <w:hideMark/>
          </w:tcPr>
          <w:p w14:paraId="73E4C99B" w14:textId="77777777" w:rsidR="009E3821" w:rsidRPr="009E3821" w:rsidRDefault="009E3821" w:rsidP="009E3821">
            <w:pPr>
              <w:jc w:val="center"/>
              <w:rPr>
                <w:rFonts w:ascii="Arial" w:hAnsi="Arial" w:cs="Arial"/>
              </w:rPr>
            </w:pPr>
            <w:r w:rsidRPr="009E3821">
              <w:rPr>
                <w:rFonts w:ascii="Arial" w:hAnsi="Arial" w:cs="Arial"/>
              </w:rPr>
              <w:t>27,0</w:t>
            </w:r>
          </w:p>
        </w:tc>
        <w:tc>
          <w:tcPr>
            <w:tcW w:w="1276" w:type="dxa"/>
            <w:tcMar>
              <w:top w:w="0" w:type="dxa"/>
              <w:left w:w="45" w:type="dxa"/>
              <w:bottom w:w="0" w:type="dxa"/>
              <w:right w:w="45" w:type="dxa"/>
            </w:tcMar>
            <w:vAlign w:val="bottom"/>
            <w:hideMark/>
          </w:tcPr>
          <w:p w14:paraId="2B174236" w14:textId="77777777" w:rsidR="009E3821" w:rsidRPr="009E3821" w:rsidRDefault="009E3821" w:rsidP="009E3821">
            <w:pPr>
              <w:jc w:val="center"/>
              <w:rPr>
                <w:rFonts w:ascii="Arial" w:hAnsi="Arial" w:cs="Arial"/>
              </w:rPr>
            </w:pPr>
            <w:r w:rsidRPr="009E3821">
              <w:rPr>
                <w:rFonts w:ascii="Arial" w:hAnsi="Arial" w:cs="Arial"/>
              </w:rPr>
              <w:t>88,0</w:t>
            </w:r>
          </w:p>
        </w:tc>
        <w:tc>
          <w:tcPr>
            <w:tcW w:w="1701" w:type="dxa"/>
            <w:vMerge/>
            <w:vAlign w:val="center"/>
            <w:hideMark/>
          </w:tcPr>
          <w:p w14:paraId="3653D1AF" w14:textId="77777777" w:rsidR="009E3821" w:rsidRPr="009E3821" w:rsidRDefault="009E3821" w:rsidP="009E3821">
            <w:pPr>
              <w:rPr>
                <w:rFonts w:ascii="Arial" w:hAnsi="Arial" w:cs="Arial"/>
              </w:rPr>
            </w:pPr>
          </w:p>
        </w:tc>
      </w:tr>
      <w:tr w:rsidR="009E3821" w:rsidRPr="009E3821" w14:paraId="22EAA1AC" w14:textId="77777777" w:rsidTr="009E3821">
        <w:trPr>
          <w:trHeight w:val="300"/>
        </w:trPr>
        <w:tc>
          <w:tcPr>
            <w:tcW w:w="2027" w:type="dxa"/>
            <w:vMerge w:val="restart"/>
            <w:tcMar>
              <w:top w:w="0" w:type="dxa"/>
              <w:left w:w="45" w:type="dxa"/>
              <w:bottom w:w="0" w:type="dxa"/>
              <w:right w:w="45" w:type="dxa"/>
            </w:tcMar>
            <w:vAlign w:val="center"/>
            <w:hideMark/>
          </w:tcPr>
          <w:p w14:paraId="393A825A" w14:textId="77777777" w:rsidR="009E3821" w:rsidRPr="009E3821" w:rsidRDefault="009E3821" w:rsidP="009E3821">
            <w:pPr>
              <w:jc w:val="center"/>
              <w:rPr>
                <w:rFonts w:ascii="Arial" w:hAnsi="Arial" w:cs="Arial"/>
                <w:bCs/>
              </w:rPr>
            </w:pPr>
            <w:r w:rsidRPr="009E3821">
              <w:rPr>
                <w:rFonts w:ascii="Arial" w:hAnsi="Arial" w:cs="Arial"/>
                <w:bCs/>
              </w:rPr>
              <w:t>Length of stay (days)</w:t>
            </w:r>
          </w:p>
        </w:tc>
        <w:tc>
          <w:tcPr>
            <w:tcW w:w="757" w:type="dxa"/>
            <w:tcMar>
              <w:top w:w="0" w:type="dxa"/>
              <w:left w:w="45" w:type="dxa"/>
              <w:bottom w:w="0" w:type="dxa"/>
              <w:right w:w="45" w:type="dxa"/>
            </w:tcMar>
            <w:vAlign w:val="bottom"/>
          </w:tcPr>
          <w:p w14:paraId="14A77723" w14:textId="77777777" w:rsidR="009E3821" w:rsidRPr="009E3821" w:rsidRDefault="009E3821" w:rsidP="009E3821">
            <w:pPr>
              <w:jc w:val="center"/>
              <w:rPr>
                <w:rFonts w:ascii="Arial" w:hAnsi="Arial" w:cs="Arial"/>
              </w:rPr>
            </w:pPr>
          </w:p>
          <w:p w14:paraId="77923548" w14:textId="77777777" w:rsidR="009E3821" w:rsidRPr="009E3821" w:rsidRDefault="009E3821" w:rsidP="009E3821">
            <w:pPr>
              <w:jc w:val="center"/>
              <w:rPr>
                <w:rFonts w:ascii="Arial" w:hAnsi="Arial" w:cs="Arial"/>
              </w:rPr>
            </w:pPr>
            <w:r w:rsidRPr="009E3821">
              <w:rPr>
                <w:rFonts w:ascii="Arial" w:hAnsi="Arial" w:cs="Arial"/>
              </w:rPr>
              <w:t>1</w:t>
            </w:r>
          </w:p>
        </w:tc>
        <w:tc>
          <w:tcPr>
            <w:tcW w:w="1417" w:type="dxa"/>
            <w:tcMar>
              <w:top w:w="0" w:type="dxa"/>
              <w:left w:w="45" w:type="dxa"/>
              <w:bottom w:w="0" w:type="dxa"/>
              <w:right w:w="45" w:type="dxa"/>
            </w:tcMar>
            <w:vAlign w:val="bottom"/>
            <w:hideMark/>
          </w:tcPr>
          <w:p w14:paraId="3F12F481" w14:textId="77777777" w:rsidR="009E3821" w:rsidRPr="009E3821" w:rsidRDefault="009E3821" w:rsidP="009E3821">
            <w:pPr>
              <w:jc w:val="center"/>
              <w:rPr>
                <w:rFonts w:ascii="Arial" w:hAnsi="Arial" w:cs="Arial"/>
              </w:rPr>
            </w:pPr>
            <w:r w:rsidRPr="009E3821">
              <w:rPr>
                <w:rFonts w:ascii="Arial" w:hAnsi="Arial" w:cs="Arial"/>
              </w:rPr>
              <w:t>9,5 (10,1)</w:t>
            </w:r>
          </w:p>
        </w:tc>
        <w:tc>
          <w:tcPr>
            <w:tcW w:w="1134" w:type="dxa"/>
            <w:tcMar>
              <w:top w:w="0" w:type="dxa"/>
              <w:left w:w="45" w:type="dxa"/>
              <w:bottom w:w="0" w:type="dxa"/>
              <w:right w:w="45" w:type="dxa"/>
            </w:tcMar>
            <w:vAlign w:val="bottom"/>
            <w:hideMark/>
          </w:tcPr>
          <w:p w14:paraId="553AE1B0" w14:textId="77777777" w:rsidR="009E3821" w:rsidRPr="009E3821" w:rsidRDefault="009E3821" w:rsidP="009E3821">
            <w:pPr>
              <w:jc w:val="center"/>
              <w:rPr>
                <w:rFonts w:ascii="Arial" w:hAnsi="Arial" w:cs="Arial"/>
              </w:rPr>
            </w:pPr>
            <w:r w:rsidRPr="009E3821">
              <w:rPr>
                <w:rFonts w:ascii="Arial" w:hAnsi="Arial" w:cs="Arial"/>
              </w:rPr>
              <w:t>0,0</w:t>
            </w:r>
          </w:p>
        </w:tc>
        <w:tc>
          <w:tcPr>
            <w:tcW w:w="1276" w:type="dxa"/>
            <w:tcMar>
              <w:top w:w="0" w:type="dxa"/>
              <w:left w:w="45" w:type="dxa"/>
              <w:bottom w:w="0" w:type="dxa"/>
              <w:right w:w="45" w:type="dxa"/>
            </w:tcMar>
            <w:vAlign w:val="bottom"/>
            <w:hideMark/>
          </w:tcPr>
          <w:p w14:paraId="4EF0FB32" w14:textId="77777777" w:rsidR="009E3821" w:rsidRPr="009E3821" w:rsidRDefault="009E3821" w:rsidP="009E3821">
            <w:pPr>
              <w:jc w:val="center"/>
              <w:rPr>
                <w:rFonts w:ascii="Arial" w:hAnsi="Arial" w:cs="Arial"/>
              </w:rPr>
            </w:pPr>
            <w:r w:rsidRPr="009E3821">
              <w:rPr>
                <w:rFonts w:ascii="Arial" w:hAnsi="Arial" w:cs="Arial"/>
              </w:rPr>
              <w:t>76,0</w:t>
            </w:r>
          </w:p>
        </w:tc>
        <w:tc>
          <w:tcPr>
            <w:tcW w:w="1701" w:type="dxa"/>
            <w:vMerge w:val="restart"/>
            <w:tcMar>
              <w:top w:w="0" w:type="dxa"/>
              <w:left w:w="45" w:type="dxa"/>
              <w:bottom w:w="0" w:type="dxa"/>
              <w:right w:w="45" w:type="dxa"/>
            </w:tcMar>
            <w:vAlign w:val="bottom"/>
            <w:hideMark/>
          </w:tcPr>
          <w:p w14:paraId="0DE19A57" w14:textId="77777777" w:rsidR="009E3821" w:rsidRPr="009E3821" w:rsidRDefault="009E3821" w:rsidP="009E3821">
            <w:pPr>
              <w:jc w:val="center"/>
              <w:rPr>
                <w:rFonts w:ascii="Arial" w:hAnsi="Arial" w:cs="Arial"/>
              </w:rPr>
            </w:pPr>
            <w:r w:rsidRPr="009E3821">
              <w:rPr>
                <w:rFonts w:ascii="Arial" w:hAnsi="Arial" w:cs="Arial"/>
              </w:rPr>
              <w:t>U= 8479,5; p= 0,016*</w:t>
            </w:r>
          </w:p>
        </w:tc>
      </w:tr>
      <w:tr w:rsidR="009E3821" w:rsidRPr="009E3821" w14:paraId="120E6C19" w14:textId="77777777" w:rsidTr="009E3821">
        <w:trPr>
          <w:trHeight w:val="300"/>
        </w:trPr>
        <w:tc>
          <w:tcPr>
            <w:tcW w:w="2027" w:type="dxa"/>
            <w:vMerge/>
            <w:vAlign w:val="center"/>
            <w:hideMark/>
          </w:tcPr>
          <w:p w14:paraId="1E490174" w14:textId="77777777" w:rsidR="009E3821" w:rsidRPr="009E3821" w:rsidRDefault="009E3821" w:rsidP="009E3821">
            <w:pPr>
              <w:rPr>
                <w:rFonts w:ascii="Arial" w:hAnsi="Arial" w:cs="Arial"/>
                <w:bCs/>
              </w:rPr>
            </w:pPr>
          </w:p>
        </w:tc>
        <w:tc>
          <w:tcPr>
            <w:tcW w:w="757" w:type="dxa"/>
            <w:tcMar>
              <w:top w:w="0" w:type="dxa"/>
              <w:left w:w="45" w:type="dxa"/>
              <w:bottom w:w="0" w:type="dxa"/>
              <w:right w:w="45" w:type="dxa"/>
            </w:tcMar>
            <w:vAlign w:val="bottom"/>
            <w:hideMark/>
          </w:tcPr>
          <w:p w14:paraId="71C97AEE" w14:textId="77777777" w:rsidR="009E3821" w:rsidRPr="009E3821" w:rsidRDefault="009E3821" w:rsidP="009E3821">
            <w:pPr>
              <w:jc w:val="center"/>
              <w:rPr>
                <w:rFonts w:ascii="Arial" w:hAnsi="Arial" w:cs="Arial"/>
              </w:rPr>
            </w:pPr>
            <w:r w:rsidRPr="009E3821">
              <w:rPr>
                <w:rFonts w:ascii="Arial" w:hAnsi="Arial" w:cs="Arial"/>
              </w:rPr>
              <w:t>2</w:t>
            </w:r>
          </w:p>
        </w:tc>
        <w:tc>
          <w:tcPr>
            <w:tcW w:w="1417" w:type="dxa"/>
            <w:tcMar>
              <w:top w:w="0" w:type="dxa"/>
              <w:left w:w="45" w:type="dxa"/>
              <w:bottom w:w="0" w:type="dxa"/>
              <w:right w:w="45" w:type="dxa"/>
            </w:tcMar>
            <w:vAlign w:val="bottom"/>
            <w:hideMark/>
          </w:tcPr>
          <w:p w14:paraId="597DFAB7" w14:textId="77777777" w:rsidR="009E3821" w:rsidRPr="009E3821" w:rsidRDefault="009E3821" w:rsidP="009E3821">
            <w:pPr>
              <w:jc w:val="center"/>
              <w:rPr>
                <w:rFonts w:ascii="Arial" w:hAnsi="Arial" w:cs="Arial"/>
              </w:rPr>
            </w:pPr>
            <w:r w:rsidRPr="009E3821">
              <w:rPr>
                <w:rFonts w:ascii="Arial" w:hAnsi="Arial" w:cs="Arial"/>
              </w:rPr>
              <w:t>11,8 (10,9)</w:t>
            </w:r>
          </w:p>
        </w:tc>
        <w:tc>
          <w:tcPr>
            <w:tcW w:w="1134" w:type="dxa"/>
            <w:tcMar>
              <w:top w:w="0" w:type="dxa"/>
              <w:left w:w="45" w:type="dxa"/>
              <w:bottom w:w="0" w:type="dxa"/>
              <w:right w:w="45" w:type="dxa"/>
            </w:tcMar>
            <w:vAlign w:val="bottom"/>
            <w:hideMark/>
          </w:tcPr>
          <w:p w14:paraId="51081ADE" w14:textId="77777777" w:rsidR="009E3821" w:rsidRPr="009E3821" w:rsidRDefault="009E3821" w:rsidP="009E3821">
            <w:pPr>
              <w:jc w:val="center"/>
              <w:rPr>
                <w:rFonts w:ascii="Arial" w:hAnsi="Arial" w:cs="Arial"/>
              </w:rPr>
            </w:pPr>
            <w:r w:rsidRPr="009E3821">
              <w:rPr>
                <w:rFonts w:ascii="Arial" w:hAnsi="Arial" w:cs="Arial"/>
              </w:rPr>
              <w:t>1,0</w:t>
            </w:r>
          </w:p>
        </w:tc>
        <w:tc>
          <w:tcPr>
            <w:tcW w:w="1276" w:type="dxa"/>
            <w:tcMar>
              <w:top w:w="0" w:type="dxa"/>
              <w:left w:w="45" w:type="dxa"/>
              <w:bottom w:w="0" w:type="dxa"/>
              <w:right w:w="45" w:type="dxa"/>
            </w:tcMar>
            <w:vAlign w:val="bottom"/>
            <w:hideMark/>
          </w:tcPr>
          <w:p w14:paraId="3EFB8F10" w14:textId="77777777" w:rsidR="009E3821" w:rsidRPr="009E3821" w:rsidRDefault="009E3821" w:rsidP="009E3821">
            <w:pPr>
              <w:jc w:val="center"/>
              <w:rPr>
                <w:rFonts w:ascii="Arial" w:hAnsi="Arial" w:cs="Arial"/>
              </w:rPr>
            </w:pPr>
            <w:r w:rsidRPr="009E3821">
              <w:rPr>
                <w:rFonts w:ascii="Arial" w:hAnsi="Arial" w:cs="Arial"/>
              </w:rPr>
              <w:t>58,0</w:t>
            </w:r>
          </w:p>
        </w:tc>
        <w:tc>
          <w:tcPr>
            <w:tcW w:w="1701" w:type="dxa"/>
            <w:vMerge/>
            <w:vAlign w:val="center"/>
            <w:hideMark/>
          </w:tcPr>
          <w:p w14:paraId="53AC3F8A" w14:textId="77777777" w:rsidR="009E3821" w:rsidRPr="009E3821" w:rsidRDefault="009E3821" w:rsidP="009E3821">
            <w:pPr>
              <w:rPr>
                <w:rFonts w:ascii="Arial" w:hAnsi="Arial" w:cs="Arial"/>
              </w:rPr>
            </w:pPr>
          </w:p>
        </w:tc>
      </w:tr>
      <w:tr w:rsidR="009E3821" w:rsidRPr="009E3821" w14:paraId="3EF93A65" w14:textId="77777777" w:rsidTr="009E3821">
        <w:trPr>
          <w:trHeight w:val="300"/>
        </w:trPr>
        <w:tc>
          <w:tcPr>
            <w:tcW w:w="2027" w:type="dxa"/>
            <w:vMerge w:val="restart"/>
            <w:tcMar>
              <w:top w:w="0" w:type="dxa"/>
              <w:left w:w="45" w:type="dxa"/>
              <w:bottom w:w="0" w:type="dxa"/>
              <w:right w:w="45" w:type="dxa"/>
            </w:tcMar>
            <w:vAlign w:val="center"/>
            <w:hideMark/>
          </w:tcPr>
          <w:p w14:paraId="4E55C230" w14:textId="77777777" w:rsidR="009E3821" w:rsidRPr="009E3821" w:rsidRDefault="009E3821" w:rsidP="009E3821">
            <w:pPr>
              <w:jc w:val="center"/>
              <w:rPr>
                <w:rFonts w:ascii="Arial" w:hAnsi="Arial" w:cs="Arial"/>
                <w:bCs/>
              </w:rPr>
            </w:pPr>
            <w:r w:rsidRPr="009E3821">
              <w:rPr>
                <w:rFonts w:ascii="Arial" w:hAnsi="Arial" w:cs="Arial"/>
                <w:bCs/>
              </w:rPr>
              <w:t>Saturation (%)</w:t>
            </w:r>
          </w:p>
        </w:tc>
        <w:tc>
          <w:tcPr>
            <w:tcW w:w="757" w:type="dxa"/>
            <w:tcMar>
              <w:top w:w="0" w:type="dxa"/>
              <w:left w:w="45" w:type="dxa"/>
              <w:bottom w:w="0" w:type="dxa"/>
              <w:right w:w="45" w:type="dxa"/>
            </w:tcMar>
            <w:vAlign w:val="bottom"/>
          </w:tcPr>
          <w:p w14:paraId="4B0793BD" w14:textId="77777777" w:rsidR="009E3821" w:rsidRPr="009E3821" w:rsidRDefault="009E3821" w:rsidP="009E3821">
            <w:pPr>
              <w:jc w:val="center"/>
              <w:rPr>
                <w:rFonts w:ascii="Arial" w:hAnsi="Arial" w:cs="Arial"/>
              </w:rPr>
            </w:pPr>
          </w:p>
          <w:p w14:paraId="7CBB8D80" w14:textId="77777777" w:rsidR="009E3821" w:rsidRPr="009E3821" w:rsidRDefault="009E3821" w:rsidP="009E3821">
            <w:pPr>
              <w:jc w:val="center"/>
              <w:rPr>
                <w:rFonts w:ascii="Arial" w:hAnsi="Arial" w:cs="Arial"/>
              </w:rPr>
            </w:pPr>
            <w:r w:rsidRPr="009E3821">
              <w:rPr>
                <w:rFonts w:ascii="Arial" w:hAnsi="Arial" w:cs="Arial"/>
              </w:rPr>
              <w:t>1</w:t>
            </w:r>
          </w:p>
        </w:tc>
        <w:tc>
          <w:tcPr>
            <w:tcW w:w="1417" w:type="dxa"/>
            <w:tcMar>
              <w:top w:w="0" w:type="dxa"/>
              <w:left w:w="45" w:type="dxa"/>
              <w:bottom w:w="0" w:type="dxa"/>
              <w:right w:w="45" w:type="dxa"/>
            </w:tcMar>
            <w:vAlign w:val="bottom"/>
            <w:hideMark/>
          </w:tcPr>
          <w:p w14:paraId="42307185" w14:textId="77777777" w:rsidR="009E3821" w:rsidRPr="009E3821" w:rsidRDefault="009E3821" w:rsidP="009E3821">
            <w:pPr>
              <w:jc w:val="center"/>
              <w:rPr>
                <w:rFonts w:ascii="Arial" w:hAnsi="Arial" w:cs="Arial"/>
              </w:rPr>
            </w:pPr>
            <w:r w:rsidRPr="009E3821">
              <w:rPr>
                <w:rFonts w:ascii="Arial" w:hAnsi="Arial" w:cs="Arial"/>
              </w:rPr>
              <w:t>91,7 (5,9)</w:t>
            </w:r>
          </w:p>
        </w:tc>
        <w:tc>
          <w:tcPr>
            <w:tcW w:w="1134" w:type="dxa"/>
            <w:tcMar>
              <w:top w:w="0" w:type="dxa"/>
              <w:left w:w="45" w:type="dxa"/>
              <w:bottom w:w="0" w:type="dxa"/>
              <w:right w:w="45" w:type="dxa"/>
            </w:tcMar>
            <w:vAlign w:val="bottom"/>
            <w:hideMark/>
          </w:tcPr>
          <w:p w14:paraId="577FC545" w14:textId="77777777" w:rsidR="009E3821" w:rsidRPr="009E3821" w:rsidRDefault="009E3821" w:rsidP="009E3821">
            <w:pPr>
              <w:jc w:val="center"/>
              <w:rPr>
                <w:rFonts w:ascii="Arial" w:hAnsi="Arial" w:cs="Arial"/>
              </w:rPr>
            </w:pPr>
            <w:r w:rsidRPr="009E3821">
              <w:rPr>
                <w:rFonts w:ascii="Arial" w:hAnsi="Arial" w:cs="Arial"/>
              </w:rPr>
              <w:t>65,0</w:t>
            </w:r>
          </w:p>
        </w:tc>
        <w:tc>
          <w:tcPr>
            <w:tcW w:w="1276" w:type="dxa"/>
            <w:tcMar>
              <w:top w:w="0" w:type="dxa"/>
              <w:left w:w="45" w:type="dxa"/>
              <w:bottom w:w="0" w:type="dxa"/>
              <w:right w:w="45" w:type="dxa"/>
            </w:tcMar>
            <w:vAlign w:val="bottom"/>
            <w:hideMark/>
          </w:tcPr>
          <w:p w14:paraId="5BBFCC9E" w14:textId="77777777" w:rsidR="009E3821" w:rsidRPr="009E3821" w:rsidRDefault="009E3821" w:rsidP="009E3821">
            <w:pPr>
              <w:jc w:val="center"/>
              <w:rPr>
                <w:rFonts w:ascii="Arial" w:hAnsi="Arial" w:cs="Arial"/>
              </w:rPr>
            </w:pPr>
            <w:r w:rsidRPr="009E3821">
              <w:rPr>
                <w:rFonts w:ascii="Arial" w:hAnsi="Arial" w:cs="Arial"/>
              </w:rPr>
              <w:t>100,0</w:t>
            </w:r>
          </w:p>
        </w:tc>
        <w:tc>
          <w:tcPr>
            <w:tcW w:w="1701" w:type="dxa"/>
            <w:vMerge w:val="restart"/>
            <w:tcMar>
              <w:top w:w="0" w:type="dxa"/>
              <w:left w:w="45" w:type="dxa"/>
              <w:bottom w:w="0" w:type="dxa"/>
              <w:right w:w="45" w:type="dxa"/>
            </w:tcMar>
            <w:vAlign w:val="bottom"/>
            <w:hideMark/>
          </w:tcPr>
          <w:p w14:paraId="6819C075" w14:textId="77777777" w:rsidR="009E3821" w:rsidRPr="009E3821" w:rsidRDefault="009E3821" w:rsidP="009E3821">
            <w:pPr>
              <w:jc w:val="center"/>
              <w:rPr>
                <w:rFonts w:ascii="Arial" w:hAnsi="Arial" w:cs="Arial"/>
              </w:rPr>
            </w:pPr>
            <w:r w:rsidRPr="009E3821">
              <w:rPr>
                <w:rFonts w:ascii="Arial" w:hAnsi="Arial" w:cs="Arial"/>
              </w:rPr>
              <w:t>U= 9690,5; p= 0,641</w:t>
            </w:r>
          </w:p>
        </w:tc>
      </w:tr>
      <w:tr w:rsidR="009E3821" w:rsidRPr="009E3821" w14:paraId="55E2A9AD" w14:textId="77777777" w:rsidTr="009E3821">
        <w:trPr>
          <w:trHeight w:val="300"/>
        </w:trPr>
        <w:tc>
          <w:tcPr>
            <w:tcW w:w="2027" w:type="dxa"/>
            <w:vMerge/>
            <w:vAlign w:val="center"/>
            <w:hideMark/>
          </w:tcPr>
          <w:p w14:paraId="7A421220" w14:textId="77777777" w:rsidR="009E3821" w:rsidRPr="009E3821" w:rsidRDefault="009E3821" w:rsidP="009E3821">
            <w:pPr>
              <w:rPr>
                <w:rFonts w:ascii="Arial" w:hAnsi="Arial" w:cs="Arial"/>
                <w:bCs/>
              </w:rPr>
            </w:pPr>
          </w:p>
        </w:tc>
        <w:tc>
          <w:tcPr>
            <w:tcW w:w="757" w:type="dxa"/>
            <w:tcMar>
              <w:top w:w="0" w:type="dxa"/>
              <w:left w:w="45" w:type="dxa"/>
              <w:bottom w:w="0" w:type="dxa"/>
              <w:right w:w="45" w:type="dxa"/>
            </w:tcMar>
            <w:vAlign w:val="bottom"/>
            <w:hideMark/>
          </w:tcPr>
          <w:p w14:paraId="53BE42DF" w14:textId="77777777" w:rsidR="009E3821" w:rsidRPr="009E3821" w:rsidRDefault="009E3821" w:rsidP="009E3821">
            <w:pPr>
              <w:jc w:val="center"/>
              <w:rPr>
                <w:rFonts w:ascii="Arial" w:hAnsi="Arial" w:cs="Arial"/>
              </w:rPr>
            </w:pPr>
            <w:r w:rsidRPr="009E3821">
              <w:rPr>
                <w:rFonts w:ascii="Arial" w:hAnsi="Arial" w:cs="Arial"/>
              </w:rPr>
              <w:t>2</w:t>
            </w:r>
          </w:p>
        </w:tc>
        <w:tc>
          <w:tcPr>
            <w:tcW w:w="1417" w:type="dxa"/>
            <w:tcMar>
              <w:top w:w="0" w:type="dxa"/>
              <w:left w:w="45" w:type="dxa"/>
              <w:bottom w:w="0" w:type="dxa"/>
              <w:right w:w="45" w:type="dxa"/>
            </w:tcMar>
            <w:vAlign w:val="bottom"/>
            <w:hideMark/>
          </w:tcPr>
          <w:p w14:paraId="4518388F" w14:textId="77777777" w:rsidR="009E3821" w:rsidRPr="009E3821" w:rsidRDefault="009E3821" w:rsidP="009E3821">
            <w:pPr>
              <w:jc w:val="center"/>
              <w:rPr>
                <w:rFonts w:ascii="Arial" w:hAnsi="Arial" w:cs="Arial"/>
              </w:rPr>
            </w:pPr>
            <w:r w:rsidRPr="009E3821">
              <w:rPr>
                <w:rFonts w:ascii="Arial" w:hAnsi="Arial" w:cs="Arial"/>
              </w:rPr>
              <w:t>91,0 (7,3)</w:t>
            </w:r>
          </w:p>
        </w:tc>
        <w:tc>
          <w:tcPr>
            <w:tcW w:w="1134" w:type="dxa"/>
            <w:tcMar>
              <w:top w:w="0" w:type="dxa"/>
              <w:left w:w="45" w:type="dxa"/>
              <w:bottom w:w="0" w:type="dxa"/>
              <w:right w:w="45" w:type="dxa"/>
            </w:tcMar>
            <w:vAlign w:val="bottom"/>
            <w:hideMark/>
          </w:tcPr>
          <w:p w14:paraId="4D3E8DBB" w14:textId="77777777" w:rsidR="009E3821" w:rsidRPr="009E3821" w:rsidRDefault="009E3821" w:rsidP="009E3821">
            <w:pPr>
              <w:jc w:val="center"/>
              <w:rPr>
                <w:rFonts w:ascii="Arial" w:hAnsi="Arial" w:cs="Arial"/>
              </w:rPr>
            </w:pPr>
            <w:r w:rsidRPr="009E3821">
              <w:rPr>
                <w:rFonts w:ascii="Arial" w:hAnsi="Arial" w:cs="Arial"/>
              </w:rPr>
              <w:t>40,0</w:t>
            </w:r>
          </w:p>
        </w:tc>
        <w:tc>
          <w:tcPr>
            <w:tcW w:w="1276" w:type="dxa"/>
            <w:tcMar>
              <w:top w:w="0" w:type="dxa"/>
              <w:left w:w="45" w:type="dxa"/>
              <w:bottom w:w="0" w:type="dxa"/>
              <w:right w:w="45" w:type="dxa"/>
            </w:tcMar>
            <w:vAlign w:val="bottom"/>
            <w:hideMark/>
          </w:tcPr>
          <w:p w14:paraId="73D01938" w14:textId="77777777" w:rsidR="009E3821" w:rsidRPr="009E3821" w:rsidRDefault="009E3821" w:rsidP="009E3821">
            <w:pPr>
              <w:jc w:val="center"/>
              <w:rPr>
                <w:rFonts w:ascii="Arial" w:hAnsi="Arial" w:cs="Arial"/>
              </w:rPr>
            </w:pPr>
            <w:r w:rsidRPr="009E3821">
              <w:rPr>
                <w:rFonts w:ascii="Arial" w:hAnsi="Arial" w:cs="Arial"/>
              </w:rPr>
              <w:t>100,0</w:t>
            </w:r>
          </w:p>
        </w:tc>
        <w:tc>
          <w:tcPr>
            <w:tcW w:w="1701" w:type="dxa"/>
            <w:vMerge/>
            <w:vAlign w:val="center"/>
            <w:hideMark/>
          </w:tcPr>
          <w:p w14:paraId="116474D4" w14:textId="77777777" w:rsidR="009E3821" w:rsidRPr="009E3821" w:rsidRDefault="009E3821" w:rsidP="009E3821">
            <w:pPr>
              <w:rPr>
                <w:rFonts w:ascii="Arial" w:hAnsi="Arial" w:cs="Arial"/>
              </w:rPr>
            </w:pPr>
          </w:p>
        </w:tc>
      </w:tr>
      <w:tr w:rsidR="009E3821" w:rsidRPr="009E3821" w14:paraId="57ABBEFD" w14:textId="77777777" w:rsidTr="009E3821">
        <w:trPr>
          <w:trHeight w:val="300"/>
        </w:trPr>
        <w:tc>
          <w:tcPr>
            <w:tcW w:w="2027" w:type="dxa"/>
            <w:vMerge w:val="restart"/>
            <w:tcBorders>
              <w:top w:val="nil"/>
              <w:left w:val="nil"/>
              <w:bottom w:val="single" w:sz="12" w:space="0" w:color="000000"/>
              <w:right w:val="nil"/>
            </w:tcBorders>
            <w:tcMar>
              <w:top w:w="0" w:type="dxa"/>
              <w:left w:w="45" w:type="dxa"/>
              <w:bottom w:w="0" w:type="dxa"/>
              <w:right w:w="45" w:type="dxa"/>
            </w:tcMar>
            <w:vAlign w:val="center"/>
            <w:hideMark/>
          </w:tcPr>
          <w:p w14:paraId="739448AE" w14:textId="77777777" w:rsidR="009E3821" w:rsidRPr="009E3821" w:rsidRDefault="009E3821" w:rsidP="009E3821">
            <w:pPr>
              <w:jc w:val="center"/>
              <w:rPr>
                <w:rFonts w:ascii="Arial" w:hAnsi="Arial" w:cs="Arial"/>
                <w:bCs/>
              </w:rPr>
            </w:pPr>
            <w:r w:rsidRPr="009E3821">
              <w:rPr>
                <w:rFonts w:ascii="Arial" w:hAnsi="Arial" w:cs="Arial"/>
                <w:bCs/>
              </w:rPr>
              <w:t>Time of orotracheal intubation (days)</w:t>
            </w:r>
          </w:p>
        </w:tc>
        <w:tc>
          <w:tcPr>
            <w:tcW w:w="757" w:type="dxa"/>
            <w:tcMar>
              <w:top w:w="0" w:type="dxa"/>
              <w:left w:w="45" w:type="dxa"/>
              <w:bottom w:w="0" w:type="dxa"/>
              <w:right w:w="45" w:type="dxa"/>
            </w:tcMar>
            <w:vAlign w:val="bottom"/>
          </w:tcPr>
          <w:p w14:paraId="1AB53E90" w14:textId="77777777" w:rsidR="009E3821" w:rsidRPr="009E3821" w:rsidRDefault="009E3821" w:rsidP="009E3821">
            <w:pPr>
              <w:jc w:val="center"/>
              <w:rPr>
                <w:rFonts w:ascii="Arial" w:hAnsi="Arial" w:cs="Arial"/>
              </w:rPr>
            </w:pPr>
          </w:p>
          <w:p w14:paraId="362DDDD3" w14:textId="77777777" w:rsidR="009E3821" w:rsidRPr="009E3821" w:rsidRDefault="009E3821" w:rsidP="009E3821">
            <w:pPr>
              <w:jc w:val="center"/>
              <w:rPr>
                <w:rFonts w:ascii="Arial" w:hAnsi="Arial" w:cs="Arial"/>
              </w:rPr>
            </w:pPr>
            <w:r w:rsidRPr="009E3821">
              <w:rPr>
                <w:rFonts w:ascii="Arial" w:hAnsi="Arial" w:cs="Arial"/>
              </w:rPr>
              <w:t>1</w:t>
            </w:r>
          </w:p>
        </w:tc>
        <w:tc>
          <w:tcPr>
            <w:tcW w:w="1417" w:type="dxa"/>
            <w:tcMar>
              <w:top w:w="0" w:type="dxa"/>
              <w:left w:w="45" w:type="dxa"/>
              <w:bottom w:w="0" w:type="dxa"/>
              <w:right w:w="45" w:type="dxa"/>
            </w:tcMar>
            <w:vAlign w:val="bottom"/>
            <w:hideMark/>
          </w:tcPr>
          <w:p w14:paraId="18A3B462" w14:textId="77777777" w:rsidR="009E3821" w:rsidRPr="009E3821" w:rsidRDefault="009E3821" w:rsidP="009E3821">
            <w:pPr>
              <w:jc w:val="center"/>
              <w:rPr>
                <w:rFonts w:ascii="Arial" w:hAnsi="Arial" w:cs="Arial"/>
              </w:rPr>
            </w:pPr>
            <w:r w:rsidRPr="009E3821">
              <w:rPr>
                <w:rFonts w:ascii="Arial" w:hAnsi="Arial" w:cs="Arial"/>
              </w:rPr>
              <w:t>2,4 (5,2)</w:t>
            </w:r>
          </w:p>
        </w:tc>
        <w:tc>
          <w:tcPr>
            <w:tcW w:w="1134" w:type="dxa"/>
            <w:tcMar>
              <w:top w:w="0" w:type="dxa"/>
              <w:left w:w="45" w:type="dxa"/>
              <w:bottom w:w="0" w:type="dxa"/>
              <w:right w:w="45" w:type="dxa"/>
            </w:tcMar>
            <w:vAlign w:val="bottom"/>
            <w:hideMark/>
          </w:tcPr>
          <w:p w14:paraId="5B4BC713" w14:textId="77777777" w:rsidR="009E3821" w:rsidRPr="009E3821" w:rsidRDefault="009E3821" w:rsidP="009E3821">
            <w:pPr>
              <w:jc w:val="center"/>
              <w:rPr>
                <w:rFonts w:ascii="Arial" w:hAnsi="Arial" w:cs="Arial"/>
              </w:rPr>
            </w:pPr>
            <w:r w:rsidRPr="009E3821">
              <w:rPr>
                <w:rFonts w:ascii="Arial" w:hAnsi="Arial" w:cs="Arial"/>
              </w:rPr>
              <w:t>0,0</w:t>
            </w:r>
          </w:p>
        </w:tc>
        <w:tc>
          <w:tcPr>
            <w:tcW w:w="1276" w:type="dxa"/>
            <w:tcMar>
              <w:top w:w="0" w:type="dxa"/>
              <w:left w:w="45" w:type="dxa"/>
              <w:bottom w:w="0" w:type="dxa"/>
              <w:right w:w="45" w:type="dxa"/>
            </w:tcMar>
            <w:vAlign w:val="bottom"/>
            <w:hideMark/>
          </w:tcPr>
          <w:p w14:paraId="05211BF1" w14:textId="77777777" w:rsidR="009E3821" w:rsidRPr="009E3821" w:rsidRDefault="009E3821" w:rsidP="009E3821">
            <w:pPr>
              <w:jc w:val="center"/>
              <w:rPr>
                <w:rFonts w:ascii="Arial" w:hAnsi="Arial" w:cs="Arial"/>
              </w:rPr>
            </w:pPr>
            <w:r w:rsidRPr="009E3821">
              <w:rPr>
                <w:rFonts w:ascii="Arial" w:hAnsi="Arial" w:cs="Arial"/>
              </w:rPr>
              <w:t>34,0</w:t>
            </w:r>
          </w:p>
        </w:tc>
        <w:tc>
          <w:tcPr>
            <w:tcW w:w="1701" w:type="dxa"/>
            <w:vMerge w:val="restart"/>
            <w:tcBorders>
              <w:top w:val="nil"/>
              <w:left w:val="nil"/>
              <w:bottom w:val="single" w:sz="12" w:space="0" w:color="000000"/>
              <w:right w:val="nil"/>
            </w:tcBorders>
            <w:tcMar>
              <w:top w:w="0" w:type="dxa"/>
              <w:left w:w="45" w:type="dxa"/>
              <w:bottom w:w="0" w:type="dxa"/>
              <w:right w:w="45" w:type="dxa"/>
            </w:tcMar>
            <w:vAlign w:val="bottom"/>
            <w:hideMark/>
          </w:tcPr>
          <w:p w14:paraId="62399F93" w14:textId="77777777" w:rsidR="009E3821" w:rsidRPr="009E3821" w:rsidRDefault="009E3821" w:rsidP="009E3821">
            <w:pPr>
              <w:jc w:val="center"/>
              <w:rPr>
                <w:rFonts w:ascii="Arial" w:hAnsi="Arial" w:cs="Arial"/>
              </w:rPr>
            </w:pPr>
            <w:r w:rsidRPr="009E3821">
              <w:rPr>
                <w:rFonts w:ascii="Arial" w:hAnsi="Arial" w:cs="Arial"/>
              </w:rPr>
              <w:t>U= 9141,5; p= 0,081</w:t>
            </w:r>
          </w:p>
        </w:tc>
      </w:tr>
      <w:tr w:rsidR="009E3821" w:rsidRPr="009E3821" w14:paraId="4D23ACB9" w14:textId="77777777" w:rsidTr="009E3821">
        <w:trPr>
          <w:trHeight w:val="300"/>
        </w:trPr>
        <w:tc>
          <w:tcPr>
            <w:tcW w:w="2027" w:type="dxa"/>
            <w:vMerge/>
            <w:tcBorders>
              <w:top w:val="nil"/>
              <w:left w:val="nil"/>
              <w:bottom w:val="single" w:sz="12" w:space="0" w:color="000000"/>
              <w:right w:val="nil"/>
            </w:tcBorders>
            <w:vAlign w:val="center"/>
            <w:hideMark/>
          </w:tcPr>
          <w:p w14:paraId="72CAE206" w14:textId="77777777" w:rsidR="009E3821" w:rsidRPr="009E3821" w:rsidRDefault="009E3821" w:rsidP="009E3821">
            <w:pPr>
              <w:rPr>
                <w:rFonts w:ascii="Arial" w:hAnsi="Arial" w:cs="Arial"/>
              </w:rPr>
            </w:pPr>
          </w:p>
        </w:tc>
        <w:tc>
          <w:tcPr>
            <w:tcW w:w="757" w:type="dxa"/>
            <w:tcBorders>
              <w:top w:val="nil"/>
              <w:left w:val="nil"/>
              <w:bottom w:val="single" w:sz="12" w:space="0" w:color="000000"/>
              <w:right w:val="nil"/>
            </w:tcBorders>
            <w:tcMar>
              <w:top w:w="0" w:type="dxa"/>
              <w:left w:w="45" w:type="dxa"/>
              <w:bottom w:w="0" w:type="dxa"/>
              <w:right w:w="45" w:type="dxa"/>
            </w:tcMar>
            <w:vAlign w:val="bottom"/>
            <w:hideMark/>
          </w:tcPr>
          <w:p w14:paraId="6C4DF285" w14:textId="77777777" w:rsidR="009E3821" w:rsidRPr="009E3821" w:rsidRDefault="009E3821" w:rsidP="009E3821">
            <w:pPr>
              <w:jc w:val="center"/>
              <w:rPr>
                <w:rFonts w:ascii="Arial" w:hAnsi="Arial" w:cs="Arial"/>
              </w:rPr>
            </w:pPr>
            <w:r w:rsidRPr="009E3821">
              <w:rPr>
                <w:rFonts w:ascii="Arial" w:hAnsi="Arial" w:cs="Arial"/>
              </w:rPr>
              <w:t>2</w:t>
            </w:r>
          </w:p>
        </w:tc>
        <w:tc>
          <w:tcPr>
            <w:tcW w:w="1417" w:type="dxa"/>
            <w:tcBorders>
              <w:top w:val="nil"/>
              <w:left w:val="nil"/>
              <w:bottom w:val="single" w:sz="12" w:space="0" w:color="000000"/>
              <w:right w:val="nil"/>
            </w:tcBorders>
            <w:tcMar>
              <w:top w:w="0" w:type="dxa"/>
              <w:left w:w="45" w:type="dxa"/>
              <w:bottom w:w="0" w:type="dxa"/>
              <w:right w:w="45" w:type="dxa"/>
            </w:tcMar>
            <w:vAlign w:val="bottom"/>
            <w:hideMark/>
          </w:tcPr>
          <w:p w14:paraId="055DB95A" w14:textId="77777777" w:rsidR="009E3821" w:rsidRPr="009E3821" w:rsidRDefault="009E3821" w:rsidP="009E3821">
            <w:pPr>
              <w:jc w:val="center"/>
              <w:rPr>
                <w:rFonts w:ascii="Arial" w:hAnsi="Arial" w:cs="Arial"/>
              </w:rPr>
            </w:pPr>
            <w:r w:rsidRPr="009E3821">
              <w:rPr>
                <w:rFonts w:ascii="Arial" w:hAnsi="Arial" w:cs="Arial"/>
              </w:rPr>
              <w:t>4,3 (7,4)</w:t>
            </w:r>
          </w:p>
        </w:tc>
        <w:tc>
          <w:tcPr>
            <w:tcW w:w="1134" w:type="dxa"/>
            <w:tcBorders>
              <w:top w:val="nil"/>
              <w:left w:val="nil"/>
              <w:bottom w:val="single" w:sz="12" w:space="0" w:color="000000"/>
              <w:right w:val="nil"/>
            </w:tcBorders>
            <w:tcMar>
              <w:top w:w="0" w:type="dxa"/>
              <w:left w:w="45" w:type="dxa"/>
              <w:bottom w:w="0" w:type="dxa"/>
              <w:right w:w="45" w:type="dxa"/>
            </w:tcMar>
            <w:vAlign w:val="bottom"/>
            <w:hideMark/>
          </w:tcPr>
          <w:p w14:paraId="779C6DDC" w14:textId="77777777" w:rsidR="009E3821" w:rsidRPr="009E3821" w:rsidRDefault="009E3821" w:rsidP="009E3821">
            <w:pPr>
              <w:jc w:val="center"/>
              <w:rPr>
                <w:rFonts w:ascii="Arial" w:hAnsi="Arial" w:cs="Arial"/>
              </w:rPr>
            </w:pPr>
            <w:r w:rsidRPr="009E3821">
              <w:rPr>
                <w:rFonts w:ascii="Arial" w:hAnsi="Arial" w:cs="Arial"/>
              </w:rPr>
              <w:t>0,0</w:t>
            </w:r>
          </w:p>
        </w:tc>
        <w:tc>
          <w:tcPr>
            <w:tcW w:w="1276" w:type="dxa"/>
            <w:tcBorders>
              <w:top w:val="nil"/>
              <w:left w:val="nil"/>
              <w:bottom w:val="single" w:sz="12" w:space="0" w:color="000000"/>
              <w:right w:val="nil"/>
            </w:tcBorders>
            <w:tcMar>
              <w:top w:w="0" w:type="dxa"/>
              <w:left w:w="45" w:type="dxa"/>
              <w:bottom w:w="0" w:type="dxa"/>
              <w:right w:w="45" w:type="dxa"/>
            </w:tcMar>
            <w:vAlign w:val="bottom"/>
            <w:hideMark/>
          </w:tcPr>
          <w:p w14:paraId="472F8BA8" w14:textId="77777777" w:rsidR="009E3821" w:rsidRPr="009E3821" w:rsidRDefault="009E3821" w:rsidP="009E3821">
            <w:pPr>
              <w:jc w:val="center"/>
              <w:rPr>
                <w:rFonts w:ascii="Arial" w:hAnsi="Arial" w:cs="Arial"/>
              </w:rPr>
            </w:pPr>
            <w:r w:rsidRPr="009E3821">
              <w:rPr>
                <w:rFonts w:ascii="Arial" w:hAnsi="Arial" w:cs="Arial"/>
              </w:rPr>
              <w:t>38,0</w:t>
            </w:r>
          </w:p>
        </w:tc>
        <w:tc>
          <w:tcPr>
            <w:tcW w:w="1701" w:type="dxa"/>
            <w:vMerge/>
            <w:tcBorders>
              <w:top w:val="nil"/>
              <w:left w:val="nil"/>
              <w:bottom w:val="single" w:sz="12" w:space="0" w:color="000000"/>
              <w:right w:val="nil"/>
            </w:tcBorders>
            <w:vAlign w:val="center"/>
            <w:hideMark/>
          </w:tcPr>
          <w:p w14:paraId="060D73E4" w14:textId="77777777" w:rsidR="009E3821" w:rsidRPr="009E3821" w:rsidRDefault="009E3821" w:rsidP="009E3821">
            <w:pPr>
              <w:rPr>
                <w:rFonts w:ascii="Arial" w:hAnsi="Arial" w:cs="Arial"/>
              </w:rPr>
            </w:pPr>
          </w:p>
        </w:tc>
      </w:tr>
    </w:tbl>
    <w:p w14:paraId="6CA60634" w14:textId="77777777" w:rsidR="009E3821" w:rsidRPr="009E3821" w:rsidRDefault="009E3821" w:rsidP="009E3821">
      <w:pPr>
        <w:rPr>
          <w:rFonts w:ascii="Arial" w:hAnsi="Arial" w:cs="Arial"/>
        </w:rPr>
      </w:pPr>
      <w:r w:rsidRPr="009E3821">
        <w:rPr>
          <w:rFonts w:ascii="Arial" w:hAnsi="Arial" w:cs="Arial"/>
        </w:rPr>
        <w:t>Source: The authors (2023).</w:t>
      </w:r>
    </w:p>
    <w:p w14:paraId="39909323" w14:textId="77777777" w:rsidR="009E3821" w:rsidRPr="006B0F6C" w:rsidRDefault="009E3821" w:rsidP="00FE535E">
      <w:pPr>
        <w:jc w:val="both"/>
        <w:rPr>
          <w:rFonts w:ascii="Arial" w:hAnsi="Arial" w:cs="Arial"/>
        </w:rPr>
      </w:pPr>
    </w:p>
    <w:p w14:paraId="4AF654DA" w14:textId="77777777" w:rsidR="00FE535E" w:rsidRPr="006B0F6C" w:rsidRDefault="00FE535E" w:rsidP="00FE535E">
      <w:pPr>
        <w:jc w:val="both"/>
        <w:rPr>
          <w:rFonts w:ascii="Arial" w:hAnsi="Arial" w:cs="Arial"/>
        </w:rPr>
      </w:pPr>
      <w:r w:rsidRPr="006B0F6C">
        <w:rPr>
          <w:rFonts w:ascii="Arial" w:hAnsi="Arial" w:cs="Arial"/>
        </w:rPr>
        <w:t xml:space="preserve">As for the outcome, the majority of patients who died were in the intensive care unit (24.6%) and did not have a partner (19.3%). Only 1.1% of patients had dyslipidemia and 6% diabetes mellitus. With regard to ventilation modality, the greatest use was of invasive mechanical ventilation by orotracheal intubation (21.4%), followed by non-invasive ventilation (18.2%) and nasal cannula glasses (15.8%), which also resulted in a predominance of enteral diet use (24.9%). The use of blood components and procedures such as chest tubes, hemodialysis or others were not necessary in the majority of cases. A total of 26.7% of the patients had some complication, such as </w:t>
      </w:r>
      <w:proofErr w:type="spellStart"/>
      <w:r w:rsidRPr="006B0F6C">
        <w:rPr>
          <w:rFonts w:ascii="Arial" w:hAnsi="Arial" w:cs="Arial"/>
        </w:rPr>
        <w:t>hydroelectrolytic</w:t>
      </w:r>
      <w:proofErr w:type="spellEnd"/>
      <w:r w:rsidRPr="006B0F6C">
        <w:rPr>
          <w:rFonts w:ascii="Arial" w:hAnsi="Arial" w:cs="Arial"/>
        </w:rPr>
        <w:t xml:space="preserve"> disorders, pneumonia and septic shock. The highest percentage of patients underwent X-rays and computed tomography as an imaging test (20.0%), with lung involvement of between 50 and 75% being the most common (Table IV). </w:t>
      </w:r>
    </w:p>
    <w:p w14:paraId="67220297" w14:textId="226681C5" w:rsidR="00FE535E" w:rsidRDefault="00FE535E" w:rsidP="00FE535E">
      <w:pPr>
        <w:jc w:val="both"/>
        <w:rPr>
          <w:rFonts w:ascii="Arial" w:hAnsi="Arial" w:cs="Arial"/>
        </w:rPr>
      </w:pPr>
      <w:r w:rsidRPr="006B0F6C">
        <w:rPr>
          <w:rFonts w:ascii="Arial" w:hAnsi="Arial" w:cs="Arial"/>
        </w:rPr>
        <w:t>The patients who were discharged were mostly in the nursing (40.4%) and had a partner (33.0%). A total of 6.3% of patients were diagnosed with dyslipidemia and 12.6% with diabetes mellitus. Nasal cannula use predominated (54.4%), followed by non-invasive ventilation (21.4%) and orotracheal intubation (6.3%). The oral diet was the most commonly used (54.0%). The use of blood components and procedures such as chest tubes, hemodialysis or others were not performed in the majority of patients. There were no complications in 35.8% of cases. Computed tomography alone was the most commonly performed imaging test, showing pulmonary involvement of 25 to 50% in most reports (Table IV).</w:t>
      </w:r>
    </w:p>
    <w:p w14:paraId="518D2C12" w14:textId="041EDCB3" w:rsidR="00FE535E" w:rsidRDefault="00FE535E" w:rsidP="00FE535E">
      <w:pPr>
        <w:jc w:val="both"/>
        <w:rPr>
          <w:rFonts w:ascii="Arial" w:hAnsi="Arial" w:cs="Arial"/>
        </w:rPr>
      </w:pPr>
    </w:p>
    <w:p w14:paraId="3C99589C" w14:textId="77777777" w:rsidR="00720217" w:rsidRPr="00720217" w:rsidRDefault="00720217" w:rsidP="00720217">
      <w:pPr>
        <w:jc w:val="center"/>
        <w:rPr>
          <w:rFonts w:ascii="Arial" w:hAnsi="Arial" w:cs="Arial"/>
          <w:b/>
          <w:color w:val="000000"/>
        </w:rPr>
      </w:pPr>
      <w:r w:rsidRPr="00720217">
        <w:rPr>
          <w:rFonts w:ascii="Arial" w:hAnsi="Arial" w:cs="Arial"/>
          <w:b/>
        </w:rPr>
        <w:t>Table IV. Outcome of patients hospitalized with Covid-19 in a Brazilian public hospital associated with sociodemographic and clinical profile, from 2020 to 2022. n = number of medical records consulted; X</w:t>
      </w:r>
      <w:r w:rsidRPr="00720217">
        <w:rPr>
          <w:rFonts w:ascii="Arial" w:hAnsi="Arial" w:cs="Arial"/>
          <w:b/>
          <w:vertAlign w:val="superscript"/>
        </w:rPr>
        <w:t>2</w:t>
      </w:r>
      <w:r w:rsidRPr="00720217">
        <w:rPr>
          <w:rFonts w:ascii="Arial" w:hAnsi="Arial" w:cs="Arial"/>
          <w:b/>
        </w:rPr>
        <w:t xml:space="preserve"> = Chi-squared test.</w:t>
      </w:r>
    </w:p>
    <w:tbl>
      <w:tblPr>
        <w:tblW w:w="8504" w:type="dxa"/>
        <w:tblInd w:w="-140" w:type="dxa"/>
        <w:tblLayout w:type="fixed"/>
        <w:tblLook w:val="0400" w:firstRow="0" w:lastRow="0" w:firstColumn="0" w:lastColumn="0" w:noHBand="0" w:noVBand="1"/>
      </w:tblPr>
      <w:tblGrid>
        <w:gridCol w:w="2342"/>
        <w:gridCol w:w="633"/>
        <w:gridCol w:w="709"/>
        <w:gridCol w:w="709"/>
        <w:gridCol w:w="709"/>
        <w:gridCol w:w="850"/>
        <w:gridCol w:w="425"/>
        <w:gridCol w:w="2127"/>
      </w:tblGrid>
      <w:tr w:rsidR="00720217" w:rsidRPr="00720217" w14:paraId="46C1FB54" w14:textId="77777777" w:rsidTr="00720217">
        <w:trPr>
          <w:trHeight w:val="300"/>
        </w:trPr>
        <w:tc>
          <w:tcPr>
            <w:tcW w:w="2342" w:type="dxa"/>
            <w:tcBorders>
              <w:top w:val="single" w:sz="12" w:space="0" w:color="000000"/>
              <w:left w:val="nil"/>
              <w:bottom w:val="nil"/>
              <w:right w:val="nil"/>
            </w:tcBorders>
            <w:tcMar>
              <w:top w:w="0" w:type="dxa"/>
              <w:left w:w="70" w:type="dxa"/>
              <w:bottom w:w="0" w:type="dxa"/>
              <w:right w:w="70" w:type="dxa"/>
            </w:tcMar>
            <w:vAlign w:val="bottom"/>
          </w:tcPr>
          <w:p w14:paraId="61E91D4E" w14:textId="77777777" w:rsidR="00720217" w:rsidRPr="00720217" w:rsidRDefault="00720217" w:rsidP="00720217">
            <w:pPr>
              <w:rPr>
                <w:rFonts w:ascii="Arial" w:hAnsi="Arial" w:cs="Arial"/>
                <w:color w:val="000000"/>
              </w:rPr>
            </w:pPr>
          </w:p>
        </w:tc>
        <w:tc>
          <w:tcPr>
            <w:tcW w:w="1342" w:type="dxa"/>
            <w:gridSpan w:val="2"/>
            <w:tcBorders>
              <w:top w:val="single" w:sz="12" w:space="0" w:color="000000"/>
              <w:left w:val="nil"/>
              <w:bottom w:val="nil"/>
              <w:right w:val="nil"/>
            </w:tcBorders>
            <w:tcMar>
              <w:top w:w="0" w:type="dxa"/>
              <w:left w:w="70" w:type="dxa"/>
              <w:bottom w:w="0" w:type="dxa"/>
              <w:right w:w="70" w:type="dxa"/>
            </w:tcMar>
            <w:vAlign w:val="bottom"/>
            <w:hideMark/>
          </w:tcPr>
          <w:p w14:paraId="471621DC" w14:textId="77777777" w:rsidR="00720217" w:rsidRPr="00720217" w:rsidRDefault="00720217" w:rsidP="00720217">
            <w:pPr>
              <w:jc w:val="center"/>
              <w:rPr>
                <w:rFonts w:ascii="Arial" w:hAnsi="Arial" w:cs="Arial"/>
              </w:rPr>
            </w:pPr>
            <w:r w:rsidRPr="00720217">
              <w:rPr>
                <w:rFonts w:ascii="Arial" w:hAnsi="Arial" w:cs="Arial"/>
                <w:b/>
                <w:color w:val="000000"/>
              </w:rPr>
              <w:t>Discharge</w:t>
            </w:r>
          </w:p>
        </w:tc>
        <w:tc>
          <w:tcPr>
            <w:tcW w:w="1418" w:type="dxa"/>
            <w:gridSpan w:val="2"/>
            <w:tcBorders>
              <w:top w:val="single" w:sz="12" w:space="0" w:color="000000"/>
              <w:left w:val="nil"/>
              <w:bottom w:val="nil"/>
              <w:right w:val="nil"/>
            </w:tcBorders>
            <w:tcMar>
              <w:top w:w="0" w:type="dxa"/>
              <w:left w:w="70" w:type="dxa"/>
              <w:bottom w:w="0" w:type="dxa"/>
              <w:right w:w="70" w:type="dxa"/>
            </w:tcMar>
            <w:vAlign w:val="bottom"/>
            <w:hideMark/>
          </w:tcPr>
          <w:p w14:paraId="371DDDAC" w14:textId="77777777" w:rsidR="00720217" w:rsidRPr="00720217" w:rsidRDefault="00720217" w:rsidP="00720217">
            <w:pPr>
              <w:jc w:val="center"/>
              <w:rPr>
                <w:rFonts w:ascii="Arial" w:hAnsi="Arial" w:cs="Arial"/>
              </w:rPr>
            </w:pPr>
            <w:r w:rsidRPr="00720217">
              <w:rPr>
                <w:rFonts w:ascii="Arial" w:hAnsi="Arial" w:cs="Arial"/>
                <w:b/>
                <w:color w:val="000000"/>
              </w:rPr>
              <w:t>Death</w:t>
            </w:r>
          </w:p>
        </w:tc>
        <w:tc>
          <w:tcPr>
            <w:tcW w:w="1275" w:type="dxa"/>
            <w:gridSpan w:val="2"/>
            <w:tcBorders>
              <w:top w:val="single" w:sz="12" w:space="0" w:color="000000"/>
              <w:left w:val="nil"/>
              <w:bottom w:val="single" w:sz="6" w:space="0" w:color="000000"/>
              <w:right w:val="nil"/>
            </w:tcBorders>
            <w:tcMar>
              <w:top w:w="0" w:type="dxa"/>
              <w:left w:w="70" w:type="dxa"/>
              <w:bottom w:w="0" w:type="dxa"/>
              <w:right w:w="70" w:type="dxa"/>
            </w:tcMar>
            <w:vAlign w:val="bottom"/>
            <w:hideMark/>
          </w:tcPr>
          <w:p w14:paraId="0FCDE6C7" w14:textId="77777777" w:rsidR="00720217" w:rsidRPr="00720217" w:rsidRDefault="00720217" w:rsidP="00720217">
            <w:pPr>
              <w:jc w:val="center"/>
              <w:rPr>
                <w:rFonts w:ascii="Arial" w:hAnsi="Arial" w:cs="Arial"/>
                <w:b/>
                <w:color w:val="000000"/>
              </w:rPr>
            </w:pPr>
            <w:r w:rsidRPr="00720217">
              <w:rPr>
                <w:rFonts w:ascii="Arial" w:hAnsi="Arial" w:cs="Arial"/>
                <w:b/>
                <w:color w:val="000000"/>
              </w:rPr>
              <w:t>Transfer</w:t>
            </w:r>
          </w:p>
          <w:p w14:paraId="691B2B38" w14:textId="77777777" w:rsidR="00720217" w:rsidRPr="00720217" w:rsidRDefault="00720217" w:rsidP="00720217">
            <w:pPr>
              <w:jc w:val="center"/>
              <w:rPr>
                <w:rFonts w:ascii="Arial" w:hAnsi="Arial" w:cs="Arial"/>
              </w:rPr>
            </w:pPr>
            <w:r w:rsidRPr="00720217">
              <w:rPr>
                <w:rFonts w:ascii="Arial" w:hAnsi="Arial" w:cs="Arial"/>
                <w:b/>
                <w:color w:val="000000"/>
              </w:rPr>
              <w:t>/ Evasion</w:t>
            </w:r>
          </w:p>
        </w:tc>
        <w:tc>
          <w:tcPr>
            <w:tcW w:w="2127" w:type="dxa"/>
            <w:tcBorders>
              <w:top w:val="single" w:sz="12" w:space="0" w:color="000000"/>
              <w:left w:val="nil"/>
              <w:bottom w:val="single" w:sz="6" w:space="0" w:color="000000"/>
              <w:right w:val="nil"/>
            </w:tcBorders>
            <w:tcMar>
              <w:top w:w="0" w:type="dxa"/>
              <w:left w:w="70" w:type="dxa"/>
              <w:bottom w:w="0" w:type="dxa"/>
              <w:right w:w="70" w:type="dxa"/>
            </w:tcMar>
            <w:vAlign w:val="bottom"/>
            <w:hideMark/>
          </w:tcPr>
          <w:p w14:paraId="5255F5C2" w14:textId="77777777" w:rsidR="00720217" w:rsidRPr="00720217" w:rsidRDefault="00720217" w:rsidP="00720217">
            <w:pPr>
              <w:jc w:val="center"/>
              <w:rPr>
                <w:rFonts w:ascii="Arial" w:hAnsi="Arial" w:cs="Arial"/>
                <w:b/>
                <w:color w:val="000000"/>
              </w:rPr>
            </w:pPr>
            <w:r w:rsidRPr="00720217">
              <w:rPr>
                <w:rFonts w:ascii="Arial" w:hAnsi="Arial" w:cs="Arial"/>
                <w:b/>
                <w:color w:val="000000"/>
              </w:rPr>
              <w:t xml:space="preserve">Significance </w:t>
            </w:r>
          </w:p>
        </w:tc>
      </w:tr>
      <w:tr w:rsidR="00720217" w:rsidRPr="00720217" w14:paraId="4980AA47" w14:textId="77777777" w:rsidTr="00720217">
        <w:trPr>
          <w:trHeight w:val="300"/>
        </w:trPr>
        <w:tc>
          <w:tcPr>
            <w:tcW w:w="2342" w:type="dxa"/>
            <w:tcBorders>
              <w:top w:val="single" w:sz="6" w:space="0" w:color="000000"/>
              <w:left w:val="nil"/>
              <w:bottom w:val="single" w:sz="6" w:space="0" w:color="000000"/>
              <w:right w:val="nil"/>
            </w:tcBorders>
            <w:tcMar>
              <w:top w:w="0" w:type="dxa"/>
              <w:left w:w="70" w:type="dxa"/>
              <w:bottom w:w="0" w:type="dxa"/>
              <w:right w:w="70" w:type="dxa"/>
            </w:tcMar>
            <w:vAlign w:val="bottom"/>
            <w:hideMark/>
          </w:tcPr>
          <w:p w14:paraId="1AD395EB" w14:textId="77777777" w:rsidR="00720217" w:rsidRPr="00720217" w:rsidRDefault="00720217" w:rsidP="00720217">
            <w:pPr>
              <w:rPr>
                <w:rFonts w:ascii="Arial" w:hAnsi="Arial" w:cs="Arial"/>
                <w:b/>
              </w:rPr>
            </w:pPr>
            <w:r w:rsidRPr="00720217">
              <w:rPr>
                <w:rFonts w:ascii="Arial" w:hAnsi="Arial" w:cs="Arial"/>
                <w:b/>
                <w:color w:val="000000"/>
              </w:rPr>
              <w:t>Variable</w:t>
            </w:r>
          </w:p>
        </w:tc>
        <w:tc>
          <w:tcPr>
            <w:tcW w:w="633" w:type="dxa"/>
            <w:tcBorders>
              <w:top w:val="single" w:sz="6" w:space="0" w:color="000000"/>
              <w:left w:val="nil"/>
              <w:bottom w:val="single" w:sz="6" w:space="0" w:color="000000"/>
              <w:right w:val="nil"/>
            </w:tcBorders>
            <w:tcMar>
              <w:top w:w="0" w:type="dxa"/>
              <w:left w:w="70" w:type="dxa"/>
              <w:bottom w:w="0" w:type="dxa"/>
              <w:right w:w="70" w:type="dxa"/>
            </w:tcMar>
            <w:vAlign w:val="bottom"/>
            <w:hideMark/>
          </w:tcPr>
          <w:p w14:paraId="422B0807" w14:textId="77777777" w:rsidR="00720217" w:rsidRPr="00720217" w:rsidRDefault="00720217" w:rsidP="00720217">
            <w:pPr>
              <w:jc w:val="center"/>
              <w:rPr>
                <w:rFonts w:ascii="Arial" w:hAnsi="Arial" w:cs="Arial"/>
              </w:rPr>
            </w:pPr>
            <w:r w:rsidRPr="00720217">
              <w:rPr>
                <w:rFonts w:ascii="Arial" w:hAnsi="Arial" w:cs="Arial"/>
                <w:b/>
                <w:color w:val="000000"/>
              </w:rPr>
              <w:t>n</w:t>
            </w:r>
          </w:p>
        </w:tc>
        <w:tc>
          <w:tcPr>
            <w:tcW w:w="709" w:type="dxa"/>
            <w:tcBorders>
              <w:top w:val="single" w:sz="6" w:space="0" w:color="000000"/>
              <w:left w:val="nil"/>
              <w:bottom w:val="single" w:sz="6" w:space="0" w:color="000000"/>
              <w:right w:val="nil"/>
            </w:tcBorders>
            <w:tcMar>
              <w:top w:w="0" w:type="dxa"/>
              <w:left w:w="70" w:type="dxa"/>
              <w:bottom w:w="0" w:type="dxa"/>
              <w:right w:w="70" w:type="dxa"/>
            </w:tcMar>
            <w:vAlign w:val="bottom"/>
            <w:hideMark/>
          </w:tcPr>
          <w:p w14:paraId="07DFBC1A" w14:textId="77777777" w:rsidR="00720217" w:rsidRPr="00720217" w:rsidRDefault="00720217" w:rsidP="00720217">
            <w:pPr>
              <w:jc w:val="center"/>
              <w:rPr>
                <w:rFonts w:ascii="Arial" w:hAnsi="Arial" w:cs="Arial"/>
              </w:rPr>
            </w:pPr>
            <w:r w:rsidRPr="00720217">
              <w:rPr>
                <w:rFonts w:ascii="Arial" w:hAnsi="Arial" w:cs="Arial"/>
                <w:b/>
                <w:color w:val="000000"/>
              </w:rPr>
              <w:t>%</w:t>
            </w:r>
          </w:p>
        </w:tc>
        <w:tc>
          <w:tcPr>
            <w:tcW w:w="709" w:type="dxa"/>
            <w:tcBorders>
              <w:top w:val="single" w:sz="6" w:space="0" w:color="000000"/>
              <w:left w:val="nil"/>
              <w:bottom w:val="single" w:sz="6" w:space="0" w:color="000000"/>
              <w:right w:val="nil"/>
            </w:tcBorders>
            <w:tcMar>
              <w:top w:w="0" w:type="dxa"/>
              <w:left w:w="70" w:type="dxa"/>
              <w:bottom w:w="0" w:type="dxa"/>
              <w:right w:w="70" w:type="dxa"/>
            </w:tcMar>
            <w:vAlign w:val="bottom"/>
            <w:hideMark/>
          </w:tcPr>
          <w:p w14:paraId="2D3FF6D5" w14:textId="77777777" w:rsidR="00720217" w:rsidRPr="00720217" w:rsidRDefault="00720217" w:rsidP="00720217">
            <w:pPr>
              <w:jc w:val="center"/>
              <w:rPr>
                <w:rFonts w:ascii="Arial" w:hAnsi="Arial" w:cs="Arial"/>
              </w:rPr>
            </w:pPr>
            <w:r w:rsidRPr="00720217">
              <w:rPr>
                <w:rFonts w:ascii="Arial" w:hAnsi="Arial" w:cs="Arial"/>
                <w:b/>
                <w:color w:val="000000"/>
              </w:rPr>
              <w:t>n</w:t>
            </w:r>
          </w:p>
        </w:tc>
        <w:tc>
          <w:tcPr>
            <w:tcW w:w="709" w:type="dxa"/>
            <w:tcBorders>
              <w:top w:val="single" w:sz="6" w:space="0" w:color="000000"/>
              <w:left w:val="nil"/>
              <w:bottom w:val="single" w:sz="6" w:space="0" w:color="000000"/>
              <w:right w:val="nil"/>
            </w:tcBorders>
            <w:tcMar>
              <w:top w:w="0" w:type="dxa"/>
              <w:left w:w="70" w:type="dxa"/>
              <w:bottom w:w="0" w:type="dxa"/>
              <w:right w:w="70" w:type="dxa"/>
            </w:tcMar>
            <w:vAlign w:val="bottom"/>
            <w:hideMark/>
          </w:tcPr>
          <w:p w14:paraId="09ED0480" w14:textId="77777777" w:rsidR="00720217" w:rsidRPr="00720217" w:rsidRDefault="00720217" w:rsidP="00720217">
            <w:pPr>
              <w:jc w:val="center"/>
              <w:rPr>
                <w:rFonts w:ascii="Arial" w:hAnsi="Arial" w:cs="Arial"/>
              </w:rPr>
            </w:pPr>
            <w:r w:rsidRPr="00720217">
              <w:rPr>
                <w:rFonts w:ascii="Arial" w:hAnsi="Arial" w:cs="Arial"/>
                <w:b/>
                <w:color w:val="000000"/>
              </w:rPr>
              <w:t>%</w:t>
            </w:r>
          </w:p>
        </w:tc>
        <w:tc>
          <w:tcPr>
            <w:tcW w:w="850" w:type="dxa"/>
            <w:tcBorders>
              <w:top w:val="single" w:sz="6" w:space="0" w:color="000000"/>
              <w:left w:val="nil"/>
              <w:bottom w:val="single" w:sz="6" w:space="0" w:color="000000"/>
              <w:right w:val="nil"/>
            </w:tcBorders>
            <w:tcMar>
              <w:top w:w="0" w:type="dxa"/>
              <w:left w:w="70" w:type="dxa"/>
              <w:bottom w:w="0" w:type="dxa"/>
              <w:right w:w="70" w:type="dxa"/>
            </w:tcMar>
            <w:vAlign w:val="bottom"/>
            <w:hideMark/>
          </w:tcPr>
          <w:p w14:paraId="64D2620A" w14:textId="77777777" w:rsidR="00720217" w:rsidRPr="00720217" w:rsidRDefault="00720217" w:rsidP="00720217">
            <w:pPr>
              <w:jc w:val="center"/>
              <w:rPr>
                <w:rFonts w:ascii="Arial" w:hAnsi="Arial" w:cs="Arial"/>
                <w:b/>
                <w:color w:val="000000"/>
              </w:rPr>
            </w:pPr>
            <w:r w:rsidRPr="00720217">
              <w:rPr>
                <w:rFonts w:ascii="Arial" w:hAnsi="Arial" w:cs="Arial"/>
                <w:b/>
                <w:color w:val="000000"/>
              </w:rPr>
              <w:t>n</w:t>
            </w:r>
          </w:p>
        </w:tc>
        <w:tc>
          <w:tcPr>
            <w:tcW w:w="425" w:type="dxa"/>
            <w:tcBorders>
              <w:top w:val="nil"/>
              <w:left w:val="nil"/>
              <w:bottom w:val="single" w:sz="6" w:space="0" w:color="000000"/>
              <w:right w:val="nil"/>
            </w:tcBorders>
            <w:tcMar>
              <w:top w:w="0" w:type="dxa"/>
              <w:left w:w="70" w:type="dxa"/>
              <w:bottom w:w="0" w:type="dxa"/>
              <w:right w:w="70" w:type="dxa"/>
            </w:tcMar>
            <w:vAlign w:val="bottom"/>
            <w:hideMark/>
          </w:tcPr>
          <w:p w14:paraId="7607F4AB" w14:textId="77777777" w:rsidR="00720217" w:rsidRPr="00720217" w:rsidRDefault="00720217" w:rsidP="00720217">
            <w:pPr>
              <w:jc w:val="center"/>
              <w:rPr>
                <w:rFonts w:ascii="Arial" w:hAnsi="Arial" w:cs="Arial"/>
              </w:rPr>
            </w:pPr>
            <w:r w:rsidRPr="00720217">
              <w:rPr>
                <w:rFonts w:ascii="Arial" w:hAnsi="Arial" w:cs="Arial"/>
                <w:b/>
                <w:color w:val="000000"/>
              </w:rPr>
              <w:t>%</w:t>
            </w:r>
          </w:p>
        </w:tc>
        <w:tc>
          <w:tcPr>
            <w:tcW w:w="2127" w:type="dxa"/>
            <w:tcBorders>
              <w:top w:val="nil"/>
              <w:left w:val="nil"/>
              <w:bottom w:val="single" w:sz="6" w:space="0" w:color="000000"/>
              <w:right w:val="nil"/>
            </w:tcBorders>
            <w:tcMar>
              <w:top w:w="0" w:type="dxa"/>
              <w:left w:w="70" w:type="dxa"/>
              <w:bottom w:w="0" w:type="dxa"/>
              <w:right w:w="70" w:type="dxa"/>
            </w:tcMar>
            <w:vAlign w:val="bottom"/>
          </w:tcPr>
          <w:p w14:paraId="2A423890" w14:textId="77777777" w:rsidR="00720217" w:rsidRPr="00720217" w:rsidRDefault="00720217" w:rsidP="00720217">
            <w:pPr>
              <w:jc w:val="center"/>
              <w:rPr>
                <w:rFonts w:ascii="Arial" w:hAnsi="Arial" w:cs="Arial"/>
                <w:b/>
                <w:color w:val="000000"/>
              </w:rPr>
            </w:pPr>
          </w:p>
        </w:tc>
      </w:tr>
      <w:tr w:rsidR="00720217" w:rsidRPr="00720217" w14:paraId="3C2E1CDE" w14:textId="77777777" w:rsidTr="00720217">
        <w:trPr>
          <w:trHeight w:val="300"/>
        </w:trPr>
        <w:tc>
          <w:tcPr>
            <w:tcW w:w="2342" w:type="dxa"/>
            <w:tcBorders>
              <w:top w:val="single" w:sz="6" w:space="0" w:color="000000"/>
              <w:left w:val="nil"/>
              <w:bottom w:val="nil"/>
              <w:right w:val="nil"/>
            </w:tcBorders>
            <w:tcMar>
              <w:top w:w="0" w:type="dxa"/>
              <w:left w:w="70" w:type="dxa"/>
              <w:bottom w:w="0" w:type="dxa"/>
              <w:right w:w="70" w:type="dxa"/>
            </w:tcMar>
            <w:hideMark/>
          </w:tcPr>
          <w:p w14:paraId="681147F2" w14:textId="77777777" w:rsidR="00720217" w:rsidRPr="00720217" w:rsidRDefault="00720217" w:rsidP="00720217">
            <w:pPr>
              <w:rPr>
                <w:rFonts w:ascii="Arial" w:hAnsi="Arial" w:cs="Arial"/>
                <w:b/>
              </w:rPr>
            </w:pPr>
            <w:r w:rsidRPr="00720217">
              <w:rPr>
                <w:rFonts w:ascii="Arial" w:hAnsi="Arial" w:cs="Arial"/>
                <w:b/>
              </w:rPr>
              <w:t>Place of hospitalization</w:t>
            </w:r>
          </w:p>
        </w:tc>
        <w:tc>
          <w:tcPr>
            <w:tcW w:w="633" w:type="dxa"/>
            <w:tcBorders>
              <w:top w:val="single" w:sz="6" w:space="0" w:color="000000"/>
              <w:left w:val="nil"/>
              <w:bottom w:val="nil"/>
              <w:right w:val="nil"/>
            </w:tcBorders>
            <w:tcMar>
              <w:top w:w="0" w:type="dxa"/>
              <w:left w:w="70" w:type="dxa"/>
              <w:bottom w:w="0" w:type="dxa"/>
              <w:right w:w="70" w:type="dxa"/>
            </w:tcMar>
            <w:vAlign w:val="bottom"/>
          </w:tcPr>
          <w:p w14:paraId="7A020D2A" w14:textId="77777777" w:rsidR="00720217" w:rsidRPr="00720217" w:rsidRDefault="00720217" w:rsidP="00720217">
            <w:pPr>
              <w:rPr>
                <w:rFonts w:ascii="Arial" w:hAnsi="Arial" w:cs="Arial"/>
              </w:rPr>
            </w:pPr>
          </w:p>
        </w:tc>
        <w:tc>
          <w:tcPr>
            <w:tcW w:w="709" w:type="dxa"/>
            <w:tcBorders>
              <w:top w:val="single" w:sz="6" w:space="0" w:color="000000"/>
              <w:left w:val="nil"/>
              <w:bottom w:val="nil"/>
              <w:right w:val="nil"/>
            </w:tcBorders>
            <w:tcMar>
              <w:top w:w="0" w:type="dxa"/>
              <w:left w:w="70" w:type="dxa"/>
              <w:bottom w:w="0" w:type="dxa"/>
              <w:right w:w="70" w:type="dxa"/>
            </w:tcMar>
            <w:vAlign w:val="bottom"/>
          </w:tcPr>
          <w:p w14:paraId="3BC006EF" w14:textId="77777777" w:rsidR="00720217" w:rsidRPr="00720217" w:rsidRDefault="00720217" w:rsidP="00720217">
            <w:pPr>
              <w:rPr>
                <w:rFonts w:ascii="Arial" w:hAnsi="Arial" w:cs="Arial"/>
              </w:rPr>
            </w:pPr>
          </w:p>
        </w:tc>
        <w:tc>
          <w:tcPr>
            <w:tcW w:w="709" w:type="dxa"/>
            <w:tcBorders>
              <w:top w:val="single" w:sz="6" w:space="0" w:color="000000"/>
              <w:left w:val="nil"/>
              <w:bottom w:val="nil"/>
              <w:right w:val="nil"/>
            </w:tcBorders>
            <w:tcMar>
              <w:top w:w="0" w:type="dxa"/>
              <w:left w:w="70" w:type="dxa"/>
              <w:bottom w:w="0" w:type="dxa"/>
              <w:right w:w="70" w:type="dxa"/>
            </w:tcMar>
            <w:vAlign w:val="bottom"/>
          </w:tcPr>
          <w:p w14:paraId="50D6D045" w14:textId="77777777" w:rsidR="00720217" w:rsidRPr="00720217" w:rsidRDefault="00720217" w:rsidP="00720217">
            <w:pPr>
              <w:rPr>
                <w:rFonts w:ascii="Arial" w:hAnsi="Arial" w:cs="Arial"/>
              </w:rPr>
            </w:pPr>
          </w:p>
        </w:tc>
        <w:tc>
          <w:tcPr>
            <w:tcW w:w="709" w:type="dxa"/>
            <w:tcBorders>
              <w:top w:val="single" w:sz="6" w:space="0" w:color="000000"/>
              <w:left w:val="nil"/>
              <w:bottom w:val="nil"/>
              <w:right w:val="nil"/>
            </w:tcBorders>
            <w:tcMar>
              <w:top w:w="0" w:type="dxa"/>
              <w:left w:w="70" w:type="dxa"/>
              <w:bottom w:w="0" w:type="dxa"/>
              <w:right w:w="70" w:type="dxa"/>
            </w:tcMar>
            <w:vAlign w:val="bottom"/>
          </w:tcPr>
          <w:p w14:paraId="5C00D1EA" w14:textId="77777777" w:rsidR="00720217" w:rsidRPr="00720217" w:rsidRDefault="00720217" w:rsidP="00720217">
            <w:pPr>
              <w:rPr>
                <w:rFonts w:ascii="Arial" w:hAnsi="Arial" w:cs="Arial"/>
              </w:rPr>
            </w:pPr>
          </w:p>
        </w:tc>
        <w:tc>
          <w:tcPr>
            <w:tcW w:w="850" w:type="dxa"/>
            <w:tcBorders>
              <w:top w:val="single" w:sz="6" w:space="0" w:color="000000"/>
              <w:left w:val="nil"/>
              <w:bottom w:val="nil"/>
              <w:right w:val="nil"/>
            </w:tcBorders>
            <w:tcMar>
              <w:top w:w="0" w:type="dxa"/>
              <w:left w:w="70" w:type="dxa"/>
              <w:bottom w:w="0" w:type="dxa"/>
              <w:right w:w="70" w:type="dxa"/>
            </w:tcMar>
            <w:vAlign w:val="bottom"/>
          </w:tcPr>
          <w:p w14:paraId="2681D899" w14:textId="77777777" w:rsidR="00720217" w:rsidRPr="00720217" w:rsidRDefault="00720217" w:rsidP="00720217">
            <w:pPr>
              <w:rPr>
                <w:rFonts w:ascii="Arial" w:hAnsi="Arial" w:cs="Arial"/>
              </w:rPr>
            </w:pPr>
          </w:p>
        </w:tc>
        <w:tc>
          <w:tcPr>
            <w:tcW w:w="425" w:type="dxa"/>
            <w:tcBorders>
              <w:top w:val="single" w:sz="6" w:space="0" w:color="000000"/>
              <w:left w:val="nil"/>
              <w:bottom w:val="nil"/>
              <w:right w:val="nil"/>
            </w:tcBorders>
            <w:tcMar>
              <w:top w:w="0" w:type="dxa"/>
              <w:left w:w="70" w:type="dxa"/>
              <w:bottom w:w="0" w:type="dxa"/>
              <w:right w:w="70" w:type="dxa"/>
            </w:tcMar>
            <w:vAlign w:val="bottom"/>
          </w:tcPr>
          <w:p w14:paraId="5E5F3036" w14:textId="77777777" w:rsidR="00720217" w:rsidRPr="00720217" w:rsidRDefault="00720217" w:rsidP="00720217">
            <w:pPr>
              <w:rPr>
                <w:rFonts w:ascii="Arial" w:hAnsi="Arial" w:cs="Arial"/>
              </w:rPr>
            </w:pPr>
          </w:p>
        </w:tc>
        <w:tc>
          <w:tcPr>
            <w:tcW w:w="2127" w:type="dxa"/>
            <w:tcBorders>
              <w:top w:val="single" w:sz="6" w:space="0" w:color="000000"/>
              <w:left w:val="nil"/>
              <w:bottom w:val="nil"/>
              <w:right w:val="nil"/>
            </w:tcBorders>
            <w:tcMar>
              <w:top w:w="0" w:type="dxa"/>
              <w:left w:w="70" w:type="dxa"/>
              <w:bottom w:w="0" w:type="dxa"/>
              <w:right w:w="70" w:type="dxa"/>
            </w:tcMar>
            <w:vAlign w:val="bottom"/>
          </w:tcPr>
          <w:p w14:paraId="04C95E2A" w14:textId="77777777" w:rsidR="00720217" w:rsidRPr="00720217" w:rsidRDefault="00720217" w:rsidP="00720217">
            <w:pPr>
              <w:rPr>
                <w:rFonts w:ascii="Arial" w:hAnsi="Arial" w:cs="Arial"/>
              </w:rPr>
            </w:pPr>
          </w:p>
        </w:tc>
      </w:tr>
      <w:tr w:rsidR="00720217" w:rsidRPr="00720217" w14:paraId="22CD07C6" w14:textId="77777777" w:rsidTr="00720217">
        <w:trPr>
          <w:trHeight w:val="300"/>
        </w:trPr>
        <w:tc>
          <w:tcPr>
            <w:tcW w:w="2342" w:type="dxa"/>
            <w:tcMar>
              <w:top w:w="0" w:type="dxa"/>
              <w:left w:w="70" w:type="dxa"/>
              <w:bottom w:w="0" w:type="dxa"/>
              <w:right w:w="70" w:type="dxa"/>
            </w:tcMar>
            <w:hideMark/>
          </w:tcPr>
          <w:p w14:paraId="50163F8C" w14:textId="77777777" w:rsidR="00720217" w:rsidRPr="00720217" w:rsidRDefault="00720217" w:rsidP="00720217">
            <w:pPr>
              <w:rPr>
                <w:rFonts w:ascii="Arial" w:hAnsi="Arial" w:cs="Arial"/>
              </w:rPr>
            </w:pPr>
            <w:r w:rsidRPr="00720217">
              <w:rPr>
                <w:rFonts w:ascii="Arial" w:hAnsi="Arial" w:cs="Arial"/>
              </w:rPr>
              <w:t>Ward</w:t>
            </w:r>
          </w:p>
        </w:tc>
        <w:tc>
          <w:tcPr>
            <w:tcW w:w="633" w:type="dxa"/>
            <w:tcMar>
              <w:top w:w="0" w:type="dxa"/>
              <w:left w:w="70" w:type="dxa"/>
              <w:bottom w:w="0" w:type="dxa"/>
              <w:right w:w="70" w:type="dxa"/>
            </w:tcMar>
            <w:vAlign w:val="bottom"/>
            <w:hideMark/>
          </w:tcPr>
          <w:p w14:paraId="0090C1F8" w14:textId="77777777" w:rsidR="00720217" w:rsidRPr="00720217" w:rsidRDefault="00720217" w:rsidP="00720217">
            <w:pPr>
              <w:jc w:val="center"/>
              <w:rPr>
                <w:rFonts w:ascii="Arial" w:hAnsi="Arial" w:cs="Arial"/>
              </w:rPr>
            </w:pPr>
            <w:r w:rsidRPr="00720217">
              <w:rPr>
                <w:rFonts w:ascii="Arial" w:hAnsi="Arial" w:cs="Arial"/>
                <w:color w:val="000000"/>
              </w:rPr>
              <w:t>115</w:t>
            </w:r>
          </w:p>
        </w:tc>
        <w:tc>
          <w:tcPr>
            <w:tcW w:w="709" w:type="dxa"/>
            <w:tcMar>
              <w:top w:w="0" w:type="dxa"/>
              <w:left w:w="70" w:type="dxa"/>
              <w:bottom w:w="0" w:type="dxa"/>
              <w:right w:w="70" w:type="dxa"/>
            </w:tcMar>
            <w:vAlign w:val="bottom"/>
            <w:hideMark/>
          </w:tcPr>
          <w:p w14:paraId="4C6DEDFB" w14:textId="77777777" w:rsidR="00720217" w:rsidRPr="00720217" w:rsidRDefault="00720217" w:rsidP="00720217">
            <w:pPr>
              <w:jc w:val="center"/>
              <w:rPr>
                <w:rFonts w:ascii="Arial" w:hAnsi="Arial" w:cs="Arial"/>
              </w:rPr>
            </w:pPr>
            <w:r w:rsidRPr="00720217">
              <w:rPr>
                <w:rFonts w:ascii="Arial" w:hAnsi="Arial" w:cs="Arial"/>
                <w:color w:val="000000"/>
              </w:rPr>
              <w:t>40,4</w:t>
            </w:r>
          </w:p>
        </w:tc>
        <w:tc>
          <w:tcPr>
            <w:tcW w:w="709" w:type="dxa"/>
            <w:tcMar>
              <w:top w:w="0" w:type="dxa"/>
              <w:left w:w="70" w:type="dxa"/>
              <w:bottom w:w="0" w:type="dxa"/>
              <w:right w:w="70" w:type="dxa"/>
            </w:tcMar>
            <w:vAlign w:val="bottom"/>
            <w:hideMark/>
          </w:tcPr>
          <w:p w14:paraId="304F9A71" w14:textId="77777777" w:rsidR="00720217" w:rsidRPr="00720217" w:rsidRDefault="00720217" w:rsidP="00720217">
            <w:pPr>
              <w:jc w:val="center"/>
              <w:rPr>
                <w:rFonts w:ascii="Arial" w:hAnsi="Arial" w:cs="Arial"/>
              </w:rPr>
            </w:pPr>
            <w:r w:rsidRPr="00720217">
              <w:rPr>
                <w:rFonts w:ascii="Arial" w:hAnsi="Arial" w:cs="Arial"/>
                <w:color w:val="000000"/>
              </w:rPr>
              <w:t>18</w:t>
            </w:r>
          </w:p>
        </w:tc>
        <w:tc>
          <w:tcPr>
            <w:tcW w:w="709" w:type="dxa"/>
            <w:tcMar>
              <w:top w:w="0" w:type="dxa"/>
              <w:left w:w="70" w:type="dxa"/>
              <w:bottom w:w="0" w:type="dxa"/>
              <w:right w:w="70" w:type="dxa"/>
            </w:tcMar>
            <w:vAlign w:val="bottom"/>
            <w:hideMark/>
          </w:tcPr>
          <w:p w14:paraId="78E4A156" w14:textId="77777777" w:rsidR="00720217" w:rsidRPr="00720217" w:rsidRDefault="00720217" w:rsidP="00720217">
            <w:pPr>
              <w:jc w:val="center"/>
              <w:rPr>
                <w:rFonts w:ascii="Arial" w:hAnsi="Arial" w:cs="Arial"/>
              </w:rPr>
            </w:pPr>
            <w:r w:rsidRPr="00720217">
              <w:rPr>
                <w:rFonts w:ascii="Arial" w:hAnsi="Arial" w:cs="Arial"/>
                <w:color w:val="000000"/>
              </w:rPr>
              <w:t>6,3</w:t>
            </w:r>
          </w:p>
        </w:tc>
        <w:tc>
          <w:tcPr>
            <w:tcW w:w="850" w:type="dxa"/>
            <w:tcMar>
              <w:top w:w="0" w:type="dxa"/>
              <w:left w:w="70" w:type="dxa"/>
              <w:bottom w:w="0" w:type="dxa"/>
              <w:right w:w="70" w:type="dxa"/>
            </w:tcMar>
            <w:vAlign w:val="bottom"/>
            <w:hideMark/>
          </w:tcPr>
          <w:p w14:paraId="760E5A99" w14:textId="77777777" w:rsidR="00720217" w:rsidRPr="00720217" w:rsidRDefault="00720217" w:rsidP="00720217">
            <w:pPr>
              <w:jc w:val="center"/>
              <w:rPr>
                <w:rFonts w:ascii="Arial" w:hAnsi="Arial" w:cs="Arial"/>
              </w:rPr>
            </w:pPr>
            <w:r w:rsidRPr="00720217">
              <w:rPr>
                <w:rFonts w:ascii="Arial" w:hAnsi="Arial" w:cs="Arial"/>
                <w:color w:val="000000"/>
              </w:rPr>
              <w:t>10</w:t>
            </w:r>
          </w:p>
        </w:tc>
        <w:tc>
          <w:tcPr>
            <w:tcW w:w="425" w:type="dxa"/>
            <w:tcMar>
              <w:top w:w="0" w:type="dxa"/>
              <w:left w:w="70" w:type="dxa"/>
              <w:bottom w:w="0" w:type="dxa"/>
              <w:right w:w="70" w:type="dxa"/>
            </w:tcMar>
            <w:vAlign w:val="bottom"/>
            <w:hideMark/>
          </w:tcPr>
          <w:p w14:paraId="1FB69140" w14:textId="77777777" w:rsidR="00720217" w:rsidRPr="00720217" w:rsidRDefault="00720217" w:rsidP="00720217">
            <w:pPr>
              <w:jc w:val="center"/>
              <w:rPr>
                <w:rFonts w:ascii="Arial" w:hAnsi="Arial" w:cs="Arial"/>
              </w:rPr>
            </w:pPr>
            <w:r w:rsidRPr="00720217">
              <w:rPr>
                <w:rFonts w:ascii="Arial" w:hAnsi="Arial" w:cs="Arial"/>
                <w:color w:val="000000"/>
              </w:rPr>
              <w:t>3,5</w:t>
            </w:r>
          </w:p>
        </w:tc>
        <w:tc>
          <w:tcPr>
            <w:tcW w:w="2127" w:type="dxa"/>
            <w:vMerge w:val="restart"/>
            <w:tcMar>
              <w:top w:w="0" w:type="dxa"/>
              <w:left w:w="70" w:type="dxa"/>
              <w:bottom w:w="0" w:type="dxa"/>
              <w:right w:w="70" w:type="dxa"/>
            </w:tcMar>
            <w:vAlign w:val="center"/>
            <w:hideMark/>
          </w:tcPr>
          <w:p w14:paraId="39EF0CDB" w14:textId="77777777" w:rsidR="00720217" w:rsidRPr="00720217" w:rsidRDefault="00720217" w:rsidP="00720217">
            <w:pPr>
              <w:jc w:val="center"/>
              <w:rPr>
                <w:rFonts w:ascii="Arial" w:hAnsi="Arial" w:cs="Arial"/>
                <w:color w:val="000000"/>
              </w:rPr>
            </w:pPr>
            <w:r w:rsidRPr="00720217">
              <w:rPr>
                <w:rFonts w:ascii="Arial" w:hAnsi="Arial" w:cs="Arial"/>
                <w:color w:val="000000"/>
              </w:rPr>
              <w:t>X</w:t>
            </w:r>
            <w:r w:rsidRPr="00720217">
              <w:rPr>
                <w:rFonts w:ascii="Arial" w:hAnsi="Arial" w:cs="Arial"/>
                <w:color w:val="000000"/>
                <w:vertAlign w:val="superscript"/>
              </w:rPr>
              <w:t>2</w:t>
            </w:r>
            <w:r w:rsidRPr="00720217">
              <w:rPr>
                <w:rFonts w:ascii="Arial" w:hAnsi="Arial" w:cs="Arial"/>
                <w:color w:val="000000"/>
              </w:rPr>
              <w:t>=48,192; p=0,000*</w:t>
            </w:r>
          </w:p>
        </w:tc>
      </w:tr>
      <w:tr w:rsidR="00720217" w:rsidRPr="00720217" w14:paraId="0C5953CB" w14:textId="77777777" w:rsidTr="00720217">
        <w:trPr>
          <w:trHeight w:val="300"/>
        </w:trPr>
        <w:tc>
          <w:tcPr>
            <w:tcW w:w="2342" w:type="dxa"/>
            <w:tcMar>
              <w:top w:w="0" w:type="dxa"/>
              <w:left w:w="70" w:type="dxa"/>
              <w:bottom w:w="0" w:type="dxa"/>
              <w:right w:w="70" w:type="dxa"/>
            </w:tcMar>
            <w:hideMark/>
          </w:tcPr>
          <w:p w14:paraId="2EB00515" w14:textId="77777777" w:rsidR="00720217" w:rsidRPr="00720217" w:rsidRDefault="00720217" w:rsidP="00720217">
            <w:pPr>
              <w:rPr>
                <w:rFonts w:ascii="Arial" w:hAnsi="Arial" w:cs="Arial"/>
              </w:rPr>
            </w:pPr>
            <w:r w:rsidRPr="00720217">
              <w:rPr>
                <w:rFonts w:ascii="Arial" w:hAnsi="Arial" w:cs="Arial"/>
              </w:rPr>
              <w:t>Intensive care unit</w:t>
            </w:r>
          </w:p>
        </w:tc>
        <w:tc>
          <w:tcPr>
            <w:tcW w:w="633" w:type="dxa"/>
            <w:tcMar>
              <w:top w:w="0" w:type="dxa"/>
              <w:left w:w="70" w:type="dxa"/>
              <w:bottom w:w="0" w:type="dxa"/>
              <w:right w:w="70" w:type="dxa"/>
            </w:tcMar>
            <w:vAlign w:val="bottom"/>
            <w:hideMark/>
          </w:tcPr>
          <w:p w14:paraId="31BFBB6A" w14:textId="77777777" w:rsidR="00720217" w:rsidRPr="00720217" w:rsidRDefault="00720217" w:rsidP="00720217">
            <w:pPr>
              <w:jc w:val="center"/>
              <w:rPr>
                <w:rFonts w:ascii="Arial" w:hAnsi="Arial" w:cs="Arial"/>
              </w:rPr>
            </w:pPr>
            <w:r w:rsidRPr="00720217">
              <w:rPr>
                <w:rFonts w:ascii="Arial" w:hAnsi="Arial" w:cs="Arial"/>
                <w:color w:val="000000"/>
              </w:rPr>
              <w:t>60</w:t>
            </w:r>
          </w:p>
        </w:tc>
        <w:tc>
          <w:tcPr>
            <w:tcW w:w="709" w:type="dxa"/>
            <w:tcMar>
              <w:top w:w="0" w:type="dxa"/>
              <w:left w:w="70" w:type="dxa"/>
              <w:bottom w:w="0" w:type="dxa"/>
              <w:right w:w="70" w:type="dxa"/>
            </w:tcMar>
            <w:vAlign w:val="bottom"/>
            <w:hideMark/>
          </w:tcPr>
          <w:p w14:paraId="2385A19C" w14:textId="77777777" w:rsidR="00720217" w:rsidRPr="00720217" w:rsidRDefault="00720217" w:rsidP="00720217">
            <w:pPr>
              <w:jc w:val="center"/>
              <w:rPr>
                <w:rFonts w:ascii="Arial" w:hAnsi="Arial" w:cs="Arial"/>
              </w:rPr>
            </w:pPr>
            <w:r w:rsidRPr="00720217">
              <w:rPr>
                <w:rFonts w:ascii="Arial" w:hAnsi="Arial" w:cs="Arial"/>
                <w:color w:val="000000"/>
              </w:rPr>
              <w:t>21,1</w:t>
            </w:r>
          </w:p>
        </w:tc>
        <w:tc>
          <w:tcPr>
            <w:tcW w:w="709" w:type="dxa"/>
            <w:tcMar>
              <w:top w:w="0" w:type="dxa"/>
              <w:left w:w="70" w:type="dxa"/>
              <w:bottom w:w="0" w:type="dxa"/>
              <w:right w:w="70" w:type="dxa"/>
            </w:tcMar>
            <w:vAlign w:val="bottom"/>
            <w:hideMark/>
          </w:tcPr>
          <w:p w14:paraId="589597D1" w14:textId="77777777" w:rsidR="00720217" w:rsidRPr="00720217" w:rsidRDefault="00720217" w:rsidP="00720217">
            <w:pPr>
              <w:jc w:val="center"/>
              <w:rPr>
                <w:rFonts w:ascii="Arial" w:hAnsi="Arial" w:cs="Arial"/>
              </w:rPr>
            </w:pPr>
            <w:r w:rsidRPr="00720217">
              <w:rPr>
                <w:rFonts w:ascii="Arial" w:hAnsi="Arial" w:cs="Arial"/>
                <w:color w:val="000000"/>
              </w:rPr>
              <w:t>70</w:t>
            </w:r>
          </w:p>
        </w:tc>
        <w:tc>
          <w:tcPr>
            <w:tcW w:w="709" w:type="dxa"/>
            <w:tcMar>
              <w:top w:w="0" w:type="dxa"/>
              <w:left w:w="70" w:type="dxa"/>
              <w:bottom w:w="0" w:type="dxa"/>
              <w:right w:w="70" w:type="dxa"/>
            </w:tcMar>
            <w:vAlign w:val="bottom"/>
            <w:hideMark/>
          </w:tcPr>
          <w:p w14:paraId="7DEE04F7" w14:textId="77777777" w:rsidR="00720217" w:rsidRPr="00720217" w:rsidRDefault="00720217" w:rsidP="00720217">
            <w:pPr>
              <w:jc w:val="center"/>
              <w:rPr>
                <w:rFonts w:ascii="Arial" w:hAnsi="Arial" w:cs="Arial"/>
              </w:rPr>
            </w:pPr>
            <w:r w:rsidRPr="00720217">
              <w:rPr>
                <w:rFonts w:ascii="Arial" w:hAnsi="Arial" w:cs="Arial"/>
                <w:color w:val="000000"/>
              </w:rPr>
              <w:t>24,6</w:t>
            </w:r>
          </w:p>
        </w:tc>
        <w:tc>
          <w:tcPr>
            <w:tcW w:w="850" w:type="dxa"/>
            <w:tcMar>
              <w:top w:w="0" w:type="dxa"/>
              <w:left w:w="70" w:type="dxa"/>
              <w:bottom w:w="0" w:type="dxa"/>
              <w:right w:w="70" w:type="dxa"/>
            </w:tcMar>
            <w:vAlign w:val="bottom"/>
            <w:hideMark/>
          </w:tcPr>
          <w:p w14:paraId="2F4161FB" w14:textId="77777777" w:rsidR="00720217" w:rsidRPr="00720217" w:rsidRDefault="00720217" w:rsidP="00720217">
            <w:pPr>
              <w:jc w:val="center"/>
              <w:rPr>
                <w:rFonts w:ascii="Arial" w:hAnsi="Arial" w:cs="Arial"/>
              </w:rPr>
            </w:pPr>
            <w:r w:rsidRPr="00720217">
              <w:rPr>
                <w:rFonts w:ascii="Arial" w:hAnsi="Arial" w:cs="Arial"/>
                <w:color w:val="000000"/>
              </w:rPr>
              <w:t>12</w:t>
            </w:r>
          </w:p>
        </w:tc>
        <w:tc>
          <w:tcPr>
            <w:tcW w:w="425" w:type="dxa"/>
            <w:tcMar>
              <w:top w:w="0" w:type="dxa"/>
              <w:left w:w="70" w:type="dxa"/>
              <w:bottom w:w="0" w:type="dxa"/>
              <w:right w:w="70" w:type="dxa"/>
            </w:tcMar>
            <w:vAlign w:val="bottom"/>
            <w:hideMark/>
          </w:tcPr>
          <w:p w14:paraId="7A58A389" w14:textId="77777777" w:rsidR="00720217" w:rsidRPr="00720217" w:rsidRDefault="00720217" w:rsidP="00720217">
            <w:pPr>
              <w:jc w:val="center"/>
              <w:rPr>
                <w:rFonts w:ascii="Arial" w:hAnsi="Arial" w:cs="Arial"/>
              </w:rPr>
            </w:pPr>
            <w:r w:rsidRPr="00720217">
              <w:rPr>
                <w:rFonts w:ascii="Arial" w:hAnsi="Arial" w:cs="Arial"/>
                <w:color w:val="000000"/>
              </w:rPr>
              <w:t>4,2</w:t>
            </w:r>
          </w:p>
        </w:tc>
        <w:tc>
          <w:tcPr>
            <w:tcW w:w="2127" w:type="dxa"/>
            <w:vMerge/>
            <w:vAlign w:val="center"/>
            <w:hideMark/>
          </w:tcPr>
          <w:p w14:paraId="3586B84E" w14:textId="77777777" w:rsidR="00720217" w:rsidRPr="00720217" w:rsidRDefault="00720217" w:rsidP="00720217">
            <w:pPr>
              <w:rPr>
                <w:rFonts w:ascii="Arial" w:hAnsi="Arial" w:cs="Arial"/>
                <w:color w:val="000000"/>
              </w:rPr>
            </w:pPr>
          </w:p>
        </w:tc>
      </w:tr>
      <w:tr w:rsidR="00720217" w:rsidRPr="00720217" w14:paraId="488478BD" w14:textId="77777777" w:rsidTr="00720217">
        <w:trPr>
          <w:trHeight w:val="300"/>
        </w:trPr>
        <w:tc>
          <w:tcPr>
            <w:tcW w:w="2342" w:type="dxa"/>
            <w:tcMar>
              <w:top w:w="0" w:type="dxa"/>
              <w:left w:w="70" w:type="dxa"/>
              <w:bottom w:w="0" w:type="dxa"/>
              <w:right w:w="70" w:type="dxa"/>
            </w:tcMar>
            <w:hideMark/>
          </w:tcPr>
          <w:p w14:paraId="59F042D9" w14:textId="77777777" w:rsidR="00720217" w:rsidRPr="00720217" w:rsidRDefault="00720217" w:rsidP="00720217">
            <w:pPr>
              <w:rPr>
                <w:rFonts w:ascii="Arial" w:hAnsi="Arial" w:cs="Arial"/>
                <w:b/>
              </w:rPr>
            </w:pPr>
            <w:r w:rsidRPr="00720217">
              <w:rPr>
                <w:rFonts w:ascii="Arial" w:hAnsi="Arial" w:cs="Arial"/>
                <w:b/>
              </w:rPr>
              <w:t>With partner</w:t>
            </w:r>
          </w:p>
        </w:tc>
        <w:tc>
          <w:tcPr>
            <w:tcW w:w="633" w:type="dxa"/>
            <w:tcMar>
              <w:top w:w="0" w:type="dxa"/>
              <w:left w:w="70" w:type="dxa"/>
              <w:bottom w:w="0" w:type="dxa"/>
              <w:right w:w="70" w:type="dxa"/>
            </w:tcMar>
            <w:vAlign w:val="bottom"/>
          </w:tcPr>
          <w:p w14:paraId="71417032"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767A278B"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474C0997"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4B18B6B4" w14:textId="77777777" w:rsidR="00720217" w:rsidRPr="00720217" w:rsidRDefault="00720217" w:rsidP="00720217">
            <w:pPr>
              <w:rPr>
                <w:rFonts w:ascii="Arial" w:hAnsi="Arial" w:cs="Arial"/>
              </w:rPr>
            </w:pPr>
          </w:p>
        </w:tc>
        <w:tc>
          <w:tcPr>
            <w:tcW w:w="850" w:type="dxa"/>
            <w:tcMar>
              <w:top w:w="0" w:type="dxa"/>
              <w:left w:w="70" w:type="dxa"/>
              <w:bottom w:w="0" w:type="dxa"/>
              <w:right w:w="70" w:type="dxa"/>
            </w:tcMar>
            <w:vAlign w:val="bottom"/>
          </w:tcPr>
          <w:p w14:paraId="0E25F0DC" w14:textId="77777777" w:rsidR="00720217" w:rsidRPr="00720217" w:rsidRDefault="00720217" w:rsidP="00720217">
            <w:pPr>
              <w:rPr>
                <w:rFonts w:ascii="Arial" w:hAnsi="Arial" w:cs="Arial"/>
              </w:rPr>
            </w:pPr>
          </w:p>
        </w:tc>
        <w:tc>
          <w:tcPr>
            <w:tcW w:w="425" w:type="dxa"/>
            <w:tcMar>
              <w:top w:w="0" w:type="dxa"/>
              <w:left w:w="70" w:type="dxa"/>
              <w:bottom w:w="0" w:type="dxa"/>
              <w:right w:w="70" w:type="dxa"/>
            </w:tcMar>
            <w:vAlign w:val="bottom"/>
          </w:tcPr>
          <w:p w14:paraId="6095D6C0" w14:textId="77777777" w:rsidR="00720217" w:rsidRPr="00720217" w:rsidRDefault="00720217" w:rsidP="00720217">
            <w:pPr>
              <w:rPr>
                <w:rFonts w:ascii="Arial" w:hAnsi="Arial" w:cs="Arial"/>
              </w:rPr>
            </w:pPr>
          </w:p>
        </w:tc>
        <w:tc>
          <w:tcPr>
            <w:tcW w:w="2127" w:type="dxa"/>
            <w:tcMar>
              <w:top w:w="0" w:type="dxa"/>
              <w:left w:w="70" w:type="dxa"/>
              <w:bottom w:w="0" w:type="dxa"/>
              <w:right w:w="70" w:type="dxa"/>
            </w:tcMar>
            <w:vAlign w:val="bottom"/>
          </w:tcPr>
          <w:p w14:paraId="6F5C71BE" w14:textId="77777777" w:rsidR="00720217" w:rsidRPr="00720217" w:rsidRDefault="00720217" w:rsidP="00720217">
            <w:pPr>
              <w:rPr>
                <w:rFonts w:ascii="Arial" w:hAnsi="Arial" w:cs="Arial"/>
              </w:rPr>
            </w:pPr>
          </w:p>
        </w:tc>
      </w:tr>
      <w:tr w:rsidR="00720217" w:rsidRPr="00720217" w14:paraId="02556F39" w14:textId="77777777" w:rsidTr="00720217">
        <w:trPr>
          <w:trHeight w:val="300"/>
        </w:trPr>
        <w:tc>
          <w:tcPr>
            <w:tcW w:w="2342" w:type="dxa"/>
            <w:tcMar>
              <w:top w:w="0" w:type="dxa"/>
              <w:left w:w="70" w:type="dxa"/>
              <w:bottom w:w="0" w:type="dxa"/>
              <w:right w:w="70" w:type="dxa"/>
            </w:tcMar>
            <w:hideMark/>
          </w:tcPr>
          <w:p w14:paraId="1D18C819" w14:textId="77777777" w:rsidR="00720217" w:rsidRPr="00720217" w:rsidRDefault="00720217" w:rsidP="00720217">
            <w:pPr>
              <w:rPr>
                <w:rFonts w:ascii="Arial" w:hAnsi="Arial" w:cs="Arial"/>
              </w:rPr>
            </w:pPr>
            <w:r w:rsidRPr="00720217">
              <w:rPr>
                <w:rFonts w:ascii="Arial" w:hAnsi="Arial" w:cs="Arial"/>
              </w:rPr>
              <w:t>Yes</w:t>
            </w:r>
          </w:p>
        </w:tc>
        <w:tc>
          <w:tcPr>
            <w:tcW w:w="633" w:type="dxa"/>
            <w:tcMar>
              <w:top w:w="0" w:type="dxa"/>
              <w:left w:w="70" w:type="dxa"/>
              <w:bottom w:w="0" w:type="dxa"/>
              <w:right w:w="70" w:type="dxa"/>
            </w:tcMar>
            <w:vAlign w:val="bottom"/>
            <w:hideMark/>
          </w:tcPr>
          <w:p w14:paraId="5AC12DF6" w14:textId="77777777" w:rsidR="00720217" w:rsidRPr="00720217" w:rsidRDefault="00720217" w:rsidP="00720217">
            <w:pPr>
              <w:jc w:val="center"/>
              <w:rPr>
                <w:rFonts w:ascii="Arial" w:hAnsi="Arial" w:cs="Arial"/>
              </w:rPr>
            </w:pPr>
            <w:r w:rsidRPr="00720217">
              <w:rPr>
                <w:rFonts w:ascii="Arial" w:hAnsi="Arial" w:cs="Arial"/>
                <w:color w:val="000000"/>
              </w:rPr>
              <w:t>94</w:t>
            </w:r>
          </w:p>
        </w:tc>
        <w:tc>
          <w:tcPr>
            <w:tcW w:w="709" w:type="dxa"/>
            <w:tcMar>
              <w:top w:w="0" w:type="dxa"/>
              <w:left w:w="70" w:type="dxa"/>
              <w:bottom w:w="0" w:type="dxa"/>
              <w:right w:w="70" w:type="dxa"/>
            </w:tcMar>
            <w:vAlign w:val="bottom"/>
            <w:hideMark/>
          </w:tcPr>
          <w:p w14:paraId="400D3020" w14:textId="77777777" w:rsidR="00720217" w:rsidRPr="00720217" w:rsidRDefault="00720217" w:rsidP="00720217">
            <w:pPr>
              <w:jc w:val="center"/>
              <w:rPr>
                <w:rFonts w:ascii="Arial" w:hAnsi="Arial" w:cs="Arial"/>
              </w:rPr>
            </w:pPr>
            <w:r w:rsidRPr="00720217">
              <w:rPr>
                <w:rFonts w:ascii="Arial" w:hAnsi="Arial" w:cs="Arial"/>
                <w:color w:val="000000"/>
              </w:rPr>
              <w:t>33,0</w:t>
            </w:r>
          </w:p>
        </w:tc>
        <w:tc>
          <w:tcPr>
            <w:tcW w:w="709" w:type="dxa"/>
            <w:tcMar>
              <w:top w:w="0" w:type="dxa"/>
              <w:left w:w="70" w:type="dxa"/>
              <w:bottom w:w="0" w:type="dxa"/>
              <w:right w:w="70" w:type="dxa"/>
            </w:tcMar>
            <w:vAlign w:val="bottom"/>
            <w:hideMark/>
          </w:tcPr>
          <w:p w14:paraId="54FC1BD5" w14:textId="77777777" w:rsidR="00720217" w:rsidRPr="00720217" w:rsidRDefault="00720217" w:rsidP="00720217">
            <w:pPr>
              <w:jc w:val="center"/>
              <w:rPr>
                <w:rFonts w:ascii="Arial" w:hAnsi="Arial" w:cs="Arial"/>
              </w:rPr>
            </w:pPr>
            <w:r w:rsidRPr="00720217">
              <w:rPr>
                <w:rFonts w:ascii="Arial" w:hAnsi="Arial" w:cs="Arial"/>
                <w:color w:val="000000"/>
              </w:rPr>
              <w:t>33</w:t>
            </w:r>
          </w:p>
        </w:tc>
        <w:tc>
          <w:tcPr>
            <w:tcW w:w="709" w:type="dxa"/>
            <w:tcMar>
              <w:top w:w="0" w:type="dxa"/>
              <w:left w:w="70" w:type="dxa"/>
              <w:bottom w:w="0" w:type="dxa"/>
              <w:right w:w="70" w:type="dxa"/>
            </w:tcMar>
            <w:vAlign w:val="bottom"/>
            <w:hideMark/>
          </w:tcPr>
          <w:p w14:paraId="66C49CE8" w14:textId="77777777" w:rsidR="00720217" w:rsidRPr="00720217" w:rsidRDefault="00720217" w:rsidP="00720217">
            <w:pPr>
              <w:jc w:val="center"/>
              <w:rPr>
                <w:rFonts w:ascii="Arial" w:hAnsi="Arial" w:cs="Arial"/>
              </w:rPr>
            </w:pPr>
            <w:r w:rsidRPr="00720217">
              <w:rPr>
                <w:rFonts w:ascii="Arial" w:hAnsi="Arial" w:cs="Arial"/>
                <w:color w:val="000000"/>
              </w:rPr>
              <w:t>11,6</w:t>
            </w:r>
          </w:p>
        </w:tc>
        <w:tc>
          <w:tcPr>
            <w:tcW w:w="850" w:type="dxa"/>
            <w:tcMar>
              <w:top w:w="0" w:type="dxa"/>
              <w:left w:w="70" w:type="dxa"/>
              <w:bottom w:w="0" w:type="dxa"/>
              <w:right w:w="70" w:type="dxa"/>
            </w:tcMar>
            <w:vAlign w:val="bottom"/>
            <w:hideMark/>
          </w:tcPr>
          <w:p w14:paraId="1FC46B04" w14:textId="77777777" w:rsidR="00720217" w:rsidRPr="00720217" w:rsidRDefault="00720217" w:rsidP="00720217">
            <w:pPr>
              <w:jc w:val="center"/>
              <w:rPr>
                <w:rFonts w:ascii="Arial" w:hAnsi="Arial" w:cs="Arial"/>
              </w:rPr>
            </w:pPr>
            <w:r w:rsidRPr="00720217">
              <w:rPr>
                <w:rFonts w:ascii="Arial" w:hAnsi="Arial" w:cs="Arial"/>
                <w:color w:val="000000"/>
              </w:rPr>
              <w:t>10</w:t>
            </w:r>
          </w:p>
        </w:tc>
        <w:tc>
          <w:tcPr>
            <w:tcW w:w="425" w:type="dxa"/>
            <w:tcMar>
              <w:top w:w="0" w:type="dxa"/>
              <w:left w:w="70" w:type="dxa"/>
              <w:bottom w:w="0" w:type="dxa"/>
              <w:right w:w="70" w:type="dxa"/>
            </w:tcMar>
            <w:vAlign w:val="bottom"/>
            <w:hideMark/>
          </w:tcPr>
          <w:p w14:paraId="4D4A4029" w14:textId="77777777" w:rsidR="00720217" w:rsidRPr="00720217" w:rsidRDefault="00720217" w:rsidP="00720217">
            <w:pPr>
              <w:jc w:val="center"/>
              <w:rPr>
                <w:rFonts w:ascii="Arial" w:hAnsi="Arial" w:cs="Arial"/>
              </w:rPr>
            </w:pPr>
            <w:r w:rsidRPr="00720217">
              <w:rPr>
                <w:rFonts w:ascii="Arial" w:hAnsi="Arial" w:cs="Arial"/>
                <w:color w:val="000000"/>
              </w:rPr>
              <w:t>3,5</w:t>
            </w:r>
          </w:p>
        </w:tc>
        <w:tc>
          <w:tcPr>
            <w:tcW w:w="2127" w:type="dxa"/>
            <w:vMerge w:val="restart"/>
            <w:tcMar>
              <w:top w:w="0" w:type="dxa"/>
              <w:left w:w="70" w:type="dxa"/>
              <w:bottom w:w="0" w:type="dxa"/>
              <w:right w:w="70" w:type="dxa"/>
            </w:tcMar>
            <w:vAlign w:val="bottom"/>
            <w:hideMark/>
          </w:tcPr>
          <w:p w14:paraId="348C3837" w14:textId="77777777" w:rsidR="00720217" w:rsidRPr="00720217" w:rsidRDefault="00720217" w:rsidP="00720217">
            <w:pPr>
              <w:jc w:val="center"/>
              <w:rPr>
                <w:rFonts w:ascii="Arial" w:hAnsi="Arial" w:cs="Arial"/>
                <w:color w:val="000000"/>
              </w:rPr>
            </w:pPr>
            <w:r w:rsidRPr="00720217">
              <w:rPr>
                <w:rFonts w:ascii="Arial" w:hAnsi="Arial" w:cs="Arial"/>
                <w:color w:val="000000"/>
              </w:rPr>
              <w:t>X</w:t>
            </w:r>
            <w:r w:rsidRPr="00720217">
              <w:rPr>
                <w:rFonts w:ascii="Arial" w:hAnsi="Arial" w:cs="Arial"/>
                <w:color w:val="000000"/>
                <w:vertAlign w:val="superscript"/>
              </w:rPr>
              <w:t>2</w:t>
            </w:r>
            <w:r w:rsidRPr="00720217">
              <w:rPr>
                <w:rFonts w:ascii="Arial" w:hAnsi="Arial" w:cs="Arial"/>
                <w:color w:val="000000"/>
              </w:rPr>
              <w:t>= 6,232; p=0,044*</w:t>
            </w:r>
          </w:p>
        </w:tc>
      </w:tr>
      <w:tr w:rsidR="00720217" w:rsidRPr="00720217" w14:paraId="74C4A9D4" w14:textId="77777777" w:rsidTr="00720217">
        <w:trPr>
          <w:trHeight w:val="300"/>
        </w:trPr>
        <w:tc>
          <w:tcPr>
            <w:tcW w:w="2342" w:type="dxa"/>
            <w:tcMar>
              <w:top w:w="0" w:type="dxa"/>
              <w:left w:w="70" w:type="dxa"/>
              <w:bottom w:w="0" w:type="dxa"/>
              <w:right w:w="70" w:type="dxa"/>
            </w:tcMar>
            <w:hideMark/>
          </w:tcPr>
          <w:p w14:paraId="22989DFF" w14:textId="77777777" w:rsidR="00720217" w:rsidRPr="00720217" w:rsidRDefault="00720217" w:rsidP="00720217">
            <w:pPr>
              <w:rPr>
                <w:rFonts w:ascii="Arial" w:hAnsi="Arial" w:cs="Arial"/>
              </w:rPr>
            </w:pPr>
            <w:r w:rsidRPr="00720217">
              <w:rPr>
                <w:rFonts w:ascii="Arial" w:hAnsi="Arial" w:cs="Arial"/>
              </w:rPr>
              <w:t>No</w:t>
            </w:r>
          </w:p>
        </w:tc>
        <w:tc>
          <w:tcPr>
            <w:tcW w:w="633" w:type="dxa"/>
            <w:tcMar>
              <w:top w:w="0" w:type="dxa"/>
              <w:left w:w="70" w:type="dxa"/>
              <w:bottom w:w="0" w:type="dxa"/>
              <w:right w:w="70" w:type="dxa"/>
            </w:tcMar>
            <w:vAlign w:val="bottom"/>
            <w:hideMark/>
          </w:tcPr>
          <w:p w14:paraId="53F213A2" w14:textId="77777777" w:rsidR="00720217" w:rsidRPr="00720217" w:rsidRDefault="00720217" w:rsidP="00720217">
            <w:pPr>
              <w:jc w:val="center"/>
              <w:rPr>
                <w:rFonts w:ascii="Arial" w:hAnsi="Arial" w:cs="Arial"/>
              </w:rPr>
            </w:pPr>
            <w:r w:rsidRPr="00720217">
              <w:rPr>
                <w:rFonts w:ascii="Arial" w:hAnsi="Arial" w:cs="Arial"/>
                <w:color w:val="000000"/>
              </w:rPr>
              <w:t>81</w:t>
            </w:r>
          </w:p>
        </w:tc>
        <w:tc>
          <w:tcPr>
            <w:tcW w:w="709" w:type="dxa"/>
            <w:tcMar>
              <w:top w:w="0" w:type="dxa"/>
              <w:left w:w="70" w:type="dxa"/>
              <w:bottom w:w="0" w:type="dxa"/>
              <w:right w:w="70" w:type="dxa"/>
            </w:tcMar>
            <w:vAlign w:val="bottom"/>
            <w:hideMark/>
          </w:tcPr>
          <w:p w14:paraId="08E81016" w14:textId="77777777" w:rsidR="00720217" w:rsidRPr="00720217" w:rsidRDefault="00720217" w:rsidP="00720217">
            <w:pPr>
              <w:jc w:val="center"/>
              <w:rPr>
                <w:rFonts w:ascii="Arial" w:hAnsi="Arial" w:cs="Arial"/>
              </w:rPr>
            </w:pPr>
            <w:r w:rsidRPr="00720217">
              <w:rPr>
                <w:rFonts w:ascii="Arial" w:hAnsi="Arial" w:cs="Arial"/>
                <w:color w:val="000000"/>
              </w:rPr>
              <w:t>28,4</w:t>
            </w:r>
          </w:p>
        </w:tc>
        <w:tc>
          <w:tcPr>
            <w:tcW w:w="709" w:type="dxa"/>
            <w:tcMar>
              <w:top w:w="0" w:type="dxa"/>
              <w:left w:w="70" w:type="dxa"/>
              <w:bottom w:w="0" w:type="dxa"/>
              <w:right w:w="70" w:type="dxa"/>
            </w:tcMar>
            <w:vAlign w:val="bottom"/>
            <w:hideMark/>
          </w:tcPr>
          <w:p w14:paraId="49BDD47D" w14:textId="77777777" w:rsidR="00720217" w:rsidRPr="00720217" w:rsidRDefault="00720217" w:rsidP="00720217">
            <w:pPr>
              <w:jc w:val="center"/>
              <w:rPr>
                <w:rFonts w:ascii="Arial" w:hAnsi="Arial" w:cs="Arial"/>
              </w:rPr>
            </w:pPr>
            <w:r w:rsidRPr="00720217">
              <w:rPr>
                <w:rFonts w:ascii="Arial" w:hAnsi="Arial" w:cs="Arial"/>
                <w:color w:val="000000"/>
              </w:rPr>
              <w:t>55</w:t>
            </w:r>
          </w:p>
        </w:tc>
        <w:tc>
          <w:tcPr>
            <w:tcW w:w="709" w:type="dxa"/>
            <w:tcMar>
              <w:top w:w="0" w:type="dxa"/>
              <w:left w:w="70" w:type="dxa"/>
              <w:bottom w:w="0" w:type="dxa"/>
              <w:right w:w="70" w:type="dxa"/>
            </w:tcMar>
            <w:vAlign w:val="bottom"/>
            <w:hideMark/>
          </w:tcPr>
          <w:p w14:paraId="128D979B" w14:textId="77777777" w:rsidR="00720217" w:rsidRPr="00720217" w:rsidRDefault="00720217" w:rsidP="00720217">
            <w:pPr>
              <w:jc w:val="center"/>
              <w:rPr>
                <w:rFonts w:ascii="Arial" w:hAnsi="Arial" w:cs="Arial"/>
              </w:rPr>
            </w:pPr>
            <w:r w:rsidRPr="00720217">
              <w:rPr>
                <w:rFonts w:ascii="Arial" w:hAnsi="Arial" w:cs="Arial"/>
                <w:color w:val="000000"/>
              </w:rPr>
              <w:t>19,3</w:t>
            </w:r>
          </w:p>
        </w:tc>
        <w:tc>
          <w:tcPr>
            <w:tcW w:w="850" w:type="dxa"/>
            <w:tcMar>
              <w:top w:w="0" w:type="dxa"/>
              <w:left w:w="70" w:type="dxa"/>
              <w:bottom w:w="0" w:type="dxa"/>
              <w:right w:w="70" w:type="dxa"/>
            </w:tcMar>
            <w:vAlign w:val="bottom"/>
            <w:hideMark/>
          </w:tcPr>
          <w:p w14:paraId="5CFDC0C4" w14:textId="77777777" w:rsidR="00720217" w:rsidRPr="00720217" w:rsidRDefault="00720217" w:rsidP="00720217">
            <w:pPr>
              <w:jc w:val="center"/>
              <w:rPr>
                <w:rFonts w:ascii="Arial" w:hAnsi="Arial" w:cs="Arial"/>
              </w:rPr>
            </w:pPr>
            <w:r w:rsidRPr="00720217">
              <w:rPr>
                <w:rFonts w:ascii="Arial" w:hAnsi="Arial" w:cs="Arial"/>
                <w:color w:val="000000"/>
              </w:rPr>
              <w:t>12</w:t>
            </w:r>
          </w:p>
        </w:tc>
        <w:tc>
          <w:tcPr>
            <w:tcW w:w="425" w:type="dxa"/>
            <w:tcMar>
              <w:top w:w="0" w:type="dxa"/>
              <w:left w:w="70" w:type="dxa"/>
              <w:bottom w:w="0" w:type="dxa"/>
              <w:right w:w="70" w:type="dxa"/>
            </w:tcMar>
            <w:vAlign w:val="bottom"/>
            <w:hideMark/>
          </w:tcPr>
          <w:p w14:paraId="0DD90688" w14:textId="77777777" w:rsidR="00720217" w:rsidRPr="00720217" w:rsidRDefault="00720217" w:rsidP="00720217">
            <w:pPr>
              <w:jc w:val="center"/>
              <w:rPr>
                <w:rFonts w:ascii="Arial" w:hAnsi="Arial" w:cs="Arial"/>
              </w:rPr>
            </w:pPr>
            <w:r w:rsidRPr="00720217">
              <w:rPr>
                <w:rFonts w:ascii="Arial" w:hAnsi="Arial" w:cs="Arial"/>
                <w:color w:val="000000"/>
              </w:rPr>
              <w:t>4,2</w:t>
            </w:r>
          </w:p>
        </w:tc>
        <w:tc>
          <w:tcPr>
            <w:tcW w:w="2127" w:type="dxa"/>
            <w:vMerge/>
            <w:vAlign w:val="center"/>
            <w:hideMark/>
          </w:tcPr>
          <w:p w14:paraId="59DC5563" w14:textId="77777777" w:rsidR="00720217" w:rsidRPr="00720217" w:rsidRDefault="00720217" w:rsidP="00720217">
            <w:pPr>
              <w:rPr>
                <w:rFonts w:ascii="Arial" w:hAnsi="Arial" w:cs="Arial"/>
                <w:color w:val="000000"/>
              </w:rPr>
            </w:pPr>
          </w:p>
        </w:tc>
      </w:tr>
      <w:tr w:rsidR="00720217" w:rsidRPr="00720217" w14:paraId="1EA7370C" w14:textId="77777777" w:rsidTr="00720217">
        <w:trPr>
          <w:trHeight w:val="315"/>
        </w:trPr>
        <w:tc>
          <w:tcPr>
            <w:tcW w:w="2342" w:type="dxa"/>
            <w:tcMar>
              <w:top w:w="0" w:type="dxa"/>
              <w:left w:w="70" w:type="dxa"/>
              <w:bottom w:w="0" w:type="dxa"/>
              <w:right w:w="70" w:type="dxa"/>
            </w:tcMar>
            <w:hideMark/>
          </w:tcPr>
          <w:p w14:paraId="37B41550" w14:textId="77777777" w:rsidR="00720217" w:rsidRPr="00720217" w:rsidRDefault="00720217" w:rsidP="00720217">
            <w:pPr>
              <w:rPr>
                <w:rFonts w:ascii="Arial" w:hAnsi="Arial" w:cs="Arial"/>
                <w:b/>
              </w:rPr>
            </w:pPr>
            <w:r w:rsidRPr="00720217">
              <w:rPr>
                <w:rFonts w:ascii="Arial" w:hAnsi="Arial" w:cs="Arial"/>
                <w:b/>
              </w:rPr>
              <w:t>Dyslipidemia</w:t>
            </w:r>
          </w:p>
        </w:tc>
        <w:tc>
          <w:tcPr>
            <w:tcW w:w="633" w:type="dxa"/>
            <w:tcMar>
              <w:top w:w="0" w:type="dxa"/>
              <w:left w:w="70" w:type="dxa"/>
              <w:bottom w:w="0" w:type="dxa"/>
              <w:right w:w="70" w:type="dxa"/>
            </w:tcMar>
            <w:vAlign w:val="bottom"/>
          </w:tcPr>
          <w:p w14:paraId="12A27C1A"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7E7FA358"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01AA6620"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011C968C" w14:textId="77777777" w:rsidR="00720217" w:rsidRPr="00720217" w:rsidRDefault="00720217" w:rsidP="00720217">
            <w:pPr>
              <w:rPr>
                <w:rFonts w:ascii="Arial" w:hAnsi="Arial" w:cs="Arial"/>
              </w:rPr>
            </w:pPr>
          </w:p>
        </w:tc>
        <w:tc>
          <w:tcPr>
            <w:tcW w:w="850" w:type="dxa"/>
            <w:tcMar>
              <w:top w:w="0" w:type="dxa"/>
              <w:left w:w="70" w:type="dxa"/>
              <w:bottom w:w="0" w:type="dxa"/>
              <w:right w:w="70" w:type="dxa"/>
            </w:tcMar>
            <w:vAlign w:val="bottom"/>
          </w:tcPr>
          <w:p w14:paraId="40C81FD3" w14:textId="77777777" w:rsidR="00720217" w:rsidRPr="00720217" w:rsidRDefault="00720217" w:rsidP="00720217">
            <w:pPr>
              <w:rPr>
                <w:rFonts w:ascii="Arial" w:hAnsi="Arial" w:cs="Arial"/>
              </w:rPr>
            </w:pPr>
          </w:p>
        </w:tc>
        <w:tc>
          <w:tcPr>
            <w:tcW w:w="425" w:type="dxa"/>
            <w:tcMar>
              <w:top w:w="0" w:type="dxa"/>
              <w:left w:w="70" w:type="dxa"/>
              <w:bottom w:w="0" w:type="dxa"/>
              <w:right w:w="70" w:type="dxa"/>
            </w:tcMar>
            <w:vAlign w:val="bottom"/>
          </w:tcPr>
          <w:p w14:paraId="5879BD82" w14:textId="77777777" w:rsidR="00720217" w:rsidRPr="00720217" w:rsidRDefault="00720217" w:rsidP="00720217">
            <w:pPr>
              <w:rPr>
                <w:rFonts w:ascii="Arial" w:hAnsi="Arial" w:cs="Arial"/>
              </w:rPr>
            </w:pPr>
          </w:p>
        </w:tc>
        <w:tc>
          <w:tcPr>
            <w:tcW w:w="2127" w:type="dxa"/>
            <w:tcMar>
              <w:top w:w="0" w:type="dxa"/>
              <w:left w:w="70" w:type="dxa"/>
              <w:bottom w:w="0" w:type="dxa"/>
              <w:right w:w="70" w:type="dxa"/>
            </w:tcMar>
            <w:vAlign w:val="bottom"/>
          </w:tcPr>
          <w:p w14:paraId="5168057C" w14:textId="77777777" w:rsidR="00720217" w:rsidRPr="00720217" w:rsidRDefault="00720217" w:rsidP="00720217">
            <w:pPr>
              <w:rPr>
                <w:rFonts w:ascii="Arial" w:hAnsi="Arial" w:cs="Arial"/>
              </w:rPr>
            </w:pPr>
          </w:p>
        </w:tc>
      </w:tr>
      <w:tr w:rsidR="00720217" w:rsidRPr="00720217" w14:paraId="20680E6B" w14:textId="77777777" w:rsidTr="00720217">
        <w:trPr>
          <w:trHeight w:val="315"/>
        </w:trPr>
        <w:tc>
          <w:tcPr>
            <w:tcW w:w="2342" w:type="dxa"/>
            <w:tcMar>
              <w:top w:w="0" w:type="dxa"/>
              <w:left w:w="70" w:type="dxa"/>
              <w:bottom w:w="0" w:type="dxa"/>
              <w:right w:w="70" w:type="dxa"/>
            </w:tcMar>
            <w:hideMark/>
          </w:tcPr>
          <w:p w14:paraId="0FF78867" w14:textId="77777777" w:rsidR="00720217" w:rsidRPr="00720217" w:rsidRDefault="00720217" w:rsidP="00720217">
            <w:pPr>
              <w:rPr>
                <w:rFonts w:ascii="Arial" w:hAnsi="Arial" w:cs="Arial"/>
              </w:rPr>
            </w:pPr>
            <w:r w:rsidRPr="00720217">
              <w:rPr>
                <w:rFonts w:ascii="Arial" w:hAnsi="Arial" w:cs="Arial"/>
              </w:rPr>
              <w:t>Yes</w:t>
            </w:r>
          </w:p>
        </w:tc>
        <w:tc>
          <w:tcPr>
            <w:tcW w:w="633" w:type="dxa"/>
            <w:tcMar>
              <w:top w:w="0" w:type="dxa"/>
              <w:left w:w="70" w:type="dxa"/>
              <w:bottom w:w="0" w:type="dxa"/>
              <w:right w:w="70" w:type="dxa"/>
            </w:tcMar>
            <w:vAlign w:val="bottom"/>
            <w:hideMark/>
          </w:tcPr>
          <w:p w14:paraId="26387E02" w14:textId="77777777" w:rsidR="00720217" w:rsidRPr="00720217" w:rsidRDefault="00720217" w:rsidP="00720217">
            <w:pPr>
              <w:jc w:val="center"/>
              <w:rPr>
                <w:rFonts w:ascii="Arial" w:hAnsi="Arial" w:cs="Arial"/>
              </w:rPr>
            </w:pPr>
            <w:r w:rsidRPr="00720217">
              <w:rPr>
                <w:rFonts w:ascii="Arial" w:hAnsi="Arial" w:cs="Arial"/>
                <w:color w:val="000000"/>
              </w:rPr>
              <w:t>18</w:t>
            </w:r>
          </w:p>
        </w:tc>
        <w:tc>
          <w:tcPr>
            <w:tcW w:w="709" w:type="dxa"/>
            <w:tcMar>
              <w:top w:w="0" w:type="dxa"/>
              <w:left w:w="70" w:type="dxa"/>
              <w:bottom w:w="0" w:type="dxa"/>
              <w:right w:w="70" w:type="dxa"/>
            </w:tcMar>
            <w:vAlign w:val="bottom"/>
            <w:hideMark/>
          </w:tcPr>
          <w:p w14:paraId="6046DB1B" w14:textId="77777777" w:rsidR="00720217" w:rsidRPr="00720217" w:rsidRDefault="00720217" w:rsidP="00720217">
            <w:pPr>
              <w:jc w:val="center"/>
              <w:rPr>
                <w:rFonts w:ascii="Arial" w:hAnsi="Arial" w:cs="Arial"/>
              </w:rPr>
            </w:pPr>
            <w:r w:rsidRPr="00720217">
              <w:rPr>
                <w:rFonts w:ascii="Arial" w:hAnsi="Arial" w:cs="Arial"/>
                <w:color w:val="000000"/>
              </w:rPr>
              <w:t>6,3</w:t>
            </w:r>
          </w:p>
        </w:tc>
        <w:tc>
          <w:tcPr>
            <w:tcW w:w="709" w:type="dxa"/>
            <w:tcMar>
              <w:top w:w="0" w:type="dxa"/>
              <w:left w:w="70" w:type="dxa"/>
              <w:bottom w:w="0" w:type="dxa"/>
              <w:right w:w="70" w:type="dxa"/>
            </w:tcMar>
            <w:vAlign w:val="bottom"/>
            <w:hideMark/>
          </w:tcPr>
          <w:p w14:paraId="1950867C" w14:textId="77777777" w:rsidR="00720217" w:rsidRPr="00720217" w:rsidRDefault="00720217" w:rsidP="00720217">
            <w:pPr>
              <w:jc w:val="center"/>
              <w:rPr>
                <w:rFonts w:ascii="Arial" w:hAnsi="Arial" w:cs="Arial"/>
              </w:rPr>
            </w:pPr>
            <w:r w:rsidRPr="00720217">
              <w:rPr>
                <w:rFonts w:ascii="Arial" w:hAnsi="Arial" w:cs="Arial"/>
                <w:color w:val="000000"/>
              </w:rPr>
              <w:t>3</w:t>
            </w:r>
          </w:p>
        </w:tc>
        <w:tc>
          <w:tcPr>
            <w:tcW w:w="709" w:type="dxa"/>
            <w:tcMar>
              <w:top w:w="0" w:type="dxa"/>
              <w:left w:w="70" w:type="dxa"/>
              <w:bottom w:w="0" w:type="dxa"/>
              <w:right w:w="70" w:type="dxa"/>
            </w:tcMar>
            <w:vAlign w:val="bottom"/>
            <w:hideMark/>
          </w:tcPr>
          <w:p w14:paraId="4143F732" w14:textId="77777777" w:rsidR="00720217" w:rsidRPr="00720217" w:rsidRDefault="00720217" w:rsidP="00720217">
            <w:pPr>
              <w:jc w:val="center"/>
              <w:rPr>
                <w:rFonts w:ascii="Arial" w:hAnsi="Arial" w:cs="Arial"/>
              </w:rPr>
            </w:pPr>
            <w:r w:rsidRPr="00720217">
              <w:rPr>
                <w:rFonts w:ascii="Arial" w:hAnsi="Arial" w:cs="Arial"/>
                <w:color w:val="000000"/>
              </w:rPr>
              <w:t>1,1</w:t>
            </w:r>
          </w:p>
        </w:tc>
        <w:tc>
          <w:tcPr>
            <w:tcW w:w="850" w:type="dxa"/>
            <w:tcMar>
              <w:top w:w="0" w:type="dxa"/>
              <w:left w:w="70" w:type="dxa"/>
              <w:bottom w:w="0" w:type="dxa"/>
              <w:right w:w="70" w:type="dxa"/>
            </w:tcMar>
            <w:vAlign w:val="bottom"/>
            <w:hideMark/>
          </w:tcPr>
          <w:p w14:paraId="676F232F" w14:textId="77777777" w:rsidR="00720217" w:rsidRPr="00720217" w:rsidRDefault="00720217" w:rsidP="00720217">
            <w:pPr>
              <w:jc w:val="center"/>
              <w:rPr>
                <w:rFonts w:ascii="Arial" w:hAnsi="Arial" w:cs="Arial"/>
              </w:rPr>
            </w:pPr>
            <w:r w:rsidRPr="00720217">
              <w:rPr>
                <w:rFonts w:ascii="Arial" w:hAnsi="Arial" w:cs="Arial"/>
                <w:color w:val="000000"/>
              </w:rPr>
              <w:t>4</w:t>
            </w:r>
          </w:p>
        </w:tc>
        <w:tc>
          <w:tcPr>
            <w:tcW w:w="425" w:type="dxa"/>
            <w:tcMar>
              <w:top w:w="0" w:type="dxa"/>
              <w:left w:w="70" w:type="dxa"/>
              <w:bottom w:w="0" w:type="dxa"/>
              <w:right w:w="70" w:type="dxa"/>
            </w:tcMar>
            <w:vAlign w:val="bottom"/>
            <w:hideMark/>
          </w:tcPr>
          <w:p w14:paraId="2DA5C31A" w14:textId="77777777" w:rsidR="00720217" w:rsidRPr="00720217" w:rsidRDefault="00720217" w:rsidP="00720217">
            <w:pPr>
              <w:jc w:val="center"/>
              <w:rPr>
                <w:rFonts w:ascii="Arial" w:hAnsi="Arial" w:cs="Arial"/>
              </w:rPr>
            </w:pPr>
            <w:r w:rsidRPr="00720217">
              <w:rPr>
                <w:rFonts w:ascii="Arial" w:hAnsi="Arial" w:cs="Arial"/>
                <w:color w:val="000000"/>
              </w:rPr>
              <w:t>1,4</w:t>
            </w:r>
          </w:p>
        </w:tc>
        <w:tc>
          <w:tcPr>
            <w:tcW w:w="2127" w:type="dxa"/>
            <w:vMerge w:val="restart"/>
            <w:tcMar>
              <w:top w:w="0" w:type="dxa"/>
              <w:left w:w="70" w:type="dxa"/>
              <w:bottom w:w="0" w:type="dxa"/>
              <w:right w:w="70" w:type="dxa"/>
            </w:tcMar>
            <w:vAlign w:val="center"/>
            <w:hideMark/>
          </w:tcPr>
          <w:p w14:paraId="4B3A8E0B" w14:textId="77777777" w:rsidR="00720217" w:rsidRPr="00720217" w:rsidRDefault="00720217" w:rsidP="00720217">
            <w:pPr>
              <w:jc w:val="center"/>
              <w:rPr>
                <w:rFonts w:ascii="Arial" w:hAnsi="Arial" w:cs="Arial"/>
                <w:color w:val="000000"/>
              </w:rPr>
            </w:pPr>
            <w:r w:rsidRPr="00720217">
              <w:rPr>
                <w:rFonts w:ascii="Arial" w:hAnsi="Arial" w:cs="Arial"/>
                <w:color w:val="000000"/>
              </w:rPr>
              <w:t>X</w:t>
            </w:r>
            <w:r w:rsidRPr="00720217">
              <w:rPr>
                <w:rFonts w:ascii="Arial" w:hAnsi="Arial" w:cs="Arial"/>
                <w:color w:val="000000"/>
                <w:vertAlign w:val="superscript"/>
              </w:rPr>
              <w:t>2</w:t>
            </w:r>
            <w:r w:rsidRPr="00720217">
              <w:rPr>
                <w:rFonts w:ascii="Arial" w:hAnsi="Arial" w:cs="Arial"/>
                <w:color w:val="000000"/>
              </w:rPr>
              <w:t>=6,098; p=0,047*</w:t>
            </w:r>
          </w:p>
        </w:tc>
      </w:tr>
      <w:tr w:rsidR="00720217" w:rsidRPr="00720217" w14:paraId="1D46A7E7" w14:textId="77777777" w:rsidTr="00720217">
        <w:trPr>
          <w:trHeight w:val="315"/>
        </w:trPr>
        <w:tc>
          <w:tcPr>
            <w:tcW w:w="2342" w:type="dxa"/>
            <w:tcMar>
              <w:top w:w="0" w:type="dxa"/>
              <w:left w:w="70" w:type="dxa"/>
              <w:bottom w:w="0" w:type="dxa"/>
              <w:right w:w="70" w:type="dxa"/>
            </w:tcMar>
            <w:hideMark/>
          </w:tcPr>
          <w:p w14:paraId="52FDF137" w14:textId="77777777" w:rsidR="00720217" w:rsidRPr="00720217" w:rsidRDefault="00720217" w:rsidP="00720217">
            <w:pPr>
              <w:rPr>
                <w:rFonts w:ascii="Arial" w:hAnsi="Arial" w:cs="Arial"/>
              </w:rPr>
            </w:pPr>
            <w:r w:rsidRPr="00720217">
              <w:rPr>
                <w:rFonts w:ascii="Arial" w:hAnsi="Arial" w:cs="Arial"/>
              </w:rPr>
              <w:t>No</w:t>
            </w:r>
          </w:p>
        </w:tc>
        <w:tc>
          <w:tcPr>
            <w:tcW w:w="633" w:type="dxa"/>
            <w:tcMar>
              <w:top w:w="0" w:type="dxa"/>
              <w:left w:w="70" w:type="dxa"/>
              <w:bottom w:w="0" w:type="dxa"/>
              <w:right w:w="70" w:type="dxa"/>
            </w:tcMar>
            <w:vAlign w:val="bottom"/>
            <w:hideMark/>
          </w:tcPr>
          <w:p w14:paraId="731BBCB8" w14:textId="77777777" w:rsidR="00720217" w:rsidRPr="00720217" w:rsidRDefault="00720217" w:rsidP="00720217">
            <w:pPr>
              <w:jc w:val="center"/>
              <w:rPr>
                <w:rFonts w:ascii="Arial" w:hAnsi="Arial" w:cs="Arial"/>
              </w:rPr>
            </w:pPr>
            <w:r w:rsidRPr="00720217">
              <w:rPr>
                <w:rFonts w:ascii="Arial" w:hAnsi="Arial" w:cs="Arial"/>
                <w:color w:val="000000"/>
              </w:rPr>
              <w:t>157</w:t>
            </w:r>
          </w:p>
        </w:tc>
        <w:tc>
          <w:tcPr>
            <w:tcW w:w="709" w:type="dxa"/>
            <w:tcMar>
              <w:top w:w="0" w:type="dxa"/>
              <w:left w:w="70" w:type="dxa"/>
              <w:bottom w:w="0" w:type="dxa"/>
              <w:right w:w="70" w:type="dxa"/>
            </w:tcMar>
            <w:vAlign w:val="bottom"/>
            <w:hideMark/>
          </w:tcPr>
          <w:p w14:paraId="0A23D4B6" w14:textId="77777777" w:rsidR="00720217" w:rsidRPr="00720217" w:rsidRDefault="00720217" w:rsidP="00720217">
            <w:pPr>
              <w:jc w:val="center"/>
              <w:rPr>
                <w:rFonts w:ascii="Arial" w:hAnsi="Arial" w:cs="Arial"/>
              </w:rPr>
            </w:pPr>
            <w:r w:rsidRPr="00720217">
              <w:rPr>
                <w:rFonts w:ascii="Arial" w:hAnsi="Arial" w:cs="Arial"/>
                <w:color w:val="000000"/>
              </w:rPr>
              <w:t>55,1</w:t>
            </w:r>
          </w:p>
        </w:tc>
        <w:tc>
          <w:tcPr>
            <w:tcW w:w="709" w:type="dxa"/>
            <w:tcMar>
              <w:top w:w="0" w:type="dxa"/>
              <w:left w:w="70" w:type="dxa"/>
              <w:bottom w:w="0" w:type="dxa"/>
              <w:right w:w="70" w:type="dxa"/>
            </w:tcMar>
            <w:vAlign w:val="bottom"/>
            <w:hideMark/>
          </w:tcPr>
          <w:p w14:paraId="1BA3F2F5" w14:textId="77777777" w:rsidR="00720217" w:rsidRPr="00720217" w:rsidRDefault="00720217" w:rsidP="00720217">
            <w:pPr>
              <w:jc w:val="center"/>
              <w:rPr>
                <w:rFonts w:ascii="Arial" w:hAnsi="Arial" w:cs="Arial"/>
              </w:rPr>
            </w:pPr>
            <w:r w:rsidRPr="00720217">
              <w:rPr>
                <w:rFonts w:ascii="Arial" w:hAnsi="Arial" w:cs="Arial"/>
                <w:color w:val="000000"/>
              </w:rPr>
              <w:t>85</w:t>
            </w:r>
          </w:p>
        </w:tc>
        <w:tc>
          <w:tcPr>
            <w:tcW w:w="709" w:type="dxa"/>
            <w:tcMar>
              <w:top w:w="0" w:type="dxa"/>
              <w:left w:w="70" w:type="dxa"/>
              <w:bottom w:w="0" w:type="dxa"/>
              <w:right w:w="70" w:type="dxa"/>
            </w:tcMar>
            <w:vAlign w:val="bottom"/>
            <w:hideMark/>
          </w:tcPr>
          <w:p w14:paraId="7BAC5440" w14:textId="77777777" w:rsidR="00720217" w:rsidRPr="00720217" w:rsidRDefault="00720217" w:rsidP="00720217">
            <w:pPr>
              <w:jc w:val="center"/>
              <w:rPr>
                <w:rFonts w:ascii="Arial" w:hAnsi="Arial" w:cs="Arial"/>
              </w:rPr>
            </w:pPr>
            <w:r w:rsidRPr="00720217">
              <w:rPr>
                <w:rFonts w:ascii="Arial" w:hAnsi="Arial" w:cs="Arial"/>
                <w:color w:val="000000"/>
              </w:rPr>
              <w:t>29,8</w:t>
            </w:r>
          </w:p>
        </w:tc>
        <w:tc>
          <w:tcPr>
            <w:tcW w:w="850" w:type="dxa"/>
            <w:tcMar>
              <w:top w:w="0" w:type="dxa"/>
              <w:left w:w="70" w:type="dxa"/>
              <w:bottom w:w="0" w:type="dxa"/>
              <w:right w:w="70" w:type="dxa"/>
            </w:tcMar>
            <w:vAlign w:val="bottom"/>
            <w:hideMark/>
          </w:tcPr>
          <w:p w14:paraId="1D2924BF" w14:textId="77777777" w:rsidR="00720217" w:rsidRPr="00720217" w:rsidRDefault="00720217" w:rsidP="00720217">
            <w:pPr>
              <w:jc w:val="center"/>
              <w:rPr>
                <w:rFonts w:ascii="Arial" w:hAnsi="Arial" w:cs="Arial"/>
              </w:rPr>
            </w:pPr>
            <w:r w:rsidRPr="00720217">
              <w:rPr>
                <w:rFonts w:ascii="Arial" w:hAnsi="Arial" w:cs="Arial"/>
                <w:color w:val="000000"/>
              </w:rPr>
              <w:t>18</w:t>
            </w:r>
          </w:p>
        </w:tc>
        <w:tc>
          <w:tcPr>
            <w:tcW w:w="425" w:type="dxa"/>
            <w:tcMar>
              <w:top w:w="0" w:type="dxa"/>
              <w:left w:w="70" w:type="dxa"/>
              <w:bottom w:w="0" w:type="dxa"/>
              <w:right w:w="70" w:type="dxa"/>
            </w:tcMar>
            <w:vAlign w:val="bottom"/>
            <w:hideMark/>
          </w:tcPr>
          <w:p w14:paraId="4E7372DA" w14:textId="77777777" w:rsidR="00720217" w:rsidRPr="00720217" w:rsidRDefault="00720217" w:rsidP="00720217">
            <w:pPr>
              <w:jc w:val="center"/>
              <w:rPr>
                <w:rFonts w:ascii="Arial" w:hAnsi="Arial" w:cs="Arial"/>
              </w:rPr>
            </w:pPr>
            <w:r w:rsidRPr="00720217">
              <w:rPr>
                <w:rFonts w:ascii="Arial" w:hAnsi="Arial" w:cs="Arial"/>
                <w:color w:val="000000"/>
              </w:rPr>
              <w:t>6,3</w:t>
            </w:r>
          </w:p>
        </w:tc>
        <w:tc>
          <w:tcPr>
            <w:tcW w:w="2127" w:type="dxa"/>
            <w:vMerge/>
            <w:vAlign w:val="center"/>
            <w:hideMark/>
          </w:tcPr>
          <w:p w14:paraId="3E09E944" w14:textId="77777777" w:rsidR="00720217" w:rsidRPr="00720217" w:rsidRDefault="00720217" w:rsidP="00720217">
            <w:pPr>
              <w:rPr>
                <w:rFonts w:ascii="Arial" w:hAnsi="Arial" w:cs="Arial"/>
                <w:color w:val="000000"/>
              </w:rPr>
            </w:pPr>
          </w:p>
        </w:tc>
      </w:tr>
      <w:tr w:rsidR="00720217" w:rsidRPr="00720217" w14:paraId="4E821B0E" w14:textId="77777777" w:rsidTr="00720217">
        <w:trPr>
          <w:trHeight w:val="315"/>
        </w:trPr>
        <w:tc>
          <w:tcPr>
            <w:tcW w:w="2342" w:type="dxa"/>
            <w:tcMar>
              <w:top w:w="0" w:type="dxa"/>
              <w:left w:w="70" w:type="dxa"/>
              <w:bottom w:w="0" w:type="dxa"/>
              <w:right w:w="70" w:type="dxa"/>
            </w:tcMar>
            <w:hideMark/>
          </w:tcPr>
          <w:p w14:paraId="3AA4065C" w14:textId="77777777" w:rsidR="00720217" w:rsidRPr="00720217" w:rsidRDefault="00720217" w:rsidP="00720217">
            <w:pPr>
              <w:rPr>
                <w:rFonts w:ascii="Arial" w:hAnsi="Arial" w:cs="Arial"/>
                <w:b/>
              </w:rPr>
            </w:pPr>
            <w:r w:rsidRPr="00720217">
              <w:rPr>
                <w:rFonts w:ascii="Arial" w:hAnsi="Arial" w:cs="Arial"/>
                <w:b/>
              </w:rPr>
              <w:t>Diabetes mellitus</w:t>
            </w:r>
          </w:p>
        </w:tc>
        <w:tc>
          <w:tcPr>
            <w:tcW w:w="633" w:type="dxa"/>
            <w:tcMar>
              <w:top w:w="0" w:type="dxa"/>
              <w:left w:w="70" w:type="dxa"/>
              <w:bottom w:w="0" w:type="dxa"/>
              <w:right w:w="70" w:type="dxa"/>
            </w:tcMar>
            <w:vAlign w:val="bottom"/>
          </w:tcPr>
          <w:p w14:paraId="4194CF2A"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04DC4CA3"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1274BC8B"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2371E43C" w14:textId="77777777" w:rsidR="00720217" w:rsidRPr="00720217" w:rsidRDefault="00720217" w:rsidP="00720217">
            <w:pPr>
              <w:rPr>
                <w:rFonts w:ascii="Arial" w:hAnsi="Arial" w:cs="Arial"/>
              </w:rPr>
            </w:pPr>
          </w:p>
        </w:tc>
        <w:tc>
          <w:tcPr>
            <w:tcW w:w="850" w:type="dxa"/>
            <w:tcMar>
              <w:top w:w="0" w:type="dxa"/>
              <w:left w:w="70" w:type="dxa"/>
              <w:bottom w:w="0" w:type="dxa"/>
              <w:right w:w="70" w:type="dxa"/>
            </w:tcMar>
            <w:vAlign w:val="bottom"/>
          </w:tcPr>
          <w:p w14:paraId="634D8D10" w14:textId="77777777" w:rsidR="00720217" w:rsidRPr="00720217" w:rsidRDefault="00720217" w:rsidP="00720217">
            <w:pPr>
              <w:rPr>
                <w:rFonts w:ascii="Arial" w:hAnsi="Arial" w:cs="Arial"/>
              </w:rPr>
            </w:pPr>
          </w:p>
        </w:tc>
        <w:tc>
          <w:tcPr>
            <w:tcW w:w="425" w:type="dxa"/>
            <w:tcMar>
              <w:top w:w="0" w:type="dxa"/>
              <w:left w:w="70" w:type="dxa"/>
              <w:bottom w:w="0" w:type="dxa"/>
              <w:right w:w="70" w:type="dxa"/>
            </w:tcMar>
            <w:vAlign w:val="bottom"/>
          </w:tcPr>
          <w:p w14:paraId="312992A7" w14:textId="77777777" w:rsidR="00720217" w:rsidRPr="00720217" w:rsidRDefault="00720217" w:rsidP="00720217">
            <w:pPr>
              <w:rPr>
                <w:rFonts w:ascii="Arial" w:hAnsi="Arial" w:cs="Arial"/>
              </w:rPr>
            </w:pPr>
          </w:p>
        </w:tc>
        <w:tc>
          <w:tcPr>
            <w:tcW w:w="2127" w:type="dxa"/>
            <w:tcMar>
              <w:top w:w="0" w:type="dxa"/>
              <w:left w:w="70" w:type="dxa"/>
              <w:bottom w:w="0" w:type="dxa"/>
              <w:right w:w="70" w:type="dxa"/>
            </w:tcMar>
            <w:vAlign w:val="bottom"/>
          </w:tcPr>
          <w:p w14:paraId="22EBE377" w14:textId="77777777" w:rsidR="00720217" w:rsidRPr="00720217" w:rsidRDefault="00720217" w:rsidP="00720217">
            <w:pPr>
              <w:rPr>
                <w:rFonts w:ascii="Arial" w:hAnsi="Arial" w:cs="Arial"/>
              </w:rPr>
            </w:pPr>
          </w:p>
        </w:tc>
      </w:tr>
      <w:tr w:rsidR="00720217" w:rsidRPr="00720217" w14:paraId="23E4F4CC" w14:textId="77777777" w:rsidTr="00720217">
        <w:trPr>
          <w:trHeight w:val="315"/>
        </w:trPr>
        <w:tc>
          <w:tcPr>
            <w:tcW w:w="2342" w:type="dxa"/>
            <w:tcMar>
              <w:top w:w="0" w:type="dxa"/>
              <w:left w:w="70" w:type="dxa"/>
              <w:bottom w:w="0" w:type="dxa"/>
              <w:right w:w="70" w:type="dxa"/>
            </w:tcMar>
            <w:hideMark/>
          </w:tcPr>
          <w:p w14:paraId="7054C538" w14:textId="77777777" w:rsidR="00720217" w:rsidRPr="00720217" w:rsidRDefault="00720217" w:rsidP="00720217">
            <w:pPr>
              <w:rPr>
                <w:rFonts w:ascii="Arial" w:hAnsi="Arial" w:cs="Arial"/>
              </w:rPr>
            </w:pPr>
            <w:r w:rsidRPr="00720217">
              <w:rPr>
                <w:rFonts w:ascii="Arial" w:hAnsi="Arial" w:cs="Arial"/>
              </w:rPr>
              <w:t>Yes</w:t>
            </w:r>
          </w:p>
        </w:tc>
        <w:tc>
          <w:tcPr>
            <w:tcW w:w="633" w:type="dxa"/>
            <w:tcMar>
              <w:top w:w="0" w:type="dxa"/>
              <w:left w:w="70" w:type="dxa"/>
              <w:bottom w:w="0" w:type="dxa"/>
              <w:right w:w="70" w:type="dxa"/>
            </w:tcMar>
            <w:vAlign w:val="bottom"/>
            <w:hideMark/>
          </w:tcPr>
          <w:p w14:paraId="7F1EED13" w14:textId="77777777" w:rsidR="00720217" w:rsidRPr="00720217" w:rsidRDefault="00720217" w:rsidP="00720217">
            <w:pPr>
              <w:jc w:val="center"/>
              <w:rPr>
                <w:rFonts w:ascii="Arial" w:hAnsi="Arial" w:cs="Arial"/>
              </w:rPr>
            </w:pPr>
            <w:r w:rsidRPr="00720217">
              <w:rPr>
                <w:rFonts w:ascii="Arial" w:hAnsi="Arial" w:cs="Arial"/>
                <w:color w:val="000000"/>
              </w:rPr>
              <w:t>36</w:t>
            </w:r>
          </w:p>
        </w:tc>
        <w:tc>
          <w:tcPr>
            <w:tcW w:w="709" w:type="dxa"/>
            <w:tcMar>
              <w:top w:w="0" w:type="dxa"/>
              <w:left w:w="70" w:type="dxa"/>
              <w:bottom w:w="0" w:type="dxa"/>
              <w:right w:w="70" w:type="dxa"/>
            </w:tcMar>
            <w:vAlign w:val="bottom"/>
            <w:hideMark/>
          </w:tcPr>
          <w:p w14:paraId="6079FC4B" w14:textId="77777777" w:rsidR="00720217" w:rsidRPr="00720217" w:rsidRDefault="00720217" w:rsidP="00720217">
            <w:pPr>
              <w:jc w:val="center"/>
              <w:rPr>
                <w:rFonts w:ascii="Arial" w:hAnsi="Arial" w:cs="Arial"/>
              </w:rPr>
            </w:pPr>
            <w:r w:rsidRPr="00720217">
              <w:rPr>
                <w:rFonts w:ascii="Arial" w:hAnsi="Arial" w:cs="Arial"/>
                <w:color w:val="000000"/>
              </w:rPr>
              <w:t>12,6</w:t>
            </w:r>
          </w:p>
        </w:tc>
        <w:tc>
          <w:tcPr>
            <w:tcW w:w="709" w:type="dxa"/>
            <w:tcMar>
              <w:top w:w="0" w:type="dxa"/>
              <w:left w:w="70" w:type="dxa"/>
              <w:bottom w:w="0" w:type="dxa"/>
              <w:right w:w="70" w:type="dxa"/>
            </w:tcMar>
            <w:vAlign w:val="bottom"/>
            <w:hideMark/>
          </w:tcPr>
          <w:p w14:paraId="42D0B5F8" w14:textId="77777777" w:rsidR="00720217" w:rsidRPr="00720217" w:rsidRDefault="00720217" w:rsidP="00720217">
            <w:pPr>
              <w:jc w:val="center"/>
              <w:rPr>
                <w:rFonts w:ascii="Arial" w:hAnsi="Arial" w:cs="Arial"/>
              </w:rPr>
            </w:pPr>
            <w:r w:rsidRPr="00720217">
              <w:rPr>
                <w:rFonts w:ascii="Arial" w:hAnsi="Arial" w:cs="Arial"/>
                <w:color w:val="000000"/>
              </w:rPr>
              <w:t>17</w:t>
            </w:r>
          </w:p>
        </w:tc>
        <w:tc>
          <w:tcPr>
            <w:tcW w:w="709" w:type="dxa"/>
            <w:tcMar>
              <w:top w:w="0" w:type="dxa"/>
              <w:left w:w="70" w:type="dxa"/>
              <w:bottom w:w="0" w:type="dxa"/>
              <w:right w:w="70" w:type="dxa"/>
            </w:tcMar>
            <w:vAlign w:val="bottom"/>
            <w:hideMark/>
          </w:tcPr>
          <w:p w14:paraId="5BE1B413" w14:textId="77777777" w:rsidR="00720217" w:rsidRPr="00720217" w:rsidRDefault="00720217" w:rsidP="00720217">
            <w:pPr>
              <w:jc w:val="center"/>
              <w:rPr>
                <w:rFonts w:ascii="Arial" w:hAnsi="Arial" w:cs="Arial"/>
              </w:rPr>
            </w:pPr>
            <w:r w:rsidRPr="00720217">
              <w:rPr>
                <w:rFonts w:ascii="Arial" w:hAnsi="Arial" w:cs="Arial"/>
                <w:color w:val="000000"/>
              </w:rPr>
              <w:t>6,0</w:t>
            </w:r>
          </w:p>
        </w:tc>
        <w:tc>
          <w:tcPr>
            <w:tcW w:w="850" w:type="dxa"/>
            <w:tcMar>
              <w:top w:w="0" w:type="dxa"/>
              <w:left w:w="70" w:type="dxa"/>
              <w:bottom w:w="0" w:type="dxa"/>
              <w:right w:w="70" w:type="dxa"/>
            </w:tcMar>
            <w:vAlign w:val="bottom"/>
            <w:hideMark/>
          </w:tcPr>
          <w:p w14:paraId="7CC61397" w14:textId="77777777" w:rsidR="00720217" w:rsidRPr="00720217" w:rsidRDefault="00720217" w:rsidP="00720217">
            <w:pPr>
              <w:jc w:val="center"/>
              <w:rPr>
                <w:rFonts w:ascii="Arial" w:hAnsi="Arial" w:cs="Arial"/>
              </w:rPr>
            </w:pPr>
            <w:r w:rsidRPr="00720217">
              <w:rPr>
                <w:rFonts w:ascii="Arial" w:hAnsi="Arial" w:cs="Arial"/>
                <w:color w:val="000000"/>
              </w:rPr>
              <w:t>10</w:t>
            </w:r>
          </w:p>
        </w:tc>
        <w:tc>
          <w:tcPr>
            <w:tcW w:w="425" w:type="dxa"/>
            <w:tcMar>
              <w:top w:w="0" w:type="dxa"/>
              <w:left w:w="70" w:type="dxa"/>
              <w:bottom w:w="0" w:type="dxa"/>
              <w:right w:w="70" w:type="dxa"/>
            </w:tcMar>
            <w:vAlign w:val="bottom"/>
            <w:hideMark/>
          </w:tcPr>
          <w:p w14:paraId="55EA8E20" w14:textId="77777777" w:rsidR="00720217" w:rsidRPr="00720217" w:rsidRDefault="00720217" w:rsidP="00720217">
            <w:pPr>
              <w:jc w:val="center"/>
              <w:rPr>
                <w:rFonts w:ascii="Arial" w:hAnsi="Arial" w:cs="Arial"/>
              </w:rPr>
            </w:pPr>
            <w:r w:rsidRPr="00720217">
              <w:rPr>
                <w:rFonts w:ascii="Arial" w:hAnsi="Arial" w:cs="Arial"/>
                <w:color w:val="000000"/>
              </w:rPr>
              <w:t>3,5</w:t>
            </w:r>
          </w:p>
        </w:tc>
        <w:tc>
          <w:tcPr>
            <w:tcW w:w="2127" w:type="dxa"/>
            <w:vMerge w:val="restart"/>
            <w:tcMar>
              <w:top w:w="0" w:type="dxa"/>
              <w:left w:w="70" w:type="dxa"/>
              <w:bottom w:w="0" w:type="dxa"/>
              <w:right w:w="70" w:type="dxa"/>
            </w:tcMar>
            <w:vAlign w:val="center"/>
            <w:hideMark/>
          </w:tcPr>
          <w:p w14:paraId="225B4EA6" w14:textId="77777777" w:rsidR="00720217" w:rsidRPr="00720217" w:rsidRDefault="00720217" w:rsidP="00720217">
            <w:pPr>
              <w:jc w:val="center"/>
              <w:rPr>
                <w:rFonts w:ascii="Arial" w:hAnsi="Arial" w:cs="Arial"/>
                <w:color w:val="000000"/>
              </w:rPr>
            </w:pPr>
            <w:r w:rsidRPr="00720217">
              <w:rPr>
                <w:rFonts w:ascii="Arial" w:hAnsi="Arial" w:cs="Arial"/>
                <w:color w:val="000000"/>
              </w:rPr>
              <w:t>X</w:t>
            </w:r>
            <w:r w:rsidRPr="00720217">
              <w:rPr>
                <w:rFonts w:ascii="Arial" w:hAnsi="Arial" w:cs="Arial"/>
                <w:color w:val="000000"/>
                <w:vertAlign w:val="superscript"/>
              </w:rPr>
              <w:t>2</w:t>
            </w:r>
            <w:r w:rsidRPr="00720217">
              <w:rPr>
                <w:rFonts w:ascii="Arial" w:hAnsi="Arial" w:cs="Arial"/>
                <w:color w:val="000000"/>
              </w:rPr>
              <w:t>= 7,602; p=0,022*</w:t>
            </w:r>
          </w:p>
        </w:tc>
      </w:tr>
      <w:tr w:rsidR="00720217" w:rsidRPr="00720217" w14:paraId="2081A55F" w14:textId="77777777" w:rsidTr="00720217">
        <w:trPr>
          <w:trHeight w:val="315"/>
        </w:trPr>
        <w:tc>
          <w:tcPr>
            <w:tcW w:w="2342" w:type="dxa"/>
            <w:tcMar>
              <w:top w:w="0" w:type="dxa"/>
              <w:left w:w="70" w:type="dxa"/>
              <w:bottom w:w="0" w:type="dxa"/>
              <w:right w:w="70" w:type="dxa"/>
            </w:tcMar>
            <w:hideMark/>
          </w:tcPr>
          <w:p w14:paraId="218FFC52" w14:textId="77777777" w:rsidR="00720217" w:rsidRPr="00720217" w:rsidRDefault="00720217" w:rsidP="00720217">
            <w:pPr>
              <w:rPr>
                <w:rFonts w:ascii="Arial" w:hAnsi="Arial" w:cs="Arial"/>
              </w:rPr>
            </w:pPr>
            <w:r w:rsidRPr="00720217">
              <w:rPr>
                <w:rFonts w:ascii="Arial" w:hAnsi="Arial" w:cs="Arial"/>
              </w:rPr>
              <w:t>No</w:t>
            </w:r>
          </w:p>
        </w:tc>
        <w:tc>
          <w:tcPr>
            <w:tcW w:w="633" w:type="dxa"/>
            <w:tcMar>
              <w:top w:w="0" w:type="dxa"/>
              <w:left w:w="70" w:type="dxa"/>
              <w:bottom w:w="0" w:type="dxa"/>
              <w:right w:w="70" w:type="dxa"/>
            </w:tcMar>
            <w:vAlign w:val="bottom"/>
            <w:hideMark/>
          </w:tcPr>
          <w:p w14:paraId="2BCF90D6" w14:textId="77777777" w:rsidR="00720217" w:rsidRPr="00720217" w:rsidRDefault="00720217" w:rsidP="00720217">
            <w:pPr>
              <w:jc w:val="center"/>
              <w:rPr>
                <w:rFonts w:ascii="Arial" w:hAnsi="Arial" w:cs="Arial"/>
              </w:rPr>
            </w:pPr>
            <w:r w:rsidRPr="00720217">
              <w:rPr>
                <w:rFonts w:ascii="Arial" w:hAnsi="Arial" w:cs="Arial"/>
                <w:color w:val="000000"/>
              </w:rPr>
              <w:t>139</w:t>
            </w:r>
          </w:p>
        </w:tc>
        <w:tc>
          <w:tcPr>
            <w:tcW w:w="709" w:type="dxa"/>
            <w:tcMar>
              <w:top w:w="0" w:type="dxa"/>
              <w:left w:w="70" w:type="dxa"/>
              <w:bottom w:w="0" w:type="dxa"/>
              <w:right w:w="70" w:type="dxa"/>
            </w:tcMar>
            <w:vAlign w:val="bottom"/>
            <w:hideMark/>
          </w:tcPr>
          <w:p w14:paraId="54F41A50" w14:textId="77777777" w:rsidR="00720217" w:rsidRPr="00720217" w:rsidRDefault="00720217" w:rsidP="00720217">
            <w:pPr>
              <w:jc w:val="center"/>
              <w:rPr>
                <w:rFonts w:ascii="Arial" w:hAnsi="Arial" w:cs="Arial"/>
              </w:rPr>
            </w:pPr>
            <w:r w:rsidRPr="00720217">
              <w:rPr>
                <w:rFonts w:ascii="Arial" w:hAnsi="Arial" w:cs="Arial"/>
                <w:color w:val="000000"/>
              </w:rPr>
              <w:t>48,8</w:t>
            </w:r>
          </w:p>
        </w:tc>
        <w:tc>
          <w:tcPr>
            <w:tcW w:w="709" w:type="dxa"/>
            <w:tcMar>
              <w:top w:w="0" w:type="dxa"/>
              <w:left w:w="70" w:type="dxa"/>
              <w:bottom w:w="0" w:type="dxa"/>
              <w:right w:w="70" w:type="dxa"/>
            </w:tcMar>
            <w:vAlign w:val="bottom"/>
            <w:hideMark/>
          </w:tcPr>
          <w:p w14:paraId="33A24E39" w14:textId="77777777" w:rsidR="00720217" w:rsidRPr="00720217" w:rsidRDefault="00720217" w:rsidP="00720217">
            <w:pPr>
              <w:jc w:val="center"/>
              <w:rPr>
                <w:rFonts w:ascii="Arial" w:hAnsi="Arial" w:cs="Arial"/>
              </w:rPr>
            </w:pPr>
            <w:r w:rsidRPr="00720217">
              <w:rPr>
                <w:rFonts w:ascii="Arial" w:hAnsi="Arial" w:cs="Arial"/>
                <w:color w:val="000000"/>
              </w:rPr>
              <w:t>71</w:t>
            </w:r>
          </w:p>
        </w:tc>
        <w:tc>
          <w:tcPr>
            <w:tcW w:w="709" w:type="dxa"/>
            <w:tcMar>
              <w:top w:w="0" w:type="dxa"/>
              <w:left w:w="70" w:type="dxa"/>
              <w:bottom w:w="0" w:type="dxa"/>
              <w:right w:w="70" w:type="dxa"/>
            </w:tcMar>
            <w:vAlign w:val="bottom"/>
            <w:hideMark/>
          </w:tcPr>
          <w:p w14:paraId="749FAE68" w14:textId="77777777" w:rsidR="00720217" w:rsidRPr="00720217" w:rsidRDefault="00720217" w:rsidP="00720217">
            <w:pPr>
              <w:jc w:val="center"/>
              <w:rPr>
                <w:rFonts w:ascii="Arial" w:hAnsi="Arial" w:cs="Arial"/>
              </w:rPr>
            </w:pPr>
            <w:r w:rsidRPr="00720217">
              <w:rPr>
                <w:rFonts w:ascii="Arial" w:hAnsi="Arial" w:cs="Arial"/>
                <w:color w:val="000000"/>
              </w:rPr>
              <w:t>24,9</w:t>
            </w:r>
          </w:p>
        </w:tc>
        <w:tc>
          <w:tcPr>
            <w:tcW w:w="850" w:type="dxa"/>
            <w:tcMar>
              <w:top w:w="0" w:type="dxa"/>
              <w:left w:w="70" w:type="dxa"/>
              <w:bottom w:w="0" w:type="dxa"/>
              <w:right w:w="70" w:type="dxa"/>
            </w:tcMar>
            <w:vAlign w:val="bottom"/>
            <w:hideMark/>
          </w:tcPr>
          <w:p w14:paraId="2CF2B37C" w14:textId="77777777" w:rsidR="00720217" w:rsidRPr="00720217" w:rsidRDefault="00720217" w:rsidP="00720217">
            <w:pPr>
              <w:jc w:val="center"/>
              <w:rPr>
                <w:rFonts w:ascii="Arial" w:hAnsi="Arial" w:cs="Arial"/>
              </w:rPr>
            </w:pPr>
            <w:r w:rsidRPr="00720217">
              <w:rPr>
                <w:rFonts w:ascii="Arial" w:hAnsi="Arial" w:cs="Arial"/>
                <w:color w:val="000000"/>
              </w:rPr>
              <w:t>12</w:t>
            </w:r>
          </w:p>
        </w:tc>
        <w:tc>
          <w:tcPr>
            <w:tcW w:w="425" w:type="dxa"/>
            <w:tcMar>
              <w:top w:w="0" w:type="dxa"/>
              <w:left w:w="70" w:type="dxa"/>
              <w:bottom w:w="0" w:type="dxa"/>
              <w:right w:w="70" w:type="dxa"/>
            </w:tcMar>
            <w:vAlign w:val="bottom"/>
            <w:hideMark/>
          </w:tcPr>
          <w:p w14:paraId="75DC5E81" w14:textId="77777777" w:rsidR="00720217" w:rsidRPr="00720217" w:rsidRDefault="00720217" w:rsidP="00720217">
            <w:pPr>
              <w:jc w:val="center"/>
              <w:rPr>
                <w:rFonts w:ascii="Arial" w:hAnsi="Arial" w:cs="Arial"/>
              </w:rPr>
            </w:pPr>
            <w:r w:rsidRPr="00720217">
              <w:rPr>
                <w:rFonts w:ascii="Arial" w:hAnsi="Arial" w:cs="Arial"/>
                <w:color w:val="000000"/>
              </w:rPr>
              <w:t>4,2</w:t>
            </w:r>
          </w:p>
        </w:tc>
        <w:tc>
          <w:tcPr>
            <w:tcW w:w="2127" w:type="dxa"/>
            <w:vMerge/>
            <w:vAlign w:val="center"/>
            <w:hideMark/>
          </w:tcPr>
          <w:p w14:paraId="22227F7D" w14:textId="77777777" w:rsidR="00720217" w:rsidRPr="00720217" w:rsidRDefault="00720217" w:rsidP="00720217">
            <w:pPr>
              <w:rPr>
                <w:rFonts w:ascii="Arial" w:hAnsi="Arial" w:cs="Arial"/>
                <w:color w:val="000000"/>
              </w:rPr>
            </w:pPr>
          </w:p>
        </w:tc>
      </w:tr>
      <w:tr w:rsidR="00720217" w:rsidRPr="00720217" w14:paraId="197195BD" w14:textId="77777777" w:rsidTr="00720217">
        <w:trPr>
          <w:trHeight w:val="315"/>
        </w:trPr>
        <w:tc>
          <w:tcPr>
            <w:tcW w:w="2342" w:type="dxa"/>
            <w:tcMar>
              <w:top w:w="0" w:type="dxa"/>
              <w:left w:w="70" w:type="dxa"/>
              <w:bottom w:w="0" w:type="dxa"/>
              <w:right w:w="70" w:type="dxa"/>
            </w:tcMar>
            <w:hideMark/>
          </w:tcPr>
          <w:p w14:paraId="28B1E184" w14:textId="77777777" w:rsidR="00720217" w:rsidRPr="00720217" w:rsidRDefault="00720217" w:rsidP="00720217">
            <w:pPr>
              <w:rPr>
                <w:rFonts w:ascii="Arial" w:hAnsi="Arial" w:cs="Arial"/>
                <w:b/>
              </w:rPr>
            </w:pPr>
            <w:r w:rsidRPr="00720217">
              <w:rPr>
                <w:rFonts w:ascii="Arial" w:hAnsi="Arial" w:cs="Arial"/>
                <w:b/>
              </w:rPr>
              <w:t>Nasal cannula</w:t>
            </w:r>
          </w:p>
        </w:tc>
        <w:tc>
          <w:tcPr>
            <w:tcW w:w="633" w:type="dxa"/>
            <w:tcMar>
              <w:top w:w="0" w:type="dxa"/>
              <w:left w:w="70" w:type="dxa"/>
              <w:bottom w:w="0" w:type="dxa"/>
              <w:right w:w="70" w:type="dxa"/>
            </w:tcMar>
            <w:vAlign w:val="bottom"/>
          </w:tcPr>
          <w:p w14:paraId="4B253AAD"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6E48E1C0"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7D0979F5"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6F98ABE7" w14:textId="77777777" w:rsidR="00720217" w:rsidRPr="00720217" w:rsidRDefault="00720217" w:rsidP="00720217">
            <w:pPr>
              <w:rPr>
                <w:rFonts w:ascii="Arial" w:hAnsi="Arial" w:cs="Arial"/>
              </w:rPr>
            </w:pPr>
          </w:p>
        </w:tc>
        <w:tc>
          <w:tcPr>
            <w:tcW w:w="850" w:type="dxa"/>
            <w:tcMar>
              <w:top w:w="0" w:type="dxa"/>
              <w:left w:w="70" w:type="dxa"/>
              <w:bottom w:w="0" w:type="dxa"/>
              <w:right w:w="70" w:type="dxa"/>
            </w:tcMar>
            <w:vAlign w:val="bottom"/>
          </w:tcPr>
          <w:p w14:paraId="4F07BF84" w14:textId="77777777" w:rsidR="00720217" w:rsidRPr="00720217" w:rsidRDefault="00720217" w:rsidP="00720217">
            <w:pPr>
              <w:rPr>
                <w:rFonts w:ascii="Arial" w:hAnsi="Arial" w:cs="Arial"/>
              </w:rPr>
            </w:pPr>
          </w:p>
        </w:tc>
        <w:tc>
          <w:tcPr>
            <w:tcW w:w="425" w:type="dxa"/>
            <w:tcMar>
              <w:top w:w="0" w:type="dxa"/>
              <w:left w:w="70" w:type="dxa"/>
              <w:bottom w:w="0" w:type="dxa"/>
              <w:right w:w="70" w:type="dxa"/>
            </w:tcMar>
            <w:vAlign w:val="bottom"/>
          </w:tcPr>
          <w:p w14:paraId="774B1BDE" w14:textId="77777777" w:rsidR="00720217" w:rsidRPr="00720217" w:rsidRDefault="00720217" w:rsidP="00720217">
            <w:pPr>
              <w:rPr>
                <w:rFonts w:ascii="Arial" w:hAnsi="Arial" w:cs="Arial"/>
              </w:rPr>
            </w:pPr>
          </w:p>
        </w:tc>
        <w:tc>
          <w:tcPr>
            <w:tcW w:w="2127" w:type="dxa"/>
            <w:tcMar>
              <w:top w:w="0" w:type="dxa"/>
              <w:left w:w="70" w:type="dxa"/>
              <w:bottom w:w="0" w:type="dxa"/>
              <w:right w:w="70" w:type="dxa"/>
            </w:tcMar>
            <w:vAlign w:val="bottom"/>
          </w:tcPr>
          <w:p w14:paraId="17790997" w14:textId="77777777" w:rsidR="00720217" w:rsidRPr="00720217" w:rsidRDefault="00720217" w:rsidP="00720217">
            <w:pPr>
              <w:rPr>
                <w:rFonts w:ascii="Arial" w:hAnsi="Arial" w:cs="Arial"/>
              </w:rPr>
            </w:pPr>
          </w:p>
        </w:tc>
      </w:tr>
      <w:tr w:rsidR="00720217" w:rsidRPr="00720217" w14:paraId="57D1545C" w14:textId="77777777" w:rsidTr="00720217">
        <w:trPr>
          <w:trHeight w:val="315"/>
        </w:trPr>
        <w:tc>
          <w:tcPr>
            <w:tcW w:w="2342" w:type="dxa"/>
            <w:tcMar>
              <w:top w:w="0" w:type="dxa"/>
              <w:left w:w="70" w:type="dxa"/>
              <w:bottom w:w="0" w:type="dxa"/>
              <w:right w:w="70" w:type="dxa"/>
            </w:tcMar>
            <w:hideMark/>
          </w:tcPr>
          <w:p w14:paraId="358A29C2" w14:textId="77777777" w:rsidR="00720217" w:rsidRPr="00720217" w:rsidRDefault="00720217" w:rsidP="00720217">
            <w:pPr>
              <w:rPr>
                <w:rFonts w:ascii="Arial" w:hAnsi="Arial" w:cs="Arial"/>
              </w:rPr>
            </w:pPr>
            <w:r w:rsidRPr="00720217">
              <w:rPr>
                <w:rFonts w:ascii="Arial" w:hAnsi="Arial" w:cs="Arial"/>
              </w:rPr>
              <w:t>Yes</w:t>
            </w:r>
          </w:p>
        </w:tc>
        <w:tc>
          <w:tcPr>
            <w:tcW w:w="633" w:type="dxa"/>
            <w:tcMar>
              <w:top w:w="0" w:type="dxa"/>
              <w:left w:w="70" w:type="dxa"/>
              <w:bottom w:w="0" w:type="dxa"/>
              <w:right w:w="70" w:type="dxa"/>
            </w:tcMar>
            <w:vAlign w:val="bottom"/>
            <w:hideMark/>
          </w:tcPr>
          <w:p w14:paraId="1070D6DD" w14:textId="77777777" w:rsidR="00720217" w:rsidRPr="00720217" w:rsidRDefault="00720217" w:rsidP="00720217">
            <w:pPr>
              <w:jc w:val="center"/>
              <w:rPr>
                <w:rFonts w:ascii="Arial" w:hAnsi="Arial" w:cs="Arial"/>
              </w:rPr>
            </w:pPr>
            <w:r w:rsidRPr="00720217">
              <w:rPr>
                <w:rFonts w:ascii="Arial" w:hAnsi="Arial" w:cs="Arial"/>
                <w:color w:val="000000"/>
              </w:rPr>
              <w:t>155</w:t>
            </w:r>
          </w:p>
        </w:tc>
        <w:tc>
          <w:tcPr>
            <w:tcW w:w="709" w:type="dxa"/>
            <w:tcMar>
              <w:top w:w="0" w:type="dxa"/>
              <w:left w:w="70" w:type="dxa"/>
              <w:bottom w:w="0" w:type="dxa"/>
              <w:right w:w="70" w:type="dxa"/>
            </w:tcMar>
            <w:vAlign w:val="bottom"/>
            <w:hideMark/>
          </w:tcPr>
          <w:p w14:paraId="53EF9887" w14:textId="77777777" w:rsidR="00720217" w:rsidRPr="00720217" w:rsidRDefault="00720217" w:rsidP="00720217">
            <w:pPr>
              <w:jc w:val="center"/>
              <w:rPr>
                <w:rFonts w:ascii="Arial" w:hAnsi="Arial" w:cs="Arial"/>
              </w:rPr>
            </w:pPr>
            <w:r w:rsidRPr="00720217">
              <w:rPr>
                <w:rFonts w:ascii="Arial" w:hAnsi="Arial" w:cs="Arial"/>
                <w:color w:val="000000"/>
              </w:rPr>
              <w:t>54,4</w:t>
            </w:r>
          </w:p>
        </w:tc>
        <w:tc>
          <w:tcPr>
            <w:tcW w:w="709" w:type="dxa"/>
            <w:tcMar>
              <w:top w:w="0" w:type="dxa"/>
              <w:left w:w="70" w:type="dxa"/>
              <w:bottom w:w="0" w:type="dxa"/>
              <w:right w:w="70" w:type="dxa"/>
            </w:tcMar>
            <w:vAlign w:val="bottom"/>
            <w:hideMark/>
          </w:tcPr>
          <w:p w14:paraId="29BB4E62" w14:textId="77777777" w:rsidR="00720217" w:rsidRPr="00720217" w:rsidRDefault="00720217" w:rsidP="00720217">
            <w:pPr>
              <w:jc w:val="center"/>
              <w:rPr>
                <w:rFonts w:ascii="Arial" w:hAnsi="Arial" w:cs="Arial"/>
              </w:rPr>
            </w:pPr>
            <w:r w:rsidRPr="00720217">
              <w:rPr>
                <w:rFonts w:ascii="Arial" w:hAnsi="Arial" w:cs="Arial"/>
                <w:color w:val="000000"/>
              </w:rPr>
              <w:t>45</w:t>
            </w:r>
          </w:p>
        </w:tc>
        <w:tc>
          <w:tcPr>
            <w:tcW w:w="709" w:type="dxa"/>
            <w:tcMar>
              <w:top w:w="0" w:type="dxa"/>
              <w:left w:w="70" w:type="dxa"/>
              <w:bottom w:w="0" w:type="dxa"/>
              <w:right w:w="70" w:type="dxa"/>
            </w:tcMar>
            <w:vAlign w:val="bottom"/>
            <w:hideMark/>
          </w:tcPr>
          <w:p w14:paraId="11BAC931" w14:textId="77777777" w:rsidR="00720217" w:rsidRPr="00720217" w:rsidRDefault="00720217" w:rsidP="00720217">
            <w:pPr>
              <w:jc w:val="center"/>
              <w:rPr>
                <w:rFonts w:ascii="Arial" w:hAnsi="Arial" w:cs="Arial"/>
              </w:rPr>
            </w:pPr>
            <w:r w:rsidRPr="00720217">
              <w:rPr>
                <w:rFonts w:ascii="Arial" w:hAnsi="Arial" w:cs="Arial"/>
                <w:color w:val="000000"/>
              </w:rPr>
              <w:t>15,8</w:t>
            </w:r>
          </w:p>
        </w:tc>
        <w:tc>
          <w:tcPr>
            <w:tcW w:w="850" w:type="dxa"/>
            <w:tcMar>
              <w:top w:w="0" w:type="dxa"/>
              <w:left w:w="70" w:type="dxa"/>
              <w:bottom w:w="0" w:type="dxa"/>
              <w:right w:w="70" w:type="dxa"/>
            </w:tcMar>
            <w:vAlign w:val="bottom"/>
            <w:hideMark/>
          </w:tcPr>
          <w:p w14:paraId="45C50A22" w14:textId="77777777" w:rsidR="00720217" w:rsidRPr="00720217" w:rsidRDefault="00720217" w:rsidP="00720217">
            <w:pPr>
              <w:jc w:val="center"/>
              <w:rPr>
                <w:rFonts w:ascii="Arial" w:hAnsi="Arial" w:cs="Arial"/>
              </w:rPr>
            </w:pPr>
            <w:r w:rsidRPr="00720217">
              <w:rPr>
                <w:rFonts w:ascii="Arial" w:hAnsi="Arial" w:cs="Arial"/>
                <w:color w:val="000000"/>
              </w:rPr>
              <w:t>13</w:t>
            </w:r>
          </w:p>
        </w:tc>
        <w:tc>
          <w:tcPr>
            <w:tcW w:w="425" w:type="dxa"/>
            <w:tcMar>
              <w:top w:w="0" w:type="dxa"/>
              <w:left w:w="70" w:type="dxa"/>
              <w:bottom w:w="0" w:type="dxa"/>
              <w:right w:w="70" w:type="dxa"/>
            </w:tcMar>
            <w:vAlign w:val="bottom"/>
            <w:hideMark/>
          </w:tcPr>
          <w:p w14:paraId="33229012" w14:textId="77777777" w:rsidR="00720217" w:rsidRPr="00720217" w:rsidRDefault="00720217" w:rsidP="00720217">
            <w:pPr>
              <w:jc w:val="center"/>
              <w:rPr>
                <w:rFonts w:ascii="Arial" w:hAnsi="Arial" w:cs="Arial"/>
              </w:rPr>
            </w:pPr>
            <w:r w:rsidRPr="00720217">
              <w:rPr>
                <w:rFonts w:ascii="Arial" w:hAnsi="Arial" w:cs="Arial"/>
                <w:color w:val="000000"/>
              </w:rPr>
              <w:t>4,6</w:t>
            </w:r>
          </w:p>
        </w:tc>
        <w:tc>
          <w:tcPr>
            <w:tcW w:w="2127" w:type="dxa"/>
            <w:vMerge w:val="restart"/>
            <w:tcMar>
              <w:top w:w="0" w:type="dxa"/>
              <w:left w:w="70" w:type="dxa"/>
              <w:bottom w:w="0" w:type="dxa"/>
              <w:right w:w="70" w:type="dxa"/>
            </w:tcMar>
            <w:vAlign w:val="center"/>
            <w:hideMark/>
          </w:tcPr>
          <w:p w14:paraId="4FFDD496" w14:textId="77777777" w:rsidR="00720217" w:rsidRPr="00720217" w:rsidRDefault="00720217" w:rsidP="00720217">
            <w:pPr>
              <w:jc w:val="center"/>
              <w:rPr>
                <w:rFonts w:ascii="Arial" w:hAnsi="Arial" w:cs="Arial"/>
                <w:color w:val="000000"/>
              </w:rPr>
            </w:pPr>
            <w:r w:rsidRPr="00720217">
              <w:rPr>
                <w:rFonts w:ascii="Arial" w:hAnsi="Arial" w:cs="Arial"/>
                <w:color w:val="000000"/>
              </w:rPr>
              <w:t>X</w:t>
            </w:r>
            <w:r w:rsidRPr="00720217">
              <w:rPr>
                <w:rFonts w:ascii="Arial" w:hAnsi="Arial" w:cs="Arial"/>
                <w:color w:val="000000"/>
                <w:vertAlign w:val="superscript"/>
              </w:rPr>
              <w:t>2</w:t>
            </w:r>
            <w:r w:rsidRPr="00720217">
              <w:rPr>
                <w:rFonts w:ascii="Arial" w:hAnsi="Arial" w:cs="Arial"/>
                <w:color w:val="000000"/>
              </w:rPr>
              <w:t>= 46,552; p=0,000*</w:t>
            </w:r>
          </w:p>
        </w:tc>
      </w:tr>
      <w:tr w:rsidR="00720217" w:rsidRPr="00720217" w14:paraId="67B178DA" w14:textId="77777777" w:rsidTr="00720217">
        <w:trPr>
          <w:trHeight w:val="315"/>
        </w:trPr>
        <w:tc>
          <w:tcPr>
            <w:tcW w:w="2342" w:type="dxa"/>
            <w:tcMar>
              <w:top w:w="0" w:type="dxa"/>
              <w:left w:w="70" w:type="dxa"/>
              <w:bottom w:w="0" w:type="dxa"/>
              <w:right w:w="70" w:type="dxa"/>
            </w:tcMar>
            <w:hideMark/>
          </w:tcPr>
          <w:p w14:paraId="149E2D68" w14:textId="77777777" w:rsidR="00720217" w:rsidRPr="00720217" w:rsidRDefault="00720217" w:rsidP="00720217">
            <w:pPr>
              <w:rPr>
                <w:rFonts w:ascii="Arial" w:hAnsi="Arial" w:cs="Arial"/>
              </w:rPr>
            </w:pPr>
            <w:r w:rsidRPr="00720217">
              <w:rPr>
                <w:rFonts w:ascii="Arial" w:hAnsi="Arial" w:cs="Arial"/>
              </w:rPr>
              <w:t>No</w:t>
            </w:r>
          </w:p>
        </w:tc>
        <w:tc>
          <w:tcPr>
            <w:tcW w:w="633" w:type="dxa"/>
            <w:tcMar>
              <w:top w:w="0" w:type="dxa"/>
              <w:left w:w="70" w:type="dxa"/>
              <w:bottom w:w="0" w:type="dxa"/>
              <w:right w:w="70" w:type="dxa"/>
            </w:tcMar>
            <w:vAlign w:val="bottom"/>
            <w:hideMark/>
          </w:tcPr>
          <w:p w14:paraId="1340BC69" w14:textId="77777777" w:rsidR="00720217" w:rsidRPr="00720217" w:rsidRDefault="00720217" w:rsidP="00720217">
            <w:pPr>
              <w:jc w:val="center"/>
              <w:rPr>
                <w:rFonts w:ascii="Arial" w:hAnsi="Arial" w:cs="Arial"/>
              </w:rPr>
            </w:pPr>
            <w:r w:rsidRPr="00720217">
              <w:rPr>
                <w:rFonts w:ascii="Arial" w:hAnsi="Arial" w:cs="Arial"/>
                <w:color w:val="000000"/>
              </w:rPr>
              <w:t>20</w:t>
            </w:r>
          </w:p>
        </w:tc>
        <w:tc>
          <w:tcPr>
            <w:tcW w:w="709" w:type="dxa"/>
            <w:tcMar>
              <w:top w:w="0" w:type="dxa"/>
              <w:left w:w="70" w:type="dxa"/>
              <w:bottom w:w="0" w:type="dxa"/>
              <w:right w:w="70" w:type="dxa"/>
            </w:tcMar>
            <w:vAlign w:val="bottom"/>
            <w:hideMark/>
          </w:tcPr>
          <w:p w14:paraId="3588C284" w14:textId="77777777" w:rsidR="00720217" w:rsidRPr="00720217" w:rsidRDefault="00720217" w:rsidP="00720217">
            <w:pPr>
              <w:jc w:val="center"/>
              <w:rPr>
                <w:rFonts w:ascii="Arial" w:hAnsi="Arial" w:cs="Arial"/>
              </w:rPr>
            </w:pPr>
            <w:r w:rsidRPr="00720217">
              <w:rPr>
                <w:rFonts w:ascii="Arial" w:hAnsi="Arial" w:cs="Arial"/>
                <w:color w:val="000000"/>
              </w:rPr>
              <w:t>7,0</w:t>
            </w:r>
          </w:p>
        </w:tc>
        <w:tc>
          <w:tcPr>
            <w:tcW w:w="709" w:type="dxa"/>
            <w:tcMar>
              <w:top w:w="0" w:type="dxa"/>
              <w:left w:w="70" w:type="dxa"/>
              <w:bottom w:w="0" w:type="dxa"/>
              <w:right w:w="70" w:type="dxa"/>
            </w:tcMar>
            <w:vAlign w:val="bottom"/>
            <w:hideMark/>
          </w:tcPr>
          <w:p w14:paraId="5A9B0889" w14:textId="77777777" w:rsidR="00720217" w:rsidRPr="00720217" w:rsidRDefault="00720217" w:rsidP="00720217">
            <w:pPr>
              <w:jc w:val="center"/>
              <w:rPr>
                <w:rFonts w:ascii="Arial" w:hAnsi="Arial" w:cs="Arial"/>
              </w:rPr>
            </w:pPr>
            <w:r w:rsidRPr="00720217">
              <w:rPr>
                <w:rFonts w:ascii="Arial" w:hAnsi="Arial" w:cs="Arial"/>
                <w:color w:val="000000"/>
              </w:rPr>
              <w:t>43</w:t>
            </w:r>
          </w:p>
        </w:tc>
        <w:tc>
          <w:tcPr>
            <w:tcW w:w="709" w:type="dxa"/>
            <w:tcMar>
              <w:top w:w="0" w:type="dxa"/>
              <w:left w:w="70" w:type="dxa"/>
              <w:bottom w:w="0" w:type="dxa"/>
              <w:right w:w="70" w:type="dxa"/>
            </w:tcMar>
            <w:vAlign w:val="bottom"/>
            <w:hideMark/>
          </w:tcPr>
          <w:p w14:paraId="08A34DA9" w14:textId="77777777" w:rsidR="00720217" w:rsidRPr="00720217" w:rsidRDefault="00720217" w:rsidP="00720217">
            <w:pPr>
              <w:jc w:val="center"/>
              <w:rPr>
                <w:rFonts w:ascii="Arial" w:hAnsi="Arial" w:cs="Arial"/>
              </w:rPr>
            </w:pPr>
            <w:r w:rsidRPr="00720217">
              <w:rPr>
                <w:rFonts w:ascii="Arial" w:hAnsi="Arial" w:cs="Arial"/>
                <w:color w:val="000000"/>
              </w:rPr>
              <w:t>15,1</w:t>
            </w:r>
          </w:p>
        </w:tc>
        <w:tc>
          <w:tcPr>
            <w:tcW w:w="850" w:type="dxa"/>
            <w:tcMar>
              <w:top w:w="0" w:type="dxa"/>
              <w:left w:w="70" w:type="dxa"/>
              <w:bottom w:w="0" w:type="dxa"/>
              <w:right w:w="70" w:type="dxa"/>
            </w:tcMar>
            <w:vAlign w:val="bottom"/>
            <w:hideMark/>
          </w:tcPr>
          <w:p w14:paraId="7BE6F05B" w14:textId="77777777" w:rsidR="00720217" w:rsidRPr="00720217" w:rsidRDefault="00720217" w:rsidP="00720217">
            <w:pPr>
              <w:jc w:val="center"/>
              <w:rPr>
                <w:rFonts w:ascii="Arial" w:hAnsi="Arial" w:cs="Arial"/>
              </w:rPr>
            </w:pPr>
            <w:r w:rsidRPr="00720217">
              <w:rPr>
                <w:rFonts w:ascii="Arial" w:hAnsi="Arial" w:cs="Arial"/>
                <w:color w:val="000000"/>
              </w:rPr>
              <w:t>9</w:t>
            </w:r>
          </w:p>
        </w:tc>
        <w:tc>
          <w:tcPr>
            <w:tcW w:w="425" w:type="dxa"/>
            <w:tcMar>
              <w:top w:w="0" w:type="dxa"/>
              <w:left w:w="70" w:type="dxa"/>
              <w:bottom w:w="0" w:type="dxa"/>
              <w:right w:w="70" w:type="dxa"/>
            </w:tcMar>
            <w:vAlign w:val="bottom"/>
            <w:hideMark/>
          </w:tcPr>
          <w:p w14:paraId="659FDA74" w14:textId="77777777" w:rsidR="00720217" w:rsidRPr="00720217" w:rsidRDefault="00720217" w:rsidP="00720217">
            <w:pPr>
              <w:jc w:val="center"/>
              <w:rPr>
                <w:rFonts w:ascii="Arial" w:hAnsi="Arial" w:cs="Arial"/>
              </w:rPr>
            </w:pPr>
            <w:r w:rsidRPr="00720217">
              <w:rPr>
                <w:rFonts w:ascii="Arial" w:hAnsi="Arial" w:cs="Arial"/>
                <w:color w:val="000000"/>
              </w:rPr>
              <w:t>3,2</w:t>
            </w:r>
          </w:p>
        </w:tc>
        <w:tc>
          <w:tcPr>
            <w:tcW w:w="2127" w:type="dxa"/>
            <w:vMerge/>
            <w:vAlign w:val="center"/>
            <w:hideMark/>
          </w:tcPr>
          <w:p w14:paraId="408C76AC" w14:textId="77777777" w:rsidR="00720217" w:rsidRPr="00720217" w:rsidRDefault="00720217" w:rsidP="00720217">
            <w:pPr>
              <w:rPr>
                <w:rFonts w:ascii="Arial" w:hAnsi="Arial" w:cs="Arial"/>
                <w:color w:val="000000"/>
              </w:rPr>
            </w:pPr>
          </w:p>
        </w:tc>
      </w:tr>
      <w:tr w:rsidR="00720217" w:rsidRPr="00720217" w14:paraId="1FEDFC80" w14:textId="77777777" w:rsidTr="00720217">
        <w:trPr>
          <w:trHeight w:val="315"/>
        </w:trPr>
        <w:tc>
          <w:tcPr>
            <w:tcW w:w="2342" w:type="dxa"/>
            <w:tcMar>
              <w:top w:w="0" w:type="dxa"/>
              <w:left w:w="70" w:type="dxa"/>
              <w:bottom w:w="0" w:type="dxa"/>
              <w:right w:w="70" w:type="dxa"/>
            </w:tcMar>
            <w:hideMark/>
          </w:tcPr>
          <w:p w14:paraId="1E763144" w14:textId="77777777" w:rsidR="00720217" w:rsidRPr="00720217" w:rsidRDefault="00720217" w:rsidP="00720217">
            <w:pPr>
              <w:rPr>
                <w:rFonts w:ascii="Arial" w:hAnsi="Arial" w:cs="Arial"/>
                <w:b/>
              </w:rPr>
            </w:pPr>
            <w:r w:rsidRPr="00720217">
              <w:rPr>
                <w:rFonts w:ascii="Arial" w:hAnsi="Arial" w:cs="Arial"/>
                <w:b/>
              </w:rPr>
              <w:t>Non-invasive ventilation</w:t>
            </w:r>
          </w:p>
        </w:tc>
        <w:tc>
          <w:tcPr>
            <w:tcW w:w="633" w:type="dxa"/>
            <w:tcMar>
              <w:top w:w="0" w:type="dxa"/>
              <w:left w:w="70" w:type="dxa"/>
              <w:bottom w:w="0" w:type="dxa"/>
              <w:right w:w="70" w:type="dxa"/>
            </w:tcMar>
            <w:vAlign w:val="bottom"/>
          </w:tcPr>
          <w:p w14:paraId="374CD106"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18FBAC6C"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0A126B87"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7FB3C7AC" w14:textId="77777777" w:rsidR="00720217" w:rsidRPr="00720217" w:rsidRDefault="00720217" w:rsidP="00720217">
            <w:pPr>
              <w:rPr>
                <w:rFonts w:ascii="Arial" w:hAnsi="Arial" w:cs="Arial"/>
              </w:rPr>
            </w:pPr>
          </w:p>
        </w:tc>
        <w:tc>
          <w:tcPr>
            <w:tcW w:w="850" w:type="dxa"/>
            <w:tcMar>
              <w:top w:w="0" w:type="dxa"/>
              <w:left w:w="70" w:type="dxa"/>
              <w:bottom w:w="0" w:type="dxa"/>
              <w:right w:w="70" w:type="dxa"/>
            </w:tcMar>
            <w:vAlign w:val="bottom"/>
          </w:tcPr>
          <w:p w14:paraId="2F000314" w14:textId="77777777" w:rsidR="00720217" w:rsidRPr="00720217" w:rsidRDefault="00720217" w:rsidP="00720217">
            <w:pPr>
              <w:rPr>
                <w:rFonts w:ascii="Arial" w:hAnsi="Arial" w:cs="Arial"/>
              </w:rPr>
            </w:pPr>
          </w:p>
        </w:tc>
        <w:tc>
          <w:tcPr>
            <w:tcW w:w="425" w:type="dxa"/>
            <w:tcMar>
              <w:top w:w="0" w:type="dxa"/>
              <w:left w:w="70" w:type="dxa"/>
              <w:bottom w:w="0" w:type="dxa"/>
              <w:right w:w="70" w:type="dxa"/>
            </w:tcMar>
            <w:vAlign w:val="bottom"/>
          </w:tcPr>
          <w:p w14:paraId="2E82D7D4" w14:textId="77777777" w:rsidR="00720217" w:rsidRPr="00720217" w:rsidRDefault="00720217" w:rsidP="00720217">
            <w:pPr>
              <w:rPr>
                <w:rFonts w:ascii="Arial" w:hAnsi="Arial" w:cs="Arial"/>
              </w:rPr>
            </w:pPr>
          </w:p>
        </w:tc>
        <w:tc>
          <w:tcPr>
            <w:tcW w:w="2127" w:type="dxa"/>
            <w:tcMar>
              <w:top w:w="0" w:type="dxa"/>
              <w:left w:w="70" w:type="dxa"/>
              <w:bottom w:w="0" w:type="dxa"/>
              <w:right w:w="70" w:type="dxa"/>
            </w:tcMar>
            <w:vAlign w:val="bottom"/>
          </w:tcPr>
          <w:p w14:paraId="6C9EB761" w14:textId="77777777" w:rsidR="00720217" w:rsidRPr="00720217" w:rsidRDefault="00720217" w:rsidP="00720217">
            <w:pPr>
              <w:rPr>
                <w:rFonts w:ascii="Arial" w:hAnsi="Arial" w:cs="Arial"/>
              </w:rPr>
            </w:pPr>
          </w:p>
        </w:tc>
      </w:tr>
      <w:tr w:rsidR="00720217" w:rsidRPr="00720217" w14:paraId="3182C150" w14:textId="77777777" w:rsidTr="00720217">
        <w:trPr>
          <w:trHeight w:val="315"/>
        </w:trPr>
        <w:tc>
          <w:tcPr>
            <w:tcW w:w="2342" w:type="dxa"/>
            <w:tcMar>
              <w:top w:w="0" w:type="dxa"/>
              <w:left w:w="70" w:type="dxa"/>
              <w:bottom w:w="0" w:type="dxa"/>
              <w:right w:w="70" w:type="dxa"/>
            </w:tcMar>
            <w:hideMark/>
          </w:tcPr>
          <w:p w14:paraId="07FC8283" w14:textId="77777777" w:rsidR="00720217" w:rsidRPr="00720217" w:rsidRDefault="00720217" w:rsidP="00720217">
            <w:pPr>
              <w:rPr>
                <w:rFonts w:ascii="Arial" w:hAnsi="Arial" w:cs="Arial"/>
              </w:rPr>
            </w:pPr>
            <w:r w:rsidRPr="00720217">
              <w:rPr>
                <w:rFonts w:ascii="Arial" w:hAnsi="Arial" w:cs="Arial"/>
              </w:rPr>
              <w:t>Yes</w:t>
            </w:r>
          </w:p>
        </w:tc>
        <w:tc>
          <w:tcPr>
            <w:tcW w:w="633" w:type="dxa"/>
            <w:tcMar>
              <w:top w:w="0" w:type="dxa"/>
              <w:left w:w="70" w:type="dxa"/>
              <w:bottom w:w="0" w:type="dxa"/>
              <w:right w:w="70" w:type="dxa"/>
            </w:tcMar>
            <w:vAlign w:val="bottom"/>
            <w:hideMark/>
          </w:tcPr>
          <w:p w14:paraId="7D277E0E" w14:textId="77777777" w:rsidR="00720217" w:rsidRPr="00720217" w:rsidRDefault="00720217" w:rsidP="00720217">
            <w:pPr>
              <w:jc w:val="center"/>
              <w:rPr>
                <w:rFonts w:ascii="Arial" w:hAnsi="Arial" w:cs="Arial"/>
              </w:rPr>
            </w:pPr>
            <w:r w:rsidRPr="00720217">
              <w:rPr>
                <w:rFonts w:ascii="Arial" w:hAnsi="Arial" w:cs="Arial"/>
                <w:color w:val="000000"/>
              </w:rPr>
              <w:t>61</w:t>
            </w:r>
          </w:p>
        </w:tc>
        <w:tc>
          <w:tcPr>
            <w:tcW w:w="709" w:type="dxa"/>
            <w:tcMar>
              <w:top w:w="0" w:type="dxa"/>
              <w:left w:w="70" w:type="dxa"/>
              <w:bottom w:w="0" w:type="dxa"/>
              <w:right w:w="70" w:type="dxa"/>
            </w:tcMar>
            <w:vAlign w:val="bottom"/>
            <w:hideMark/>
          </w:tcPr>
          <w:p w14:paraId="6F1BCE34" w14:textId="77777777" w:rsidR="00720217" w:rsidRPr="00720217" w:rsidRDefault="00720217" w:rsidP="00720217">
            <w:pPr>
              <w:jc w:val="center"/>
              <w:rPr>
                <w:rFonts w:ascii="Arial" w:hAnsi="Arial" w:cs="Arial"/>
              </w:rPr>
            </w:pPr>
            <w:r w:rsidRPr="00720217">
              <w:rPr>
                <w:rFonts w:ascii="Arial" w:hAnsi="Arial" w:cs="Arial"/>
                <w:color w:val="000000"/>
              </w:rPr>
              <w:t>21,4</w:t>
            </w:r>
          </w:p>
        </w:tc>
        <w:tc>
          <w:tcPr>
            <w:tcW w:w="709" w:type="dxa"/>
            <w:tcMar>
              <w:top w:w="0" w:type="dxa"/>
              <w:left w:w="70" w:type="dxa"/>
              <w:bottom w:w="0" w:type="dxa"/>
              <w:right w:w="70" w:type="dxa"/>
            </w:tcMar>
            <w:vAlign w:val="bottom"/>
            <w:hideMark/>
          </w:tcPr>
          <w:p w14:paraId="18C2891E" w14:textId="77777777" w:rsidR="00720217" w:rsidRPr="00720217" w:rsidRDefault="00720217" w:rsidP="00720217">
            <w:pPr>
              <w:jc w:val="center"/>
              <w:rPr>
                <w:rFonts w:ascii="Arial" w:hAnsi="Arial" w:cs="Arial"/>
              </w:rPr>
            </w:pPr>
            <w:r w:rsidRPr="00720217">
              <w:rPr>
                <w:rFonts w:ascii="Arial" w:hAnsi="Arial" w:cs="Arial"/>
                <w:color w:val="000000"/>
              </w:rPr>
              <w:t>52</w:t>
            </w:r>
          </w:p>
        </w:tc>
        <w:tc>
          <w:tcPr>
            <w:tcW w:w="709" w:type="dxa"/>
            <w:tcMar>
              <w:top w:w="0" w:type="dxa"/>
              <w:left w:w="70" w:type="dxa"/>
              <w:bottom w:w="0" w:type="dxa"/>
              <w:right w:w="70" w:type="dxa"/>
            </w:tcMar>
            <w:vAlign w:val="bottom"/>
            <w:hideMark/>
          </w:tcPr>
          <w:p w14:paraId="7A1310D9" w14:textId="77777777" w:rsidR="00720217" w:rsidRPr="00720217" w:rsidRDefault="00720217" w:rsidP="00720217">
            <w:pPr>
              <w:jc w:val="center"/>
              <w:rPr>
                <w:rFonts w:ascii="Arial" w:hAnsi="Arial" w:cs="Arial"/>
              </w:rPr>
            </w:pPr>
            <w:r w:rsidRPr="00720217">
              <w:rPr>
                <w:rFonts w:ascii="Arial" w:hAnsi="Arial" w:cs="Arial"/>
                <w:color w:val="000000"/>
              </w:rPr>
              <w:t>18,2</w:t>
            </w:r>
          </w:p>
        </w:tc>
        <w:tc>
          <w:tcPr>
            <w:tcW w:w="850" w:type="dxa"/>
            <w:tcMar>
              <w:top w:w="0" w:type="dxa"/>
              <w:left w:w="70" w:type="dxa"/>
              <w:bottom w:w="0" w:type="dxa"/>
              <w:right w:w="70" w:type="dxa"/>
            </w:tcMar>
            <w:vAlign w:val="bottom"/>
            <w:hideMark/>
          </w:tcPr>
          <w:p w14:paraId="487A4393" w14:textId="77777777" w:rsidR="00720217" w:rsidRPr="00720217" w:rsidRDefault="00720217" w:rsidP="00720217">
            <w:pPr>
              <w:jc w:val="center"/>
              <w:rPr>
                <w:rFonts w:ascii="Arial" w:hAnsi="Arial" w:cs="Arial"/>
              </w:rPr>
            </w:pPr>
            <w:r w:rsidRPr="00720217">
              <w:rPr>
                <w:rFonts w:ascii="Arial" w:hAnsi="Arial" w:cs="Arial"/>
                <w:color w:val="000000"/>
              </w:rPr>
              <w:t>12</w:t>
            </w:r>
          </w:p>
        </w:tc>
        <w:tc>
          <w:tcPr>
            <w:tcW w:w="425" w:type="dxa"/>
            <w:tcMar>
              <w:top w:w="0" w:type="dxa"/>
              <w:left w:w="70" w:type="dxa"/>
              <w:bottom w:w="0" w:type="dxa"/>
              <w:right w:w="70" w:type="dxa"/>
            </w:tcMar>
            <w:vAlign w:val="bottom"/>
            <w:hideMark/>
          </w:tcPr>
          <w:p w14:paraId="157F4A3A" w14:textId="77777777" w:rsidR="00720217" w:rsidRPr="00720217" w:rsidRDefault="00720217" w:rsidP="00720217">
            <w:pPr>
              <w:jc w:val="center"/>
              <w:rPr>
                <w:rFonts w:ascii="Arial" w:hAnsi="Arial" w:cs="Arial"/>
              </w:rPr>
            </w:pPr>
            <w:r w:rsidRPr="00720217">
              <w:rPr>
                <w:rFonts w:ascii="Arial" w:hAnsi="Arial" w:cs="Arial"/>
                <w:color w:val="000000"/>
              </w:rPr>
              <w:t>4,2</w:t>
            </w:r>
          </w:p>
        </w:tc>
        <w:tc>
          <w:tcPr>
            <w:tcW w:w="2127" w:type="dxa"/>
            <w:vMerge w:val="restart"/>
            <w:tcMar>
              <w:top w:w="0" w:type="dxa"/>
              <w:left w:w="70" w:type="dxa"/>
              <w:bottom w:w="0" w:type="dxa"/>
              <w:right w:w="70" w:type="dxa"/>
            </w:tcMar>
            <w:vAlign w:val="center"/>
            <w:hideMark/>
          </w:tcPr>
          <w:p w14:paraId="4F4F5528" w14:textId="77777777" w:rsidR="00720217" w:rsidRPr="00720217" w:rsidRDefault="00720217" w:rsidP="00720217">
            <w:pPr>
              <w:jc w:val="center"/>
              <w:rPr>
                <w:rFonts w:ascii="Arial" w:hAnsi="Arial" w:cs="Arial"/>
                <w:color w:val="000000"/>
              </w:rPr>
            </w:pPr>
            <w:r w:rsidRPr="00720217">
              <w:rPr>
                <w:rFonts w:ascii="Arial" w:hAnsi="Arial" w:cs="Arial"/>
                <w:color w:val="000000"/>
              </w:rPr>
              <w:t>X</w:t>
            </w:r>
            <w:r w:rsidRPr="00720217">
              <w:rPr>
                <w:rFonts w:ascii="Arial" w:hAnsi="Arial" w:cs="Arial"/>
                <w:color w:val="000000"/>
                <w:vertAlign w:val="superscript"/>
              </w:rPr>
              <w:t>2</w:t>
            </w:r>
            <w:r w:rsidRPr="00720217">
              <w:rPr>
                <w:rFonts w:ascii="Arial" w:hAnsi="Arial" w:cs="Arial"/>
                <w:color w:val="000000"/>
              </w:rPr>
              <w:t>= 15,071; p=0,001*</w:t>
            </w:r>
          </w:p>
        </w:tc>
      </w:tr>
      <w:tr w:rsidR="00720217" w:rsidRPr="00720217" w14:paraId="6B69DA27" w14:textId="77777777" w:rsidTr="00720217">
        <w:trPr>
          <w:trHeight w:val="315"/>
        </w:trPr>
        <w:tc>
          <w:tcPr>
            <w:tcW w:w="2342" w:type="dxa"/>
            <w:tcMar>
              <w:top w:w="0" w:type="dxa"/>
              <w:left w:w="70" w:type="dxa"/>
              <w:bottom w:w="0" w:type="dxa"/>
              <w:right w:w="70" w:type="dxa"/>
            </w:tcMar>
            <w:hideMark/>
          </w:tcPr>
          <w:p w14:paraId="003EF57B" w14:textId="77777777" w:rsidR="00720217" w:rsidRPr="00720217" w:rsidRDefault="00720217" w:rsidP="00720217">
            <w:pPr>
              <w:rPr>
                <w:rFonts w:ascii="Arial" w:hAnsi="Arial" w:cs="Arial"/>
              </w:rPr>
            </w:pPr>
            <w:r w:rsidRPr="00720217">
              <w:rPr>
                <w:rFonts w:ascii="Arial" w:hAnsi="Arial" w:cs="Arial"/>
              </w:rPr>
              <w:lastRenderedPageBreak/>
              <w:t>No</w:t>
            </w:r>
          </w:p>
        </w:tc>
        <w:tc>
          <w:tcPr>
            <w:tcW w:w="633" w:type="dxa"/>
            <w:tcMar>
              <w:top w:w="0" w:type="dxa"/>
              <w:left w:w="70" w:type="dxa"/>
              <w:bottom w:w="0" w:type="dxa"/>
              <w:right w:w="70" w:type="dxa"/>
            </w:tcMar>
            <w:vAlign w:val="bottom"/>
            <w:hideMark/>
          </w:tcPr>
          <w:p w14:paraId="0A5C13E1" w14:textId="77777777" w:rsidR="00720217" w:rsidRPr="00720217" w:rsidRDefault="00720217" w:rsidP="00720217">
            <w:pPr>
              <w:jc w:val="center"/>
              <w:rPr>
                <w:rFonts w:ascii="Arial" w:hAnsi="Arial" w:cs="Arial"/>
              </w:rPr>
            </w:pPr>
            <w:r w:rsidRPr="00720217">
              <w:rPr>
                <w:rFonts w:ascii="Arial" w:hAnsi="Arial" w:cs="Arial"/>
                <w:color w:val="000000"/>
              </w:rPr>
              <w:t>114</w:t>
            </w:r>
          </w:p>
        </w:tc>
        <w:tc>
          <w:tcPr>
            <w:tcW w:w="709" w:type="dxa"/>
            <w:tcMar>
              <w:top w:w="0" w:type="dxa"/>
              <w:left w:w="70" w:type="dxa"/>
              <w:bottom w:w="0" w:type="dxa"/>
              <w:right w:w="70" w:type="dxa"/>
            </w:tcMar>
            <w:vAlign w:val="bottom"/>
            <w:hideMark/>
          </w:tcPr>
          <w:p w14:paraId="097347F4" w14:textId="77777777" w:rsidR="00720217" w:rsidRPr="00720217" w:rsidRDefault="00720217" w:rsidP="00720217">
            <w:pPr>
              <w:jc w:val="center"/>
              <w:rPr>
                <w:rFonts w:ascii="Arial" w:hAnsi="Arial" w:cs="Arial"/>
              </w:rPr>
            </w:pPr>
            <w:r w:rsidRPr="00720217">
              <w:rPr>
                <w:rFonts w:ascii="Arial" w:hAnsi="Arial" w:cs="Arial"/>
                <w:color w:val="000000"/>
              </w:rPr>
              <w:t>40,0</w:t>
            </w:r>
          </w:p>
        </w:tc>
        <w:tc>
          <w:tcPr>
            <w:tcW w:w="709" w:type="dxa"/>
            <w:tcMar>
              <w:top w:w="0" w:type="dxa"/>
              <w:left w:w="70" w:type="dxa"/>
              <w:bottom w:w="0" w:type="dxa"/>
              <w:right w:w="70" w:type="dxa"/>
            </w:tcMar>
            <w:vAlign w:val="bottom"/>
            <w:hideMark/>
          </w:tcPr>
          <w:p w14:paraId="269C19C0" w14:textId="77777777" w:rsidR="00720217" w:rsidRPr="00720217" w:rsidRDefault="00720217" w:rsidP="00720217">
            <w:pPr>
              <w:jc w:val="center"/>
              <w:rPr>
                <w:rFonts w:ascii="Arial" w:hAnsi="Arial" w:cs="Arial"/>
              </w:rPr>
            </w:pPr>
            <w:r w:rsidRPr="00720217">
              <w:rPr>
                <w:rFonts w:ascii="Arial" w:hAnsi="Arial" w:cs="Arial"/>
                <w:color w:val="000000"/>
              </w:rPr>
              <w:t>36</w:t>
            </w:r>
          </w:p>
        </w:tc>
        <w:tc>
          <w:tcPr>
            <w:tcW w:w="709" w:type="dxa"/>
            <w:tcMar>
              <w:top w:w="0" w:type="dxa"/>
              <w:left w:w="70" w:type="dxa"/>
              <w:bottom w:w="0" w:type="dxa"/>
              <w:right w:w="70" w:type="dxa"/>
            </w:tcMar>
            <w:vAlign w:val="bottom"/>
            <w:hideMark/>
          </w:tcPr>
          <w:p w14:paraId="4D949539" w14:textId="77777777" w:rsidR="00720217" w:rsidRPr="00720217" w:rsidRDefault="00720217" w:rsidP="00720217">
            <w:pPr>
              <w:jc w:val="center"/>
              <w:rPr>
                <w:rFonts w:ascii="Arial" w:hAnsi="Arial" w:cs="Arial"/>
              </w:rPr>
            </w:pPr>
            <w:r w:rsidRPr="00720217">
              <w:rPr>
                <w:rFonts w:ascii="Arial" w:hAnsi="Arial" w:cs="Arial"/>
                <w:color w:val="000000"/>
              </w:rPr>
              <w:t>12,6</w:t>
            </w:r>
          </w:p>
        </w:tc>
        <w:tc>
          <w:tcPr>
            <w:tcW w:w="850" w:type="dxa"/>
            <w:tcMar>
              <w:top w:w="0" w:type="dxa"/>
              <w:left w:w="70" w:type="dxa"/>
              <w:bottom w:w="0" w:type="dxa"/>
              <w:right w:w="70" w:type="dxa"/>
            </w:tcMar>
            <w:vAlign w:val="bottom"/>
            <w:hideMark/>
          </w:tcPr>
          <w:p w14:paraId="582D80AD" w14:textId="77777777" w:rsidR="00720217" w:rsidRPr="00720217" w:rsidRDefault="00720217" w:rsidP="00720217">
            <w:pPr>
              <w:jc w:val="center"/>
              <w:rPr>
                <w:rFonts w:ascii="Arial" w:hAnsi="Arial" w:cs="Arial"/>
              </w:rPr>
            </w:pPr>
            <w:r w:rsidRPr="00720217">
              <w:rPr>
                <w:rFonts w:ascii="Arial" w:hAnsi="Arial" w:cs="Arial"/>
                <w:color w:val="000000"/>
              </w:rPr>
              <w:t>10</w:t>
            </w:r>
          </w:p>
        </w:tc>
        <w:tc>
          <w:tcPr>
            <w:tcW w:w="425" w:type="dxa"/>
            <w:tcMar>
              <w:top w:w="0" w:type="dxa"/>
              <w:left w:w="70" w:type="dxa"/>
              <w:bottom w:w="0" w:type="dxa"/>
              <w:right w:w="70" w:type="dxa"/>
            </w:tcMar>
            <w:vAlign w:val="bottom"/>
            <w:hideMark/>
          </w:tcPr>
          <w:p w14:paraId="64AE45EF" w14:textId="77777777" w:rsidR="00720217" w:rsidRPr="00720217" w:rsidRDefault="00720217" w:rsidP="00720217">
            <w:pPr>
              <w:jc w:val="center"/>
              <w:rPr>
                <w:rFonts w:ascii="Arial" w:hAnsi="Arial" w:cs="Arial"/>
              </w:rPr>
            </w:pPr>
            <w:r w:rsidRPr="00720217">
              <w:rPr>
                <w:rFonts w:ascii="Arial" w:hAnsi="Arial" w:cs="Arial"/>
                <w:color w:val="000000"/>
              </w:rPr>
              <w:t>3,5</w:t>
            </w:r>
          </w:p>
        </w:tc>
        <w:tc>
          <w:tcPr>
            <w:tcW w:w="2127" w:type="dxa"/>
            <w:vMerge/>
            <w:vAlign w:val="center"/>
            <w:hideMark/>
          </w:tcPr>
          <w:p w14:paraId="0CBDE0E8" w14:textId="77777777" w:rsidR="00720217" w:rsidRPr="00720217" w:rsidRDefault="00720217" w:rsidP="00720217">
            <w:pPr>
              <w:rPr>
                <w:rFonts w:ascii="Arial" w:hAnsi="Arial" w:cs="Arial"/>
                <w:color w:val="000000"/>
              </w:rPr>
            </w:pPr>
          </w:p>
        </w:tc>
      </w:tr>
      <w:tr w:rsidR="00720217" w:rsidRPr="00720217" w14:paraId="59F79ED4" w14:textId="77777777" w:rsidTr="00720217">
        <w:trPr>
          <w:trHeight w:val="315"/>
        </w:trPr>
        <w:tc>
          <w:tcPr>
            <w:tcW w:w="2342" w:type="dxa"/>
            <w:tcMar>
              <w:top w:w="0" w:type="dxa"/>
              <w:left w:w="70" w:type="dxa"/>
              <w:bottom w:w="0" w:type="dxa"/>
              <w:right w:w="70" w:type="dxa"/>
            </w:tcMar>
            <w:hideMark/>
          </w:tcPr>
          <w:p w14:paraId="56E2FB02" w14:textId="77777777" w:rsidR="00720217" w:rsidRPr="00720217" w:rsidRDefault="00720217" w:rsidP="00720217">
            <w:pPr>
              <w:rPr>
                <w:rFonts w:ascii="Arial" w:hAnsi="Arial" w:cs="Arial"/>
                <w:b/>
              </w:rPr>
            </w:pPr>
            <w:r w:rsidRPr="00720217">
              <w:rPr>
                <w:rFonts w:ascii="Arial" w:hAnsi="Arial" w:cs="Arial"/>
                <w:b/>
              </w:rPr>
              <w:t xml:space="preserve">Orotracheal intubation </w:t>
            </w:r>
          </w:p>
        </w:tc>
        <w:tc>
          <w:tcPr>
            <w:tcW w:w="633" w:type="dxa"/>
            <w:tcMar>
              <w:top w:w="0" w:type="dxa"/>
              <w:left w:w="70" w:type="dxa"/>
              <w:bottom w:w="0" w:type="dxa"/>
              <w:right w:w="70" w:type="dxa"/>
            </w:tcMar>
            <w:vAlign w:val="bottom"/>
          </w:tcPr>
          <w:p w14:paraId="5CC46AD8"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7643C89E"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217441AC"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04082919" w14:textId="77777777" w:rsidR="00720217" w:rsidRPr="00720217" w:rsidRDefault="00720217" w:rsidP="00720217">
            <w:pPr>
              <w:rPr>
                <w:rFonts w:ascii="Arial" w:hAnsi="Arial" w:cs="Arial"/>
              </w:rPr>
            </w:pPr>
          </w:p>
        </w:tc>
        <w:tc>
          <w:tcPr>
            <w:tcW w:w="850" w:type="dxa"/>
            <w:tcMar>
              <w:top w:w="0" w:type="dxa"/>
              <w:left w:w="70" w:type="dxa"/>
              <w:bottom w:w="0" w:type="dxa"/>
              <w:right w:w="70" w:type="dxa"/>
            </w:tcMar>
            <w:vAlign w:val="bottom"/>
          </w:tcPr>
          <w:p w14:paraId="481D4DBE" w14:textId="77777777" w:rsidR="00720217" w:rsidRPr="00720217" w:rsidRDefault="00720217" w:rsidP="00720217">
            <w:pPr>
              <w:rPr>
                <w:rFonts w:ascii="Arial" w:hAnsi="Arial" w:cs="Arial"/>
              </w:rPr>
            </w:pPr>
          </w:p>
        </w:tc>
        <w:tc>
          <w:tcPr>
            <w:tcW w:w="425" w:type="dxa"/>
            <w:tcMar>
              <w:top w:w="0" w:type="dxa"/>
              <w:left w:w="70" w:type="dxa"/>
              <w:bottom w:w="0" w:type="dxa"/>
              <w:right w:w="70" w:type="dxa"/>
            </w:tcMar>
            <w:vAlign w:val="bottom"/>
          </w:tcPr>
          <w:p w14:paraId="273C4B91" w14:textId="77777777" w:rsidR="00720217" w:rsidRPr="00720217" w:rsidRDefault="00720217" w:rsidP="00720217">
            <w:pPr>
              <w:rPr>
                <w:rFonts w:ascii="Arial" w:hAnsi="Arial" w:cs="Arial"/>
              </w:rPr>
            </w:pPr>
          </w:p>
        </w:tc>
        <w:tc>
          <w:tcPr>
            <w:tcW w:w="2127" w:type="dxa"/>
            <w:tcMar>
              <w:top w:w="0" w:type="dxa"/>
              <w:left w:w="70" w:type="dxa"/>
              <w:bottom w:w="0" w:type="dxa"/>
              <w:right w:w="70" w:type="dxa"/>
            </w:tcMar>
            <w:vAlign w:val="bottom"/>
          </w:tcPr>
          <w:p w14:paraId="4F2BAF79" w14:textId="77777777" w:rsidR="00720217" w:rsidRPr="00720217" w:rsidRDefault="00720217" w:rsidP="00720217">
            <w:pPr>
              <w:rPr>
                <w:rFonts w:ascii="Arial" w:hAnsi="Arial" w:cs="Arial"/>
              </w:rPr>
            </w:pPr>
          </w:p>
        </w:tc>
      </w:tr>
      <w:tr w:rsidR="00720217" w:rsidRPr="00720217" w14:paraId="4B15A1E9" w14:textId="77777777" w:rsidTr="00720217">
        <w:trPr>
          <w:trHeight w:val="317"/>
        </w:trPr>
        <w:tc>
          <w:tcPr>
            <w:tcW w:w="2342" w:type="dxa"/>
            <w:tcMar>
              <w:top w:w="0" w:type="dxa"/>
              <w:left w:w="70" w:type="dxa"/>
              <w:bottom w:w="0" w:type="dxa"/>
              <w:right w:w="70" w:type="dxa"/>
            </w:tcMar>
            <w:hideMark/>
          </w:tcPr>
          <w:p w14:paraId="0B951E1C" w14:textId="77777777" w:rsidR="00720217" w:rsidRPr="00720217" w:rsidRDefault="00720217" w:rsidP="00720217">
            <w:pPr>
              <w:rPr>
                <w:rFonts w:ascii="Arial" w:hAnsi="Arial" w:cs="Arial"/>
              </w:rPr>
            </w:pPr>
            <w:r w:rsidRPr="00720217">
              <w:rPr>
                <w:rFonts w:ascii="Arial" w:hAnsi="Arial" w:cs="Arial"/>
              </w:rPr>
              <w:t>Yes</w:t>
            </w:r>
          </w:p>
        </w:tc>
        <w:tc>
          <w:tcPr>
            <w:tcW w:w="633" w:type="dxa"/>
            <w:tcMar>
              <w:top w:w="0" w:type="dxa"/>
              <w:left w:w="70" w:type="dxa"/>
              <w:bottom w:w="0" w:type="dxa"/>
              <w:right w:w="70" w:type="dxa"/>
            </w:tcMar>
            <w:vAlign w:val="bottom"/>
            <w:hideMark/>
          </w:tcPr>
          <w:p w14:paraId="72B0CBA5" w14:textId="77777777" w:rsidR="00720217" w:rsidRPr="00720217" w:rsidRDefault="00720217" w:rsidP="00720217">
            <w:pPr>
              <w:jc w:val="center"/>
              <w:rPr>
                <w:rFonts w:ascii="Arial" w:hAnsi="Arial" w:cs="Arial"/>
              </w:rPr>
            </w:pPr>
            <w:r w:rsidRPr="00720217">
              <w:rPr>
                <w:rFonts w:ascii="Arial" w:hAnsi="Arial" w:cs="Arial"/>
                <w:color w:val="000000"/>
              </w:rPr>
              <w:t>18</w:t>
            </w:r>
          </w:p>
        </w:tc>
        <w:tc>
          <w:tcPr>
            <w:tcW w:w="709" w:type="dxa"/>
            <w:tcMar>
              <w:top w:w="0" w:type="dxa"/>
              <w:left w:w="70" w:type="dxa"/>
              <w:bottom w:w="0" w:type="dxa"/>
              <w:right w:w="70" w:type="dxa"/>
            </w:tcMar>
            <w:vAlign w:val="bottom"/>
            <w:hideMark/>
          </w:tcPr>
          <w:p w14:paraId="038170FB" w14:textId="77777777" w:rsidR="00720217" w:rsidRPr="00720217" w:rsidRDefault="00720217" w:rsidP="00720217">
            <w:pPr>
              <w:jc w:val="center"/>
              <w:rPr>
                <w:rFonts w:ascii="Arial" w:hAnsi="Arial" w:cs="Arial"/>
              </w:rPr>
            </w:pPr>
            <w:r w:rsidRPr="00720217">
              <w:rPr>
                <w:rFonts w:ascii="Arial" w:hAnsi="Arial" w:cs="Arial"/>
                <w:color w:val="000000"/>
              </w:rPr>
              <w:t>6,3</w:t>
            </w:r>
          </w:p>
        </w:tc>
        <w:tc>
          <w:tcPr>
            <w:tcW w:w="709" w:type="dxa"/>
            <w:tcMar>
              <w:top w:w="0" w:type="dxa"/>
              <w:left w:w="70" w:type="dxa"/>
              <w:bottom w:w="0" w:type="dxa"/>
              <w:right w:w="70" w:type="dxa"/>
            </w:tcMar>
            <w:vAlign w:val="bottom"/>
            <w:hideMark/>
          </w:tcPr>
          <w:p w14:paraId="17D8005D" w14:textId="77777777" w:rsidR="00720217" w:rsidRPr="00720217" w:rsidRDefault="00720217" w:rsidP="00720217">
            <w:pPr>
              <w:jc w:val="center"/>
              <w:rPr>
                <w:rFonts w:ascii="Arial" w:hAnsi="Arial" w:cs="Arial"/>
              </w:rPr>
            </w:pPr>
            <w:r w:rsidRPr="00720217">
              <w:rPr>
                <w:rFonts w:ascii="Arial" w:hAnsi="Arial" w:cs="Arial"/>
                <w:color w:val="000000"/>
              </w:rPr>
              <w:t>62</w:t>
            </w:r>
          </w:p>
        </w:tc>
        <w:tc>
          <w:tcPr>
            <w:tcW w:w="709" w:type="dxa"/>
            <w:tcMar>
              <w:top w:w="0" w:type="dxa"/>
              <w:left w:w="70" w:type="dxa"/>
              <w:bottom w:w="0" w:type="dxa"/>
              <w:right w:w="70" w:type="dxa"/>
            </w:tcMar>
            <w:vAlign w:val="bottom"/>
            <w:hideMark/>
          </w:tcPr>
          <w:p w14:paraId="5492A595" w14:textId="77777777" w:rsidR="00720217" w:rsidRPr="00720217" w:rsidRDefault="00720217" w:rsidP="00720217">
            <w:pPr>
              <w:jc w:val="center"/>
              <w:rPr>
                <w:rFonts w:ascii="Arial" w:hAnsi="Arial" w:cs="Arial"/>
              </w:rPr>
            </w:pPr>
            <w:r w:rsidRPr="00720217">
              <w:rPr>
                <w:rFonts w:ascii="Arial" w:hAnsi="Arial" w:cs="Arial"/>
                <w:color w:val="000000"/>
              </w:rPr>
              <w:t>21,8</w:t>
            </w:r>
          </w:p>
        </w:tc>
        <w:tc>
          <w:tcPr>
            <w:tcW w:w="850" w:type="dxa"/>
            <w:tcMar>
              <w:top w:w="0" w:type="dxa"/>
              <w:left w:w="70" w:type="dxa"/>
              <w:bottom w:w="0" w:type="dxa"/>
              <w:right w:w="70" w:type="dxa"/>
            </w:tcMar>
            <w:vAlign w:val="bottom"/>
            <w:hideMark/>
          </w:tcPr>
          <w:p w14:paraId="18E72F01" w14:textId="77777777" w:rsidR="00720217" w:rsidRPr="00720217" w:rsidRDefault="00720217" w:rsidP="00720217">
            <w:pPr>
              <w:jc w:val="center"/>
              <w:rPr>
                <w:rFonts w:ascii="Arial" w:hAnsi="Arial" w:cs="Arial"/>
              </w:rPr>
            </w:pPr>
            <w:r w:rsidRPr="00720217">
              <w:rPr>
                <w:rFonts w:ascii="Arial" w:hAnsi="Arial" w:cs="Arial"/>
                <w:color w:val="000000"/>
              </w:rPr>
              <w:t>10</w:t>
            </w:r>
          </w:p>
        </w:tc>
        <w:tc>
          <w:tcPr>
            <w:tcW w:w="425" w:type="dxa"/>
            <w:tcMar>
              <w:top w:w="0" w:type="dxa"/>
              <w:left w:w="70" w:type="dxa"/>
              <w:bottom w:w="0" w:type="dxa"/>
              <w:right w:w="70" w:type="dxa"/>
            </w:tcMar>
            <w:vAlign w:val="bottom"/>
            <w:hideMark/>
          </w:tcPr>
          <w:p w14:paraId="78030616" w14:textId="77777777" w:rsidR="00720217" w:rsidRPr="00720217" w:rsidRDefault="00720217" w:rsidP="00720217">
            <w:pPr>
              <w:jc w:val="center"/>
              <w:rPr>
                <w:rFonts w:ascii="Arial" w:hAnsi="Arial" w:cs="Arial"/>
              </w:rPr>
            </w:pPr>
            <w:r w:rsidRPr="00720217">
              <w:rPr>
                <w:rFonts w:ascii="Arial" w:hAnsi="Arial" w:cs="Arial"/>
                <w:color w:val="000000"/>
              </w:rPr>
              <w:t>3,5</w:t>
            </w:r>
          </w:p>
        </w:tc>
        <w:tc>
          <w:tcPr>
            <w:tcW w:w="2127" w:type="dxa"/>
            <w:vMerge w:val="restart"/>
            <w:tcMar>
              <w:top w:w="0" w:type="dxa"/>
              <w:left w:w="70" w:type="dxa"/>
              <w:bottom w:w="0" w:type="dxa"/>
              <w:right w:w="70" w:type="dxa"/>
            </w:tcMar>
            <w:vAlign w:val="center"/>
            <w:hideMark/>
          </w:tcPr>
          <w:p w14:paraId="270D7A32" w14:textId="77777777" w:rsidR="00720217" w:rsidRPr="00720217" w:rsidRDefault="00720217" w:rsidP="00720217">
            <w:pPr>
              <w:jc w:val="center"/>
              <w:rPr>
                <w:rFonts w:ascii="Arial" w:hAnsi="Arial" w:cs="Arial"/>
                <w:color w:val="000000"/>
              </w:rPr>
            </w:pPr>
            <w:r w:rsidRPr="00720217">
              <w:rPr>
                <w:rFonts w:ascii="Arial" w:hAnsi="Arial" w:cs="Arial"/>
                <w:color w:val="000000"/>
              </w:rPr>
              <w:t>X</w:t>
            </w:r>
            <w:r w:rsidRPr="00720217">
              <w:rPr>
                <w:rFonts w:ascii="Arial" w:hAnsi="Arial" w:cs="Arial"/>
                <w:color w:val="000000"/>
                <w:vertAlign w:val="superscript"/>
              </w:rPr>
              <w:t>2</w:t>
            </w:r>
            <w:r w:rsidRPr="00720217">
              <w:rPr>
                <w:rFonts w:ascii="Arial" w:hAnsi="Arial" w:cs="Arial"/>
                <w:color w:val="000000"/>
              </w:rPr>
              <w:t>= 100,236; p=0,000*</w:t>
            </w:r>
          </w:p>
        </w:tc>
      </w:tr>
      <w:tr w:rsidR="00720217" w:rsidRPr="00720217" w14:paraId="55F45302" w14:textId="77777777" w:rsidTr="00720217">
        <w:trPr>
          <w:trHeight w:val="300"/>
        </w:trPr>
        <w:tc>
          <w:tcPr>
            <w:tcW w:w="2342" w:type="dxa"/>
            <w:tcMar>
              <w:top w:w="0" w:type="dxa"/>
              <w:left w:w="70" w:type="dxa"/>
              <w:bottom w:w="0" w:type="dxa"/>
              <w:right w:w="70" w:type="dxa"/>
            </w:tcMar>
            <w:hideMark/>
          </w:tcPr>
          <w:p w14:paraId="17F14801" w14:textId="77777777" w:rsidR="00720217" w:rsidRPr="00720217" w:rsidRDefault="00720217" w:rsidP="00720217">
            <w:pPr>
              <w:rPr>
                <w:rFonts w:ascii="Arial" w:hAnsi="Arial" w:cs="Arial"/>
              </w:rPr>
            </w:pPr>
            <w:r w:rsidRPr="00720217">
              <w:rPr>
                <w:rFonts w:ascii="Arial" w:hAnsi="Arial" w:cs="Arial"/>
              </w:rPr>
              <w:t>No</w:t>
            </w:r>
          </w:p>
        </w:tc>
        <w:tc>
          <w:tcPr>
            <w:tcW w:w="633" w:type="dxa"/>
            <w:tcMar>
              <w:top w:w="0" w:type="dxa"/>
              <w:left w:w="70" w:type="dxa"/>
              <w:bottom w:w="0" w:type="dxa"/>
              <w:right w:w="70" w:type="dxa"/>
            </w:tcMar>
            <w:vAlign w:val="bottom"/>
            <w:hideMark/>
          </w:tcPr>
          <w:p w14:paraId="1E641878" w14:textId="77777777" w:rsidR="00720217" w:rsidRPr="00720217" w:rsidRDefault="00720217" w:rsidP="00720217">
            <w:pPr>
              <w:jc w:val="center"/>
              <w:rPr>
                <w:rFonts w:ascii="Arial" w:hAnsi="Arial" w:cs="Arial"/>
              </w:rPr>
            </w:pPr>
            <w:r w:rsidRPr="00720217">
              <w:rPr>
                <w:rFonts w:ascii="Arial" w:hAnsi="Arial" w:cs="Arial"/>
                <w:color w:val="000000"/>
              </w:rPr>
              <w:t>157</w:t>
            </w:r>
          </w:p>
        </w:tc>
        <w:tc>
          <w:tcPr>
            <w:tcW w:w="709" w:type="dxa"/>
            <w:tcMar>
              <w:top w:w="0" w:type="dxa"/>
              <w:left w:w="70" w:type="dxa"/>
              <w:bottom w:w="0" w:type="dxa"/>
              <w:right w:w="70" w:type="dxa"/>
            </w:tcMar>
            <w:vAlign w:val="bottom"/>
            <w:hideMark/>
          </w:tcPr>
          <w:p w14:paraId="010B7FBA" w14:textId="77777777" w:rsidR="00720217" w:rsidRPr="00720217" w:rsidRDefault="00720217" w:rsidP="00720217">
            <w:pPr>
              <w:jc w:val="center"/>
              <w:rPr>
                <w:rFonts w:ascii="Arial" w:hAnsi="Arial" w:cs="Arial"/>
              </w:rPr>
            </w:pPr>
            <w:r w:rsidRPr="00720217">
              <w:rPr>
                <w:rFonts w:ascii="Arial" w:hAnsi="Arial" w:cs="Arial"/>
                <w:color w:val="000000"/>
              </w:rPr>
              <w:t>55,1</w:t>
            </w:r>
          </w:p>
        </w:tc>
        <w:tc>
          <w:tcPr>
            <w:tcW w:w="709" w:type="dxa"/>
            <w:tcMar>
              <w:top w:w="0" w:type="dxa"/>
              <w:left w:w="70" w:type="dxa"/>
              <w:bottom w:w="0" w:type="dxa"/>
              <w:right w:w="70" w:type="dxa"/>
            </w:tcMar>
            <w:vAlign w:val="bottom"/>
            <w:hideMark/>
          </w:tcPr>
          <w:p w14:paraId="312FA4AA" w14:textId="77777777" w:rsidR="00720217" w:rsidRPr="00720217" w:rsidRDefault="00720217" w:rsidP="00720217">
            <w:pPr>
              <w:jc w:val="center"/>
              <w:rPr>
                <w:rFonts w:ascii="Arial" w:hAnsi="Arial" w:cs="Arial"/>
              </w:rPr>
            </w:pPr>
            <w:r w:rsidRPr="00720217">
              <w:rPr>
                <w:rFonts w:ascii="Arial" w:hAnsi="Arial" w:cs="Arial"/>
                <w:color w:val="000000"/>
              </w:rPr>
              <w:t>26</w:t>
            </w:r>
          </w:p>
        </w:tc>
        <w:tc>
          <w:tcPr>
            <w:tcW w:w="709" w:type="dxa"/>
            <w:tcMar>
              <w:top w:w="0" w:type="dxa"/>
              <w:left w:w="70" w:type="dxa"/>
              <w:bottom w:w="0" w:type="dxa"/>
              <w:right w:w="70" w:type="dxa"/>
            </w:tcMar>
            <w:vAlign w:val="bottom"/>
            <w:hideMark/>
          </w:tcPr>
          <w:p w14:paraId="0BCCDA0A" w14:textId="77777777" w:rsidR="00720217" w:rsidRPr="00720217" w:rsidRDefault="00720217" w:rsidP="00720217">
            <w:pPr>
              <w:jc w:val="center"/>
              <w:rPr>
                <w:rFonts w:ascii="Arial" w:hAnsi="Arial" w:cs="Arial"/>
              </w:rPr>
            </w:pPr>
            <w:r w:rsidRPr="00720217">
              <w:rPr>
                <w:rFonts w:ascii="Arial" w:hAnsi="Arial" w:cs="Arial"/>
                <w:color w:val="000000"/>
              </w:rPr>
              <w:t>9,1</w:t>
            </w:r>
          </w:p>
        </w:tc>
        <w:tc>
          <w:tcPr>
            <w:tcW w:w="850" w:type="dxa"/>
            <w:tcMar>
              <w:top w:w="0" w:type="dxa"/>
              <w:left w:w="70" w:type="dxa"/>
              <w:bottom w:w="0" w:type="dxa"/>
              <w:right w:w="70" w:type="dxa"/>
            </w:tcMar>
            <w:vAlign w:val="bottom"/>
            <w:hideMark/>
          </w:tcPr>
          <w:p w14:paraId="4CD56D2A" w14:textId="77777777" w:rsidR="00720217" w:rsidRPr="00720217" w:rsidRDefault="00720217" w:rsidP="00720217">
            <w:pPr>
              <w:jc w:val="center"/>
              <w:rPr>
                <w:rFonts w:ascii="Arial" w:hAnsi="Arial" w:cs="Arial"/>
              </w:rPr>
            </w:pPr>
            <w:r w:rsidRPr="00720217">
              <w:rPr>
                <w:rFonts w:ascii="Arial" w:hAnsi="Arial" w:cs="Arial"/>
                <w:color w:val="000000"/>
              </w:rPr>
              <w:t>12</w:t>
            </w:r>
          </w:p>
        </w:tc>
        <w:tc>
          <w:tcPr>
            <w:tcW w:w="425" w:type="dxa"/>
            <w:tcMar>
              <w:top w:w="0" w:type="dxa"/>
              <w:left w:w="70" w:type="dxa"/>
              <w:bottom w:w="0" w:type="dxa"/>
              <w:right w:w="70" w:type="dxa"/>
            </w:tcMar>
            <w:vAlign w:val="bottom"/>
            <w:hideMark/>
          </w:tcPr>
          <w:p w14:paraId="32C9B6F1" w14:textId="77777777" w:rsidR="00720217" w:rsidRPr="00720217" w:rsidRDefault="00720217" w:rsidP="00720217">
            <w:pPr>
              <w:jc w:val="center"/>
              <w:rPr>
                <w:rFonts w:ascii="Arial" w:hAnsi="Arial" w:cs="Arial"/>
              </w:rPr>
            </w:pPr>
            <w:r w:rsidRPr="00720217">
              <w:rPr>
                <w:rFonts w:ascii="Arial" w:hAnsi="Arial" w:cs="Arial"/>
                <w:color w:val="000000"/>
              </w:rPr>
              <w:t>4,2</w:t>
            </w:r>
          </w:p>
        </w:tc>
        <w:tc>
          <w:tcPr>
            <w:tcW w:w="2127" w:type="dxa"/>
            <w:vMerge/>
            <w:vAlign w:val="center"/>
            <w:hideMark/>
          </w:tcPr>
          <w:p w14:paraId="7F7C1310" w14:textId="77777777" w:rsidR="00720217" w:rsidRPr="00720217" w:rsidRDefault="00720217" w:rsidP="00720217">
            <w:pPr>
              <w:rPr>
                <w:rFonts w:ascii="Arial" w:hAnsi="Arial" w:cs="Arial"/>
                <w:color w:val="000000"/>
              </w:rPr>
            </w:pPr>
          </w:p>
        </w:tc>
      </w:tr>
      <w:tr w:rsidR="00720217" w:rsidRPr="00720217" w14:paraId="7A7A091A" w14:textId="77777777" w:rsidTr="00720217">
        <w:trPr>
          <w:trHeight w:val="315"/>
        </w:trPr>
        <w:tc>
          <w:tcPr>
            <w:tcW w:w="2342" w:type="dxa"/>
            <w:tcMar>
              <w:top w:w="0" w:type="dxa"/>
              <w:left w:w="70" w:type="dxa"/>
              <w:bottom w:w="0" w:type="dxa"/>
              <w:right w:w="70" w:type="dxa"/>
            </w:tcMar>
            <w:hideMark/>
          </w:tcPr>
          <w:p w14:paraId="192159DB" w14:textId="77777777" w:rsidR="00720217" w:rsidRPr="00720217" w:rsidRDefault="00720217" w:rsidP="00720217">
            <w:pPr>
              <w:rPr>
                <w:rFonts w:ascii="Arial" w:hAnsi="Arial" w:cs="Arial"/>
                <w:b/>
              </w:rPr>
            </w:pPr>
            <w:r w:rsidRPr="00720217">
              <w:rPr>
                <w:rFonts w:ascii="Arial" w:hAnsi="Arial" w:cs="Arial"/>
                <w:b/>
              </w:rPr>
              <w:t>Chest drain</w:t>
            </w:r>
          </w:p>
        </w:tc>
        <w:tc>
          <w:tcPr>
            <w:tcW w:w="633" w:type="dxa"/>
            <w:tcMar>
              <w:top w:w="0" w:type="dxa"/>
              <w:left w:w="70" w:type="dxa"/>
              <w:bottom w:w="0" w:type="dxa"/>
              <w:right w:w="70" w:type="dxa"/>
            </w:tcMar>
            <w:vAlign w:val="bottom"/>
          </w:tcPr>
          <w:p w14:paraId="2F80F024"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008956CB"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2FD368B0"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5C63F197" w14:textId="77777777" w:rsidR="00720217" w:rsidRPr="00720217" w:rsidRDefault="00720217" w:rsidP="00720217">
            <w:pPr>
              <w:rPr>
                <w:rFonts w:ascii="Arial" w:hAnsi="Arial" w:cs="Arial"/>
              </w:rPr>
            </w:pPr>
          </w:p>
        </w:tc>
        <w:tc>
          <w:tcPr>
            <w:tcW w:w="850" w:type="dxa"/>
            <w:tcMar>
              <w:top w:w="0" w:type="dxa"/>
              <w:left w:w="70" w:type="dxa"/>
              <w:bottom w:w="0" w:type="dxa"/>
              <w:right w:w="70" w:type="dxa"/>
            </w:tcMar>
            <w:vAlign w:val="bottom"/>
          </w:tcPr>
          <w:p w14:paraId="01382868" w14:textId="77777777" w:rsidR="00720217" w:rsidRPr="00720217" w:rsidRDefault="00720217" w:rsidP="00720217">
            <w:pPr>
              <w:rPr>
                <w:rFonts w:ascii="Arial" w:hAnsi="Arial" w:cs="Arial"/>
              </w:rPr>
            </w:pPr>
          </w:p>
        </w:tc>
        <w:tc>
          <w:tcPr>
            <w:tcW w:w="425" w:type="dxa"/>
            <w:tcMar>
              <w:top w:w="0" w:type="dxa"/>
              <w:left w:w="70" w:type="dxa"/>
              <w:bottom w:w="0" w:type="dxa"/>
              <w:right w:w="70" w:type="dxa"/>
            </w:tcMar>
            <w:vAlign w:val="bottom"/>
          </w:tcPr>
          <w:p w14:paraId="6272C0D9" w14:textId="77777777" w:rsidR="00720217" w:rsidRPr="00720217" w:rsidRDefault="00720217" w:rsidP="00720217">
            <w:pPr>
              <w:rPr>
                <w:rFonts w:ascii="Arial" w:hAnsi="Arial" w:cs="Arial"/>
              </w:rPr>
            </w:pPr>
          </w:p>
        </w:tc>
        <w:tc>
          <w:tcPr>
            <w:tcW w:w="2127" w:type="dxa"/>
            <w:tcMar>
              <w:top w:w="0" w:type="dxa"/>
              <w:left w:w="70" w:type="dxa"/>
              <w:bottom w:w="0" w:type="dxa"/>
              <w:right w:w="70" w:type="dxa"/>
            </w:tcMar>
            <w:vAlign w:val="bottom"/>
          </w:tcPr>
          <w:p w14:paraId="675D1EF8" w14:textId="77777777" w:rsidR="00720217" w:rsidRPr="00720217" w:rsidRDefault="00720217" w:rsidP="00720217">
            <w:pPr>
              <w:rPr>
                <w:rFonts w:ascii="Arial" w:hAnsi="Arial" w:cs="Arial"/>
              </w:rPr>
            </w:pPr>
          </w:p>
        </w:tc>
      </w:tr>
      <w:tr w:rsidR="00720217" w:rsidRPr="00720217" w14:paraId="715C15FD" w14:textId="77777777" w:rsidTr="00720217">
        <w:trPr>
          <w:trHeight w:val="315"/>
        </w:trPr>
        <w:tc>
          <w:tcPr>
            <w:tcW w:w="2342" w:type="dxa"/>
            <w:tcMar>
              <w:top w:w="0" w:type="dxa"/>
              <w:left w:w="70" w:type="dxa"/>
              <w:bottom w:w="0" w:type="dxa"/>
              <w:right w:w="70" w:type="dxa"/>
            </w:tcMar>
            <w:hideMark/>
          </w:tcPr>
          <w:p w14:paraId="36BC11B3" w14:textId="77777777" w:rsidR="00720217" w:rsidRPr="00720217" w:rsidRDefault="00720217" w:rsidP="00720217">
            <w:pPr>
              <w:rPr>
                <w:rFonts w:ascii="Arial" w:hAnsi="Arial" w:cs="Arial"/>
              </w:rPr>
            </w:pPr>
            <w:r w:rsidRPr="00720217">
              <w:rPr>
                <w:rFonts w:ascii="Arial" w:hAnsi="Arial" w:cs="Arial"/>
              </w:rPr>
              <w:t>Yes</w:t>
            </w:r>
          </w:p>
        </w:tc>
        <w:tc>
          <w:tcPr>
            <w:tcW w:w="633" w:type="dxa"/>
            <w:tcMar>
              <w:top w:w="0" w:type="dxa"/>
              <w:left w:w="70" w:type="dxa"/>
              <w:bottom w:w="0" w:type="dxa"/>
              <w:right w:w="70" w:type="dxa"/>
            </w:tcMar>
            <w:vAlign w:val="bottom"/>
            <w:hideMark/>
          </w:tcPr>
          <w:p w14:paraId="67FFBF31" w14:textId="77777777" w:rsidR="00720217" w:rsidRPr="00720217" w:rsidRDefault="00720217" w:rsidP="00720217">
            <w:pPr>
              <w:jc w:val="center"/>
              <w:rPr>
                <w:rFonts w:ascii="Arial" w:hAnsi="Arial" w:cs="Arial"/>
              </w:rPr>
            </w:pPr>
            <w:r w:rsidRPr="00720217">
              <w:rPr>
                <w:rFonts w:ascii="Arial" w:hAnsi="Arial" w:cs="Arial"/>
                <w:color w:val="000000"/>
              </w:rPr>
              <w:t>1</w:t>
            </w:r>
          </w:p>
        </w:tc>
        <w:tc>
          <w:tcPr>
            <w:tcW w:w="709" w:type="dxa"/>
            <w:tcMar>
              <w:top w:w="0" w:type="dxa"/>
              <w:left w:w="70" w:type="dxa"/>
              <w:bottom w:w="0" w:type="dxa"/>
              <w:right w:w="70" w:type="dxa"/>
            </w:tcMar>
            <w:vAlign w:val="bottom"/>
            <w:hideMark/>
          </w:tcPr>
          <w:p w14:paraId="5956995C" w14:textId="77777777" w:rsidR="00720217" w:rsidRPr="00720217" w:rsidRDefault="00720217" w:rsidP="00720217">
            <w:pPr>
              <w:jc w:val="center"/>
              <w:rPr>
                <w:rFonts w:ascii="Arial" w:hAnsi="Arial" w:cs="Arial"/>
              </w:rPr>
            </w:pPr>
            <w:r w:rsidRPr="00720217">
              <w:rPr>
                <w:rFonts w:ascii="Arial" w:hAnsi="Arial" w:cs="Arial"/>
                <w:color w:val="000000"/>
              </w:rPr>
              <w:t>0,4</w:t>
            </w:r>
          </w:p>
        </w:tc>
        <w:tc>
          <w:tcPr>
            <w:tcW w:w="709" w:type="dxa"/>
            <w:tcMar>
              <w:top w:w="0" w:type="dxa"/>
              <w:left w:w="70" w:type="dxa"/>
              <w:bottom w:w="0" w:type="dxa"/>
              <w:right w:w="70" w:type="dxa"/>
            </w:tcMar>
            <w:vAlign w:val="bottom"/>
            <w:hideMark/>
          </w:tcPr>
          <w:p w14:paraId="6A46411A" w14:textId="77777777" w:rsidR="00720217" w:rsidRPr="00720217" w:rsidRDefault="00720217" w:rsidP="00720217">
            <w:pPr>
              <w:jc w:val="center"/>
              <w:rPr>
                <w:rFonts w:ascii="Arial" w:hAnsi="Arial" w:cs="Arial"/>
              </w:rPr>
            </w:pPr>
            <w:r w:rsidRPr="00720217">
              <w:rPr>
                <w:rFonts w:ascii="Arial" w:hAnsi="Arial" w:cs="Arial"/>
                <w:color w:val="000000"/>
              </w:rPr>
              <w:t>12</w:t>
            </w:r>
          </w:p>
        </w:tc>
        <w:tc>
          <w:tcPr>
            <w:tcW w:w="709" w:type="dxa"/>
            <w:tcMar>
              <w:top w:w="0" w:type="dxa"/>
              <w:left w:w="70" w:type="dxa"/>
              <w:bottom w:w="0" w:type="dxa"/>
              <w:right w:w="70" w:type="dxa"/>
            </w:tcMar>
            <w:vAlign w:val="bottom"/>
            <w:hideMark/>
          </w:tcPr>
          <w:p w14:paraId="243C64C1" w14:textId="77777777" w:rsidR="00720217" w:rsidRPr="00720217" w:rsidRDefault="00720217" w:rsidP="00720217">
            <w:pPr>
              <w:jc w:val="center"/>
              <w:rPr>
                <w:rFonts w:ascii="Arial" w:hAnsi="Arial" w:cs="Arial"/>
              </w:rPr>
            </w:pPr>
            <w:r w:rsidRPr="00720217">
              <w:rPr>
                <w:rFonts w:ascii="Arial" w:hAnsi="Arial" w:cs="Arial"/>
                <w:color w:val="000000"/>
              </w:rPr>
              <w:t>4,2</w:t>
            </w:r>
          </w:p>
        </w:tc>
        <w:tc>
          <w:tcPr>
            <w:tcW w:w="850" w:type="dxa"/>
            <w:tcMar>
              <w:top w:w="0" w:type="dxa"/>
              <w:left w:w="70" w:type="dxa"/>
              <w:bottom w:w="0" w:type="dxa"/>
              <w:right w:w="70" w:type="dxa"/>
            </w:tcMar>
            <w:vAlign w:val="bottom"/>
            <w:hideMark/>
          </w:tcPr>
          <w:p w14:paraId="3BF1FF94" w14:textId="77777777" w:rsidR="00720217" w:rsidRPr="00720217" w:rsidRDefault="00720217" w:rsidP="00720217">
            <w:pPr>
              <w:jc w:val="center"/>
              <w:rPr>
                <w:rFonts w:ascii="Arial" w:hAnsi="Arial" w:cs="Arial"/>
              </w:rPr>
            </w:pPr>
            <w:r w:rsidRPr="00720217">
              <w:rPr>
                <w:rFonts w:ascii="Arial" w:hAnsi="Arial" w:cs="Arial"/>
                <w:color w:val="000000"/>
              </w:rPr>
              <w:t>2</w:t>
            </w:r>
          </w:p>
        </w:tc>
        <w:tc>
          <w:tcPr>
            <w:tcW w:w="425" w:type="dxa"/>
            <w:tcMar>
              <w:top w:w="0" w:type="dxa"/>
              <w:left w:w="70" w:type="dxa"/>
              <w:bottom w:w="0" w:type="dxa"/>
              <w:right w:w="70" w:type="dxa"/>
            </w:tcMar>
            <w:vAlign w:val="bottom"/>
            <w:hideMark/>
          </w:tcPr>
          <w:p w14:paraId="4DE6A4D6" w14:textId="77777777" w:rsidR="00720217" w:rsidRPr="00720217" w:rsidRDefault="00720217" w:rsidP="00720217">
            <w:pPr>
              <w:jc w:val="center"/>
              <w:rPr>
                <w:rFonts w:ascii="Arial" w:hAnsi="Arial" w:cs="Arial"/>
              </w:rPr>
            </w:pPr>
            <w:r w:rsidRPr="00720217">
              <w:rPr>
                <w:rFonts w:ascii="Arial" w:hAnsi="Arial" w:cs="Arial"/>
                <w:color w:val="000000"/>
              </w:rPr>
              <w:t>0,7</w:t>
            </w:r>
          </w:p>
        </w:tc>
        <w:tc>
          <w:tcPr>
            <w:tcW w:w="2127" w:type="dxa"/>
            <w:vMerge w:val="restart"/>
            <w:tcMar>
              <w:top w:w="0" w:type="dxa"/>
              <w:left w:w="70" w:type="dxa"/>
              <w:bottom w:w="0" w:type="dxa"/>
              <w:right w:w="70" w:type="dxa"/>
            </w:tcMar>
            <w:vAlign w:val="center"/>
            <w:hideMark/>
          </w:tcPr>
          <w:p w14:paraId="244E77F1" w14:textId="77777777" w:rsidR="00720217" w:rsidRPr="00720217" w:rsidRDefault="00720217" w:rsidP="00720217">
            <w:pPr>
              <w:jc w:val="center"/>
              <w:rPr>
                <w:rFonts w:ascii="Arial" w:hAnsi="Arial" w:cs="Arial"/>
                <w:color w:val="000000"/>
              </w:rPr>
            </w:pPr>
            <w:r w:rsidRPr="00720217">
              <w:rPr>
                <w:rFonts w:ascii="Arial" w:hAnsi="Arial" w:cs="Arial"/>
                <w:color w:val="000000"/>
              </w:rPr>
              <w:t>X</w:t>
            </w:r>
            <w:r w:rsidRPr="00720217">
              <w:rPr>
                <w:rFonts w:ascii="Arial" w:hAnsi="Arial" w:cs="Arial"/>
                <w:color w:val="000000"/>
                <w:vertAlign w:val="superscript"/>
              </w:rPr>
              <w:t>2</w:t>
            </w:r>
            <w:r w:rsidRPr="00720217">
              <w:rPr>
                <w:rFonts w:ascii="Arial" w:hAnsi="Arial" w:cs="Arial"/>
                <w:color w:val="000000"/>
              </w:rPr>
              <w:t>= 20,746; p=0,000*</w:t>
            </w:r>
          </w:p>
        </w:tc>
      </w:tr>
      <w:tr w:rsidR="00720217" w:rsidRPr="00720217" w14:paraId="18E586EC" w14:textId="77777777" w:rsidTr="00720217">
        <w:trPr>
          <w:trHeight w:val="315"/>
        </w:trPr>
        <w:tc>
          <w:tcPr>
            <w:tcW w:w="2342" w:type="dxa"/>
            <w:tcMar>
              <w:top w:w="0" w:type="dxa"/>
              <w:left w:w="70" w:type="dxa"/>
              <w:bottom w:w="0" w:type="dxa"/>
              <w:right w:w="70" w:type="dxa"/>
            </w:tcMar>
            <w:hideMark/>
          </w:tcPr>
          <w:p w14:paraId="74C48903" w14:textId="77777777" w:rsidR="00720217" w:rsidRPr="00720217" w:rsidRDefault="00720217" w:rsidP="00720217">
            <w:pPr>
              <w:rPr>
                <w:rFonts w:ascii="Arial" w:hAnsi="Arial" w:cs="Arial"/>
              </w:rPr>
            </w:pPr>
            <w:r w:rsidRPr="00720217">
              <w:rPr>
                <w:rFonts w:ascii="Arial" w:hAnsi="Arial" w:cs="Arial"/>
              </w:rPr>
              <w:t>No</w:t>
            </w:r>
          </w:p>
        </w:tc>
        <w:tc>
          <w:tcPr>
            <w:tcW w:w="633" w:type="dxa"/>
            <w:tcMar>
              <w:top w:w="0" w:type="dxa"/>
              <w:left w:w="70" w:type="dxa"/>
              <w:bottom w:w="0" w:type="dxa"/>
              <w:right w:w="70" w:type="dxa"/>
            </w:tcMar>
            <w:vAlign w:val="bottom"/>
            <w:hideMark/>
          </w:tcPr>
          <w:p w14:paraId="32C92CE7" w14:textId="77777777" w:rsidR="00720217" w:rsidRPr="00720217" w:rsidRDefault="00720217" w:rsidP="00720217">
            <w:pPr>
              <w:jc w:val="center"/>
              <w:rPr>
                <w:rFonts w:ascii="Arial" w:hAnsi="Arial" w:cs="Arial"/>
              </w:rPr>
            </w:pPr>
            <w:r w:rsidRPr="00720217">
              <w:rPr>
                <w:rFonts w:ascii="Arial" w:hAnsi="Arial" w:cs="Arial"/>
                <w:color w:val="000000"/>
              </w:rPr>
              <w:t>174</w:t>
            </w:r>
          </w:p>
        </w:tc>
        <w:tc>
          <w:tcPr>
            <w:tcW w:w="709" w:type="dxa"/>
            <w:tcMar>
              <w:top w:w="0" w:type="dxa"/>
              <w:left w:w="70" w:type="dxa"/>
              <w:bottom w:w="0" w:type="dxa"/>
              <w:right w:w="70" w:type="dxa"/>
            </w:tcMar>
            <w:vAlign w:val="bottom"/>
            <w:hideMark/>
          </w:tcPr>
          <w:p w14:paraId="6ACC7AA6" w14:textId="77777777" w:rsidR="00720217" w:rsidRPr="00720217" w:rsidRDefault="00720217" w:rsidP="00720217">
            <w:pPr>
              <w:jc w:val="center"/>
              <w:rPr>
                <w:rFonts w:ascii="Arial" w:hAnsi="Arial" w:cs="Arial"/>
              </w:rPr>
            </w:pPr>
            <w:r w:rsidRPr="00720217">
              <w:rPr>
                <w:rFonts w:ascii="Arial" w:hAnsi="Arial" w:cs="Arial"/>
                <w:color w:val="000000"/>
              </w:rPr>
              <w:t>61,1</w:t>
            </w:r>
          </w:p>
        </w:tc>
        <w:tc>
          <w:tcPr>
            <w:tcW w:w="709" w:type="dxa"/>
            <w:tcMar>
              <w:top w:w="0" w:type="dxa"/>
              <w:left w:w="70" w:type="dxa"/>
              <w:bottom w:w="0" w:type="dxa"/>
              <w:right w:w="70" w:type="dxa"/>
            </w:tcMar>
            <w:vAlign w:val="bottom"/>
            <w:hideMark/>
          </w:tcPr>
          <w:p w14:paraId="418A1F40" w14:textId="77777777" w:rsidR="00720217" w:rsidRPr="00720217" w:rsidRDefault="00720217" w:rsidP="00720217">
            <w:pPr>
              <w:jc w:val="center"/>
              <w:rPr>
                <w:rFonts w:ascii="Arial" w:hAnsi="Arial" w:cs="Arial"/>
              </w:rPr>
            </w:pPr>
            <w:r w:rsidRPr="00720217">
              <w:rPr>
                <w:rFonts w:ascii="Arial" w:hAnsi="Arial" w:cs="Arial"/>
                <w:color w:val="000000"/>
              </w:rPr>
              <w:t>76</w:t>
            </w:r>
          </w:p>
        </w:tc>
        <w:tc>
          <w:tcPr>
            <w:tcW w:w="709" w:type="dxa"/>
            <w:tcMar>
              <w:top w:w="0" w:type="dxa"/>
              <w:left w:w="70" w:type="dxa"/>
              <w:bottom w:w="0" w:type="dxa"/>
              <w:right w:w="70" w:type="dxa"/>
            </w:tcMar>
            <w:vAlign w:val="bottom"/>
            <w:hideMark/>
          </w:tcPr>
          <w:p w14:paraId="6ADDB848" w14:textId="77777777" w:rsidR="00720217" w:rsidRPr="00720217" w:rsidRDefault="00720217" w:rsidP="00720217">
            <w:pPr>
              <w:jc w:val="center"/>
              <w:rPr>
                <w:rFonts w:ascii="Arial" w:hAnsi="Arial" w:cs="Arial"/>
              </w:rPr>
            </w:pPr>
            <w:r w:rsidRPr="00720217">
              <w:rPr>
                <w:rFonts w:ascii="Arial" w:hAnsi="Arial" w:cs="Arial"/>
                <w:color w:val="000000"/>
              </w:rPr>
              <w:t>26,7</w:t>
            </w:r>
          </w:p>
        </w:tc>
        <w:tc>
          <w:tcPr>
            <w:tcW w:w="850" w:type="dxa"/>
            <w:tcMar>
              <w:top w:w="0" w:type="dxa"/>
              <w:left w:w="70" w:type="dxa"/>
              <w:bottom w:w="0" w:type="dxa"/>
              <w:right w:w="70" w:type="dxa"/>
            </w:tcMar>
            <w:vAlign w:val="bottom"/>
            <w:hideMark/>
          </w:tcPr>
          <w:p w14:paraId="56F3A0C9" w14:textId="77777777" w:rsidR="00720217" w:rsidRPr="00720217" w:rsidRDefault="00720217" w:rsidP="00720217">
            <w:pPr>
              <w:jc w:val="center"/>
              <w:rPr>
                <w:rFonts w:ascii="Arial" w:hAnsi="Arial" w:cs="Arial"/>
              </w:rPr>
            </w:pPr>
            <w:r w:rsidRPr="00720217">
              <w:rPr>
                <w:rFonts w:ascii="Arial" w:hAnsi="Arial" w:cs="Arial"/>
                <w:color w:val="000000"/>
              </w:rPr>
              <w:t>20</w:t>
            </w:r>
          </w:p>
        </w:tc>
        <w:tc>
          <w:tcPr>
            <w:tcW w:w="425" w:type="dxa"/>
            <w:tcMar>
              <w:top w:w="0" w:type="dxa"/>
              <w:left w:w="70" w:type="dxa"/>
              <w:bottom w:w="0" w:type="dxa"/>
              <w:right w:w="70" w:type="dxa"/>
            </w:tcMar>
            <w:vAlign w:val="bottom"/>
            <w:hideMark/>
          </w:tcPr>
          <w:p w14:paraId="5B6C17F5" w14:textId="77777777" w:rsidR="00720217" w:rsidRPr="00720217" w:rsidRDefault="00720217" w:rsidP="00720217">
            <w:pPr>
              <w:jc w:val="center"/>
              <w:rPr>
                <w:rFonts w:ascii="Arial" w:hAnsi="Arial" w:cs="Arial"/>
              </w:rPr>
            </w:pPr>
            <w:r w:rsidRPr="00720217">
              <w:rPr>
                <w:rFonts w:ascii="Arial" w:hAnsi="Arial" w:cs="Arial"/>
                <w:color w:val="000000"/>
              </w:rPr>
              <w:t>7,0</w:t>
            </w:r>
          </w:p>
        </w:tc>
        <w:tc>
          <w:tcPr>
            <w:tcW w:w="2127" w:type="dxa"/>
            <w:vMerge/>
            <w:vAlign w:val="center"/>
            <w:hideMark/>
          </w:tcPr>
          <w:p w14:paraId="5CE00325" w14:textId="77777777" w:rsidR="00720217" w:rsidRPr="00720217" w:rsidRDefault="00720217" w:rsidP="00720217">
            <w:pPr>
              <w:rPr>
                <w:rFonts w:ascii="Arial" w:hAnsi="Arial" w:cs="Arial"/>
                <w:color w:val="000000"/>
              </w:rPr>
            </w:pPr>
          </w:p>
        </w:tc>
      </w:tr>
      <w:tr w:rsidR="00720217" w:rsidRPr="00720217" w14:paraId="10FA2F58" w14:textId="77777777" w:rsidTr="00720217">
        <w:trPr>
          <w:trHeight w:val="315"/>
        </w:trPr>
        <w:tc>
          <w:tcPr>
            <w:tcW w:w="2342" w:type="dxa"/>
            <w:tcMar>
              <w:top w:w="0" w:type="dxa"/>
              <w:left w:w="70" w:type="dxa"/>
              <w:bottom w:w="0" w:type="dxa"/>
              <w:right w:w="70" w:type="dxa"/>
            </w:tcMar>
            <w:hideMark/>
          </w:tcPr>
          <w:p w14:paraId="3875D577" w14:textId="77777777" w:rsidR="00720217" w:rsidRPr="00720217" w:rsidRDefault="00720217" w:rsidP="00720217">
            <w:pPr>
              <w:rPr>
                <w:rFonts w:ascii="Arial" w:hAnsi="Arial" w:cs="Arial"/>
                <w:b/>
              </w:rPr>
            </w:pPr>
            <w:r w:rsidRPr="00720217">
              <w:rPr>
                <w:rFonts w:ascii="Arial" w:hAnsi="Arial" w:cs="Arial"/>
                <w:b/>
              </w:rPr>
              <w:t>Hemodialysis</w:t>
            </w:r>
          </w:p>
        </w:tc>
        <w:tc>
          <w:tcPr>
            <w:tcW w:w="633" w:type="dxa"/>
            <w:tcMar>
              <w:top w:w="0" w:type="dxa"/>
              <w:left w:w="70" w:type="dxa"/>
              <w:bottom w:w="0" w:type="dxa"/>
              <w:right w:w="70" w:type="dxa"/>
            </w:tcMar>
            <w:vAlign w:val="bottom"/>
          </w:tcPr>
          <w:p w14:paraId="1B8B05E2"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3F6D65CD"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62E733E0"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5ABE0060" w14:textId="77777777" w:rsidR="00720217" w:rsidRPr="00720217" w:rsidRDefault="00720217" w:rsidP="00720217">
            <w:pPr>
              <w:rPr>
                <w:rFonts w:ascii="Arial" w:hAnsi="Arial" w:cs="Arial"/>
              </w:rPr>
            </w:pPr>
          </w:p>
        </w:tc>
        <w:tc>
          <w:tcPr>
            <w:tcW w:w="850" w:type="dxa"/>
            <w:tcMar>
              <w:top w:w="0" w:type="dxa"/>
              <w:left w:w="70" w:type="dxa"/>
              <w:bottom w:w="0" w:type="dxa"/>
              <w:right w:w="70" w:type="dxa"/>
            </w:tcMar>
            <w:vAlign w:val="bottom"/>
          </w:tcPr>
          <w:p w14:paraId="46214136" w14:textId="77777777" w:rsidR="00720217" w:rsidRPr="00720217" w:rsidRDefault="00720217" w:rsidP="00720217">
            <w:pPr>
              <w:rPr>
                <w:rFonts w:ascii="Arial" w:hAnsi="Arial" w:cs="Arial"/>
              </w:rPr>
            </w:pPr>
          </w:p>
        </w:tc>
        <w:tc>
          <w:tcPr>
            <w:tcW w:w="425" w:type="dxa"/>
            <w:tcMar>
              <w:top w:w="0" w:type="dxa"/>
              <w:left w:w="70" w:type="dxa"/>
              <w:bottom w:w="0" w:type="dxa"/>
              <w:right w:w="70" w:type="dxa"/>
            </w:tcMar>
            <w:vAlign w:val="bottom"/>
          </w:tcPr>
          <w:p w14:paraId="04CF8266" w14:textId="77777777" w:rsidR="00720217" w:rsidRPr="00720217" w:rsidRDefault="00720217" w:rsidP="00720217">
            <w:pPr>
              <w:rPr>
                <w:rFonts w:ascii="Arial" w:hAnsi="Arial" w:cs="Arial"/>
              </w:rPr>
            </w:pPr>
          </w:p>
        </w:tc>
        <w:tc>
          <w:tcPr>
            <w:tcW w:w="2127" w:type="dxa"/>
            <w:tcMar>
              <w:top w:w="0" w:type="dxa"/>
              <w:left w:w="70" w:type="dxa"/>
              <w:bottom w:w="0" w:type="dxa"/>
              <w:right w:w="70" w:type="dxa"/>
            </w:tcMar>
            <w:vAlign w:val="bottom"/>
          </w:tcPr>
          <w:p w14:paraId="27CA2500" w14:textId="77777777" w:rsidR="00720217" w:rsidRPr="00720217" w:rsidRDefault="00720217" w:rsidP="00720217">
            <w:pPr>
              <w:rPr>
                <w:rFonts w:ascii="Arial" w:hAnsi="Arial" w:cs="Arial"/>
              </w:rPr>
            </w:pPr>
          </w:p>
        </w:tc>
      </w:tr>
      <w:tr w:rsidR="00720217" w:rsidRPr="00720217" w14:paraId="642A450D" w14:textId="77777777" w:rsidTr="00720217">
        <w:trPr>
          <w:trHeight w:val="315"/>
        </w:trPr>
        <w:tc>
          <w:tcPr>
            <w:tcW w:w="2342" w:type="dxa"/>
            <w:tcMar>
              <w:top w:w="0" w:type="dxa"/>
              <w:left w:w="70" w:type="dxa"/>
              <w:bottom w:w="0" w:type="dxa"/>
              <w:right w:w="70" w:type="dxa"/>
            </w:tcMar>
            <w:hideMark/>
          </w:tcPr>
          <w:p w14:paraId="68F6FB3D" w14:textId="77777777" w:rsidR="00720217" w:rsidRPr="00720217" w:rsidRDefault="00720217" w:rsidP="00720217">
            <w:pPr>
              <w:rPr>
                <w:rFonts w:ascii="Arial" w:hAnsi="Arial" w:cs="Arial"/>
              </w:rPr>
            </w:pPr>
            <w:r w:rsidRPr="00720217">
              <w:rPr>
                <w:rFonts w:ascii="Arial" w:hAnsi="Arial" w:cs="Arial"/>
              </w:rPr>
              <w:t>Yes</w:t>
            </w:r>
          </w:p>
        </w:tc>
        <w:tc>
          <w:tcPr>
            <w:tcW w:w="633" w:type="dxa"/>
            <w:tcMar>
              <w:top w:w="0" w:type="dxa"/>
              <w:left w:w="70" w:type="dxa"/>
              <w:bottom w:w="0" w:type="dxa"/>
              <w:right w:w="70" w:type="dxa"/>
            </w:tcMar>
            <w:vAlign w:val="bottom"/>
            <w:hideMark/>
          </w:tcPr>
          <w:p w14:paraId="66113CCF" w14:textId="77777777" w:rsidR="00720217" w:rsidRPr="00720217" w:rsidRDefault="00720217" w:rsidP="00720217">
            <w:pPr>
              <w:jc w:val="center"/>
              <w:rPr>
                <w:rFonts w:ascii="Arial" w:hAnsi="Arial" w:cs="Arial"/>
              </w:rPr>
            </w:pPr>
            <w:r w:rsidRPr="00720217">
              <w:rPr>
                <w:rFonts w:ascii="Arial" w:hAnsi="Arial" w:cs="Arial"/>
                <w:color w:val="000000"/>
              </w:rPr>
              <w:t>0</w:t>
            </w:r>
          </w:p>
        </w:tc>
        <w:tc>
          <w:tcPr>
            <w:tcW w:w="709" w:type="dxa"/>
            <w:tcMar>
              <w:top w:w="0" w:type="dxa"/>
              <w:left w:w="70" w:type="dxa"/>
              <w:bottom w:w="0" w:type="dxa"/>
              <w:right w:w="70" w:type="dxa"/>
            </w:tcMar>
            <w:vAlign w:val="bottom"/>
            <w:hideMark/>
          </w:tcPr>
          <w:p w14:paraId="3E56AF62" w14:textId="77777777" w:rsidR="00720217" w:rsidRPr="00720217" w:rsidRDefault="00720217" w:rsidP="00720217">
            <w:pPr>
              <w:jc w:val="center"/>
              <w:rPr>
                <w:rFonts w:ascii="Arial" w:hAnsi="Arial" w:cs="Arial"/>
              </w:rPr>
            </w:pPr>
            <w:r w:rsidRPr="00720217">
              <w:rPr>
                <w:rFonts w:ascii="Arial" w:hAnsi="Arial" w:cs="Arial"/>
                <w:color w:val="000000"/>
              </w:rPr>
              <w:t>0,0</w:t>
            </w:r>
          </w:p>
        </w:tc>
        <w:tc>
          <w:tcPr>
            <w:tcW w:w="709" w:type="dxa"/>
            <w:tcMar>
              <w:top w:w="0" w:type="dxa"/>
              <w:left w:w="70" w:type="dxa"/>
              <w:bottom w:w="0" w:type="dxa"/>
              <w:right w:w="70" w:type="dxa"/>
            </w:tcMar>
            <w:vAlign w:val="bottom"/>
            <w:hideMark/>
          </w:tcPr>
          <w:p w14:paraId="1E9328CE" w14:textId="77777777" w:rsidR="00720217" w:rsidRPr="00720217" w:rsidRDefault="00720217" w:rsidP="00720217">
            <w:pPr>
              <w:jc w:val="center"/>
              <w:rPr>
                <w:rFonts w:ascii="Arial" w:hAnsi="Arial" w:cs="Arial"/>
              </w:rPr>
            </w:pPr>
            <w:r w:rsidRPr="00720217">
              <w:rPr>
                <w:rFonts w:ascii="Arial" w:hAnsi="Arial" w:cs="Arial"/>
                <w:color w:val="000000"/>
              </w:rPr>
              <w:t>19</w:t>
            </w:r>
          </w:p>
        </w:tc>
        <w:tc>
          <w:tcPr>
            <w:tcW w:w="709" w:type="dxa"/>
            <w:tcMar>
              <w:top w:w="0" w:type="dxa"/>
              <w:left w:w="70" w:type="dxa"/>
              <w:bottom w:w="0" w:type="dxa"/>
              <w:right w:w="70" w:type="dxa"/>
            </w:tcMar>
            <w:vAlign w:val="bottom"/>
            <w:hideMark/>
          </w:tcPr>
          <w:p w14:paraId="0E913763" w14:textId="77777777" w:rsidR="00720217" w:rsidRPr="00720217" w:rsidRDefault="00720217" w:rsidP="00720217">
            <w:pPr>
              <w:jc w:val="center"/>
              <w:rPr>
                <w:rFonts w:ascii="Arial" w:hAnsi="Arial" w:cs="Arial"/>
              </w:rPr>
            </w:pPr>
            <w:r w:rsidRPr="00720217">
              <w:rPr>
                <w:rFonts w:ascii="Arial" w:hAnsi="Arial" w:cs="Arial"/>
                <w:color w:val="000000"/>
              </w:rPr>
              <w:t>6,7</w:t>
            </w:r>
          </w:p>
        </w:tc>
        <w:tc>
          <w:tcPr>
            <w:tcW w:w="850" w:type="dxa"/>
            <w:tcMar>
              <w:top w:w="0" w:type="dxa"/>
              <w:left w:w="70" w:type="dxa"/>
              <w:bottom w:w="0" w:type="dxa"/>
              <w:right w:w="70" w:type="dxa"/>
            </w:tcMar>
            <w:vAlign w:val="bottom"/>
            <w:hideMark/>
          </w:tcPr>
          <w:p w14:paraId="74068E8E" w14:textId="77777777" w:rsidR="00720217" w:rsidRPr="00720217" w:rsidRDefault="00720217" w:rsidP="00720217">
            <w:pPr>
              <w:jc w:val="center"/>
              <w:rPr>
                <w:rFonts w:ascii="Arial" w:hAnsi="Arial" w:cs="Arial"/>
                <w:color w:val="000000"/>
              </w:rPr>
            </w:pPr>
            <w:r w:rsidRPr="00720217">
              <w:rPr>
                <w:rFonts w:ascii="Arial" w:hAnsi="Arial" w:cs="Arial"/>
                <w:color w:val="000000"/>
              </w:rPr>
              <w:t>1</w:t>
            </w:r>
          </w:p>
        </w:tc>
        <w:tc>
          <w:tcPr>
            <w:tcW w:w="425" w:type="dxa"/>
            <w:tcMar>
              <w:top w:w="0" w:type="dxa"/>
              <w:left w:w="70" w:type="dxa"/>
              <w:bottom w:w="0" w:type="dxa"/>
              <w:right w:w="70" w:type="dxa"/>
            </w:tcMar>
            <w:vAlign w:val="bottom"/>
            <w:hideMark/>
          </w:tcPr>
          <w:p w14:paraId="3A97C344" w14:textId="77777777" w:rsidR="00720217" w:rsidRPr="00720217" w:rsidRDefault="00720217" w:rsidP="00720217">
            <w:pPr>
              <w:jc w:val="center"/>
              <w:rPr>
                <w:rFonts w:ascii="Arial" w:hAnsi="Arial" w:cs="Arial"/>
              </w:rPr>
            </w:pPr>
            <w:r w:rsidRPr="00720217">
              <w:rPr>
                <w:rFonts w:ascii="Arial" w:hAnsi="Arial" w:cs="Arial"/>
                <w:color w:val="000000"/>
              </w:rPr>
              <w:t>0,4</w:t>
            </w:r>
          </w:p>
        </w:tc>
        <w:tc>
          <w:tcPr>
            <w:tcW w:w="2127" w:type="dxa"/>
            <w:vMerge w:val="restart"/>
            <w:tcMar>
              <w:top w:w="0" w:type="dxa"/>
              <w:left w:w="70" w:type="dxa"/>
              <w:bottom w:w="0" w:type="dxa"/>
              <w:right w:w="70" w:type="dxa"/>
            </w:tcMar>
            <w:vAlign w:val="center"/>
            <w:hideMark/>
          </w:tcPr>
          <w:p w14:paraId="6B2ACDE9" w14:textId="77777777" w:rsidR="00720217" w:rsidRPr="00720217" w:rsidRDefault="00720217" w:rsidP="00720217">
            <w:pPr>
              <w:jc w:val="center"/>
              <w:rPr>
                <w:rFonts w:ascii="Arial" w:hAnsi="Arial" w:cs="Arial"/>
                <w:color w:val="000000"/>
              </w:rPr>
            </w:pPr>
            <w:r w:rsidRPr="00720217">
              <w:rPr>
                <w:rFonts w:ascii="Arial" w:hAnsi="Arial" w:cs="Arial"/>
                <w:color w:val="000000"/>
              </w:rPr>
              <w:t>X</w:t>
            </w:r>
            <w:r w:rsidRPr="00720217">
              <w:rPr>
                <w:rFonts w:ascii="Arial" w:hAnsi="Arial" w:cs="Arial"/>
                <w:color w:val="000000"/>
                <w:vertAlign w:val="superscript"/>
              </w:rPr>
              <w:t>2</w:t>
            </w:r>
            <w:r w:rsidRPr="00720217">
              <w:rPr>
                <w:rFonts w:ascii="Arial" w:hAnsi="Arial" w:cs="Arial"/>
                <w:color w:val="000000"/>
              </w:rPr>
              <w:t>= 42,056; p=0,000*</w:t>
            </w:r>
          </w:p>
        </w:tc>
      </w:tr>
      <w:tr w:rsidR="00720217" w:rsidRPr="00720217" w14:paraId="64F85309" w14:textId="77777777" w:rsidTr="00720217">
        <w:trPr>
          <w:trHeight w:val="315"/>
        </w:trPr>
        <w:tc>
          <w:tcPr>
            <w:tcW w:w="2342" w:type="dxa"/>
            <w:tcMar>
              <w:top w:w="0" w:type="dxa"/>
              <w:left w:w="70" w:type="dxa"/>
              <w:bottom w:w="0" w:type="dxa"/>
              <w:right w:w="70" w:type="dxa"/>
            </w:tcMar>
            <w:hideMark/>
          </w:tcPr>
          <w:p w14:paraId="44A7E2A8" w14:textId="77777777" w:rsidR="00720217" w:rsidRPr="00720217" w:rsidRDefault="00720217" w:rsidP="00720217">
            <w:pPr>
              <w:rPr>
                <w:rFonts w:ascii="Arial" w:hAnsi="Arial" w:cs="Arial"/>
              </w:rPr>
            </w:pPr>
            <w:r w:rsidRPr="00720217">
              <w:rPr>
                <w:rFonts w:ascii="Arial" w:hAnsi="Arial" w:cs="Arial"/>
              </w:rPr>
              <w:t>No</w:t>
            </w:r>
          </w:p>
        </w:tc>
        <w:tc>
          <w:tcPr>
            <w:tcW w:w="633" w:type="dxa"/>
            <w:tcMar>
              <w:top w:w="0" w:type="dxa"/>
              <w:left w:w="70" w:type="dxa"/>
              <w:bottom w:w="0" w:type="dxa"/>
              <w:right w:w="70" w:type="dxa"/>
            </w:tcMar>
            <w:vAlign w:val="bottom"/>
            <w:hideMark/>
          </w:tcPr>
          <w:p w14:paraId="77AF2630" w14:textId="77777777" w:rsidR="00720217" w:rsidRPr="00720217" w:rsidRDefault="00720217" w:rsidP="00720217">
            <w:pPr>
              <w:jc w:val="center"/>
              <w:rPr>
                <w:rFonts w:ascii="Arial" w:hAnsi="Arial" w:cs="Arial"/>
              </w:rPr>
            </w:pPr>
            <w:r w:rsidRPr="00720217">
              <w:rPr>
                <w:rFonts w:ascii="Arial" w:hAnsi="Arial" w:cs="Arial"/>
                <w:color w:val="000000"/>
              </w:rPr>
              <w:t>175</w:t>
            </w:r>
          </w:p>
        </w:tc>
        <w:tc>
          <w:tcPr>
            <w:tcW w:w="709" w:type="dxa"/>
            <w:tcMar>
              <w:top w:w="0" w:type="dxa"/>
              <w:left w:w="70" w:type="dxa"/>
              <w:bottom w:w="0" w:type="dxa"/>
              <w:right w:w="70" w:type="dxa"/>
            </w:tcMar>
            <w:vAlign w:val="bottom"/>
            <w:hideMark/>
          </w:tcPr>
          <w:p w14:paraId="1558F381" w14:textId="77777777" w:rsidR="00720217" w:rsidRPr="00720217" w:rsidRDefault="00720217" w:rsidP="00720217">
            <w:pPr>
              <w:jc w:val="center"/>
              <w:rPr>
                <w:rFonts w:ascii="Arial" w:hAnsi="Arial" w:cs="Arial"/>
              </w:rPr>
            </w:pPr>
            <w:r w:rsidRPr="00720217">
              <w:rPr>
                <w:rFonts w:ascii="Arial" w:hAnsi="Arial" w:cs="Arial"/>
                <w:color w:val="000000"/>
              </w:rPr>
              <w:t>61,4</w:t>
            </w:r>
          </w:p>
        </w:tc>
        <w:tc>
          <w:tcPr>
            <w:tcW w:w="709" w:type="dxa"/>
            <w:tcMar>
              <w:top w:w="0" w:type="dxa"/>
              <w:left w:w="70" w:type="dxa"/>
              <w:bottom w:w="0" w:type="dxa"/>
              <w:right w:w="70" w:type="dxa"/>
            </w:tcMar>
            <w:vAlign w:val="bottom"/>
            <w:hideMark/>
          </w:tcPr>
          <w:p w14:paraId="10825D47" w14:textId="77777777" w:rsidR="00720217" w:rsidRPr="00720217" w:rsidRDefault="00720217" w:rsidP="00720217">
            <w:pPr>
              <w:jc w:val="center"/>
              <w:rPr>
                <w:rFonts w:ascii="Arial" w:hAnsi="Arial" w:cs="Arial"/>
              </w:rPr>
            </w:pPr>
            <w:r w:rsidRPr="00720217">
              <w:rPr>
                <w:rFonts w:ascii="Arial" w:hAnsi="Arial" w:cs="Arial"/>
                <w:color w:val="000000"/>
              </w:rPr>
              <w:t>69</w:t>
            </w:r>
          </w:p>
        </w:tc>
        <w:tc>
          <w:tcPr>
            <w:tcW w:w="709" w:type="dxa"/>
            <w:tcMar>
              <w:top w:w="0" w:type="dxa"/>
              <w:left w:w="70" w:type="dxa"/>
              <w:bottom w:w="0" w:type="dxa"/>
              <w:right w:w="70" w:type="dxa"/>
            </w:tcMar>
            <w:vAlign w:val="bottom"/>
            <w:hideMark/>
          </w:tcPr>
          <w:p w14:paraId="74413638" w14:textId="77777777" w:rsidR="00720217" w:rsidRPr="00720217" w:rsidRDefault="00720217" w:rsidP="00720217">
            <w:pPr>
              <w:jc w:val="center"/>
              <w:rPr>
                <w:rFonts w:ascii="Arial" w:hAnsi="Arial" w:cs="Arial"/>
              </w:rPr>
            </w:pPr>
            <w:r w:rsidRPr="00720217">
              <w:rPr>
                <w:rFonts w:ascii="Arial" w:hAnsi="Arial" w:cs="Arial"/>
                <w:color w:val="000000"/>
              </w:rPr>
              <w:t>24,2</w:t>
            </w:r>
          </w:p>
        </w:tc>
        <w:tc>
          <w:tcPr>
            <w:tcW w:w="850" w:type="dxa"/>
            <w:tcMar>
              <w:top w:w="0" w:type="dxa"/>
              <w:left w:w="70" w:type="dxa"/>
              <w:bottom w:w="0" w:type="dxa"/>
              <w:right w:w="70" w:type="dxa"/>
            </w:tcMar>
            <w:vAlign w:val="bottom"/>
            <w:hideMark/>
          </w:tcPr>
          <w:p w14:paraId="04CA02DA" w14:textId="77777777" w:rsidR="00720217" w:rsidRPr="00720217" w:rsidRDefault="00720217" w:rsidP="00720217">
            <w:pPr>
              <w:jc w:val="center"/>
              <w:rPr>
                <w:rFonts w:ascii="Arial" w:hAnsi="Arial" w:cs="Arial"/>
              </w:rPr>
            </w:pPr>
            <w:r w:rsidRPr="00720217">
              <w:rPr>
                <w:rFonts w:ascii="Arial" w:hAnsi="Arial" w:cs="Arial"/>
                <w:color w:val="000000"/>
              </w:rPr>
              <w:t>21</w:t>
            </w:r>
          </w:p>
        </w:tc>
        <w:tc>
          <w:tcPr>
            <w:tcW w:w="425" w:type="dxa"/>
            <w:tcMar>
              <w:top w:w="0" w:type="dxa"/>
              <w:left w:w="70" w:type="dxa"/>
              <w:bottom w:w="0" w:type="dxa"/>
              <w:right w:w="70" w:type="dxa"/>
            </w:tcMar>
            <w:vAlign w:val="bottom"/>
            <w:hideMark/>
          </w:tcPr>
          <w:p w14:paraId="54DC0617" w14:textId="77777777" w:rsidR="00720217" w:rsidRPr="00720217" w:rsidRDefault="00720217" w:rsidP="00720217">
            <w:pPr>
              <w:jc w:val="center"/>
              <w:rPr>
                <w:rFonts w:ascii="Arial" w:hAnsi="Arial" w:cs="Arial"/>
              </w:rPr>
            </w:pPr>
            <w:r w:rsidRPr="00720217">
              <w:rPr>
                <w:rFonts w:ascii="Arial" w:hAnsi="Arial" w:cs="Arial"/>
                <w:color w:val="000000"/>
              </w:rPr>
              <w:t>7,4</w:t>
            </w:r>
          </w:p>
        </w:tc>
        <w:tc>
          <w:tcPr>
            <w:tcW w:w="2127" w:type="dxa"/>
            <w:vMerge/>
            <w:vAlign w:val="center"/>
            <w:hideMark/>
          </w:tcPr>
          <w:p w14:paraId="17E2703B" w14:textId="77777777" w:rsidR="00720217" w:rsidRPr="00720217" w:rsidRDefault="00720217" w:rsidP="00720217">
            <w:pPr>
              <w:rPr>
                <w:rFonts w:ascii="Arial" w:hAnsi="Arial" w:cs="Arial"/>
                <w:color w:val="000000"/>
              </w:rPr>
            </w:pPr>
          </w:p>
        </w:tc>
      </w:tr>
      <w:tr w:rsidR="00720217" w:rsidRPr="00720217" w14:paraId="1087A19B" w14:textId="77777777" w:rsidTr="00720217">
        <w:trPr>
          <w:trHeight w:val="315"/>
        </w:trPr>
        <w:tc>
          <w:tcPr>
            <w:tcW w:w="2342" w:type="dxa"/>
            <w:tcMar>
              <w:top w:w="0" w:type="dxa"/>
              <w:left w:w="70" w:type="dxa"/>
              <w:bottom w:w="0" w:type="dxa"/>
              <w:right w:w="70" w:type="dxa"/>
            </w:tcMar>
            <w:hideMark/>
          </w:tcPr>
          <w:p w14:paraId="259664AD" w14:textId="77777777" w:rsidR="00720217" w:rsidRPr="00720217" w:rsidRDefault="00720217" w:rsidP="00720217">
            <w:pPr>
              <w:rPr>
                <w:rFonts w:ascii="Arial" w:hAnsi="Arial" w:cs="Arial"/>
                <w:b/>
              </w:rPr>
            </w:pPr>
            <w:r w:rsidRPr="00720217">
              <w:rPr>
                <w:rFonts w:ascii="Arial" w:hAnsi="Arial" w:cs="Arial"/>
                <w:b/>
              </w:rPr>
              <w:t>Other procedures</w:t>
            </w:r>
          </w:p>
        </w:tc>
        <w:tc>
          <w:tcPr>
            <w:tcW w:w="633" w:type="dxa"/>
            <w:tcMar>
              <w:top w:w="0" w:type="dxa"/>
              <w:left w:w="70" w:type="dxa"/>
              <w:bottom w:w="0" w:type="dxa"/>
              <w:right w:w="70" w:type="dxa"/>
            </w:tcMar>
            <w:vAlign w:val="bottom"/>
          </w:tcPr>
          <w:p w14:paraId="15A1039D"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5D144B71"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6E9F0ABC"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666BC295" w14:textId="77777777" w:rsidR="00720217" w:rsidRPr="00720217" w:rsidRDefault="00720217" w:rsidP="00720217">
            <w:pPr>
              <w:rPr>
                <w:rFonts w:ascii="Arial" w:hAnsi="Arial" w:cs="Arial"/>
              </w:rPr>
            </w:pPr>
          </w:p>
        </w:tc>
        <w:tc>
          <w:tcPr>
            <w:tcW w:w="850" w:type="dxa"/>
            <w:tcMar>
              <w:top w:w="0" w:type="dxa"/>
              <w:left w:w="70" w:type="dxa"/>
              <w:bottom w:w="0" w:type="dxa"/>
              <w:right w:w="70" w:type="dxa"/>
            </w:tcMar>
            <w:vAlign w:val="bottom"/>
          </w:tcPr>
          <w:p w14:paraId="4F14CABC" w14:textId="77777777" w:rsidR="00720217" w:rsidRPr="00720217" w:rsidRDefault="00720217" w:rsidP="00720217">
            <w:pPr>
              <w:rPr>
                <w:rFonts w:ascii="Arial" w:hAnsi="Arial" w:cs="Arial"/>
              </w:rPr>
            </w:pPr>
          </w:p>
        </w:tc>
        <w:tc>
          <w:tcPr>
            <w:tcW w:w="425" w:type="dxa"/>
            <w:tcMar>
              <w:top w:w="0" w:type="dxa"/>
              <w:left w:w="70" w:type="dxa"/>
              <w:bottom w:w="0" w:type="dxa"/>
              <w:right w:w="70" w:type="dxa"/>
            </w:tcMar>
            <w:vAlign w:val="bottom"/>
          </w:tcPr>
          <w:p w14:paraId="6BB26AC2" w14:textId="77777777" w:rsidR="00720217" w:rsidRPr="00720217" w:rsidRDefault="00720217" w:rsidP="00720217">
            <w:pPr>
              <w:rPr>
                <w:rFonts w:ascii="Arial" w:hAnsi="Arial" w:cs="Arial"/>
              </w:rPr>
            </w:pPr>
          </w:p>
        </w:tc>
        <w:tc>
          <w:tcPr>
            <w:tcW w:w="2127" w:type="dxa"/>
            <w:tcMar>
              <w:top w:w="0" w:type="dxa"/>
              <w:left w:w="70" w:type="dxa"/>
              <w:bottom w:w="0" w:type="dxa"/>
              <w:right w:w="70" w:type="dxa"/>
            </w:tcMar>
            <w:vAlign w:val="bottom"/>
          </w:tcPr>
          <w:p w14:paraId="36B673DC" w14:textId="77777777" w:rsidR="00720217" w:rsidRPr="00720217" w:rsidRDefault="00720217" w:rsidP="00720217">
            <w:pPr>
              <w:rPr>
                <w:rFonts w:ascii="Arial" w:hAnsi="Arial" w:cs="Arial"/>
              </w:rPr>
            </w:pPr>
          </w:p>
        </w:tc>
      </w:tr>
      <w:tr w:rsidR="00720217" w:rsidRPr="00720217" w14:paraId="46423DC0" w14:textId="77777777" w:rsidTr="00720217">
        <w:trPr>
          <w:trHeight w:val="315"/>
        </w:trPr>
        <w:tc>
          <w:tcPr>
            <w:tcW w:w="2342" w:type="dxa"/>
            <w:tcMar>
              <w:top w:w="0" w:type="dxa"/>
              <w:left w:w="70" w:type="dxa"/>
              <w:bottom w:w="0" w:type="dxa"/>
              <w:right w:w="70" w:type="dxa"/>
            </w:tcMar>
            <w:hideMark/>
          </w:tcPr>
          <w:p w14:paraId="3E4F7340" w14:textId="77777777" w:rsidR="00720217" w:rsidRPr="00720217" w:rsidRDefault="00720217" w:rsidP="00720217">
            <w:pPr>
              <w:rPr>
                <w:rFonts w:ascii="Arial" w:hAnsi="Arial" w:cs="Arial"/>
              </w:rPr>
            </w:pPr>
            <w:r w:rsidRPr="00720217">
              <w:rPr>
                <w:rFonts w:ascii="Arial" w:hAnsi="Arial" w:cs="Arial"/>
              </w:rPr>
              <w:t>Yes</w:t>
            </w:r>
          </w:p>
        </w:tc>
        <w:tc>
          <w:tcPr>
            <w:tcW w:w="633" w:type="dxa"/>
            <w:tcMar>
              <w:top w:w="0" w:type="dxa"/>
              <w:left w:w="70" w:type="dxa"/>
              <w:bottom w:w="0" w:type="dxa"/>
              <w:right w:w="70" w:type="dxa"/>
            </w:tcMar>
            <w:vAlign w:val="bottom"/>
            <w:hideMark/>
          </w:tcPr>
          <w:p w14:paraId="09054415" w14:textId="77777777" w:rsidR="00720217" w:rsidRPr="00720217" w:rsidRDefault="00720217" w:rsidP="00720217">
            <w:pPr>
              <w:jc w:val="center"/>
              <w:rPr>
                <w:rFonts w:ascii="Arial" w:hAnsi="Arial" w:cs="Arial"/>
              </w:rPr>
            </w:pPr>
            <w:r w:rsidRPr="00720217">
              <w:rPr>
                <w:rFonts w:ascii="Arial" w:hAnsi="Arial" w:cs="Arial"/>
                <w:color w:val="000000"/>
              </w:rPr>
              <w:t>1</w:t>
            </w:r>
          </w:p>
        </w:tc>
        <w:tc>
          <w:tcPr>
            <w:tcW w:w="709" w:type="dxa"/>
            <w:tcMar>
              <w:top w:w="0" w:type="dxa"/>
              <w:left w:w="70" w:type="dxa"/>
              <w:bottom w:w="0" w:type="dxa"/>
              <w:right w:w="70" w:type="dxa"/>
            </w:tcMar>
            <w:vAlign w:val="bottom"/>
            <w:hideMark/>
          </w:tcPr>
          <w:p w14:paraId="2A118756" w14:textId="77777777" w:rsidR="00720217" w:rsidRPr="00720217" w:rsidRDefault="00720217" w:rsidP="00720217">
            <w:pPr>
              <w:jc w:val="center"/>
              <w:rPr>
                <w:rFonts w:ascii="Arial" w:hAnsi="Arial" w:cs="Arial"/>
              </w:rPr>
            </w:pPr>
            <w:r w:rsidRPr="00720217">
              <w:rPr>
                <w:rFonts w:ascii="Arial" w:hAnsi="Arial" w:cs="Arial"/>
                <w:color w:val="000000"/>
              </w:rPr>
              <w:t>0,4</w:t>
            </w:r>
          </w:p>
        </w:tc>
        <w:tc>
          <w:tcPr>
            <w:tcW w:w="709" w:type="dxa"/>
            <w:tcMar>
              <w:top w:w="0" w:type="dxa"/>
              <w:left w:w="70" w:type="dxa"/>
              <w:bottom w:w="0" w:type="dxa"/>
              <w:right w:w="70" w:type="dxa"/>
            </w:tcMar>
            <w:vAlign w:val="bottom"/>
            <w:hideMark/>
          </w:tcPr>
          <w:p w14:paraId="7D81C06F" w14:textId="77777777" w:rsidR="00720217" w:rsidRPr="00720217" w:rsidRDefault="00720217" w:rsidP="00720217">
            <w:pPr>
              <w:jc w:val="center"/>
              <w:rPr>
                <w:rFonts w:ascii="Arial" w:hAnsi="Arial" w:cs="Arial"/>
              </w:rPr>
            </w:pPr>
            <w:r w:rsidRPr="00720217">
              <w:rPr>
                <w:rFonts w:ascii="Arial" w:hAnsi="Arial" w:cs="Arial"/>
                <w:color w:val="000000"/>
              </w:rPr>
              <w:t>8</w:t>
            </w:r>
          </w:p>
        </w:tc>
        <w:tc>
          <w:tcPr>
            <w:tcW w:w="709" w:type="dxa"/>
            <w:tcMar>
              <w:top w:w="0" w:type="dxa"/>
              <w:left w:w="70" w:type="dxa"/>
              <w:bottom w:w="0" w:type="dxa"/>
              <w:right w:w="70" w:type="dxa"/>
            </w:tcMar>
            <w:vAlign w:val="bottom"/>
            <w:hideMark/>
          </w:tcPr>
          <w:p w14:paraId="75C06C7D" w14:textId="77777777" w:rsidR="00720217" w:rsidRPr="00720217" w:rsidRDefault="00720217" w:rsidP="00720217">
            <w:pPr>
              <w:jc w:val="center"/>
              <w:rPr>
                <w:rFonts w:ascii="Arial" w:hAnsi="Arial" w:cs="Arial"/>
              </w:rPr>
            </w:pPr>
            <w:r w:rsidRPr="00720217">
              <w:rPr>
                <w:rFonts w:ascii="Arial" w:hAnsi="Arial" w:cs="Arial"/>
                <w:color w:val="000000"/>
              </w:rPr>
              <w:t>2,8</w:t>
            </w:r>
          </w:p>
        </w:tc>
        <w:tc>
          <w:tcPr>
            <w:tcW w:w="850" w:type="dxa"/>
            <w:tcMar>
              <w:top w:w="0" w:type="dxa"/>
              <w:left w:w="70" w:type="dxa"/>
              <w:bottom w:w="0" w:type="dxa"/>
              <w:right w:w="70" w:type="dxa"/>
            </w:tcMar>
            <w:vAlign w:val="bottom"/>
            <w:hideMark/>
          </w:tcPr>
          <w:p w14:paraId="720EF583" w14:textId="77777777" w:rsidR="00720217" w:rsidRPr="00720217" w:rsidRDefault="00720217" w:rsidP="00720217">
            <w:pPr>
              <w:jc w:val="center"/>
              <w:rPr>
                <w:rFonts w:ascii="Arial" w:hAnsi="Arial" w:cs="Arial"/>
              </w:rPr>
            </w:pPr>
            <w:r w:rsidRPr="00720217">
              <w:rPr>
                <w:rFonts w:ascii="Arial" w:hAnsi="Arial" w:cs="Arial"/>
                <w:color w:val="000000"/>
              </w:rPr>
              <w:t>1</w:t>
            </w:r>
          </w:p>
        </w:tc>
        <w:tc>
          <w:tcPr>
            <w:tcW w:w="425" w:type="dxa"/>
            <w:tcMar>
              <w:top w:w="0" w:type="dxa"/>
              <w:left w:w="70" w:type="dxa"/>
              <w:bottom w:w="0" w:type="dxa"/>
              <w:right w:w="70" w:type="dxa"/>
            </w:tcMar>
            <w:vAlign w:val="bottom"/>
            <w:hideMark/>
          </w:tcPr>
          <w:p w14:paraId="42ED9767" w14:textId="77777777" w:rsidR="00720217" w:rsidRPr="00720217" w:rsidRDefault="00720217" w:rsidP="00720217">
            <w:pPr>
              <w:jc w:val="center"/>
              <w:rPr>
                <w:rFonts w:ascii="Arial" w:hAnsi="Arial" w:cs="Arial"/>
              </w:rPr>
            </w:pPr>
            <w:r w:rsidRPr="00720217">
              <w:rPr>
                <w:rFonts w:ascii="Arial" w:hAnsi="Arial" w:cs="Arial"/>
                <w:color w:val="000000"/>
              </w:rPr>
              <w:t>0,4</w:t>
            </w:r>
          </w:p>
        </w:tc>
        <w:tc>
          <w:tcPr>
            <w:tcW w:w="2127" w:type="dxa"/>
            <w:vMerge w:val="restart"/>
            <w:tcMar>
              <w:top w:w="0" w:type="dxa"/>
              <w:left w:w="70" w:type="dxa"/>
              <w:bottom w:w="0" w:type="dxa"/>
              <w:right w:w="70" w:type="dxa"/>
            </w:tcMar>
            <w:vAlign w:val="center"/>
            <w:hideMark/>
          </w:tcPr>
          <w:p w14:paraId="2FD62B27" w14:textId="77777777" w:rsidR="00720217" w:rsidRPr="00720217" w:rsidRDefault="00720217" w:rsidP="00720217">
            <w:pPr>
              <w:jc w:val="center"/>
              <w:rPr>
                <w:rFonts w:ascii="Arial" w:hAnsi="Arial" w:cs="Arial"/>
                <w:color w:val="000000"/>
              </w:rPr>
            </w:pPr>
            <w:r w:rsidRPr="00720217">
              <w:rPr>
                <w:rFonts w:ascii="Arial" w:hAnsi="Arial" w:cs="Arial"/>
                <w:color w:val="000000"/>
              </w:rPr>
              <w:t>X</w:t>
            </w:r>
            <w:r w:rsidRPr="00720217">
              <w:rPr>
                <w:rFonts w:ascii="Arial" w:hAnsi="Arial" w:cs="Arial"/>
                <w:color w:val="000000"/>
                <w:vertAlign w:val="superscript"/>
              </w:rPr>
              <w:t>2</w:t>
            </w:r>
            <w:r w:rsidRPr="00720217">
              <w:rPr>
                <w:rFonts w:ascii="Arial" w:hAnsi="Arial" w:cs="Arial"/>
                <w:color w:val="000000"/>
              </w:rPr>
              <w:t>= 12,629; p=0,002*</w:t>
            </w:r>
          </w:p>
        </w:tc>
      </w:tr>
      <w:tr w:rsidR="00720217" w:rsidRPr="00720217" w14:paraId="0B86CC7A" w14:textId="77777777" w:rsidTr="00720217">
        <w:trPr>
          <w:trHeight w:val="315"/>
        </w:trPr>
        <w:tc>
          <w:tcPr>
            <w:tcW w:w="2342" w:type="dxa"/>
            <w:tcMar>
              <w:top w:w="0" w:type="dxa"/>
              <w:left w:w="70" w:type="dxa"/>
              <w:bottom w:w="0" w:type="dxa"/>
              <w:right w:w="70" w:type="dxa"/>
            </w:tcMar>
            <w:hideMark/>
          </w:tcPr>
          <w:p w14:paraId="7647CCA2" w14:textId="77777777" w:rsidR="00720217" w:rsidRPr="00720217" w:rsidRDefault="00720217" w:rsidP="00720217">
            <w:pPr>
              <w:rPr>
                <w:rFonts w:ascii="Arial" w:hAnsi="Arial" w:cs="Arial"/>
              </w:rPr>
            </w:pPr>
            <w:r w:rsidRPr="00720217">
              <w:rPr>
                <w:rFonts w:ascii="Arial" w:hAnsi="Arial" w:cs="Arial"/>
              </w:rPr>
              <w:t>No</w:t>
            </w:r>
          </w:p>
        </w:tc>
        <w:tc>
          <w:tcPr>
            <w:tcW w:w="633" w:type="dxa"/>
            <w:tcMar>
              <w:top w:w="0" w:type="dxa"/>
              <w:left w:w="70" w:type="dxa"/>
              <w:bottom w:w="0" w:type="dxa"/>
              <w:right w:w="70" w:type="dxa"/>
            </w:tcMar>
            <w:vAlign w:val="bottom"/>
            <w:hideMark/>
          </w:tcPr>
          <w:p w14:paraId="3B82538B" w14:textId="77777777" w:rsidR="00720217" w:rsidRPr="00720217" w:rsidRDefault="00720217" w:rsidP="00720217">
            <w:pPr>
              <w:jc w:val="center"/>
              <w:rPr>
                <w:rFonts w:ascii="Arial" w:hAnsi="Arial" w:cs="Arial"/>
              </w:rPr>
            </w:pPr>
            <w:r w:rsidRPr="00720217">
              <w:rPr>
                <w:rFonts w:ascii="Arial" w:hAnsi="Arial" w:cs="Arial"/>
                <w:color w:val="000000"/>
              </w:rPr>
              <w:t>174</w:t>
            </w:r>
          </w:p>
        </w:tc>
        <w:tc>
          <w:tcPr>
            <w:tcW w:w="709" w:type="dxa"/>
            <w:tcMar>
              <w:top w:w="0" w:type="dxa"/>
              <w:left w:w="70" w:type="dxa"/>
              <w:bottom w:w="0" w:type="dxa"/>
              <w:right w:w="70" w:type="dxa"/>
            </w:tcMar>
            <w:vAlign w:val="bottom"/>
            <w:hideMark/>
          </w:tcPr>
          <w:p w14:paraId="11CBDC88" w14:textId="77777777" w:rsidR="00720217" w:rsidRPr="00720217" w:rsidRDefault="00720217" w:rsidP="00720217">
            <w:pPr>
              <w:jc w:val="center"/>
              <w:rPr>
                <w:rFonts w:ascii="Arial" w:hAnsi="Arial" w:cs="Arial"/>
              </w:rPr>
            </w:pPr>
            <w:r w:rsidRPr="00720217">
              <w:rPr>
                <w:rFonts w:ascii="Arial" w:hAnsi="Arial" w:cs="Arial"/>
                <w:color w:val="000000"/>
              </w:rPr>
              <w:t>61,1</w:t>
            </w:r>
          </w:p>
        </w:tc>
        <w:tc>
          <w:tcPr>
            <w:tcW w:w="709" w:type="dxa"/>
            <w:tcMar>
              <w:top w:w="0" w:type="dxa"/>
              <w:left w:w="70" w:type="dxa"/>
              <w:bottom w:w="0" w:type="dxa"/>
              <w:right w:w="70" w:type="dxa"/>
            </w:tcMar>
            <w:vAlign w:val="bottom"/>
            <w:hideMark/>
          </w:tcPr>
          <w:p w14:paraId="54D8097F" w14:textId="77777777" w:rsidR="00720217" w:rsidRPr="00720217" w:rsidRDefault="00720217" w:rsidP="00720217">
            <w:pPr>
              <w:jc w:val="center"/>
              <w:rPr>
                <w:rFonts w:ascii="Arial" w:hAnsi="Arial" w:cs="Arial"/>
              </w:rPr>
            </w:pPr>
            <w:r w:rsidRPr="00720217">
              <w:rPr>
                <w:rFonts w:ascii="Arial" w:hAnsi="Arial" w:cs="Arial"/>
                <w:color w:val="000000"/>
              </w:rPr>
              <w:t>80</w:t>
            </w:r>
          </w:p>
        </w:tc>
        <w:tc>
          <w:tcPr>
            <w:tcW w:w="709" w:type="dxa"/>
            <w:tcMar>
              <w:top w:w="0" w:type="dxa"/>
              <w:left w:w="70" w:type="dxa"/>
              <w:bottom w:w="0" w:type="dxa"/>
              <w:right w:w="70" w:type="dxa"/>
            </w:tcMar>
            <w:vAlign w:val="bottom"/>
            <w:hideMark/>
          </w:tcPr>
          <w:p w14:paraId="7EF140E6" w14:textId="77777777" w:rsidR="00720217" w:rsidRPr="00720217" w:rsidRDefault="00720217" w:rsidP="00720217">
            <w:pPr>
              <w:jc w:val="center"/>
              <w:rPr>
                <w:rFonts w:ascii="Arial" w:hAnsi="Arial" w:cs="Arial"/>
              </w:rPr>
            </w:pPr>
            <w:r w:rsidRPr="00720217">
              <w:rPr>
                <w:rFonts w:ascii="Arial" w:hAnsi="Arial" w:cs="Arial"/>
                <w:color w:val="000000"/>
              </w:rPr>
              <w:t>28,1</w:t>
            </w:r>
          </w:p>
        </w:tc>
        <w:tc>
          <w:tcPr>
            <w:tcW w:w="850" w:type="dxa"/>
            <w:tcMar>
              <w:top w:w="0" w:type="dxa"/>
              <w:left w:w="70" w:type="dxa"/>
              <w:bottom w:w="0" w:type="dxa"/>
              <w:right w:w="70" w:type="dxa"/>
            </w:tcMar>
            <w:vAlign w:val="bottom"/>
            <w:hideMark/>
          </w:tcPr>
          <w:p w14:paraId="0853A9C0" w14:textId="77777777" w:rsidR="00720217" w:rsidRPr="00720217" w:rsidRDefault="00720217" w:rsidP="00720217">
            <w:pPr>
              <w:jc w:val="center"/>
              <w:rPr>
                <w:rFonts w:ascii="Arial" w:hAnsi="Arial" w:cs="Arial"/>
              </w:rPr>
            </w:pPr>
            <w:r w:rsidRPr="00720217">
              <w:rPr>
                <w:rFonts w:ascii="Arial" w:hAnsi="Arial" w:cs="Arial"/>
                <w:color w:val="000000"/>
              </w:rPr>
              <w:t>21</w:t>
            </w:r>
          </w:p>
        </w:tc>
        <w:tc>
          <w:tcPr>
            <w:tcW w:w="425" w:type="dxa"/>
            <w:tcMar>
              <w:top w:w="0" w:type="dxa"/>
              <w:left w:w="70" w:type="dxa"/>
              <w:bottom w:w="0" w:type="dxa"/>
              <w:right w:w="70" w:type="dxa"/>
            </w:tcMar>
            <w:vAlign w:val="bottom"/>
            <w:hideMark/>
          </w:tcPr>
          <w:p w14:paraId="0CA3D756" w14:textId="77777777" w:rsidR="00720217" w:rsidRPr="00720217" w:rsidRDefault="00720217" w:rsidP="00720217">
            <w:pPr>
              <w:jc w:val="center"/>
              <w:rPr>
                <w:rFonts w:ascii="Arial" w:hAnsi="Arial" w:cs="Arial"/>
              </w:rPr>
            </w:pPr>
            <w:r w:rsidRPr="00720217">
              <w:rPr>
                <w:rFonts w:ascii="Arial" w:hAnsi="Arial" w:cs="Arial"/>
                <w:color w:val="000000"/>
              </w:rPr>
              <w:t>7,4</w:t>
            </w:r>
          </w:p>
        </w:tc>
        <w:tc>
          <w:tcPr>
            <w:tcW w:w="2127" w:type="dxa"/>
            <w:vMerge/>
            <w:vAlign w:val="center"/>
            <w:hideMark/>
          </w:tcPr>
          <w:p w14:paraId="0488B4A5" w14:textId="77777777" w:rsidR="00720217" w:rsidRPr="00720217" w:rsidRDefault="00720217" w:rsidP="00720217">
            <w:pPr>
              <w:rPr>
                <w:rFonts w:ascii="Arial" w:hAnsi="Arial" w:cs="Arial"/>
                <w:color w:val="000000"/>
              </w:rPr>
            </w:pPr>
          </w:p>
        </w:tc>
      </w:tr>
      <w:tr w:rsidR="00720217" w:rsidRPr="00720217" w14:paraId="7F78668B" w14:textId="77777777" w:rsidTr="00720217">
        <w:trPr>
          <w:trHeight w:val="315"/>
        </w:trPr>
        <w:tc>
          <w:tcPr>
            <w:tcW w:w="2342" w:type="dxa"/>
            <w:tcMar>
              <w:top w:w="0" w:type="dxa"/>
              <w:left w:w="70" w:type="dxa"/>
              <w:bottom w:w="0" w:type="dxa"/>
              <w:right w:w="70" w:type="dxa"/>
            </w:tcMar>
            <w:hideMark/>
          </w:tcPr>
          <w:p w14:paraId="4D5F1014" w14:textId="789C0CF3" w:rsidR="00720217" w:rsidRPr="00720217" w:rsidRDefault="00720217" w:rsidP="00720217">
            <w:pPr>
              <w:rPr>
                <w:rFonts w:ascii="Arial" w:hAnsi="Arial" w:cs="Arial"/>
                <w:b/>
              </w:rPr>
            </w:pPr>
            <w:r w:rsidRPr="00720217">
              <w:rPr>
                <w:rFonts w:ascii="Arial" w:hAnsi="Arial" w:cs="Arial"/>
                <w:b/>
              </w:rPr>
              <w:t>Blood component</w:t>
            </w:r>
          </w:p>
        </w:tc>
        <w:tc>
          <w:tcPr>
            <w:tcW w:w="633" w:type="dxa"/>
            <w:tcMar>
              <w:top w:w="0" w:type="dxa"/>
              <w:left w:w="70" w:type="dxa"/>
              <w:bottom w:w="0" w:type="dxa"/>
              <w:right w:w="70" w:type="dxa"/>
            </w:tcMar>
            <w:vAlign w:val="bottom"/>
          </w:tcPr>
          <w:p w14:paraId="52F8AC1A"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28EF3D4F"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7D0FCDB2"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6253293D" w14:textId="77777777" w:rsidR="00720217" w:rsidRPr="00720217" w:rsidRDefault="00720217" w:rsidP="00720217">
            <w:pPr>
              <w:rPr>
                <w:rFonts w:ascii="Arial" w:hAnsi="Arial" w:cs="Arial"/>
              </w:rPr>
            </w:pPr>
          </w:p>
        </w:tc>
        <w:tc>
          <w:tcPr>
            <w:tcW w:w="850" w:type="dxa"/>
            <w:tcMar>
              <w:top w:w="0" w:type="dxa"/>
              <w:left w:w="70" w:type="dxa"/>
              <w:bottom w:w="0" w:type="dxa"/>
              <w:right w:w="70" w:type="dxa"/>
            </w:tcMar>
            <w:vAlign w:val="bottom"/>
          </w:tcPr>
          <w:p w14:paraId="2B61E181" w14:textId="77777777" w:rsidR="00720217" w:rsidRPr="00720217" w:rsidRDefault="00720217" w:rsidP="00720217">
            <w:pPr>
              <w:rPr>
                <w:rFonts w:ascii="Arial" w:hAnsi="Arial" w:cs="Arial"/>
              </w:rPr>
            </w:pPr>
          </w:p>
        </w:tc>
        <w:tc>
          <w:tcPr>
            <w:tcW w:w="425" w:type="dxa"/>
            <w:tcMar>
              <w:top w:w="0" w:type="dxa"/>
              <w:left w:w="70" w:type="dxa"/>
              <w:bottom w:w="0" w:type="dxa"/>
              <w:right w:w="70" w:type="dxa"/>
            </w:tcMar>
            <w:vAlign w:val="bottom"/>
          </w:tcPr>
          <w:p w14:paraId="6514CB42" w14:textId="77777777" w:rsidR="00720217" w:rsidRPr="00720217" w:rsidRDefault="00720217" w:rsidP="00720217">
            <w:pPr>
              <w:rPr>
                <w:rFonts w:ascii="Arial" w:hAnsi="Arial" w:cs="Arial"/>
              </w:rPr>
            </w:pPr>
          </w:p>
        </w:tc>
        <w:tc>
          <w:tcPr>
            <w:tcW w:w="2127" w:type="dxa"/>
            <w:tcMar>
              <w:top w:w="0" w:type="dxa"/>
              <w:left w:w="70" w:type="dxa"/>
              <w:bottom w:w="0" w:type="dxa"/>
              <w:right w:w="70" w:type="dxa"/>
            </w:tcMar>
            <w:vAlign w:val="bottom"/>
          </w:tcPr>
          <w:p w14:paraId="69C6820F" w14:textId="77777777" w:rsidR="00720217" w:rsidRPr="00720217" w:rsidRDefault="00720217" w:rsidP="00720217">
            <w:pPr>
              <w:rPr>
                <w:rFonts w:ascii="Arial" w:hAnsi="Arial" w:cs="Arial"/>
              </w:rPr>
            </w:pPr>
          </w:p>
        </w:tc>
      </w:tr>
      <w:tr w:rsidR="00720217" w:rsidRPr="00720217" w14:paraId="2DB8E2EA" w14:textId="77777777" w:rsidTr="00720217">
        <w:trPr>
          <w:trHeight w:val="315"/>
        </w:trPr>
        <w:tc>
          <w:tcPr>
            <w:tcW w:w="2342" w:type="dxa"/>
            <w:tcMar>
              <w:top w:w="0" w:type="dxa"/>
              <w:left w:w="70" w:type="dxa"/>
              <w:bottom w:w="0" w:type="dxa"/>
              <w:right w:w="70" w:type="dxa"/>
            </w:tcMar>
            <w:hideMark/>
          </w:tcPr>
          <w:p w14:paraId="4902CE51" w14:textId="77777777" w:rsidR="00720217" w:rsidRPr="00720217" w:rsidRDefault="00720217" w:rsidP="00720217">
            <w:pPr>
              <w:rPr>
                <w:rFonts w:ascii="Arial" w:hAnsi="Arial" w:cs="Arial"/>
              </w:rPr>
            </w:pPr>
            <w:r w:rsidRPr="00720217">
              <w:rPr>
                <w:rFonts w:ascii="Arial" w:hAnsi="Arial" w:cs="Arial"/>
              </w:rPr>
              <w:t>Yes</w:t>
            </w:r>
          </w:p>
        </w:tc>
        <w:tc>
          <w:tcPr>
            <w:tcW w:w="633" w:type="dxa"/>
            <w:tcMar>
              <w:top w:w="0" w:type="dxa"/>
              <w:left w:w="70" w:type="dxa"/>
              <w:bottom w:w="0" w:type="dxa"/>
              <w:right w:w="70" w:type="dxa"/>
            </w:tcMar>
            <w:vAlign w:val="bottom"/>
            <w:hideMark/>
          </w:tcPr>
          <w:p w14:paraId="0BB1E1F4" w14:textId="77777777" w:rsidR="00720217" w:rsidRPr="00720217" w:rsidRDefault="00720217" w:rsidP="00720217">
            <w:pPr>
              <w:jc w:val="center"/>
              <w:rPr>
                <w:rFonts w:ascii="Arial" w:hAnsi="Arial" w:cs="Arial"/>
              </w:rPr>
            </w:pPr>
            <w:r w:rsidRPr="00720217">
              <w:rPr>
                <w:rFonts w:ascii="Arial" w:hAnsi="Arial" w:cs="Arial"/>
                <w:color w:val="000000"/>
              </w:rPr>
              <w:t>18</w:t>
            </w:r>
          </w:p>
        </w:tc>
        <w:tc>
          <w:tcPr>
            <w:tcW w:w="709" w:type="dxa"/>
            <w:tcMar>
              <w:top w:w="0" w:type="dxa"/>
              <w:left w:w="70" w:type="dxa"/>
              <w:bottom w:w="0" w:type="dxa"/>
              <w:right w:w="70" w:type="dxa"/>
            </w:tcMar>
            <w:vAlign w:val="bottom"/>
            <w:hideMark/>
          </w:tcPr>
          <w:p w14:paraId="42361007" w14:textId="77777777" w:rsidR="00720217" w:rsidRPr="00720217" w:rsidRDefault="00720217" w:rsidP="00720217">
            <w:pPr>
              <w:jc w:val="center"/>
              <w:rPr>
                <w:rFonts w:ascii="Arial" w:hAnsi="Arial" w:cs="Arial"/>
              </w:rPr>
            </w:pPr>
            <w:r w:rsidRPr="00720217">
              <w:rPr>
                <w:rFonts w:ascii="Arial" w:hAnsi="Arial" w:cs="Arial"/>
                <w:color w:val="000000"/>
              </w:rPr>
              <w:t>6,3</w:t>
            </w:r>
          </w:p>
        </w:tc>
        <w:tc>
          <w:tcPr>
            <w:tcW w:w="709" w:type="dxa"/>
            <w:tcMar>
              <w:top w:w="0" w:type="dxa"/>
              <w:left w:w="70" w:type="dxa"/>
              <w:bottom w:w="0" w:type="dxa"/>
              <w:right w:w="70" w:type="dxa"/>
            </w:tcMar>
            <w:vAlign w:val="bottom"/>
            <w:hideMark/>
          </w:tcPr>
          <w:p w14:paraId="2F11B3D6" w14:textId="77777777" w:rsidR="00720217" w:rsidRPr="00720217" w:rsidRDefault="00720217" w:rsidP="00720217">
            <w:pPr>
              <w:jc w:val="center"/>
              <w:rPr>
                <w:rFonts w:ascii="Arial" w:hAnsi="Arial" w:cs="Arial"/>
              </w:rPr>
            </w:pPr>
            <w:r w:rsidRPr="00720217">
              <w:rPr>
                <w:rFonts w:ascii="Arial" w:hAnsi="Arial" w:cs="Arial"/>
                <w:color w:val="000000"/>
              </w:rPr>
              <w:t>32</w:t>
            </w:r>
          </w:p>
        </w:tc>
        <w:tc>
          <w:tcPr>
            <w:tcW w:w="709" w:type="dxa"/>
            <w:tcMar>
              <w:top w:w="0" w:type="dxa"/>
              <w:left w:w="70" w:type="dxa"/>
              <w:bottom w:w="0" w:type="dxa"/>
              <w:right w:w="70" w:type="dxa"/>
            </w:tcMar>
            <w:vAlign w:val="bottom"/>
            <w:hideMark/>
          </w:tcPr>
          <w:p w14:paraId="552CE3AB" w14:textId="77777777" w:rsidR="00720217" w:rsidRPr="00720217" w:rsidRDefault="00720217" w:rsidP="00720217">
            <w:pPr>
              <w:jc w:val="center"/>
              <w:rPr>
                <w:rFonts w:ascii="Arial" w:hAnsi="Arial" w:cs="Arial"/>
              </w:rPr>
            </w:pPr>
            <w:r w:rsidRPr="00720217">
              <w:rPr>
                <w:rFonts w:ascii="Arial" w:hAnsi="Arial" w:cs="Arial"/>
                <w:color w:val="000000"/>
              </w:rPr>
              <w:t>11,2</w:t>
            </w:r>
          </w:p>
        </w:tc>
        <w:tc>
          <w:tcPr>
            <w:tcW w:w="850" w:type="dxa"/>
            <w:tcMar>
              <w:top w:w="0" w:type="dxa"/>
              <w:left w:w="70" w:type="dxa"/>
              <w:bottom w:w="0" w:type="dxa"/>
              <w:right w:w="70" w:type="dxa"/>
            </w:tcMar>
            <w:vAlign w:val="bottom"/>
            <w:hideMark/>
          </w:tcPr>
          <w:p w14:paraId="3627098A" w14:textId="77777777" w:rsidR="00720217" w:rsidRPr="00720217" w:rsidRDefault="00720217" w:rsidP="00720217">
            <w:pPr>
              <w:jc w:val="center"/>
              <w:rPr>
                <w:rFonts w:ascii="Arial" w:hAnsi="Arial" w:cs="Arial"/>
              </w:rPr>
            </w:pPr>
            <w:r w:rsidRPr="00720217">
              <w:rPr>
                <w:rFonts w:ascii="Arial" w:hAnsi="Arial" w:cs="Arial"/>
                <w:color w:val="000000"/>
              </w:rPr>
              <w:t>6</w:t>
            </w:r>
          </w:p>
        </w:tc>
        <w:tc>
          <w:tcPr>
            <w:tcW w:w="425" w:type="dxa"/>
            <w:tcMar>
              <w:top w:w="0" w:type="dxa"/>
              <w:left w:w="70" w:type="dxa"/>
              <w:bottom w:w="0" w:type="dxa"/>
              <w:right w:w="70" w:type="dxa"/>
            </w:tcMar>
            <w:vAlign w:val="bottom"/>
            <w:hideMark/>
          </w:tcPr>
          <w:p w14:paraId="12A5B4A0" w14:textId="77777777" w:rsidR="00720217" w:rsidRPr="00720217" w:rsidRDefault="00720217" w:rsidP="00720217">
            <w:pPr>
              <w:jc w:val="center"/>
              <w:rPr>
                <w:rFonts w:ascii="Arial" w:hAnsi="Arial" w:cs="Arial"/>
              </w:rPr>
            </w:pPr>
            <w:r w:rsidRPr="00720217">
              <w:rPr>
                <w:rFonts w:ascii="Arial" w:hAnsi="Arial" w:cs="Arial"/>
                <w:color w:val="000000"/>
              </w:rPr>
              <w:t>2,1</w:t>
            </w:r>
          </w:p>
        </w:tc>
        <w:tc>
          <w:tcPr>
            <w:tcW w:w="2127" w:type="dxa"/>
            <w:vMerge w:val="restart"/>
            <w:tcMar>
              <w:top w:w="0" w:type="dxa"/>
              <w:left w:w="70" w:type="dxa"/>
              <w:bottom w:w="0" w:type="dxa"/>
              <w:right w:w="70" w:type="dxa"/>
            </w:tcMar>
            <w:vAlign w:val="center"/>
            <w:hideMark/>
          </w:tcPr>
          <w:p w14:paraId="7A0F0828" w14:textId="77777777" w:rsidR="00720217" w:rsidRPr="00720217" w:rsidRDefault="00720217" w:rsidP="00720217">
            <w:pPr>
              <w:jc w:val="center"/>
              <w:rPr>
                <w:rFonts w:ascii="Arial" w:hAnsi="Arial" w:cs="Arial"/>
                <w:color w:val="000000"/>
              </w:rPr>
            </w:pPr>
            <w:r w:rsidRPr="00720217">
              <w:rPr>
                <w:rFonts w:ascii="Arial" w:hAnsi="Arial" w:cs="Arial"/>
                <w:color w:val="000000"/>
              </w:rPr>
              <w:t>X</w:t>
            </w:r>
            <w:r w:rsidRPr="00720217">
              <w:rPr>
                <w:rFonts w:ascii="Arial" w:hAnsi="Arial" w:cs="Arial"/>
                <w:color w:val="000000"/>
                <w:vertAlign w:val="superscript"/>
              </w:rPr>
              <w:t>2</w:t>
            </w:r>
            <w:r w:rsidRPr="00720217">
              <w:rPr>
                <w:rFonts w:ascii="Arial" w:hAnsi="Arial" w:cs="Arial"/>
                <w:color w:val="000000"/>
              </w:rPr>
              <w:t>= 26,099; p=0,000*</w:t>
            </w:r>
          </w:p>
        </w:tc>
      </w:tr>
      <w:tr w:rsidR="00720217" w:rsidRPr="00720217" w14:paraId="78B0E239" w14:textId="77777777" w:rsidTr="00720217">
        <w:trPr>
          <w:trHeight w:val="315"/>
        </w:trPr>
        <w:tc>
          <w:tcPr>
            <w:tcW w:w="2342" w:type="dxa"/>
            <w:tcMar>
              <w:top w:w="0" w:type="dxa"/>
              <w:left w:w="70" w:type="dxa"/>
              <w:bottom w:w="0" w:type="dxa"/>
              <w:right w:w="70" w:type="dxa"/>
            </w:tcMar>
            <w:hideMark/>
          </w:tcPr>
          <w:p w14:paraId="28E5F291" w14:textId="77777777" w:rsidR="00720217" w:rsidRPr="00720217" w:rsidRDefault="00720217" w:rsidP="00720217">
            <w:pPr>
              <w:rPr>
                <w:rFonts w:ascii="Arial" w:hAnsi="Arial" w:cs="Arial"/>
              </w:rPr>
            </w:pPr>
            <w:r w:rsidRPr="00720217">
              <w:rPr>
                <w:rFonts w:ascii="Arial" w:hAnsi="Arial" w:cs="Arial"/>
              </w:rPr>
              <w:t>No</w:t>
            </w:r>
          </w:p>
        </w:tc>
        <w:tc>
          <w:tcPr>
            <w:tcW w:w="633" w:type="dxa"/>
            <w:tcMar>
              <w:top w:w="0" w:type="dxa"/>
              <w:left w:w="70" w:type="dxa"/>
              <w:bottom w:w="0" w:type="dxa"/>
              <w:right w:w="70" w:type="dxa"/>
            </w:tcMar>
            <w:vAlign w:val="bottom"/>
            <w:hideMark/>
          </w:tcPr>
          <w:p w14:paraId="18976A10" w14:textId="77777777" w:rsidR="00720217" w:rsidRPr="00720217" w:rsidRDefault="00720217" w:rsidP="00720217">
            <w:pPr>
              <w:jc w:val="center"/>
              <w:rPr>
                <w:rFonts w:ascii="Arial" w:hAnsi="Arial" w:cs="Arial"/>
              </w:rPr>
            </w:pPr>
            <w:r w:rsidRPr="00720217">
              <w:rPr>
                <w:rFonts w:ascii="Arial" w:hAnsi="Arial" w:cs="Arial"/>
                <w:color w:val="000000"/>
              </w:rPr>
              <w:t>157</w:t>
            </w:r>
          </w:p>
        </w:tc>
        <w:tc>
          <w:tcPr>
            <w:tcW w:w="709" w:type="dxa"/>
            <w:tcMar>
              <w:top w:w="0" w:type="dxa"/>
              <w:left w:w="70" w:type="dxa"/>
              <w:bottom w:w="0" w:type="dxa"/>
              <w:right w:w="70" w:type="dxa"/>
            </w:tcMar>
            <w:vAlign w:val="bottom"/>
            <w:hideMark/>
          </w:tcPr>
          <w:p w14:paraId="03CCA2EF" w14:textId="77777777" w:rsidR="00720217" w:rsidRPr="00720217" w:rsidRDefault="00720217" w:rsidP="00720217">
            <w:pPr>
              <w:jc w:val="center"/>
              <w:rPr>
                <w:rFonts w:ascii="Arial" w:hAnsi="Arial" w:cs="Arial"/>
              </w:rPr>
            </w:pPr>
            <w:r w:rsidRPr="00720217">
              <w:rPr>
                <w:rFonts w:ascii="Arial" w:hAnsi="Arial" w:cs="Arial"/>
                <w:color w:val="000000"/>
              </w:rPr>
              <w:t>55,1</w:t>
            </w:r>
          </w:p>
        </w:tc>
        <w:tc>
          <w:tcPr>
            <w:tcW w:w="709" w:type="dxa"/>
            <w:tcMar>
              <w:top w:w="0" w:type="dxa"/>
              <w:left w:w="70" w:type="dxa"/>
              <w:bottom w:w="0" w:type="dxa"/>
              <w:right w:w="70" w:type="dxa"/>
            </w:tcMar>
            <w:vAlign w:val="bottom"/>
            <w:hideMark/>
          </w:tcPr>
          <w:p w14:paraId="5C936A5D" w14:textId="77777777" w:rsidR="00720217" w:rsidRPr="00720217" w:rsidRDefault="00720217" w:rsidP="00720217">
            <w:pPr>
              <w:jc w:val="center"/>
              <w:rPr>
                <w:rFonts w:ascii="Arial" w:hAnsi="Arial" w:cs="Arial"/>
              </w:rPr>
            </w:pPr>
            <w:r w:rsidRPr="00720217">
              <w:rPr>
                <w:rFonts w:ascii="Arial" w:hAnsi="Arial" w:cs="Arial"/>
                <w:color w:val="000000"/>
              </w:rPr>
              <w:t>56</w:t>
            </w:r>
          </w:p>
        </w:tc>
        <w:tc>
          <w:tcPr>
            <w:tcW w:w="709" w:type="dxa"/>
            <w:tcMar>
              <w:top w:w="0" w:type="dxa"/>
              <w:left w:w="70" w:type="dxa"/>
              <w:bottom w:w="0" w:type="dxa"/>
              <w:right w:w="70" w:type="dxa"/>
            </w:tcMar>
            <w:vAlign w:val="bottom"/>
            <w:hideMark/>
          </w:tcPr>
          <w:p w14:paraId="1E644CD3" w14:textId="77777777" w:rsidR="00720217" w:rsidRPr="00720217" w:rsidRDefault="00720217" w:rsidP="00720217">
            <w:pPr>
              <w:jc w:val="center"/>
              <w:rPr>
                <w:rFonts w:ascii="Arial" w:hAnsi="Arial" w:cs="Arial"/>
              </w:rPr>
            </w:pPr>
            <w:r w:rsidRPr="00720217">
              <w:rPr>
                <w:rFonts w:ascii="Arial" w:hAnsi="Arial" w:cs="Arial"/>
                <w:color w:val="000000"/>
              </w:rPr>
              <w:t>19,6</w:t>
            </w:r>
          </w:p>
        </w:tc>
        <w:tc>
          <w:tcPr>
            <w:tcW w:w="850" w:type="dxa"/>
            <w:tcMar>
              <w:top w:w="0" w:type="dxa"/>
              <w:left w:w="70" w:type="dxa"/>
              <w:bottom w:w="0" w:type="dxa"/>
              <w:right w:w="70" w:type="dxa"/>
            </w:tcMar>
            <w:vAlign w:val="bottom"/>
            <w:hideMark/>
          </w:tcPr>
          <w:p w14:paraId="08E408BB" w14:textId="77777777" w:rsidR="00720217" w:rsidRPr="00720217" w:rsidRDefault="00720217" w:rsidP="00720217">
            <w:pPr>
              <w:jc w:val="center"/>
              <w:rPr>
                <w:rFonts w:ascii="Arial" w:hAnsi="Arial" w:cs="Arial"/>
              </w:rPr>
            </w:pPr>
            <w:r w:rsidRPr="00720217">
              <w:rPr>
                <w:rFonts w:ascii="Arial" w:hAnsi="Arial" w:cs="Arial"/>
                <w:color w:val="000000"/>
              </w:rPr>
              <w:t>16</w:t>
            </w:r>
          </w:p>
        </w:tc>
        <w:tc>
          <w:tcPr>
            <w:tcW w:w="425" w:type="dxa"/>
            <w:tcMar>
              <w:top w:w="0" w:type="dxa"/>
              <w:left w:w="70" w:type="dxa"/>
              <w:bottom w:w="0" w:type="dxa"/>
              <w:right w:w="70" w:type="dxa"/>
            </w:tcMar>
            <w:vAlign w:val="bottom"/>
            <w:hideMark/>
          </w:tcPr>
          <w:p w14:paraId="2F2FABC0" w14:textId="77777777" w:rsidR="00720217" w:rsidRPr="00720217" w:rsidRDefault="00720217" w:rsidP="00720217">
            <w:pPr>
              <w:jc w:val="center"/>
              <w:rPr>
                <w:rFonts w:ascii="Arial" w:hAnsi="Arial" w:cs="Arial"/>
              </w:rPr>
            </w:pPr>
            <w:r w:rsidRPr="00720217">
              <w:rPr>
                <w:rFonts w:ascii="Arial" w:hAnsi="Arial" w:cs="Arial"/>
                <w:color w:val="000000"/>
              </w:rPr>
              <w:t>5,6</w:t>
            </w:r>
          </w:p>
        </w:tc>
        <w:tc>
          <w:tcPr>
            <w:tcW w:w="2127" w:type="dxa"/>
            <w:vMerge/>
            <w:vAlign w:val="center"/>
            <w:hideMark/>
          </w:tcPr>
          <w:p w14:paraId="52DCB8F8" w14:textId="77777777" w:rsidR="00720217" w:rsidRPr="00720217" w:rsidRDefault="00720217" w:rsidP="00720217">
            <w:pPr>
              <w:rPr>
                <w:rFonts w:ascii="Arial" w:hAnsi="Arial" w:cs="Arial"/>
                <w:color w:val="000000"/>
              </w:rPr>
            </w:pPr>
          </w:p>
        </w:tc>
      </w:tr>
      <w:tr w:rsidR="00720217" w:rsidRPr="00720217" w14:paraId="1D73E987" w14:textId="77777777" w:rsidTr="00720217">
        <w:trPr>
          <w:trHeight w:val="315"/>
        </w:trPr>
        <w:tc>
          <w:tcPr>
            <w:tcW w:w="2342" w:type="dxa"/>
            <w:tcMar>
              <w:top w:w="0" w:type="dxa"/>
              <w:left w:w="70" w:type="dxa"/>
              <w:bottom w:w="0" w:type="dxa"/>
              <w:right w:w="70" w:type="dxa"/>
            </w:tcMar>
            <w:hideMark/>
          </w:tcPr>
          <w:p w14:paraId="34E3A6A2" w14:textId="77777777" w:rsidR="00720217" w:rsidRPr="00720217" w:rsidRDefault="00720217" w:rsidP="00720217">
            <w:pPr>
              <w:rPr>
                <w:rFonts w:ascii="Arial" w:hAnsi="Arial" w:cs="Arial"/>
                <w:b/>
              </w:rPr>
            </w:pPr>
            <w:r w:rsidRPr="00720217">
              <w:rPr>
                <w:rFonts w:ascii="Arial" w:hAnsi="Arial" w:cs="Arial"/>
                <w:b/>
              </w:rPr>
              <w:t>Complications</w:t>
            </w:r>
          </w:p>
        </w:tc>
        <w:tc>
          <w:tcPr>
            <w:tcW w:w="633" w:type="dxa"/>
            <w:tcMar>
              <w:top w:w="0" w:type="dxa"/>
              <w:left w:w="70" w:type="dxa"/>
              <w:bottom w:w="0" w:type="dxa"/>
              <w:right w:w="70" w:type="dxa"/>
            </w:tcMar>
            <w:vAlign w:val="bottom"/>
          </w:tcPr>
          <w:p w14:paraId="1C7C6D7F"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6C81500A"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37E88499"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6E33A9E3" w14:textId="77777777" w:rsidR="00720217" w:rsidRPr="00720217" w:rsidRDefault="00720217" w:rsidP="00720217">
            <w:pPr>
              <w:rPr>
                <w:rFonts w:ascii="Arial" w:hAnsi="Arial" w:cs="Arial"/>
              </w:rPr>
            </w:pPr>
          </w:p>
        </w:tc>
        <w:tc>
          <w:tcPr>
            <w:tcW w:w="850" w:type="dxa"/>
            <w:tcMar>
              <w:top w:w="0" w:type="dxa"/>
              <w:left w:w="70" w:type="dxa"/>
              <w:bottom w:w="0" w:type="dxa"/>
              <w:right w:w="70" w:type="dxa"/>
            </w:tcMar>
            <w:vAlign w:val="bottom"/>
          </w:tcPr>
          <w:p w14:paraId="4F094E2B" w14:textId="77777777" w:rsidR="00720217" w:rsidRPr="00720217" w:rsidRDefault="00720217" w:rsidP="00720217">
            <w:pPr>
              <w:rPr>
                <w:rFonts w:ascii="Arial" w:hAnsi="Arial" w:cs="Arial"/>
              </w:rPr>
            </w:pPr>
          </w:p>
        </w:tc>
        <w:tc>
          <w:tcPr>
            <w:tcW w:w="425" w:type="dxa"/>
            <w:tcMar>
              <w:top w:w="0" w:type="dxa"/>
              <w:left w:w="70" w:type="dxa"/>
              <w:bottom w:w="0" w:type="dxa"/>
              <w:right w:w="70" w:type="dxa"/>
            </w:tcMar>
            <w:vAlign w:val="bottom"/>
          </w:tcPr>
          <w:p w14:paraId="3308A642" w14:textId="77777777" w:rsidR="00720217" w:rsidRPr="00720217" w:rsidRDefault="00720217" w:rsidP="00720217">
            <w:pPr>
              <w:rPr>
                <w:rFonts w:ascii="Arial" w:hAnsi="Arial" w:cs="Arial"/>
              </w:rPr>
            </w:pPr>
          </w:p>
        </w:tc>
        <w:tc>
          <w:tcPr>
            <w:tcW w:w="2127" w:type="dxa"/>
            <w:tcMar>
              <w:top w:w="0" w:type="dxa"/>
              <w:left w:w="70" w:type="dxa"/>
              <w:bottom w:w="0" w:type="dxa"/>
              <w:right w:w="70" w:type="dxa"/>
            </w:tcMar>
            <w:vAlign w:val="bottom"/>
          </w:tcPr>
          <w:p w14:paraId="6DDEF542" w14:textId="77777777" w:rsidR="00720217" w:rsidRPr="00720217" w:rsidRDefault="00720217" w:rsidP="00720217">
            <w:pPr>
              <w:rPr>
                <w:rFonts w:ascii="Arial" w:hAnsi="Arial" w:cs="Arial"/>
              </w:rPr>
            </w:pPr>
          </w:p>
        </w:tc>
      </w:tr>
      <w:tr w:rsidR="00720217" w:rsidRPr="00720217" w14:paraId="640E01DC" w14:textId="77777777" w:rsidTr="00720217">
        <w:trPr>
          <w:trHeight w:val="315"/>
        </w:trPr>
        <w:tc>
          <w:tcPr>
            <w:tcW w:w="2342" w:type="dxa"/>
            <w:tcMar>
              <w:top w:w="0" w:type="dxa"/>
              <w:left w:w="70" w:type="dxa"/>
              <w:bottom w:w="0" w:type="dxa"/>
              <w:right w:w="70" w:type="dxa"/>
            </w:tcMar>
            <w:hideMark/>
          </w:tcPr>
          <w:p w14:paraId="02D29FF6" w14:textId="77777777" w:rsidR="00720217" w:rsidRPr="00720217" w:rsidRDefault="00720217" w:rsidP="00720217">
            <w:pPr>
              <w:rPr>
                <w:rFonts w:ascii="Arial" w:hAnsi="Arial" w:cs="Arial"/>
              </w:rPr>
            </w:pPr>
            <w:r w:rsidRPr="00720217">
              <w:rPr>
                <w:rFonts w:ascii="Arial" w:hAnsi="Arial" w:cs="Arial"/>
              </w:rPr>
              <w:t>Yes</w:t>
            </w:r>
          </w:p>
        </w:tc>
        <w:tc>
          <w:tcPr>
            <w:tcW w:w="633" w:type="dxa"/>
            <w:tcMar>
              <w:top w:w="0" w:type="dxa"/>
              <w:left w:w="70" w:type="dxa"/>
              <w:bottom w:w="0" w:type="dxa"/>
              <w:right w:w="70" w:type="dxa"/>
            </w:tcMar>
            <w:vAlign w:val="bottom"/>
            <w:hideMark/>
          </w:tcPr>
          <w:p w14:paraId="654F5185" w14:textId="77777777" w:rsidR="00720217" w:rsidRPr="00720217" w:rsidRDefault="00720217" w:rsidP="00720217">
            <w:pPr>
              <w:jc w:val="center"/>
              <w:rPr>
                <w:rFonts w:ascii="Arial" w:hAnsi="Arial" w:cs="Arial"/>
              </w:rPr>
            </w:pPr>
            <w:r w:rsidRPr="00720217">
              <w:rPr>
                <w:rFonts w:ascii="Arial" w:hAnsi="Arial" w:cs="Arial"/>
                <w:color w:val="000000"/>
              </w:rPr>
              <w:t>73</w:t>
            </w:r>
          </w:p>
        </w:tc>
        <w:tc>
          <w:tcPr>
            <w:tcW w:w="709" w:type="dxa"/>
            <w:tcMar>
              <w:top w:w="0" w:type="dxa"/>
              <w:left w:w="70" w:type="dxa"/>
              <w:bottom w:w="0" w:type="dxa"/>
              <w:right w:w="70" w:type="dxa"/>
            </w:tcMar>
            <w:vAlign w:val="bottom"/>
            <w:hideMark/>
          </w:tcPr>
          <w:p w14:paraId="2EF73B27" w14:textId="77777777" w:rsidR="00720217" w:rsidRPr="00720217" w:rsidRDefault="00720217" w:rsidP="00720217">
            <w:pPr>
              <w:jc w:val="center"/>
              <w:rPr>
                <w:rFonts w:ascii="Arial" w:hAnsi="Arial" w:cs="Arial"/>
              </w:rPr>
            </w:pPr>
            <w:r w:rsidRPr="00720217">
              <w:rPr>
                <w:rFonts w:ascii="Arial" w:hAnsi="Arial" w:cs="Arial"/>
                <w:color w:val="000000"/>
              </w:rPr>
              <w:t>25,6</w:t>
            </w:r>
          </w:p>
        </w:tc>
        <w:tc>
          <w:tcPr>
            <w:tcW w:w="709" w:type="dxa"/>
            <w:tcMar>
              <w:top w:w="0" w:type="dxa"/>
              <w:left w:w="70" w:type="dxa"/>
              <w:bottom w:w="0" w:type="dxa"/>
              <w:right w:w="70" w:type="dxa"/>
            </w:tcMar>
            <w:vAlign w:val="bottom"/>
            <w:hideMark/>
          </w:tcPr>
          <w:p w14:paraId="5DA51DDC" w14:textId="77777777" w:rsidR="00720217" w:rsidRPr="00720217" w:rsidRDefault="00720217" w:rsidP="00720217">
            <w:pPr>
              <w:jc w:val="center"/>
              <w:rPr>
                <w:rFonts w:ascii="Arial" w:hAnsi="Arial" w:cs="Arial"/>
              </w:rPr>
            </w:pPr>
            <w:r w:rsidRPr="00720217">
              <w:rPr>
                <w:rFonts w:ascii="Arial" w:hAnsi="Arial" w:cs="Arial"/>
                <w:color w:val="000000"/>
              </w:rPr>
              <w:t>76</w:t>
            </w:r>
          </w:p>
        </w:tc>
        <w:tc>
          <w:tcPr>
            <w:tcW w:w="709" w:type="dxa"/>
            <w:tcMar>
              <w:top w:w="0" w:type="dxa"/>
              <w:left w:w="70" w:type="dxa"/>
              <w:bottom w:w="0" w:type="dxa"/>
              <w:right w:w="70" w:type="dxa"/>
            </w:tcMar>
            <w:vAlign w:val="bottom"/>
            <w:hideMark/>
          </w:tcPr>
          <w:p w14:paraId="227760D5" w14:textId="77777777" w:rsidR="00720217" w:rsidRPr="00720217" w:rsidRDefault="00720217" w:rsidP="00720217">
            <w:pPr>
              <w:jc w:val="center"/>
              <w:rPr>
                <w:rFonts w:ascii="Arial" w:hAnsi="Arial" w:cs="Arial"/>
              </w:rPr>
            </w:pPr>
            <w:r w:rsidRPr="00720217">
              <w:rPr>
                <w:rFonts w:ascii="Arial" w:hAnsi="Arial" w:cs="Arial"/>
                <w:color w:val="000000"/>
              </w:rPr>
              <w:t>26,7</w:t>
            </w:r>
          </w:p>
        </w:tc>
        <w:tc>
          <w:tcPr>
            <w:tcW w:w="850" w:type="dxa"/>
            <w:tcMar>
              <w:top w:w="0" w:type="dxa"/>
              <w:left w:w="70" w:type="dxa"/>
              <w:bottom w:w="0" w:type="dxa"/>
              <w:right w:w="70" w:type="dxa"/>
            </w:tcMar>
            <w:vAlign w:val="bottom"/>
            <w:hideMark/>
          </w:tcPr>
          <w:p w14:paraId="58CA9209" w14:textId="77777777" w:rsidR="00720217" w:rsidRPr="00720217" w:rsidRDefault="00720217" w:rsidP="00720217">
            <w:pPr>
              <w:jc w:val="center"/>
              <w:rPr>
                <w:rFonts w:ascii="Arial" w:hAnsi="Arial" w:cs="Arial"/>
              </w:rPr>
            </w:pPr>
            <w:r w:rsidRPr="00720217">
              <w:rPr>
                <w:rFonts w:ascii="Arial" w:hAnsi="Arial" w:cs="Arial"/>
                <w:color w:val="000000"/>
              </w:rPr>
              <w:t>13</w:t>
            </w:r>
          </w:p>
        </w:tc>
        <w:tc>
          <w:tcPr>
            <w:tcW w:w="425" w:type="dxa"/>
            <w:tcMar>
              <w:top w:w="0" w:type="dxa"/>
              <w:left w:w="70" w:type="dxa"/>
              <w:bottom w:w="0" w:type="dxa"/>
              <w:right w:w="70" w:type="dxa"/>
            </w:tcMar>
            <w:vAlign w:val="bottom"/>
            <w:hideMark/>
          </w:tcPr>
          <w:p w14:paraId="6E51481F" w14:textId="77777777" w:rsidR="00720217" w:rsidRPr="00720217" w:rsidRDefault="00720217" w:rsidP="00720217">
            <w:pPr>
              <w:jc w:val="center"/>
              <w:rPr>
                <w:rFonts w:ascii="Arial" w:hAnsi="Arial" w:cs="Arial"/>
              </w:rPr>
            </w:pPr>
            <w:r w:rsidRPr="00720217">
              <w:rPr>
                <w:rFonts w:ascii="Arial" w:hAnsi="Arial" w:cs="Arial"/>
                <w:color w:val="000000"/>
              </w:rPr>
              <w:t>4,6</w:t>
            </w:r>
          </w:p>
        </w:tc>
        <w:tc>
          <w:tcPr>
            <w:tcW w:w="2127" w:type="dxa"/>
            <w:vMerge w:val="restart"/>
            <w:tcMar>
              <w:top w:w="0" w:type="dxa"/>
              <w:left w:w="70" w:type="dxa"/>
              <w:bottom w:w="0" w:type="dxa"/>
              <w:right w:w="70" w:type="dxa"/>
            </w:tcMar>
            <w:vAlign w:val="center"/>
            <w:hideMark/>
          </w:tcPr>
          <w:p w14:paraId="3F48B9D5" w14:textId="77777777" w:rsidR="00720217" w:rsidRPr="00720217" w:rsidRDefault="00720217" w:rsidP="00720217">
            <w:pPr>
              <w:jc w:val="center"/>
              <w:rPr>
                <w:rFonts w:ascii="Arial" w:hAnsi="Arial" w:cs="Arial"/>
                <w:color w:val="000000"/>
              </w:rPr>
            </w:pPr>
            <w:r w:rsidRPr="00720217">
              <w:rPr>
                <w:rFonts w:ascii="Arial" w:hAnsi="Arial" w:cs="Arial"/>
                <w:color w:val="000000"/>
              </w:rPr>
              <w:t>X</w:t>
            </w:r>
            <w:r w:rsidRPr="00720217">
              <w:rPr>
                <w:rFonts w:ascii="Arial" w:hAnsi="Arial" w:cs="Arial"/>
                <w:color w:val="000000"/>
                <w:vertAlign w:val="superscript"/>
              </w:rPr>
              <w:t>2</w:t>
            </w:r>
            <w:r w:rsidRPr="00720217">
              <w:rPr>
                <w:rFonts w:ascii="Arial" w:hAnsi="Arial" w:cs="Arial"/>
                <w:color w:val="000000"/>
              </w:rPr>
              <w:t>= 47.634; p=0,000*</w:t>
            </w:r>
          </w:p>
        </w:tc>
      </w:tr>
      <w:tr w:rsidR="00720217" w:rsidRPr="00720217" w14:paraId="124AC054" w14:textId="77777777" w:rsidTr="00720217">
        <w:trPr>
          <w:trHeight w:val="315"/>
        </w:trPr>
        <w:tc>
          <w:tcPr>
            <w:tcW w:w="2342" w:type="dxa"/>
            <w:tcMar>
              <w:top w:w="0" w:type="dxa"/>
              <w:left w:w="70" w:type="dxa"/>
              <w:bottom w:w="0" w:type="dxa"/>
              <w:right w:w="70" w:type="dxa"/>
            </w:tcMar>
            <w:hideMark/>
          </w:tcPr>
          <w:p w14:paraId="086A3AD4" w14:textId="77777777" w:rsidR="00720217" w:rsidRPr="00720217" w:rsidRDefault="00720217" w:rsidP="00720217">
            <w:pPr>
              <w:rPr>
                <w:rFonts w:ascii="Arial" w:hAnsi="Arial" w:cs="Arial"/>
              </w:rPr>
            </w:pPr>
            <w:r w:rsidRPr="00720217">
              <w:rPr>
                <w:rFonts w:ascii="Arial" w:hAnsi="Arial" w:cs="Arial"/>
              </w:rPr>
              <w:t>No</w:t>
            </w:r>
          </w:p>
        </w:tc>
        <w:tc>
          <w:tcPr>
            <w:tcW w:w="633" w:type="dxa"/>
            <w:tcMar>
              <w:top w:w="0" w:type="dxa"/>
              <w:left w:w="70" w:type="dxa"/>
              <w:bottom w:w="0" w:type="dxa"/>
              <w:right w:w="70" w:type="dxa"/>
            </w:tcMar>
            <w:vAlign w:val="bottom"/>
            <w:hideMark/>
          </w:tcPr>
          <w:p w14:paraId="6E5F8BB0" w14:textId="77777777" w:rsidR="00720217" w:rsidRPr="00720217" w:rsidRDefault="00720217" w:rsidP="00720217">
            <w:pPr>
              <w:jc w:val="center"/>
              <w:rPr>
                <w:rFonts w:ascii="Arial" w:hAnsi="Arial" w:cs="Arial"/>
              </w:rPr>
            </w:pPr>
            <w:r w:rsidRPr="00720217">
              <w:rPr>
                <w:rFonts w:ascii="Arial" w:hAnsi="Arial" w:cs="Arial"/>
                <w:color w:val="000000"/>
              </w:rPr>
              <w:t>102</w:t>
            </w:r>
          </w:p>
        </w:tc>
        <w:tc>
          <w:tcPr>
            <w:tcW w:w="709" w:type="dxa"/>
            <w:tcMar>
              <w:top w:w="0" w:type="dxa"/>
              <w:left w:w="70" w:type="dxa"/>
              <w:bottom w:w="0" w:type="dxa"/>
              <w:right w:w="70" w:type="dxa"/>
            </w:tcMar>
            <w:vAlign w:val="bottom"/>
            <w:hideMark/>
          </w:tcPr>
          <w:p w14:paraId="627ED360" w14:textId="77777777" w:rsidR="00720217" w:rsidRPr="00720217" w:rsidRDefault="00720217" w:rsidP="00720217">
            <w:pPr>
              <w:jc w:val="center"/>
              <w:rPr>
                <w:rFonts w:ascii="Arial" w:hAnsi="Arial" w:cs="Arial"/>
              </w:rPr>
            </w:pPr>
            <w:r w:rsidRPr="00720217">
              <w:rPr>
                <w:rFonts w:ascii="Arial" w:hAnsi="Arial" w:cs="Arial"/>
                <w:color w:val="000000"/>
              </w:rPr>
              <w:t>35,8</w:t>
            </w:r>
          </w:p>
        </w:tc>
        <w:tc>
          <w:tcPr>
            <w:tcW w:w="709" w:type="dxa"/>
            <w:tcMar>
              <w:top w:w="0" w:type="dxa"/>
              <w:left w:w="70" w:type="dxa"/>
              <w:bottom w:w="0" w:type="dxa"/>
              <w:right w:w="70" w:type="dxa"/>
            </w:tcMar>
            <w:vAlign w:val="bottom"/>
            <w:hideMark/>
          </w:tcPr>
          <w:p w14:paraId="367FEE34" w14:textId="77777777" w:rsidR="00720217" w:rsidRPr="00720217" w:rsidRDefault="00720217" w:rsidP="00720217">
            <w:pPr>
              <w:jc w:val="center"/>
              <w:rPr>
                <w:rFonts w:ascii="Arial" w:hAnsi="Arial" w:cs="Arial"/>
              </w:rPr>
            </w:pPr>
            <w:r w:rsidRPr="00720217">
              <w:rPr>
                <w:rFonts w:ascii="Arial" w:hAnsi="Arial" w:cs="Arial"/>
                <w:color w:val="000000"/>
              </w:rPr>
              <w:t>12</w:t>
            </w:r>
          </w:p>
        </w:tc>
        <w:tc>
          <w:tcPr>
            <w:tcW w:w="709" w:type="dxa"/>
            <w:tcMar>
              <w:top w:w="0" w:type="dxa"/>
              <w:left w:w="70" w:type="dxa"/>
              <w:bottom w:w="0" w:type="dxa"/>
              <w:right w:w="70" w:type="dxa"/>
            </w:tcMar>
            <w:vAlign w:val="bottom"/>
            <w:hideMark/>
          </w:tcPr>
          <w:p w14:paraId="64E2230B" w14:textId="77777777" w:rsidR="00720217" w:rsidRPr="00720217" w:rsidRDefault="00720217" w:rsidP="00720217">
            <w:pPr>
              <w:jc w:val="center"/>
              <w:rPr>
                <w:rFonts w:ascii="Arial" w:hAnsi="Arial" w:cs="Arial"/>
              </w:rPr>
            </w:pPr>
            <w:r w:rsidRPr="00720217">
              <w:rPr>
                <w:rFonts w:ascii="Arial" w:hAnsi="Arial" w:cs="Arial"/>
                <w:color w:val="000000"/>
              </w:rPr>
              <w:t>4,2</w:t>
            </w:r>
          </w:p>
        </w:tc>
        <w:tc>
          <w:tcPr>
            <w:tcW w:w="850" w:type="dxa"/>
            <w:tcMar>
              <w:top w:w="0" w:type="dxa"/>
              <w:left w:w="70" w:type="dxa"/>
              <w:bottom w:w="0" w:type="dxa"/>
              <w:right w:w="70" w:type="dxa"/>
            </w:tcMar>
            <w:vAlign w:val="bottom"/>
            <w:hideMark/>
          </w:tcPr>
          <w:p w14:paraId="52675B40" w14:textId="77777777" w:rsidR="00720217" w:rsidRPr="00720217" w:rsidRDefault="00720217" w:rsidP="00720217">
            <w:pPr>
              <w:jc w:val="center"/>
              <w:rPr>
                <w:rFonts w:ascii="Arial" w:hAnsi="Arial" w:cs="Arial"/>
              </w:rPr>
            </w:pPr>
            <w:r w:rsidRPr="00720217">
              <w:rPr>
                <w:rFonts w:ascii="Arial" w:hAnsi="Arial" w:cs="Arial"/>
                <w:color w:val="000000"/>
              </w:rPr>
              <w:t>9</w:t>
            </w:r>
          </w:p>
        </w:tc>
        <w:tc>
          <w:tcPr>
            <w:tcW w:w="425" w:type="dxa"/>
            <w:tcMar>
              <w:top w:w="0" w:type="dxa"/>
              <w:left w:w="70" w:type="dxa"/>
              <w:bottom w:w="0" w:type="dxa"/>
              <w:right w:w="70" w:type="dxa"/>
            </w:tcMar>
            <w:vAlign w:val="bottom"/>
            <w:hideMark/>
          </w:tcPr>
          <w:p w14:paraId="6224828F" w14:textId="77777777" w:rsidR="00720217" w:rsidRPr="00720217" w:rsidRDefault="00720217" w:rsidP="00720217">
            <w:pPr>
              <w:jc w:val="center"/>
              <w:rPr>
                <w:rFonts w:ascii="Arial" w:hAnsi="Arial" w:cs="Arial"/>
              </w:rPr>
            </w:pPr>
            <w:r w:rsidRPr="00720217">
              <w:rPr>
                <w:rFonts w:ascii="Arial" w:hAnsi="Arial" w:cs="Arial"/>
                <w:color w:val="000000"/>
              </w:rPr>
              <w:t>3,2</w:t>
            </w:r>
          </w:p>
        </w:tc>
        <w:tc>
          <w:tcPr>
            <w:tcW w:w="2127" w:type="dxa"/>
            <w:vMerge/>
            <w:vAlign w:val="center"/>
            <w:hideMark/>
          </w:tcPr>
          <w:p w14:paraId="2DB19FC3" w14:textId="77777777" w:rsidR="00720217" w:rsidRPr="00720217" w:rsidRDefault="00720217" w:rsidP="00720217">
            <w:pPr>
              <w:rPr>
                <w:rFonts w:ascii="Arial" w:hAnsi="Arial" w:cs="Arial"/>
                <w:color w:val="000000"/>
              </w:rPr>
            </w:pPr>
          </w:p>
        </w:tc>
      </w:tr>
      <w:tr w:rsidR="00720217" w:rsidRPr="00720217" w14:paraId="44F00EAD" w14:textId="77777777" w:rsidTr="00720217">
        <w:trPr>
          <w:trHeight w:val="315"/>
        </w:trPr>
        <w:tc>
          <w:tcPr>
            <w:tcW w:w="2342" w:type="dxa"/>
            <w:tcMar>
              <w:top w:w="0" w:type="dxa"/>
              <w:left w:w="70" w:type="dxa"/>
              <w:bottom w:w="0" w:type="dxa"/>
              <w:right w:w="70" w:type="dxa"/>
            </w:tcMar>
            <w:vAlign w:val="bottom"/>
            <w:hideMark/>
          </w:tcPr>
          <w:p w14:paraId="58C10ABD" w14:textId="77777777" w:rsidR="00720217" w:rsidRPr="00720217" w:rsidRDefault="00720217" w:rsidP="00720217">
            <w:pPr>
              <w:rPr>
                <w:rFonts w:ascii="Arial" w:hAnsi="Arial" w:cs="Arial"/>
              </w:rPr>
            </w:pPr>
            <w:r w:rsidRPr="00720217">
              <w:rPr>
                <w:rFonts w:ascii="Arial" w:hAnsi="Arial" w:cs="Arial"/>
                <w:b/>
                <w:color w:val="000000"/>
              </w:rPr>
              <w:t>Imaging examination</w:t>
            </w:r>
          </w:p>
        </w:tc>
        <w:tc>
          <w:tcPr>
            <w:tcW w:w="633" w:type="dxa"/>
            <w:tcMar>
              <w:top w:w="0" w:type="dxa"/>
              <w:left w:w="70" w:type="dxa"/>
              <w:bottom w:w="0" w:type="dxa"/>
              <w:right w:w="70" w:type="dxa"/>
            </w:tcMar>
            <w:vAlign w:val="bottom"/>
          </w:tcPr>
          <w:p w14:paraId="00C5E5A8"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43080E36"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2715FF97"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11FB1E39" w14:textId="77777777" w:rsidR="00720217" w:rsidRPr="00720217" w:rsidRDefault="00720217" w:rsidP="00720217">
            <w:pPr>
              <w:rPr>
                <w:rFonts w:ascii="Arial" w:hAnsi="Arial" w:cs="Arial"/>
              </w:rPr>
            </w:pPr>
          </w:p>
        </w:tc>
        <w:tc>
          <w:tcPr>
            <w:tcW w:w="850" w:type="dxa"/>
            <w:tcMar>
              <w:top w:w="0" w:type="dxa"/>
              <w:left w:w="70" w:type="dxa"/>
              <w:bottom w:w="0" w:type="dxa"/>
              <w:right w:w="70" w:type="dxa"/>
            </w:tcMar>
            <w:vAlign w:val="bottom"/>
          </w:tcPr>
          <w:p w14:paraId="69C3266E" w14:textId="77777777" w:rsidR="00720217" w:rsidRPr="00720217" w:rsidRDefault="00720217" w:rsidP="00720217">
            <w:pPr>
              <w:rPr>
                <w:rFonts w:ascii="Arial" w:hAnsi="Arial" w:cs="Arial"/>
              </w:rPr>
            </w:pPr>
          </w:p>
        </w:tc>
        <w:tc>
          <w:tcPr>
            <w:tcW w:w="425" w:type="dxa"/>
            <w:tcMar>
              <w:top w:w="0" w:type="dxa"/>
              <w:left w:w="70" w:type="dxa"/>
              <w:bottom w:w="0" w:type="dxa"/>
              <w:right w:w="70" w:type="dxa"/>
            </w:tcMar>
            <w:vAlign w:val="bottom"/>
          </w:tcPr>
          <w:p w14:paraId="7EA62CDD" w14:textId="77777777" w:rsidR="00720217" w:rsidRPr="00720217" w:rsidRDefault="00720217" w:rsidP="00720217">
            <w:pPr>
              <w:rPr>
                <w:rFonts w:ascii="Arial" w:hAnsi="Arial" w:cs="Arial"/>
              </w:rPr>
            </w:pPr>
          </w:p>
        </w:tc>
        <w:tc>
          <w:tcPr>
            <w:tcW w:w="2127" w:type="dxa"/>
            <w:tcMar>
              <w:top w:w="0" w:type="dxa"/>
              <w:left w:w="70" w:type="dxa"/>
              <w:bottom w:w="0" w:type="dxa"/>
              <w:right w:w="70" w:type="dxa"/>
            </w:tcMar>
            <w:vAlign w:val="bottom"/>
          </w:tcPr>
          <w:p w14:paraId="4814117F" w14:textId="77777777" w:rsidR="00720217" w:rsidRPr="00720217" w:rsidRDefault="00720217" w:rsidP="00720217">
            <w:pPr>
              <w:rPr>
                <w:rFonts w:ascii="Arial" w:hAnsi="Arial" w:cs="Arial"/>
              </w:rPr>
            </w:pPr>
          </w:p>
        </w:tc>
      </w:tr>
      <w:tr w:rsidR="00720217" w:rsidRPr="00720217" w14:paraId="5CC21F1B" w14:textId="77777777" w:rsidTr="00720217">
        <w:trPr>
          <w:trHeight w:val="315"/>
        </w:trPr>
        <w:tc>
          <w:tcPr>
            <w:tcW w:w="2342" w:type="dxa"/>
            <w:tcMar>
              <w:top w:w="0" w:type="dxa"/>
              <w:left w:w="70" w:type="dxa"/>
              <w:bottom w:w="0" w:type="dxa"/>
              <w:right w:w="70" w:type="dxa"/>
            </w:tcMar>
            <w:vAlign w:val="bottom"/>
            <w:hideMark/>
          </w:tcPr>
          <w:p w14:paraId="486FDF02" w14:textId="77777777" w:rsidR="00720217" w:rsidRPr="00720217" w:rsidRDefault="00720217" w:rsidP="00720217">
            <w:pPr>
              <w:rPr>
                <w:rFonts w:ascii="Arial" w:hAnsi="Arial" w:cs="Arial"/>
              </w:rPr>
            </w:pPr>
            <w:r w:rsidRPr="00720217">
              <w:rPr>
                <w:rFonts w:ascii="Arial" w:hAnsi="Arial" w:cs="Arial"/>
                <w:color w:val="000000"/>
              </w:rPr>
              <w:t>Computed tomography</w:t>
            </w:r>
          </w:p>
        </w:tc>
        <w:tc>
          <w:tcPr>
            <w:tcW w:w="633" w:type="dxa"/>
            <w:tcMar>
              <w:top w:w="0" w:type="dxa"/>
              <w:left w:w="70" w:type="dxa"/>
              <w:bottom w:w="0" w:type="dxa"/>
              <w:right w:w="70" w:type="dxa"/>
            </w:tcMar>
            <w:vAlign w:val="bottom"/>
            <w:hideMark/>
          </w:tcPr>
          <w:p w14:paraId="06CB399B" w14:textId="77777777" w:rsidR="00720217" w:rsidRPr="00720217" w:rsidRDefault="00720217" w:rsidP="00720217">
            <w:pPr>
              <w:jc w:val="center"/>
              <w:rPr>
                <w:rFonts w:ascii="Arial" w:hAnsi="Arial" w:cs="Arial"/>
              </w:rPr>
            </w:pPr>
            <w:r w:rsidRPr="00720217">
              <w:rPr>
                <w:rFonts w:ascii="Arial" w:hAnsi="Arial" w:cs="Arial"/>
                <w:color w:val="000000"/>
              </w:rPr>
              <w:t>111</w:t>
            </w:r>
          </w:p>
        </w:tc>
        <w:tc>
          <w:tcPr>
            <w:tcW w:w="709" w:type="dxa"/>
            <w:tcMar>
              <w:top w:w="0" w:type="dxa"/>
              <w:left w:w="70" w:type="dxa"/>
              <w:bottom w:w="0" w:type="dxa"/>
              <w:right w:w="70" w:type="dxa"/>
            </w:tcMar>
            <w:vAlign w:val="bottom"/>
            <w:hideMark/>
          </w:tcPr>
          <w:p w14:paraId="3D6D95AC" w14:textId="77777777" w:rsidR="00720217" w:rsidRPr="00720217" w:rsidRDefault="00720217" w:rsidP="00720217">
            <w:pPr>
              <w:jc w:val="center"/>
              <w:rPr>
                <w:rFonts w:ascii="Arial" w:hAnsi="Arial" w:cs="Arial"/>
              </w:rPr>
            </w:pPr>
            <w:r w:rsidRPr="00720217">
              <w:rPr>
                <w:rFonts w:ascii="Arial" w:hAnsi="Arial" w:cs="Arial"/>
                <w:color w:val="000000"/>
              </w:rPr>
              <w:t>38,9</w:t>
            </w:r>
          </w:p>
        </w:tc>
        <w:tc>
          <w:tcPr>
            <w:tcW w:w="709" w:type="dxa"/>
            <w:tcMar>
              <w:top w:w="0" w:type="dxa"/>
              <w:left w:w="70" w:type="dxa"/>
              <w:bottom w:w="0" w:type="dxa"/>
              <w:right w:w="70" w:type="dxa"/>
            </w:tcMar>
            <w:vAlign w:val="bottom"/>
            <w:hideMark/>
          </w:tcPr>
          <w:p w14:paraId="3013C153" w14:textId="77777777" w:rsidR="00720217" w:rsidRPr="00720217" w:rsidRDefault="00720217" w:rsidP="00720217">
            <w:pPr>
              <w:jc w:val="center"/>
              <w:rPr>
                <w:rFonts w:ascii="Arial" w:hAnsi="Arial" w:cs="Arial"/>
              </w:rPr>
            </w:pPr>
            <w:r w:rsidRPr="00720217">
              <w:rPr>
                <w:rFonts w:ascii="Arial" w:hAnsi="Arial" w:cs="Arial"/>
                <w:color w:val="000000"/>
              </w:rPr>
              <w:t>17</w:t>
            </w:r>
          </w:p>
        </w:tc>
        <w:tc>
          <w:tcPr>
            <w:tcW w:w="709" w:type="dxa"/>
            <w:tcMar>
              <w:top w:w="0" w:type="dxa"/>
              <w:left w:w="70" w:type="dxa"/>
              <w:bottom w:w="0" w:type="dxa"/>
              <w:right w:w="70" w:type="dxa"/>
            </w:tcMar>
            <w:vAlign w:val="bottom"/>
            <w:hideMark/>
          </w:tcPr>
          <w:p w14:paraId="00EC5ED4" w14:textId="77777777" w:rsidR="00720217" w:rsidRPr="00720217" w:rsidRDefault="00720217" w:rsidP="00720217">
            <w:pPr>
              <w:jc w:val="center"/>
              <w:rPr>
                <w:rFonts w:ascii="Arial" w:hAnsi="Arial" w:cs="Arial"/>
              </w:rPr>
            </w:pPr>
            <w:r w:rsidRPr="00720217">
              <w:rPr>
                <w:rFonts w:ascii="Arial" w:hAnsi="Arial" w:cs="Arial"/>
                <w:color w:val="000000"/>
              </w:rPr>
              <w:t>6,0</w:t>
            </w:r>
          </w:p>
        </w:tc>
        <w:tc>
          <w:tcPr>
            <w:tcW w:w="850" w:type="dxa"/>
            <w:tcMar>
              <w:top w:w="0" w:type="dxa"/>
              <w:left w:w="70" w:type="dxa"/>
              <w:bottom w:w="0" w:type="dxa"/>
              <w:right w:w="70" w:type="dxa"/>
            </w:tcMar>
            <w:vAlign w:val="bottom"/>
            <w:hideMark/>
          </w:tcPr>
          <w:p w14:paraId="06FE9E0C" w14:textId="77777777" w:rsidR="00720217" w:rsidRPr="00720217" w:rsidRDefault="00720217" w:rsidP="00720217">
            <w:pPr>
              <w:jc w:val="center"/>
              <w:rPr>
                <w:rFonts w:ascii="Arial" w:hAnsi="Arial" w:cs="Arial"/>
              </w:rPr>
            </w:pPr>
            <w:r w:rsidRPr="00720217">
              <w:rPr>
                <w:rFonts w:ascii="Arial" w:hAnsi="Arial" w:cs="Arial"/>
                <w:color w:val="000000"/>
              </w:rPr>
              <w:t>10</w:t>
            </w:r>
          </w:p>
        </w:tc>
        <w:tc>
          <w:tcPr>
            <w:tcW w:w="425" w:type="dxa"/>
            <w:tcMar>
              <w:top w:w="0" w:type="dxa"/>
              <w:left w:w="70" w:type="dxa"/>
              <w:bottom w:w="0" w:type="dxa"/>
              <w:right w:w="70" w:type="dxa"/>
            </w:tcMar>
            <w:vAlign w:val="bottom"/>
            <w:hideMark/>
          </w:tcPr>
          <w:p w14:paraId="7101DA38" w14:textId="77777777" w:rsidR="00720217" w:rsidRPr="00720217" w:rsidRDefault="00720217" w:rsidP="00720217">
            <w:pPr>
              <w:jc w:val="center"/>
              <w:rPr>
                <w:rFonts w:ascii="Arial" w:hAnsi="Arial" w:cs="Arial"/>
              </w:rPr>
            </w:pPr>
            <w:r w:rsidRPr="00720217">
              <w:rPr>
                <w:rFonts w:ascii="Arial" w:hAnsi="Arial" w:cs="Arial"/>
                <w:color w:val="000000"/>
              </w:rPr>
              <w:t>3,5</w:t>
            </w:r>
          </w:p>
        </w:tc>
        <w:tc>
          <w:tcPr>
            <w:tcW w:w="2127" w:type="dxa"/>
            <w:vMerge w:val="restart"/>
            <w:tcMar>
              <w:top w:w="0" w:type="dxa"/>
              <w:left w:w="70" w:type="dxa"/>
              <w:bottom w:w="0" w:type="dxa"/>
              <w:right w:w="70" w:type="dxa"/>
            </w:tcMar>
            <w:vAlign w:val="center"/>
            <w:hideMark/>
          </w:tcPr>
          <w:p w14:paraId="6F1D93F5" w14:textId="77777777" w:rsidR="00720217" w:rsidRPr="00720217" w:rsidRDefault="00720217" w:rsidP="00720217">
            <w:pPr>
              <w:jc w:val="center"/>
              <w:rPr>
                <w:rFonts w:ascii="Arial" w:hAnsi="Arial" w:cs="Arial"/>
                <w:color w:val="000000"/>
              </w:rPr>
            </w:pPr>
            <w:r w:rsidRPr="00720217">
              <w:rPr>
                <w:rFonts w:ascii="Arial" w:hAnsi="Arial" w:cs="Arial"/>
                <w:color w:val="000000"/>
              </w:rPr>
              <w:t>X</w:t>
            </w:r>
            <w:r w:rsidRPr="00720217">
              <w:rPr>
                <w:rFonts w:ascii="Arial" w:hAnsi="Arial" w:cs="Arial"/>
                <w:color w:val="000000"/>
                <w:vertAlign w:val="superscript"/>
              </w:rPr>
              <w:t>2</w:t>
            </w:r>
            <w:r w:rsidRPr="00720217">
              <w:rPr>
                <w:rFonts w:ascii="Arial" w:hAnsi="Arial" w:cs="Arial"/>
                <w:color w:val="000000"/>
              </w:rPr>
              <w:t>= 55,085; p=0,000*</w:t>
            </w:r>
          </w:p>
        </w:tc>
      </w:tr>
      <w:tr w:rsidR="00720217" w:rsidRPr="00720217" w14:paraId="428AE801" w14:textId="77777777" w:rsidTr="00720217">
        <w:trPr>
          <w:trHeight w:val="315"/>
        </w:trPr>
        <w:tc>
          <w:tcPr>
            <w:tcW w:w="2342" w:type="dxa"/>
            <w:tcMar>
              <w:top w:w="0" w:type="dxa"/>
              <w:left w:w="70" w:type="dxa"/>
              <w:bottom w:w="0" w:type="dxa"/>
              <w:right w:w="70" w:type="dxa"/>
            </w:tcMar>
            <w:vAlign w:val="bottom"/>
            <w:hideMark/>
          </w:tcPr>
          <w:p w14:paraId="1E302773" w14:textId="77777777" w:rsidR="00720217" w:rsidRPr="00720217" w:rsidRDefault="00720217" w:rsidP="00720217">
            <w:pPr>
              <w:rPr>
                <w:rFonts w:ascii="Arial" w:hAnsi="Arial" w:cs="Arial"/>
              </w:rPr>
            </w:pPr>
            <w:r w:rsidRPr="00720217">
              <w:rPr>
                <w:rFonts w:ascii="Arial" w:hAnsi="Arial" w:cs="Arial"/>
              </w:rPr>
              <w:t>X-ray</w:t>
            </w:r>
          </w:p>
        </w:tc>
        <w:tc>
          <w:tcPr>
            <w:tcW w:w="633" w:type="dxa"/>
            <w:tcMar>
              <w:top w:w="0" w:type="dxa"/>
              <w:left w:w="70" w:type="dxa"/>
              <w:bottom w:w="0" w:type="dxa"/>
              <w:right w:w="70" w:type="dxa"/>
            </w:tcMar>
            <w:vAlign w:val="bottom"/>
            <w:hideMark/>
          </w:tcPr>
          <w:p w14:paraId="38663C0C" w14:textId="77777777" w:rsidR="00720217" w:rsidRPr="00720217" w:rsidRDefault="00720217" w:rsidP="00720217">
            <w:pPr>
              <w:jc w:val="center"/>
              <w:rPr>
                <w:rFonts w:ascii="Arial" w:hAnsi="Arial" w:cs="Arial"/>
              </w:rPr>
            </w:pPr>
            <w:r w:rsidRPr="00720217">
              <w:rPr>
                <w:rFonts w:ascii="Arial" w:hAnsi="Arial" w:cs="Arial"/>
                <w:color w:val="000000"/>
              </w:rPr>
              <w:t>5</w:t>
            </w:r>
          </w:p>
        </w:tc>
        <w:tc>
          <w:tcPr>
            <w:tcW w:w="709" w:type="dxa"/>
            <w:tcMar>
              <w:top w:w="0" w:type="dxa"/>
              <w:left w:w="70" w:type="dxa"/>
              <w:bottom w:w="0" w:type="dxa"/>
              <w:right w:w="70" w:type="dxa"/>
            </w:tcMar>
            <w:vAlign w:val="bottom"/>
            <w:hideMark/>
          </w:tcPr>
          <w:p w14:paraId="451A66F6" w14:textId="77777777" w:rsidR="00720217" w:rsidRPr="00720217" w:rsidRDefault="00720217" w:rsidP="00720217">
            <w:pPr>
              <w:jc w:val="center"/>
              <w:rPr>
                <w:rFonts w:ascii="Arial" w:hAnsi="Arial" w:cs="Arial"/>
              </w:rPr>
            </w:pPr>
            <w:r w:rsidRPr="00720217">
              <w:rPr>
                <w:rFonts w:ascii="Arial" w:hAnsi="Arial" w:cs="Arial"/>
                <w:color w:val="000000"/>
              </w:rPr>
              <w:t>1,8</w:t>
            </w:r>
          </w:p>
        </w:tc>
        <w:tc>
          <w:tcPr>
            <w:tcW w:w="709" w:type="dxa"/>
            <w:tcMar>
              <w:top w:w="0" w:type="dxa"/>
              <w:left w:w="70" w:type="dxa"/>
              <w:bottom w:w="0" w:type="dxa"/>
              <w:right w:w="70" w:type="dxa"/>
            </w:tcMar>
            <w:vAlign w:val="bottom"/>
            <w:hideMark/>
          </w:tcPr>
          <w:p w14:paraId="20ECB39A" w14:textId="77777777" w:rsidR="00720217" w:rsidRPr="00720217" w:rsidRDefault="00720217" w:rsidP="00720217">
            <w:pPr>
              <w:jc w:val="center"/>
              <w:rPr>
                <w:rFonts w:ascii="Arial" w:hAnsi="Arial" w:cs="Arial"/>
              </w:rPr>
            </w:pPr>
            <w:r w:rsidRPr="00720217">
              <w:rPr>
                <w:rFonts w:ascii="Arial" w:hAnsi="Arial" w:cs="Arial"/>
                <w:color w:val="000000"/>
              </w:rPr>
              <w:t>13</w:t>
            </w:r>
          </w:p>
        </w:tc>
        <w:tc>
          <w:tcPr>
            <w:tcW w:w="709" w:type="dxa"/>
            <w:tcMar>
              <w:top w:w="0" w:type="dxa"/>
              <w:left w:w="70" w:type="dxa"/>
              <w:bottom w:w="0" w:type="dxa"/>
              <w:right w:w="70" w:type="dxa"/>
            </w:tcMar>
            <w:vAlign w:val="bottom"/>
            <w:hideMark/>
          </w:tcPr>
          <w:p w14:paraId="33B2D252" w14:textId="77777777" w:rsidR="00720217" w:rsidRPr="00720217" w:rsidRDefault="00720217" w:rsidP="00720217">
            <w:pPr>
              <w:jc w:val="center"/>
              <w:rPr>
                <w:rFonts w:ascii="Arial" w:hAnsi="Arial" w:cs="Arial"/>
              </w:rPr>
            </w:pPr>
            <w:r w:rsidRPr="00720217">
              <w:rPr>
                <w:rFonts w:ascii="Arial" w:hAnsi="Arial" w:cs="Arial"/>
                <w:color w:val="000000"/>
              </w:rPr>
              <w:t>4,6</w:t>
            </w:r>
          </w:p>
        </w:tc>
        <w:tc>
          <w:tcPr>
            <w:tcW w:w="850" w:type="dxa"/>
            <w:tcMar>
              <w:top w:w="0" w:type="dxa"/>
              <w:left w:w="70" w:type="dxa"/>
              <w:bottom w:w="0" w:type="dxa"/>
              <w:right w:w="70" w:type="dxa"/>
            </w:tcMar>
            <w:vAlign w:val="bottom"/>
            <w:hideMark/>
          </w:tcPr>
          <w:p w14:paraId="6E3B502E" w14:textId="77777777" w:rsidR="00720217" w:rsidRPr="00720217" w:rsidRDefault="00720217" w:rsidP="00720217">
            <w:pPr>
              <w:jc w:val="center"/>
              <w:rPr>
                <w:rFonts w:ascii="Arial" w:hAnsi="Arial" w:cs="Arial"/>
              </w:rPr>
            </w:pPr>
            <w:r w:rsidRPr="00720217">
              <w:rPr>
                <w:rFonts w:ascii="Arial" w:hAnsi="Arial" w:cs="Arial"/>
                <w:color w:val="000000"/>
              </w:rPr>
              <w:t>1</w:t>
            </w:r>
          </w:p>
        </w:tc>
        <w:tc>
          <w:tcPr>
            <w:tcW w:w="425" w:type="dxa"/>
            <w:tcMar>
              <w:top w:w="0" w:type="dxa"/>
              <w:left w:w="70" w:type="dxa"/>
              <w:bottom w:w="0" w:type="dxa"/>
              <w:right w:w="70" w:type="dxa"/>
            </w:tcMar>
            <w:vAlign w:val="bottom"/>
            <w:hideMark/>
          </w:tcPr>
          <w:p w14:paraId="747FDDFB" w14:textId="77777777" w:rsidR="00720217" w:rsidRPr="00720217" w:rsidRDefault="00720217" w:rsidP="00720217">
            <w:pPr>
              <w:jc w:val="center"/>
              <w:rPr>
                <w:rFonts w:ascii="Arial" w:hAnsi="Arial" w:cs="Arial"/>
              </w:rPr>
            </w:pPr>
            <w:r w:rsidRPr="00720217">
              <w:rPr>
                <w:rFonts w:ascii="Arial" w:hAnsi="Arial" w:cs="Arial"/>
                <w:color w:val="000000"/>
              </w:rPr>
              <w:t>0,4</w:t>
            </w:r>
          </w:p>
        </w:tc>
        <w:tc>
          <w:tcPr>
            <w:tcW w:w="2127" w:type="dxa"/>
            <w:vMerge/>
            <w:vAlign w:val="center"/>
            <w:hideMark/>
          </w:tcPr>
          <w:p w14:paraId="6873EE53" w14:textId="77777777" w:rsidR="00720217" w:rsidRPr="00720217" w:rsidRDefault="00720217" w:rsidP="00720217">
            <w:pPr>
              <w:rPr>
                <w:rFonts w:ascii="Arial" w:hAnsi="Arial" w:cs="Arial"/>
                <w:color w:val="000000"/>
              </w:rPr>
            </w:pPr>
          </w:p>
        </w:tc>
      </w:tr>
      <w:tr w:rsidR="00720217" w:rsidRPr="00720217" w14:paraId="26C36992" w14:textId="77777777" w:rsidTr="00720217">
        <w:trPr>
          <w:trHeight w:val="315"/>
        </w:trPr>
        <w:tc>
          <w:tcPr>
            <w:tcW w:w="2342" w:type="dxa"/>
            <w:tcMar>
              <w:top w:w="0" w:type="dxa"/>
              <w:left w:w="70" w:type="dxa"/>
              <w:bottom w:w="0" w:type="dxa"/>
              <w:right w:w="70" w:type="dxa"/>
            </w:tcMar>
            <w:vAlign w:val="bottom"/>
            <w:hideMark/>
          </w:tcPr>
          <w:p w14:paraId="65F33FE2" w14:textId="77777777" w:rsidR="00720217" w:rsidRPr="00720217" w:rsidRDefault="00720217" w:rsidP="00720217">
            <w:pPr>
              <w:rPr>
                <w:rFonts w:ascii="Arial" w:hAnsi="Arial" w:cs="Arial"/>
              </w:rPr>
            </w:pPr>
            <w:r w:rsidRPr="00720217">
              <w:rPr>
                <w:rFonts w:ascii="Arial" w:hAnsi="Arial" w:cs="Arial"/>
                <w:color w:val="000000"/>
              </w:rPr>
              <w:t>Computed tomography and X-ray</w:t>
            </w:r>
          </w:p>
        </w:tc>
        <w:tc>
          <w:tcPr>
            <w:tcW w:w="633" w:type="dxa"/>
            <w:tcMar>
              <w:top w:w="0" w:type="dxa"/>
              <w:left w:w="70" w:type="dxa"/>
              <w:bottom w:w="0" w:type="dxa"/>
              <w:right w:w="70" w:type="dxa"/>
            </w:tcMar>
            <w:vAlign w:val="bottom"/>
            <w:hideMark/>
          </w:tcPr>
          <w:p w14:paraId="3FE6B2EB" w14:textId="77777777" w:rsidR="00720217" w:rsidRPr="00720217" w:rsidRDefault="00720217" w:rsidP="00720217">
            <w:pPr>
              <w:jc w:val="center"/>
              <w:rPr>
                <w:rFonts w:ascii="Arial" w:hAnsi="Arial" w:cs="Arial"/>
                <w:color w:val="000000"/>
              </w:rPr>
            </w:pPr>
            <w:r w:rsidRPr="00720217">
              <w:rPr>
                <w:rFonts w:ascii="Arial" w:hAnsi="Arial" w:cs="Arial"/>
                <w:color w:val="000000"/>
              </w:rPr>
              <w:t>59</w:t>
            </w:r>
          </w:p>
        </w:tc>
        <w:tc>
          <w:tcPr>
            <w:tcW w:w="709" w:type="dxa"/>
            <w:tcMar>
              <w:top w:w="0" w:type="dxa"/>
              <w:left w:w="70" w:type="dxa"/>
              <w:bottom w:w="0" w:type="dxa"/>
              <w:right w:w="70" w:type="dxa"/>
            </w:tcMar>
            <w:vAlign w:val="bottom"/>
            <w:hideMark/>
          </w:tcPr>
          <w:p w14:paraId="106AB7D7" w14:textId="77777777" w:rsidR="00720217" w:rsidRPr="00720217" w:rsidRDefault="00720217" w:rsidP="00720217">
            <w:pPr>
              <w:jc w:val="center"/>
              <w:rPr>
                <w:rFonts w:ascii="Arial" w:hAnsi="Arial" w:cs="Arial"/>
              </w:rPr>
            </w:pPr>
            <w:r w:rsidRPr="00720217">
              <w:rPr>
                <w:rFonts w:ascii="Arial" w:hAnsi="Arial" w:cs="Arial"/>
                <w:color w:val="000000"/>
              </w:rPr>
              <w:t>20,7</w:t>
            </w:r>
          </w:p>
        </w:tc>
        <w:tc>
          <w:tcPr>
            <w:tcW w:w="709" w:type="dxa"/>
            <w:tcMar>
              <w:top w:w="0" w:type="dxa"/>
              <w:left w:w="70" w:type="dxa"/>
              <w:bottom w:w="0" w:type="dxa"/>
              <w:right w:w="70" w:type="dxa"/>
            </w:tcMar>
            <w:vAlign w:val="bottom"/>
            <w:hideMark/>
          </w:tcPr>
          <w:p w14:paraId="691B7E1B" w14:textId="77777777" w:rsidR="00720217" w:rsidRPr="00720217" w:rsidRDefault="00720217" w:rsidP="00720217">
            <w:pPr>
              <w:jc w:val="center"/>
              <w:rPr>
                <w:rFonts w:ascii="Arial" w:hAnsi="Arial" w:cs="Arial"/>
              </w:rPr>
            </w:pPr>
            <w:r w:rsidRPr="00720217">
              <w:rPr>
                <w:rFonts w:ascii="Arial" w:hAnsi="Arial" w:cs="Arial"/>
                <w:color w:val="000000"/>
              </w:rPr>
              <w:t>57</w:t>
            </w:r>
          </w:p>
        </w:tc>
        <w:tc>
          <w:tcPr>
            <w:tcW w:w="709" w:type="dxa"/>
            <w:tcMar>
              <w:top w:w="0" w:type="dxa"/>
              <w:left w:w="70" w:type="dxa"/>
              <w:bottom w:w="0" w:type="dxa"/>
              <w:right w:w="70" w:type="dxa"/>
            </w:tcMar>
            <w:vAlign w:val="bottom"/>
            <w:hideMark/>
          </w:tcPr>
          <w:p w14:paraId="5EC1CB31" w14:textId="77777777" w:rsidR="00720217" w:rsidRPr="00720217" w:rsidRDefault="00720217" w:rsidP="00720217">
            <w:pPr>
              <w:jc w:val="center"/>
              <w:rPr>
                <w:rFonts w:ascii="Arial" w:hAnsi="Arial" w:cs="Arial"/>
              </w:rPr>
            </w:pPr>
            <w:r w:rsidRPr="00720217">
              <w:rPr>
                <w:rFonts w:ascii="Arial" w:hAnsi="Arial" w:cs="Arial"/>
                <w:color w:val="000000"/>
              </w:rPr>
              <w:t>20,0</w:t>
            </w:r>
          </w:p>
        </w:tc>
        <w:tc>
          <w:tcPr>
            <w:tcW w:w="850" w:type="dxa"/>
            <w:tcMar>
              <w:top w:w="0" w:type="dxa"/>
              <w:left w:w="70" w:type="dxa"/>
              <w:bottom w:w="0" w:type="dxa"/>
              <w:right w:w="70" w:type="dxa"/>
            </w:tcMar>
            <w:vAlign w:val="bottom"/>
            <w:hideMark/>
          </w:tcPr>
          <w:p w14:paraId="4B9CFA88" w14:textId="77777777" w:rsidR="00720217" w:rsidRPr="00720217" w:rsidRDefault="00720217" w:rsidP="00720217">
            <w:pPr>
              <w:jc w:val="center"/>
              <w:rPr>
                <w:rFonts w:ascii="Arial" w:hAnsi="Arial" w:cs="Arial"/>
              </w:rPr>
            </w:pPr>
            <w:r w:rsidRPr="00720217">
              <w:rPr>
                <w:rFonts w:ascii="Arial" w:hAnsi="Arial" w:cs="Arial"/>
                <w:color w:val="000000"/>
              </w:rPr>
              <w:t>10</w:t>
            </w:r>
          </w:p>
        </w:tc>
        <w:tc>
          <w:tcPr>
            <w:tcW w:w="425" w:type="dxa"/>
            <w:tcMar>
              <w:top w:w="0" w:type="dxa"/>
              <w:left w:w="70" w:type="dxa"/>
              <w:bottom w:w="0" w:type="dxa"/>
              <w:right w:w="70" w:type="dxa"/>
            </w:tcMar>
            <w:vAlign w:val="bottom"/>
            <w:hideMark/>
          </w:tcPr>
          <w:p w14:paraId="6044042D" w14:textId="77777777" w:rsidR="00720217" w:rsidRPr="00720217" w:rsidRDefault="00720217" w:rsidP="00720217">
            <w:pPr>
              <w:jc w:val="center"/>
              <w:rPr>
                <w:rFonts w:ascii="Arial" w:hAnsi="Arial" w:cs="Arial"/>
              </w:rPr>
            </w:pPr>
            <w:r w:rsidRPr="00720217">
              <w:rPr>
                <w:rFonts w:ascii="Arial" w:hAnsi="Arial" w:cs="Arial"/>
                <w:color w:val="000000"/>
              </w:rPr>
              <w:t>3,5</w:t>
            </w:r>
          </w:p>
        </w:tc>
        <w:tc>
          <w:tcPr>
            <w:tcW w:w="2127" w:type="dxa"/>
            <w:vMerge/>
            <w:vAlign w:val="center"/>
            <w:hideMark/>
          </w:tcPr>
          <w:p w14:paraId="2C612B35" w14:textId="77777777" w:rsidR="00720217" w:rsidRPr="00720217" w:rsidRDefault="00720217" w:rsidP="00720217">
            <w:pPr>
              <w:rPr>
                <w:rFonts w:ascii="Arial" w:hAnsi="Arial" w:cs="Arial"/>
                <w:color w:val="000000"/>
              </w:rPr>
            </w:pPr>
          </w:p>
        </w:tc>
      </w:tr>
      <w:tr w:rsidR="00720217" w:rsidRPr="00720217" w14:paraId="7D199ED8" w14:textId="77777777" w:rsidTr="00720217">
        <w:trPr>
          <w:trHeight w:val="315"/>
        </w:trPr>
        <w:tc>
          <w:tcPr>
            <w:tcW w:w="2342" w:type="dxa"/>
            <w:tcMar>
              <w:top w:w="0" w:type="dxa"/>
              <w:left w:w="70" w:type="dxa"/>
              <w:bottom w:w="0" w:type="dxa"/>
              <w:right w:w="70" w:type="dxa"/>
            </w:tcMar>
            <w:vAlign w:val="bottom"/>
            <w:hideMark/>
          </w:tcPr>
          <w:p w14:paraId="31B5CD4C" w14:textId="77777777" w:rsidR="00720217" w:rsidRPr="00720217" w:rsidRDefault="00720217" w:rsidP="00720217">
            <w:pPr>
              <w:rPr>
                <w:rFonts w:ascii="Arial" w:hAnsi="Arial" w:cs="Arial"/>
              </w:rPr>
            </w:pPr>
            <w:r w:rsidRPr="00720217">
              <w:rPr>
                <w:rFonts w:ascii="Arial" w:hAnsi="Arial" w:cs="Arial"/>
                <w:color w:val="000000"/>
              </w:rPr>
              <w:t>None</w:t>
            </w:r>
          </w:p>
        </w:tc>
        <w:tc>
          <w:tcPr>
            <w:tcW w:w="633" w:type="dxa"/>
            <w:tcMar>
              <w:top w:w="0" w:type="dxa"/>
              <w:left w:w="70" w:type="dxa"/>
              <w:bottom w:w="0" w:type="dxa"/>
              <w:right w:w="70" w:type="dxa"/>
            </w:tcMar>
            <w:vAlign w:val="bottom"/>
            <w:hideMark/>
          </w:tcPr>
          <w:p w14:paraId="2691AC7C" w14:textId="77777777" w:rsidR="00720217" w:rsidRPr="00720217" w:rsidRDefault="00720217" w:rsidP="00720217">
            <w:pPr>
              <w:jc w:val="center"/>
              <w:rPr>
                <w:rFonts w:ascii="Arial" w:hAnsi="Arial" w:cs="Arial"/>
              </w:rPr>
            </w:pPr>
            <w:r w:rsidRPr="00720217">
              <w:rPr>
                <w:rFonts w:ascii="Arial" w:hAnsi="Arial" w:cs="Arial"/>
                <w:color w:val="000000"/>
              </w:rPr>
              <w:t>0</w:t>
            </w:r>
          </w:p>
        </w:tc>
        <w:tc>
          <w:tcPr>
            <w:tcW w:w="709" w:type="dxa"/>
            <w:tcMar>
              <w:top w:w="0" w:type="dxa"/>
              <w:left w:w="70" w:type="dxa"/>
              <w:bottom w:w="0" w:type="dxa"/>
              <w:right w:w="70" w:type="dxa"/>
            </w:tcMar>
            <w:vAlign w:val="bottom"/>
            <w:hideMark/>
          </w:tcPr>
          <w:p w14:paraId="3D92DCA6" w14:textId="77777777" w:rsidR="00720217" w:rsidRPr="00720217" w:rsidRDefault="00720217" w:rsidP="00720217">
            <w:pPr>
              <w:jc w:val="center"/>
              <w:rPr>
                <w:rFonts w:ascii="Arial" w:hAnsi="Arial" w:cs="Arial"/>
              </w:rPr>
            </w:pPr>
            <w:r w:rsidRPr="00720217">
              <w:rPr>
                <w:rFonts w:ascii="Arial" w:hAnsi="Arial" w:cs="Arial"/>
                <w:color w:val="000000"/>
              </w:rPr>
              <w:t>0,0</w:t>
            </w:r>
          </w:p>
        </w:tc>
        <w:tc>
          <w:tcPr>
            <w:tcW w:w="709" w:type="dxa"/>
            <w:tcMar>
              <w:top w:w="0" w:type="dxa"/>
              <w:left w:w="70" w:type="dxa"/>
              <w:bottom w:w="0" w:type="dxa"/>
              <w:right w:w="70" w:type="dxa"/>
            </w:tcMar>
            <w:vAlign w:val="bottom"/>
            <w:hideMark/>
          </w:tcPr>
          <w:p w14:paraId="4627B0B5" w14:textId="77777777" w:rsidR="00720217" w:rsidRPr="00720217" w:rsidRDefault="00720217" w:rsidP="00720217">
            <w:pPr>
              <w:jc w:val="center"/>
              <w:rPr>
                <w:rFonts w:ascii="Arial" w:hAnsi="Arial" w:cs="Arial"/>
              </w:rPr>
            </w:pPr>
            <w:r w:rsidRPr="00720217">
              <w:rPr>
                <w:rFonts w:ascii="Arial" w:hAnsi="Arial" w:cs="Arial"/>
                <w:color w:val="000000"/>
              </w:rPr>
              <w:t>1</w:t>
            </w:r>
          </w:p>
        </w:tc>
        <w:tc>
          <w:tcPr>
            <w:tcW w:w="709" w:type="dxa"/>
            <w:tcMar>
              <w:top w:w="0" w:type="dxa"/>
              <w:left w:w="70" w:type="dxa"/>
              <w:bottom w:w="0" w:type="dxa"/>
              <w:right w:w="70" w:type="dxa"/>
            </w:tcMar>
            <w:vAlign w:val="bottom"/>
            <w:hideMark/>
          </w:tcPr>
          <w:p w14:paraId="7BB2F8E0" w14:textId="77777777" w:rsidR="00720217" w:rsidRPr="00720217" w:rsidRDefault="00720217" w:rsidP="00720217">
            <w:pPr>
              <w:jc w:val="center"/>
              <w:rPr>
                <w:rFonts w:ascii="Arial" w:hAnsi="Arial" w:cs="Arial"/>
              </w:rPr>
            </w:pPr>
            <w:r w:rsidRPr="00720217">
              <w:rPr>
                <w:rFonts w:ascii="Arial" w:hAnsi="Arial" w:cs="Arial"/>
                <w:color w:val="000000"/>
              </w:rPr>
              <w:t>0,4</w:t>
            </w:r>
          </w:p>
        </w:tc>
        <w:tc>
          <w:tcPr>
            <w:tcW w:w="850" w:type="dxa"/>
            <w:tcMar>
              <w:top w:w="0" w:type="dxa"/>
              <w:left w:w="70" w:type="dxa"/>
              <w:bottom w:w="0" w:type="dxa"/>
              <w:right w:w="70" w:type="dxa"/>
            </w:tcMar>
            <w:vAlign w:val="bottom"/>
            <w:hideMark/>
          </w:tcPr>
          <w:p w14:paraId="1C02A383" w14:textId="77777777" w:rsidR="00720217" w:rsidRPr="00720217" w:rsidRDefault="00720217" w:rsidP="00720217">
            <w:pPr>
              <w:jc w:val="center"/>
              <w:rPr>
                <w:rFonts w:ascii="Arial" w:hAnsi="Arial" w:cs="Arial"/>
              </w:rPr>
            </w:pPr>
            <w:r w:rsidRPr="00720217">
              <w:rPr>
                <w:rFonts w:ascii="Arial" w:hAnsi="Arial" w:cs="Arial"/>
                <w:color w:val="000000"/>
              </w:rPr>
              <w:t>1</w:t>
            </w:r>
          </w:p>
        </w:tc>
        <w:tc>
          <w:tcPr>
            <w:tcW w:w="425" w:type="dxa"/>
            <w:tcMar>
              <w:top w:w="0" w:type="dxa"/>
              <w:left w:w="70" w:type="dxa"/>
              <w:bottom w:w="0" w:type="dxa"/>
              <w:right w:w="70" w:type="dxa"/>
            </w:tcMar>
            <w:vAlign w:val="bottom"/>
            <w:hideMark/>
          </w:tcPr>
          <w:p w14:paraId="2C478F10" w14:textId="77777777" w:rsidR="00720217" w:rsidRPr="00720217" w:rsidRDefault="00720217" w:rsidP="00720217">
            <w:pPr>
              <w:jc w:val="center"/>
              <w:rPr>
                <w:rFonts w:ascii="Arial" w:hAnsi="Arial" w:cs="Arial"/>
              </w:rPr>
            </w:pPr>
            <w:r w:rsidRPr="00720217">
              <w:rPr>
                <w:rFonts w:ascii="Arial" w:hAnsi="Arial" w:cs="Arial"/>
                <w:color w:val="000000"/>
              </w:rPr>
              <w:t>0,4</w:t>
            </w:r>
          </w:p>
        </w:tc>
        <w:tc>
          <w:tcPr>
            <w:tcW w:w="2127" w:type="dxa"/>
            <w:vMerge/>
            <w:vAlign w:val="center"/>
            <w:hideMark/>
          </w:tcPr>
          <w:p w14:paraId="504834AD" w14:textId="77777777" w:rsidR="00720217" w:rsidRPr="00720217" w:rsidRDefault="00720217" w:rsidP="00720217">
            <w:pPr>
              <w:rPr>
                <w:rFonts w:ascii="Arial" w:hAnsi="Arial" w:cs="Arial"/>
                <w:color w:val="000000"/>
              </w:rPr>
            </w:pPr>
          </w:p>
        </w:tc>
      </w:tr>
      <w:tr w:rsidR="00720217" w:rsidRPr="00720217" w14:paraId="610DC90E" w14:textId="77777777" w:rsidTr="00720217">
        <w:trPr>
          <w:trHeight w:val="315"/>
        </w:trPr>
        <w:tc>
          <w:tcPr>
            <w:tcW w:w="2975" w:type="dxa"/>
            <w:gridSpan w:val="2"/>
            <w:tcMar>
              <w:top w:w="0" w:type="dxa"/>
              <w:left w:w="70" w:type="dxa"/>
              <w:bottom w:w="0" w:type="dxa"/>
              <w:right w:w="70" w:type="dxa"/>
            </w:tcMar>
            <w:vAlign w:val="bottom"/>
            <w:hideMark/>
          </w:tcPr>
          <w:p w14:paraId="5AEFC80B" w14:textId="77777777" w:rsidR="00720217" w:rsidRPr="00720217" w:rsidRDefault="00720217" w:rsidP="00720217">
            <w:pPr>
              <w:rPr>
                <w:rFonts w:ascii="Arial" w:hAnsi="Arial" w:cs="Arial"/>
              </w:rPr>
            </w:pPr>
            <w:r w:rsidRPr="00720217">
              <w:rPr>
                <w:rFonts w:ascii="Arial" w:hAnsi="Arial" w:cs="Arial"/>
                <w:b/>
                <w:color w:val="000000"/>
              </w:rPr>
              <w:t>Lung involvement in chest computed tomography</w:t>
            </w:r>
          </w:p>
        </w:tc>
        <w:tc>
          <w:tcPr>
            <w:tcW w:w="709" w:type="dxa"/>
            <w:tcMar>
              <w:top w:w="0" w:type="dxa"/>
              <w:left w:w="70" w:type="dxa"/>
              <w:bottom w:w="0" w:type="dxa"/>
              <w:right w:w="70" w:type="dxa"/>
            </w:tcMar>
            <w:vAlign w:val="bottom"/>
          </w:tcPr>
          <w:p w14:paraId="3BDA2656"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3AFD9100"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2CB08C16" w14:textId="77777777" w:rsidR="00720217" w:rsidRPr="00720217" w:rsidRDefault="00720217" w:rsidP="00720217">
            <w:pPr>
              <w:rPr>
                <w:rFonts w:ascii="Arial" w:hAnsi="Arial" w:cs="Arial"/>
              </w:rPr>
            </w:pPr>
          </w:p>
        </w:tc>
        <w:tc>
          <w:tcPr>
            <w:tcW w:w="850" w:type="dxa"/>
            <w:tcMar>
              <w:top w:w="0" w:type="dxa"/>
              <w:left w:w="70" w:type="dxa"/>
              <w:bottom w:w="0" w:type="dxa"/>
              <w:right w:w="70" w:type="dxa"/>
            </w:tcMar>
            <w:vAlign w:val="bottom"/>
          </w:tcPr>
          <w:p w14:paraId="0BFAEEBA" w14:textId="77777777" w:rsidR="00720217" w:rsidRPr="00720217" w:rsidRDefault="00720217" w:rsidP="00720217">
            <w:pPr>
              <w:rPr>
                <w:rFonts w:ascii="Arial" w:hAnsi="Arial" w:cs="Arial"/>
              </w:rPr>
            </w:pPr>
          </w:p>
        </w:tc>
        <w:tc>
          <w:tcPr>
            <w:tcW w:w="425" w:type="dxa"/>
            <w:tcMar>
              <w:top w:w="0" w:type="dxa"/>
              <w:left w:w="70" w:type="dxa"/>
              <w:bottom w:w="0" w:type="dxa"/>
              <w:right w:w="70" w:type="dxa"/>
            </w:tcMar>
            <w:vAlign w:val="bottom"/>
          </w:tcPr>
          <w:p w14:paraId="34A51B08" w14:textId="77777777" w:rsidR="00720217" w:rsidRPr="00720217" w:rsidRDefault="00720217" w:rsidP="00720217">
            <w:pPr>
              <w:rPr>
                <w:rFonts w:ascii="Arial" w:hAnsi="Arial" w:cs="Arial"/>
              </w:rPr>
            </w:pPr>
          </w:p>
        </w:tc>
        <w:tc>
          <w:tcPr>
            <w:tcW w:w="2127" w:type="dxa"/>
            <w:tcMar>
              <w:top w:w="0" w:type="dxa"/>
              <w:left w:w="70" w:type="dxa"/>
              <w:bottom w:w="0" w:type="dxa"/>
              <w:right w:w="70" w:type="dxa"/>
            </w:tcMar>
            <w:vAlign w:val="bottom"/>
          </w:tcPr>
          <w:p w14:paraId="3D0AC3FE" w14:textId="77777777" w:rsidR="00720217" w:rsidRPr="00720217" w:rsidRDefault="00720217" w:rsidP="00720217">
            <w:pPr>
              <w:rPr>
                <w:rFonts w:ascii="Arial" w:hAnsi="Arial" w:cs="Arial"/>
              </w:rPr>
            </w:pPr>
          </w:p>
        </w:tc>
      </w:tr>
      <w:tr w:rsidR="00720217" w:rsidRPr="00720217" w14:paraId="3D4D080B" w14:textId="77777777" w:rsidTr="00720217">
        <w:trPr>
          <w:trHeight w:val="315"/>
        </w:trPr>
        <w:tc>
          <w:tcPr>
            <w:tcW w:w="2342" w:type="dxa"/>
            <w:tcMar>
              <w:top w:w="0" w:type="dxa"/>
              <w:left w:w="70" w:type="dxa"/>
              <w:bottom w:w="0" w:type="dxa"/>
              <w:right w:w="70" w:type="dxa"/>
            </w:tcMar>
            <w:vAlign w:val="bottom"/>
            <w:hideMark/>
          </w:tcPr>
          <w:p w14:paraId="68E6F97F" w14:textId="77777777" w:rsidR="00720217" w:rsidRPr="00720217" w:rsidRDefault="00720217" w:rsidP="00720217">
            <w:pPr>
              <w:rPr>
                <w:rFonts w:ascii="Arial" w:hAnsi="Arial" w:cs="Arial"/>
              </w:rPr>
            </w:pPr>
            <w:r w:rsidRPr="00720217">
              <w:rPr>
                <w:rFonts w:ascii="Arial" w:hAnsi="Arial" w:cs="Arial"/>
                <w:color w:val="000000"/>
              </w:rPr>
              <w:t>&lt;25%</w:t>
            </w:r>
          </w:p>
        </w:tc>
        <w:tc>
          <w:tcPr>
            <w:tcW w:w="633" w:type="dxa"/>
            <w:tcMar>
              <w:top w:w="0" w:type="dxa"/>
              <w:left w:w="70" w:type="dxa"/>
              <w:bottom w:w="0" w:type="dxa"/>
              <w:right w:w="70" w:type="dxa"/>
            </w:tcMar>
            <w:vAlign w:val="bottom"/>
            <w:hideMark/>
          </w:tcPr>
          <w:p w14:paraId="7FFE6E0D" w14:textId="77777777" w:rsidR="00720217" w:rsidRPr="00720217" w:rsidRDefault="00720217" w:rsidP="00720217">
            <w:pPr>
              <w:jc w:val="center"/>
              <w:rPr>
                <w:rFonts w:ascii="Arial" w:hAnsi="Arial" w:cs="Arial"/>
              </w:rPr>
            </w:pPr>
            <w:r w:rsidRPr="00720217">
              <w:rPr>
                <w:rFonts w:ascii="Arial" w:hAnsi="Arial" w:cs="Arial"/>
                <w:color w:val="000000"/>
              </w:rPr>
              <w:t>17</w:t>
            </w:r>
          </w:p>
        </w:tc>
        <w:tc>
          <w:tcPr>
            <w:tcW w:w="709" w:type="dxa"/>
            <w:tcMar>
              <w:top w:w="0" w:type="dxa"/>
              <w:left w:w="70" w:type="dxa"/>
              <w:bottom w:w="0" w:type="dxa"/>
              <w:right w:w="70" w:type="dxa"/>
            </w:tcMar>
            <w:vAlign w:val="bottom"/>
            <w:hideMark/>
          </w:tcPr>
          <w:p w14:paraId="5ED0DEA9" w14:textId="77777777" w:rsidR="00720217" w:rsidRPr="00720217" w:rsidRDefault="00720217" w:rsidP="00720217">
            <w:pPr>
              <w:jc w:val="center"/>
              <w:rPr>
                <w:rFonts w:ascii="Arial" w:hAnsi="Arial" w:cs="Arial"/>
              </w:rPr>
            </w:pPr>
            <w:r w:rsidRPr="00720217">
              <w:rPr>
                <w:rFonts w:ascii="Arial" w:hAnsi="Arial" w:cs="Arial"/>
                <w:color w:val="000000"/>
              </w:rPr>
              <w:t>6,0</w:t>
            </w:r>
          </w:p>
        </w:tc>
        <w:tc>
          <w:tcPr>
            <w:tcW w:w="709" w:type="dxa"/>
            <w:tcMar>
              <w:top w:w="0" w:type="dxa"/>
              <w:left w:w="70" w:type="dxa"/>
              <w:bottom w:w="0" w:type="dxa"/>
              <w:right w:w="70" w:type="dxa"/>
            </w:tcMar>
            <w:vAlign w:val="bottom"/>
            <w:hideMark/>
          </w:tcPr>
          <w:p w14:paraId="0DFACFA4" w14:textId="77777777" w:rsidR="00720217" w:rsidRPr="00720217" w:rsidRDefault="00720217" w:rsidP="00720217">
            <w:pPr>
              <w:jc w:val="center"/>
              <w:rPr>
                <w:rFonts w:ascii="Arial" w:hAnsi="Arial" w:cs="Arial"/>
              </w:rPr>
            </w:pPr>
            <w:r w:rsidRPr="00720217">
              <w:rPr>
                <w:rFonts w:ascii="Arial" w:hAnsi="Arial" w:cs="Arial"/>
                <w:color w:val="000000"/>
              </w:rPr>
              <w:t>3</w:t>
            </w:r>
          </w:p>
        </w:tc>
        <w:tc>
          <w:tcPr>
            <w:tcW w:w="709" w:type="dxa"/>
            <w:tcMar>
              <w:top w:w="0" w:type="dxa"/>
              <w:left w:w="70" w:type="dxa"/>
              <w:bottom w:w="0" w:type="dxa"/>
              <w:right w:w="70" w:type="dxa"/>
            </w:tcMar>
            <w:vAlign w:val="bottom"/>
            <w:hideMark/>
          </w:tcPr>
          <w:p w14:paraId="69FC7CAD" w14:textId="77777777" w:rsidR="00720217" w:rsidRPr="00720217" w:rsidRDefault="00720217" w:rsidP="00720217">
            <w:pPr>
              <w:jc w:val="center"/>
              <w:rPr>
                <w:rFonts w:ascii="Arial" w:hAnsi="Arial" w:cs="Arial"/>
              </w:rPr>
            </w:pPr>
            <w:r w:rsidRPr="00720217">
              <w:rPr>
                <w:rFonts w:ascii="Arial" w:hAnsi="Arial" w:cs="Arial"/>
                <w:color w:val="000000"/>
              </w:rPr>
              <w:t>1,1</w:t>
            </w:r>
          </w:p>
        </w:tc>
        <w:tc>
          <w:tcPr>
            <w:tcW w:w="850" w:type="dxa"/>
            <w:tcMar>
              <w:top w:w="0" w:type="dxa"/>
              <w:left w:w="70" w:type="dxa"/>
              <w:bottom w:w="0" w:type="dxa"/>
              <w:right w:w="70" w:type="dxa"/>
            </w:tcMar>
            <w:vAlign w:val="bottom"/>
            <w:hideMark/>
          </w:tcPr>
          <w:p w14:paraId="1647D83C" w14:textId="77777777" w:rsidR="00720217" w:rsidRPr="00720217" w:rsidRDefault="00720217" w:rsidP="00720217">
            <w:pPr>
              <w:jc w:val="center"/>
              <w:rPr>
                <w:rFonts w:ascii="Arial" w:hAnsi="Arial" w:cs="Arial"/>
              </w:rPr>
            </w:pPr>
            <w:r w:rsidRPr="00720217">
              <w:rPr>
                <w:rFonts w:ascii="Arial" w:hAnsi="Arial" w:cs="Arial"/>
                <w:color w:val="000000"/>
              </w:rPr>
              <w:t>0</w:t>
            </w:r>
          </w:p>
        </w:tc>
        <w:tc>
          <w:tcPr>
            <w:tcW w:w="425" w:type="dxa"/>
            <w:tcMar>
              <w:top w:w="0" w:type="dxa"/>
              <w:left w:w="70" w:type="dxa"/>
              <w:bottom w:w="0" w:type="dxa"/>
              <w:right w:w="70" w:type="dxa"/>
            </w:tcMar>
            <w:vAlign w:val="bottom"/>
            <w:hideMark/>
          </w:tcPr>
          <w:p w14:paraId="5D3F320A" w14:textId="77777777" w:rsidR="00720217" w:rsidRPr="00720217" w:rsidRDefault="00720217" w:rsidP="00720217">
            <w:pPr>
              <w:jc w:val="center"/>
              <w:rPr>
                <w:rFonts w:ascii="Arial" w:hAnsi="Arial" w:cs="Arial"/>
              </w:rPr>
            </w:pPr>
            <w:r w:rsidRPr="00720217">
              <w:rPr>
                <w:rFonts w:ascii="Arial" w:hAnsi="Arial" w:cs="Arial"/>
                <w:color w:val="000000"/>
              </w:rPr>
              <w:t>0,0</w:t>
            </w:r>
          </w:p>
        </w:tc>
        <w:tc>
          <w:tcPr>
            <w:tcW w:w="2127" w:type="dxa"/>
            <w:vMerge w:val="restart"/>
            <w:tcMar>
              <w:top w:w="0" w:type="dxa"/>
              <w:left w:w="70" w:type="dxa"/>
              <w:bottom w:w="0" w:type="dxa"/>
              <w:right w:w="70" w:type="dxa"/>
            </w:tcMar>
            <w:vAlign w:val="center"/>
            <w:hideMark/>
          </w:tcPr>
          <w:p w14:paraId="5C6F84F8" w14:textId="77777777" w:rsidR="00720217" w:rsidRPr="00720217" w:rsidRDefault="00720217" w:rsidP="00720217">
            <w:pPr>
              <w:jc w:val="center"/>
              <w:rPr>
                <w:rFonts w:ascii="Arial" w:hAnsi="Arial" w:cs="Arial"/>
                <w:color w:val="000000"/>
              </w:rPr>
            </w:pPr>
            <w:r w:rsidRPr="00720217">
              <w:rPr>
                <w:rFonts w:ascii="Arial" w:hAnsi="Arial" w:cs="Arial"/>
                <w:color w:val="000000"/>
              </w:rPr>
              <w:t>X</w:t>
            </w:r>
            <w:r w:rsidRPr="00720217">
              <w:rPr>
                <w:rFonts w:ascii="Arial" w:hAnsi="Arial" w:cs="Arial"/>
                <w:color w:val="000000"/>
                <w:vertAlign w:val="superscript"/>
              </w:rPr>
              <w:t>2</w:t>
            </w:r>
            <w:r w:rsidRPr="00720217">
              <w:rPr>
                <w:rFonts w:ascii="Arial" w:hAnsi="Arial" w:cs="Arial"/>
                <w:color w:val="000000"/>
              </w:rPr>
              <w:t>= 39,802; p=0,000*</w:t>
            </w:r>
          </w:p>
        </w:tc>
      </w:tr>
      <w:tr w:rsidR="00720217" w:rsidRPr="00720217" w14:paraId="4C48B553" w14:textId="77777777" w:rsidTr="00720217">
        <w:trPr>
          <w:trHeight w:val="315"/>
        </w:trPr>
        <w:tc>
          <w:tcPr>
            <w:tcW w:w="2342" w:type="dxa"/>
            <w:tcMar>
              <w:top w:w="0" w:type="dxa"/>
              <w:left w:w="70" w:type="dxa"/>
              <w:bottom w:w="0" w:type="dxa"/>
              <w:right w:w="70" w:type="dxa"/>
            </w:tcMar>
            <w:vAlign w:val="bottom"/>
            <w:hideMark/>
          </w:tcPr>
          <w:p w14:paraId="4F3A61B1" w14:textId="77777777" w:rsidR="00720217" w:rsidRPr="00720217" w:rsidRDefault="00720217" w:rsidP="00720217">
            <w:pPr>
              <w:rPr>
                <w:rFonts w:ascii="Arial" w:hAnsi="Arial" w:cs="Arial"/>
              </w:rPr>
            </w:pPr>
            <w:r w:rsidRPr="00720217">
              <w:rPr>
                <w:rFonts w:ascii="Arial" w:hAnsi="Arial" w:cs="Arial"/>
                <w:color w:val="000000"/>
              </w:rPr>
              <w:t>25-50%</w:t>
            </w:r>
          </w:p>
        </w:tc>
        <w:tc>
          <w:tcPr>
            <w:tcW w:w="633" w:type="dxa"/>
            <w:tcMar>
              <w:top w:w="0" w:type="dxa"/>
              <w:left w:w="70" w:type="dxa"/>
              <w:bottom w:w="0" w:type="dxa"/>
              <w:right w:w="70" w:type="dxa"/>
            </w:tcMar>
            <w:vAlign w:val="bottom"/>
            <w:hideMark/>
          </w:tcPr>
          <w:p w14:paraId="0DC29906" w14:textId="77777777" w:rsidR="00720217" w:rsidRPr="00720217" w:rsidRDefault="00720217" w:rsidP="00720217">
            <w:pPr>
              <w:jc w:val="center"/>
              <w:rPr>
                <w:rFonts w:ascii="Arial" w:hAnsi="Arial" w:cs="Arial"/>
              </w:rPr>
            </w:pPr>
            <w:r w:rsidRPr="00720217">
              <w:rPr>
                <w:rFonts w:ascii="Arial" w:hAnsi="Arial" w:cs="Arial"/>
                <w:color w:val="000000"/>
              </w:rPr>
              <w:t>67</w:t>
            </w:r>
          </w:p>
        </w:tc>
        <w:tc>
          <w:tcPr>
            <w:tcW w:w="709" w:type="dxa"/>
            <w:tcMar>
              <w:top w:w="0" w:type="dxa"/>
              <w:left w:w="70" w:type="dxa"/>
              <w:bottom w:w="0" w:type="dxa"/>
              <w:right w:w="70" w:type="dxa"/>
            </w:tcMar>
            <w:vAlign w:val="bottom"/>
            <w:hideMark/>
          </w:tcPr>
          <w:p w14:paraId="7D7526DC" w14:textId="77777777" w:rsidR="00720217" w:rsidRPr="00720217" w:rsidRDefault="00720217" w:rsidP="00720217">
            <w:pPr>
              <w:jc w:val="center"/>
              <w:rPr>
                <w:rFonts w:ascii="Arial" w:hAnsi="Arial" w:cs="Arial"/>
              </w:rPr>
            </w:pPr>
            <w:r w:rsidRPr="00720217">
              <w:rPr>
                <w:rFonts w:ascii="Arial" w:hAnsi="Arial" w:cs="Arial"/>
                <w:color w:val="000000"/>
              </w:rPr>
              <w:t>23,5</w:t>
            </w:r>
          </w:p>
        </w:tc>
        <w:tc>
          <w:tcPr>
            <w:tcW w:w="709" w:type="dxa"/>
            <w:tcMar>
              <w:top w:w="0" w:type="dxa"/>
              <w:left w:w="70" w:type="dxa"/>
              <w:bottom w:w="0" w:type="dxa"/>
              <w:right w:w="70" w:type="dxa"/>
            </w:tcMar>
            <w:vAlign w:val="bottom"/>
            <w:hideMark/>
          </w:tcPr>
          <w:p w14:paraId="1260C228" w14:textId="77777777" w:rsidR="00720217" w:rsidRPr="00720217" w:rsidRDefault="00720217" w:rsidP="00720217">
            <w:pPr>
              <w:jc w:val="center"/>
              <w:rPr>
                <w:rFonts w:ascii="Arial" w:hAnsi="Arial" w:cs="Arial"/>
              </w:rPr>
            </w:pPr>
            <w:r w:rsidRPr="00720217">
              <w:rPr>
                <w:rFonts w:ascii="Arial" w:hAnsi="Arial" w:cs="Arial"/>
                <w:color w:val="000000"/>
              </w:rPr>
              <w:t>19</w:t>
            </w:r>
          </w:p>
        </w:tc>
        <w:tc>
          <w:tcPr>
            <w:tcW w:w="709" w:type="dxa"/>
            <w:tcMar>
              <w:top w:w="0" w:type="dxa"/>
              <w:left w:w="70" w:type="dxa"/>
              <w:bottom w:w="0" w:type="dxa"/>
              <w:right w:w="70" w:type="dxa"/>
            </w:tcMar>
            <w:vAlign w:val="bottom"/>
            <w:hideMark/>
          </w:tcPr>
          <w:p w14:paraId="2505324E" w14:textId="77777777" w:rsidR="00720217" w:rsidRPr="00720217" w:rsidRDefault="00720217" w:rsidP="00720217">
            <w:pPr>
              <w:jc w:val="center"/>
              <w:rPr>
                <w:rFonts w:ascii="Arial" w:hAnsi="Arial" w:cs="Arial"/>
              </w:rPr>
            </w:pPr>
            <w:r w:rsidRPr="00720217">
              <w:rPr>
                <w:rFonts w:ascii="Arial" w:hAnsi="Arial" w:cs="Arial"/>
                <w:color w:val="000000"/>
              </w:rPr>
              <w:t>6,7</w:t>
            </w:r>
          </w:p>
        </w:tc>
        <w:tc>
          <w:tcPr>
            <w:tcW w:w="850" w:type="dxa"/>
            <w:tcMar>
              <w:top w:w="0" w:type="dxa"/>
              <w:left w:w="70" w:type="dxa"/>
              <w:bottom w:w="0" w:type="dxa"/>
              <w:right w:w="70" w:type="dxa"/>
            </w:tcMar>
            <w:vAlign w:val="bottom"/>
            <w:hideMark/>
          </w:tcPr>
          <w:p w14:paraId="53678F89" w14:textId="77777777" w:rsidR="00720217" w:rsidRPr="00720217" w:rsidRDefault="00720217" w:rsidP="00720217">
            <w:pPr>
              <w:jc w:val="center"/>
              <w:rPr>
                <w:rFonts w:ascii="Arial" w:hAnsi="Arial" w:cs="Arial"/>
              </w:rPr>
            </w:pPr>
            <w:r w:rsidRPr="00720217">
              <w:rPr>
                <w:rFonts w:ascii="Arial" w:hAnsi="Arial" w:cs="Arial"/>
                <w:color w:val="000000"/>
              </w:rPr>
              <w:t>7</w:t>
            </w:r>
          </w:p>
        </w:tc>
        <w:tc>
          <w:tcPr>
            <w:tcW w:w="425" w:type="dxa"/>
            <w:tcMar>
              <w:top w:w="0" w:type="dxa"/>
              <w:left w:w="70" w:type="dxa"/>
              <w:bottom w:w="0" w:type="dxa"/>
              <w:right w:w="70" w:type="dxa"/>
            </w:tcMar>
            <w:vAlign w:val="bottom"/>
            <w:hideMark/>
          </w:tcPr>
          <w:p w14:paraId="46FA5342" w14:textId="77777777" w:rsidR="00720217" w:rsidRPr="00720217" w:rsidRDefault="00720217" w:rsidP="00720217">
            <w:pPr>
              <w:jc w:val="center"/>
              <w:rPr>
                <w:rFonts w:ascii="Arial" w:hAnsi="Arial" w:cs="Arial"/>
              </w:rPr>
            </w:pPr>
            <w:r w:rsidRPr="00720217">
              <w:rPr>
                <w:rFonts w:ascii="Arial" w:hAnsi="Arial" w:cs="Arial"/>
                <w:color w:val="000000"/>
              </w:rPr>
              <w:t>2,5</w:t>
            </w:r>
          </w:p>
        </w:tc>
        <w:tc>
          <w:tcPr>
            <w:tcW w:w="2127" w:type="dxa"/>
            <w:vMerge/>
            <w:vAlign w:val="center"/>
            <w:hideMark/>
          </w:tcPr>
          <w:p w14:paraId="0C58F8AD" w14:textId="77777777" w:rsidR="00720217" w:rsidRPr="00720217" w:rsidRDefault="00720217" w:rsidP="00720217">
            <w:pPr>
              <w:rPr>
                <w:rFonts w:ascii="Arial" w:hAnsi="Arial" w:cs="Arial"/>
                <w:color w:val="000000"/>
              </w:rPr>
            </w:pPr>
          </w:p>
        </w:tc>
      </w:tr>
      <w:tr w:rsidR="00720217" w:rsidRPr="00720217" w14:paraId="08B85557" w14:textId="77777777" w:rsidTr="00720217">
        <w:trPr>
          <w:trHeight w:val="315"/>
        </w:trPr>
        <w:tc>
          <w:tcPr>
            <w:tcW w:w="2342" w:type="dxa"/>
            <w:tcMar>
              <w:top w:w="0" w:type="dxa"/>
              <w:left w:w="70" w:type="dxa"/>
              <w:bottom w:w="0" w:type="dxa"/>
              <w:right w:w="70" w:type="dxa"/>
            </w:tcMar>
            <w:vAlign w:val="bottom"/>
            <w:hideMark/>
          </w:tcPr>
          <w:p w14:paraId="1C611F00" w14:textId="77777777" w:rsidR="00720217" w:rsidRPr="00720217" w:rsidRDefault="00720217" w:rsidP="00720217">
            <w:pPr>
              <w:rPr>
                <w:rFonts w:ascii="Arial" w:hAnsi="Arial" w:cs="Arial"/>
              </w:rPr>
            </w:pPr>
            <w:r w:rsidRPr="00720217">
              <w:rPr>
                <w:rFonts w:ascii="Arial" w:hAnsi="Arial" w:cs="Arial"/>
                <w:color w:val="000000"/>
              </w:rPr>
              <w:t>50-75%</w:t>
            </w:r>
          </w:p>
        </w:tc>
        <w:tc>
          <w:tcPr>
            <w:tcW w:w="633" w:type="dxa"/>
            <w:tcMar>
              <w:top w:w="0" w:type="dxa"/>
              <w:left w:w="70" w:type="dxa"/>
              <w:bottom w:w="0" w:type="dxa"/>
              <w:right w:w="70" w:type="dxa"/>
            </w:tcMar>
            <w:vAlign w:val="bottom"/>
            <w:hideMark/>
          </w:tcPr>
          <w:p w14:paraId="54EF016A" w14:textId="77777777" w:rsidR="00720217" w:rsidRPr="00720217" w:rsidRDefault="00720217" w:rsidP="00720217">
            <w:pPr>
              <w:jc w:val="center"/>
              <w:rPr>
                <w:rFonts w:ascii="Arial" w:hAnsi="Arial" w:cs="Arial"/>
              </w:rPr>
            </w:pPr>
            <w:r w:rsidRPr="00720217">
              <w:rPr>
                <w:rFonts w:ascii="Arial" w:hAnsi="Arial" w:cs="Arial"/>
                <w:color w:val="000000"/>
              </w:rPr>
              <w:t>65</w:t>
            </w:r>
          </w:p>
        </w:tc>
        <w:tc>
          <w:tcPr>
            <w:tcW w:w="709" w:type="dxa"/>
            <w:tcMar>
              <w:top w:w="0" w:type="dxa"/>
              <w:left w:w="70" w:type="dxa"/>
              <w:bottom w:w="0" w:type="dxa"/>
              <w:right w:w="70" w:type="dxa"/>
            </w:tcMar>
            <w:vAlign w:val="bottom"/>
            <w:hideMark/>
          </w:tcPr>
          <w:p w14:paraId="7016251C" w14:textId="77777777" w:rsidR="00720217" w:rsidRPr="00720217" w:rsidRDefault="00720217" w:rsidP="00720217">
            <w:pPr>
              <w:jc w:val="center"/>
              <w:rPr>
                <w:rFonts w:ascii="Arial" w:hAnsi="Arial" w:cs="Arial"/>
              </w:rPr>
            </w:pPr>
            <w:r w:rsidRPr="00720217">
              <w:rPr>
                <w:rFonts w:ascii="Arial" w:hAnsi="Arial" w:cs="Arial"/>
                <w:color w:val="000000"/>
              </w:rPr>
              <w:t>22,8</w:t>
            </w:r>
          </w:p>
        </w:tc>
        <w:tc>
          <w:tcPr>
            <w:tcW w:w="709" w:type="dxa"/>
            <w:tcMar>
              <w:top w:w="0" w:type="dxa"/>
              <w:left w:w="70" w:type="dxa"/>
              <w:bottom w:w="0" w:type="dxa"/>
              <w:right w:w="70" w:type="dxa"/>
            </w:tcMar>
            <w:vAlign w:val="bottom"/>
            <w:hideMark/>
          </w:tcPr>
          <w:p w14:paraId="1C9A88B4" w14:textId="77777777" w:rsidR="00720217" w:rsidRPr="00720217" w:rsidRDefault="00720217" w:rsidP="00720217">
            <w:pPr>
              <w:jc w:val="center"/>
              <w:rPr>
                <w:rFonts w:ascii="Arial" w:hAnsi="Arial" w:cs="Arial"/>
              </w:rPr>
            </w:pPr>
            <w:r w:rsidRPr="00720217">
              <w:rPr>
                <w:rFonts w:ascii="Arial" w:hAnsi="Arial" w:cs="Arial"/>
                <w:color w:val="000000"/>
              </w:rPr>
              <w:t>26</w:t>
            </w:r>
          </w:p>
        </w:tc>
        <w:tc>
          <w:tcPr>
            <w:tcW w:w="709" w:type="dxa"/>
            <w:tcMar>
              <w:top w:w="0" w:type="dxa"/>
              <w:left w:w="70" w:type="dxa"/>
              <w:bottom w:w="0" w:type="dxa"/>
              <w:right w:w="70" w:type="dxa"/>
            </w:tcMar>
            <w:vAlign w:val="bottom"/>
            <w:hideMark/>
          </w:tcPr>
          <w:p w14:paraId="6F7B19A9" w14:textId="77777777" w:rsidR="00720217" w:rsidRPr="00720217" w:rsidRDefault="00720217" w:rsidP="00720217">
            <w:pPr>
              <w:jc w:val="center"/>
              <w:rPr>
                <w:rFonts w:ascii="Arial" w:hAnsi="Arial" w:cs="Arial"/>
              </w:rPr>
            </w:pPr>
            <w:r w:rsidRPr="00720217">
              <w:rPr>
                <w:rFonts w:ascii="Arial" w:hAnsi="Arial" w:cs="Arial"/>
                <w:color w:val="000000"/>
              </w:rPr>
              <w:t>9,1</w:t>
            </w:r>
          </w:p>
        </w:tc>
        <w:tc>
          <w:tcPr>
            <w:tcW w:w="850" w:type="dxa"/>
            <w:tcMar>
              <w:top w:w="0" w:type="dxa"/>
              <w:left w:w="70" w:type="dxa"/>
              <w:bottom w:w="0" w:type="dxa"/>
              <w:right w:w="70" w:type="dxa"/>
            </w:tcMar>
            <w:vAlign w:val="bottom"/>
            <w:hideMark/>
          </w:tcPr>
          <w:p w14:paraId="6094520B" w14:textId="77777777" w:rsidR="00720217" w:rsidRPr="00720217" w:rsidRDefault="00720217" w:rsidP="00720217">
            <w:pPr>
              <w:jc w:val="center"/>
              <w:rPr>
                <w:rFonts w:ascii="Arial" w:hAnsi="Arial" w:cs="Arial"/>
              </w:rPr>
            </w:pPr>
            <w:r w:rsidRPr="00720217">
              <w:rPr>
                <w:rFonts w:ascii="Arial" w:hAnsi="Arial" w:cs="Arial"/>
                <w:color w:val="000000"/>
              </w:rPr>
              <w:t>6</w:t>
            </w:r>
          </w:p>
        </w:tc>
        <w:tc>
          <w:tcPr>
            <w:tcW w:w="425" w:type="dxa"/>
            <w:tcMar>
              <w:top w:w="0" w:type="dxa"/>
              <w:left w:w="70" w:type="dxa"/>
              <w:bottom w:w="0" w:type="dxa"/>
              <w:right w:w="70" w:type="dxa"/>
            </w:tcMar>
            <w:vAlign w:val="bottom"/>
            <w:hideMark/>
          </w:tcPr>
          <w:p w14:paraId="351C4E55" w14:textId="77777777" w:rsidR="00720217" w:rsidRPr="00720217" w:rsidRDefault="00720217" w:rsidP="00720217">
            <w:pPr>
              <w:jc w:val="center"/>
              <w:rPr>
                <w:rFonts w:ascii="Arial" w:hAnsi="Arial" w:cs="Arial"/>
              </w:rPr>
            </w:pPr>
            <w:r w:rsidRPr="00720217">
              <w:rPr>
                <w:rFonts w:ascii="Arial" w:hAnsi="Arial" w:cs="Arial"/>
                <w:color w:val="000000"/>
              </w:rPr>
              <w:t>2,1</w:t>
            </w:r>
          </w:p>
        </w:tc>
        <w:tc>
          <w:tcPr>
            <w:tcW w:w="2127" w:type="dxa"/>
            <w:vMerge/>
            <w:vAlign w:val="center"/>
            <w:hideMark/>
          </w:tcPr>
          <w:p w14:paraId="19F5E0A8" w14:textId="77777777" w:rsidR="00720217" w:rsidRPr="00720217" w:rsidRDefault="00720217" w:rsidP="00720217">
            <w:pPr>
              <w:rPr>
                <w:rFonts w:ascii="Arial" w:hAnsi="Arial" w:cs="Arial"/>
                <w:color w:val="000000"/>
              </w:rPr>
            </w:pPr>
          </w:p>
        </w:tc>
      </w:tr>
      <w:tr w:rsidR="00720217" w:rsidRPr="00720217" w14:paraId="602ED00F" w14:textId="77777777" w:rsidTr="00720217">
        <w:trPr>
          <w:trHeight w:val="315"/>
        </w:trPr>
        <w:tc>
          <w:tcPr>
            <w:tcW w:w="2342" w:type="dxa"/>
            <w:tcMar>
              <w:top w:w="0" w:type="dxa"/>
              <w:left w:w="70" w:type="dxa"/>
              <w:bottom w:w="0" w:type="dxa"/>
              <w:right w:w="70" w:type="dxa"/>
            </w:tcMar>
            <w:vAlign w:val="bottom"/>
            <w:hideMark/>
          </w:tcPr>
          <w:p w14:paraId="22AEA8F3" w14:textId="77777777" w:rsidR="00720217" w:rsidRPr="00720217" w:rsidRDefault="00720217" w:rsidP="00720217">
            <w:pPr>
              <w:rPr>
                <w:rFonts w:ascii="Arial" w:hAnsi="Arial" w:cs="Arial"/>
              </w:rPr>
            </w:pPr>
            <w:r w:rsidRPr="00720217">
              <w:rPr>
                <w:rFonts w:ascii="Arial" w:hAnsi="Arial" w:cs="Arial"/>
                <w:color w:val="000000"/>
              </w:rPr>
              <w:t>&gt;75%</w:t>
            </w:r>
          </w:p>
        </w:tc>
        <w:tc>
          <w:tcPr>
            <w:tcW w:w="633" w:type="dxa"/>
            <w:tcMar>
              <w:top w:w="0" w:type="dxa"/>
              <w:left w:w="70" w:type="dxa"/>
              <w:bottom w:w="0" w:type="dxa"/>
              <w:right w:w="70" w:type="dxa"/>
            </w:tcMar>
            <w:vAlign w:val="bottom"/>
            <w:hideMark/>
          </w:tcPr>
          <w:p w14:paraId="21942A8D" w14:textId="77777777" w:rsidR="00720217" w:rsidRPr="00720217" w:rsidRDefault="00720217" w:rsidP="00720217">
            <w:pPr>
              <w:jc w:val="center"/>
              <w:rPr>
                <w:rFonts w:ascii="Arial" w:hAnsi="Arial" w:cs="Arial"/>
              </w:rPr>
            </w:pPr>
            <w:r w:rsidRPr="00720217">
              <w:rPr>
                <w:rFonts w:ascii="Arial" w:hAnsi="Arial" w:cs="Arial"/>
                <w:color w:val="000000"/>
              </w:rPr>
              <w:t>1</w:t>
            </w:r>
          </w:p>
        </w:tc>
        <w:tc>
          <w:tcPr>
            <w:tcW w:w="709" w:type="dxa"/>
            <w:tcMar>
              <w:top w:w="0" w:type="dxa"/>
              <w:left w:w="70" w:type="dxa"/>
              <w:bottom w:w="0" w:type="dxa"/>
              <w:right w:w="70" w:type="dxa"/>
            </w:tcMar>
            <w:vAlign w:val="bottom"/>
            <w:hideMark/>
          </w:tcPr>
          <w:p w14:paraId="4C312682" w14:textId="77777777" w:rsidR="00720217" w:rsidRPr="00720217" w:rsidRDefault="00720217" w:rsidP="00720217">
            <w:pPr>
              <w:jc w:val="center"/>
              <w:rPr>
                <w:rFonts w:ascii="Arial" w:hAnsi="Arial" w:cs="Arial"/>
              </w:rPr>
            </w:pPr>
            <w:r w:rsidRPr="00720217">
              <w:rPr>
                <w:rFonts w:ascii="Arial" w:hAnsi="Arial" w:cs="Arial"/>
                <w:color w:val="000000"/>
              </w:rPr>
              <w:t>0,4</w:t>
            </w:r>
          </w:p>
        </w:tc>
        <w:tc>
          <w:tcPr>
            <w:tcW w:w="709" w:type="dxa"/>
            <w:tcMar>
              <w:top w:w="0" w:type="dxa"/>
              <w:left w:w="70" w:type="dxa"/>
              <w:bottom w:w="0" w:type="dxa"/>
              <w:right w:w="70" w:type="dxa"/>
            </w:tcMar>
            <w:vAlign w:val="bottom"/>
            <w:hideMark/>
          </w:tcPr>
          <w:p w14:paraId="149F276A" w14:textId="77777777" w:rsidR="00720217" w:rsidRPr="00720217" w:rsidRDefault="00720217" w:rsidP="00720217">
            <w:pPr>
              <w:jc w:val="center"/>
              <w:rPr>
                <w:rFonts w:ascii="Arial" w:hAnsi="Arial" w:cs="Arial"/>
              </w:rPr>
            </w:pPr>
            <w:r w:rsidRPr="00720217">
              <w:rPr>
                <w:rFonts w:ascii="Arial" w:hAnsi="Arial" w:cs="Arial"/>
                <w:color w:val="000000"/>
              </w:rPr>
              <w:t>6</w:t>
            </w:r>
          </w:p>
        </w:tc>
        <w:tc>
          <w:tcPr>
            <w:tcW w:w="709" w:type="dxa"/>
            <w:tcMar>
              <w:top w:w="0" w:type="dxa"/>
              <w:left w:w="70" w:type="dxa"/>
              <w:bottom w:w="0" w:type="dxa"/>
              <w:right w:w="70" w:type="dxa"/>
            </w:tcMar>
            <w:vAlign w:val="bottom"/>
            <w:hideMark/>
          </w:tcPr>
          <w:p w14:paraId="38B7CD59" w14:textId="77777777" w:rsidR="00720217" w:rsidRPr="00720217" w:rsidRDefault="00720217" w:rsidP="00720217">
            <w:pPr>
              <w:jc w:val="center"/>
              <w:rPr>
                <w:rFonts w:ascii="Arial" w:hAnsi="Arial" w:cs="Arial"/>
              </w:rPr>
            </w:pPr>
            <w:r w:rsidRPr="00720217">
              <w:rPr>
                <w:rFonts w:ascii="Arial" w:hAnsi="Arial" w:cs="Arial"/>
                <w:color w:val="000000"/>
              </w:rPr>
              <w:t>2,1</w:t>
            </w:r>
          </w:p>
        </w:tc>
        <w:tc>
          <w:tcPr>
            <w:tcW w:w="850" w:type="dxa"/>
            <w:tcMar>
              <w:top w:w="0" w:type="dxa"/>
              <w:left w:w="70" w:type="dxa"/>
              <w:bottom w:w="0" w:type="dxa"/>
              <w:right w:w="70" w:type="dxa"/>
            </w:tcMar>
            <w:vAlign w:val="bottom"/>
            <w:hideMark/>
          </w:tcPr>
          <w:p w14:paraId="7E4D9FE0" w14:textId="77777777" w:rsidR="00720217" w:rsidRPr="00720217" w:rsidRDefault="00720217" w:rsidP="00720217">
            <w:pPr>
              <w:jc w:val="center"/>
              <w:rPr>
                <w:rFonts w:ascii="Arial" w:hAnsi="Arial" w:cs="Arial"/>
              </w:rPr>
            </w:pPr>
            <w:r w:rsidRPr="00720217">
              <w:rPr>
                <w:rFonts w:ascii="Arial" w:hAnsi="Arial" w:cs="Arial"/>
                <w:color w:val="000000"/>
              </w:rPr>
              <w:t>1</w:t>
            </w:r>
          </w:p>
        </w:tc>
        <w:tc>
          <w:tcPr>
            <w:tcW w:w="425" w:type="dxa"/>
            <w:tcMar>
              <w:top w:w="0" w:type="dxa"/>
              <w:left w:w="70" w:type="dxa"/>
              <w:bottom w:w="0" w:type="dxa"/>
              <w:right w:w="70" w:type="dxa"/>
            </w:tcMar>
            <w:vAlign w:val="bottom"/>
            <w:hideMark/>
          </w:tcPr>
          <w:p w14:paraId="02FB5EB2" w14:textId="77777777" w:rsidR="00720217" w:rsidRPr="00720217" w:rsidRDefault="00720217" w:rsidP="00720217">
            <w:pPr>
              <w:jc w:val="center"/>
              <w:rPr>
                <w:rFonts w:ascii="Arial" w:hAnsi="Arial" w:cs="Arial"/>
              </w:rPr>
            </w:pPr>
            <w:r w:rsidRPr="00720217">
              <w:rPr>
                <w:rFonts w:ascii="Arial" w:hAnsi="Arial" w:cs="Arial"/>
                <w:color w:val="000000"/>
              </w:rPr>
              <w:t>0,4</w:t>
            </w:r>
          </w:p>
        </w:tc>
        <w:tc>
          <w:tcPr>
            <w:tcW w:w="2127" w:type="dxa"/>
            <w:vMerge/>
            <w:vAlign w:val="center"/>
            <w:hideMark/>
          </w:tcPr>
          <w:p w14:paraId="006C9222" w14:textId="77777777" w:rsidR="00720217" w:rsidRPr="00720217" w:rsidRDefault="00720217" w:rsidP="00720217">
            <w:pPr>
              <w:rPr>
                <w:rFonts w:ascii="Arial" w:hAnsi="Arial" w:cs="Arial"/>
                <w:color w:val="000000"/>
              </w:rPr>
            </w:pPr>
          </w:p>
        </w:tc>
      </w:tr>
      <w:tr w:rsidR="00720217" w:rsidRPr="00720217" w14:paraId="09C8DB68" w14:textId="77777777" w:rsidTr="00720217">
        <w:trPr>
          <w:trHeight w:val="315"/>
        </w:trPr>
        <w:tc>
          <w:tcPr>
            <w:tcW w:w="2342" w:type="dxa"/>
            <w:tcMar>
              <w:top w:w="0" w:type="dxa"/>
              <w:left w:w="70" w:type="dxa"/>
              <w:bottom w:w="0" w:type="dxa"/>
              <w:right w:w="70" w:type="dxa"/>
            </w:tcMar>
            <w:hideMark/>
          </w:tcPr>
          <w:p w14:paraId="7EF0B8A4" w14:textId="77777777" w:rsidR="00720217" w:rsidRPr="00720217" w:rsidRDefault="00720217" w:rsidP="00720217">
            <w:pPr>
              <w:rPr>
                <w:rFonts w:ascii="Arial" w:hAnsi="Arial" w:cs="Arial"/>
              </w:rPr>
            </w:pPr>
            <w:r w:rsidRPr="00720217">
              <w:rPr>
                <w:rFonts w:ascii="Arial" w:hAnsi="Arial" w:cs="Arial"/>
              </w:rPr>
              <w:t>Not realized</w:t>
            </w:r>
          </w:p>
        </w:tc>
        <w:tc>
          <w:tcPr>
            <w:tcW w:w="633" w:type="dxa"/>
            <w:tcMar>
              <w:top w:w="0" w:type="dxa"/>
              <w:left w:w="70" w:type="dxa"/>
              <w:bottom w:w="0" w:type="dxa"/>
              <w:right w:w="70" w:type="dxa"/>
            </w:tcMar>
            <w:vAlign w:val="bottom"/>
            <w:hideMark/>
          </w:tcPr>
          <w:p w14:paraId="73E85992" w14:textId="77777777" w:rsidR="00720217" w:rsidRPr="00720217" w:rsidRDefault="00720217" w:rsidP="00720217">
            <w:pPr>
              <w:jc w:val="center"/>
              <w:rPr>
                <w:rFonts w:ascii="Arial" w:hAnsi="Arial" w:cs="Arial"/>
              </w:rPr>
            </w:pPr>
            <w:r w:rsidRPr="00720217">
              <w:rPr>
                <w:rFonts w:ascii="Arial" w:hAnsi="Arial" w:cs="Arial"/>
                <w:color w:val="000000"/>
              </w:rPr>
              <w:t>20</w:t>
            </w:r>
          </w:p>
        </w:tc>
        <w:tc>
          <w:tcPr>
            <w:tcW w:w="709" w:type="dxa"/>
            <w:tcMar>
              <w:top w:w="0" w:type="dxa"/>
              <w:left w:w="70" w:type="dxa"/>
              <w:bottom w:w="0" w:type="dxa"/>
              <w:right w:w="70" w:type="dxa"/>
            </w:tcMar>
            <w:vAlign w:val="bottom"/>
            <w:hideMark/>
          </w:tcPr>
          <w:p w14:paraId="33C128C1" w14:textId="77777777" w:rsidR="00720217" w:rsidRPr="00720217" w:rsidRDefault="00720217" w:rsidP="00720217">
            <w:pPr>
              <w:jc w:val="center"/>
              <w:rPr>
                <w:rFonts w:ascii="Arial" w:hAnsi="Arial" w:cs="Arial"/>
              </w:rPr>
            </w:pPr>
            <w:r w:rsidRPr="00720217">
              <w:rPr>
                <w:rFonts w:ascii="Arial" w:hAnsi="Arial" w:cs="Arial"/>
                <w:color w:val="000000"/>
              </w:rPr>
              <w:t>7,0</w:t>
            </w:r>
          </w:p>
        </w:tc>
        <w:tc>
          <w:tcPr>
            <w:tcW w:w="709" w:type="dxa"/>
            <w:tcMar>
              <w:top w:w="0" w:type="dxa"/>
              <w:left w:w="70" w:type="dxa"/>
              <w:bottom w:w="0" w:type="dxa"/>
              <w:right w:w="70" w:type="dxa"/>
            </w:tcMar>
            <w:vAlign w:val="bottom"/>
            <w:hideMark/>
          </w:tcPr>
          <w:p w14:paraId="1445518D" w14:textId="77777777" w:rsidR="00720217" w:rsidRPr="00720217" w:rsidRDefault="00720217" w:rsidP="00720217">
            <w:pPr>
              <w:jc w:val="center"/>
              <w:rPr>
                <w:rFonts w:ascii="Arial" w:hAnsi="Arial" w:cs="Arial"/>
              </w:rPr>
            </w:pPr>
            <w:r w:rsidRPr="00720217">
              <w:rPr>
                <w:rFonts w:ascii="Arial" w:hAnsi="Arial" w:cs="Arial"/>
                <w:color w:val="000000"/>
              </w:rPr>
              <w:t>20</w:t>
            </w:r>
          </w:p>
        </w:tc>
        <w:tc>
          <w:tcPr>
            <w:tcW w:w="709" w:type="dxa"/>
            <w:tcMar>
              <w:top w:w="0" w:type="dxa"/>
              <w:left w:w="70" w:type="dxa"/>
              <w:bottom w:w="0" w:type="dxa"/>
              <w:right w:w="70" w:type="dxa"/>
            </w:tcMar>
            <w:vAlign w:val="bottom"/>
            <w:hideMark/>
          </w:tcPr>
          <w:p w14:paraId="4256551B" w14:textId="77777777" w:rsidR="00720217" w:rsidRPr="00720217" w:rsidRDefault="00720217" w:rsidP="00720217">
            <w:pPr>
              <w:jc w:val="center"/>
              <w:rPr>
                <w:rFonts w:ascii="Arial" w:hAnsi="Arial" w:cs="Arial"/>
              </w:rPr>
            </w:pPr>
            <w:r w:rsidRPr="00720217">
              <w:rPr>
                <w:rFonts w:ascii="Arial" w:hAnsi="Arial" w:cs="Arial"/>
                <w:color w:val="000000"/>
              </w:rPr>
              <w:t>7,0</w:t>
            </w:r>
          </w:p>
        </w:tc>
        <w:tc>
          <w:tcPr>
            <w:tcW w:w="850" w:type="dxa"/>
            <w:tcMar>
              <w:top w:w="0" w:type="dxa"/>
              <w:left w:w="70" w:type="dxa"/>
              <w:bottom w:w="0" w:type="dxa"/>
              <w:right w:w="70" w:type="dxa"/>
            </w:tcMar>
            <w:vAlign w:val="bottom"/>
            <w:hideMark/>
          </w:tcPr>
          <w:p w14:paraId="050BC035" w14:textId="77777777" w:rsidR="00720217" w:rsidRPr="00720217" w:rsidRDefault="00720217" w:rsidP="00720217">
            <w:pPr>
              <w:jc w:val="center"/>
              <w:rPr>
                <w:rFonts w:ascii="Arial" w:hAnsi="Arial" w:cs="Arial"/>
              </w:rPr>
            </w:pPr>
            <w:r w:rsidRPr="00720217">
              <w:rPr>
                <w:rFonts w:ascii="Arial" w:hAnsi="Arial" w:cs="Arial"/>
                <w:color w:val="000000"/>
              </w:rPr>
              <w:t>6</w:t>
            </w:r>
          </w:p>
        </w:tc>
        <w:tc>
          <w:tcPr>
            <w:tcW w:w="425" w:type="dxa"/>
            <w:tcMar>
              <w:top w:w="0" w:type="dxa"/>
              <w:left w:w="70" w:type="dxa"/>
              <w:bottom w:w="0" w:type="dxa"/>
              <w:right w:w="70" w:type="dxa"/>
            </w:tcMar>
            <w:vAlign w:val="bottom"/>
            <w:hideMark/>
          </w:tcPr>
          <w:p w14:paraId="2ED96B1A" w14:textId="77777777" w:rsidR="00720217" w:rsidRPr="00720217" w:rsidRDefault="00720217" w:rsidP="00720217">
            <w:pPr>
              <w:jc w:val="center"/>
              <w:rPr>
                <w:rFonts w:ascii="Arial" w:hAnsi="Arial" w:cs="Arial"/>
              </w:rPr>
            </w:pPr>
            <w:r w:rsidRPr="00720217">
              <w:rPr>
                <w:rFonts w:ascii="Arial" w:hAnsi="Arial" w:cs="Arial"/>
                <w:color w:val="000000"/>
              </w:rPr>
              <w:t>2,1</w:t>
            </w:r>
          </w:p>
        </w:tc>
        <w:tc>
          <w:tcPr>
            <w:tcW w:w="2127" w:type="dxa"/>
            <w:vMerge/>
            <w:vAlign w:val="center"/>
            <w:hideMark/>
          </w:tcPr>
          <w:p w14:paraId="65EE809C" w14:textId="77777777" w:rsidR="00720217" w:rsidRPr="00720217" w:rsidRDefault="00720217" w:rsidP="00720217">
            <w:pPr>
              <w:rPr>
                <w:rFonts w:ascii="Arial" w:hAnsi="Arial" w:cs="Arial"/>
                <w:color w:val="000000"/>
              </w:rPr>
            </w:pPr>
          </w:p>
        </w:tc>
      </w:tr>
      <w:tr w:rsidR="00720217" w:rsidRPr="00720217" w14:paraId="32ABD359" w14:textId="77777777" w:rsidTr="00720217">
        <w:trPr>
          <w:trHeight w:val="315"/>
        </w:trPr>
        <w:tc>
          <w:tcPr>
            <w:tcW w:w="2342" w:type="dxa"/>
            <w:tcMar>
              <w:top w:w="0" w:type="dxa"/>
              <w:left w:w="70" w:type="dxa"/>
              <w:bottom w:w="0" w:type="dxa"/>
              <w:right w:w="70" w:type="dxa"/>
            </w:tcMar>
            <w:hideMark/>
          </w:tcPr>
          <w:p w14:paraId="7995EC7C" w14:textId="77777777" w:rsidR="00720217" w:rsidRPr="00720217" w:rsidRDefault="00720217" w:rsidP="00720217">
            <w:pPr>
              <w:rPr>
                <w:rFonts w:ascii="Arial" w:hAnsi="Arial" w:cs="Arial"/>
              </w:rPr>
            </w:pPr>
            <w:r w:rsidRPr="00720217">
              <w:rPr>
                <w:rFonts w:ascii="Arial" w:hAnsi="Arial" w:cs="Arial"/>
              </w:rPr>
              <w:t>Not informed</w:t>
            </w:r>
          </w:p>
        </w:tc>
        <w:tc>
          <w:tcPr>
            <w:tcW w:w="633" w:type="dxa"/>
            <w:tcMar>
              <w:top w:w="0" w:type="dxa"/>
              <w:left w:w="70" w:type="dxa"/>
              <w:bottom w:w="0" w:type="dxa"/>
              <w:right w:w="70" w:type="dxa"/>
            </w:tcMar>
            <w:vAlign w:val="bottom"/>
            <w:hideMark/>
          </w:tcPr>
          <w:p w14:paraId="079E4ABC" w14:textId="77777777" w:rsidR="00720217" w:rsidRPr="00720217" w:rsidRDefault="00720217" w:rsidP="00720217">
            <w:pPr>
              <w:jc w:val="center"/>
              <w:rPr>
                <w:rFonts w:ascii="Arial" w:hAnsi="Arial" w:cs="Arial"/>
              </w:rPr>
            </w:pPr>
            <w:r w:rsidRPr="00720217">
              <w:rPr>
                <w:rFonts w:ascii="Arial" w:hAnsi="Arial" w:cs="Arial"/>
                <w:color w:val="000000"/>
              </w:rPr>
              <w:t>5</w:t>
            </w:r>
          </w:p>
        </w:tc>
        <w:tc>
          <w:tcPr>
            <w:tcW w:w="709" w:type="dxa"/>
            <w:tcMar>
              <w:top w:w="0" w:type="dxa"/>
              <w:left w:w="70" w:type="dxa"/>
              <w:bottom w:w="0" w:type="dxa"/>
              <w:right w:w="70" w:type="dxa"/>
            </w:tcMar>
            <w:vAlign w:val="bottom"/>
            <w:hideMark/>
          </w:tcPr>
          <w:p w14:paraId="5EA5C12C" w14:textId="77777777" w:rsidR="00720217" w:rsidRPr="00720217" w:rsidRDefault="00720217" w:rsidP="00720217">
            <w:pPr>
              <w:jc w:val="center"/>
              <w:rPr>
                <w:rFonts w:ascii="Arial" w:hAnsi="Arial" w:cs="Arial"/>
              </w:rPr>
            </w:pPr>
            <w:r w:rsidRPr="00720217">
              <w:rPr>
                <w:rFonts w:ascii="Arial" w:hAnsi="Arial" w:cs="Arial"/>
                <w:color w:val="000000"/>
              </w:rPr>
              <w:t>1,8</w:t>
            </w:r>
          </w:p>
        </w:tc>
        <w:tc>
          <w:tcPr>
            <w:tcW w:w="709" w:type="dxa"/>
            <w:tcMar>
              <w:top w:w="0" w:type="dxa"/>
              <w:left w:w="70" w:type="dxa"/>
              <w:bottom w:w="0" w:type="dxa"/>
              <w:right w:w="70" w:type="dxa"/>
            </w:tcMar>
            <w:vAlign w:val="bottom"/>
            <w:hideMark/>
          </w:tcPr>
          <w:p w14:paraId="17F09BA4" w14:textId="77777777" w:rsidR="00720217" w:rsidRPr="00720217" w:rsidRDefault="00720217" w:rsidP="00720217">
            <w:pPr>
              <w:jc w:val="center"/>
              <w:rPr>
                <w:rFonts w:ascii="Arial" w:hAnsi="Arial" w:cs="Arial"/>
              </w:rPr>
            </w:pPr>
            <w:r w:rsidRPr="00720217">
              <w:rPr>
                <w:rFonts w:ascii="Arial" w:hAnsi="Arial" w:cs="Arial"/>
                <w:color w:val="000000"/>
              </w:rPr>
              <w:t>14</w:t>
            </w:r>
          </w:p>
        </w:tc>
        <w:tc>
          <w:tcPr>
            <w:tcW w:w="709" w:type="dxa"/>
            <w:tcMar>
              <w:top w:w="0" w:type="dxa"/>
              <w:left w:w="70" w:type="dxa"/>
              <w:bottom w:w="0" w:type="dxa"/>
              <w:right w:w="70" w:type="dxa"/>
            </w:tcMar>
            <w:vAlign w:val="bottom"/>
            <w:hideMark/>
          </w:tcPr>
          <w:p w14:paraId="048F9037" w14:textId="77777777" w:rsidR="00720217" w:rsidRPr="00720217" w:rsidRDefault="00720217" w:rsidP="00720217">
            <w:pPr>
              <w:jc w:val="center"/>
              <w:rPr>
                <w:rFonts w:ascii="Arial" w:hAnsi="Arial" w:cs="Arial"/>
              </w:rPr>
            </w:pPr>
            <w:r w:rsidRPr="00720217">
              <w:rPr>
                <w:rFonts w:ascii="Arial" w:hAnsi="Arial" w:cs="Arial"/>
                <w:color w:val="000000"/>
              </w:rPr>
              <w:t>4,9</w:t>
            </w:r>
          </w:p>
        </w:tc>
        <w:tc>
          <w:tcPr>
            <w:tcW w:w="850" w:type="dxa"/>
            <w:tcMar>
              <w:top w:w="0" w:type="dxa"/>
              <w:left w:w="70" w:type="dxa"/>
              <w:bottom w:w="0" w:type="dxa"/>
              <w:right w:w="70" w:type="dxa"/>
            </w:tcMar>
            <w:vAlign w:val="bottom"/>
            <w:hideMark/>
          </w:tcPr>
          <w:p w14:paraId="129C32D9" w14:textId="77777777" w:rsidR="00720217" w:rsidRPr="00720217" w:rsidRDefault="00720217" w:rsidP="00720217">
            <w:pPr>
              <w:jc w:val="center"/>
              <w:rPr>
                <w:rFonts w:ascii="Arial" w:hAnsi="Arial" w:cs="Arial"/>
              </w:rPr>
            </w:pPr>
            <w:r w:rsidRPr="00720217">
              <w:rPr>
                <w:rFonts w:ascii="Arial" w:hAnsi="Arial" w:cs="Arial"/>
                <w:color w:val="000000"/>
              </w:rPr>
              <w:t>2</w:t>
            </w:r>
          </w:p>
        </w:tc>
        <w:tc>
          <w:tcPr>
            <w:tcW w:w="425" w:type="dxa"/>
            <w:tcMar>
              <w:top w:w="0" w:type="dxa"/>
              <w:left w:w="70" w:type="dxa"/>
              <w:bottom w:w="0" w:type="dxa"/>
              <w:right w:w="70" w:type="dxa"/>
            </w:tcMar>
            <w:vAlign w:val="bottom"/>
            <w:hideMark/>
          </w:tcPr>
          <w:p w14:paraId="0D577066" w14:textId="77777777" w:rsidR="00720217" w:rsidRPr="00720217" w:rsidRDefault="00720217" w:rsidP="00720217">
            <w:pPr>
              <w:jc w:val="center"/>
              <w:rPr>
                <w:rFonts w:ascii="Arial" w:hAnsi="Arial" w:cs="Arial"/>
              </w:rPr>
            </w:pPr>
            <w:r w:rsidRPr="00720217">
              <w:rPr>
                <w:rFonts w:ascii="Arial" w:hAnsi="Arial" w:cs="Arial"/>
                <w:color w:val="000000"/>
              </w:rPr>
              <w:t>0,7</w:t>
            </w:r>
          </w:p>
        </w:tc>
        <w:tc>
          <w:tcPr>
            <w:tcW w:w="2127" w:type="dxa"/>
            <w:vMerge/>
            <w:vAlign w:val="center"/>
            <w:hideMark/>
          </w:tcPr>
          <w:p w14:paraId="6E7FAA0E" w14:textId="77777777" w:rsidR="00720217" w:rsidRPr="00720217" w:rsidRDefault="00720217" w:rsidP="00720217">
            <w:pPr>
              <w:rPr>
                <w:rFonts w:ascii="Arial" w:hAnsi="Arial" w:cs="Arial"/>
                <w:color w:val="000000"/>
              </w:rPr>
            </w:pPr>
          </w:p>
        </w:tc>
      </w:tr>
      <w:tr w:rsidR="00720217" w:rsidRPr="00720217" w14:paraId="13477329" w14:textId="77777777" w:rsidTr="00720217">
        <w:trPr>
          <w:trHeight w:val="315"/>
        </w:trPr>
        <w:tc>
          <w:tcPr>
            <w:tcW w:w="2342" w:type="dxa"/>
            <w:shd w:val="clear" w:color="auto" w:fill="FFFFFF"/>
            <w:tcMar>
              <w:top w:w="0" w:type="dxa"/>
              <w:left w:w="70" w:type="dxa"/>
              <w:bottom w:w="0" w:type="dxa"/>
              <w:right w:w="70" w:type="dxa"/>
            </w:tcMar>
            <w:hideMark/>
          </w:tcPr>
          <w:p w14:paraId="04D7C558" w14:textId="77777777" w:rsidR="00720217" w:rsidRPr="00720217" w:rsidRDefault="00720217" w:rsidP="00720217">
            <w:pPr>
              <w:rPr>
                <w:rFonts w:ascii="Arial" w:hAnsi="Arial" w:cs="Arial"/>
                <w:b/>
              </w:rPr>
            </w:pPr>
            <w:r w:rsidRPr="00720217">
              <w:rPr>
                <w:rFonts w:ascii="Arial" w:hAnsi="Arial" w:cs="Arial"/>
                <w:b/>
              </w:rPr>
              <w:t>Type of diet</w:t>
            </w:r>
          </w:p>
        </w:tc>
        <w:tc>
          <w:tcPr>
            <w:tcW w:w="633" w:type="dxa"/>
            <w:tcMar>
              <w:top w:w="0" w:type="dxa"/>
              <w:left w:w="70" w:type="dxa"/>
              <w:bottom w:w="0" w:type="dxa"/>
              <w:right w:w="70" w:type="dxa"/>
            </w:tcMar>
            <w:vAlign w:val="bottom"/>
          </w:tcPr>
          <w:p w14:paraId="64BA636F"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5D858871"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66D03F33" w14:textId="77777777" w:rsidR="00720217" w:rsidRPr="00720217" w:rsidRDefault="00720217" w:rsidP="00720217">
            <w:pPr>
              <w:rPr>
                <w:rFonts w:ascii="Arial" w:hAnsi="Arial" w:cs="Arial"/>
              </w:rPr>
            </w:pPr>
          </w:p>
        </w:tc>
        <w:tc>
          <w:tcPr>
            <w:tcW w:w="709" w:type="dxa"/>
            <w:tcMar>
              <w:top w:w="0" w:type="dxa"/>
              <w:left w:w="70" w:type="dxa"/>
              <w:bottom w:w="0" w:type="dxa"/>
              <w:right w:w="70" w:type="dxa"/>
            </w:tcMar>
            <w:vAlign w:val="bottom"/>
          </w:tcPr>
          <w:p w14:paraId="5E1573CC" w14:textId="77777777" w:rsidR="00720217" w:rsidRPr="00720217" w:rsidRDefault="00720217" w:rsidP="00720217">
            <w:pPr>
              <w:rPr>
                <w:rFonts w:ascii="Arial" w:hAnsi="Arial" w:cs="Arial"/>
              </w:rPr>
            </w:pPr>
          </w:p>
        </w:tc>
        <w:tc>
          <w:tcPr>
            <w:tcW w:w="850" w:type="dxa"/>
            <w:tcMar>
              <w:top w:w="0" w:type="dxa"/>
              <w:left w:w="70" w:type="dxa"/>
              <w:bottom w:w="0" w:type="dxa"/>
              <w:right w:w="70" w:type="dxa"/>
            </w:tcMar>
            <w:vAlign w:val="bottom"/>
          </w:tcPr>
          <w:p w14:paraId="78084501" w14:textId="77777777" w:rsidR="00720217" w:rsidRPr="00720217" w:rsidRDefault="00720217" w:rsidP="00720217">
            <w:pPr>
              <w:rPr>
                <w:rFonts w:ascii="Arial" w:hAnsi="Arial" w:cs="Arial"/>
              </w:rPr>
            </w:pPr>
          </w:p>
        </w:tc>
        <w:tc>
          <w:tcPr>
            <w:tcW w:w="425" w:type="dxa"/>
            <w:tcMar>
              <w:top w:w="0" w:type="dxa"/>
              <w:left w:w="70" w:type="dxa"/>
              <w:bottom w:w="0" w:type="dxa"/>
              <w:right w:w="70" w:type="dxa"/>
            </w:tcMar>
            <w:vAlign w:val="bottom"/>
          </w:tcPr>
          <w:p w14:paraId="704C26C7" w14:textId="77777777" w:rsidR="00720217" w:rsidRPr="00720217" w:rsidRDefault="00720217" w:rsidP="00720217">
            <w:pPr>
              <w:rPr>
                <w:rFonts w:ascii="Arial" w:hAnsi="Arial" w:cs="Arial"/>
              </w:rPr>
            </w:pPr>
          </w:p>
        </w:tc>
        <w:tc>
          <w:tcPr>
            <w:tcW w:w="2127" w:type="dxa"/>
            <w:tcMar>
              <w:top w:w="0" w:type="dxa"/>
              <w:left w:w="70" w:type="dxa"/>
              <w:bottom w:w="0" w:type="dxa"/>
              <w:right w:w="70" w:type="dxa"/>
            </w:tcMar>
            <w:vAlign w:val="bottom"/>
          </w:tcPr>
          <w:p w14:paraId="3478A465" w14:textId="77777777" w:rsidR="00720217" w:rsidRPr="00720217" w:rsidRDefault="00720217" w:rsidP="00720217">
            <w:pPr>
              <w:rPr>
                <w:rFonts w:ascii="Arial" w:hAnsi="Arial" w:cs="Arial"/>
              </w:rPr>
            </w:pPr>
          </w:p>
        </w:tc>
      </w:tr>
      <w:tr w:rsidR="00720217" w:rsidRPr="00720217" w14:paraId="11278CB9" w14:textId="77777777" w:rsidTr="00720217">
        <w:trPr>
          <w:trHeight w:val="315"/>
        </w:trPr>
        <w:tc>
          <w:tcPr>
            <w:tcW w:w="2342" w:type="dxa"/>
            <w:tcMar>
              <w:top w:w="0" w:type="dxa"/>
              <w:left w:w="70" w:type="dxa"/>
              <w:bottom w:w="0" w:type="dxa"/>
              <w:right w:w="70" w:type="dxa"/>
            </w:tcMar>
            <w:hideMark/>
          </w:tcPr>
          <w:p w14:paraId="3719B5C6" w14:textId="77777777" w:rsidR="00720217" w:rsidRPr="00720217" w:rsidRDefault="00720217" w:rsidP="00720217">
            <w:pPr>
              <w:rPr>
                <w:rFonts w:ascii="Arial" w:hAnsi="Arial" w:cs="Arial"/>
              </w:rPr>
            </w:pPr>
            <w:r w:rsidRPr="00720217">
              <w:rPr>
                <w:rFonts w:ascii="Arial" w:hAnsi="Arial" w:cs="Arial"/>
              </w:rPr>
              <w:t xml:space="preserve">Oral </w:t>
            </w:r>
          </w:p>
        </w:tc>
        <w:tc>
          <w:tcPr>
            <w:tcW w:w="633" w:type="dxa"/>
            <w:tcMar>
              <w:top w:w="0" w:type="dxa"/>
              <w:left w:w="70" w:type="dxa"/>
              <w:bottom w:w="0" w:type="dxa"/>
              <w:right w:w="70" w:type="dxa"/>
            </w:tcMar>
            <w:vAlign w:val="bottom"/>
            <w:hideMark/>
          </w:tcPr>
          <w:p w14:paraId="705F4A83" w14:textId="77777777" w:rsidR="00720217" w:rsidRPr="00720217" w:rsidRDefault="00720217" w:rsidP="00720217">
            <w:pPr>
              <w:jc w:val="center"/>
              <w:rPr>
                <w:rFonts w:ascii="Arial" w:hAnsi="Arial" w:cs="Arial"/>
              </w:rPr>
            </w:pPr>
            <w:r w:rsidRPr="00720217">
              <w:rPr>
                <w:rFonts w:ascii="Arial" w:hAnsi="Arial" w:cs="Arial"/>
                <w:color w:val="000000"/>
              </w:rPr>
              <w:t>154</w:t>
            </w:r>
          </w:p>
        </w:tc>
        <w:tc>
          <w:tcPr>
            <w:tcW w:w="709" w:type="dxa"/>
            <w:tcMar>
              <w:top w:w="0" w:type="dxa"/>
              <w:left w:w="70" w:type="dxa"/>
              <w:bottom w:w="0" w:type="dxa"/>
              <w:right w:w="70" w:type="dxa"/>
            </w:tcMar>
            <w:vAlign w:val="bottom"/>
            <w:hideMark/>
          </w:tcPr>
          <w:p w14:paraId="12BA7EC6" w14:textId="77777777" w:rsidR="00720217" w:rsidRPr="00720217" w:rsidRDefault="00720217" w:rsidP="00720217">
            <w:pPr>
              <w:jc w:val="center"/>
              <w:rPr>
                <w:rFonts w:ascii="Arial" w:hAnsi="Arial" w:cs="Arial"/>
              </w:rPr>
            </w:pPr>
            <w:r w:rsidRPr="00720217">
              <w:rPr>
                <w:rFonts w:ascii="Arial" w:hAnsi="Arial" w:cs="Arial"/>
                <w:color w:val="000000"/>
              </w:rPr>
              <w:t>54,0</w:t>
            </w:r>
          </w:p>
        </w:tc>
        <w:tc>
          <w:tcPr>
            <w:tcW w:w="709" w:type="dxa"/>
            <w:tcMar>
              <w:top w:w="0" w:type="dxa"/>
              <w:left w:w="70" w:type="dxa"/>
              <w:bottom w:w="0" w:type="dxa"/>
              <w:right w:w="70" w:type="dxa"/>
            </w:tcMar>
            <w:vAlign w:val="bottom"/>
            <w:hideMark/>
          </w:tcPr>
          <w:p w14:paraId="179E3D16" w14:textId="77777777" w:rsidR="00720217" w:rsidRPr="00720217" w:rsidRDefault="00720217" w:rsidP="00720217">
            <w:pPr>
              <w:jc w:val="center"/>
              <w:rPr>
                <w:rFonts w:ascii="Arial" w:hAnsi="Arial" w:cs="Arial"/>
              </w:rPr>
            </w:pPr>
            <w:r w:rsidRPr="00720217">
              <w:rPr>
                <w:rFonts w:ascii="Arial" w:hAnsi="Arial" w:cs="Arial"/>
                <w:color w:val="000000"/>
              </w:rPr>
              <w:t>17</w:t>
            </w:r>
          </w:p>
        </w:tc>
        <w:tc>
          <w:tcPr>
            <w:tcW w:w="709" w:type="dxa"/>
            <w:tcMar>
              <w:top w:w="0" w:type="dxa"/>
              <w:left w:w="70" w:type="dxa"/>
              <w:bottom w:w="0" w:type="dxa"/>
              <w:right w:w="70" w:type="dxa"/>
            </w:tcMar>
            <w:vAlign w:val="bottom"/>
            <w:hideMark/>
          </w:tcPr>
          <w:p w14:paraId="2C9A2F96" w14:textId="77777777" w:rsidR="00720217" w:rsidRPr="00720217" w:rsidRDefault="00720217" w:rsidP="00720217">
            <w:pPr>
              <w:jc w:val="center"/>
              <w:rPr>
                <w:rFonts w:ascii="Arial" w:hAnsi="Arial" w:cs="Arial"/>
              </w:rPr>
            </w:pPr>
            <w:r w:rsidRPr="00720217">
              <w:rPr>
                <w:rFonts w:ascii="Arial" w:hAnsi="Arial" w:cs="Arial"/>
                <w:color w:val="000000"/>
              </w:rPr>
              <w:t>6,0</w:t>
            </w:r>
          </w:p>
        </w:tc>
        <w:tc>
          <w:tcPr>
            <w:tcW w:w="850" w:type="dxa"/>
            <w:tcMar>
              <w:top w:w="0" w:type="dxa"/>
              <w:left w:w="70" w:type="dxa"/>
              <w:bottom w:w="0" w:type="dxa"/>
              <w:right w:w="70" w:type="dxa"/>
            </w:tcMar>
            <w:vAlign w:val="bottom"/>
            <w:hideMark/>
          </w:tcPr>
          <w:p w14:paraId="322068FB" w14:textId="77777777" w:rsidR="00720217" w:rsidRPr="00720217" w:rsidRDefault="00720217" w:rsidP="00720217">
            <w:pPr>
              <w:jc w:val="center"/>
              <w:rPr>
                <w:rFonts w:ascii="Arial" w:hAnsi="Arial" w:cs="Arial"/>
              </w:rPr>
            </w:pPr>
            <w:r w:rsidRPr="00720217">
              <w:rPr>
                <w:rFonts w:ascii="Arial" w:hAnsi="Arial" w:cs="Arial"/>
                <w:color w:val="000000"/>
              </w:rPr>
              <w:t>11</w:t>
            </w:r>
          </w:p>
        </w:tc>
        <w:tc>
          <w:tcPr>
            <w:tcW w:w="425" w:type="dxa"/>
            <w:tcMar>
              <w:top w:w="0" w:type="dxa"/>
              <w:left w:w="70" w:type="dxa"/>
              <w:bottom w:w="0" w:type="dxa"/>
              <w:right w:w="70" w:type="dxa"/>
            </w:tcMar>
            <w:vAlign w:val="bottom"/>
            <w:hideMark/>
          </w:tcPr>
          <w:p w14:paraId="206836B5" w14:textId="77777777" w:rsidR="00720217" w:rsidRPr="00720217" w:rsidRDefault="00720217" w:rsidP="00720217">
            <w:pPr>
              <w:jc w:val="center"/>
              <w:rPr>
                <w:rFonts w:ascii="Arial" w:hAnsi="Arial" w:cs="Arial"/>
              </w:rPr>
            </w:pPr>
            <w:r w:rsidRPr="00720217">
              <w:rPr>
                <w:rFonts w:ascii="Arial" w:hAnsi="Arial" w:cs="Arial"/>
                <w:color w:val="000000"/>
              </w:rPr>
              <w:t>3,9</w:t>
            </w:r>
          </w:p>
        </w:tc>
        <w:tc>
          <w:tcPr>
            <w:tcW w:w="2127" w:type="dxa"/>
            <w:vMerge w:val="restart"/>
            <w:tcBorders>
              <w:top w:val="nil"/>
              <w:left w:val="nil"/>
              <w:bottom w:val="single" w:sz="12" w:space="0" w:color="0D0D0D"/>
              <w:right w:val="nil"/>
            </w:tcBorders>
            <w:tcMar>
              <w:top w:w="0" w:type="dxa"/>
              <w:left w:w="70" w:type="dxa"/>
              <w:bottom w:w="0" w:type="dxa"/>
              <w:right w:w="70" w:type="dxa"/>
            </w:tcMar>
            <w:vAlign w:val="center"/>
            <w:hideMark/>
          </w:tcPr>
          <w:p w14:paraId="59078935" w14:textId="16A84D35" w:rsidR="00720217" w:rsidRPr="00720217" w:rsidRDefault="00720217" w:rsidP="00720217">
            <w:pPr>
              <w:jc w:val="center"/>
              <w:rPr>
                <w:rFonts w:ascii="Arial" w:hAnsi="Arial" w:cs="Arial"/>
                <w:color w:val="000000"/>
              </w:rPr>
            </w:pPr>
            <w:r w:rsidRPr="00720217">
              <w:rPr>
                <w:rFonts w:ascii="Arial" w:hAnsi="Arial" w:cs="Arial"/>
                <w:color w:val="000000"/>
              </w:rPr>
              <w:t>X</w:t>
            </w:r>
            <w:r w:rsidRPr="00720217">
              <w:rPr>
                <w:rFonts w:ascii="Arial" w:hAnsi="Arial" w:cs="Arial"/>
                <w:color w:val="000000"/>
                <w:vertAlign w:val="superscript"/>
              </w:rPr>
              <w:t>2</w:t>
            </w:r>
            <w:r w:rsidRPr="00720217">
              <w:rPr>
                <w:rFonts w:ascii="Arial" w:hAnsi="Arial" w:cs="Arial"/>
                <w:color w:val="000000"/>
              </w:rPr>
              <w:t>= 121,66; p=0,000*</w:t>
            </w:r>
          </w:p>
        </w:tc>
      </w:tr>
      <w:tr w:rsidR="00720217" w:rsidRPr="00720217" w14:paraId="5962FF00" w14:textId="77777777" w:rsidTr="00720217">
        <w:trPr>
          <w:trHeight w:val="315"/>
        </w:trPr>
        <w:tc>
          <w:tcPr>
            <w:tcW w:w="2342" w:type="dxa"/>
            <w:tcBorders>
              <w:top w:val="nil"/>
              <w:left w:val="nil"/>
              <w:bottom w:val="single" w:sz="12" w:space="0" w:color="000000"/>
              <w:right w:val="nil"/>
            </w:tcBorders>
            <w:tcMar>
              <w:top w:w="0" w:type="dxa"/>
              <w:left w:w="70" w:type="dxa"/>
              <w:bottom w:w="0" w:type="dxa"/>
              <w:right w:w="70" w:type="dxa"/>
            </w:tcMar>
            <w:hideMark/>
          </w:tcPr>
          <w:p w14:paraId="354E6036" w14:textId="77777777" w:rsidR="00720217" w:rsidRPr="00720217" w:rsidRDefault="00720217" w:rsidP="00720217">
            <w:pPr>
              <w:rPr>
                <w:rFonts w:ascii="Arial" w:hAnsi="Arial" w:cs="Arial"/>
              </w:rPr>
            </w:pPr>
            <w:r w:rsidRPr="00720217">
              <w:rPr>
                <w:rFonts w:ascii="Arial" w:hAnsi="Arial" w:cs="Arial"/>
              </w:rPr>
              <w:t xml:space="preserve">Enteral </w:t>
            </w:r>
          </w:p>
        </w:tc>
        <w:tc>
          <w:tcPr>
            <w:tcW w:w="633" w:type="dxa"/>
            <w:tcBorders>
              <w:top w:val="nil"/>
              <w:left w:val="nil"/>
              <w:bottom w:val="single" w:sz="12" w:space="0" w:color="000000"/>
              <w:right w:val="nil"/>
            </w:tcBorders>
            <w:tcMar>
              <w:top w:w="0" w:type="dxa"/>
              <w:left w:w="70" w:type="dxa"/>
              <w:bottom w:w="0" w:type="dxa"/>
              <w:right w:w="70" w:type="dxa"/>
            </w:tcMar>
            <w:vAlign w:val="bottom"/>
            <w:hideMark/>
          </w:tcPr>
          <w:p w14:paraId="1ACDCAA4" w14:textId="77777777" w:rsidR="00720217" w:rsidRPr="00720217" w:rsidRDefault="00720217" w:rsidP="00720217">
            <w:pPr>
              <w:jc w:val="center"/>
              <w:rPr>
                <w:rFonts w:ascii="Arial" w:hAnsi="Arial" w:cs="Arial"/>
              </w:rPr>
            </w:pPr>
            <w:r w:rsidRPr="00720217">
              <w:rPr>
                <w:rFonts w:ascii="Arial" w:hAnsi="Arial" w:cs="Arial"/>
                <w:color w:val="000000"/>
              </w:rPr>
              <w:t>21</w:t>
            </w:r>
          </w:p>
        </w:tc>
        <w:tc>
          <w:tcPr>
            <w:tcW w:w="709" w:type="dxa"/>
            <w:tcBorders>
              <w:top w:val="nil"/>
              <w:left w:val="nil"/>
              <w:bottom w:val="single" w:sz="12" w:space="0" w:color="000000"/>
              <w:right w:val="nil"/>
            </w:tcBorders>
            <w:tcMar>
              <w:top w:w="0" w:type="dxa"/>
              <w:left w:w="70" w:type="dxa"/>
              <w:bottom w:w="0" w:type="dxa"/>
              <w:right w:w="70" w:type="dxa"/>
            </w:tcMar>
            <w:vAlign w:val="bottom"/>
            <w:hideMark/>
          </w:tcPr>
          <w:p w14:paraId="63E3B2F1" w14:textId="77777777" w:rsidR="00720217" w:rsidRPr="00720217" w:rsidRDefault="00720217" w:rsidP="00720217">
            <w:pPr>
              <w:jc w:val="center"/>
              <w:rPr>
                <w:rFonts w:ascii="Arial" w:hAnsi="Arial" w:cs="Arial"/>
              </w:rPr>
            </w:pPr>
            <w:r w:rsidRPr="00720217">
              <w:rPr>
                <w:rFonts w:ascii="Arial" w:hAnsi="Arial" w:cs="Arial"/>
                <w:color w:val="000000"/>
              </w:rPr>
              <w:t>7,4</w:t>
            </w:r>
          </w:p>
        </w:tc>
        <w:tc>
          <w:tcPr>
            <w:tcW w:w="709" w:type="dxa"/>
            <w:tcBorders>
              <w:top w:val="nil"/>
              <w:left w:val="nil"/>
              <w:bottom w:val="single" w:sz="12" w:space="0" w:color="000000"/>
              <w:right w:val="nil"/>
            </w:tcBorders>
            <w:tcMar>
              <w:top w:w="0" w:type="dxa"/>
              <w:left w:w="70" w:type="dxa"/>
              <w:bottom w:w="0" w:type="dxa"/>
              <w:right w:w="70" w:type="dxa"/>
            </w:tcMar>
            <w:vAlign w:val="bottom"/>
            <w:hideMark/>
          </w:tcPr>
          <w:p w14:paraId="3154BEB0" w14:textId="77777777" w:rsidR="00720217" w:rsidRPr="00720217" w:rsidRDefault="00720217" w:rsidP="00720217">
            <w:pPr>
              <w:jc w:val="center"/>
              <w:rPr>
                <w:rFonts w:ascii="Arial" w:hAnsi="Arial" w:cs="Arial"/>
              </w:rPr>
            </w:pPr>
            <w:r w:rsidRPr="00720217">
              <w:rPr>
                <w:rFonts w:ascii="Arial" w:hAnsi="Arial" w:cs="Arial"/>
                <w:color w:val="000000"/>
              </w:rPr>
              <w:t>71</w:t>
            </w:r>
          </w:p>
        </w:tc>
        <w:tc>
          <w:tcPr>
            <w:tcW w:w="709" w:type="dxa"/>
            <w:tcBorders>
              <w:top w:val="nil"/>
              <w:left w:val="nil"/>
              <w:bottom w:val="single" w:sz="12" w:space="0" w:color="000000"/>
              <w:right w:val="nil"/>
            </w:tcBorders>
            <w:tcMar>
              <w:top w:w="0" w:type="dxa"/>
              <w:left w:w="70" w:type="dxa"/>
              <w:bottom w:w="0" w:type="dxa"/>
              <w:right w:w="70" w:type="dxa"/>
            </w:tcMar>
            <w:vAlign w:val="bottom"/>
            <w:hideMark/>
          </w:tcPr>
          <w:p w14:paraId="1B243870" w14:textId="77777777" w:rsidR="00720217" w:rsidRPr="00720217" w:rsidRDefault="00720217" w:rsidP="00720217">
            <w:pPr>
              <w:jc w:val="center"/>
              <w:rPr>
                <w:rFonts w:ascii="Arial" w:hAnsi="Arial" w:cs="Arial"/>
              </w:rPr>
            </w:pPr>
            <w:r w:rsidRPr="00720217">
              <w:rPr>
                <w:rFonts w:ascii="Arial" w:hAnsi="Arial" w:cs="Arial"/>
                <w:color w:val="000000"/>
              </w:rPr>
              <w:t>24,9</w:t>
            </w:r>
          </w:p>
        </w:tc>
        <w:tc>
          <w:tcPr>
            <w:tcW w:w="850" w:type="dxa"/>
            <w:tcBorders>
              <w:top w:val="nil"/>
              <w:left w:val="nil"/>
              <w:bottom w:val="single" w:sz="12" w:space="0" w:color="000000"/>
              <w:right w:val="nil"/>
            </w:tcBorders>
            <w:tcMar>
              <w:top w:w="0" w:type="dxa"/>
              <w:left w:w="70" w:type="dxa"/>
              <w:bottom w:w="0" w:type="dxa"/>
              <w:right w:w="70" w:type="dxa"/>
            </w:tcMar>
            <w:vAlign w:val="bottom"/>
            <w:hideMark/>
          </w:tcPr>
          <w:p w14:paraId="5795D3A3" w14:textId="77777777" w:rsidR="00720217" w:rsidRPr="00720217" w:rsidRDefault="00720217" w:rsidP="00720217">
            <w:pPr>
              <w:jc w:val="center"/>
              <w:rPr>
                <w:rFonts w:ascii="Arial" w:hAnsi="Arial" w:cs="Arial"/>
              </w:rPr>
            </w:pPr>
            <w:r w:rsidRPr="00720217">
              <w:rPr>
                <w:rFonts w:ascii="Arial" w:hAnsi="Arial" w:cs="Arial"/>
                <w:color w:val="000000"/>
              </w:rPr>
              <w:t>11</w:t>
            </w:r>
          </w:p>
        </w:tc>
        <w:tc>
          <w:tcPr>
            <w:tcW w:w="425" w:type="dxa"/>
            <w:tcBorders>
              <w:top w:val="nil"/>
              <w:left w:val="nil"/>
              <w:bottom w:val="single" w:sz="12" w:space="0" w:color="000000"/>
              <w:right w:val="nil"/>
            </w:tcBorders>
            <w:tcMar>
              <w:top w:w="0" w:type="dxa"/>
              <w:left w:w="70" w:type="dxa"/>
              <w:bottom w:w="0" w:type="dxa"/>
              <w:right w:w="70" w:type="dxa"/>
            </w:tcMar>
            <w:vAlign w:val="bottom"/>
            <w:hideMark/>
          </w:tcPr>
          <w:p w14:paraId="29E501D6" w14:textId="77777777" w:rsidR="00720217" w:rsidRPr="00720217" w:rsidRDefault="00720217" w:rsidP="00720217">
            <w:pPr>
              <w:jc w:val="center"/>
              <w:rPr>
                <w:rFonts w:ascii="Arial" w:hAnsi="Arial" w:cs="Arial"/>
              </w:rPr>
            </w:pPr>
            <w:r w:rsidRPr="00720217">
              <w:rPr>
                <w:rFonts w:ascii="Arial" w:hAnsi="Arial" w:cs="Arial"/>
                <w:color w:val="000000"/>
              </w:rPr>
              <w:t>3,9</w:t>
            </w:r>
          </w:p>
        </w:tc>
        <w:tc>
          <w:tcPr>
            <w:tcW w:w="2127" w:type="dxa"/>
            <w:vMerge/>
            <w:tcBorders>
              <w:top w:val="nil"/>
              <w:left w:val="nil"/>
              <w:bottom w:val="single" w:sz="12" w:space="0" w:color="0D0D0D"/>
              <w:right w:val="nil"/>
            </w:tcBorders>
            <w:vAlign w:val="center"/>
            <w:hideMark/>
          </w:tcPr>
          <w:p w14:paraId="51843E9D" w14:textId="77777777" w:rsidR="00720217" w:rsidRPr="00720217" w:rsidRDefault="00720217" w:rsidP="00720217">
            <w:pPr>
              <w:rPr>
                <w:rFonts w:ascii="Arial" w:hAnsi="Arial" w:cs="Arial"/>
                <w:color w:val="000000"/>
              </w:rPr>
            </w:pPr>
          </w:p>
        </w:tc>
      </w:tr>
    </w:tbl>
    <w:p w14:paraId="45DD8767" w14:textId="77777777" w:rsidR="00720217" w:rsidRPr="00720217" w:rsidRDefault="00720217" w:rsidP="00720217">
      <w:pPr>
        <w:rPr>
          <w:rFonts w:ascii="Arial" w:hAnsi="Arial" w:cs="Arial"/>
        </w:rPr>
      </w:pPr>
      <w:r w:rsidRPr="00720217">
        <w:rPr>
          <w:rFonts w:ascii="Arial" w:hAnsi="Arial" w:cs="Arial"/>
        </w:rPr>
        <w:t>Source: The authors (2023).</w:t>
      </w:r>
    </w:p>
    <w:p w14:paraId="2F0569AA" w14:textId="77777777" w:rsidR="00720217" w:rsidRPr="006B0F6C" w:rsidRDefault="00720217" w:rsidP="00FE535E">
      <w:pPr>
        <w:jc w:val="both"/>
        <w:rPr>
          <w:rFonts w:ascii="Arial" w:hAnsi="Arial" w:cs="Arial"/>
        </w:rPr>
      </w:pPr>
    </w:p>
    <w:p w14:paraId="1ECA3B11" w14:textId="77777777" w:rsidR="00FE535E" w:rsidRPr="006B0F6C" w:rsidRDefault="00FE535E" w:rsidP="00FE535E">
      <w:pPr>
        <w:jc w:val="both"/>
        <w:rPr>
          <w:rFonts w:ascii="Arial" w:hAnsi="Arial" w:cs="Arial"/>
        </w:rPr>
      </w:pPr>
      <w:r w:rsidRPr="006B0F6C">
        <w:rPr>
          <w:rFonts w:ascii="Arial" w:hAnsi="Arial" w:cs="Arial"/>
        </w:rPr>
        <w:t xml:space="preserve">The variables age, length of stay, saturation and orotracheal intubation time differed significantly in terms of the outcome of hospitalized patients. With regard to age, there was a higher median for death (68.0) than for discharge (55.0) and transfer or evasion (52.5). Length </w:t>
      </w:r>
      <w:r w:rsidRPr="006B0F6C">
        <w:rPr>
          <w:rFonts w:ascii="Arial" w:hAnsi="Arial" w:cs="Arial"/>
        </w:rPr>
        <w:lastRenderedPageBreak/>
        <w:t xml:space="preserve">of stay followed the same pattern, with a higher median for patients who died (10.0) than those who were discharged (7.0). Oxygen saturation showed a significant difference, with a lower value at death. Finally, orotracheal intubation time had a median of 0.0 days at discharge and transfer or evasion, while at death it was 5.0 days (Table V).  </w:t>
      </w:r>
    </w:p>
    <w:p w14:paraId="53E72949" w14:textId="5ED0D26F" w:rsidR="00FE535E" w:rsidRDefault="00FE535E" w:rsidP="00441B6F">
      <w:pPr>
        <w:pStyle w:val="Head1"/>
        <w:spacing w:after="0"/>
        <w:jc w:val="both"/>
        <w:rPr>
          <w:rFonts w:ascii="Arial" w:hAnsi="Arial" w:cs="Arial"/>
        </w:rPr>
      </w:pPr>
    </w:p>
    <w:p w14:paraId="62456E11" w14:textId="42BCCD7D" w:rsidR="0036397E" w:rsidRPr="00F81591" w:rsidRDefault="0036397E" w:rsidP="00F81591">
      <w:pPr>
        <w:jc w:val="center"/>
        <w:rPr>
          <w:rFonts w:ascii="Arial" w:hAnsi="Arial" w:cs="Arial"/>
          <w:b/>
          <w:color w:val="000000"/>
        </w:rPr>
      </w:pPr>
      <w:r w:rsidRPr="00F81591">
        <w:rPr>
          <w:rFonts w:ascii="Arial" w:hAnsi="Arial" w:cs="Arial"/>
          <w:b/>
        </w:rPr>
        <w:t>Table V. Clinical profile and care provided to patients hospitalized with Covid-19 in a public hospital in southern Brazil compared to the outcome, from 2020 to 2022. H= Kruskal-Wallis test.</w:t>
      </w:r>
    </w:p>
    <w:tbl>
      <w:tblPr>
        <w:tblW w:w="8452" w:type="dxa"/>
        <w:tblInd w:w="-230" w:type="dxa"/>
        <w:tblLayout w:type="fixed"/>
        <w:tblLook w:val="0400" w:firstRow="0" w:lastRow="0" w:firstColumn="0" w:lastColumn="0" w:noHBand="0" w:noVBand="1"/>
      </w:tblPr>
      <w:tblGrid>
        <w:gridCol w:w="2115"/>
        <w:gridCol w:w="1245"/>
        <w:gridCol w:w="1548"/>
        <w:gridCol w:w="1701"/>
        <w:gridCol w:w="1843"/>
      </w:tblGrid>
      <w:tr w:rsidR="0036397E" w:rsidRPr="0036397E" w14:paraId="20BF1754" w14:textId="77777777" w:rsidTr="00F81591">
        <w:trPr>
          <w:trHeight w:val="270"/>
        </w:trPr>
        <w:tc>
          <w:tcPr>
            <w:tcW w:w="2115" w:type="dxa"/>
            <w:tcBorders>
              <w:top w:val="nil"/>
              <w:left w:val="nil"/>
              <w:bottom w:val="single" w:sz="12" w:space="0" w:color="000000"/>
              <w:right w:val="nil"/>
            </w:tcBorders>
            <w:shd w:val="clear" w:color="auto" w:fill="FFFFFF"/>
            <w:vAlign w:val="bottom"/>
          </w:tcPr>
          <w:p w14:paraId="1C9C6456" w14:textId="77777777" w:rsidR="0036397E" w:rsidRPr="0036397E" w:rsidRDefault="0036397E" w:rsidP="0036397E">
            <w:pPr>
              <w:rPr>
                <w:rFonts w:ascii="Arial" w:hAnsi="Arial" w:cs="Arial"/>
                <w:color w:val="000000"/>
              </w:rPr>
            </w:pPr>
          </w:p>
        </w:tc>
        <w:tc>
          <w:tcPr>
            <w:tcW w:w="1245" w:type="dxa"/>
            <w:tcBorders>
              <w:top w:val="nil"/>
              <w:left w:val="nil"/>
              <w:bottom w:val="single" w:sz="12" w:space="0" w:color="000000"/>
              <w:right w:val="nil"/>
            </w:tcBorders>
            <w:vAlign w:val="bottom"/>
          </w:tcPr>
          <w:p w14:paraId="36C1E8C5" w14:textId="77777777" w:rsidR="0036397E" w:rsidRPr="0036397E" w:rsidRDefault="0036397E" w:rsidP="0036397E">
            <w:pPr>
              <w:rPr>
                <w:rFonts w:ascii="Arial" w:hAnsi="Arial" w:cs="Arial"/>
              </w:rPr>
            </w:pPr>
            <w:r w:rsidRPr="0036397E">
              <w:rPr>
                <w:rFonts w:ascii="Arial" w:hAnsi="Arial" w:cs="Arial"/>
              </w:rPr>
              <w:t xml:space="preserve"> </w:t>
            </w:r>
          </w:p>
        </w:tc>
        <w:tc>
          <w:tcPr>
            <w:tcW w:w="1548" w:type="dxa"/>
            <w:tcBorders>
              <w:top w:val="nil"/>
              <w:left w:val="nil"/>
              <w:bottom w:val="single" w:sz="12" w:space="0" w:color="000000"/>
              <w:right w:val="nil"/>
            </w:tcBorders>
            <w:vAlign w:val="bottom"/>
          </w:tcPr>
          <w:p w14:paraId="480BA9E1" w14:textId="77777777" w:rsidR="0036397E" w:rsidRPr="0036397E" w:rsidRDefault="0036397E" w:rsidP="0036397E">
            <w:pPr>
              <w:rPr>
                <w:rFonts w:ascii="Arial" w:hAnsi="Arial" w:cs="Arial"/>
              </w:rPr>
            </w:pPr>
            <w:r w:rsidRPr="0036397E">
              <w:rPr>
                <w:rFonts w:ascii="Arial" w:hAnsi="Arial" w:cs="Arial"/>
              </w:rPr>
              <w:t xml:space="preserve"> </w:t>
            </w:r>
          </w:p>
        </w:tc>
        <w:tc>
          <w:tcPr>
            <w:tcW w:w="1701" w:type="dxa"/>
            <w:tcBorders>
              <w:top w:val="nil"/>
              <w:left w:val="nil"/>
              <w:bottom w:val="single" w:sz="12" w:space="0" w:color="000000"/>
              <w:right w:val="nil"/>
            </w:tcBorders>
            <w:vAlign w:val="bottom"/>
          </w:tcPr>
          <w:p w14:paraId="0280EE30" w14:textId="77777777" w:rsidR="0036397E" w:rsidRPr="0036397E" w:rsidRDefault="0036397E" w:rsidP="0036397E">
            <w:pPr>
              <w:rPr>
                <w:rFonts w:ascii="Arial" w:hAnsi="Arial" w:cs="Arial"/>
              </w:rPr>
            </w:pPr>
            <w:r w:rsidRPr="0036397E">
              <w:rPr>
                <w:rFonts w:ascii="Arial" w:hAnsi="Arial" w:cs="Arial"/>
              </w:rPr>
              <w:t xml:space="preserve"> </w:t>
            </w:r>
          </w:p>
        </w:tc>
        <w:tc>
          <w:tcPr>
            <w:tcW w:w="1843" w:type="dxa"/>
            <w:tcBorders>
              <w:top w:val="nil"/>
              <w:left w:val="nil"/>
              <w:bottom w:val="single" w:sz="12" w:space="0" w:color="000000"/>
              <w:right w:val="nil"/>
            </w:tcBorders>
            <w:vAlign w:val="bottom"/>
          </w:tcPr>
          <w:p w14:paraId="273E6BEC" w14:textId="77777777" w:rsidR="0036397E" w:rsidRPr="0036397E" w:rsidRDefault="0036397E" w:rsidP="0036397E">
            <w:pPr>
              <w:rPr>
                <w:rFonts w:ascii="Arial" w:hAnsi="Arial" w:cs="Arial"/>
              </w:rPr>
            </w:pPr>
            <w:r w:rsidRPr="0036397E">
              <w:rPr>
                <w:rFonts w:ascii="Arial" w:hAnsi="Arial" w:cs="Arial"/>
              </w:rPr>
              <w:t xml:space="preserve"> </w:t>
            </w:r>
          </w:p>
        </w:tc>
      </w:tr>
      <w:tr w:rsidR="0036397E" w:rsidRPr="0036397E" w14:paraId="20A46A6D" w14:textId="77777777" w:rsidTr="00F81591">
        <w:trPr>
          <w:trHeight w:val="270"/>
        </w:trPr>
        <w:tc>
          <w:tcPr>
            <w:tcW w:w="2115" w:type="dxa"/>
            <w:tcBorders>
              <w:top w:val="single" w:sz="12" w:space="0" w:color="000000"/>
              <w:left w:val="nil"/>
              <w:bottom w:val="single" w:sz="8" w:space="0" w:color="000000"/>
              <w:right w:val="nil"/>
            </w:tcBorders>
            <w:vAlign w:val="bottom"/>
          </w:tcPr>
          <w:p w14:paraId="5DEEACC8" w14:textId="77777777" w:rsidR="0036397E" w:rsidRPr="0036397E" w:rsidRDefault="0036397E" w:rsidP="0036397E">
            <w:pPr>
              <w:rPr>
                <w:rFonts w:ascii="Arial" w:hAnsi="Arial" w:cs="Arial"/>
                <w:b/>
              </w:rPr>
            </w:pPr>
            <w:r w:rsidRPr="0036397E">
              <w:rPr>
                <w:rFonts w:ascii="Arial" w:hAnsi="Arial" w:cs="Arial"/>
                <w:b/>
              </w:rPr>
              <w:t xml:space="preserve">Variable </w:t>
            </w:r>
          </w:p>
        </w:tc>
        <w:tc>
          <w:tcPr>
            <w:tcW w:w="1245" w:type="dxa"/>
            <w:tcBorders>
              <w:top w:val="single" w:sz="12" w:space="0" w:color="000000"/>
              <w:left w:val="nil"/>
              <w:bottom w:val="single" w:sz="8" w:space="0" w:color="000000"/>
              <w:right w:val="nil"/>
            </w:tcBorders>
            <w:vAlign w:val="bottom"/>
          </w:tcPr>
          <w:p w14:paraId="2867687F" w14:textId="77777777" w:rsidR="0036397E" w:rsidRPr="0036397E" w:rsidRDefault="0036397E" w:rsidP="0036397E">
            <w:pPr>
              <w:jc w:val="center"/>
              <w:rPr>
                <w:rFonts w:ascii="Arial" w:hAnsi="Arial" w:cs="Arial"/>
              </w:rPr>
            </w:pPr>
            <w:r w:rsidRPr="0036397E">
              <w:rPr>
                <w:rFonts w:ascii="Arial" w:hAnsi="Arial" w:cs="Arial"/>
                <w:b/>
                <w:color w:val="000000"/>
              </w:rPr>
              <w:t>Median</w:t>
            </w:r>
          </w:p>
        </w:tc>
        <w:tc>
          <w:tcPr>
            <w:tcW w:w="1548" w:type="dxa"/>
            <w:tcBorders>
              <w:top w:val="single" w:sz="12" w:space="0" w:color="000000"/>
              <w:left w:val="nil"/>
              <w:bottom w:val="single" w:sz="8" w:space="0" w:color="000000"/>
              <w:right w:val="nil"/>
            </w:tcBorders>
          </w:tcPr>
          <w:p w14:paraId="2220A2EF" w14:textId="77777777" w:rsidR="0036397E" w:rsidRPr="0036397E" w:rsidRDefault="0036397E" w:rsidP="0036397E">
            <w:pPr>
              <w:jc w:val="center"/>
              <w:rPr>
                <w:rFonts w:ascii="Arial" w:hAnsi="Arial" w:cs="Arial"/>
                <w:b/>
              </w:rPr>
            </w:pPr>
            <w:r w:rsidRPr="0036397E">
              <w:rPr>
                <w:rFonts w:ascii="Arial" w:hAnsi="Arial" w:cs="Arial"/>
                <w:b/>
              </w:rPr>
              <w:t>Minimum value</w:t>
            </w:r>
          </w:p>
        </w:tc>
        <w:tc>
          <w:tcPr>
            <w:tcW w:w="1701" w:type="dxa"/>
            <w:tcBorders>
              <w:top w:val="single" w:sz="12" w:space="0" w:color="000000"/>
              <w:left w:val="nil"/>
              <w:bottom w:val="single" w:sz="8" w:space="0" w:color="000000"/>
              <w:right w:val="nil"/>
            </w:tcBorders>
          </w:tcPr>
          <w:p w14:paraId="591779A6" w14:textId="77777777" w:rsidR="0036397E" w:rsidRPr="0036397E" w:rsidRDefault="0036397E" w:rsidP="0036397E">
            <w:pPr>
              <w:jc w:val="center"/>
              <w:rPr>
                <w:rFonts w:ascii="Arial" w:hAnsi="Arial" w:cs="Arial"/>
                <w:b/>
              </w:rPr>
            </w:pPr>
            <w:r w:rsidRPr="0036397E">
              <w:rPr>
                <w:rFonts w:ascii="Arial" w:hAnsi="Arial" w:cs="Arial"/>
                <w:b/>
              </w:rPr>
              <w:t>Maximum value</w:t>
            </w:r>
          </w:p>
        </w:tc>
        <w:tc>
          <w:tcPr>
            <w:tcW w:w="1843" w:type="dxa"/>
            <w:tcBorders>
              <w:top w:val="single" w:sz="12" w:space="0" w:color="000000"/>
              <w:left w:val="nil"/>
              <w:bottom w:val="single" w:sz="8" w:space="0" w:color="000000"/>
              <w:right w:val="nil"/>
            </w:tcBorders>
            <w:vAlign w:val="bottom"/>
          </w:tcPr>
          <w:p w14:paraId="74A2B270" w14:textId="77777777" w:rsidR="0036397E" w:rsidRPr="0036397E" w:rsidRDefault="0036397E" w:rsidP="0036397E">
            <w:pPr>
              <w:jc w:val="center"/>
              <w:rPr>
                <w:rFonts w:ascii="Arial" w:hAnsi="Arial" w:cs="Arial"/>
                <w:b/>
              </w:rPr>
            </w:pPr>
            <w:r w:rsidRPr="0036397E">
              <w:rPr>
                <w:rFonts w:ascii="Arial" w:hAnsi="Arial" w:cs="Arial"/>
                <w:b/>
              </w:rPr>
              <w:t>Significance</w:t>
            </w:r>
          </w:p>
        </w:tc>
      </w:tr>
      <w:tr w:rsidR="0036397E" w:rsidRPr="0036397E" w14:paraId="0D2AC605" w14:textId="77777777" w:rsidTr="00F81591">
        <w:trPr>
          <w:trHeight w:val="270"/>
        </w:trPr>
        <w:tc>
          <w:tcPr>
            <w:tcW w:w="2115" w:type="dxa"/>
            <w:tcBorders>
              <w:top w:val="single" w:sz="8" w:space="0" w:color="000000"/>
              <w:left w:val="nil"/>
              <w:bottom w:val="nil"/>
              <w:right w:val="nil"/>
            </w:tcBorders>
            <w:vAlign w:val="center"/>
          </w:tcPr>
          <w:p w14:paraId="5E939543" w14:textId="77777777" w:rsidR="0036397E" w:rsidRPr="0036397E" w:rsidRDefault="0036397E" w:rsidP="0036397E">
            <w:pPr>
              <w:rPr>
                <w:rFonts w:ascii="Arial" w:hAnsi="Arial" w:cs="Arial"/>
              </w:rPr>
            </w:pPr>
            <w:r w:rsidRPr="0036397E">
              <w:rPr>
                <w:rFonts w:ascii="Arial" w:hAnsi="Arial" w:cs="Arial"/>
                <w:b/>
                <w:color w:val="000000"/>
              </w:rPr>
              <w:t>Age (years)</w:t>
            </w:r>
            <w:r w:rsidRPr="0036397E">
              <w:rPr>
                <w:rFonts w:ascii="Arial" w:hAnsi="Arial" w:cs="Arial"/>
                <w:color w:val="000000"/>
              </w:rPr>
              <w:t xml:space="preserve"> </w:t>
            </w:r>
          </w:p>
        </w:tc>
        <w:tc>
          <w:tcPr>
            <w:tcW w:w="1245" w:type="dxa"/>
            <w:tcBorders>
              <w:top w:val="single" w:sz="8" w:space="0" w:color="000000"/>
              <w:left w:val="nil"/>
              <w:bottom w:val="nil"/>
              <w:right w:val="nil"/>
            </w:tcBorders>
            <w:vAlign w:val="bottom"/>
          </w:tcPr>
          <w:p w14:paraId="5ED217FC" w14:textId="77777777" w:rsidR="0036397E" w:rsidRPr="0036397E" w:rsidRDefault="0036397E" w:rsidP="0036397E">
            <w:pPr>
              <w:jc w:val="center"/>
              <w:rPr>
                <w:rFonts w:ascii="Arial" w:hAnsi="Arial" w:cs="Arial"/>
              </w:rPr>
            </w:pPr>
            <w:r w:rsidRPr="0036397E">
              <w:rPr>
                <w:rFonts w:ascii="Arial" w:hAnsi="Arial" w:cs="Arial"/>
                <w:b/>
                <w:color w:val="000000"/>
              </w:rPr>
              <w:t xml:space="preserve"> </w:t>
            </w:r>
            <w:r w:rsidRPr="0036397E">
              <w:rPr>
                <w:rFonts w:ascii="Arial" w:hAnsi="Arial" w:cs="Arial"/>
                <w:color w:val="000000"/>
              </w:rPr>
              <w:t xml:space="preserve"> </w:t>
            </w:r>
          </w:p>
        </w:tc>
        <w:tc>
          <w:tcPr>
            <w:tcW w:w="1548" w:type="dxa"/>
            <w:tcBorders>
              <w:top w:val="single" w:sz="8" w:space="0" w:color="000000"/>
              <w:left w:val="nil"/>
              <w:bottom w:val="nil"/>
              <w:right w:val="nil"/>
            </w:tcBorders>
            <w:vAlign w:val="bottom"/>
          </w:tcPr>
          <w:p w14:paraId="3CEF06EC" w14:textId="77777777" w:rsidR="0036397E" w:rsidRPr="0036397E" w:rsidRDefault="0036397E" w:rsidP="0036397E">
            <w:pPr>
              <w:jc w:val="center"/>
              <w:rPr>
                <w:rFonts w:ascii="Arial" w:hAnsi="Arial" w:cs="Arial"/>
              </w:rPr>
            </w:pPr>
            <w:r w:rsidRPr="0036397E">
              <w:rPr>
                <w:rFonts w:ascii="Arial" w:hAnsi="Arial" w:cs="Arial"/>
                <w:b/>
                <w:color w:val="000000"/>
              </w:rPr>
              <w:t xml:space="preserve"> </w:t>
            </w:r>
            <w:r w:rsidRPr="0036397E">
              <w:rPr>
                <w:rFonts w:ascii="Arial" w:hAnsi="Arial" w:cs="Arial"/>
                <w:color w:val="000000"/>
              </w:rPr>
              <w:t xml:space="preserve"> </w:t>
            </w:r>
          </w:p>
        </w:tc>
        <w:tc>
          <w:tcPr>
            <w:tcW w:w="1701" w:type="dxa"/>
            <w:tcBorders>
              <w:top w:val="single" w:sz="8" w:space="0" w:color="000000"/>
              <w:left w:val="nil"/>
              <w:bottom w:val="nil"/>
              <w:right w:val="nil"/>
            </w:tcBorders>
            <w:vAlign w:val="bottom"/>
          </w:tcPr>
          <w:p w14:paraId="38E9668C" w14:textId="77777777" w:rsidR="0036397E" w:rsidRPr="0036397E" w:rsidRDefault="0036397E" w:rsidP="0036397E">
            <w:pPr>
              <w:jc w:val="center"/>
              <w:rPr>
                <w:rFonts w:ascii="Arial" w:hAnsi="Arial" w:cs="Arial"/>
              </w:rPr>
            </w:pPr>
            <w:r w:rsidRPr="0036397E">
              <w:rPr>
                <w:rFonts w:ascii="Arial" w:hAnsi="Arial" w:cs="Arial"/>
                <w:b/>
                <w:color w:val="000000"/>
              </w:rPr>
              <w:t xml:space="preserve"> </w:t>
            </w:r>
            <w:r w:rsidRPr="0036397E">
              <w:rPr>
                <w:rFonts w:ascii="Arial" w:hAnsi="Arial" w:cs="Arial"/>
                <w:color w:val="000000"/>
              </w:rPr>
              <w:t xml:space="preserve"> </w:t>
            </w:r>
          </w:p>
        </w:tc>
        <w:tc>
          <w:tcPr>
            <w:tcW w:w="1843" w:type="dxa"/>
            <w:vMerge w:val="restart"/>
            <w:tcBorders>
              <w:top w:val="single" w:sz="8" w:space="0" w:color="000000"/>
              <w:left w:val="nil"/>
              <w:bottom w:val="nil"/>
              <w:right w:val="nil"/>
            </w:tcBorders>
            <w:vAlign w:val="bottom"/>
          </w:tcPr>
          <w:p w14:paraId="6D0FE864" w14:textId="77777777" w:rsidR="0036397E" w:rsidRPr="0036397E" w:rsidRDefault="0036397E" w:rsidP="0036397E">
            <w:pPr>
              <w:jc w:val="center"/>
              <w:rPr>
                <w:rFonts w:ascii="Arial" w:hAnsi="Arial" w:cs="Arial"/>
              </w:rPr>
            </w:pPr>
            <w:r w:rsidRPr="0036397E">
              <w:rPr>
                <w:rFonts w:ascii="Arial" w:hAnsi="Arial" w:cs="Arial"/>
                <w:color w:val="000000"/>
              </w:rPr>
              <w:t xml:space="preserve"> </w:t>
            </w:r>
          </w:p>
          <w:p w14:paraId="165334E0" w14:textId="77777777" w:rsidR="0036397E" w:rsidRPr="0036397E" w:rsidRDefault="0036397E" w:rsidP="0036397E">
            <w:pPr>
              <w:jc w:val="center"/>
              <w:rPr>
                <w:rFonts w:ascii="Arial" w:hAnsi="Arial" w:cs="Arial"/>
              </w:rPr>
            </w:pPr>
            <w:r w:rsidRPr="0036397E">
              <w:rPr>
                <w:rFonts w:ascii="Arial" w:hAnsi="Arial" w:cs="Arial"/>
                <w:color w:val="000000"/>
              </w:rPr>
              <w:t xml:space="preserve"> </w:t>
            </w:r>
          </w:p>
          <w:p w14:paraId="11202243" w14:textId="77777777" w:rsidR="0036397E" w:rsidRPr="0036397E" w:rsidRDefault="0036397E" w:rsidP="0036397E">
            <w:pPr>
              <w:jc w:val="center"/>
              <w:rPr>
                <w:rFonts w:ascii="Arial" w:hAnsi="Arial" w:cs="Arial"/>
              </w:rPr>
            </w:pPr>
            <w:r w:rsidRPr="0036397E">
              <w:rPr>
                <w:rFonts w:ascii="Arial" w:hAnsi="Arial" w:cs="Arial"/>
                <w:color w:val="000000"/>
              </w:rPr>
              <w:t xml:space="preserve">H= 0,000;  </w:t>
            </w:r>
          </w:p>
          <w:p w14:paraId="18CF1040" w14:textId="77777777" w:rsidR="0036397E" w:rsidRPr="0036397E" w:rsidRDefault="0036397E" w:rsidP="0036397E">
            <w:pPr>
              <w:jc w:val="center"/>
              <w:rPr>
                <w:rFonts w:ascii="Arial" w:hAnsi="Arial" w:cs="Arial"/>
              </w:rPr>
            </w:pPr>
            <w:r w:rsidRPr="0036397E">
              <w:rPr>
                <w:rFonts w:ascii="Arial" w:hAnsi="Arial" w:cs="Arial"/>
                <w:color w:val="000000"/>
              </w:rPr>
              <w:t xml:space="preserve">p= 0,000* </w:t>
            </w:r>
          </w:p>
          <w:p w14:paraId="5AAF2BA9" w14:textId="77777777" w:rsidR="0036397E" w:rsidRPr="0036397E" w:rsidRDefault="0036397E" w:rsidP="0036397E">
            <w:pPr>
              <w:jc w:val="center"/>
              <w:rPr>
                <w:rFonts w:ascii="Arial" w:hAnsi="Arial" w:cs="Arial"/>
              </w:rPr>
            </w:pPr>
            <w:r w:rsidRPr="0036397E">
              <w:rPr>
                <w:rFonts w:ascii="Arial" w:hAnsi="Arial" w:cs="Arial"/>
                <w:color w:val="000000"/>
              </w:rPr>
              <w:t xml:space="preserve"> </w:t>
            </w:r>
          </w:p>
        </w:tc>
      </w:tr>
      <w:tr w:rsidR="0036397E" w:rsidRPr="0036397E" w14:paraId="3E636D49" w14:textId="77777777" w:rsidTr="00F81591">
        <w:trPr>
          <w:trHeight w:val="270"/>
        </w:trPr>
        <w:tc>
          <w:tcPr>
            <w:tcW w:w="2115" w:type="dxa"/>
            <w:tcBorders>
              <w:top w:val="nil"/>
              <w:left w:val="nil"/>
              <w:bottom w:val="nil"/>
              <w:right w:val="nil"/>
            </w:tcBorders>
          </w:tcPr>
          <w:p w14:paraId="3CFB5634" w14:textId="77777777" w:rsidR="0036397E" w:rsidRPr="0036397E" w:rsidRDefault="0036397E" w:rsidP="0036397E">
            <w:pPr>
              <w:rPr>
                <w:rFonts w:ascii="Arial" w:hAnsi="Arial" w:cs="Arial"/>
              </w:rPr>
            </w:pPr>
            <w:r w:rsidRPr="0036397E">
              <w:rPr>
                <w:rFonts w:ascii="Arial" w:hAnsi="Arial" w:cs="Arial"/>
              </w:rPr>
              <w:t xml:space="preserve">Discharge </w:t>
            </w:r>
          </w:p>
        </w:tc>
        <w:tc>
          <w:tcPr>
            <w:tcW w:w="1245" w:type="dxa"/>
            <w:tcBorders>
              <w:top w:val="nil"/>
              <w:left w:val="nil"/>
              <w:bottom w:val="nil"/>
              <w:right w:val="nil"/>
            </w:tcBorders>
            <w:vAlign w:val="bottom"/>
          </w:tcPr>
          <w:p w14:paraId="1126DF10" w14:textId="77777777" w:rsidR="0036397E" w:rsidRPr="0036397E" w:rsidRDefault="0036397E" w:rsidP="0036397E">
            <w:pPr>
              <w:jc w:val="center"/>
              <w:rPr>
                <w:rFonts w:ascii="Arial" w:hAnsi="Arial" w:cs="Arial"/>
              </w:rPr>
            </w:pPr>
            <w:r w:rsidRPr="0036397E">
              <w:rPr>
                <w:rFonts w:ascii="Arial" w:hAnsi="Arial" w:cs="Arial"/>
                <w:color w:val="000000"/>
              </w:rPr>
              <w:t xml:space="preserve">55,0 </w:t>
            </w:r>
          </w:p>
        </w:tc>
        <w:tc>
          <w:tcPr>
            <w:tcW w:w="1548" w:type="dxa"/>
            <w:tcBorders>
              <w:top w:val="nil"/>
              <w:left w:val="nil"/>
              <w:bottom w:val="nil"/>
              <w:right w:val="nil"/>
            </w:tcBorders>
            <w:vAlign w:val="bottom"/>
          </w:tcPr>
          <w:p w14:paraId="1B4817F2" w14:textId="77777777" w:rsidR="0036397E" w:rsidRPr="0036397E" w:rsidRDefault="0036397E" w:rsidP="0036397E">
            <w:pPr>
              <w:jc w:val="center"/>
              <w:rPr>
                <w:rFonts w:ascii="Arial" w:hAnsi="Arial" w:cs="Arial"/>
              </w:rPr>
            </w:pPr>
            <w:r w:rsidRPr="0036397E">
              <w:rPr>
                <w:rFonts w:ascii="Arial" w:hAnsi="Arial" w:cs="Arial"/>
                <w:color w:val="000000"/>
              </w:rPr>
              <w:t xml:space="preserve">19,0 </w:t>
            </w:r>
          </w:p>
        </w:tc>
        <w:tc>
          <w:tcPr>
            <w:tcW w:w="1701" w:type="dxa"/>
            <w:tcBorders>
              <w:top w:val="nil"/>
              <w:left w:val="nil"/>
              <w:bottom w:val="nil"/>
              <w:right w:val="nil"/>
            </w:tcBorders>
            <w:vAlign w:val="bottom"/>
          </w:tcPr>
          <w:p w14:paraId="37CB5C0E" w14:textId="77777777" w:rsidR="0036397E" w:rsidRPr="0036397E" w:rsidRDefault="0036397E" w:rsidP="0036397E">
            <w:pPr>
              <w:jc w:val="center"/>
              <w:rPr>
                <w:rFonts w:ascii="Arial" w:hAnsi="Arial" w:cs="Arial"/>
              </w:rPr>
            </w:pPr>
            <w:r w:rsidRPr="0036397E">
              <w:rPr>
                <w:rFonts w:ascii="Arial" w:hAnsi="Arial" w:cs="Arial"/>
                <w:color w:val="000000"/>
              </w:rPr>
              <w:t xml:space="preserve">88,0 </w:t>
            </w:r>
          </w:p>
        </w:tc>
        <w:tc>
          <w:tcPr>
            <w:tcW w:w="1843" w:type="dxa"/>
            <w:vMerge/>
            <w:tcBorders>
              <w:top w:val="single" w:sz="8" w:space="0" w:color="000000"/>
              <w:left w:val="nil"/>
              <w:bottom w:val="nil"/>
              <w:right w:val="nil"/>
            </w:tcBorders>
            <w:vAlign w:val="bottom"/>
          </w:tcPr>
          <w:p w14:paraId="0F976752" w14:textId="77777777" w:rsidR="0036397E" w:rsidRPr="0036397E" w:rsidRDefault="0036397E" w:rsidP="0036397E">
            <w:pPr>
              <w:widowControl w:val="0"/>
              <w:pBdr>
                <w:top w:val="nil"/>
                <w:left w:val="nil"/>
                <w:bottom w:val="nil"/>
                <w:right w:val="nil"/>
                <w:between w:val="nil"/>
              </w:pBdr>
              <w:rPr>
                <w:rFonts w:ascii="Arial" w:hAnsi="Arial" w:cs="Arial"/>
              </w:rPr>
            </w:pPr>
          </w:p>
        </w:tc>
      </w:tr>
      <w:tr w:rsidR="0036397E" w:rsidRPr="0036397E" w14:paraId="1A01C13D" w14:textId="77777777" w:rsidTr="00F81591">
        <w:trPr>
          <w:trHeight w:val="270"/>
        </w:trPr>
        <w:tc>
          <w:tcPr>
            <w:tcW w:w="2115" w:type="dxa"/>
            <w:tcBorders>
              <w:top w:val="nil"/>
              <w:left w:val="nil"/>
              <w:bottom w:val="nil"/>
              <w:right w:val="nil"/>
            </w:tcBorders>
          </w:tcPr>
          <w:p w14:paraId="076461B7" w14:textId="77777777" w:rsidR="0036397E" w:rsidRPr="0036397E" w:rsidRDefault="0036397E" w:rsidP="0036397E">
            <w:pPr>
              <w:rPr>
                <w:rFonts w:ascii="Arial" w:hAnsi="Arial" w:cs="Arial"/>
              </w:rPr>
            </w:pPr>
            <w:r w:rsidRPr="0036397E">
              <w:rPr>
                <w:rFonts w:ascii="Arial" w:hAnsi="Arial" w:cs="Arial"/>
              </w:rPr>
              <w:t xml:space="preserve">Death  </w:t>
            </w:r>
          </w:p>
        </w:tc>
        <w:tc>
          <w:tcPr>
            <w:tcW w:w="1245" w:type="dxa"/>
            <w:tcBorders>
              <w:top w:val="nil"/>
              <w:left w:val="nil"/>
              <w:bottom w:val="nil"/>
              <w:right w:val="nil"/>
            </w:tcBorders>
            <w:vAlign w:val="bottom"/>
          </w:tcPr>
          <w:p w14:paraId="310554F1" w14:textId="77777777" w:rsidR="0036397E" w:rsidRPr="0036397E" w:rsidRDefault="0036397E" w:rsidP="0036397E">
            <w:pPr>
              <w:jc w:val="center"/>
              <w:rPr>
                <w:rFonts w:ascii="Arial" w:hAnsi="Arial" w:cs="Arial"/>
              </w:rPr>
            </w:pPr>
            <w:r w:rsidRPr="0036397E">
              <w:rPr>
                <w:rFonts w:ascii="Arial" w:hAnsi="Arial" w:cs="Arial"/>
                <w:color w:val="000000"/>
              </w:rPr>
              <w:t xml:space="preserve">68,0 </w:t>
            </w:r>
          </w:p>
        </w:tc>
        <w:tc>
          <w:tcPr>
            <w:tcW w:w="1548" w:type="dxa"/>
            <w:tcBorders>
              <w:top w:val="nil"/>
              <w:left w:val="nil"/>
              <w:bottom w:val="nil"/>
              <w:right w:val="nil"/>
            </w:tcBorders>
            <w:vAlign w:val="bottom"/>
          </w:tcPr>
          <w:p w14:paraId="34986284" w14:textId="77777777" w:rsidR="0036397E" w:rsidRPr="0036397E" w:rsidRDefault="0036397E" w:rsidP="0036397E">
            <w:pPr>
              <w:jc w:val="center"/>
              <w:rPr>
                <w:rFonts w:ascii="Arial" w:hAnsi="Arial" w:cs="Arial"/>
              </w:rPr>
            </w:pPr>
            <w:r w:rsidRPr="0036397E">
              <w:rPr>
                <w:rFonts w:ascii="Arial" w:hAnsi="Arial" w:cs="Arial"/>
                <w:color w:val="000000"/>
              </w:rPr>
              <w:t xml:space="preserve">27,0 </w:t>
            </w:r>
          </w:p>
        </w:tc>
        <w:tc>
          <w:tcPr>
            <w:tcW w:w="1701" w:type="dxa"/>
            <w:tcBorders>
              <w:top w:val="nil"/>
              <w:left w:val="nil"/>
              <w:bottom w:val="nil"/>
              <w:right w:val="nil"/>
            </w:tcBorders>
            <w:vAlign w:val="bottom"/>
          </w:tcPr>
          <w:p w14:paraId="550827EF" w14:textId="77777777" w:rsidR="0036397E" w:rsidRPr="0036397E" w:rsidRDefault="0036397E" w:rsidP="0036397E">
            <w:pPr>
              <w:jc w:val="center"/>
              <w:rPr>
                <w:rFonts w:ascii="Arial" w:hAnsi="Arial" w:cs="Arial"/>
              </w:rPr>
            </w:pPr>
            <w:r w:rsidRPr="0036397E">
              <w:rPr>
                <w:rFonts w:ascii="Arial" w:hAnsi="Arial" w:cs="Arial"/>
                <w:color w:val="000000"/>
              </w:rPr>
              <w:t xml:space="preserve">88,0 </w:t>
            </w:r>
          </w:p>
        </w:tc>
        <w:tc>
          <w:tcPr>
            <w:tcW w:w="1843" w:type="dxa"/>
            <w:vMerge/>
            <w:tcBorders>
              <w:top w:val="single" w:sz="8" w:space="0" w:color="000000"/>
              <w:left w:val="nil"/>
              <w:bottom w:val="nil"/>
              <w:right w:val="nil"/>
            </w:tcBorders>
            <w:vAlign w:val="bottom"/>
          </w:tcPr>
          <w:p w14:paraId="34F0EEB1" w14:textId="77777777" w:rsidR="0036397E" w:rsidRPr="0036397E" w:rsidRDefault="0036397E" w:rsidP="0036397E">
            <w:pPr>
              <w:widowControl w:val="0"/>
              <w:pBdr>
                <w:top w:val="nil"/>
                <w:left w:val="nil"/>
                <w:bottom w:val="nil"/>
                <w:right w:val="nil"/>
                <w:between w:val="nil"/>
              </w:pBdr>
              <w:rPr>
                <w:rFonts w:ascii="Arial" w:hAnsi="Arial" w:cs="Arial"/>
              </w:rPr>
            </w:pPr>
          </w:p>
        </w:tc>
      </w:tr>
      <w:tr w:rsidR="0036397E" w:rsidRPr="0036397E" w14:paraId="0114C6AC" w14:textId="77777777" w:rsidTr="00F81591">
        <w:trPr>
          <w:trHeight w:val="270"/>
        </w:trPr>
        <w:tc>
          <w:tcPr>
            <w:tcW w:w="2115" w:type="dxa"/>
            <w:tcBorders>
              <w:top w:val="nil"/>
              <w:left w:val="nil"/>
              <w:bottom w:val="nil"/>
              <w:right w:val="nil"/>
            </w:tcBorders>
          </w:tcPr>
          <w:p w14:paraId="505EF8D5" w14:textId="77777777" w:rsidR="0036397E" w:rsidRPr="0036397E" w:rsidRDefault="0036397E" w:rsidP="0036397E">
            <w:pPr>
              <w:rPr>
                <w:rFonts w:ascii="Arial" w:hAnsi="Arial" w:cs="Arial"/>
              </w:rPr>
            </w:pPr>
            <w:r w:rsidRPr="0036397E">
              <w:rPr>
                <w:rFonts w:ascii="Arial" w:hAnsi="Arial" w:cs="Arial"/>
              </w:rPr>
              <w:t xml:space="preserve">Transfer or evasion </w:t>
            </w:r>
          </w:p>
        </w:tc>
        <w:tc>
          <w:tcPr>
            <w:tcW w:w="1245" w:type="dxa"/>
            <w:tcBorders>
              <w:top w:val="nil"/>
              <w:left w:val="nil"/>
              <w:bottom w:val="nil"/>
              <w:right w:val="nil"/>
            </w:tcBorders>
            <w:vAlign w:val="bottom"/>
          </w:tcPr>
          <w:p w14:paraId="667CDBA4" w14:textId="77777777" w:rsidR="0036397E" w:rsidRPr="0036397E" w:rsidRDefault="0036397E" w:rsidP="0036397E">
            <w:pPr>
              <w:jc w:val="center"/>
              <w:rPr>
                <w:rFonts w:ascii="Arial" w:hAnsi="Arial" w:cs="Arial"/>
              </w:rPr>
            </w:pPr>
            <w:r w:rsidRPr="0036397E">
              <w:rPr>
                <w:rFonts w:ascii="Arial" w:hAnsi="Arial" w:cs="Arial"/>
                <w:color w:val="000000"/>
              </w:rPr>
              <w:t xml:space="preserve">52,5 </w:t>
            </w:r>
          </w:p>
        </w:tc>
        <w:tc>
          <w:tcPr>
            <w:tcW w:w="1548" w:type="dxa"/>
            <w:tcBorders>
              <w:top w:val="nil"/>
              <w:left w:val="nil"/>
              <w:bottom w:val="nil"/>
              <w:right w:val="nil"/>
            </w:tcBorders>
            <w:vAlign w:val="bottom"/>
          </w:tcPr>
          <w:p w14:paraId="5F0321BB" w14:textId="77777777" w:rsidR="0036397E" w:rsidRPr="0036397E" w:rsidRDefault="0036397E" w:rsidP="0036397E">
            <w:pPr>
              <w:jc w:val="center"/>
              <w:rPr>
                <w:rFonts w:ascii="Arial" w:hAnsi="Arial" w:cs="Arial"/>
              </w:rPr>
            </w:pPr>
            <w:r w:rsidRPr="0036397E">
              <w:rPr>
                <w:rFonts w:ascii="Arial" w:hAnsi="Arial" w:cs="Arial"/>
                <w:color w:val="000000"/>
              </w:rPr>
              <w:t xml:space="preserve">24,0 </w:t>
            </w:r>
          </w:p>
        </w:tc>
        <w:tc>
          <w:tcPr>
            <w:tcW w:w="1701" w:type="dxa"/>
            <w:tcBorders>
              <w:top w:val="nil"/>
              <w:left w:val="nil"/>
              <w:bottom w:val="nil"/>
              <w:right w:val="nil"/>
            </w:tcBorders>
            <w:vAlign w:val="bottom"/>
          </w:tcPr>
          <w:p w14:paraId="1631E624" w14:textId="77777777" w:rsidR="0036397E" w:rsidRPr="0036397E" w:rsidRDefault="0036397E" w:rsidP="0036397E">
            <w:pPr>
              <w:jc w:val="center"/>
              <w:rPr>
                <w:rFonts w:ascii="Arial" w:hAnsi="Arial" w:cs="Arial"/>
              </w:rPr>
            </w:pPr>
            <w:r w:rsidRPr="0036397E">
              <w:rPr>
                <w:rFonts w:ascii="Arial" w:hAnsi="Arial" w:cs="Arial"/>
                <w:color w:val="000000"/>
              </w:rPr>
              <w:t xml:space="preserve">92,0 </w:t>
            </w:r>
          </w:p>
        </w:tc>
        <w:tc>
          <w:tcPr>
            <w:tcW w:w="1843" w:type="dxa"/>
            <w:vMerge/>
            <w:tcBorders>
              <w:top w:val="single" w:sz="8" w:space="0" w:color="000000"/>
              <w:left w:val="nil"/>
              <w:bottom w:val="nil"/>
              <w:right w:val="nil"/>
            </w:tcBorders>
            <w:vAlign w:val="bottom"/>
          </w:tcPr>
          <w:p w14:paraId="1356B970" w14:textId="77777777" w:rsidR="0036397E" w:rsidRPr="0036397E" w:rsidRDefault="0036397E" w:rsidP="0036397E">
            <w:pPr>
              <w:widowControl w:val="0"/>
              <w:pBdr>
                <w:top w:val="nil"/>
                <w:left w:val="nil"/>
                <w:bottom w:val="nil"/>
                <w:right w:val="nil"/>
                <w:between w:val="nil"/>
              </w:pBdr>
              <w:rPr>
                <w:rFonts w:ascii="Arial" w:hAnsi="Arial" w:cs="Arial"/>
              </w:rPr>
            </w:pPr>
          </w:p>
        </w:tc>
      </w:tr>
      <w:tr w:rsidR="0036397E" w:rsidRPr="0036397E" w14:paraId="4A0CA902" w14:textId="77777777" w:rsidTr="00F81591">
        <w:trPr>
          <w:trHeight w:val="270"/>
        </w:trPr>
        <w:tc>
          <w:tcPr>
            <w:tcW w:w="2115" w:type="dxa"/>
            <w:tcBorders>
              <w:top w:val="nil"/>
              <w:left w:val="nil"/>
              <w:bottom w:val="nil"/>
              <w:right w:val="nil"/>
            </w:tcBorders>
          </w:tcPr>
          <w:p w14:paraId="151664D1" w14:textId="77777777" w:rsidR="0036397E" w:rsidRPr="0036397E" w:rsidRDefault="0036397E" w:rsidP="0036397E">
            <w:pPr>
              <w:rPr>
                <w:rFonts w:ascii="Arial" w:hAnsi="Arial" w:cs="Arial"/>
                <w:b/>
              </w:rPr>
            </w:pPr>
            <w:r w:rsidRPr="0036397E">
              <w:rPr>
                <w:rFonts w:ascii="Arial" w:hAnsi="Arial" w:cs="Arial"/>
                <w:b/>
              </w:rPr>
              <w:t xml:space="preserve">Length of stay (days) </w:t>
            </w:r>
          </w:p>
        </w:tc>
        <w:tc>
          <w:tcPr>
            <w:tcW w:w="1245" w:type="dxa"/>
            <w:tcBorders>
              <w:top w:val="nil"/>
              <w:left w:val="nil"/>
              <w:bottom w:val="nil"/>
              <w:right w:val="nil"/>
            </w:tcBorders>
            <w:vAlign w:val="bottom"/>
          </w:tcPr>
          <w:p w14:paraId="17265F7A" w14:textId="77777777" w:rsidR="0036397E" w:rsidRPr="0036397E" w:rsidRDefault="0036397E" w:rsidP="0036397E">
            <w:pPr>
              <w:jc w:val="center"/>
              <w:rPr>
                <w:rFonts w:ascii="Arial" w:hAnsi="Arial" w:cs="Arial"/>
              </w:rPr>
            </w:pPr>
            <w:r w:rsidRPr="0036397E">
              <w:rPr>
                <w:rFonts w:ascii="Arial" w:hAnsi="Arial" w:cs="Arial"/>
                <w:b/>
                <w:color w:val="000000"/>
              </w:rPr>
              <w:t xml:space="preserve"> </w:t>
            </w:r>
            <w:r w:rsidRPr="0036397E">
              <w:rPr>
                <w:rFonts w:ascii="Arial" w:hAnsi="Arial" w:cs="Arial"/>
                <w:color w:val="000000"/>
              </w:rPr>
              <w:t xml:space="preserve"> </w:t>
            </w:r>
          </w:p>
        </w:tc>
        <w:tc>
          <w:tcPr>
            <w:tcW w:w="1548" w:type="dxa"/>
            <w:tcBorders>
              <w:top w:val="nil"/>
              <w:left w:val="nil"/>
              <w:bottom w:val="nil"/>
              <w:right w:val="nil"/>
            </w:tcBorders>
            <w:vAlign w:val="bottom"/>
          </w:tcPr>
          <w:p w14:paraId="3629771E" w14:textId="77777777" w:rsidR="0036397E" w:rsidRPr="0036397E" w:rsidRDefault="0036397E" w:rsidP="0036397E">
            <w:pPr>
              <w:jc w:val="center"/>
              <w:rPr>
                <w:rFonts w:ascii="Arial" w:hAnsi="Arial" w:cs="Arial"/>
              </w:rPr>
            </w:pPr>
            <w:r w:rsidRPr="0036397E">
              <w:rPr>
                <w:rFonts w:ascii="Arial" w:hAnsi="Arial" w:cs="Arial"/>
                <w:b/>
                <w:color w:val="000000"/>
              </w:rPr>
              <w:t xml:space="preserve"> </w:t>
            </w:r>
            <w:r w:rsidRPr="0036397E">
              <w:rPr>
                <w:rFonts w:ascii="Arial" w:hAnsi="Arial" w:cs="Arial"/>
                <w:color w:val="000000"/>
              </w:rPr>
              <w:t xml:space="preserve"> </w:t>
            </w:r>
          </w:p>
        </w:tc>
        <w:tc>
          <w:tcPr>
            <w:tcW w:w="1701" w:type="dxa"/>
            <w:tcBorders>
              <w:top w:val="nil"/>
              <w:left w:val="nil"/>
              <w:bottom w:val="nil"/>
              <w:right w:val="nil"/>
            </w:tcBorders>
            <w:vAlign w:val="bottom"/>
          </w:tcPr>
          <w:p w14:paraId="6FCB8709" w14:textId="77777777" w:rsidR="0036397E" w:rsidRPr="0036397E" w:rsidRDefault="0036397E" w:rsidP="0036397E">
            <w:pPr>
              <w:jc w:val="center"/>
              <w:rPr>
                <w:rFonts w:ascii="Arial" w:hAnsi="Arial" w:cs="Arial"/>
              </w:rPr>
            </w:pPr>
            <w:r w:rsidRPr="0036397E">
              <w:rPr>
                <w:rFonts w:ascii="Arial" w:hAnsi="Arial" w:cs="Arial"/>
                <w:b/>
                <w:color w:val="000000"/>
              </w:rPr>
              <w:t xml:space="preserve"> </w:t>
            </w:r>
            <w:r w:rsidRPr="0036397E">
              <w:rPr>
                <w:rFonts w:ascii="Arial" w:hAnsi="Arial" w:cs="Arial"/>
                <w:color w:val="000000"/>
              </w:rPr>
              <w:t xml:space="preserve"> </w:t>
            </w:r>
          </w:p>
        </w:tc>
        <w:tc>
          <w:tcPr>
            <w:tcW w:w="1843" w:type="dxa"/>
            <w:vMerge w:val="restart"/>
            <w:tcBorders>
              <w:top w:val="nil"/>
              <w:left w:val="nil"/>
              <w:bottom w:val="nil"/>
              <w:right w:val="nil"/>
            </w:tcBorders>
            <w:vAlign w:val="bottom"/>
          </w:tcPr>
          <w:p w14:paraId="6E085136" w14:textId="77777777" w:rsidR="0036397E" w:rsidRPr="0036397E" w:rsidRDefault="0036397E" w:rsidP="0036397E">
            <w:pPr>
              <w:jc w:val="center"/>
              <w:rPr>
                <w:rFonts w:ascii="Arial" w:hAnsi="Arial" w:cs="Arial"/>
              </w:rPr>
            </w:pPr>
            <w:r w:rsidRPr="0036397E">
              <w:rPr>
                <w:rFonts w:ascii="Arial" w:hAnsi="Arial" w:cs="Arial"/>
                <w:color w:val="000000"/>
              </w:rPr>
              <w:t xml:space="preserve"> </w:t>
            </w:r>
          </w:p>
          <w:p w14:paraId="50208904" w14:textId="77777777" w:rsidR="0036397E" w:rsidRPr="0036397E" w:rsidRDefault="0036397E" w:rsidP="0036397E">
            <w:pPr>
              <w:jc w:val="center"/>
              <w:rPr>
                <w:rFonts w:ascii="Arial" w:hAnsi="Arial" w:cs="Arial"/>
              </w:rPr>
            </w:pPr>
            <w:r w:rsidRPr="0036397E">
              <w:rPr>
                <w:rFonts w:ascii="Arial" w:hAnsi="Arial" w:cs="Arial"/>
                <w:color w:val="000000"/>
              </w:rPr>
              <w:t xml:space="preserve"> </w:t>
            </w:r>
          </w:p>
          <w:p w14:paraId="0B3536CC" w14:textId="77777777" w:rsidR="0036397E" w:rsidRPr="0036397E" w:rsidRDefault="0036397E" w:rsidP="0036397E">
            <w:pPr>
              <w:jc w:val="center"/>
              <w:rPr>
                <w:rFonts w:ascii="Arial" w:hAnsi="Arial" w:cs="Arial"/>
              </w:rPr>
            </w:pPr>
            <w:r w:rsidRPr="0036397E">
              <w:rPr>
                <w:rFonts w:ascii="Arial" w:hAnsi="Arial" w:cs="Arial"/>
                <w:color w:val="000000"/>
              </w:rPr>
              <w:t xml:space="preserve">U= 0,012;  </w:t>
            </w:r>
          </w:p>
          <w:p w14:paraId="1383E982" w14:textId="77777777" w:rsidR="0036397E" w:rsidRPr="0036397E" w:rsidRDefault="0036397E" w:rsidP="0036397E">
            <w:pPr>
              <w:jc w:val="center"/>
              <w:rPr>
                <w:rFonts w:ascii="Arial" w:hAnsi="Arial" w:cs="Arial"/>
              </w:rPr>
            </w:pPr>
            <w:r w:rsidRPr="0036397E">
              <w:rPr>
                <w:rFonts w:ascii="Arial" w:hAnsi="Arial" w:cs="Arial"/>
                <w:color w:val="000000"/>
              </w:rPr>
              <w:t xml:space="preserve">p= 0,012* </w:t>
            </w:r>
          </w:p>
          <w:p w14:paraId="46A1D8F2" w14:textId="77777777" w:rsidR="0036397E" w:rsidRPr="0036397E" w:rsidRDefault="0036397E" w:rsidP="0036397E">
            <w:pPr>
              <w:jc w:val="center"/>
              <w:rPr>
                <w:rFonts w:ascii="Arial" w:hAnsi="Arial" w:cs="Arial"/>
              </w:rPr>
            </w:pPr>
            <w:r w:rsidRPr="0036397E">
              <w:rPr>
                <w:rFonts w:ascii="Arial" w:hAnsi="Arial" w:cs="Arial"/>
                <w:color w:val="000000"/>
              </w:rPr>
              <w:t xml:space="preserve"> </w:t>
            </w:r>
          </w:p>
        </w:tc>
      </w:tr>
      <w:tr w:rsidR="0036397E" w:rsidRPr="0036397E" w14:paraId="381AC9AE" w14:textId="77777777" w:rsidTr="00F81591">
        <w:trPr>
          <w:trHeight w:val="270"/>
        </w:trPr>
        <w:tc>
          <w:tcPr>
            <w:tcW w:w="2115" w:type="dxa"/>
            <w:tcBorders>
              <w:top w:val="nil"/>
              <w:left w:val="nil"/>
              <w:bottom w:val="nil"/>
              <w:right w:val="nil"/>
            </w:tcBorders>
          </w:tcPr>
          <w:p w14:paraId="62BC9D8C" w14:textId="77777777" w:rsidR="0036397E" w:rsidRPr="0036397E" w:rsidRDefault="0036397E" w:rsidP="0036397E">
            <w:pPr>
              <w:rPr>
                <w:rFonts w:ascii="Arial" w:hAnsi="Arial" w:cs="Arial"/>
              </w:rPr>
            </w:pPr>
            <w:r w:rsidRPr="0036397E">
              <w:rPr>
                <w:rFonts w:ascii="Arial" w:hAnsi="Arial" w:cs="Arial"/>
              </w:rPr>
              <w:t xml:space="preserve">Discharge </w:t>
            </w:r>
          </w:p>
        </w:tc>
        <w:tc>
          <w:tcPr>
            <w:tcW w:w="1245" w:type="dxa"/>
            <w:tcBorders>
              <w:top w:val="nil"/>
              <w:left w:val="nil"/>
              <w:bottom w:val="nil"/>
              <w:right w:val="nil"/>
            </w:tcBorders>
            <w:vAlign w:val="bottom"/>
          </w:tcPr>
          <w:p w14:paraId="78F4EC4E" w14:textId="77777777" w:rsidR="0036397E" w:rsidRPr="0036397E" w:rsidRDefault="0036397E" w:rsidP="0036397E">
            <w:pPr>
              <w:jc w:val="center"/>
              <w:rPr>
                <w:rFonts w:ascii="Arial" w:hAnsi="Arial" w:cs="Arial"/>
              </w:rPr>
            </w:pPr>
            <w:r w:rsidRPr="0036397E">
              <w:rPr>
                <w:rFonts w:ascii="Arial" w:hAnsi="Arial" w:cs="Arial"/>
                <w:color w:val="000000"/>
              </w:rPr>
              <w:t xml:space="preserve">7,0 </w:t>
            </w:r>
          </w:p>
        </w:tc>
        <w:tc>
          <w:tcPr>
            <w:tcW w:w="1548" w:type="dxa"/>
            <w:tcBorders>
              <w:top w:val="nil"/>
              <w:left w:val="nil"/>
              <w:bottom w:val="nil"/>
              <w:right w:val="nil"/>
            </w:tcBorders>
            <w:vAlign w:val="bottom"/>
          </w:tcPr>
          <w:p w14:paraId="671A747B" w14:textId="77777777" w:rsidR="0036397E" w:rsidRPr="0036397E" w:rsidRDefault="0036397E" w:rsidP="0036397E">
            <w:pPr>
              <w:jc w:val="center"/>
              <w:rPr>
                <w:rFonts w:ascii="Arial" w:hAnsi="Arial" w:cs="Arial"/>
              </w:rPr>
            </w:pPr>
            <w:r w:rsidRPr="0036397E">
              <w:rPr>
                <w:rFonts w:ascii="Arial" w:hAnsi="Arial" w:cs="Arial"/>
                <w:color w:val="000000"/>
              </w:rPr>
              <w:t xml:space="preserve">1,0 </w:t>
            </w:r>
          </w:p>
        </w:tc>
        <w:tc>
          <w:tcPr>
            <w:tcW w:w="1701" w:type="dxa"/>
            <w:tcBorders>
              <w:top w:val="nil"/>
              <w:left w:val="nil"/>
              <w:bottom w:val="nil"/>
              <w:right w:val="nil"/>
            </w:tcBorders>
            <w:vAlign w:val="bottom"/>
          </w:tcPr>
          <w:p w14:paraId="7CF36E2B" w14:textId="77777777" w:rsidR="0036397E" w:rsidRPr="0036397E" w:rsidRDefault="0036397E" w:rsidP="0036397E">
            <w:pPr>
              <w:jc w:val="center"/>
              <w:rPr>
                <w:rFonts w:ascii="Arial" w:hAnsi="Arial" w:cs="Arial"/>
              </w:rPr>
            </w:pPr>
            <w:r w:rsidRPr="0036397E">
              <w:rPr>
                <w:rFonts w:ascii="Arial" w:hAnsi="Arial" w:cs="Arial"/>
                <w:color w:val="000000"/>
              </w:rPr>
              <w:t xml:space="preserve">76,0 </w:t>
            </w:r>
          </w:p>
        </w:tc>
        <w:tc>
          <w:tcPr>
            <w:tcW w:w="1843" w:type="dxa"/>
            <w:vMerge/>
            <w:tcBorders>
              <w:top w:val="nil"/>
              <w:left w:val="nil"/>
              <w:bottom w:val="nil"/>
              <w:right w:val="nil"/>
            </w:tcBorders>
            <w:vAlign w:val="bottom"/>
          </w:tcPr>
          <w:p w14:paraId="21D65F82" w14:textId="77777777" w:rsidR="0036397E" w:rsidRPr="0036397E" w:rsidRDefault="0036397E" w:rsidP="0036397E">
            <w:pPr>
              <w:widowControl w:val="0"/>
              <w:pBdr>
                <w:top w:val="nil"/>
                <w:left w:val="nil"/>
                <w:bottom w:val="nil"/>
                <w:right w:val="nil"/>
                <w:between w:val="nil"/>
              </w:pBdr>
              <w:rPr>
                <w:rFonts w:ascii="Arial" w:hAnsi="Arial" w:cs="Arial"/>
              </w:rPr>
            </w:pPr>
          </w:p>
        </w:tc>
      </w:tr>
      <w:tr w:rsidR="0036397E" w:rsidRPr="0036397E" w14:paraId="76912473" w14:textId="77777777" w:rsidTr="00F81591">
        <w:trPr>
          <w:trHeight w:val="270"/>
        </w:trPr>
        <w:tc>
          <w:tcPr>
            <w:tcW w:w="2115" w:type="dxa"/>
            <w:tcBorders>
              <w:top w:val="nil"/>
              <w:left w:val="nil"/>
              <w:bottom w:val="nil"/>
              <w:right w:val="nil"/>
            </w:tcBorders>
          </w:tcPr>
          <w:p w14:paraId="76B7EEAD" w14:textId="77777777" w:rsidR="0036397E" w:rsidRPr="0036397E" w:rsidRDefault="0036397E" w:rsidP="0036397E">
            <w:pPr>
              <w:rPr>
                <w:rFonts w:ascii="Arial" w:hAnsi="Arial" w:cs="Arial"/>
              </w:rPr>
            </w:pPr>
            <w:r w:rsidRPr="0036397E">
              <w:rPr>
                <w:rFonts w:ascii="Arial" w:hAnsi="Arial" w:cs="Arial"/>
              </w:rPr>
              <w:t xml:space="preserve">Death  </w:t>
            </w:r>
          </w:p>
        </w:tc>
        <w:tc>
          <w:tcPr>
            <w:tcW w:w="1245" w:type="dxa"/>
            <w:tcBorders>
              <w:top w:val="nil"/>
              <w:left w:val="nil"/>
              <w:bottom w:val="nil"/>
              <w:right w:val="nil"/>
            </w:tcBorders>
            <w:vAlign w:val="bottom"/>
          </w:tcPr>
          <w:p w14:paraId="094C5438" w14:textId="77777777" w:rsidR="0036397E" w:rsidRPr="0036397E" w:rsidRDefault="0036397E" w:rsidP="0036397E">
            <w:pPr>
              <w:jc w:val="center"/>
              <w:rPr>
                <w:rFonts w:ascii="Arial" w:hAnsi="Arial" w:cs="Arial"/>
              </w:rPr>
            </w:pPr>
            <w:r w:rsidRPr="0036397E">
              <w:rPr>
                <w:rFonts w:ascii="Arial" w:hAnsi="Arial" w:cs="Arial"/>
                <w:color w:val="000000"/>
              </w:rPr>
              <w:t xml:space="preserve">10,0 </w:t>
            </w:r>
          </w:p>
        </w:tc>
        <w:tc>
          <w:tcPr>
            <w:tcW w:w="1548" w:type="dxa"/>
            <w:tcBorders>
              <w:top w:val="nil"/>
              <w:left w:val="nil"/>
              <w:bottom w:val="nil"/>
              <w:right w:val="nil"/>
            </w:tcBorders>
            <w:vAlign w:val="bottom"/>
          </w:tcPr>
          <w:p w14:paraId="50479513" w14:textId="77777777" w:rsidR="0036397E" w:rsidRPr="0036397E" w:rsidRDefault="0036397E" w:rsidP="0036397E">
            <w:pPr>
              <w:jc w:val="center"/>
              <w:rPr>
                <w:rFonts w:ascii="Arial" w:hAnsi="Arial" w:cs="Arial"/>
              </w:rPr>
            </w:pPr>
            <w:r w:rsidRPr="0036397E">
              <w:rPr>
                <w:rFonts w:ascii="Arial" w:hAnsi="Arial" w:cs="Arial"/>
                <w:color w:val="000000"/>
              </w:rPr>
              <w:t xml:space="preserve">1,0 </w:t>
            </w:r>
          </w:p>
        </w:tc>
        <w:tc>
          <w:tcPr>
            <w:tcW w:w="1701" w:type="dxa"/>
            <w:tcBorders>
              <w:top w:val="nil"/>
              <w:left w:val="nil"/>
              <w:bottom w:val="nil"/>
              <w:right w:val="nil"/>
            </w:tcBorders>
            <w:vAlign w:val="bottom"/>
          </w:tcPr>
          <w:p w14:paraId="652EE499" w14:textId="77777777" w:rsidR="0036397E" w:rsidRPr="0036397E" w:rsidRDefault="0036397E" w:rsidP="0036397E">
            <w:pPr>
              <w:jc w:val="center"/>
              <w:rPr>
                <w:rFonts w:ascii="Arial" w:hAnsi="Arial" w:cs="Arial"/>
              </w:rPr>
            </w:pPr>
            <w:r w:rsidRPr="0036397E">
              <w:rPr>
                <w:rFonts w:ascii="Arial" w:hAnsi="Arial" w:cs="Arial"/>
                <w:color w:val="000000"/>
              </w:rPr>
              <w:t xml:space="preserve">42,0 </w:t>
            </w:r>
          </w:p>
        </w:tc>
        <w:tc>
          <w:tcPr>
            <w:tcW w:w="1843" w:type="dxa"/>
            <w:vMerge/>
            <w:tcBorders>
              <w:top w:val="nil"/>
              <w:left w:val="nil"/>
              <w:bottom w:val="nil"/>
              <w:right w:val="nil"/>
            </w:tcBorders>
            <w:vAlign w:val="bottom"/>
          </w:tcPr>
          <w:p w14:paraId="5304B499" w14:textId="77777777" w:rsidR="0036397E" w:rsidRPr="0036397E" w:rsidRDefault="0036397E" w:rsidP="0036397E">
            <w:pPr>
              <w:widowControl w:val="0"/>
              <w:pBdr>
                <w:top w:val="nil"/>
                <w:left w:val="nil"/>
                <w:bottom w:val="nil"/>
                <w:right w:val="nil"/>
                <w:between w:val="nil"/>
              </w:pBdr>
              <w:rPr>
                <w:rFonts w:ascii="Arial" w:hAnsi="Arial" w:cs="Arial"/>
              </w:rPr>
            </w:pPr>
          </w:p>
        </w:tc>
      </w:tr>
      <w:tr w:rsidR="0036397E" w:rsidRPr="0036397E" w14:paraId="227B0ECD" w14:textId="77777777" w:rsidTr="00F81591">
        <w:trPr>
          <w:trHeight w:val="270"/>
        </w:trPr>
        <w:tc>
          <w:tcPr>
            <w:tcW w:w="2115" w:type="dxa"/>
            <w:tcBorders>
              <w:top w:val="nil"/>
              <w:left w:val="nil"/>
              <w:bottom w:val="nil"/>
              <w:right w:val="nil"/>
            </w:tcBorders>
          </w:tcPr>
          <w:p w14:paraId="39304BEF" w14:textId="77777777" w:rsidR="0036397E" w:rsidRPr="0036397E" w:rsidRDefault="0036397E" w:rsidP="0036397E">
            <w:pPr>
              <w:rPr>
                <w:rFonts w:ascii="Arial" w:hAnsi="Arial" w:cs="Arial"/>
              </w:rPr>
            </w:pPr>
            <w:r w:rsidRPr="0036397E">
              <w:rPr>
                <w:rFonts w:ascii="Arial" w:hAnsi="Arial" w:cs="Arial"/>
              </w:rPr>
              <w:t xml:space="preserve">Transfer or evasion </w:t>
            </w:r>
          </w:p>
        </w:tc>
        <w:tc>
          <w:tcPr>
            <w:tcW w:w="1245" w:type="dxa"/>
            <w:tcBorders>
              <w:top w:val="nil"/>
              <w:left w:val="nil"/>
              <w:bottom w:val="nil"/>
              <w:right w:val="nil"/>
            </w:tcBorders>
            <w:vAlign w:val="bottom"/>
          </w:tcPr>
          <w:p w14:paraId="0CDDE8EB" w14:textId="77777777" w:rsidR="0036397E" w:rsidRPr="0036397E" w:rsidRDefault="0036397E" w:rsidP="0036397E">
            <w:pPr>
              <w:jc w:val="center"/>
              <w:rPr>
                <w:rFonts w:ascii="Arial" w:hAnsi="Arial" w:cs="Arial"/>
              </w:rPr>
            </w:pPr>
            <w:r w:rsidRPr="0036397E">
              <w:rPr>
                <w:rFonts w:ascii="Arial" w:hAnsi="Arial" w:cs="Arial"/>
                <w:color w:val="000000"/>
              </w:rPr>
              <w:t xml:space="preserve">6,5 </w:t>
            </w:r>
          </w:p>
        </w:tc>
        <w:tc>
          <w:tcPr>
            <w:tcW w:w="1548" w:type="dxa"/>
            <w:tcBorders>
              <w:top w:val="nil"/>
              <w:left w:val="nil"/>
              <w:bottom w:val="nil"/>
              <w:right w:val="nil"/>
            </w:tcBorders>
            <w:vAlign w:val="bottom"/>
          </w:tcPr>
          <w:p w14:paraId="383D31B9" w14:textId="77777777" w:rsidR="0036397E" w:rsidRPr="0036397E" w:rsidRDefault="0036397E" w:rsidP="0036397E">
            <w:pPr>
              <w:jc w:val="center"/>
              <w:rPr>
                <w:rFonts w:ascii="Arial" w:hAnsi="Arial" w:cs="Arial"/>
              </w:rPr>
            </w:pPr>
            <w:r w:rsidRPr="0036397E">
              <w:rPr>
                <w:rFonts w:ascii="Arial" w:hAnsi="Arial" w:cs="Arial"/>
                <w:color w:val="000000"/>
              </w:rPr>
              <w:t xml:space="preserve">0,0 </w:t>
            </w:r>
          </w:p>
        </w:tc>
        <w:tc>
          <w:tcPr>
            <w:tcW w:w="1701" w:type="dxa"/>
            <w:tcBorders>
              <w:top w:val="nil"/>
              <w:left w:val="nil"/>
              <w:bottom w:val="nil"/>
              <w:right w:val="nil"/>
            </w:tcBorders>
            <w:vAlign w:val="bottom"/>
          </w:tcPr>
          <w:p w14:paraId="1EA96272" w14:textId="77777777" w:rsidR="0036397E" w:rsidRPr="0036397E" w:rsidRDefault="0036397E" w:rsidP="0036397E">
            <w:pPr>
              <w:jc w:val="center"/>
              <w:rPr>
                <w:rFonts w:ascii="Arial" w:hAnsi="Arial" w:cs="Arial"/>
              </w:rPr>
            </w:pPr>
            <w:r w:rsidRPr="0036397E">
              <w:rPr>
                <w:rFonts w:ascii="Arial" w:hAnsi="Arial" w:cs="Arial"/>
                <w:color w:val="000000"/>
              </w:rPr>
              <w:t xml:space="preserve">35,0 </w:t>
            </w:r>
          </w:p>
        </w:tc>
        <w:tc>
          <w:tcPr>
            <w:tcW w:w="1843" w:type="dxa"/>
            <w:vMerge/>
            <w:tcBorders>
              <w:top w:val="nil"/>
              <w:left w:val="nil"/>
              <w:bottom w:val="nil"/>
              <w:right w:val="nil"/>
            </w:tcBorders>
            <w:vAlign w:val="bottom"/>
          </w:tcPr>
          <w:p w14:paraId="633279E4" w14:textId="77777777" w:rsidR="0036397E" w:rsidRPr="0036397E" w:rsidRDefault="0036397E" w:rsidP="0036397E">
            <w:pPr>
              <w:widowControl w:val="0"/>
              <w:pBdr>
                <w:top w:val="nil"/>
                <w:left w:val="nil"/>
                <w:bottom w:val="nil"/>
                <w:right w:val="nil"/>
                <w:between w:val="nil"/>
              </w:pBdr>
              <w:rPr>
                <w:rFonts w:ascii="Arial" w:hAnsi="Arial" w:cs="Arial"/>
              </w:rPr>
            </w:pPr>
          </w:p>
        </w:tc>
      </w:tr>
      <w:tr w:rsidR="0036397E" w:rsidRPr="0036397E" w14:paraId="04666D22" w14:textId="77777777" w:rsidTr="00F81591">
        <w:trPr>
          <w:trHeight w:val="270"/>
        </w:trPr>
        <w:tc>
          <w:tcPr>
            <w:tcW w:w="2115" w:type="dxa"/>
            <w:tcBorders>
              <w:top w:val="nil"/>
              <w:left w:val="nil"/>
              <w:bottom w:val="nil"/>
              <w:right w:val="nil"/>
            </w:tcBorders>
          </w:tcPr>
          <w:p w14:paraId="65F38252" w14:textId="77777777" w:rsidR="0036397E" w:rsidRPr="0036397E" w:rsidRDefault="0036397E" w:rsidP="0036397E">
            <w:pPr>
              <w:rPr>
                <w:rFonts w:ascii="Arial" w:hAnsi="Arial" w:cs="Arial"/>
                <w:b/>
              </w:rPr>
            </w:pPr>
            <w:r w:rsidRPr="0036397E">
              <w:rPr>
                <w:rFonts w:ascii="Arial" w:hAnsi="Arial" w:cs="Arial"/>
                <w:b/>
              </w:rPr>
              <w:t xml:space="preserve">Saturation (%) </w:t>
            </w:r>
          </w:p>
        </w:tc>
        <w:tc>
          <w:tcPr>
            <w:tcW w:w="1245" w:type="dxa"/>
            <w:tcBorders>
              <w:top w:val="nil"/>
              <w:left w:val="nil"/>
              <w:bottom w:val="nil"/>
              <w:right w:val="nil"/>
            </w:tcBorders>
            <w:vAlign w:val="bottom"/>
          </w:tcPr>
          <w:p w14:paraId="49DB784D" w14:textId="77777777" w:rsidR="0036397E" w:rsidRPr="0036397E" w:rsidRDefault="0036397E" w:rsidP="0036397E">
            <w:pPr>
              <w:jc w:val="center"/>
              <w:rPr>
                <w:rFonts w:ascii="Arial" w:hAnsi="Arial" w:cs="Arial"/>
              </w:rPr>
            </w:pPr>
            <w:r w:rsidRPr="0036397E">
              <w:rPr>
                <w:rFonts w:ascii="Arial" w:hAnsi="Arial" w:cs="Arial"/>
                <w:b/>
                <w:color w:val="000000"/>
              </w:rPr>
              <w:t xml:space="preserve"> </w:t>
            </w:r>
            <w:r w:rsidRPr="0036397E">
              <w:rPr>
                <w:rFonts w:ascii="Arial" w:hAnsi="Arial" w:cs="Arial"/>
                <w:color w:val="000000"/>
              </w:rPr>
              <w:t xml:space="preserve"> </w:t>
            </w:r>
          </w:p>
        </w:tc>
        <w:tc>
          <w:tcPr>
            <w:tcW w:w="1548" w:type="dxa"/>
            <w:tcBorders>
              <w:top w:val="nil"/>
              <w:left w:val="nil"/>
              <w:bottom w:val="nil"/>
              <w:right w:val="nil"/>
            </w:tcBorders>
            <w:vAlign w:val="bottom"/>
          </w:tcPr>
          <w:p w14:paraId="03A30D20" w14:textId="77777777" w:rsidR="0036397E" w:rsidRPr="0036397E" w:rsidRDefault="0036397E" w:rsidP="0036397E">
            <w:pPr>
              <w:jc w:val="center"/>
              <w:rPr>
                <w:rFonts w:ascii="Arial" w:hAnsi="Arial" w:cs="Arial"/>
              </w:rPr>
            </w:pPr>
            <w:r w:rsidRPr="0036397E">
              <w:rPr>
                <w:rFonts w:ascii="Arial" w:hAnsi="Arial" w:cs="Arial"/>
                <w:b/>
                <w:color w:val="000000"/>
              </w:rPr>
              <w:t xml:space="preserve"> </w:t>
            </w:r>
            <w:r w:rsidRPr="0036397E">
              <w:rPr>
                <w:rFonts w:ascii="Arial" w:hAnsi="Arial" w:cs="Arial"/>
                <w:color w:val="000000"/>
              </w:rPr>
              <w:t xml:space="preserve"> </w:t>
            </w:r>
          </w:p>
        </w:tc>
        <w:tc>
          <w:tcPr>
            <w:tcW w:w="1701" w:type="dxa"/>
            <w:tcBorders>
              <w:top w:val="nil"/>
              <w:left w:val="nil"/>
              <w:bottom w:val="nil"/>
              <w:right w:val="nil"/>
            </w:tcBorders>
            <w:vAlign w:val="bottom"/>
          </w:tcPr>
          <w:p w14:paraId="213B2E5D" w14:textId="77777777" w:rsidR="0036397E" w:rsidRPr="0036397E" w:rsidRDefault="0036397E" w:rsidP="0036397E">
            <w:pPr>
              <w:jc w:val="center"/>
              <w:rPr>
                <w:rFonts w:ascii="Arial" w:hAnsi="Arial" w:cs="Arial"/>
              </w:rPr>
            </w:pPr>
            <w:r w:rsidRPr="0036397E">
              <w:rPr>
                <w:rFonts w:ascii="Arial" w:hAnsi="Arial" w:cs="Arial"/>
                <w:b/>
                <w:color w:val="000000"/>
              </w:rPr>
              <w:t xml:space="preserve"> </w:t>
            </w:r>
            <w:r w:rsidRPr="0036397E">
              <w:rPr>
                <w:rFonts w:ascii="Arial" w:hAnsi="Arial" w:cs="Arial"/>
                <w:color w:val="000000"/>
              </w:rPr>
              <w:t xml:space="preserve"> </w:t>
            </w:r>
          </w:p>
        </w:tc>
        <w:tc>
          <w:tcPr>
            <w:tcW w:w="1843" w:type="dxa"/>
            <w:vMerge w:val="restart"/>
            <w:tcBorders>
              <w:top w:val="nil"/>
              <w:left w:val="nil"/>
              <w:bottom w:val="nil"/>
              <w:right w:val="nil"/>
            </w:tcBorders>
            <w:vAlign w:val="bottom"/>
          </w:tcPr>
          <w:p w14:paraId="766E5FED" w14:textId="77777777" w:rsidR="0036397E" w:rsidRPr="0036397E" w:rsidRDefault="0036397E" w:rsidP="0036397E">
            <w:pPr>
              <w:jc w:val="center"/>
              <w:rPr>
                <w:rFonts w:ascii="Arial" w:hAnsi="Arial" w:cs="Arial"/>
              </w:rPr>
            </w:pPr>
            <w:r w:rsidRPr="0036397E">
              <w:rPr>
                <w:rFonts w:ascii="Arial" w:hAnsi="Arial" w:cs="Arial"/>
                <w:color w:val="000000"/>
              </w:rPr>
              <w:t xml:space="preserve"> </w:t>
            </w:r>
          </w:p>
          <w:p w14:paraId="03630581" w14:textId="77777777" w:rsidR="0036397E" w:rsidRPr="0036397E" w:rsidRDefault="0036397E" w:rsidP="0036397E">
            <w:pPr>
              <w:jc w:val="center"/>
              <w:rPr>
                <w:rFonts w:ascii="Arial" w:hAnsi="Arial" w:cs="Arial"/>
              </w:rPr>
            </w:pPr>
            <w:r w:rsidRPr="0036397E">
              <w:rPr>
                <w:rFonts w:ascii="Arial" w:hAnsi="Arial" w:cs="Arial"/>
                <w:color w:val="000000"/>
              </w:rPr>
              <w:t xml:space="preserve">U= 0,021;  </w:t>
            </w:r>
          </w:p>
          <w:p w14:paraId="08D6E9D4" w14:textId="77777777" w:rsidR="0036397E" w:rsidRPr="0036397E" w:rsidRDefault="0036397E" w:rsidP="0036397E">
            <w:pPr>
              <w:jc w:val="center"/>
              <w:rPr>
                <w:rFonts w:ascii="Arial" w:hAnsi="Arial" w:cs="Arial"/>
              </w:rPr>
            </w:pPr>
            <w:r w:rsidRPr="0036397E">
              <w:rPr>
                <w:rFonts w:ascii="Arial" w:hAnsi="Arial" w:cs="Arial"/>
                <w:color w:val="000000"/>
              </w:rPr>
              <w:t xml:space="preserve">p= 0,021* </w:t>
            </w:r>
          </w:p>
          <w:p w14:paraId="37D513D4" w14:textId="77777777" w:rsidR="0036397E" w:rsidRPr="0036397E" w:rsidRDefault="0036397E" w:rsidP="0036397E">
            <w:pPr>
              <w:jc w:val="center"/>
              <w:rPr>
                <w:rFonts w:ascii="Arial" w:hAnsi="Arial" w:cs="Arial"/>
              </w:rPr>
            </w:pPr>
            <w:r w:rsidRPr="0036397E">
              <w:rPr>
                <w:rFonts w:ascii="Arial" w:hAnsi="Arial" w:cs="Arial"/>
                <w:color w:val="000000"/>
              </w:rPr>
              <w:t xml:space="preserve"> </w:t>
            </w:r>
          </w:p>
        </w:tc>
      </w:tr>
      <w:tr w:rsidR="0036397E" w:rsidRPr="0036397E" w14:paraId="292C2B72" w14:textId="77777777" w:rsidTr="00F81591">
        <w:trPr>
          <w:trHeight w:val="270"/>
        </w:trPr>
        <w:tc>
          <w:tcPr>
            <w:tcW w:w="2115" w:type="dxa"/>
            <w:tcBorders>
              <w:top w:val="nil"/>
              <w:left w:val="nil"/>
              <w:bottom w:val="nil"/>
              <w:right w:val="nil"/>
            </w:tcBorders>
          </w:tcPr>
          <w:p w14:paraId="68755EE8" w14:textId="77777777" w:rsidR="0036397E" w:rsidRPr="0036397E" w:rsidRDefault="0036397E" w:rsidP="0036397E">
            <w:pPr>
              <w:rPr>
                <w:rFonts w:ascii="Arial" w:hAnsi="Arial" w:cs="Arial"/>
              </w:rPr>
            </w:pPr>
            <w:r w:rsidRPr="0036397E">
              <w:rPr>
                <w:rFonts w:ascii="Arial" w:hAnsi="Arial" w:cs="Arial"/>
              </w:rPr>
              <w:t xml:space="preserve">Discharge </w:t>
            </w:r>
          </w:p>
        </w:tc>
        <w:tc>
          <w:tcPr>
            <w:tcW w:w="1245" w:type="dxa"/>
            <w:tcBorders>
              <w:top w:val="nil"/>
              <w:left w:val="nil"/>
              <w:bottom w:val="nil"/>
              <w:right w:val="nil"/>
            </w:tcBorders>
            <w:vAlign w:val="bottom"/>
          </w:tcPr>
          <w:p w14:paraId="79C6D4E7" w14:textId="77777777" w:rsidR="0036397E" w:rsidRPr="0036397E" w:rsidRDefault="0036397E" w:rsidP="0036397E">
            <w:pPr>
              <w:jc w:val="center"/>
              <w:rPr>
                <w:rFonts w:ascii="Arial" w:hAnsi="Arial" w:cs="Arial"/>
              </w:rPr>
            </w:pPr>
            <w:r w:rsidRPr="0036397E">
              <w:rPr>
                <w:rFonts w:ascii="Arial" w:hAnsi="Arial" w:cs="Arial"/>
                <w:color w:val="000000"/>
              </w:rPr>
              <w:t xml:space="preserve">93,0 </w:t>
            </w:r>
          </w:p>
        </w:tc>
        <w:tc>
          <w:tcPr>
            <w:tcW w:w="1548" w:type="dxa"/>
            <w:tcBorders>
              <w:top w:val="nil"/>
              <w:left w:val="nil"/>
              <w:bottom w:val="nil"/>
              <w:right w:val="nil"/>
            </w:tcBorders>
            <w:vAlign w:val="bottom"/>
          </w:tcPr>
          <w:p w14:paraId="5BE28DF7" w14:textId="77777777" w:rsidR="0036397E" w:rsidRPr="0036397E" w:rsidRDefault="0036397E" w:rsidP="0036397E">
            <w:pPr>
              <w:jc w:val="center"/>
              <w:rPr>
                <w:rFonts w:ascii="Arial" w:hAnsi="Arial" w:cs="Arial"/>
              </w:rPr>
            </w:pPr>
            <w:r w:rsidRPr="0036397E">
              <w:rPr>
                <w:rFonts w:ascii="Arial" w:hAnsi="Arial" w:cs="Arial"/>
                <w:color w:val="000000"/>
              </w:rPr>
              <w:t xml:space="preserve">82,0 </w:t>
            </w:r>
          </w:p>
        </w:tc>
        <w:tc>
          <w:tcPr>
            <w:tcW w:w="1701" w:type="dxa"/>
            <w:tcBorders>
              <w:top w:val="nil"/>
              <w:left w:val="nil"/>
              <w:bottom w:val="nil"/>
              <w:right w:val="nil"/>
            </w:tcBorders>
            <w:vAlign w:val="bottom"/>
          </w:tcPr>
          <w:p w14:paraId="1D6D13E0" w14:textId="77777777" w:rsidR="0036397E" w:rsidRPr="0036397E" w:rsidRDefault="0036397E" w:rsidP="0036397E">
            <w:pPr>
              <w:jc w:val="center"/>
              <w:rPr>
                <w:rFonts w:ascii="Arial" w:hAnsi="Arial" w:cs="Arial"/>
              </w:rPr>
            </w:pPr>
            <w:r w:rsidRPr="0036397E">
              <w:rPr>
                <w:rFonts w:ascii="Arial" w:hAnsi="Arial" w:cs="Arial"/>
                <w:color w:val="000000"/>
              </w:rPr>
              <w:t xml:space="preserve">100,0 </w:t>
            </w:r>
          </w:p>
        </w:tc>
        <w:tc>
          <w:tcPr>
            <w:tcW w:w="1843" w:type="dxa"/>
            <w:vMerge/>
            <w:tcBorders>
              <w:top w:val="nil"/>
              <w:left w:val="nil"/>
              <w:bottom w:val="nil"/>
              <w:right w:val="nil"/>
            </w:tcBorders>
            <w:vAlign w:val="bottom"/>
          </w:tcPr>
          <w:p w14:paraId="7CA0355D" w14:textId="77777777" w:rsidR="0036397E" w:rsidRPr="0036397E" w:rsidRDefault="0036397E" w:rsidP="0036397E">
            <w:pPr>
              <w:widowControl w:val="0"/>
              <w:pBdr>
                <w:top w:val="nil"/>
                <w:left w:val="nil"/>
                <w:bottom w:val="nil"/>
                <w:right w:val="nil"/>
                <w:between w:val="nil"/>
              </w:pBdr>
              <w:rPr>
                <w:rFonts w:ascii="Arial" w:hAnsi="Arial" w:cs="Arial"/>
              </w:rPr>
            </w:pPr>
          </w:p>
        </w:tc>
      </w:tr>
      <w:tr w:rsidR="0036397E" w:rsidRPr="0036397E" w14:paraId="5CC91881" w14:textId="77777777" w:rsidTr="00F81591">
        <w:trPr>
          <w:trHeight w:val="270"/>
        </w:trPr>
        <w:tc>
          <w:tcPr>
            <w:tcW w:w="2115" w:type="dxa"/>
            <w:tcBorders>
              <w:top w:val="nil"/>
              <w:left w:val="nil"/>
              <w:bottom w:val="nil"/>
              <w:right w:val="nil"/>
            </w:tcBorders>
          </w:tcPr>
          <w:p w14:paraId="1E8B753B" w14:textId="77777777" w:rsidR="0036397E" w:rsidRPr="0036397E" w:rsidRDefault="0036397E" w:rsidP="0036397E">
            <w:pPr>
              <w:rPr>
                <w:rFonts w:ascii="Arial" w:hAnsi="Arial" w:cs="Arial"/>
              </w:rPr>
            </w:pPr>
            <w:r w:rsidRPr="0036397E">
              <w:rPr>
                <w:rFonts w:ascii="Arial" w:hAnsi="Arial" w:cs="Arial"/>
              </w:rPr>
              <w:t xml:space="preserve">Death  </w:t>
            </w:r>
          </w:p>
        </w:tc>
        <w:tc>
          <w:tcPr>
            <w:tcW w:w="1245" w:type="dxa"/>
            <w:tcBorders>
              <w:top w:val="nil"/>
              <w:left w:val="nil"/>
              <w:bottom w:val="nil"/>
              <w:right w:val="nil"/>
            </w:tcBorders>
            <w:vAlign w:val="bottom"/>
          </w:tcPr>
          <w:p w14:paraId="671D107A" w14:textId="77777777" w:rsidR="0036397E" w:rsidRPr="0036397E" w:rsidRDefault="0036397E" w:rsidP="0036397E">
            <w:pPr>
              <w:jc w:val="center"/>
              <w:rPr>
                <w:rFonts w:ascii="Arial" w:hAnsi="Arial" w:cs="Arial"/>
              </w:rPr>
            </w:pPr>
            <w:r w:rsidRPr="0036397E">
              <w:rPr>
                <w:rFonts w:ascii="Arial" w:hAnsi="Arial" w:cs="Arial"/>
                <w:color w:val="000000"/>
              </w:rPr>
              <w:t xml:space="preserve">91,0 </w:t>
            </w:r>
          </w:p>
        </w:tc>
        <w:tc>
          <w:tcPr>
            <w:tcW w:w="1548" w:type="dxa"/>
            <w:tcBorders>
              <w:top w:val="nil"/>
              <w:left w:val="nil"/>
              <w:bottom w:val="nil"/>
              <w:right w:val="nil"/>
            </w:tcBorders>
            <w:vAlign w:val="bottom"/>
          </w:tcPr>
          <w:p w14:paraId="610E136D" w14:textId="77777777" w:rsidR="0036397E" w:rsidRPr="0036397E" w:rsidRDefault="0036397E" w:rsidP="0036397E">
            <w:pPr>
              <w:jc w:val="center"/>
              <w:rPr>
                <w:rFonts w:ascii="Arial" w:hAnsi="Arial" w:cs="Arial"/>
              </w:rPr>
            </w:pPr>
            <w:r w:rsidRPr="0036397E">
              <w:rPr>
                <w:rFonts w:ascii="Arial" w:hAnsi="Arial" w:cs="Arial"/>
                <w:color w:val="000000"/>
              </w:rPr>
              <w:t xml:space="preserve">40,0 </w:t>
            </w:r>
          </w:p>
        </w:tc>
        <w:tc>
          <w:tcPr>
            <w:tcW w:w="1701" w:type="dxa"/>
            <w:tcBorders>
              <w:top w:val="nil"/>
              <w:left w:val="nil"/>
              <w:bottom w:val="nil"/>
              <w:right w:val="nil"/>
            </w:tcBorders>
            <w:vAlign w:val="bottom"/>
          </w:tcPr>
          <w:p w14:paraId="740C2725" w14:textId="77777777" w:rsidR="0036397E" w:rsidRPr="0036397E" w:rsidRDefault="0036397E" w:rsidP="0036397E">
            <w:pPr>
              <w:jc w:val="center"/>
              <w:rPr>
                <w:rFonts w:ascii="Arial" w:hAnsi="Arial" w:cs="Arial"/>
              </w:rPr>
            </w:pPr>
            <w:r w:rsidRPr="0036397E">
              <w:rPr>
                <w:rFonts w:ascii="Arial" w:hAnsi="Arial" w:cs="Arial"/>
                <w:color w:val="000000"/>
              </w:rPr>
              <w:t xml:space="preserve">100,0 </w:t>
            </w:r>
          </w:p>
        </w:tc>
        <w:tc>
          <w:tcPr>
            <w:tcW w:w="1843" w:type="dxa"/>
            <w:vMerge/>
            <w:tcBorders>
              <w:top w:val="nil"/>
              <w:left w:val="nil"/>
              <w:bottom w:val="nil"/>
              <w:right w:val="nil"/>
            </w:tcBorders>
            <w:vAlign w:val="bottom"/>
          </w:tcPr>
          <w:p w14:paraId="11469B86" w14:textId="77777777" w:rsidR="0036397E" w:rsidRPr="0036397E" w:rsidRDefault="0036397E" w:rsidP="0036397E">
            <w:pPr>
              <w:widowControl w:val="0"/>
              <w:pBdr>
                <w:top w:val="nil"/>
                <w:left w:val="nil"/>
                <w:bottom w:val="nil"/>
                <w:right w:val="nil"/>
                <w:between w:val="nil"/>
              </w:pBdr>
              <w:rPr>
                <w:rFonts w:ascii="Arial" w:hAnsi="Arial" w:cs="Arial"/>
              </w:rPr>
            </w:pPr>
          </w:p>
        </w:tc>
      </w:tr>
      <w:tr w:rsidR="0036397E" w:rsidRPr="0036397E" w14:paraId="0A1401AA" w14:textId="77777777" w:rsidTr="00F81591">
        <w:trPr>
          <w:trHeight w:val="270"/>
        </w:trPr>
        <w:tc>
          <w:tcPr>
            <w:tcW w:w="2115" w:type="dxa"/>
            <w:tcBorders>
              <w:top w:val="nil"/>
              <w:left w:val="nil"/>
              <w:bottom w:val="nil"/>
              <w:right w:val="nil"/>
            </w:tcBorders>
          </w:tcPr>
          <w:p w14:paraId="29BDE8E0" w14:textId="77777777" w:rsidR="0036397E" w:rsidRPr="0036397E" w:rsidRDefault="0036397E" w:rsidP="0036397E">
            <w:pPr>
              <w:rPr>
                <w:rFonts w:ascii="Arial" w:hAnsi="Arial" w:cs="Arial"/>
              </w:rPr>
            </w:pPr>
            <w:r w:rsidRPr="0036397E">
              <w:rPr>
                <w:rFonts w:ascii="Arial" w:hAnsi="Arial" w:cs="Arial"/>
              </w:rPr>
              <w:t xml:space="preserve">Transfer or evasion </w:t>
            </w:r>
          </w:p>
        </w:tc>
        <w:tc>
          <w:tcPr>
            <w:tcW w:w="1245" w:type="dxa"/>
            <w:tcBorders>
              <w:top w:val="nil"/>
              <w:left w:val="nil"/>
              <w:bottom w:val="nil"/>
              <w:right w:val="nil"/>
            </w:tcBorders>
            <w:vAlign w:val="bottom"/>
          </w:tcPr>
          <w:p w14:paraId="759BB54F" w14:textId="77777777" w:rsidR="0036397E" w:rsidRPr="0036397E" w:rsidRDefault="0036397E" w:rsidP="0036397E">
            <w:pPr>
              <w:jc w:val="center"/>
              <w:rPr>
                <w:rFonts w:ascii="Arial" w:hAnsi="Arial" w:cs="Arial"/>
              </w:rPr>
            </w:pPr>
            <w:r w:rsidRPr="0036397E">
              <w:rPr>
                <w:rFonts w:ascii="Arial" w:hAnsi="Arial" w:cs="Arial"/>
                <w:color w:val="000000"/>
              </w:rPr>
              <w:t xml:space="preserve">92,5 </w:t>
            </w:r>
          </w:p>
        </w:tc>
        <w:tc>
          <w:tcPr>
            <w:tcW w:w="1548" w:type="dxa"/>
            <w:tcBorders>
              <w:top w:val="nil"/>
              <w:left w:val="nil"/>
              <w:bottom w:val="nil"/>
              <w:right w:val="nil"/>
            </w:tcBorders>
            <w:vAlign w:val="bottom"/>
          </w:tcPr>
          <w:p w14:paraId="71879307" w14:textId="77777777" w:rsidR="0036397E" w:rsidRPr="0036397E" w:rsidRDefault="0036397E" w:rsidP="0036397E">
            <w:pPr>
              <w:jc w:val="center"/>
              <w:rPr>
                <w:rFonts w:ascii="Arial" w:hAnsi="Arial" w:cs="Arial"/>
              </w:rPr>
            </w:pPr>
            <w:r w:rsidRPr="0036397E">
              <w:rPr>
                <w:rFonts w:ascii="Arial" w:hAnsi="Arial" w:cs="Arial"/>
                <w:color w:val="000000"/>
              </w:rPr>
              <w:t xml:space="preserve">80,0 </w:t>
            </w:r>
          </w:p>
        </w:tc>
        <w:tc>
          <w:tcPr>
            <w:tcW w:w="1701" w:type="dxa"/>
            <w:tcBorders>
              <w:top w:val="nil"/>
              <w:left w:val="nil"/>
              <w:bottom w:val="nil"/>
              <w:right w:val="nil"/>
            </w:tcBorders>
            <w:vAlign w:val="bottom"/>
          </w:tcPr>
          <w:p w14:paraId="79207325" w14:textId="77777777" w:rsidR="0036397E" w:rsidRPr="0036397E" w:rsidRDefault="0036397E" w:rsidP="0036397E">
            <w:pPr>
              <w:jc w:val="center"/>
              <w:rPr>
                <w:rFonts w:ascii="Arial" w:hAnsi="Arial" w:cs="Arial"/>
              </w:rPr>
            </w:pPr>
            <w:r w:rsidRPr="0036397E">
              <w:rPr>
                <w:rFonts w:ascii="Arial" w:hAnsi="Arial" w:cs="Arial"/>
                <w:color w:val="000000"/>
              </w:rPr>
              <w:t xml:space="preserve">98,0 </w:t>
            </w:r>
          </w:p>
        </w:tc>
        <w:tc>
          <w:tcPr>
            <w:tcW w:w="1843" w:type="dxa"/>
            <w:vMerge/>
            <w:tcBorders>
              <w:top w:val="nil"/>
              <w:left w:val="nil"/>
              <w:bottom w:val="nil"/>
              <w:right w:val="nil"/>
            </w:tcBorders>
            <w:vAlign w:val="bottom"/>
          </w:tcPr>
          <w:p w14:paraId="6CEE392A" w14:textId="77777777" w:rsidR="0036397E" w:rsidRPr="0036397E" w:rsidRDefault="0036397E" w:rsidP="0036397E">
            <w:pPr>
              <w:widowControl w:val="0"/>
              <w:pBdr>
                <w:top w:val="nil"/>
                <w:left w:val="nil"/>
                <w:bottom w:val="nil"/>
                <w:right w:val="nil"/>
                <w:between w:val="nil"/>
              </w:pBdr>
              <w:rPr>
                <w:rFonts w:ascii="Arial" w:hAnsi="Arial" w:cs="Arial"/>
              </w:rPr>
            </w:pPr>
          </w:p>
        </w:tc>
      </w:tr>
      <w:tr w:rsidR="0036397E" w:rsidRPr="0036397E" w14:paraId="3268D9CF" w14:textId="77777777" w:rsidTr="00F81591">
        <w:trPr>
          <w:trHeight w:val="300"/>
        </w:trPr>
        <w:tc>
          <w:tcPr>
            <w:tcW w:w="2115" w:type="dxa"/>
            <w:tcBorders>
              <w:top w:val="nil"/>
              <w:left w:val="nil"/>
              <w:bottom w:val="nil"/>
              <w:right w:val="nil"/>
            </w:tcBorders>
          </w:tcPr>
          <w:p w14:paraId="3C907E8C" w14:textId="77777777" w:rsidR="0036397E" w:rsidRPr="0036397E" w:rsidRDefault="0036397E" w:rsidP="0036397E">
            <w:pPr>
              <w:rPr>
                <w:rFonts w:ascii="Arial" w:hAnsi="Arial" w:cs="Arial"/>
                <w:b/>
              </w:rPr>
            </w:pPr>
            <w:r w:rsidRPr="0036397E">
              <w:rPr>
                <w:rFonts w:ascii="Arial" w:hAnsi="Arial" w:cs="Arial"/>
                <w:b/>
              </w:rPr>
              <w:t xml:space="preserve">Orotracheal intubation time (days) </w:t>
            </w:r>
          </w:p>
        </w:tc>
        <w:tc>
          <w:tcPr>
            <w:tcW w:w="1245" w:type="dxa"/>
            <w:tcBorders>
              <w:top w:val="nil"/>
              <w:left w:val="nil"/>
              <w:bottom w:val="nil"/>
              <w:right w:val="nil"/>
            </w:tcBorders>
            <w:vAlign w:val="bottom"/>
          </w:tcPr>
          <w:p w14:paraId="0E5385A6" w14:textId="77777777" w:rsidR="0036397E" w:rsidRPr="0036397E" w:rsidRDefault="0036397E" w:rsidP="0036397E">
            <w:pPr>
              <w:jc w:val="center"/>
              <w:rPr>
                <w:rFonts w:ascii="Arial" w:hAnsi="Arial" w:cs="Arial"/>
              </w:rPr>
            </w:pPr>
            <w:r w:rsidRPr="0036397E">
              <w:rPr>
                <w:rFonts w:ascii="Arial" w:hAnsi="Arial" w:cs="Arial"/>
                <w:b/>
                <w:color w:val="000000"/>
              </w:rPr>
              <w:t xml:space="preserve"> </w:t>
            </w:r>
            <w:r w:rsidRPr="0036397E">
              <w:rPr>
                <w:rFonts w:ascii="Arial" w:hAnsi="Arial" w:cs="Arial"/>
                <w:color w:val="000000"/>
              </w:rPr>
              <w:t xml:space="preserve"> </w:t>
            </w:r>
          </w:p>
        </w:tc>
        <w:tc>
          <w:tcPr>
            <w:tcW w:w="1548" w:type="dxa"/>
            <w:tcBorders>
              <w:top w:val="nil"/>
              <w:left w:val="nil"/>
              <w:bottom w:val="nil"/>
              <w:right w:val="nil"/>
            </w:tcBorders>
            <w:vAlign w:val="bottom"/>
          </w:tcPr>
          <w:p w14:paraId="353ADB0A" w14:textId="77777777" w:rsidR="0036397E" w:rsidRPr="0036397E" w:rsidRDefault="0036397E" w:rsidP="0036397E">
            <w:pPr>
              <w:jc w:val="center"/>
              <w:rPr>
                <w:rFonts w:ascii="Arial" w:hAnsi="Arial" w:cs="Arial"/>
              </w:rPr>
            </w:pPr>
            <w:r w:rsidRPr="0036397E">
              <w:rPr>
                <w:rFonts w:ascii="Arial" w:hAnsi="Arial" w:cs="Arial"/>
                <w:b/>
                <w:color w:val="000000"/>
              </w:rPr>
              <w:t xml:space="preserve"> </w:t>
            </w:r>
            <w:r w:rsidRPr="0036397E">
              <w:rPr>
                <w:rFonts w:ascii="Arial" w:hAnsi="Arial" w:cs="Arial"/>
                <w:color w:val="000000"/>
              </w:rPr>
              <w:t xml:space="preserve"> </w:t>
            </w:r>
          </w:p>
        </w:tc>
        <w:tc>
          <w:tcPr>
            <w:tcW w:w="1701" w:type="dxa"/>
            <w:tcBorders>
              <w:top w:val="nil"/>
              <w:left w:val="nil"/>
              <w:bottom w:val="nil"/>
              <w:right w:val="nil"/>
            </w:tcBorders>
            <w:vAlign w:val="bottom"/>
          </w:tcPr>
          <w:p w14:paraId="2DF1EF24" w14:textId="77777777" w:rsidR="0036397E" w:rsidRPr="0036397E" w:rsidRDefault="0036397E" w:rsidP="0036397E">
            <w:pPr>
              <w:jc w:val="center"/>
              <w:rPr>
                <w:rFonts w:ascii="Arial" w:hAnsi="Arial" w:cs="Arial"/>
              </w:rPr>
            </w:pPr>
            <w:r w:rsidRPr="0036397E">
              <w:rPr>
                <w:rFonts w:ascii="Arial" w:hAnsi="Arial" w:cs="Arial"/>
                <w:b/>
                <w:color w:val="000000"/>
              </w:rPr>
              <w:t xml:space="preserve"> </w:t>
            </w:r>
            <w:r w:rsidRPr="0036397E">
              <w:rPr>
                <w:rFonts w:ascii="Arial" w:hAnsi="Arial" w:cs="Arial"/>
                <w:color w:val="000000"/>
              </w:rPr>
              <w:t xml:space="preserve"> </w:t>
            </w:r>
          </w:p>
        </w:tc>
        <w:tc>
          <w:tcPr>
            <w:tcW w:w="1843" w:type="dxa"/>
            <w:vMerge w:val="restart"/>
            <w:tcBorders>
              <w:top w:val="nil"/>
              <w:left w:val="nil"/>
              <w:bottom w:val="single" w:sz="12" w:space="0" w:color="000000"/>
              <w:right w:val="nil"/>
            </w:tcBorders>
            <w:vAlign w:val="bottom"/>
          </w:tcPr>
          <w:p w14:paraId="3570101F" w14:textId="77777777" w:rsidR="0036397E" w:rsidRPr="0036397E" w:rsidRDefault="0036397E" w:rsidP="0036397E">
            <w:pPr>
              <w:jc w:val="center"/>
              <w:rPr>
                <w:rFonts w:ascii="Arial" w:hAnsi="Arial" w:cs="Arial"/>
              </w:rPr>
            </w:pPr>
            <w:r w:rsidRPr="0036397E">
              <w:rPr>
                <w:rFonts w:ascii="Arial" w:hAnsi="Arial" w:cs="Arial"/>
                <w:color w:val="000000"/>
              </w:rPr>
              <w:t xml:space="preserve"> </w:t>
            </w:r>
          </w:p>
          <w:p w14:paraId="27273926" w14:textId="77777777" w:rsidR="0036397E" w:rsidRPr="0036397E" w:rsidRDefault="0036397E" w:rsidP="0036397E">
            <w:pPr>
              <w:jc w:val="center"/>
              <w:rPr>
                <w:rFonts w:ascii="Arial" w:hAnsi="Arial" w:cs="Arial"/>
              </w:rPr>
            </w:pPr>
            <w:r w:rsidRPr="0036397E">
              <w:rPr>
                <w:rFonts w:ascii="Arial" w:hAnsi="Arial" w:cs="Arial"/>
                <w:color w:val="000000"/>
              </w:rPr>
              <w:t xml:space="preserve">U= 0,000;  </w:t>
            </w:r>
          </w:p>
          <w:p w14:paraId="26C83003" w14:textId="77777777" w:rsidR="0036397E" w:rsidRPr="0036397E" w:rsidRDefault="0036397E" w:rsidP="0036397E">
            <w:pPr>
              <w:jc w:val="center"/>
              <w:rPr>
                <w:rFonts w:ascii="Arial" w:hAnsi="Arial" w:cs="Arial"/>
                <w:color w:val="000000"/>
              </w:rPr>
            </w:pPr>
            <w:r w:rsidRPr="0036397E">
              <w:rPr>
                <w:rFonts w:ascii="Arial" w:hAnsi="Arial" w:cs="Arial"/>
                <w:color w:val="000000"/>
              </w:rPr>
              <w:t xml:space="preserve">p= 0,000* </w:t>
            </w:r>
          </w:p>
          <w:p w14:paraId="68E6A852" w14:textId="77777777" w:rsidR="0036397E" w:rsidRPr="0036397E" w:rsidRDefault="0036397E" w:rsidP="0036397E">
            <w:pPr>
              <w:jc w:val="center"/>
              <w:rPr>
                <w:rFonts w:ascii="Arial" w:hAnsi="Arial" w:cs="Arial"/>
              </w:rPr>
            </w:pPr>
            <w:r w:rsidRPr="0036397E">
              <w:rPr>
                <w:rFonts w:ascii="Arial" w:hAnsi="Arial" w:cs="Arial"/>
                <w:color w:val="000000"/>
              </w:rPr>
              <w:t xml:space="preserve"> </w:t>
            </w:r>
          </w:p>
          <w:p w14:paraId="73D44BB2" w14:textId="77777777" w:rsidR="0036397E" w:rsidRPr="0036397E" w:rsidRDefault="0036397E" w:rsidP="0036397E">
            <w:pPr>
              <w:jc w:val="center"/>
              <w:rPr>
                <w:rFonts w:ascii="Arial" w:hAnsi="Arial" w:cs="Arial"/>
              </w:rPr>
            </w:pPr>
            <w:r w:rsidRPr="0036397E">
              <w:rPr>
                <w:rFonts w:ascii="Arial" w:hAnsi="Arial" w:cs="Arial"/>
                <w:color w:val="000000"/>
              </w:rPr>
              <w:t xml:space="preserve"> </w:t>
            </w:r>
          </w:p>
        </w:tc>
      </w:tr>
      <w:tr w:rsidR="0036397E" w:rsidRPr="0036397E" w14:paraId="02E8B1ED" w14:textId="77777777" w:rsidTr="00F81591">
        <w:trPr>
          <w:trHeight w:val="300"/>
        </w:trPr>
        <w:tc>
          <w:tcPr>
            <w:tcW w:w="2115" w:type="dxa"/>
            <w:tcBorders>
              <w:top w:val="nil"/>
              <w:left w:val="nil"/>
              <w:bottom w:val="nil"/>
              <w:right w:val="nil"/>
            </w:tcBorders>
          </w:tcPr>
          <w:p w14:paraId="7B78B4A2" w14:textId="77777777" w:rsidR="0036397E" w:rsidRPr="0036397E" w:rsidRDefault="0036397E" w:rsidP="0036397E">
            <w:pPr>
              <w:rPr>
                <w:rFonts w:ascii="Arial" w:hAnsi="Arial" w:cs="Arial"/>
              </w:rPr>
            </w:pPr>
            <w:r w:rsidRPr="0036397E">
              <w:rPr>
                <w:rFonts w:ascii="Arial" w:hAnsi="Arial" w:cs="Arial"/>
              </w:rPr>
              <w:t xml:space="preserve">Discharge </w:t>
            </w:r>
          </w:p>
        </w:tc>
        <w:tc>
          <w:tcPr>
            <w:tcW w:w="1245" w:type="dxa"/>
            <w:tcBorders>
              <w:top w:val="nil"/>
              <w:left w:val="nil"/>
              <w:bottom w:val="nil"/>
              <w:right w:val="nil"/>
            </w:tcBorders>
            <w:vAlign w:val="bottom"/>
          </w:tcPr>
          <w:p w14:paraId="60B6B445" w14:textId="77777777" w:rsidR="0036397E" w:rsidRPr="0036397E" w:rsidRDefault="0036397E" w:rsidP="0036397E">
            <w:pPr>
              <w:jc w:val="center"/>
              <w:rPr>
                <w:rFonts w:ascii="Arial" w:hAnsi="Arial" w:cs="Arial"/>
              </w:rPr>
            </w:pPr>
            <w:r w:rsidRPr="0036397E">
              <w:rPr>
                <w:rFonts w:ascii="Arial" w:hAnsi="Arial" w:cs="Arial"/>
                <w:color w:val="000000"/>
              </w:rPr>
              <w:t xml:space="preserve">0,0 </w:t>
            </w:r>
          </w:p>
        </w:tc>
        <w:tc>
          <w:tcPr>
            <w:tcW w:w="1548" w:type="dxa"/>
            <w:tcBorders>
              <w:top w:val="nil"/>
              <w:left w:val="nil"/>
              <w:bottom w:val="nil"/>
              <w:right w:val="nil"/>
            </w:tcBorders>
            <w:vAlign w:val="bottom"/>
          </w:tcPr>
          <w:p w14:paraId="5C2E9A00" w14:textId="77777777" w:rsidR="0036397E" w:rsidRPr="0036397E" w:rsidRDefault="0036397E" w:rsidP="0036397E">
            <w:pPr>
              <w:jc w:val="center"/>
              <w:rPr>
                <w:rFonts w:ascii="Arial" w:hAnsi="Arial" w:cs="Arial"/>
              </w:rPr>
            </w:pPr>
            <w:r w:rsidRPr="0036397E">
              <w:rPr>
                <w:rFonts w:ascii="Arial" w:hAnsi="Arial" w:cs="Arial"/>
                <w:color w:val="000000"/>
              </w:rPr>
              <w:t xml:space="preserve">0,0 </w:t>
            </w:r>
          </w:p>
        </w:tc>
        <w:tc>
          <w:tcPr>
            <w:tcW w:w="1701" w:type="dxa"/>
            <w:tcBorders>
              <w:top w:val="nil"/>
              <w:left w:val="nil"/>
              <w:bottom w:val="nil"/>
              <w:right w:val="nil"/>
            </w:tcBorders>
            <w:vAlign w:val="bottom"/>
          </w:tcPr>
          <w:p w14:paraId="02D6D12A" w14:textId="77777777" w:rsidR="0036397E" w:rsidRPr="0036397E" w:rsidRDefault="0036397E" w:rsidP="0036397E">
            <w:pPr>
              <w:jc w:val="center"/>
              <w:rPr>
                <w:rFonts w:ascii="Arial" w:hAnsi="Arial" w:cs="Arial"/>
              </w:rPr>
            </w:pPr>
            <w:r w:rsidRPr="0036397E">
              <w:rPr>
                <w:rFonts w:ascii="Arial" w:hAnsi="Arial" w:cs="Arial"/>
                <w:color w:val="000000"/>
              </w:rPr>
              <w:t xml:space="preserve">22,0 </w:t>
            </w:r>
          </w:p>
        </w:tc>
        <w:tc>
          <w:tcPr>
            <w:tcW w:w="1843" w:type="dxa"/>
            <w:vMerge/>
            <w:tcBorders>
              <w:top w:val="nil"/>
              <w:left w:val="nil"/>
              <w:bottom w:val="single" w:sz="12" w:space="0" w:color="000000"/>
              <w:right w:val="nil"/>
            </w:tcBorders>
            <w:vAlign w:val="bottom"/>
          </w:tcPr>
          <w:p w14:paraId="0622DF99" w14:textId="77777777" w:rsidR="0036397E" w:rsidRPr="0036397E" w:rsidRDefault="0036397E" w:rsidP="0036397E">
            <w:pPr>
              <w:widowControl w:val="0"/>
              <w:pBdr>
                <w:top w:val="nil"/>
                <w:left w:val="nil"/>
                <w:bottom w:val="nil"/>
                <w:right w:val="nil"/>
                <w:between w:val="nil"/>
              </w:pBdr>
              <w:rPr>
                <w:rFonts w:ascii="Arial" w:hAnsi="Arial" w:cs="Arial"/>
              </w:rPr>
            </w:pPr>
          </w:p>
        </w:tc>
      </w:tr>
      <w:tr w:rsidR="0036397E" w:rsidRPr="0036397E" w14:paraId="0A24467A" w14:textId="77777777" w:rsidTr="00F81591">
        <w:trPr>
          <w:trHeight w:val="300"/>
        </w:trPr>
        <w:tc>
          <w:tcPr>
            <w:tcW w:w="2115" w:type="dxa"/>
            <w:tcBorders>
              <w:top w:val="nil"/>
              <w:left w:val="nil"/>
              <w:right w:val="nil"/>
            </w:tcBorders>
          </w:tcPr>
          <w:p w14:paraId="33FE8431" w14:textId="77777777" w:rsidR="0036397E" w:rsidRPr="0036397E" w:rsidRDefault="0036397E" w:rsidP="0036397E">
            <w:pPr>
              <w:rPr>
                <w:rFonts w:ascii="Arial" w:hAnsi="Arial" w:cs="Arial"/>
              </w:rPr>
            </w:pPr>
            <w:r w:rsidRPr="0036397E">
              <w:rPr>
                <w:rFonts w:ascii="Arial" w:hAnsi="Arial" w:cs="Arial"/>
              </w:rPr>
              <w:t xml:space="preserve">Death  </w:t>
            </w:r>
          </w:p>
        </w:tc>
        <w:tc>
          <w:tcPr>
            <w:tcW w:w="1245" w:type="dxa"/>
            <w:tcBorders>
              <w:top w:val="nil"/>
              <w:left w:val="nil"/>
              <w:right w:val="nil"/>
            </w:tcBorders>
            <w:vAlign w:val="bottom"/>
          </w:tcPr>
          <w:p w14:paraId="462211BD" w14:textId="77777777" w:rsidR="0036397E" w:rsidRPr="0036397E" w:rsidRDefault="0036397E" w:rsidP="0036397E">
            <w:pPr>
              <w:jc w:val="center"/>
              <w:rPr>
                <w:rFonts w:ascii="Arial" w:hAnsi="Arial" w:cs="Arial"/>
              </w:rPr>
            </w:pPr>
            <w:r w:rsidRPr="0036397E">
              <w:rPr>
                <w:rFonts w:ascii="Arial" w:hAnsi="Arial" w:cs="Arial"/>
                <w:color w:val="000000"/>
              </w:rPr>
              <w:t xml:space="preserve">5,0 </w:t>
            </w:r>
          </w:p>
        </w:tc>
        <w:tc>
          <w:tcPr>
            <w:tcW w:w="1548" w:type="dxa"/>
            <w:tcBorders>
              <w:top w:val="nil"/>
              <w:left w:val="nil"/>
              <w:right w:val="nil"/>
            </w:tcBorders>
            <w:vAlign w:val="bottom"/>
          </w:tcPr>
          <w:p w14:paraId="240F639E" w14:textId="77777777" w:rsidR="0036397E" w:rsidRPr="0036397E" w:rsidRDefault="0036397E" w:rsidP="0036397E">
            <w:pPr>
              <w:jc w:val="center"/>
              <w:rPr>
                <w:rFonts w:ascii="Arial" w:hAnsi="Arial" w:cs="Arial"/>
              </w:rPr>
            </w:pPr>
            <w:r w:rsidRPr="0036397E">
              <w:rPr>
                <w:rFonts w:ascii="Arial" w:hAnsi="Arial" w:cs="Arial"/>
                <w:color w:val="000000"/>
              </w:rPr>
              <w:t xml:space="preserve">0,0 </w:t>
            </w:r>
          </w:p>
        </w:tc>
        <w:tc>
          <w:tcPr>
            <w:tcW w:w="1701" w:type="dxa"/>
            <w:tcBorders>
              <w:top w:val="nil"/>
              <w:left w:val="nil"/>
              <w:right w:val="nil"/>
            </w:tcBorders>
            <w:vAlign w:val="bottom"/>
          </w:tcPr>
          <w:p w14:paraId="7D6D63B6" w14:textId="77777777" w:rsidR="0036397E" w:rsidRPr="0036397E" w:rsidRDefault="0036397E" w:rsidP="0036397E">
            <w:pPr>
              <w:jc w:val="center"/>
              <w:rPr>
                <w:rFonts w:ascii="Arial" w:hAnsi="Arial" w:cs="Arial"/>
              </w:rPr>
            </w:pPr>
            <w:r w:rsidRPr="0036397E">
              <w:rPr>
                <w:rFonts w:ascii="Arial" w:hAnsi="Arial" w:cs="Arial"/>
                <w:color w:val="000000"/>
              </w:rPr>
              <w:t xml:space="preserve">38,0 </w:t>
            </w:r>
          </w:p>
        </w:tc>
        <w:tc>
          <w:tcPr>
            <w:tcW w:w="1843" w:type="dxa"/>
            <w:vMerge/>
            <w:tcBorders>
              <w:top w:val="nil"/>
              <w:left w:val="nil"/>
              <w:bottom w:val="single" w:sz="12" w:space="0" w:color="000000"/>
              <w:right w:val="nil"/>
            </w:tcBorders>
            <w:vAlign w:val="bottom"/>
          </w:tcPr>
          <w:p w14:paraId="6897299C" w14:textId="77777777" w:rsidR="0036397E" w:rsidRPr="0036397E" w:rsidRDefault="0036397E" w:rsidP="0036397E">
            <w:pPr>
              <w:widowControl w:val="0"/>
              <w:pBdr>
                <w:top w:val="nil"/>
                <w:left w:val="nil"/>
                <w:bottom w:val="nil"/>
                <w:right w:val="nil"/>
                <w:between w:val="nil"/>
              </w:pBdr>
              <w:rPr>
                <w:rFonts w:ascii="Arial" w:hAnsi="Arial" w:cs="Arial"/>
              </w:rPr>
            </w:pPr>
          </w:p>
        </w:tc>
      </w:tr>
      <w:tr w:rsidR="0036397E" w:rsidRPr="0036397E" w14:paraId="4829DC5B" w14:textId="77777777" w:rsidTr="00F81591">
        <w:trPr>
          <w:trHeight w:val="300"/>
        </w:trPr>
        <w:tc>
          <w:tcPr>
            <w:tcW w:w="2115" w:type="dxa"/>
            <w:tcBorders>
              <w:top w:val="nil"/>
              <w:left w:val="nil"/>
              <w:bottom w:val="single" w:sz="12" w:space="0" w:color="000000"/>
              <w:right w:val="nil"/>
            </w:tcBorders>
          </w:tcPr>
          <w:p w14:paraId="2CB07304" w14:textId="77777777" w:rsidR="0036397E" w:rsidRPr="0036397E" w:rsidRDefault="0036397E" w:rsidP="0036397E">
            <w:pPr>
              <w:rPr>
                <w:rFonts w:ascii="Arial" w:hAnsi="Arial" w:cs="Arial"/>
              </w:rPr>
            </w:pPr>
            <w:r w:rsidRPr="0036397E">
              <w:rPr>
                <w:rFonts w:ascii="Arial" w:hAnsi="Arial" w:cs="Arial"/>
              </w:rPr>
              <w:t>Transfer or evasion</w:t>
            </w:r>
          </w:p>
        </w:tc>
        <w:tc>
          <w:tcPr>
            <w:tcW w:w="1245" w:type="dxa"/>
            <w:tcBorders>
              <w:top w:val="nil"/>
              <w:left w:val="nil"/>
              <w:bottom w:val="single" w:sz="12" w:space="0" w:color="000000"/>
              <w:right w:val="nil"/>
            </w:tcBorders>
            <w:vAlign w:val="bottom"/>
          </w:tcPr>
          <w:p w14:paraId="083918E1" w14:textId="77777777" w:rsidR="0036397E" w:rsidRPr="0036397E" w:rsidRDefault="0036397E" w:rsidP="0036397E">
            <w:pPr>
              <w:jc w:val="center"/>
              <w:rPr>
                <w:rFonts w:ascii="Arial" w:hAnsi="Arial" w:cs="Arial"/>
              </w:rPr>
            </w:pPr>
            <w:r w:rsidRPr="0036397E">
              <w:rPr>
                <w:rFonts w:ascii="Arial" w:hAnsi="Arial" w:cs="Arial"/>
                <w:color w:val="000000"/>
              </w:rPr>
              <w:t xml:space="preserve">0,0 </w:t>
            </w:r>
          </w:p>
        </w:tc>
        <w:tc>
          <w:tcPr>
            <w:tcW w:w="1548" w:type="dxa"/>
            <w:tcBorders>
              <w:top w:val="nil"/>
              <w:left w:val="nil"/>
              <w:bottom w:val="single" w:sz="12" w:space="0" w:color="000000"/>
              <w:right w:val="nil"/>
            </w:tcBorders>
            <w:vAlign w:val="bottom"/>
          </w:tcPr>
          <w:p w14:paraId="117C1A9A" w14:textId="77777777" w:rsidR="0036397E" w:rsidRPr="0036397E" w:rsidRDefault="0036397E" w:rsidP="0036397E">
            <w:pPr>
              <w:jc w:val="center"/>
              <w:rPr>
                <w:rFonts w:ascii="Arial" w:hAnsi="Arial" w:cs="Arial"/>
              </w:rPr>
            </w:pPr>
            <w:r w:rsidRPr="0036397E">
              <w:rPr>
                <w:rFonts w:ascii="Arial" w:hAnsi="Arial" w:cs="Arial"/>
                <w:color w:val="000000"/>
              </w:rPr>
              <w:t xml:space="preserve">0,0 </w:t>
            </w:r>
          </w:p>
        </w:tc>
        <w:tc>
          <w:tcPr>
            <w:tcW w:w="1701" w:type="dxa"/>
            <w:tcBorders>
              <w:top w:val="nil"/>
              <w:left w:val="nil"/>
              <w:bottom w:val="single" w:sz="12" w:space="0" w:color="000000"/>
              <w:right w:val="nil"/>
            </w:tcBorders>
            <w:vAlign w:val="bottom"/>
          </w:tcPr>
          <w:p w14:paraId="61153586" w14:textId="77777777" w:rsidR="0036397E" w:rsidRPr="0036397E" w:rsidRDefault="0036397E" w:rsidP="0036397E">
            <w:pPr>
              <w:jc w:val="center"/>
              <w:rPr>
                <w:rFonts w:ascii="Arial" w:hAnsi="Arial" w:cs="Arial"/>
              </w:rPr>
            </w:pPr>
            <w:r w:rsidRPr="0036397E">
              <w:rPr>
                <w:rFonts w:ascii="Arial" w:hAnsi="Arial" w:cs="Arial"/>
                <w:color w:val="000000"/>
              </w:rPr>
              <w:t>24,0</w:t>
            </w:r>
          </w:p>
        </w:tc>
        <w:tc>
          <w:tcPr>
            <w:tcW w:w="1843" w:type="dxa"/>
            <w:vMerge/>
            <w:tcBorders>
              <w:top w:val="nil"/>
              <w:left w:val="nil"/>
              <w:bottom w:val="single" w:sz="12" w:space="0" w:color="000000"/>
              <w:right w:val="nil"/>
            </w:tcBorders>
            <w:vAlign w:val="bottom"/>
          </w:tcPr>
          <w:p w14:paraId="05B33CA3" w14:textId="77777777" w:rsidR="0036397E" w:rsidRPr="0036397E" w:rsidRDefault="0036397E" w:rsidP="0036397E">
            <w:pPr>
              <w:widowControl w:val="0"/>
              <w:pBdr>
                <w:top w:val="nil"/>
                <w:left w:val="nil"/>
                <w:bottom w:val="nil"/>
                <w:right w:val="nil"/>
                <w:between w:val="nil"/>
              </w:pBdr>
              <w:rPr>
                <w:rFonts w:ascii="Arial" w:hAnsi="Arial" w:cs="Arial"/>
              </w:rPr>
            </w:pPr>
          </w:p>
        </w:tc>
      </w:tr>
    </w:tbl>
    <w:p w14:paraId="0C25E7F6" w14:textId="08F7702B" w:rsidR="0036397E" w:rsidRPr="0036397E" w:rsidRDefault="0036397E" w:rsidP="0036397E">
      <w:pPr>
        <w:pStyle w:val="Head1"/>
        <w:spacing w:after="0"/>
        <w:jc w:val="both"/>
        <w:rPr>
          <w:rFonts w:ascii="Arial" w:hAnsi="Arial" w:cs="Arial"/>
          <w:b w:val="0"/>
          <w:bCs/>
          <w:caps w:val="0"/>
          <w:sz w:val="20"/>
        </w:rPr>
      </w:pPr>
      <w:r w:rsidRPr="0036397E">
        <w:rPr>
          <w:rFonts w:ascii="Arial" w:hAnsi="Arial" w:cs="Arial"/>
          <w:b w:val="0"/>
          <w:bCs/>
          <w:caps w:val="0"/>
          <w:sz w:val="20"/>
        </w:rPr>
        <w:t>Source: The authors (2023).</w:t>
      </w:r>
    </w:p>
    <w:p w14:paraId="31FF7A1A" w14:textId="77777777" w:rsidR="00790ADA" w:rsidRPr="00FB3A86" w:rsidRDefault="00790ADA" w:rsidP="00441B6F">
      <w:pPr>
        <w:pStyle w:val="Head1"/>
        <w:spacing w:after="0"/>
        <w:jc w:val="both"/>
        <w:rPr>
          <w:rFonts w:ascii="Arial" w:hAnsi="Arial" w:cs="Arial"/>
        </w:rPr>
      </w:pPr>
    </w:p>
    <w:p w14:paraId="0D55D3EF" w14:textId="35E065E7" w:rsidR="0027569C" w:rsidRDefault="0027569C" w:rsidP="0027569C">
      <w:pPr>
        <w:pStyle w:val="ConcHead"/>
        <w:spacing w:after="0"/>
        <w:jc w:val="both"/>
        <w:rPr>
          <w:rFonts w:ascii="Arial" w:hAnsi="Arial" w:cs="Arial"/>
        </w:rPr>
      </w:pPr>
      <w:r>
        <w:rPr>
          <w:rFonts w:ascii="Arial" w:hAnsi="Arial" w:cs="Arial"/>
        </w:rPr>
        <w:t>4. DISCUSSION</w:t>
      </w:r>
    </w:p>
    <w:p w14:paraId="33C35E76" w14:textId="77777777" w:rsidR="0027569C" w:rsidRDefault="0027569C" w:rsidP="0027569C">
      <w:pPr>
        <w:pStyle w:val="ConcHead"/>
        <w:spacing w:after="0"/>
        <w:jc w:val="both"/>
        <w:rPr>
          <w:rFonts w:ascii="Arial" w:hAnsi="Arial" w:cs="Arial"/>
        </w:rPr>
      </w:pPr>
    </w:p>
    <w:p w14:paraId="577571E0" w14:textId="77777777" w:rsidR="0086275A" w:rsidRPr="006B0F6C" w:rsidRDefault="0086275A" w:rsidP="0086275A">
      <w:pPr>
        <w:jc w:val="both"/>
        <w:rPr>
          <w:rFonts w:ascii="Arial" w:hAnsi="Arial" w:cs="Arial"/>
          <w:color w:val="000000"/>
        </w:rPr>
      </w:pPr>
      <w:r w:rsidRPr="006B0F6C">
        <w:rPr>
          <w:rFonts w:ascii="Arial" w:hAnsi="Arial" w:cs="Arial"/>
        </w:rPr>
        <w:t xml:space="preserve">The sample´s sociodemographic profile revealed that males were the most prevalent in hospitalizations, in line with data from the Brazilian Sistema </w:t>
      </w:r>
      <w:proofErr w:type="spellStart"/>
      <w:r w:rsidRPr="006B0F6C">
        <w:rPr>
          <w:rFonts w:ascii="Arial" w:hAnsi="Arial" w:cs="Arial"/>
        </w:rPr>
        <w:t>Único</w:t>
      </w:r>
      <w:proofErr w:type="spellEnd"/>
      <w:r w:rsidRPr="006B0F6C">
        <w:rPr>
          <w:rFonts w:ascii="Arial" w:hAnsi="Arial" w:cs="Arial"/>
        </w:rPr>
        <w:t xml:space="preserve"> de </w:t>
      </w:r>
      <w:proofErr w:type="spellStart"/>
      <w:r w:rsidRPr="006B0F6C">
        <w:rPr>
          <w:rFonts w:ascii="Arial" w:hAnsi="Arial" w:cs="Arial"/>
        </w:rPr>
        <w:t>Saúde</w:t>
      </w:r>
      <w:proofErr w:type="spellEnd"/>
      <w:r w:rsidRPr="006B0F6C">
        <w:rPr>
          <w:rFonts w:ascii="Arial" w:hAnsi="Arial" w:cs="Arial"/>
        </w:rPr>
        <w:t xml:space="preserve">, in which the majority of patients hospitalized for Covid-19 were male (56.5%) </w:t>
      </w:r>
      <w:r w:rsidRPr="006B0F6C">
        <w:rPr>
          <w:rFonts w:ascii="Arial" w:hAnsi="Arial" w:cs="Arial"/>
        </w:rPr>
        <w:fldChar w:fldCharType="begin"/>
      </w:r>
      <w:r w:rsidRPr="006B0F6C">
        <w:rPr>
          <w:rFonts w:ascii="Arial" w:hAnsi="Arial" w:cs="Arial"/>
        </w:rPr>
        <w:instrText xml:space="preserve"> ADDIN ZOTERO_ITEM CSL_CITATION {"citationID":"AgHblmBz","properties":{"formattedCitation":"(Andrade et al., 2020)","plainCitation":"(Andrade et al., 2020)","noteIndex":0},"citationItems":[{"id":341,"uris":["http://zotero.org/users/16006184/items/DSAU9TXI"],"itemData":{"id":341,"type":"article-journal","abstract":"Objective To study the profile of hospitalizations due to COVID-19 in the Unified Health System (SUS) in Brazil and to identify factors associated with in-hospital mortality related to the disease. Methods Cross-sectional study, based on secondary data on COVID-19 hospitalizations that occurred in the SUS between late February through June. Patients aged 18 years or older with primary or secondary diagnoses indicative of COVID-19 were included. Bivariate analyses were performed and generalized linear mixed models (GLMM) were estimated with random effects intercept. The modeling followed three steps, including: attributes of the patients; elements of the care process; and characteristics of the hospital and place of hospitalization. Results 89,405 hospitalizations were observed, of which 24.4% resulted in death. COVID-19 patients hospitalized in the SUS were predominantly male (56.5%) with a mean age of 58.9 years. The length of stay ranged from less than 24 hours to 114 days, with a mean of 6.9 (±6.5) days. Of the total number of hospitalizations, 22.6% reported ICU use. The odds on in-hospital death were 16.8% higher among men than among women and increased with age. Black individuals had a higher likelihood of death. The behavior of the Charlson and Elixhauser indices was consistent with the hypothesis of a higher risk of death among patients with comorbidities, and obesity had an independent effect on increasing this risk. Some states, such as Amazonas and Rio de Janeiro, had a higher risk of in-hospital death from COVID-19. The odds on in-hospital death were 72.1% higher in municipalities with at least 100,000 inhabitants, though being hospitalized in the municipality of residence was a protective factor. Conclusion There was broad variation in COVID-19 in-hospital mortality in the SUS, associated with demographic and clinical factors, social inequality, and differences in the structure of services and quality of health care.","container-title":"PLOS ONE","DOI":"10.1371/journal.pone.0243126","ISSN":"1932-6203","issue":"12","journalAbbreviation":"PLOS ONE","language":"en","note":"publisher: Public Library of Science","page":"e0243126","source":"PLoS Journals","title":"COVID-19 hospitalizations in Brazil’s Unified Health System (SUS)","URL":"https://journals.plos.org/plosone/article?id=10.1371/journal.pone.0243126","volume":"15","author":[{"family":"Andrade","given":"Carla Lourenço Tavares","dropping-particle":"de"},{"family":"Pereira","given":"Claudia Cristina de Aguiar"},{"family":"Martins","given":"Mônica"},{"family":"Lima","given":"Sheyla Maria Lemos"},{"family":"Portela","given":"Margareth Crisóstomo"}],"accessed":{"date-parts":[["2025",3,5]]},"issued":{"date-parts":[["2020",12,10]]}}}],"schema":"https://github.com/citation-style-language/schema/raw/master/csl-citation.json"} </w:instrText>
      </w:r>
      <w:r w:rsidRPr="006B0F6C">
        <w:rPr>
          <w:rFonts w:ascii="Arial" w:hAnsi="Arial" w:cs="Arial"/>
        </w:rPr>
        <w:fldChar w:fldCharType="separate"/>
      </w:r>
      <w:r w:rsidRPr="006B0F6C">
        <w:rPr>
          <w:rFonts w:ascii="Arial" w:hAnsi="Arial" w:cs="Arial"/>
          <w:noProof/>
        </w:rPr>
        <w:t>(Andrade et al., 2020)</w:t>
      </w:r>
      <w:r w:rsidRPr="006B0F6C">
        <w:rPr>
          <w:rFonts w:ascii="Arial" w:hAnsi="Arial" w:cs="Arial"/>
        </w:rPr>
        <w:fldChar w:fldCharType="end"/>
      </w:r>
      <w:r w:rsidRPr="006B0F6C">
        <w:rPr>
          <w:rFonts w:ascii="Arial" w:hAnsi="Arial" w:cs="Arial"/>
        </w:rPr>
        <w:t xml:space="preserve">. The predominance of white skin color in both periods is justified by the higher prevalence of white colored people in the study region </w:t>
      </w:r>
      <w:r w:rsidRPr="006B0F6C">
        <w:rPr>
          <w:rFonts w:ascii="Arial" w:hAnsi="Arial" w:cs="Arial"/>
        </w:rPr>
        <w:fldChar w:fldCharType="begin"/>
      </w:r>
      <w:r w:rsidRPr="006B0F6C">
        <w:rPr>
          <w:rFonts w:ascii="Arial" w:hAnsi="Arial" w:cs="Arial"/>
        </w:rPr>
        <w:instrText xml:space="preserve"> ADDIN ZOTERO_ITEM CSL_CITATION {"citationID":"WBIkeEY5","properties":{"formattedCitation":"(Instituto Brasileiro de Geografia e Estat\\uc0\\u237{}stica, 2022)","plainCitation":"(Instituto Brasileiro de Geografia e Estatística, 2022)","noteIndex":0},"citationItems":[{"id":398,"uris":["http://zotero.org/users/16006184/items/TLIWQ3XP"],"itemData":{"id":398,"type":"webpage","container-title":"IBGE","title":"Desigualdades sociais por cor ou raça no Brasil. Rio de Janeiro","URL":"https://static.poder360.com.br/2022/11/IBGE-DESIGUALDADES-11.NV_.pdf.","author":[{"literal":"Instituto Brasileiro de Geografia e Estatística"}],"accessed":{"date-parts":[["2023",6,16]]},"issued":{"date-parts":[["2022"]]}}}],"schema":"https://github.com/citation-style-language/schema/raw/master/csl-citation.json"} </w:instrText>
      </w:r>
      <w:r w:rsidRPr="006B0F6C">
        <w:rPr>
          <w:rFonts w:ascii="Arial" w:hAnsi="Arial" w:cs="Arial"/>
        </w:rPr>
        <w:fldChar w:fldCharType="separate"/>
      </w:r>
      <w:r w:rsidRPr="006B0F6C">
        <w:rPr>
          <w:rFonts w:ascii="Arial" w:hAnsi="Arial" w:cs="Arial"/>
        </w:rPr>
        <w:t>(Instituto Brasileiro de Geografia e Estatística, 2022)</w:t>
      </w:r>
      <w:r w:rsidRPr="006B0F6C">
        <w:rPr>
          <w:rFonts w:ascii="Arial" w:hAnsi="Arial" w:cs="Arial"/>
        </w:rPr>
        <w:fldChar w:fldCharType="end"/>
      </w:r>
      <w:r w:rsidRPr="006B0F6C">
        <w:rPr>
          <w:rFonts w:ascii="Arial" w:hAnsi="Arial" w:cs="Arial"/>
        </w:rPr>
        <w:t>. However, there was a 10% increase in brown people in the second period compared to the first.</w:t>
      </w:r>
    </w:p>
    <w:p w14:paraId="4F9E7E0F" w14:textId="77777777" w:rsidR="0086275A" w:rsidRPr="006B0F6C" w:rsidRDefault="0086275A" w:rsidP="0086275A">
      <w:pPr>
        <w:jc w:val="both"/>
        <w:rPr>
          <w:rFonts w:ascii="Arial" w:hAnsi="Arial" w:cs="Arial"/>
        </w:rPr>
      </w:pPr>
      <w:r w:rsidRPr="006B0F6C">
        <w:rPr>
          <w:rFonts w:ascii="Arial" w:hAnsi="Arial" w:cs="Arial"/>
        </w:rPr>
        <w:t xml:space="preserve">The majority of patients had some level of schooling, with primary and secondary education being the most prevalent, corroborating the Brazilian scenario, in which the proportion of people who have completed basic education is approximately 48.8% of the population </w:t>
      </w:r>
      <w:r w:rsidRPr="006B0F6C">
        <w:rPr>
          <w:rFonts w:ascii="Arial" w:hAnsi="Arial" w:cs="Arial"/>
        </w:rPr>
        <w:fldChar w:fldCharType="begin"/>
      </w:r>
      <w:r w:rsidRPr="006B0F6C">
        <w:rPr>
          <w:rFonts w:ascii="Arial" w:hAnsi="Arial" w:cs="Arial"/>
        </w:rPr>
        <w:instrText xml:space="preserve"> ADDIN ZOTERO_ITEM CSL_CITATION {"citationID":"xRHhJsc9","properties":{"formattedCitation":"(Instituto Brasileiro de Geografia e Estat\\uc0\\u237{}stica, 2020)","plainCitation":"(Instituto Brasileiro de Geografia e Estatística, 2020)","noteIndex":0},"citationItems":[{"id":399,"uris":["http://zotero.org/users/16006184/items/DMKKX3YK"],"itemData":{"id":399,"type":"webpage","container-title":"IBGE","title":"Conheça o Brasil - População: Educação.","URL":"Available in: https://educa.ibge.gov.br/jovens/conheca-o-brasil/populacao/18317-educacao.html","author":[{"literal":"Instituto Brasileiro de Geografia e Estatística"}],"accessed":{"date-parts":[["2023",6,19]]},"issued":{"date-parts":[["2020"]]}}}],"schema":"https://github.com/citation-style-language/schema/raw/master/csl-citation.json"} </w:instrText>
      </w:r>
      <w:r w:rsidRPr="006B0F6C">
        <w:rPr>
          <w:rFonts w:ascii="Arial" w:hAnsi="Arial" w:cs="Arial"/>
        </w:rPr>
        <w:fldChar w:fldCharType="separate"/>
      </w:r>
      <w:r w:rsidRPr="006B0F6C">
        <w:rPr>
          <w:rFonts w:ascii="Arial" w:hAnsi="Arial" w:cs="Arial"/>
        </w:rPr>
        <w:t>(Instituto Brasileiro de Geografia e Estatística, 2020)</w:t>
      </w:r>
      <w:r w:rsidRPr="006B0F6C">
        <w:rPr>
          <w:rFonts w:ascii="Arial" w:hAnsi="Arial" w:cs="Arial"/>
        </w:rPr>
        <w:fldChar w:fldCharType="end"/>
      </w:r>
      <w:r w:rsidRPr="006B0F6C">
        <w:rPr>
          <w:rFonts w:ascii="Arial" w:hAnsi="Arial" w:cs="Arial"/>
        </w:rPr>
        <w:t xml:space="preserve">. As for religion and marital status, the majority of patients were Catholic and did not have a partner, being single, divorced or widowed, which is corroborated by a cross-sectional descriptive study, in which the majority of participants were single (49.5%), therefore without a partner, and Catholic (43.7%) </w:t>
      </w:r>
      <w:r w:rsidRPr="006B0F6C">
        <w:rPr>
          <w:rFonts w:ascii="Arial" w:hAnsi="Arial" w:cs="Arial"/>
        </w:rPr>
        <w:fldChar w:fldCharType="begin"/>
      </w:r>
      <w:r w:rsidRPr="006B0F6C">
        <w:rPr>
          <w:rFonts w:ascii="Arial" w:hAnsi="Arial" w:cs="Arial"/>
        </w:rPr>
        <w:instrText xml:space="preserve"> ADDIN ZOTERO_ITEM CSL_CITATION {"citationID":"HeNvBgJB","properties":{"formattedCitation":"(Lopes J\\uc0\\u250{}nior et al., 2023)","plainCitation":"(Lopes Júnior et al., 2023)","noteIndex":0},"citationItems":[{"id":414,"uris":["http://zotero.org/users/16006184/items/KJHYK9AW"],"itemData":{"id":414,"type":"article-journal","container-title":"Arq. ciências saúde UNIPAR","language":"pt","page":"948-966","source":"pesquisa.bvsalud.org","title":"Religiosidade/espiritualidade entre a população brasileira diante da pandemia Covid-19 e a correlação com a qualidade de vida","URL":"https://revistas.unipar.br/index.php/saude/article/view/9407/4586","author":[{"family":"Lopes Júnior","given":"Waldecy"},{"family":"Paiva","given":"Eliza Mara das Chagas"},{"family":"Cardoso","given":"Ana Beatriz dos Anjos"},{"family":"Costa","given":"Isabelle Cristinne Pinto"},{"family":"Ferreira","given":"Eric Batista"},{"family":"Bressan","given":"Vânia Regina"},{"family":"Rezende","given":"Eliane Garcia"}],"accessed":{"date-parts":[["2025",3,5]]},"issued":{"date-parts":[["2023"]]}}}],"schema":"https://github.com/citation-style-language/schema/raw/master/csl-citation.json"} </w:instrText>
      </w:r>
      <w:r w:rsidRPr="006B0F6C">
        <w:rPr>
          <w:rFonts w:ascii="Arial" w:hAnsi="Arial" w:cs="Arial"/>
        </w:rPr>
        <w:fldChar w:fldCharType="separate"/>
      </w:r>
      <w:r w:rsidRPr="006B0F6C">
        <w:rPr>
          <w:rFonts w:ascii="Arial" w:hAnsi="Arial" w:cs="Arial"/>
        </w:rPr>
        <w:t>(Lopes Júnior et al., 2023)</w:t>
      </w:r>
      <w:r w:rsidRPr="006B0F6C">
        <w:rPr>
          <w:rFonts w:ascii="Arial" w:hAnsi="Arial" w:cs="Arial"/>
        </w:rPr>
        <w:fldChar w:fldCharType="end"/>
      </w:r>
      <w:r w:rsidRPr="006B0F6C">
        <w:rPr>
          <w:rFonts w:ascii="Arial" w:hAnsi="Arial" w:cs="Arial"/>
        </w:rPr>
        <w:t>.</w:t>
      </w:r>
    </w:p>
    <w:p w14:paraId="0E56DD91" w14:textId="77777777" w:rsidR="0086275A" w:rsidRPr="006B0F6C" w:rsidRDefault="0086275A" w:rsidP="0086275A">
      <w:pPr>
        <w:jc w:val="both"/>
        <w:rPr>
          <w:rFonts w:ascii="Arial" w:hAnsi="Arial" w:cs="Arial"/>
        </w:rPr>
      </w:pPr>
      <w:r w:rsidRPr="006B0F6C">
        <w:rPr>
          <w:rFonts w:ascii="Arial" w:hAnsi="Arial" w:cs="Arial"/>
        </w:rPr>
        <w:lastRenderedPageBreak/>
        <w:t xml:space="preserve">The percentage of patients with comorbidities was similar in the two years evaluated. However, systemic arterial hypertension rose from 42% to 50% of patients from year 1 to year 2, diverging from the percentage found in a retrospective, multicenter cohort study conducted with patients hospitalized with Covid-19 in the city of Wuhan, China, in which hypertension was reported in 30% of patients </w:t>
      </w:r>
      <w:r w:rsidRPr="006B0F6C">
        <w:rPr>
          <w:rFonts w:ascii="Arial" w:hAnsi="Arial" w:cs="Arial"/>
        </w:rPr>
        <w:fldChar w:fldCharType="begin"/>
      </w:r>
      <w:r w:rsidRPr="006B0F6C">
        <w:rPr>
          <w:rFonts w:ascii="Arial" w:hAnsi="Arial" w:cs="Arial"/>
        </w:rPr>
        <w:instrText xml:space="preserve"> ADDIN ZOTERO_ITEM CSL_CITATION {"citationID":"2E3xhw9c","properties":{"formattedCitation":"(F. Zhou et al., 2020)","plainCitation":"(F. Zhou et al., 2020)","noteIndex":0},"citationItems":[{"id":469,"uris":["http://zotero.org/users/16006184/items/7DYKP8IN"],"itemData":{"id":469,"type":"article-journal","container-title":"The Lancet","DOI":"10.1016/S0140-6736(20)30566-3","ISSN":"0140-6736, 1474-547X","issue":"10229","journalAbbreviation":"The Lancet","language":"English","note":"publisher: Elsevier\nPMID: 32171076","page":"1054-1062","source":"www.thelancet.com","title":"Clinical course and risk factors for mortality of adult inpatients with COVID-19 in Wuhan, China: a retrospective cohort study","title-short":"Clinical course and risk factors for mortality of adult inpatients with COVID-19 in Wuhan, China","URL":"https://www.thelancet.com/journals/lancet/article/PIIS0140-6736(20)30566-3/fulltext","volume":"395","author":[{"family":"Zhou","given":"Fei"},{"family":"Yu","given":"Ting"},{"family":"Du","given":"Ronghui"},{"family":"Fan","given":"Guohui"},{"family":"Liu","given":"Ying"},{"family":"Liu","given":"Zhibo"},{"family":"Xiang","given":"Jie"},{"family":"Wang","given":"Yeming"},{"family":"Song","given":"Bin"},{"family":"Gu","given":"Xiaoying"},{"family":"Guan","given":"Lulu"},{"family":"Wei","given":"Yuan"},{"family":"Li","given":"Hui"},{"family":"Wu","given":"Xudong"},{"family":"Xu","given":"Jiuyang"},{"family":"Tu","given":"Shengjin"},{"family":"Zhang","given":"Yi"},{"family":"Chen","given":"Hua"},{"family":"Cao","given":"Bin"}],"accessed":{"date-parts":[["2025",3,5]]},"issued":{"date-parts":[["2020",3,28]]}}}],"schema":"https://github.com/citation-style-language/schema/raw/master/csl-citation.json"} </w:instrText>
      </w:r>
      <w:r w:rsidRPr="006B0F6C">
        <w:rPr>
          <w:rFonts w:ascii="Arial" w:hAnsi="Arial" w:cs="Arial"/>
        </w:rPr>
        <w:fldChar w:fldCharType="separate"/>
      </w:r>
      <w:r w:rsidRPr="006B0F6C">
        <w:rPr>
          <w:rFonts w:ascii="Arial" w:hAnsi="Arial" w:cs="Arial"/>
          <w:noProof/>
        </w:rPr>
        <w:t>(F. Zhou et al., 2020)</w:t>
      </w:r>
      <w:r w:rsidRPr="006B0F6C">
        <w:rPr>
          <w:rFonts w:ascii="Arial" w:hAnsi="Arial" w:cs="Arial"/>
        </w:rPr>
        <w:fldChar w:fldCharType="end"/>
      </w:r>
      <w:r w:rsidRPr="006B0F6C">
        <w:rPr>
          <w:rFonts w:ascii="Arial" w:hAnsi="Arial" w:cs="Arial"/>
        </w:rPr>
        <w:t xml:space="preserve">. Although half of the study sample had hypertension, its association with Covid-19 does not necessarily imply a causal relationship, due to the prevalence of systemic arterial hypertension worldwide, affecting 25% of the adult population with a peak prevalence of over 60% in the elderly population </w:t>
      </w:r>
      <w:r w:rsidRPr="006B0F6C">
        <w:rPr>
          <w:rFonts w:ascii="Arial" w:hAnsi="Arial" w:cs="Arial"/>
        </w:rPr>
        <w:fldChar w:fldCharType="begin"/>
      </w:r>
      <w:r w:rsidRPr="006B0F6C">
        <w:rPr>
          <w:rFonts w:ascii="Arial" w:hAnsi="Arial" w:cs="Arial"/>
        </w:rPr>
        <w:instrText xml:space="preserve"> ADDIN ZOTERO_ITEM CSL_CITATION {"citationID":"4VfY4sw5","properties":{"formattedCitation":"(B. Zhou et al., 2021)","plainCitation":"(B. Zhou et al., 2021)","noteIndex":0},"citationItems":[{"id":425,"uris":["http://zotero.org/users/16006184/items/9YSDBAGQ"],"itemData":{"id":425,"type":"article-journal","container-title":"The Lancet","DOI":"10.1016/S0140-6736(21)01330-1","ISSN":"0140-6736, 1474-547X","issue":"10304","journalAbbreviation":"The Lancet","language":"English","note":"publisher: Elsevier\nPMID: 34450083","page":"957-980","source":"www.thelancet.com","title":"Worldwide trends in hypertension prevalence and progress in treatment and control from 1990 to 2019: a pooled analysis of 1201 population-representative studies with 104 million participants","title-short":"Worldwide trends in hypertension prevalence and progress in treatment and control from 1990 to 2019","URL":"https://www.thelancet.com/journals/lancet/article/PIIS0140-6736(21)01330-1/fulltext","volume":"398","author":[{"family":"Zhou","given":"Bin"},{"family":"Carrillo-Larco","given":"Rodrigo M."},{"family":"Danaei","given":"Goodarz"},{"family":"Riley","given":"Leanne M."},{"family":"Paciorek","given":"Christopher J."},{"family":"Stevens","given":"Gretchen A."},{"family":"Gregg","given":"Edward W."},{"family":"Bennett","given":"James E."},{"family":"Solomon","given":"Bethlehem"},{"family":"Singleton","given":"Rosie K."},{"family":"Sophiea","given":"Marisa K."},{"family":"Iurilli","given":"Maria LC"},{"family":"Lhoste","given":"Victor PF"},{"family":"Cowan","given":"Melanie J."},{"family":"Savin","given":"Stefan"},{"family":"Woodward","given":"Mark"},{"family":"Balanova","given":"Yulia"},{"family":"Cifkova","given":"Renata"},{"family":"Damasceno","given":"Albertino"},{"family":"Elliott","given":"Paul"},{"family":"Farzadfar","given":"Farshad"},{"family":"He","given":"Jiang"},{"family":"Ikeda","given":"Nayu"},{"family":"Kengne","given":"Andre P."},{"family":"Khang","given":"Young-Ho"},{"family":"Kim","given":"Hyeon Chang"},{"family":"Laxmaiah","given":"Avula"},{"family":"Lin","given":"Hsien-Ho"},{"family":"Maira","given":"Paula Margozzini"},{"family":"Miranda","given":"J. Jaime"},{"family":"Neuhauser","given":"Hannelore"},{"family":"Sundström","given":"Johan"},{"family":"Varghese","given":"Cherian"},{"family":"Widyahening","given":"Indah S."},{"family":"Zdrojewski","given":"Tomasz"},{"family":"Abarca-Gómez","given":"Leandra"},{"family":"Abdeen","given":"Ziad A."},{"family":"Rahim","given":"Hanan F. Abdul"},{"family":"Abu-Rmeileh","given":"Niveen M."},{"family":"Acosta-Cazares","given":"Benjamin"},{"family":"Adams","given":"Robert J."},{"family":"Aekplakorn","given":"Wichai"},{"family":"Afsana","given":"Kaosar"},{"family":"Afzal","given":"Shoaib"},{"family":"Agdeppa","given":"Imelda A."},{"family":"Aghazadeh-Attari","given":"Javad"},{"family":"Aguilar-Salinas","given":"Carlos A."},{"family":"Agyemang","given":"Charles"},{"family":"Ahmad","given":"Noor Ani"},{"family":"Ahmadi","given":"Ali"},{"family":"Ahmadi","given":"Naser"},{"family":"Ahmadi","given":"Nastaran"},{"family":"Ahmadizar","given":"Fariba"},{"family":"Ahmed","given":"Soheir H."},{"family":"Ahrens","given":"Wolfgang"},{"family":"Ajlouni","given":"Kamel"},{"family":"Al-Raddadi","given":"Rajaa"},{"family":"Alarouj","given":"Monira"},{"family":"AlBuhairan","given":"Fadia"},{"family":"AlDhukair","given":"Shahla"},{"family":"Ali","given":"Mohamed M."},{"family":"Alkandari","given":"Abdullah"},{"family":"Alkerwi","given":"Ala'a"},{"family":"Allin","given":"Kristine"},{"family":"Aly","given":"Eman"},{"family":"Amarapurkar","given":"Deepak N."},{"family":"Amougou","given":"Norbert"},{"family":"Amouyel","given":"Philippe"},{"family":"Andersen","given":"Lars Bo"},{"family":"Anderssen","given":"Sigmund A."},{"family":"Anjana","given":"Ranjit Mohan"},{"family":"Ansari-Moghaddam","given":"Alireza"},{"family":"Ansong","given":"Daniel"},{"family":"Aounallah-Skhiri","given":"Hajer"},{"family":"Araújo","given":"Joana"},{"family":"Ariansen","given":"Inger"},{"family":"Aris","given":"Tahir"},{"family":"Arku","given":"Raphael E."},{"family":"Arlappa","given":"Nimmathota"},{"family":"Aryal","given":"Krishna K."},{"family":"Aspelund","given":"Thor"},{"family":"Assah","given":"Felix K."},{"family":"Assunção","given":"Maria Cecília F."},{"family":"Auvinen","given":"Juha"},{"family":"Avdićová","given":"Mária"},{"family":"Azevedo","given":"Ana"},{"family":"Azimi-Nezhad","given":"Mohsen"},{"family":"Azizi","given":"Fereidoun"},{"family":"Azmin","given":"Mehrdad"},{"family":"Babu","given":"Bontha V."},{"family":"Bahijri","given":"Suhad"},{"family":"Balakrishna","given":"Nagalla"},{"family":"Bamoshmoosh","given":"Mohamed"},{"family":"Banach","given":"Maciej"},{"family":"Banadinović","given":"Maja"},{"family":"Bandosz","given":"Piotr"},{"family":"Banegas","given":"José R."},{"family":"Baran","given":"Joanna"},{"family":"Barbagallo","given":"Carlo M."},{"family":"Barceló","given":"Alberto"},{"family":"Barkat","given":"Amina"},{"family":"Barreto","given":"Marta"},{"family":"Barros","given":"Aluisio JD"},{"family":"Barros","given":"Mauro Virgílio Gomes"},{"family":"Bartosiewicz","given":"Anna"},{"family":"Basit","given":"Abdul"},{"family":"Bastos","given":"Joao Luiz D."},{"family":"Bata","given":"Iqbal"},{"family":"Batieha","given":"Anwar M."},{"family":"Batyrbek","given":"Assembekov"},{"family":"Baur","given":"Louise A."},{"family":"Beaglehole","given":"Robert"},{"family":"Belavendra","given":"Antonisamy"},{"family":"Romdhane","given":"Habiba Ben"},{"family":"Benet","given":"Mikhail"},{"family":"Benson","given":"Lowell S."},{"family":"Berkinbayev","given":"Salim"},{"family":"Bernabe-Ortiz","given":"Antonio"},{"family":"Bernotiene","given":"Gailute"},{"family":"Bettiol","given":"Heloísa"},{"family":"Bezerra","given":"Jorge"},{"family":"Bhagyalaxmi","given":"Aroor"},{"family":"Bhargava","given":"Santosh K."},{"family":"Bia","given":"Daniel"},{"family":"Biasch","given":"Katia"},{"family":"Lele","given":"Elysée Claude Bika"},{"family":"Bikbov","given":"Mukharram M."},{"family":"Bista","given":"Bihungum"},{"family":"Bjerregaard","given":"Peter"},{"family":"Bjertness","given":"Espen"},{"family":"Bjertness","given":"Marius B."},{"family":"Björkelund","given":"Cecilia"},{"family":"Bloch","given":"Katia V."},{"family":"Blokstra","given":"Anneke"},{"family":"Bo","given":"Simona"},{"family":"Bobak","given":"Martin"},{"family":"Boeing","given":"Heiner"},{"family":"Boggia","given":"Jose G."},{"family":"Boissonnet","given":"Carlos P."},{"family":"Bojesen","given":"Stig E."},{"family":"Bongard","given":"Vanina"},{"family":"Bonilla-Vargas","given":"Alice"},{"family":"Bopp","given":"Matthias"},{"family":"Borghs","given":"Herman"},{"family":"Bovet","given":"Pascal"},{"family":"Boyer","given":"Christopher B."},{"family":"Braeckman","given":"Lutgart"},{"family":"Brajkovich","given":"Imperia"},{"family":"Branca","given":"Francesco"},{"family":"Breckenkamp","given":"Juergen"},{"family":"Brenner","given":"Hermann"},{"family":"Brewster","given":"Lizzy M."},{"family":"Briceño","given":"Yajaira"},{"family":"Brito","given":"Miguel"},{"family":"Bruno","given":"Graziella"},{"family":"Bueno-de-Mesquita","given":"H. Bas"},{"family":"Bueno","given":"Gloria"},{"family":"Bugge","given":"Anna"},{"family":"Burns","given":"Con"},{"family":"Bursztyn","given":"Michael"},{"family":"León","given":"Antonio Cabrera","dropping-particle":"de"},{"family":"Cacciottolo","given":"Joseph"},{"family":"Cameron","given":"Christine"},{"family":"Can","given":"Günay"},{"family":"Cândido","given":"Ana Paula C."},{"family":"Capanzana","given":"Mario V."},{"family":"Čapková","given":"Naděžda"},{"family":"Capuano","given":"Eduardo"},{"family":"Capuano","given":"Vincenzo"},{"family":"Cardoso","given":"Viviane C."},{"family":"Carlsson","given":"Axel C."},{"family":"Carvalho","given":"Joana"},{"family":"Casanueva","given":"Felipe F."},{"family":"Censi","given":"Laura"},{"family":"Cervantes-Loaiza","given":"Marvin"},{"family":"Chadjigeorgiou","given":"Charalambos A."},{"family":"Chamukuttan","given":"Snehalatha"},{"family":"Chan","given":"Angelique W."},{"family":"Chan","given":"Queenie"},{"family":"Chaturvedi","given":"Himanshu K."},{"family":"Chaturvedi","given":"Nish"},{"family":"Chee","given":"Miao Li"},{"family":"Chen","given":"Chien-Jen"},{"family":"Chen","given":"Fangfang"},{"family":"Chen","given":"Huashuai"},{"family":"Chen","given":"Shuohua"},{"family":"Chen","given":"Zhengming"},{"family":"Cheng","given":"Ching-Yu"},{"family":"Cheraghian","given":"Bahman"},{"family":"Dekkaki","given":"Imane Cherkaoui"},{"family":"Chetrit","given":"Angela"},{"family":"Chien","given":"Kuo-Liong"},{"family":"Chiolero","given":"Arnaud"},{"family":"Chiou","given":"Shu-Ti"},{"family":"Chirita-Emandi","given":"Adela"},{"family":"Chirlaque","given":"María-Dolores"},{"family":"Cho","given":"Belong"},{"family":"Christensen","given":"Kaare"},{"family":"Christofaro","given":"Diego G."},{"family":"Chudek","given":"Jerzy"},{"family":"Cinteza","given":"Eliza"},{"family":"Claessens","given":"Frank"},{"family":"Clarke","given":"Janine"},{"family":"Clays","given":"Els"},{"family":"Cohen","given":"Emmanuel"},{"family":"Concin","given":"Hans"},{"family":"Cooper","given":"Cyrus"},{"family":"Coppinger","given":"Tara C."},{"family":"Costanzo","given":"Simona"},{"family":"Cottel","given":"Dominique"},{"family":"Cowell","given":"Chris"},{"family":"Craig","given":"Cora L."},{"family":"Crampin","given":"Amelia C."},{"family":"Crujeiras","given":"Ana B."},{"family":"Cruz","given":"Juan J."},{"family":"Csilla","given":"Semánová"},{"family":"Cui","given":"Liufu"},{"family":"Cureau","given":"Felipe V."},{"family":"Cuschieri","given":"Sarah"},{"family":"D'Arrigo","given":"Graziella"},{"family":"Orsi","given":"Eleonora","non-dropping-particle":"d'"},{"family":"Dallongeville","given":"Jean"},{"family":"Dankner","given":"Rachel"},{"family":"Dantoft","given":"Thomas M."},{"family":"Dauchet","given":"Luc"},{"family":"Davletov","given":"Kairat"},{"family":"Backer","given":"Guy De"},{"family":"Bacquer","given":"Dirk De"},{"family":"Curtis","given":"Amalia De"},{"family":"Gaetano","given":"Giovanni","dropping-particle":"de"},{"family":"Henauw","given":"Stefaan De"},{"family":"Oliveira","given":"Paula Duarte","dropping-particle":"de"},{"family":"Ridder","given":"David De"},{"family":"Smedt","given":"Delphine De"},{"family":"Deepa","given":"Mohan"},{"family":"Deev","given":"Alexander D."},{"family":"DeGennaro","given":"Vincent Jr"},{"family":"Delisle","given":"Hélène"},{"family":"Demarest","given":"Stefaan"},{"family":"Dennison","given":"Elaine"},{"family":"Deschamps","given":"Valérie"},{"family":"Dhimal","given":"Meghnath"},{"family":"Castelnuovo","given":"Augusto F. Di"},{"family":"Dias-da-Costa","given":"Juvenal Soares"},{"family":"Diaz","given":"Alejandro"},{"family":"Dickerson","given":"Ty T."},{"family":"Dika","given":"Zivka"},{"family":"Djalalinia","given":"Shirin"},{"family":"Do","given":"Ha TP"},{"family":"Dobson","given":"Annette J."},{"family":"Donfrancesco","given":"Chiara"},{"family":"Donoso","given":"Silvana P."},{"family":"Döring","given":"Angela"},{"family":"Dorobantu","given":"Maria"},{"family":"Dörr","given":"Marcus"},{"family":"Doua","given":"Kouamelan"},{"family":"Dragano","given":"Nico"},{"family":"Drygas","given":"Wojciech"},{"family":"Duante","given":"Charmaine A."},{"family":"Duboz","given":"Priscilla"},{"family":"Duda","given":"Rosemary B."},{"family":"Dulskiene","given":"Virginija"},{"family":"Dushpanova","given":"Anar"},{"family":"Džakula","given":"Aleksandar"},{"family":"Dzerve","given":"Vilnis"},{"family":"Dziankowska-Zaborszczyk","given":"Elzbieta"},{"family":"Eddie","given":"Ricky"},{"family":"Eftekhar","given":"Ebrahim"},{"family":"Eggertsen","given":"Robert"},{"family":"Eghtesad","given":"Sareh"},{"family":"Eiben","given":"Gabriele"},{"family":"Ekelund","given":"Ulf"},{"family":"El-Khateeb","given":"Mohammad"},{"family":"Ati","given":"Jalila El"},{"family":"Eldemire-Shearer","given":"Denise"},{"family":"Eliasen","given":"Marie"},{"family":"Elosua","given":"Roberto"},{"family":"Erasmus","given":"Rajiv T."},{"family":"Erbel","given":"Raimund"},{"family":"Erem","given":"Cihangir"},{"family":"Eriksen","given":"Louise"},{"family":"Eriksson","given":"Johan G."},{"family":"Peña","given":"Jorge Escobedo-de","dropping-particle":"la"},{"family":"Eslami","given":"Saeid"},{"family":"Esmaeili","given":"Ali"},{"family":"Evans","given":"Alun"},{"family":"Faeh","given":"David"},{"family":"Fakhretdinova","given":"Albina A."},{"family":"Fall","given":"Caroline H."},{"family":"Faramarzi","given":"Elnaz"},{"family":"Farjam","given":"Mojtaba"},{"family":"Fattahi","given":"Mohammad Reza"},{"family":"Fawwad","given":"Asher"},{"family":"Felix-Redondo","given":"Francisco J."},{"family":"Felix","given":"Stephan B."},{"family":"Ferguson","given":"Trevor S."},{"family":"Fernandes","given":"Romulo A."},{"family":"Fernández-Bergés","given":"Daniel"},{"family":"Ferrante","given":"Daniel"},{"family":"Ferrao","given":"Thomas"},{"family":"Ferrari","given":"Marika"},{"family":"Ferrario","given":"Marco M."},{"family":"Ferreccio","given":"Catterina"},{"family":"Ferreira","given":"Haroldo S."},{"family":"Ferrer","given":"Eldridge"},{"family":"Ferrieres","given":"Jean"},{"family":"Figueiró","given":"Thamara Hubler"},{"family":"Fink","given":"Günther"},{"family":"Fischer","given":"Krista"},{"family":"Foo","given":"Leng Huat"},{"family":"Forsner","given":"Maria"},{"family":"Fouad","given":"Heba M."},{"family":"Francis","given":"Damian K."},{"family":"Franco","given":"Maria do Carmo"},{"family":"Frikke-Schmidt","given":"Ruth"},{"family":"Frontera","given":"Guillermo"},{"family":"Fuchs","given":"Flavio D."},{"family":"Fuchs","given":"Sandra C."},{"family":"Fujita","given":"Yuki"},{"family":"Fumihiko","given":"Matsuda"},{"family":"Furdela","given":"Viktoriya"},{"family":"Furer","given":"Ariel"},{"family":"Furusawa","given":"Takuro"},{"family":"Gaciong","given":"Zbigniew"},{"family":"Galbarczyk","given":"Andrzej"},{"family":"Galenkamp","given":"Henrike"},{"family":"Galvano","given":"Fabio"},{"family":"Gao","given":"Jingli"},{"family":"Gao","given":"Pei"},{"family":"Garcia-de-la-Hera","given":"Manoli"},{"family":"Garcia","given":"Pablo"},{"family":"Gareta","given":"Dickman"},{"family":"Garnett","given":"Sarah P."},{"family":"Gaspoz","given":"Jean-Michel"},{"family":"Gasull","given":"Magda"},{"family":"Gazzinelli","given":"Andrea"},{"family":"Gehring","given":"Ulrike"},{"family":"Geleijnse","given":"Johanna M."},{"family":"George","given":"Ronnie"},{"family":"Ghanbari","given":"Ali"},{"family":"Ghasemi","given":"Erfan"},{"family":"Gheorghe-Fronea","given":"Oana-Florentina"},{"family":"Ghimire","given":"Anup"},{"family":"Gialluisi","given":"Alessandro"},{"family":"Giampaoli","given":"Simona"},{"family":"Gieger","given":"Christian"},{"family":"Gill","given":"Tiffany K."},{"family":"Giovannelli","given":"Jonathan"},{"family":"Gironella","given":"Glen"},{"family":"Giwercman","given":"Aleksander"},{"family":"Gkiouras","given":"Konstantinos"},{"family":"Goldberg","given":"Marcel"},{"family":"Goldsmith","given":"Rebecca A."},{"family":"Gomez","given":"Luis F."},{"family":"Gomula","given":"Aleksandra"},{"family":"Gonçalves","given":"Helen"},{"family":"Gonçalves","given":"Mauer"},{"family":"Silva","given":"Bruna Gonçalves Cordeiro","dropping-particle":"da"},{"family":"Gonzalez-Chica","given":"David A."},{"family":"Gonzalez-Gross","given":"Marcela"},{"family":"González-Rivas","given":"Juan P."},{"family":"González-Villalpando","given":"Clicerio"},{"family":"González-Villalpando","given":"María-Elena"},{"family":"Gonzalez","given":"Angel R."},{"family":"Gorbea","given":"Mariano Bonet"},{"family":"Gottrand","given":"Frederic"},{"family":"Graff-Iversen","given":"Sidsel"},{"family":"Grafnetter","given":"Dušan"},{"family":"Grajda","given":"Aneta"},{"family":"Grammatikopoulou","given":"Maria G."},{"family":"Gregor","given":"Ronald D."},{"family":"Grodzicki","given":"Tomasz"},{"family":"Grosso","given":"Giuseppe"},{"family":"Gruden","given":"Gabriella"},{"family":"Gu","given":"Dongfeng"},{"family":"Guan","given":"Ong Peng"},{"family":"Gudmundsson","given":"Elias F."},{"family":"Gudnason","given":"Vilmundur"},{"family":"Guerrero","given":"Ramiro"},{"family":"Guessous","given":"Idris"},{"family":"Guimaraes","given":"Andre L."},{"family":"Gulliford","given":"Martin C."},{"family":"Gunnlaugsdottir","given":"Johanna"},{"family":"Gunter","given":"Marc J."},{"family":"Gupta","given":"Prakash C."},{"family":"Gupta","given":"Rajeev"},{"family":"Gureje","given":"Oye"},{"family":"Gurzkowska","given":"Beata"},{"family":"Gutierrez","given":"Laura"},{"family":"Gutzwiller","given":"Felix"},{"family":"Ha","given":"Seongjun"},{"family":"Hadaegh","given":"Farzad"},{"family":"Haghshenas","given":"Rosa"},{"family":"Hakimi","given":"Hamid"},{"family":"Halkjær","given":"Jytte"},{"family":"Hambleton","given":"Ian R."},{"family":"Hamzeh","given":"Behrooz"},{"family":"Hange","given":"Dominique"},{"family":"Hanif","given":"Abu AM"},{"family":"Hantunen","given":"Sari"},{"family":"Hao","given":"Jie"},{"family":"Hardman","given":"Carla Menêses"},{"family":"Kumar","given":"Rachakulla Hari"},{"family":"Hashemi-Shahri","given":"Seyed Mohammad"},{"family":"Hata","given":"Jun"},{"family":"Haugsgjerd","given":"Teresa"},{"family":"Hayes","given":"Alison J."},{"family":"He","given":"Yuna"},{"family":"Heier","given":"Margit"},{"family":"Hendriks","given":"Marleen Elisabeth"},{"family":"Henrique","given":"Rafael dos Santos"},{"family":"Henriques","given":"Ana"},{"family":"Cadena","given":"Leticia Hernandez"},{"family":"Herqutanto","given":""},{"family":"Herrala","given":"Sauli"},{"family":"Heshmat","given":"Ramin"},{"family":"Hill","given":"Allan G."},{"family":"Ho","given":"Sai Yin"},{"family":"Ho","given":"Suzanne C."},{"family":"Hobbs","given":"Michael"},{"family":"Holdsworth","given":"Michelle"},{"family":"Homayounfar","given":"Reza"},{"family":"Dinc","given":"Gonul Horasan"},{"family":"Horimoto","given":"Andrea RVR"},{"family":"Hormiga","given":"Claudia M."},{"family":"Horta","given":"Bernardo L."},{"family":"Houti","given":"Leila"},{"family":"Howitt","given":"Christina"},{"family":"Htay","given":"Thein Thein"},{"family":"Htet","given":"Aung Soe"},{"family":"Htike","given":"Maung Maung Than"},{"family":"Hu","given":"Yonghua"},{"family":"Huerta","given":"José María"},{"family":"Huhtaniemi","given":"Ilpo Tapani"},{"family":"Huiart","given":"Laetitia"},{"family":"Huisman","given":"Martijn"},{"family":"Husseini","given":"Abdullatif S."},{"family":"Huybrechts","given":"Inge"},{"family":"Hwalla","given":"Nahla"},{"family":"Iacoviello","given":"Licia"},{"family":"Iannone","given":"Anna G."},{"family":"Ibrahim","given":"Mohsen M."},{"family":"Wong","given":"Norazizah Ibrahim"},{"family":"Ikram","given":"M. Arfan"},{"family":"Iotova","given":"Violeta"},{"family":"Irazola","given":"Vilma E."},{"family":"Ishida","given":"Takafumi"},{"family":"Isiguzo","given":"Godsent C."},{"family":"Islam","given":"Muhammad"},{"family":"Islam","given":"Sheikh Mohammed Shariful"},{"family":"Iwasaki","given":"Masanori"},{"family":"Jackson","given":"Rod T."},{"family":"Jacobs","given":"Jeremy M."},{"family":"Jaddou","given":"Hashem Y."},{"family":"Jafar","given":"Tazeen"},{"family":"James","given":"Kenneth"},{"family":"Jamrozik","given":"Konrad"},{"family":"Janszky","given":"Imre"},{"family":"Janus","given":"Edward"},{"family":"Jarvelin","given":"Marjo-Riitta"},{"family":"Jasienska","given":"Grazyna"},{"family":"Jelaković","given":"Ana"},{"family":"Jelaković","given":"Bojan"},{"family":"Jennings","given":"Garry"},{"family":"Jha","given":"Anjani Kumar"},{"family":"Jiang","given":"Chao Qiang"},{"family":"Jimenez","given":"Ramon O."},{"family":"Jöckel","given":"Karl-Heinz"},{"family":"Joffres","given":"Michel"},{"family":"Johansson","given":"Mattias"},{"family":"Jokelainen","given":"Jari J."},{"family":"Jonas","given":"Jost B."},{"family":"Jørgensen","given":"Torben"},{"family":"Joshi","given":"Pradeep"},{"family":"Joukar","given":"Farahnaz"},{"family":"Jóżwiak","given":"Jacek"},{"family":"Juolevi","given":"Anne"},{"family":"Jurak","given":"Gregor"},{"family":"Jureša","given":"Vesna"},{"family":"Kaaks","given":"Rudolf"},{"family":"Kafatos","given":"Anthony"},{"family":"Kajantie","given":"Eero O."},{"family":"Kalmatayeva","given":"Zhanna"},{"family":"Kalpourtzi","given":"Natasa"},{"family":"Kalter-Leibovici","given":"Ofra"},{"family":"Kampmann","given":"Freja B."},{"family":"Kannan","given":"Srinivasan"},{"family":"Karaglani","given":"Eva"},{"family":"Kårhus","given":"Line L."},{"family":"Karki","given":"Khem B."},{"family":"Katibeh","given":"Marzieh"},{"family":"Katz","given":"Joanne"},{"family":"Kauhanen","given":"Jussi"},{"family":"Kaur","given":"Prabhdeep"},{"family":"Kavousi","given":"Maryam"},{"family":"Kazakbaeva","given":"Gyulli M."},{"family":"Keil","given":"Ulrich"},{"family":"Boker","given":"Lital Keinan"},{"family":"Keinänen-Kiukaanniemi","given":"Sirkka"},{"family":"Kelishadi","given":"Roya"},{"family":"Kemper","given":"Han CG"},{"family":"Keramati","given":"Maryam"},{"family":"Kerimkulova","given":"Alina"},{"family":"Kersting","given":"Mathilde"},{"family":"Key","given":"Timothy"},{"family":"Khader","given":"Yousef Saleh"},{"family":"Khalili","given":"Davood"},{"family":"Khaw","given":"Kay-Tee"},{"family":"Kheiri","given":"Bahareh"},{"family":"Kheradmand","given":"Motahareh"},{"family":"Khosravi","given":"Alireza"},{"family":"Kiechl-Kohlendorfer","given":"Ursula"},{"family":"Kiechl","given":"Stefan"},{"family":"Killewo","given":"Japhet"},{"family":"Kim","given":"Dong Wook"},{"family":"Kim","given":"Jeongseon"},{"family":"Klakk","given":"Heidi"},{"family":"Klimek","given":"Magdalena"},{"family":"Klumbiene","given":"Jurate"},{"family":"Knoflach","given":"Michael"},{"family":"Kolle","given":"Elin"},{"family":"Kolsteren","given":"Patrick"},{"family":"Kontto","given":"Jukka P."},{"family":"Korpelainen","given":"Raija"},{"family":"Korrovits","given":"Paul"},{"family":"Kos","given":"Jelena"},{"family":"Koskinen","given":"Seppo"},{"family":"Kouda","given":"Katsuyasu"},{"family":"Kowlessur","given":"Sudhir"},{"family":"Koziel","given":"Slawomir"},{"family":"Kratenova","given":"Jana"},{"family":"Kriaucioniene","given":"Vilma"},{"family":"Kristensen","given":"Peter Lund"},{"family":"Krokstad","given":"Steiner"},{"family":"Kromhout","given":"Daan"},{"family":"Kruger","given":"Herculina S."},{"family":"Kubinova","given":"Ruzena"},{"family":"Kuciene","given":"Renata"},{"family":"Kujala","given":"Urho M."},{"family":"Kulaga","given":"Zbigniew"},{"family":"Kumar","given":"R. Krishna"},{"family":"Kurjata","given":"Pawel"},{"family":"Kusuma","given":"Yadlapalli S."},{"family":"Kutsenko","given":"Vladimir"},{"family":"Kuulasmaa","given":"Kari"},{"family":"Kyobutungi","given":"Catherine"},{"family":"Laatikainen","given":"Tiina"},{"family":"Lachat","given":"Carl"},{"family":"Laid","given":"Youcef"},{"family":"Lam","given":"Tai Hing"},{"family":"Landrove","given":"Orlando"},{"family":"Lanska","given":"Vera"},{"family":"Lappas","given":"Georg"},{"family":"Larijani","given":"Bagher"},{"family":"Latt","given":"Tint Swe"},{"family":"Coroller","given":"Gwenaëlle Le"},{"family":"Bao","given":"Khanh Le Nguyen"},{"family":"Le","given":"Tuyen D."},{"family":"Lee","given":"Jeannette"},{"family":"Lee","given":"Jeonghee"},{"family":"Lehmann","given":"Nils"},{"family":"Lehtimäki","given":"Terho"},{"family":"Lemogoum","given":"Daniel"},{"family":"Levitt","given":"Naomi S."},{"family":"Li","given":"Yanping"},{"family":"Lilly","given":"Christa L."},{"family":"Lim","given":"Wei-Yen"},{"family":"Lima-Costa","given":"M. Fernanda"},{"family":"Lin","given":"Xu"},{"family":"Lin","given":"Yi-Ting"},{"family":"Lind","given":"Lars"},{"family":"Lingam","given":"Vijaya"},{"family":"Linneberg","given":"Allan"},{"family":"Lissner","given":"Lauren"},{"family":"Litwin","given":"Mieczyslaw"},{"family":"Lo","given":"Wei-Cheng"},{"family":"Loit","given":"Helle-Mai"},{"family":"Lopez-Garcia","given":"Esther"},{"family":"Lopez","given":"Tania"},{"family":"Lotufo","given":"Paulo A."},{"family":"Lozano","given":"José Eugenio"},{"family":"Lovrenčić","given":"Iva Lukačević"},{"family":"Lukrafka","given":"Janice L."},{"family":"Luksiene","given":"Dalia"},{"family":"Lundqvist","given":"Annamari"},{"family":"Lundqvist","given":"Robert"},{"family":"Lunet","given":"Nuno"},{"family":"Lustigová","given":"Michala"},{"family":"Luszczki","given":"Edyta"},{"family":"Ma","given":"Guansheng"},{"family":"Ma","given":"Jun"},{"family":"Machado-Coelho","given":"George LL"},{"family":"Machado-Rodrigues","given":"Aristides M."},{"family":"Macia","given":"Enguerran"},{"family":"Macieira","given":"Luisa M."},{"family":"Madar","given":"Ahmed A."},{"family":"Maggi","given":"Stefania"},{"family":"Magliano","given":"Dianna J."},{"family":"Magriplis","given":"Emmanuella"},{"family":"Mahasampath","given":"Gowri"},{"family":"Maire","given":"Bernard"},{"family":"Majer","given":"Marjeta"},{"family":"Makdisse","given":"Marcia"},{"family":"Malekzadeh","given":"Fatemeh"},{"family":"Malekzadeh","given":"Reza"},{"family":"Malhotra","given":"Rahul"},{"family":"Rao","given":"Kodavanti Mallikharjuna"},{"family":"Malyutina","given":"Sofia K."},{"family":"Maniego","given":"Lynell V."},{"family":"Manios","given":"Yannis"},{"family":"Mann","given":"Jim I."},{"family":"Mansour-Ghanaei","given":"Fariborz"},{"family":"Manzato","given":"Enzo"},{"family":"Marcil","given":"Anie"},{"family":"Mårild","given":"Staffan B."},{"family":"Glavić","given":"Mihalea Marinović"},{"family":"Marques-Vidal","given":"Pedro"},{"family":"Marques","given":"Larissa Pruner"},{"family":"Marrugat","given":"Jaume"},{"family":"Martorell","given":"Reynaldo"},{"family":"Mascarenhas","given":"Luis P."},{"family":"Matasin","given":"Marija"},{"family":"Mathiesen","given":"Ellisiv B."},{"family":"Mathur","given":"Prashant"},{"family":"Matijasevich","given":"Alicia"},{"family":"Matlosz","given":"Piotr"},{"family":"Matsha","given":"Tandi E."},{"family":"Mavrogianni","given":"Christina"},{"family":"Mbanya","given":"Jean Claude N."},{"family":"Posso","given":"Anselmo J. Mc Donald"},{"family":"McFarlane","given":"Shelly R."},{"family":"McGarvey","given":"Stephen T."},{"family":"McLachlan","given":"Stela"},{"family":"McLean","given":"Rachael M."},{"family":"McLean","given":"Scott B."},{"family":"McNulty","given":"Breige A."},{"family":"Benchekor","given":"Sounnia Mediene"},{"family":"Medzioniene","given":"Jurate"},{"family":"Mehdipour","given":"Parinaz"},{"family":"Mehlig","given":"Kirsten"},{"family":"Mehrparvar","given":"Amir Houshang"},{"family":"Meirhaeghe","given":"Aline"},{"family":"Meisinger","given":"Christa"},{"family":"Montano","given":"Carlos Mendoza"},{"family":"Menezes","given":"Ana Maria B."},{"family":"Menon","given":"Geetha R."},{"family":"Mereke","given":"Alibek"},{"family":"Meshram","given":"Indrapal I."},{"family":"Metspalu","given":"Andres"},{"family":"Meyer","given":"Haakon E."},{"family":"Mi","given":"Jie"},{"family":"Michels","given":"Nathalie"},{"family":"Mikkel","given":"Kairit"},{"family":"Milkowska","given":"Karolina"},{"family":"Miller","given":"Jody C."},{"family":"Minderico","given":"Cláudia S."},{"family":"Mini","given":"G. K."},{"family":"Mirjalili","given":"Mohammad Reza"},{"family":"Mirrakhimov","given":"Erkin"},{"family":"Mišigoj-Duraković","given":"Marjeta"},{"family":"Modesti","given":"Pietro A."},{"family":"Moghaddam","given":"Sahar Saeedi"},{"family":"Mohajer","given":"Bahram"},{"family":"Mohamed","given":"Mostafa K."},{"family":"Mohamed","given":"Shukri F."},{"family":"Mohammad","given":"Kazem"},{"family":"Mohammadi","given":"Mohammad Reza"},{"family":"Mohammadi","given":"Zahra"},{"family":"Mohammadifard","given":"Noushin"},{"family":"Mohammadpourhodki","given":"Reza"},{"family":"Mohan","given":"Viswanathan"},{"family":"Mohanna","given":"Salim"},{"family":"Yusoff","given":"Muhammad Fadhli Mohd"},{"family":"Mohebbi","given":"Iraj"},{"family":"Mohebi","given":"Farnam"},{"family":"Moitry","given":"Marie"},{"family":"Møllehave","given":"Line T."},{"family":"Molnár","given":"Dénes"},{"family":"Momenan","given":"Amirabbas"},{"family":"Mondo","given":"Charles K."},{"family":"Monterrubio-Flores","given":"Eric"},{"family":"Monyeki","given":"Kotsedi Daniel K."},{"family":"Moon","given":"Jin Soo"},{"family":"Moosazadeh","given":"Mahmood"},{"family":"Moreira","given":"Leila B."},{"family":"Morejon","given":"Alain"},{"family":"Moreno","given":"Luis A."},{"family":"Morgan","given":"Karen"},{"family":"Moschonis","given":"George"},{"family":"Mossakowska","given":"Malgorzata"},{"family":"Mostafa","given":"Aya"},{"family":"Mostafavi","given":"Seyed-Ali"},{"family":"Mota","given":"Jorge"},{"family":"Motlagh","given":"Mohammad Esmaeel"},{"family":"Motta","given":"Jorge"},{"family":"Moura-dos-Santos","given":"Marcos André"},{"family":"Mridha","given":"Malay K."},{"family":"Msyamboza","given":"Kelias P."},{"family":"Mu","given":"Thet Thet"},{"family":"Muhihi","given":"Alfa J."},{"family":"Muiesan","given":"Maria L."},{"family":"Müller-Nurasyid","given":"Martina"},{"family":"Murphy","given":"Neil"},{"family":"Mursu","given":"Jaakko"},{"family":"Musa","given":"Kamarul Imran"},{"family":"Milanović","given":"Sanja Musić"},{"family":"Musil","given":"Vera"},{"family":"Mustafa","given":"Norlaila"},{"family":"Nabipour","given":"Iraj"},{"family":"Naderimagham","given":"Shohreh"},{"family":"Nagel","given":"Gabriele"},{"family":"Naidu","given":"Balkish M."},{"family":"Najafi","given":"Farid"},{"family":"Nakamura","given":"Harunobu"},{"family":"Námešná","given":"Jana"},{"family":"Nang","given":"Ei Ei K."},{"family":"Nangia","given":"Vinay B."},{"family":"Narake","given":"Sameer"},{"family":"Ndiaye","given":"Ndeye Coumba"},{"family":"Neal","given":"William A."},{"family":"Nejatizadeh","given":"Azim"},{"family":"Nenko","given":"Ilona"},{"family":"Neovius","given":"Martin"},{"family":"Nguyen","given":"Chung T."},{"family":"Nguyen","given":"Nguyen D."},{"family":"Nguyen","given":"Quang V."},{"family":"Nguyen","given":"Quang Ngoc"},{"family":"Nieto-Martínez","given":"Ramfis E."},{"family":"Niiranen","given":"Teemu J."},{"family":"Nikitin","given":"Yury P."},{"family":"Ninomiya","given":"Toshiharu"},{"family":"Nishtar","given":"Sania"},{"family":"Njelekela","given":"Marina A."},{"family":"Noale","given":"Marianna"},{"family":"Noboa","given":"Oscar A."},{"family":"Noorbala","given":"Ahmad Ali"},{"family":"Norat","given":"Teresa"},{"family":"Nordendahl","given":"Maria"},{"family":"Nordestgaard","given":"Børge G."},{"family":"Noto","given":"Davide"},{"family":"Nowak-Szczepanska","given":"Natalia"},{"family":"Nsour","given":"Mohannad Al"},{"family":"Nunes","given":"Baltazar"},{"family":"O'Neill","given":"Terence W."},{"family":"O'Reilly","given":"Dermot"},{"family":"Ochimana","given":"Caleb"},{"family":"Oda","given":"Eiji"},{"family":"Odili","given":"Augustine N."},{"family":"Oh","given":"Kyungwon"},{"family":"Ohara","given":"Kumiko"},{"family":"Ohtsuka","given":"Ryutaro"},{"family":"Olié","given":"Valérie"},{"family":"Olinto","given":"Maria Teresa A."},{"family":"Oliveira","given":"Isabel O."},{"family":"Omar","given":"Mohd Azahadi"},{"family":"Onat","given":"Altan"},{"family":"Ong","given":"Sok King"},{"family":"Ono","given":"Lariane M."},{"family":"Ordunez","given":"Pedro"},{"family":"Ornelas","given":"Rui"},{"family":"Ortiz","given":"Pedro J."},{"family":"Osmond","given":"Clive"},{"family":"Ostojic","given":"Sergej M."},{"family":"Ostovar","given":"Afshin"},{"family":"Otero","given":"Johanna A."},{"family":"Overvad","given":"Kim"},{"family":"Owusu-Dabo","given":"Ellis"},{"family":"Paccaud","given":"Fred Michel"},{"family":"Padez","given":"Cristina"},{"family":"Pahomova","given":"Elena"},{"family":"Paiva","given":"Karina Mary","dropping-particle":"de"},{"family":"Pająk","given":"Andrzej"},{"family":"Palli","given":"Domenico"},{"family":"Palmieri","given":"Luigi"},{"family":"Pan","given":"Wen-Harn"},{"family":"Panda-Jonas","given":"Songhomitra"},{"family":"Panza","given":"Francesco"},{"family":"Paoli","given":"Mariela"},{"family":"Papandreou","given":"Dimitrios"},{"family":"Park","given":"Soon-Woo"},{"family":"Park","given":"Suyeon"},{"family":"Parnell","given":"Winsome R."},{"family":"Parsaeian","given":"Mahboubeh"},{"family":"Pasquet","given":"Patrick"},{"family":"Patel","given":"Nikhil D."},{"family":"Pavlyshyn","given":"Halyna"},{"family":"Pećin","given":"Ivan"},{"family":"Pednekar","given":"Mangesh S."},{"family":"Pedro","given":"João M."},{"family":"Peer","given":"Nasheeta"},{"family":"Peixoto","given":"Sergio Viana"},{"family":"Peltonen","given":"Markku"},{"family":"Pereira","given":"Alexandre C."},{"family":"Peres","given":"Karen GDA"},{"family":"Peres","given":"Marco A."},{"family":"Peters","given":"Annette"},{"family":"Petkeviciene","given":"Janina"},{"family":"Peykari","given":"Niloofar"},{"family":"Pham","given":"Son Thai"},{"family":"Pichardo","given":"Rafael N."},{"family":"Pigeot","given":"Iris"},{"family":"Pikhart","given":"Hynek"},{"family":"Pilav","given":"Aida"},{"family":"Pilotto","given":"Lorenza"},{"family":"Pitakaka","given":"Freda"},{"family":"Piwonska","given":"Aleksandra"},{"family":"Pizarro","given":"Andreia","dropping-particle":"n"},{"family":"Plans-Rubió","given":"Pedro"},{"family":"Polašek","given":"Ozren"},{"family":"Porta","given":"Miquel"},{"family":"Poudyal","given":"Anil"},{"family":"Pourfarzi","given":"Farhad"},{"family":"Pourshams","given":"Akram"},{"family":"Poustchi","given":"Hossein"},{"family":"Pradeepa","given":"Rajendra"},{"family":"Price","given":"Alison J."},{"family":"Price","given":"Jacqueline F."},{"family":"Providencia","given":"Rui"},{"family":"Puhakka","given":"Soile E."},{"family":"Puiu","given":"Maria"},{"family":"Punab","given":"Margus"},{"family":"Qasrawi","given":"Radwan F."},{"family":"Qorbani","given":"Mostafa"},{"family":"Queiroz","given":"Daniel"},{"family":"Bao","given":"Tran Quoc"},{"family":"Radić","given":"Ivana"},{"family":"Radisauskas","given":"Ricardas"},{"family":"Rahimikazerooni","given":"Salar"},{"family":"Rahman","given":"Mahfuzar"},{"family":"Raitakari","given":"Olli"},{"family":"Raj","given":"Manu"},{"family":"Rakhimova","given":"Ellina M."},{"family":"Rao","given":"Sudha Ramachandra"},{"family":"Ramachandran","given":"Ambady"},{"family":"Ramos","given":"Elisabete"},{"family":"Rampal","given":"Lekhraj"},{"family":"Rampal","given":"Sanjay"},{"family":"Reina","given":"Daniel A. Rangel"},{"family":"Rarra","given":"Vayia"},{"family":"Rech","given":"Cassiano Ricardo"},{"family":"Redon","given":"Josep"},{"family":"Reganit","given":"Paul Ferdinand M."},{"family":"Regecová","given":"Valéria"},{"family":"Revilla","given":"Luis"},{"family":"Rezaianzadeh","given":"Abbas"},{"family":"Ribeiro","given":"Robespierre"},{"family":"Riboli","given":"Elio"},{"family":"Richter","given":"Adrian"},{"family":"Rigo","given":"Fernando"},{"family":"Wit","given":"Tobias F. Rinke","dropping-particle":"de"},{"family":"Ritti-Dias","given":"Raphael M."},{"family":"Robitaille","given":"Cynthia"},{"family":"Rodríguez-Artalejo","given":"Fernando"},{"family":"Rodriguez-Perez","given":"María del Cristo"},{"family":"Rodríguez-Villamizar","given":"Laura A."},{"family":"Roggenbuck","given":"Ulla"},{"family":"Rojas-Martinez","given":"Rosalba"},{"family":"Romaguera","given":"Dora"},{"family":"Romeo","given":"Elisabetta L."},{"family":"Rosengren","given":"Annika"},{"family":"Roy","given":"Joel GR"},{"family":"Rubinstein","given":"Adolfo"},{"family":"Ruidavets","given":"Jean-Bernard"},{"family":"Ruiz-Betancourt","given":"Blanca Sandra"},{"family":"Ruiz-Castell","given":"Maria"},{"family":"Rusakova","given":"Iuliia A."},{"family":"Russo","given":"Paola"},{"family":"Rutkowski","given":"Marcin"},{"family":"Sabanayagam","given":"Charumathi"},{"family":"Sabbaghi","given":"Hamideh"},{"family":"Sachdev","given":"Harshpal S."},{"family":"Sadjadi","given":"Alireza"},{"family":"Safarpour","given":"Ali Reza"},{"family":"Safi","given":"Sare"},{"family":"Safiri","given":"Saeid"},{"family":"Saidi","given":"Olfa"},{"family":"Sakarya","given":"Sibel"},{"family":"Saki","given":"Nader"},{"family":"Salanave","given":"Benoit"},{"family":"Martinez","given":"Eduardo Salazar"},{"family":"Salmerón","given":"Diego"},{"family":"Salomaa","given":"Veikko"},{"family":"Salonen","given":"Jukka T."},{"family":"Salvetti","given":"Massimo"},{"family":"Sánchez-Abanto","given":"Jose"},{"family":"Sans","given":"Susana"},{"family":"Santos","given":"Diana A."},{"family":"Santos","given":"Ina S."},{"family":"Santos","given":"Lèlita C."},{"family":"Santos","given":"Maria Paula"},{"family":"Santos","given":"Rute"},{"family":"Saramies","given":"Jouko L."},{"family":"Sardinha","given":"Luis B."},{"family":"Sarganas","given":"Giselle"},{"family":"Sarrafzadegan","given":"Nizal"},{"family":"Sathish","given":"Thirunavukkarasu"},{"family":"Saum","given":"Kai-Uwe"},{"family":"Savva","given":"Savvas"},{"family":"Sawada","given":"Norie"},{"family":"Sbaraini","given":"Mariana"},{"family":"Scazufca","given":"Marcia"},{"family":"Schaan","given":"Beatriz D."},{"family":"Schargrodsky","given":"Herman"},{"family":"Schipf","given":"Sabine"},{"family":"Schmidt","given":"Carsten O."},{"family":"Schnohr","given":"Peter"},{"family":"Schöttker","given":"Ben"},{"family":"Schramm","given":"Sara"},{"family":"Schultsz","given":"Constance"},{"family":"Schutte","given":"Aletta E."},{"family":"Sebert","given":"Sylvain"},{"family":"Sein","given":"Aye Aye"},{"family":"Sen","given":"Abhijit"},{"family":"Senbanjo","given":"Idowu O."},{"family":"Sepanlou","given":"Sadaf G."},{"family":"Servais","given":"Jennifer"},{"family":"Shalnova","given":"Svetlana A."},{"family":"Shamah-Levy","given":"Teresa"},{"family":"Shamshirgaran","given":"Morteza"},{"family":"Shanthirani","given":"Coimbatore Subramaniam"},{"family":"Sharafkhah","given":"Maryam"},{"family":"Sharma","given":"Sanjib K."},{"family":"Shaw","given":"Jonathan E."},{"family":"Shayanrad","given":"Amaneh"},{"family":"Shayesteh","given":"Ali Akbar"},{"family":"Shi","given":"Zumin"},{"family":"Shibuya","given":"Kenji"},{"family":"Shimizu-Furusawa","given":"Hana"},{"family":"Shin","given":"Dong Wook"},{"family":"Shirani","given":"Majid"},{"family":"Shiri","given":"Rahman"},{"family":"Shrestha","given":"Namuna"},{"family":"Si-Ramlee","given":"Khairil"},{"family":"Siani","given":"Alfonso"},{"family":"Siantar","given":"Rosalynn"},{"family":"Sibai","given":"Abla M."},{"family":"Silva","given":"Caroline Ramos de Moura"},{"family":"Silva","given":"Diego Augusto Santos"},{"family":"Simon","given":"Mary"},{"family":"Simons","given":"Judith"},{"family":"Simons","given":"Leon A."},{"family":"Sjöström","given":"Michael"},{"family":"Slowikowska-Hilczer","given":"Jolanta"},{"family":"Slusarczyk","given":"Przemyslaw"},{"family":"Smeeth","given":"Liam"},{"family":"So","given":"Hung-Kwan"},{"family":"Soares","given":"Fernanda Cunha"},{"family":"Sobngwi","given":"Eugène"},{"family":"Söderberg","given":"Stefan"},{"family":"Soemantri","given":"Agustinus"},{"family":"Sofat","given":"Reecha"},{"family":"Solfrizzi","given":"Vincenzo"},{"family":"Somi","given":"Mohammad Hossein"},{"family":"Sonestedt","given":"Emily"},{"family":"Song","given":"Yi"},{"family":"Sørensen","given":"Thorkild IA"},{"family":"Sørgjerd","given":"Elin P."},{"family":"Sorić","given":"Maroje"},{"family":"Jérome","given":"Charles Sossa"},{"family":"Soumaré","given":"Aïcha"},{"family":"Sparboe-Nilsen","given":"Bente"},{"family":"Sparrenberger","given":"Karen"},{"family":"Staessen","given":"Jan A."},{"family":"Starc","given":"Gregor"},{"family":"Stavreski","given":"Bill"},{"family":"Steene-Johannessen","given":"Jostein"},{"family":"Stehle","given":"Peter"},{"family":"Stein","given":"Aryeh D."},{"family":"Stergiou","given":"George S."},{"family":"Stessman","given":"Jochanan"},{"family":"Stieber","given":"Jutta"},{"family":"Stöckl","given":"Doris"},{"family":"Stocks","given":"Tanja"},{"family":"Stokwiszewski","given":"Jakub"},{"family":"Stronks","given":"Karien"},{"family":"Strufaldi","given":"Maria Wany"},{"family":"Suka","given":"Machi"},{"family":"Sun","given":"Chien-An"},{"family":"Sung","given":"Yn-Tz"},{"family":"Suriyawongpaisal","given":"Paibul"},{"family":"Sy","given":"Rody G."},{"family":"Syddall","given":"Holly E."},{"family":"Sylva","given":"René Charles"},{"family":"Szklo","given":"Moyses"},{"family":"Tai","given":"E. Shyong"},{"family":"Tammesoo","given":"Mari-Liis"},{"family":"Tamosiunas","given":"Abdonas"},{"family":"Tan","given":"Eng Joo"},{"family":"Tang","given":"Xun"},{"family":"Tanser","given":"Frank"},{"family":"Tao","given":"Yong"},{"family":"Tarawneh","given":"Mohammed Rasoul"},{"family":"Tarqui-Mamani","given":"Carolina B."},{"family":"Taylor","given":"Anne"},{"family":"Taylor","given":"Julie"},{"family":"Tebar","given":"William R."},{"family":"Tell","given":"Grethe S."},{"family":"Tello","given":"Tania"},{"family":"Tham","given":"Yih Chung"},{"family":"Thankappan","given":"K. R."},{"family":"Theobald","given":"Holger"},{"family":"Theodoridis","given":"Xenophon"},{"family":"Thijs","given":"Lutgarde"},{"family":"Thinggaard","given":"Mikael"},{"family":"Thomas","given":"Nihal"},{"family":"Thorand","given":"Barbara"},{"family":"Thuesen","given":"Betina H."},{"family":"Timmermans","given":"Erik J."},{"family":"Tjandrarini","given":"Dwi H."},{"family":"Tjonneland","given":"Anne"},{"family":"Toft","given":"Ulla"},{"family":"Tolonen","given":"Hanna K."},{"family":"Tolstrup","given":"Janne S."},{"family":"Topbas","given":"Murat"},{"family":"Topór-Madry","given":"Roman"},{"family":"Tormo","given":"María José"},{"family":"Tornaritis","given":"Michael J."},{"family":"Torrent","given":"Maties"},{"family":"Torres-Collado","given":"Laura"},{"family":"Touloumi","given":"Giota"},{"family":"Traissac","given":"Pierre"},{"family":"Triantafyllou","given":"Areti"},{"family":"Trichopoulos","given":"Dimitrios"},{"family":"Trichopoulou","given":"Antonia"},{"family":"Trinh","given":"Oanh TH"},{"family":"Trivedi","given":"Atul"},{"family":"Tshepo","given":"Lechaba"},{"family":"Tsugane","given":"Shoichiro"},{"family":"Tuliakova","given":"Azaliia M."},{"family":"Tulloch-Reid","given":"Marshall K."},{"family":"Tullu","given":"Fikru"},{"family":"Tuomainen","given":"Tomi-Pekka"},{"family":"Tuomilehto","given":"Jaakko"},{"family":"Turley","given":"Maria L."},{"family":"Twig","given":"Gilad"},{"family":"Tynelius","given":"Per"},{"family":"Tzourio","given":"Christophe"},{"family":"Ueda","given":"Peter"},{"family":"Ugel","given":"Eunice"},{"family":"Ulmer","given":"Hanno"},{"family":"Uusitalo","given":"Hannu MT"},{"family":"Valdivia","given":"Gonzalo"},{"family":"Valvi","given":"Damaskini"},{"family":"Dam","given":"Rob M.","dropping-particle":"van"},{"family":"Born","given":"Bert-Jan","dropping-particle":"van den"},{"family":"Heyden","given":"Johan Van","dropping-particle":"der"},{"family":"Schouw","given":"Yvonne T.","dropping-particle":"van der"},{"family":"Herck","given":"Koen Van"},{"family":"Minh","given":"Hoang Van"},{"family":"Schoor","given":"Natasja M. Van"},{"family":"Valkengoed","given":"Irene GM","dropping-particle":"van"},{"family":"Zutphen","given":"Elisabeth M.","dropping-particle":"van"},{"family":"Vanderschueren","given":"Dirk"},{"family":"Vanuzzo","given":"Diego"},{"family":"Varbo","given":"Anette"},{"family":"Vasan","given":"Senthil K."},{"family":"Vega","given":"Tomas"},{"family":"Veidebaum","given":"Toomas"},{"family":"Velasquez-Melendez","given":"Gustavo"},{"family":"Veronesi","given":"Giovanni"},{"family":"Verschuren","given":"WM Monique"},{"family":"Verstraeten","given":"Roosmarijn"},{"family":"Victora","given":"Cesar G."},{"family":"Viet","given":"Lucie"},{"family":"Villalpando","given":"Salvador"},{"family":"Vineis","given":"Paolo"},{"family":"Vioque","given":"Jesus"},{"family":"Virtanen","given":"Jyrki K."},{"family":"Visvikis-Siest","given":"Sophie"},{"family":"Viswanathan","given":"Bharathi"},{"family":"Vlasoff","given":"Tiina"},{"family":"Vollenweider","given":"Peter"},{"family":"Voutilainen","given":"Ari"},{"family":"Wade","given":"Alisha N."},{"family":"Walton","given":"Janette"},{"family":"Wambiya","given":"Elvis OA"},{"family":"Bebakar","given":"Wan Mohamad Wan"},{"family":"Mohamud","given":"Wan Nazaimoon Wan"},{"family":"Júnior","given":"Rildo de Souza Wanderley"},{"family":"Wang","given":"Ming-Dong"},{"family":"Wang","given":"Ningli"},{"family":"Wang","given":"Qian"},{"family":"Wang","given":"Xiangjun"},{"family":"Wang","given":"Ya Xing"},{"family":"Wang","given":"Ying-Wei"},{"family":"Wannamethee","given":"S. Goya"},{"family":"Wareham","given":"Nicholas"},{"family":"Wei","given":"Wenbin"},{"family":"Weres","given":"Aneta"},{"family":"Werner","given":"Bo"},{"family":"Whincup","given":"Peter H."},{"family":"Widhalm","given":"Kurt"},{"family":"Wiecek","given":"Andrzej"},{"family":"Wilks","given":"Rainford J."},{"family":"Willeit","given":"Johann"},{"family":"Willeit","given":"Peter"},{"family":"Williams","given":"Emmanuel A."},{"family":"Wilsgaard","given":"Tom"},{"family":"Wojtyniak","given":"Bogdan"},{"family":"Wong-McClure","given":"Roy A."},{"family":"Wong","given":"Andrew"},{"family":"Wong","given":"Tien Yin"},{"family":"Woo","given":"Jean"},{"family":"Wu","given":"Frederick C."},{"family":"Wu","given":"Shouling"},{"family":"Wyszynska","given":"Justyna"},{"family":"Xu","given":"Haiquan"},{"family":"Xu","given":"Liang"},{"family":"Yaacob","given":"Nor Azwany"},{"family":"Yan","given":"Weili"},{"family":"Yang","given":"Ling"},{"family":"Yang","given":"Xiaoguang"},{"family":"Yang","given":"Yang"},{"family":"Yasuharu","given":"Tabara"},{"family":"Ye","given":"Xingwang"},{"family":"Yiallouros","given":"Panayiotis K."},{"family":"Yoosefi","given":"Moein"},{"family":"Yoshihara","given":"Akihiro"},{"family":"You","given":"San-Lin"},{"family":"Younger-Coleman","given":"Novie O."},{"family":"Yusoff","given":"Ahmad Faudzi"},{"family":"Zainuddin","given":"Ahmad A."},{"family":"Zakavi","given":"Seyed Rasoul"},{"family":"Zamani","given":"Farhad"},{"family":"Zambon","given":"Sabina"},{"family":"Zampelas","given":"Antonis"},{"family":"Zapata","given":"Maria Elisa"},{"family":"Zaw","given":"Ko Ko"},{"family":"Zejglicova","given":"Kristyna"},{"family":"Vrkic","given":"Tajana Zeljkovic"},{"family":"Zeng","given":"Yi"},{"family":"Zhang","given":"Luxia"},{"family":"Zhang","given":"Zhen-Yu"},{"family":"Zhao","given":"Dong"},{"family":"Zhao","given":"Ming-Hui"},{"family":"Zhen","given":"Shiqi"},{"family":"Zheng","given":"Yingfeng"},{"family":"Zholdin","given":"Bekbolat"},{"family":"Zhu","given":"Dan"},{"family":"Zins","given":"Marie"},{"family":"Zitt","given":"Emanuel"},{"family":"Zocalo","given":"Yanina"},{"family":"Zoghlami","given":"Nada"},{"family":"Cisneros","given":"Julio Zuñiga"},{"family":"Ezzati","given":"Majid"}],"accessed":{"date-parts":[["2025",3,5]]},"issued":{"date-parts":[["2021",9,11]]}}}],"schema":"https://github.com/citation-style-language/schema/raw/master/csl-citation.json"} </w:instrText>
      </w:r>
      <w:r w:rsidRPr="006B0F6C">
        <w:rPr>
          <w:rFonts w:ascii="Arial" w:hAnsi="Arial" w:cs="Arial"/>
        </w:rPr>
        <w:fldChar w:fldCharType="separate"/>
      </w:r>
      <w:r w:rsidRPr="006B0F6C">
        <w:rPr>
          <w:rFonts w:ascii="Arial" w:hAnsi="Arial" w:cs="Arial"/>
          <w:noProof/>
        </w:rPr>
        <w:t>(B. Zhou et al., 2021)</w:t>
      </w:r>
      <w:r w:rsidRPr="006B0F6C">
        <w:rPr>
          <w:rFonts w:ascii="Arial" w:hAnsi="Arial" w:cs="Arial"/>
        </w:rPr>
        <w:fldChar w:fldCharType="end"/>
      </w:r>
      <w:r w:rsidRPr="006B0F6C">
        <w:rPr>
          <w:rFonts w:ascii="Arial" w:hAnsi="Arial" w:cs="Arial"/>
        </w:rPr>
        <w:t xml:space="preserve">. </w:t>
      </w:r>
    </w:p>
    <w:p w14:paraId="357ECE88" w14:textId="77777777" w:rsidR="0086275A" w:rsidRPr="006B0F6C" w:rsidRDefault="0086275A" w:rsidP="0086275A">
      <w:pPr>
        <w:jc w:val="both"/>
        <w:rPr>
          <w:rFonts w:ascii="Arial" w:hAnsi="Arial" w:cs="Arial"/>
        </w:rPr>
      </w:pPr>
      <w:r w:rsidRPr="006B0F6C">
        <w:rPr>
          <w:rFonts w:ascii="Arial" w:hAnsi="Arial" w:cs="Arial"/>
        </w:rPr>
        <w:t xml:space="preserve">The prevalence of diabetes mellitus in the sample increased by 11% from one year to the next (18.2% in year 1 and 26.1% in year 2). Sun et al. (2022) state that the global prevalence of diabetes in adults aged 20-79 in 2021 was approximately 10.5%, with the highest prevalence (24.0%) in the 75-79 age group </w:t>
      </w:r>
      <w:r w:rsidRPr="006B0F6C">
        <w:rPr>
          <w:rFonts w:ascii="Arial" w:hAnsi="Arial" w:cs="Arial"/>
        </w:rPr>
        <w:fldChar w:fldCharType="begin"/>
      </w:r>
      <w:r w:rsidRPr="006B0F6C">
        <w:rPr>
          <w:rFonts w:ascii="Arial" w:hAnsi="Arial" w:cs="Arial"/>
        </w:rPr>
        <w:instrText xml:space="preserve"> ADDIN ZOTERO_ITEM CSL_CITATION {"citationID":"8uf6PAcL","properties":{"formattedCitation":"(Sun et al., 2022)","plainCitation":"(Sun et al., 2022)","noteIndex":0},"citationItems":[{"id":448,"uris":["http://zotero.org/users/16006184/items/XVRN5DBI"],"itemData":{"id":448,"type":"article-journal","container-title":"Diabetes Research and Clinical Practice","DOI":"10.1016/j.diabres.2021.109119","ISSN":"0168-8227, 1872-8227","journalAbbreviation":"Diabetes Research and Clinical Practice","language":"English","note":"publisher: Elsevier\nPMID: 34879977","source":"www.diabetesresearchclinicalpractice.com","title":"IDF Diabetes Atlas: Global, regional and country-level diabetes prevalence estimates for 2021 and projections for 2045","title-short":"IDF Diabetes Atlas","URL":"https://www.diabetesresearchclinicalpractice.com/article/S0168-8227(21)00478-2/abstract","volume":"183","author":[{"family":"Sun","given":"Hong"},{"family":"Saeedi","given":"Pouya"},{"family":"Karuranga","given":"Suvi"},{"family":"Pinkepank","given":"Moritz"},{"family":"Ogurtsova","given":"Katherine"},{"family":"Duncan","given":"Bruce B."},{"family":"Stein","given":"Caroline"},{"family":"Basit","given":"Abdul"},{"family":"Chan","given":"Juliana C. N."},{"family":"Mbanya","given":"Jean Claude"},{"family":"Pavkov","given":"Meda E."},{"family":"Ramachandaran","given":"Ambady"},{"family":"Wild","given":"Sarah H."},{"family":"James","given":"Steven"},{"family":"Herman","given":"William H."},{"family":"Zhang","given":"Ping"},{"family":"Bommer","given":"Christian"},{"family":"Kuo","given":"Shihchen"},{"family":"Boyko","given":"Edward J."},{"family":"Magliano","given":"Dianna J."}],"accessed":{"date-parts":[["2025",3,5]]},"issued":{"date-parts":[["2022",1,1]]}}}],"schema":"https://github.com/citation-style-language/schema/raw/master/csl-citation.json"} </w:instrText>
      </w:r>
      <w:r w:rsidRPr="006B0F6C">
        <w:rPr>
          <w:rFonts w:ascii="Arial" w:hAnsi="Arial" w:cs="Arial"/>
        </w:rPr>
        <w:fldChar w:fldCharType="separate"/>
      </w:r>
      <w:r w:rsidRPr="006B0F6C">
        <w:rPr>
          <w:rFonts w:ascii="Arial" w:hAnsi="Arial" w:cs="Arial"/>
          <w:noProof/>
        </w:rPr>
        <w:t>(Sun et al., 2022)</w:t>
      </w:r>
      <w:r w:rsidRPr="006B0F6C">
        <w:rPr>
          <w:rFonts w:ascii="Arial" w:hAnsi="Arial" w:cs="Arial"/>
        </w:rPr>
        <w:fldChar w:fldCharType="end"/>
      </w:r>
      <w:r w:rsidRPr="006B0F6C">
        <w:rPr>
          <w:rFonts w:ascii="Arial" w:hAnsi="Arial" w:cs="Arial"/>
        </w:rPr>
        <w:t xml:space="preserve">. In both periods, 32% of the sample was overweight or obese, defined as body mass index &gt;25 and &gt;30, respectively. According to data from the Food and Nutrition Surveillance System, the western region of Santa Catarina has 37.3% of adults who are obese, 33.6% who are overweight and, among the elderly, 58.1% who are overweight </w:t>
      </w:r>
      <w:r w:rsidRPr="006B0F6C">
        <w:rPr>
          <w:rFonts w:ascii="Arial" w:hAnsi="Arial" w:cs="Arial"/>
        </w:rPr>
        <w:fldChar w:fldCharType="begin"/>
      </w:r>
      <w:r w:rsidRPr="006B0F6C">
        <w:rPr>
          <w:rFonts w:ascii="Arial" w:hAnsi="Arial" w:cs="Arial"/>
        </w:rPr>
        <w:instrText xml:space="preserve"> ADDIN ZOTERO_ITEM CSL_CITATION {"citationID":"5wBMW3mr","properties":{"formattedCitation":"(Brasil, 2021)","plainCitation":"(Brasil, 2021)","noteIndex":0},"citationItems":[{"id":356,"uris":["http://zotero.org/users/16006184/items/FVBTX6J3"],"itemData":{"id":356,"type":"webpage","container-title":"Ministério da Saúde","title":"Sistema de Vigilância Alimentar e Nutricional. Relatórios do Estado nutricional dos indivíduos acompanhados por período, fase do ciclo da vida e índice.","URL":"https://sisaps.saude.gov.br/sisvan/relatoriopublico/index.","author":[{"family":"Brasil","given":""}],"accessed":{"date-parts":[["2023",5,20]]},"issued":{"date-parts":[["2021"]]}}}],"schema":"https://github.com/citation-style-language/schema/raw/master/csl-citation.json"} </w:instrText>
      </w:r>
      <w:r w:rsidRPr="006B0F6C">
        <w:rPr>
          <w:rFonts w:ascii="Arial" w:hAnsi="Arial" w:cs="Arial"/>
        </w:rPr>
        <w:fldChar w:fldCharType="separate"/>
      </w:r>
      <w:r w:rsidRPr="006B0F6C">
        <w:rPr>
          <w:rFonts w:ascii="Arial" w:hAnsi="Arial" w:cs="Arial"/>
          <w:noProof/>
        </w:rPr>
        <w:t>(Brasil, 2021)</w:t>
      </w:r>
      <w:r w:rsidRPr="006B0F6C">
        <w:rPr>
          <w:rFonts w:ascii="Arial" w:hAnsi="Arial" w:cs="Arial"/>
        </w:rPr>
        <w:fldChar w:fldCharType="end"/>
      </w:r>
      <w:r w:rsidRPr="006B0F6C">
        <w:rPr>
          <w:rFonts w:ascii="Arial" w:hAnsi="Arial" w:cs="Arial"/>
        </w:rPr>
        <w:t xml:space="preserve">. The lower percentage found in this study can be explained by the lack of information on body mass index in most of the medical records consulted. </w:t>
      </w:r>
    </w:p>
    <w:p w14:paraId="5CC5FC7D" w14:textId="77777777" w:rsidR="0086275A" w:rsidRPr="006B0F6C" w:rsidRDefault="0086275A" w:rsidP="0086275A">
      <w:pPr>
        <w:jc w:val="both"/>
        <w:rPr>
          <w:rFonts w:ascii="Arial" w:hAnsi="Arial" w:cs="Arial"/>
        </w:rPr>
      </w:pPr>
      <w:r w:rsidRPr="006B0F6C">
        <w:rPr>
          <w:rFonts w:ascii="Arial" w:hAnsi="Arial" w:cs="Arial"/>
        </w:rPr>
        <w:t xml:space="preserve">Almost 15% of hospitalized patients were smokers or former smokers, which corroborates the meta-analysis carried out by Simons et al. (2021) in which the probability of smokers and former smokers having a higher risk of hospitalization for Covid-19 compared to non-smokers was 35% and 89%, respectively </w:t>
      </w:r>
      <w:r w:rsidRPr="006B0F6C">
        <w:rPr>
          <w:rFonts w:ascii="Arial" w:hAnsi="Arial" w:cs="Arial"/>
        </w:rPr>
        <w:fldChar w:fldCharType="begin"/>
      </w:r>
      <w:r w:rsidRPr="006B0F6C">
        <w:rPr>
          <w:rFonts w:ascii="Arial" w:hAnsi="Arial" w:cs="Arial"/>
        </w:rPr>
        <w:instrText xml:space="preserve"> ADDIN ZOTERO_ITEM CSL_CITATION {"citationID":"gmJc7BBN","properties":{"formattedCitation":"(Simons et al., 2021)","plainCitation":"(Simons et al., 2021)","noteIndex":0},"citationItems":[{"id":437,"uris":["http://zotero.org/users/16006184/items/HBQCXBSD"],"itemData":{"id":437,"type":"article-journal","abstract":"Aims To estimate the association of smoking status with rates of (i) infection, (ii) hospitalization, (iii) disease severity and (iv) mortality from SARS-CoV-2/COVID-19 disease. Design Living rapid review of observational and experimental studies with random-effects hierarchical Bayesian meta-analyses. Published articles and pre-prints were identified via MEDLINE and medRxiv. Setting Community or hospital, no restrictions on location. Participants Adults who received a SARS-CoV-2 test or a COVID-19 diagnosis. Measurements Outcomes were SARS-CoV-2 infection, hospitalization, disease severity and mortality stratified by smoking status. Study quality was assessed (i.e. ‘good’, ‘fair’ and ‘poor’). Findings Version 7 (searches up to 25 August 2020) included 233 studies with 32 ‘good’ and ‘fair’ quality studies included in meta-analyses. Fifty-seven studies (24.5%) reported current, former and never smoking status. Recorded smoking prevalence among people with COVID-19 was generally lower than national prevalence. Current compared with never smokers were at reduced risk of SARS-CoV-2 infection [relative risk (RR) = 0.74, 95% credible interval (CrI) = 0.58–0.93, τ = 0.41]. Data for former smokers were inconclusive (RR = 1.05, 95% CrI = 0.95–1.17, τ = 0.17), but favoured there being no important association (21% probability of RR ≥ 1.1). Former compared with never smokers were at somewhat increased risk of hospitalization (RR = 1.20, CrI = 1.03–1.44, τ = 0.17), greater disease severity (RR = 1.52, CrI = 1.13–2.07, τ = 0.29) and mortality (RR = 1.39, 95% CrI = 1.09–1.87, τ = 0.27). Data for current smokers were inconclusive (RR = 1.06, CrI = 0.82–1.35, τ = 0.27; RR = 1.25, CrI = 0.85–1.93, τ = 0.34; RR = 1.22, 95% CrI = 0.78–1.94, τ = 0.49, respectively), but favoured there being no important associations with hospitalization and mortality (35% and 70% probability of RR ≥ 1.1, respectively) and a small but important association with disease severity (79% probability of RR ≥ 1.1). Conclusions Compared with never smokers, current smokers appear to be at reduced risk of SARS-CoV-2 infection, while former smokers appear to be at increased risk of hospitalization, increased disease severity and mortality from COVID-19. However, it is uncertain whether these associations are causal.","container-title":"Addiction","DOI":"10.1111/add.15276","ISSN":"1360-0443","issue":"6","language":"en","license":"© 2020 The Authors. Addiction published by John Wiley &amp; Sons Ltd on behalf of Society for the Study of Addiction","note":"_eprint: https://onlinelibrary.wiley.com/doi/pdf/10.1111/add.15276","page":"1319-1368","source":"Wiley Online Library","title":"The association of smoking status with SARS-CoV-2 infection, hospitalization and mortality from COVID-19: a living rapid evidence review with Bayesian meta-analyses (version 7)","title-short":"The association of smoking status with SARS-CoV-2 infection, hospitalization and mortality from COVID-19","URL":"https://onlinelibrary.wiley.com/doi/abs/10.1111/add.15276","volume":"116","author":[{"family":"Simons","given":"David"},{"family":"Shahab","given":"Lion"},{"family":"Brown","given":"Jamie"},{"family":"Perski","given":"Olga"}],"accessed":{"date-parts":[["2025",3,5]]},"issued":{"date-parts":[["2021"]]}}}],"schema":"https://github.com/citation-style-language/schema/raw/master/csl-citation.json"} </w:instrText>
      </w:r>
      <w:r w:rsidRPr="006B0F6C">
        <w:rPr>
          <w:rFonts w:ascii="Arial" w:hAnsi="Arial" w:cs="Arial"/>
        </w:rPr>
        <w:fldChar w:fldCharType="separate"/>
      </w:r>
      <w:r w:rsidRPr="006B0F6C">
        <w:rPr>
          <w:rFonts w:ascii="Arial" w:hAnsi="Arial" w:cs="Arial"/>
          <w:noProof/>
        </w:rPr>
        <w:t>(Simons et al., 2021)</w:t>
      </w:r>
      <w:r w:rsidRPr="006B0F6C">
        <w:rPr>
          <w:rFonts w:ascii="Arial" w:hAnsi="Arial" w:cs="Arial"/>
        </w:rPr>
        <w:fldChar w:fldCharType="end"/>
      </w:r>
      <w:r w:rsidRPr="006B0F6C">
        <w:rPr>
          <w:rFonts w:ascii="Arial" w:hAnsi="Arial" w:cs="Arial"/>
        </w:rPr>
        <w:t xml:space="preserve">. A total of 11.25% of the patients whose medical records made up this sample had some previous heart disease or ischemic event, which is corroborated by a study by Goyal et al. (2020) in which cardiovascular pathologies were present in 8 to 25% of patients with Covid-19, with a higher proportion of patients with a worse prognosis </w:t>
      </w:r>
      <w:r w:rsidRPr="006B0F6C">
        <w:rPr>
          <w:rFonts w:ascii="Arial" w:hAnsi="Arial" w:cs="Arial"/>
        </w:rPr>
        <w:fldChar w:fldCharType="begin"/>
      </w:r>
      <w:r w:rsidRPr="006B0F6C">
        <w:rPr>
          <w:rFonts w:ascii="Arial" w:hAnsi="Arial" w:cs="Arial"/>
        </w:rPr>
        <w:instrText xml:space="preserve"> ADDIN ZOTERO_ITEM CSL_CITATION {"citationID":"2sNbtaRq","properties":{"formattedCitation":"(Goyal et al., 2020)","plainCitation":"(Goyal et al., 2020)","noteIndex":0},"citationItems":[{"id":386,"uris":["http://zotero.org/users/16006184/items/P37MD634"],"itemData":{"id":386,"type":"article-journal","abstract":"In this series of 393 consecutive patients admitted with Covid-19 to two New York City hospitals from March 3 to March 27, a third of patients received invasive mechanical ventilation, 10% of patients died, and 24% were still hospitalized as of April 10.","container-title":"New England Journal of Medicine","DOI":"10.1056/NEJMc2010419","ISSN":"0028-4793","issue":"24","note":"publisher: Massachusetts Medical Society\n_eprint: https://www.nejm.org/doi/pdf/10.1056/NEJMc2010419","page":"2372-2374","source":"Taylor and Francis+NEJM","title":"Clinical Characteristics of Covid-19 in New York City","URL":"https://www.nejm.org/doi/full/10.1056/NEJMc2010419","volume":"382","author":[{"family":"Goyal","given":"Parag"},{"family":"Choi","given":"Justin J."},{"family":"Pinheiro","given":"Laura C."},{"family":"Schenck","given":"Edward J."},{"family":"Chen","given":"Ruijun"},{"family":"Jabri","given":"Assem"},{"family":"Satlin","given":"Michael J."},{"family":"Campion","given":"Thomas R."},{"family":"Nahid","given":"Musarrat"},{"family":"Ringel","given":"Joanna B."},{"family":"Hoffman","given":"Katherine L."},{"family":"Alshak","given":"Mark N."},{"family":"Li","given":"Han A."},{"family":"Wehmeyer","given":"Graham T."},{"family":"Rajan","given":"Mangala"},{"family":"Reshetnyak","given":"Evgeniya"},{"family":"Hupert","given":"Nathaniel"},{"family":"Horn","given":"Evelyn M."},{"family":"Martinez","given":"Fernando J."},{"family":"Gulick","given":"Roy M."},{"family":"Safford","given":"Monika M."}],"accessed":{"date-parts":[["2025",3,5]]},"issued":{"date-parts":[["2020",6,11]]}}}],"schema":"https://github.com/citation-style-language/schema/raw/master/csl-citation.json"} </w:instrText>
      </w:r>
      <w:r w:rsidRPr="006B0F6C">
        <w:rPr>
          <w:rFonts w:ascii="Arial" w:hAnsi="Arial" w:cs="Arial"/>
        </w:rPr>
        <w:fldChar w:fldCharType="separate"/>
      </w:r>
      <w:r w:rsidRPr="006B0F6C">
        <w:rPr>
          <w:rFonts w:ascii="Arial" w:hAnsi="Arial" w:cs="Arial"/>
          <w:noProof/>
        </w:rPr>
        <w:t>(Goyal et al., 2020)</w:t>
      </w:r>
      <w:r w:rsidRPr="006B0F6C">
        <w:rPr>
          <w:rFonts w:ascii="Arial" w:hAnsi="Arial" w:cs="Arial"/>
        </w:rPr>
        <w:fldChar w:fldCharType="end"/>
      </w:r>
      <w:r w:rsidRPr="006B0F6C">
        <w:rPr>
          <w:rFonts w:ascii="Arial" w:hAnsi="Arial" w:cs="Arial"/>
        </w:rPr>
        <w:t xml:space="preserve">. In this study's sample, dyslipidemia, a risk factor for cardiovascular disease, was present in 8% to 9% of hospitalized patients. </w:t>
      </w:r>
    </w:p>
    <w:p w14:paraId="32743362" w14:textId="77777777" w:rsidR="0086275A" w:rsidRPr="006B0F6C" w:rsidRDefault="0086275A" w:rsidP="0086275A">
      <w:pPr>
        <w:jc w:val="both"/>
        <w:rPr>
          <w:rFonts w:ascii="Arial" w:hAnsi="Arial" w:cs="Arial"/>
        </w:rPr>
      </w:pPr>
      <w:r w:rsidRPr="006B0F6C">
        <w:rPr>
          <w:rFonts w:ascii="Arial" w:hAnsi="Arial" w:cs="Arial"/>
        </w:rPr>
        <w:t xml:space="preserve">Other comorbidities such as chronic kidney disease, asthma, chronic obstructive pulmonary disease, cancer, autoimmune diseases and psychiatric disorders have been observed in around 30% of hospitalized patients. It is reported that a significant proportion of Covid-19 patients suffer from other previous comorbidities </w:t>
      </w:r>
      <w:r w:rsidRPr="006B0F6C">
        <w:rPr>
          <w:rFonts w:ascii="Arial" w:hAnsi="Arial" w:cs="Arial"/>
        </w:rPr>
        <w:fldChar w:fldCharType="begin"/>
      </w:r>
      <w:r w:rsidRPr="006B0F6C">
        <w:rPr>
          <w:rFonts w:ascii="Arial" w:hAnsi="Arial" w:cs="Arial"/>
        </w:rPr>
        <w:instrText xml:space="preserve"> ADDIN ZOTERO_ITEM CSL_CITATION {"citationID":"OKwkSAaA","properties":{"formattedCitation":"(M. K. Singh et al., 2021)","plainCitation":"(M. K. Singh et al., 2021)","noteIndex":0},"citationItems":[{"id":440,"uris":["http://zotero.org/users/16006184/items/YMBLYM4U"],"itemData":{"id":440,"type":"article-journal","abstract":"Comorbidities in COVID-19 patients often lead to more severe outcomes. The disease-specific molecular events, which may induce susceptibility to Severe Acute Respiratory Syndrome Coronavirus 2 (SARS-CoV-2) infection, are being investigated. To assess this, we retrieved array-based gene expression datasets from patients of 30 frequently occurring acute, chronic, or infectious diseases. Comparative analyses of the datasets were performed after quantile normalization and log2 transformation. Among the 78 host genes prominently implicated in COVID-19 infection, ACE2 (receptor for SARS-CoV-2) was positively regulated in several cases, namely, leukemia, psoriasis, lung cancer, non-alcoholic fatty liver disease (NAFLD), breast cancer, and pulmonary arterial hypertension (PAH). FURIN was positively regulated in some cases, such as leukemia, psoriasis, NAFLD, lung cancer, and type II diabetes (T2D), while TMPRSS2 was positively regulated in only 3 cases, namely, leukemia, lung cancer, and T2D. Genes encoding various interferons, cytokines, chemokines, and mediators of JAK-STAT pathway were positively regulated in leukemia, NAFLD, and T2D cases. Among the 161 genes that are positively regulated in the lungs of COVID-19 patients, 99–111 genes in leukemia (including various studied subtypes), 77 genes in NAFLD, and 48 genes in psoriasis were also positively regulated. Because of the high similarity in gene expression patterns, the patients of leukemia, NAFLD, T2D, psoriasis, and PAH may need additional preventive care against acquiring SARS-CoV-2 infections. Further, two genes CARBONIC ANHYDRASE 11 (CA11) and CLUSTERIN (CLU) were positively regulated in the lungs of patients infected with either SARS-CoV-2, or SARS-CoV or Middle East Respiratory Syndrome Coronavirus (MERS-CoV).","container-title":"Computers in Biology and Medicine","DOI":"10.1016/j.compbiomed.2021.104219","ISSN":"0010-4825","journalAbbreviation":"Computers in Biology and Medicine","page":"104219","source":"ScienceDirect","title":"A meta-analysis of comorbidities in COVID-19: Which diseases increase the susceptibility of SARS-CoV-2 infection?","title-short":"A meta-analysis of comorbidities in COVID-19","URL":"https://www.sciencedirect.com/science/article/pii/S0010482521000135","volume":"130","author":[{"family":"Singh","given":"Manoj Kumar"},{"family":"Mobeen","given":"Ahmed"},{"family":"Chandra","given":"Amit"},{"family":"Joshi","given":"Sweta"},{"family":"Ramachandran","given":"Srinivasan"}],"accessed":{"date-parts":[["2025",3,5]]},"issued":{"date-parts":[["2021",3,1]]}}}],"schema":"https://github.com/citation-style-language/schema/raw/master/csl-citation.json"} </w:instrText>
      </w:r>
      <w:r w:rsidRPr="006B0F6C">
        <w:rPr>
          <w:rFonts w:ascii="Arial" w:hAnsi="Arial" w:cs="Arial"/>
        </w:rPr>
        <w:fldChar w:fldCharType="separate"/>
      </w:r>
      <w:r w:rsidRPr="006B0F6C">
        <w:rPr>
          <w:rFonts w:ascii="Arial" w:hAnsi="Arial" w:cs="Arial"/>
          <w:noProof/>
        </w:rPr>
        <w:t>(M. K. Singh et al., 2021)</w:t>
      </w:r>
      <w:r w:rsidRPr="006B0F6C">
        <w:rPr>
          <w:rFonts w:ascii="Arial" w:hAnsi="Arial" w:cs="Arial"/>
        </w:rPr>
        <w:fldChar w:fldCharType="end"/>
      </w:r>
      <w:r w:rsidRPr="006B0F6C">
        <w:rPr>
          <w:rFonts w:ascii="Arial" w:hAnsi="Arial" w:cs="Arial"/>
        </w:rPr>
        <w:t xml:space="preserve">. In the initial cohort of 1,590 Covid-19 patients from China, Guan et al. (2020) reported that 399 (25.1%) had at least one comorbidity, while 130 (8.2%) had two or more comorbidities </w:t>
      </w:r>
      <w:r w:rsidRPr="006B0F6C">
        <w:rPr>
          <w:rFonts w:ascii="Arial" w:hAnsi="Arial" w:cs="Arial"/>
        </w:rPr>
        <w:fldChar w:fldCharType="begin"/>
      </w:r>
      <w:r w:rsidRPr="006B0F6C">
        <w:rPr>
          <w:rFonts w:ascii="Arial" w:hAnsi="Arial" w:cs="Arial"/>
        </w:rPr>
        <w:instrText xml:space="preserve"> ADDIN ZOTERO_ITEM CSL_CITATION {"citationID":"MSG5Qg7C","properties":{"formattedCitation":"(Guan et al., 2020)","plainCitation":"(Guan et al., 2020)","noteIndex":0},"citationItems":[{"id":388,"uris":["http://zotero.org/users/16006184/items/ZLZGUHXQ"],"itemData":{"id":388,"type":"article-journal","abstract":"&lt;sec&gt;&lt;title&gt;Background&lt;/title&gt;&lt;p&gt;The coronavirus disease 2019 (COVID-19) outbreak is evolving rapidly worldwide.&lt;/p&gt;&lt;/sec&gt;&lt;sec&gt;&lt;title&gt;Objective&lt;/title&gt;&lt;p&gt;To evaluate the risk of serious adverse outcomes in patients with COVID-19 by stratifying the comorbidity status.&lt;/p&gt;&lt;/sec&gt;&lt;sec&gt;&lt;title&gt;Methods&lt;/title&gt;&lt;p&gt;We analysed data from 1590 laboratory confirmed hospitalised patients from 575 hospitals in 31 provinces/autonomous regions/provincial municipalities across mainland China between 11 December 2019 and 31 January 2020. We analysed the composite end-points, which consisted of admission to an intensive care unit, invasive ventilation or death. The risk of reaching the composite end-points was compared according to the presence and number of comorbidities.&lt;/p&gt;&lt;/sec&gt;&lt;sec&gt;&lt;title&gt;Results&lt;/title&gt;&lt;p&gt;The mean age was 48.9 years and 686 (42.7%) patients were female. Severe cases accounted for 16.0% of the study population. 131 (8.2%) patients reached the composite end-points. 399 (25.1%) reported having at least one comorbidity. The most prevalent comorbidity was hypertension (16.9%), followed by diabetes (8.2%). 130 (8.2%) patients reported having two or more comorbidities. After adjusting for age and smoking status, COPD (HR (95% CI) 2.681 (1.424–5.048)), diabetes (1.59 (1.03–2.45)), hypertension (1.58 (1.07–2.32)) and malignancy (3.50 (1.60–7.64)) were risk factors of reaching the composite end-points. The hazard ratio (95% CI) was 1.79 (1.16–2.77) among patients with at least one comorbidity and 2.59 (1.61–4.17) among patients with two or more comorbidities.&lt;/p&gt;&lt;/sec&gt;&lt;sec&gt;&lt;title&gt;Conclusion&lt;/title&gt;&lt;p&gt;Among laboratory confirmed cases of COVID-19, patients with any comorbidity yielded poorer clinical outcomes than those without. A greater number of comorbidities also correlated with poorer clinical outcomes.&lt;/p&gt;&lt;/sec&gt;","container-title":"European Respiratory Journal","DOI":"10.1183/13993003.00547-2020","ISSN":"0903-1936, 1399-3003","issue":"5","language":"en","note":"publisher: European Respiratory Society\nsection: Original Articles\nPMID: 32217650","source":"publications.ersnet.org","title":"Comorbidity and its impact on 1590 patients with COVID-19 in China: a nationwide analysis","title-short":"Comorbidity and its impact on 1590 patients with COVID-19 in China","URL":"https://publications.ersnet.org/content/erj/55/5/2000547","volume":"55","author":[{"family":"Guan","given":"Wei-jie"},{"family":"Liang","given":"Wen-hua"},{"family":"Zhao","given":"Yi"},{"family":"Liang","given":"Heng-rui"},{"family":"Chen","given":"Zi-sheng"},{"family":"Li","given":"Yi-min"},{"family":"Liu","given":"Xiao-qing"},{"family":"Chen","given":"Ru-chong"},{"family":"Tang","given":"Chun-li"},{"family":"Wang","given":"Tao"},{"family":"Ou","given":"Chun-quan"},{"family":"Li","given":"Li"},{"family":"Chen","given":"Ping-yan"},{"family":"Sang","given":"Ling"},{"family":"Wang","given":"Wei"},{"family":"Li","given":"Jian-fu"},{"family":"Li","given":"Cai-chen"},{"family":"Ou","given":"Li-min"},{"family":"Cheng","given":"Bo"},{"family":"Xiong","given":"Shan"},{"family":"Ni","given":"Zheng-yi"},{"family":"Xiang","given":"Jie"},{"family":"Hu","given":"Yu"},{"family":"Liu","given":"Lei"},{"family":"Shan","given":"Hong"},{"family":"Lei","given":"Chun-liang"},{"family":"Peng","given":"Yi-xiang"},{"family":"Wei","given":"Li"},{"family":"Liu","given":"Yong"},{"family":"Hu","given":"Ya-hua"},{"family":"Peng","given":"Peng"},{"family":"Wang","given":"Jian-ming"},{"family":"Liu","given":"Ji-yang"},{"family":"Chen","given":"Zhong"},{"family":"Li","given":"Gang"},{"family":"Zheng","given":"Zhi-jian"},{"family":"Qiu","given":"Shao-qin"},{"family":"Luo","given":"Jie"},{"family":"Ye","given":"Chang-jiang"},{"family":"Zhu","given":"Shao-yong"},{"family":"Cheng","given":"Lin-ling"},{"family":"Ye","given":"Feng"},{"family":"Li","given":"Shi-yue"},{"family":"Zheng","given":"Jin-ping"},{"family":"Zhang","given":"Nuo-fu"},{"family":"Zhong","given":"Nan-shan"},{"family":"He","given":"Jian-xing"}],"accessed":{"date-parts":[["2025",3,5]]},"issued":{"date-parts":[["2020",5,14]]}}}],"schema":"https://github.com/citation-style-language/schema/raw/master/csl-citation.json"} </w:instrText>
      </w:r>
      <w:r w:rsidRPr="006B0F6C">
        <w:rPr>
          <w:rFonts w:ascii="Arial" w:hAnsi="Arial" w:cs="Arial"/>
        </w:rPr>
        <w:fldChar w:fldCharType="separate"/>
      </w:r>
      <w:r w:rsidRPr="006B0F6C">
        <w:rPr>
          <w:rFonts w:ascii="Arial" w:hAnsi="Arial" w:cs="Arial"/>
          <w:noProof/>
        </w:rPr>
        <w:t>(Guan et al., 2020)</w:t>
      </w:r>
      <w:r w:rsidRPr="006B0F6C">
        <w:rPr>
          <w:rFonts w:ascii="Arial" w:hAnsi="Arial" w:cs="Arial"/>
        </w:rPr>
        <w:fldChar w:fldCharType="end"/>
      </w:r>
      <w:r w:rsidRPr="006B0F6C">
        <w:rPr>
          <w:rFonts w:ascii="Arial" w:hAnsi="Arial" w:cs="Arial"/>
        </w:rPr>
        <w:t>.</w:t>
      </w:r>
    </w:p>
    <w:p w14:paraId="2EE406A0" w14:textId="77777777" w:rsidR="0086275A" w:rsidRPr="006B0F6C" w:rsidRDefault="0086275A" w:rsidP="0086275A">
      <w:pPr>
        <w:jc w:val="both"/>
        <w:rPr>
          <w:rFonts w:ascii="Arial" w:hAnsi="Arial" w:cs="Arial"/>
        </w:rPr>
      </w:pPr>
      <w:r w:rsidRPr="006B0F6C">
        <w:rPr>
          <w:rFonts w:ascii="Arial" w:hAnsi="Arial" w:cs="Arial"/>
        </w:rPr>
        <w:t xml:space="preserve">The predominant place of hospitalization in the first year of the study was the nursing, followed by intensive care. This deviates from the pattern found in the global context, in which only 20.9% of patients were admitted to the intensive care unit </w:t>
      </w:r>
      <w:r w:rsidRPr="006B0F6C">
        <w:rPr>
          <w:rFonts w:ascii="Arial" w:hAnsi="Arial" w:cs="Arial"/>
        </w:rPr>
        <w:fldChar w:fldCharType="begin"/>
      </w:r>
      <w:r w:rsidRPr="006B0F6C">
        <w:rPr>
          <w:rFonts w:ascii="Arial" w:hAnsi="Arial" w:cs="Arial"/>
        </w:rPr>
        <w:instrText xml:space="preserve"> ADDIN ZOTERO_ITEM CSL_CITATION {"citationID":"onyNpu7Q","properties":{"formattedCitation":"(Garcia-Gallo et al., 2022)","plainCitation":"(Garcia-Gallo et al., 2022)","noteIndex":0},"citationItems":[{"id":400,"uris":["http://zotero.org/users/16006184/items/NVQJ6Q54"],"itemData":{"id":400,"type":"article-journal","abstract":"The International Severe Acute Respiratory and Emerging Infection Consortium (ISARIC) COVID-19 dataset is one of the largest international databases of prospectively collected clinical data on people hospitalized with COVID-19. This dataset was compiled during the COVID-19 pandemic by a network of hospitals that collect data using the ISARIC-World Health Organization Clinical Characterization Protocol and data tools. The database includes data from more than 705,000 patients, collected in more than 60 countries and 1,500 centres worldwide. Patient data are available from acute hospital admissions with COVID-19 and outpatient follow-ups. The data include signs and symptoms, pre-existing comorbidities, vital signs, chronic and acute treatments, complications, dates of hospitalization and discharge, mortality, viral strains, vaccination status, and other data. Here, we present the dataset characteristics, explain its architecture and how to gain access, and provide tools to facilitate its use.","container-title":"Scientific Data","DOI":"10.1038/s41597-022-01534-9","ISSN":"2052-4463","issue":"1","journalAbbreviation":"Sci Data","language":"en","license":"2022 The Author(s)","note":"publisher: Nature Publishing Group","page":"454","source":"www.nature.com","title":"ISARIC-COVID-19 dataset: A Prospective, Standardized, Global Dataset of Patients Hospitalized with COVID-19","title-short":"ISARIC-COVID-19 dataset","URL":"https://www.nature.com/articles/s41597-022-01534-9","volume":"9","author":[{"family":"Garcia-Gallo","given":"Esteban"},{"family":"Merson","given":"Laura"},{"family":"Kennon","given":"Kalynn"},{"family":"Kelly","given":"Sadie"},{"family":"Citarella","given":"Barbara Wanjiru"},{"family":"Fryer","given":"Daniel Vidali"},{"family":"Shrapnel","given":"Sally"},{"family":"Lee","given":"James"},{"family":"Duque","given":"Sara"},{"family":"Fuentes","given":"Yuli V."},{"family":"Balan","given":"Valeria"},{"family":"Smith","given":"Sue"},{"family":"Wei","given":"Jia"},{"family":"Gonçalves","given":"Bronner P."},{"family":"Russell","given":"Clark D."},{"family":"Sigfrid","given":"Louise"},{"family":"Dagens","given":"Andrew"},{"family":"Olliaro","given":"Piero L."},{"family":"Baruch","given":"Joaquin"},{"family":"Kartsonaki","given":"Christiana"},{"family":"Dunning","given":"Jake"},{"family":"Rojek","given":"Amanda"},{"family":"Rashan","given":"Aasiyah"},{"family":"Beane","given":"Abi"},{"family":"Murthy","given":"Srinivas"},{"family":"Reyes","given":"Luis Felipe"}],"accessed":{"date-parts":[["2025",3,5]]},"issued":{"date-parts":[["2022",7,30]]}}}],"schema":"https://github.com/citation-style-language/schema/raw/master/csl-citation.json"} </w:instrText>
      </w:r>
      <w:r w:rsidRPr="006B0F6C">
        <w:rPr>
          <w:rFonts w:ascii="Arial" w:hAnsi="Arial" w:cs="Arial"/>
        </w:rPr>
        <w:fldChar w:fldCharType="separate"/>
      </w:r>
      <w:r w:rsidRPr="006B0F6C">
        <w:rPr>
          <w:rFonts w:ascii="Arial" w:hAnsi="Arial" w:cs="Arial"/>
          <w:noProof/>
        </w:rPr>
        <w:t>(Garcia-Gallo et al., 2022)</w:t>
      </w:r>
      <w:r w:rsidRPr="006B0F6C">
        <w:rPr>
          <w:rFonts w:ascii="Arial" w:hAnsi="Arial" w:cs="Arial"/>
        </w:rPr>
        <w:fldChar w:fldCharType="end"/>
      </w:r>
      <w:r w:rsidRPr="006B0F6C">
        <w:rPr>
          <w:rFonts w:ascii="Arial" w:hAnsi="Arial" w:cs="Arial"/>
        </w:rPr>
        <w:t xml:space="preserve">.  In relation to ventilation modalities, there was a 22% increase in the use of non-invasive ventilation from year 1 to year 2, which reveals a possible worsening of conditions, since the use of non-invasive ventilation should not be routine, benefiting only selected patients with respiratory failure </w:t>
      </w:r>
      <w:r w:rsidRPr="006B0F6C">
        <w:rPr>
          <w:rFonts w:ascii="Arial" w:hAnsi="Arial" w:cs="Arial"/>
        </w:rPr>
        <w:fldChar w:fldCharType="begin"/>
      </w:r>
      <w:r w:rsidRPr="006B0F6C">
        <w:rPr>
          <w:rFonts w:ascii="Arial" w:hAnsi="Arial" w:cs="Arial"/>
        </w:rPr>
        <w:instrText xml:space="preserve"> ADDIN ZOTERO_ITEM CSL_CITATION {"citationID":"gD3HyL8t","properties":{"formattedCitation":"(Hussain Khan et al., 2022)","plainCitation":"(Hussain Khan et al., 2022)","noteIndex":0},"citationItems":[{"id":404,"uris":["http://zotero.org/users/16006184/items/JTKUDKQ7"],"itemData":{"id":404,"type":"article-journal","abstract":"Non-invasive ventilation (NIV) is primarily used to treat acute respiratory failure. However, it has broad applications to manage a range of other diseases successfully. The main advantage of NIV lies in its capability to provide the same physiological effects as invasive ventilation while avoiding the placement of an artificial airway and its associated life-threatening complications. The war on the COVID-19 pandemic is far from over. The present narrative review aimed at identifying various aspects of NIV usage, in COVID-19 and other patients, such as the onset time, mode, setting, positioning, sedation, and types of interface. A search for articles published from May 2020 to April 2021 was conducted using MEDLINE, PMC central, Scopus, Web of Science, Cochrane Library, and Embase databases. Of the initially identified 5,450 articles, 73 studies and 24 guidelines on the use of NIV were included. The search was limited to studies involving human cases and English language articles. Despite several reported benefits of NIV, the evidence on the use of NIV in COVID-19 patients does not yet fully support its routine use.","container-title":"Iranian Journal of Medical Sciences","DOI":"10.30476/ijms.2021.91753.2291","ISSN":"0253-0716","issue":"3","language":"en","note":"publisher: Shiraz University of Medical Sciences","page":"194-209","source":"ijms.sums.ac.ir","title":"Various Aspects of Non-Invasive Ventilation in COVID-19 Patients: A Narrative Review","title-short":"Various Aspects of Non-Invasive Ventilation in COVID-19 Patients","URL":"https://ijms.sums.ac.ir/article_48246.html","volume":"47","author":[{"family":"Hussain Khan","given":"Zahid"},{"family":"Maki Aldulaimi","given":"Ahmed"},{"family":"Varpaei","given":"Hesam Aldin"},{"family":"Mohammadi","given":"Mostafa"}],"accessed":{"date-parts":[["2025",3,5]]},"issued":{"date-parts":[["2022",5,1]]}}}],"schema":"https://github.com/citation-style-language/schema/raw/master/csl-citation.json"} </w:instrText>
      </w:r>
      <w:r w:rsidRPr="006B0F6C">
        <w:rPr>
          <w:rFonts w:ascii="Arial" w:hAnsi="Arial" w:cs="Arial"/>
        </w:rPr>
        <w:fldChar w:fldCharType="separate"/>
      </w:r>
      <w:r w:rsidRPr="006B0F6C">
        <w:rPr>
          <w:rFonts w:ascii="Arial" w:hAnsi="Arial" w:cs="Arial"/>
          <w:noProof/>
        </w:rPr>
        <w:t>(Hussain Khan et al., 2022)</w:t>
      </w:r>
      <w:r w:rsidRPr="006B0F6C">
        <w:rPr>
          <w:rFonts w:ascii="Arial" w:hAnsi="Arial" w:cs="Arial"/>
        </w:rPr>
        <w:fldChar w:fldCharType="end"/>
      </w:r>
      <w:r w:rsidRPr="006B0F6C">
        <w:rPr>
          <w:rFonts w:ascii="Arial" w:hAnsi="Arial" w:cs="Arial"/>
        </w:rPr>
        <w:t xml:space="preserve">. On the other hand, invasive options such as orotracheal intubation, discussed by Dar et al. (2021), present a more subtle approach, due to the risks associated with invasive mechanical ventilation, in agreement with the rate of use (29-33%) in the patients in this study </w:t>
      </w:r>
      <w:r w:rsidRPr="006B0F6C">
        <w:rPr>
          <w:rFonts w:ascii="Arial" w:hAnsi="Arial" w:cs="Arial"/>
        </w:rPr>
        <w:fldChar w:fldCharType="begin"/>
      </w:r>
      <w:r w:rsidRPr="006B0F6C">
        <w:rPr>
          <w:rFonts w:ascii="Arial" w:hAnsi="Arial" w:cs="Arial"/>
        </w:rPr>
        <w:instrText xml:space="preserve"> ADDIN ZOTERO_ITEM CSL_CITATION {"citationID":"STK2gvqF","properties":{"formattedCitation":"(Dar et al., 2021)","plainCitation":"(Dar et al., 2021)","noteIndex":0},"citationItems":[{"id":371,"uris":["http://zotero.org/users/16006184/items/8Q9KPYM3"],"itemData":{"id":371,"type":"article-journal","abstract":"The novel coronavirus disease (COVID-19) has exposed critical supply shortages both in the United States and worldwide, including those in intensive care unit (ICU) and hospital bed supply, hospital staff, and mechanical ventilators. Many of those who are critically ill have required days to weeks of supportive invasive mechanical ventilation (IMV) as part of their treatment. Previous estimates set the U.S. availability of mechanical ventilators at approximately 62,000 full-featured ventilators, with 98,000 non–full-featured devices (including noninvasive devices). Given the limited availability of this resource both in the United States and in low- and middle-income countries, we provide a framework to approach the shortage of IMV resources. Here we discuss evidence and possibilities to reduce overall IMV needs, discuss strategies to maximize the availability of IMV devices designed for invasive ventilation, discuss the underlying methods in the literature to create and fashion new sources of potential ventilation that are available to hospitals and front-line providers, and discuss the staffing needs necessary to support IMV efforts. The pandemic has already pushed cities like New York and Boston well beyond previous ICU capacity in its first wave. As hot spots continue to develop around the country and the globe, it is evident that issues may arise ahead regarding the efficient and equitable use of resources. This unique challenge may continue to stretch resources and require care beyond previously set capacities and boundaries. The approaches presented here provide a review of the known evidence and strategies for those at the front line who are facing this challenge.","container-title":"Annals of the American Thoracic Society","DOI":"10.1513/AnnalsATS.202004-317CME","ISSN":"2329-6933","issue":"3","journalAbbreviation":"Annals ATS","note":"publisher: American Thoracic Society - AJRCCM","page":"408-416","source":"atsjournals.org (Atypon)","title":"Mechanical-Ventilation Supply and Options for the COVID-19 Pandemic. Leveraging All Available Resources for a Limited Resource in a Crisis","URL":"https://www.atsjournals.org/doi/10.1513/AnnalsATS.202004-317CME","volume":"18","author":[{"family":"Dar","given":"Mohammad"},{"family":"Swamy","given":"Lakshmana"},{"family":"Gavin","given":"Daniel"},{"family":"Theodore","given":"Arthur"}],"accessed":{"date-parts":[["2025",3,5]]},"issued":{"date-parts":[["2021",3]]}}}],"schema":"https://github.com/citation-style-language/schema/raw/master/csl-citation.json"} </w:instrText>
      </w:r>
      <w:r w:rsidRPr="006B0F6C">
        <w:rPr>
          <w:rFonts w:ascii="Arial" w:hAnsi="Arial" w:cs="Arial"/>
        </w:rPr>
        <w:fldChar w:fldCharType="separate"/>
      </w:r>
      <w:r w:rsidRPr="006B0F6C">
        <w:rPr>
          <w:rFonts w:ascii="Arial" w:hAnsi="Arial" w:cs="Arial"/>
          <w:noProof/>
        </w:rPr>
        <w:t>(Dar et al., 2021)</w:t>
      </w:r>
      <w:r w:rsidRPr="006B0F6C">
        <w:rPr>
          <w:rFonts w:ascii="Arial" w:hAnsi="Arial" w:cs="Arial"/>
        </w:rPr>
        <w:fldChar w:fldCharType="end"/>
      </w:r>
      <w:r w:rsidRPr="006B0F6C">
        <w:rPr>
          <w:rFonts w:ascii="Arial" w:hAnsi="Arial" w:cs="Arial"/>
        </w:rPr>
        <w:t>.</w:t>
      </w:r>
    </w:p>
    <w:p w14:paraId="7CDF01A9" w14:textId="77777777" w:rsidR="0086275A" w:rsidRPr="006B0F6C" w:rsidRDefault="0086275A" w:rsidP="0086275A">
      <w:pPr>
        <w:jc w:val="both"/>
        <w:rPr>
          <w:rFonts w:ascii="Arial" w:hAnsi="Arial" w:cs="Arial"/>
        </w:rPr>
      </w:pPr>
      <w:r w:rsidRPr="006B0F6C">
        <w:rPr>
          <w:rFonts w:ascii="Arial" w:hAnsi="Arial" w:cs="Arial"/>
        </w:rPr>
        <w:t xml:space="preserve">As for the drugs administered, antibiotics were widely used in both study periods because they are supportive care aimed at treating secondary and opportunistic bacterial infections, a practice cited as treatment in other studies on Covid-19 </w:t>
      </w:r>
      <w:r w:rsidRPr="006B0F6C">
        <w:rPr>
          <w:rFonts w:ascii="Arial" w:hAnsi="Arial" w:cs="Arial"/>
        </w:rPr>
        <w:fldChar w:fldCharType="begin"/>
      </w:r>
      <w:r w:rsidRPr="006B0F6C">
        <w:rPr>
          <w:rFonts w:ascii="Arial" w:hAnsi="Arial" w:cs="Arial"/>
        </w:rPr>
        <w:instrText xml:space="preserve"> ADDIN ZOTERO_ITEM CSL_CITATION {"citationID":"elXJ35gx","properties":{"formattedCitation":"(N. Singh et al., 2021)","plainCitation":"(N. Singh et al., 2021)","noteIndex":0},"citationItems":[{"id":443,"uris":["http://zotero.org/users/16006184/items/6K86ZADD"],"itemData":{"id":443,"type":"article-journal","abstract":"The severe acute respiratory syndrome coronavirus 2 (SAR-CoV-2) causes coronavirus disease 2019 (COVID-19) and emerged as a new public health crisis. This RNA virus, which has an origin in bats, is phenotypically and genotypically diverse. The source of transmission is by direct inhalation or contact with infected droplets or indirect through fomites. The disease shows an average incubation period of 2 to 14 days. The general symptoms include fever, cough, sore throat, breathlessness, fatigue, and malaise, although in a few it is found to be asymptomatic. The immune response shows variation from individual to individual, which varies from pneumonia, chest pain, acute respiratory distress syndrome, and multiorgan failure leading to death. The cytokine and chemokine responses play a major role in the severity of the infection. Laboratory diagnosis is done by molecular investigations. The socioeconomic conditions of individuals also play a role in disease manifestation. Treatment is supportive with symptomatic management. Preventive measures include social distancing, use of face masks, and contact tracing. This review will present a general overview of coronavirus and describe the clinical and socioeconomic features of the COVID-19 patients. It will also introduce comprehensive data of symptomatic and asymptomatic patients among different Asian and Western countries during the current pandemic. Furthermore, it also focuses on the most up-to-date information on effective management and prevention of COVID-19.","container-title":"Journal of Family Medicine and Primary Care","DOI":"10.4103/jfmpc.jfmpc_579_21","ISSN":"2249-4863","issue":"11","language":"en-US","page":"4002","source":"journals.lww.com","title":"Comprehensive study on clinical responses and socioeconomic characteristics of COVID-19 patients during outbreak","URL":"https://journals.lww.com/jfmpc/fulltext/2021/11000/comprehensive_study_on_clinical_responses_and.11.aspx","volume":"10","author":[{"family":"Singh","given":"Nishtha"},{"family":"Singh","given":"Pratishtha"},{"family":"Singh","given":"Vineeta"},{"family":"Krishna","given":"Akhilesh"},{"family":"Singh","given":"Shraddha"}],"accessed":{"date-parts":[["2025",3,5]]},"issued":{"date-parts":[["2021",11]]}}}],"schema":"https://github.com/citation-style-language/schema/raw/master/csl-citation.json"} </w:instrText>
      </w:r>
      <w:r w:rsidRPr="006B0F6C">
        <w:rPr>
          <w:rFonts w:ascii="Arial" w:hAnsi="Arial" w:cs="Arial"/>
        </w:rPr>
        <w:fldChar w:fldCharType="separate"/>
      </w:r>
      <w:r w:rsidRPr="006B0F6C">
        <w:rPr>
          <w:rFonts w:ascii="Arial" w:hAnsi="Arial" w:cs="Arial"/>
          <w:noProof/>
        </w:rPr>
        <w:t>(N. Singh et al., 2021)</w:t>
      </w:r>
      <w:r w:rsidRPr="006B0F6C">
        <w:rPr>
          <w:rFonts w:ascii="Arial" w:hAnsi="Arial" w:cs="Arial"/>
        </w:rPr>
        <w:fldChar w:fldCharType="end"/>
      </w:r>
      <w:r w:rsidRPr="006B0F6C">
        <w:rPr>
          <w:rFonts w:ascii="Arial" w:hAnsi="Arial" w:cs="Arial"/>
        </w:rPr>
        <w:t xml:space="preserve">. Similarly, anticoagulants have been widely adopted, as released pro-inflammatory cytokines can predispose to coagulation abnormalities and even, in severe cases, lead to disseminated intravascular coagulation </w:t>
      </w:r>
      <w:r w:rsidRPr="006B0F6C">
        <w:rPr>
          <w:rFonts w:ascii="Arial" w:hAnsi="Arial" w:cs="Arial"/>
        </w:rPr>
        <w:fldChar w:fldCharType="begin"/>
      </w:r>
      <w:r w:rsidRPr="006B0F6C">
        <w:rPr>
          <w:rFonts w:ascii="Arial" w:hAnsi="Arial" w:cs="Arial"/>
        </w:rPr>
        <w:instrText xml:space="preserve"> ADDIN ZOTERO_ITEM CSL_CITATION {"citationID":"FlbSttNG","properties":{"formattedCitation":"(Anka et al., 2021)","plainCitation":"(Anka et al., 2021)","noteIndex":0},"citationItems":[{"id":343,"uris":["http://zotero.org/users/16006184/items/34DLAECC"],"itemData":{"id":343,"type":"article-journal","abstract":"SARS-CoV-2 is a novel human coronavirus responsible for the Coronavirus disease 2019 (COVID-19) pandemic. Pneumonia and acute respiratory distress syndrome are the major complications of COVID-19. SARS-CoV-2 infection can activate innate and adaptive immune responses and result in massive inflammatory responses later in the disease. These uncontrolled inflammatory responses may lead to local and systemic tissue damage. In patients with severe COVID-19, eosinopenia and lymphopenia with a severe reduction in the frequency of CD4+ and CD8+ T cells, B cells and natural killer (NK) cells are a common feature. COVID-19 severity hinges on the development of cytokine storm characterized by elevated serum levels of pro-inflammatory cytokines. Moreover, IgG-, IgM- and IgA-specific antibodies against SARS-CoV-2 can be detected in most patients, along with the viral RNA, forming the basis for assays that aid in patient diagnosis. Elucidating the immunopathological outcomes due to COVID-19 could provide potential targets for immunotherapy and are important for choosing the best clinical management by consultants. Currently, along with standard supportive care, therapeutic approaches to COVID-19 treatment involve the use of antiviral agents that interfere with the SARS-CoV-2 lifecycle to prevent further viral replication and utilizing immunomodulators to dampen the immune system in order to prevent cytokine storm and tissue damage. While current therapeutic options vary in efficacy, there are several molecules that were either shown to be effective against other viruses such as HIV or show promise in vitro that could be added to the growing arsenal of agents used to control COVID-19 severity and spread.","container-title":"Scandinavian Journal of Immunology","DOI":"10.1111/sji.12998","ISSN":"1365-3083","issue":"4","language":"en","license":"© 2020 The Scandinavian Foundation for Immunology","note":"_eprint: https://onlinelibrary.wiley.com/doi/pdf/10.1111/sji.12998","page":"e12998","source":"Wiley Online Library","title":"Coronavirus disease 2019 (COVID-19): An overview of the immunopathology, serological diagnosis and management","title-short":"Coronavirus disease 2019 (COVID-19)","URL":"https://onlinelibrary.wiley.com/doi/abs/10.1111/sji.12998","volume":"93","author":[{"family":"Anka","given":"Abubakar Umar"},{"family":"Tahir","given":"Mohammed Ibrahim"},{"family":"Abubakar","given":"Sharafudeen Dahiru"},{"family":"Alsabbagh","given":"Mohamed"},{"family":"Zian","given":"Zeineb"},{"family":"Hamedifar","given":"Haleh"},{"family":"Sabzevari","given":"Araz"},{"family":"Azizi","given":"Gholamreza"}],"accessed":{"date-parts":[["2025",3,5]]},"issued":{"date-parts":[["2021"]]}}}],"schema":"https://github.com/citation-style-language/schema/raw/master/csl-citation.json"} </w:instrText>
      </w:r>
      <w:r w:rsidRPr="006B0F6C">
        <w:rPr>
          <w:rFonts w:ascii="Arial" w:hAnsi="Arial" w:cs="Arial"/>
        </w:rPr>
        <w:fldChar w:fldCharType="separate"/>
      </w:r>
      <w:r w:rsidRPr="006B0F6C">
        <w:rPr>
          <w:rFonts w:ascii="Arial" w:hAnsi="Arial" w:cs="Arial"/>
          <w:noProof/>
        </w:rPr>
        <w:t>(Anka et al., 2021)</w:t>
      </w:r>
      <w:r w:rsidRPr="006B0F6C">
        <w:rPr>
          <w:rFonts w:ascii="Arial" w:hAnsi="Arial" w:cs="Arial"/>
        </w:rPr>
        <w:fldChar w:fldCharType="end"/>
      </w:r>
      <w:r w:rsidRPr="006B0F6C">
        <w:rPr>
          <w:rFonts w:ascii="Arial" w:hAnsi="Arial" w:cs="Arial"/>
        </w:rPr>
        <w:t xml:space="preserve">. The use of blood components was more restricted in around 20% of cases, which is similar to a prospective database of 265 patients with Covid-19 infection admitted to intensive care, in which 26.4% required some type of transfusion </w:t>
      </w:r>
      <w:r w:rsidRPr="006B0F6C">
        <w:rPr>
          <w:rFonts w:ascii="Arial" w:hAnsi="Arial" w:cs="Arial"/>
        </w:rPr>
        <w:fldChar w:fldCharType="begin"/>
      </w:r>
      <w:r w:rsidRPr="006B0F6C">
        <w:rPr>
          <w:rFonts w:ascii="Arial" w:hAnsi="Arial" w:cs="Arial"/>
        </w:rPr>
        <w:instrText xml:space="preserve"> ADDIN ZOTERO_ITEM CSL_CITATION {"citationID":"Sc2Uh8Cn","properties":{"formattedCitation":"(Doyle et al., 2020)","plainCitation":"(Doyle et al., 2020)","noteIndex":0},"citationItems":[{"id":373,"uris":["http://zotero.org/users/16006184/items/FPZG5IQ2"],"itemData":{"id":373,"type":"article-journal","abstract":"There has been a significant surge in admissions to critical care during the coronavirus disease 2019 (COVID-19) pandemic. At present, the demands on blood components have not been described. We reviewed their use during the first 6 weeks of the outbreak from 3 March 2020 in a tertiary-level critical care department providing venovenous extracorporeal membrane oxygenation (vv-ECMO). A total of 265 patients were reviewed, with 235 not requiring ECMO and 30 requiring vv-ECMO. In total, 50 patients required blood components during their critical care admission. Red cell concentrates were the most frequently transfused component in COVID-19-infected patients with higher rates of use during vv-ECMO. The use of fresh frozen plasma, cryoprecipitate and platelet transfusions was low in a period prior to the use of convalescent plasma.","container-title":"British Journal of Haematology","DOI":"10.1111/bjh.17007","ISSN":"1365-2141","issue":"3","language":"en","license":"© 2020 British Society for Haematology and John Wiley &amp; Sons Ltd","note":"_eprint: https://onlinelibrary.wiley.com/doi/pdf/10.1111/bjh.17007","page":"382-385","source":"Wiley Online Library","title":"Blood component use in critical care in patients with COVID-19 infection: a single-centre experience","title-short":"Blood component use in critical care in patients with COVID-19 infection","URL":"https://onlinelibrary.wiley.com/doi/abs/10.1111/bjh.17007","volume":"191","author":[{"family":"Doyle","given":"Andrew J."},{"family":"Danaee","given":"Anicee"},{"family":"Furtado","given":"Charlene I."},{"family":"Miller","given":"Scott"},{"family":"Maggs","given":"Tim"},{"family":"Robinson","given":"Susan E."},{"family":"Retter","given":"Andrew"}],"accessed":{"date-parts":[["2025",3,5]]},"issued":{"date-parts":[["2020"]]}}}],"schema":"https://github.com/citation-style-language/schema/raw/master/csl-citation.json"} </w:instrText>
      </w:r>
      <w:r w:rsidRPr="006B0F6C">
        <w:rPr>
          <w:rFonts w:ascii="Arial" w:hAnsi="Arial" w:cs="Arial"/>
        </w:rPr>
        <w:fldChar w:fldCharType="separate"/>
      </w:r>
      <w:r w:rsidRPr="006B0F6C">
        <w:rPr>
          <w:rFonts w:ascii="Arial" w:hAnsi="Arial" w:cs="Arial"/>
          <w:noProof/>
        </w:rPr>
        <w:t>(Doyle et al., 2020)</w:t>
      </w:r>
      <w:r w:rsidRPr="006B0F6C">
        <w:rPr>
          <w:rFonts w:ascii="Arial" w:hAnsi="Arial" w:cs="Arial"/>
        </w:rPr>
        <w:fldChar w:fldCharType="end"/>
      </w:r>
      <w:r w:rsidRPr="006B0F6C">
        <w:rPr>
          <w:rFonts w:ascii="Arial" w:hAnsi="Arial" w:cs="Arial"/>
        </w:rPr>
        <w:t xml:space="preserve">. </w:t>
      </w:r>
    </w:p>
    <w:p w14:paraId="124FB2EC" w14:textId="77777777" w:rsidR="0086275A" w:rsidRPr="006B0F6C" w:rsidRDefault="0086275A" w:rsidP="0086275A">
      <w:pPr>
        <w:jc w:val="both"/>
        <w:rPr>
          <w:rFonts w:ascii="Arial" w:hAnsi="Arial" w:cs="Arial"/>
        </w:rPr>
      </w:pPr>
      <w:r w:rsidRPr="006B0F6C">
        <w:rPr>
          <w:rFonts w:ascii="Arial" w:hAnsi="Arial" w:cs="Arial"/>
        </w:rPr>
        <w:t xml:space="preserve">Chest X-rays are generally inconclusive in the early stages of the disease and may not show any significant alterations </w:t>
      </w:r>
      <w:r w:rsidRPr="006B0F6C">
        <w:rPr>
          <w:rFonts w:ascii="Arial" w:hAnsi="Arial" w:cs="Arial"/>
        </w:rPr>
        <w:fldChar w:fldCharType="begin"/>
      </w:r>
      <w:r w:rsidRPr="006B0F6C">
        <w:rPr>
          <w:rFonts w:ascii="Arial" w:hAnsi="Arial" w:cs="Arial"/>
        </w:rPr>
        <w:instrText xml:space="preserve"> ADDIN ZOTERO_ITEM CSL_CITATION {"citationID":"HfR2lc10","properties":{"formattedCitation":"(Long et al., 2022)","plainCitation":"(Long et al., 2022)","noteIndex":0},"citationItems":[{"id":411,"uris":["http://zotero.org/users/16006184/items/H2SHRI2B"],"itemData":{"id":411,"type":"article-journal","abstract":"Introduction\nCoronavirus disease of 2019 (COVID-19) has resulted in millions of cases worldwide. As the pandemic has progressed, the understanding of this disease has evolved.\nObjective\nThis first in a two-part series on COVID-19 updates provides a focused overview of the presentation and evaluation of COVID-19 for emergency clinicians.\nDiscussion\nCOVID-19, caused by Severe Acute Respiratory Syndrome coronavirus 2 (SARS-CoV-2), has resulted in significant morbidity and mortality worldwide. Several variants exist, including a variant of concern known as Delta (B.1.617.2 lineage) and the Omicron variant (B.1.1.529 lineage). The Delta variant is associated with higher infectivity and poor patient outcomes, and the Omicron variant has resulted in a significant increase in infections. While over 80% of patients experience mild symptoms, a significant proportion can be critically ill, including those who are older and those with comorbidities. Upper respiratory symptoms, fever, and changes in taste/smell remain the most common presenting symptoms. Extrapulmonary complications are numerous and may be severe, including the cardiovascular, neurologic, gastrointestinal, and dermatologic systems. Emergency department evaluation includes focused testing for COVID-19 and assessment of end-organ injury. Imaging may include chest radiography, computed tomography, or ultrasound. Several risk scores may assist in prognostication, including the 4C (Coronavirus Clinical Characterisation Consortium) score, quick COVID Severity Index (qCSI), NEWS2, and the PRIEST score, but these should only supplement and not replace clinical judgment.\nConclusion\nThis review provides a focused update of the presentation and evaluation of COVID-19 for emergency clinicians.","container-title":"The American Journal of Emergency Medicine","DOI":"10.1016/j.ajem.2022.01.028","ISSN":"0735-6757","journalAbbreviation":"The American Journal of Emergency Medicine","page":"46-57","source":"ScienceDirect","title":"Clinical update on COVID-19 for the emergency clinician: Presentation and evaluation","title-short":"Clinical update on COVID-19 for the emergency clinician","URL":"https://www.sciencedirect.com/science/article/pii/S0735675722000304","volume":"54","author":[{"family":"Long","given":"Brit"},{"family":"Carius","given":"Brandon M."},{"family":"Chavez","given":"Summer"},{"family":"Liang","given":"Stephen Y."},{"family":"Brady","given":"William J."},{"family":"Koyfman","given":"Alex"},{"family":"Gottlieb","given":"Michael"}],"accessed":{"date-parts":[["2025",3,5]]},"issued":{"date-parts":[["2022",4,1]]}}}],"schema":"https://github.com/citation-style-language/schema/raw/master/csl-citation.json"} </w:instrText>
      </w:r>
      <w:r w:rsidRPr="006B0F6C">
        <w:rPr>
          <w:rFonts w:ascii="Arial" w:hAnsi="Arial" w:cs="Arial"/>
        </w:rPr>
        <w:fldChar w:fldCharType="separate"/>
      </w:r>
      <w:r w:rsidRPr="006B0F6C">
        <w:rPr>
          <w:rFonts w:ascii="Arial" w:hAnsi="Arial" w:cs="Arial"/>
          <w:noProof/>
        </w:rPr>
        <w:t>(Long et al., 2022)</w:t>
      </w:r>
      <w:r w:rsidRPr="006B0F6C">
        <w:rPr>
          <w:rFonts w:ascii="Arial" w:hAnsi="Arial" w:cs="Arial"/>
        </w:rPr>
        <w:fldChar w:fldCharType="end"/>
      </w:r>
      <w:r w:rsidRPr="006B0F6C">
        <w:rPr>
          <w:rFonts w:ascii="Arial" w:hAnsi="Arial" w:cs="Arial"/>
        </w:rPr>
        <w:t xml:space="preserve">. As the infection progresses, bilateral multifocal </w:t>
      </w:r>
      <w:r w:rsidRPr="006B0F6C">
        <w:rPr>
          <w:rFonts w:ascii="Arial" w:hAnsi="Arial" w:cs="Arial"/>
        </w:rPr>
        <w:lastRenderedPageBreak/>
        <w:t xml:space="preserve">alveolar opacities are observed, whether or not associated with pleural effusion. Consequently, in this sample, its isolated use was low (6-7%), increasing when it was associated with computed tomography (42-46%), which is more sensitive and the method of choice for diagnosing Covid-19 pneumonia </w:t>
      </w:r>
      <w:r w:rsidRPr="006B0F6C">
        <w:rPr>
          <w:rFonts w:ascii="Arial" w:hAnsi="Arial" w:cs="Arial"/>
        </w:rPr>
        <w:fldChar w:fldCharType="begin"/>
      </w:r>
      <w:r w:rsidRPr="006B0F6C">
        <w:rPr>
          <w:rFonts w:ascii="Arial" w:hAnsi="Arial" w:cs="Arial"/>
        </w:rPr>
        <w:instrText xml:space="preserve"> ADDIN ZOTERO_ITEM CSL_CITATION {"citationID":"i6svPyjo","properties":{"formattedCitation":"(Parasher, 2021)","plainCitation":"(Parasher, 2021)","noteIndex":0},"citationItems":[{"id":428,"uris":["http://zotero.org/users/16006184/items/PFJN3N7I"],"itemData":{"id":428,"type":"article-journal","abstract":"The severe acute respiratory syndrome (SARS) coronavirus-2 is a novel coronavirus belonging to the family Coronaviridae and is now known to be responsible for the outbreak of a series of recent acute atypical respiratory infections originating in Wuhan, China. The disease caused by this virus, termed coronavirus disease 19 or simply COVID-19, has rapidly spread throughout the world at an alarming pace and has been declared a pandemic by the WHO on March 11, 2020. In this review, an update on the pathophysiology, clinical presentation and the most recent management strategies for COVID-19 has been described.A search was conducted for literature and various articles/case reports from 1997 to 2020 in PUBMED/MEDLINE for the keywords coronavirus, SARS, Middle East respiratory syndrome and mRNA virus.COVID-19 has now spread globally with increasing morbidity and mortality among all populations. In the absence of a proper and effective antibody test, the diagnosis is presently based on a reverse-transcription PCR of nasopharyngeal and oropharyngeal swab samples. The clinical spectrum of the disease presents in the form of a mild, moderate or severe illness. Most patients are either asymptomatic carriers who despite being without symptoms have the potential to be infectious to others coming in close contact, or have a mild influenza-like illness which cannot be differentiated from a simple upper respiratory tract infection. Moderate and severe cases require hospitalisation as well as intensive therapy which includes non-invasive as well as invasive ventilation, along with antipyretics, antivirals, antibiotics and steroids. Complicated cases may require treatment by immunomodulatory drugs and plasma exchange therapy. The search for an effective vaccine for COVID-19 is presently in full swing, with pharmaceutical corporations having started human trials in many countries.","container-title":"Postgraduate Medical Journal","DOI":"10.1136/postgradmedj-2020-138577","ISSN":"0032-5473","issue":"1147","journalAbbreviation":"Postgraduate Medical Journal","page":"312-320","source":"Silverchair","title":"COVID-19: Current understanding of its Pathophysiology, Clinical presentation and Treatment","title-short":"COVID-19","URL":"https://doi.org/10.1136/postgradmedj-2020-138577","volume":"97","author":[{"family":"Parasher","given":"Anant"}],"accessed":{"date-parts":[["2025",3,5]]},"issued":{"date-parts":[["2021",5,1]]}}}],"schema":"https://github.com/citation-style-language/schema/raw/master/csl-citation.json"} </w:instrText>
      </w:r>
      <w:r w:rsidRPr="006B0F6C">
        <w:rPr>
          <w:rFonts w:ascii="Arial" w:hAnsi="Arial" w:cs="Arial"/>
        </w:rPr>
        <w:fldChar w:fldCharType="separate"/>
      </w:r>
      <w:r w:rsidRPr="006B0F6C">
        <w:rPr>
          <w:rFonts w:ascii="Arial" w:hAnsi="Arial" w:cs="Arial"/>
          <w:noProof/>
        </w:rPr>
        <w:t>(Parasher, 2021)</w:t>
      </w:r>
      <w:r w:rsidRPr="006B0F6C">
        <w:rPr>
          <w:rFonts w:ascii="Arial" w:hAnsi="Arial" w:cs="Arial"/>
        </w:rPr>
        <w:fldChar w:fldCharType="end"/>
      </w:r>
      <w:r w:rsidRPr="006B0F6C">
        <w:rPr>
          <w:rFonts w:ascii="Arial" w:hAnsi="Arial" w:cs="Arial"/>
        </w:rPr>
        <w:t xml:space="preserve">. </w:t>
      </w:r>
    </w:p>
    <w:p w14:paraId="168FCB66" w14:textId="77777777" w:rsidR="0086275A" w:rsidRPr="006B0F6C" w:rsidRDefault="0086275A" w:rsidP="0086275A">
      <w:pPr>
        <w:jc w:val="both"/>
        <w:rPr>
          <w:rFonts w:ascii="Arial" w:hAnsi="Arial" w:cs="Arial"/>
        </w:rPr>
      </w:pPr>
      <w:r w:rsidRPr="006B0F6C">
        <w:rPr>
          <w:rFonts w:ascii="Arial" w:hAnsi="Arial" w:cs="Arial"/>
        </w:rPr>
        <w:t>The rate of pulmonary involvement, as assessed by computed tomography, showed a significant difference between the two years studied. Lung involvement of 50 to 75% and 25% or less maintained the average number of cases in both years (34% and 7%, respectively). Pulmonary involvement of 25 to 50% went from 25.2% to 40.1% in year 2. This result shows an increase in pulmonary infiltrates from one year to the next, as well as the presence of a significant proportion of the sample (34%) classified as severe cases of Covid-19, in which infiltrates are greater than 50%, as pointed out by Berlin, Gulick &amp; Martinez (2020)</w:t>
      </w:r>
      <w:r w:rsidRPr="006B0F6C">
        <w:rPr>
          <w:rFonts w:ascii="Arial" w:hAnsi="Arial" w:cs="Arial"/>
        </w:rPr>
        <w:fldChar w:fldCharType="begin"/>
      </w:r>
      <w:r w:rsidRPr="006B0F6C">
        <w:rPr>
          <w:rFonts w:ascii="Arial" w:hAnsi="Arial" w:cs="Arial"/>
        </w:rPr>
        <w:instrText xml:space="preserve"> ADDIN ZOTERO_ITEM CSL_CITATION {"citationID":"JDH3r5tr","properties":{"formattedCitation":"(Berlin et al., 2020)","plainCitation":"(Berlin et al., 2020)","noteIndex":0},"citationItems":[{"id":349,"uris":["http://zotero.org/users/16006184/items/JU3WNKY9"],"itemData":{"id":349,"type":"article-journal","abstract":"Patients with severe Covid-19 should have close monitoring for the need for endotracheal intubation; intubated patients should receive lung-protective ventilation. Data from randomized, controlled trials support a reduction in mortality with the use of dexamethasone and a reduction in time to clinical recovery with the use of remdesivir.","container-title":"New England Journal of Medicine","DOI":"10.1056/NEJMcp2009575","ISSN":"0028-4793","issue":"25","note":"publisher: Massachusetts Medical Society\n_eprint: https://www.nejm.org/doi/pdf/10.1056/NEJMcp2009575","page":"2451-2460","source":"Taylor and Francis+NEJM","title":"Severe Covid-19","URL":"https://www.nejm.org/doi/full/10.1056/NEJMcp2009575","volume":"383","author":[{"family":"Berlin","given":"David A."},{"family":"Gulick","given":"Roy M."},{"family":"Martinez","given":"Fernando J."}],"accessed":{"date-parts":[["2025",3,5]]},"issued":{"date-parts":[["2020",12,16]]}}}],"schema":"https://github.com/citation-style-language/schema/raw/master/csl-citation.json"} </w:instrText>
      </w:r>
      <w:r w:rsidRPr="006B0F6C">
        <w:rPr>
          <w:rFonts w:ascii="Arial" w:hAnsi="Arial" w:cs="Arial"/>
        </w:rPr>
        <w:fldChar w:fldCharType="separate"/>
      </w:r>
      <w:r w:rsidRPr="006B0F6C">
        <w:rPr>
          <w:rFonts w:ascii="Arial" w:hAnsi="Arial" w:cs="Arial"/>
          <w:noProof/>
        </w:rPr>
        <w:t>(Berlin et al., 2020)</w:t>
      </w:r>
      <w:r w:rsidRPr="006B0F6C">
        <w:rPr>
          <w:rFonts w:ascii="Arial" w:hAnsi="Arial" w:cs="Arial"/>
        </w:rPr>
        <w:fldChar w:fldCharType="end"/>
      </w:r>
      <w:r w:rsidRPr="006B0F6C">
        <w:rPr>
          <w:rFonts w:ascii="Arial" w:hAnsi="Arial" w:cs="Arial"/>
        </w:rPr>
        <w:t>.</w:t>
      </w:r>
    </w:p>
    <w:p w14:paraId="257ABC5B" w14:textId="77777777" w:rsidR="0086275A" w:rsidRPr="006B0F6C" w:rsidRDefault="0086275A" w:rsidP="0086275A">
      <w:pPr>
        <w:jc w:val="both"/>
        <w:rPr>
          <w:rFonts w:ascii="Arial" w:hAnsi="Arial" w:cs="Arial"/>
          <w:color w:val="000000"/>
        </w:rPr>
      </w:pPr>
      <w:r w:rsidRPr="006B0F6C">
        <w:rPr>
          <w:rFonts w:ascii="Arial" w:hAnsi="Arial" w:cs="Arial"/>
        </w:rPr>
        <w:t xml:space="preserve">With regard to the Covid-19 vaccine, there is still a gap to be better understood with studies that differentiate between vaccinated and unvaccinated populations </w:t>
      </w:r>
      <w:r w:rsidRPr="006B0F6C">
        <w:rPr>
          <w:rFonts w:ascii="Arial" w:hAnsi="Arial" w:cs="Arial"/>
        </w:rPr>
        <w:fldChar w:fldCharType="begin"/>
      </w:r>
      <w:r w:rsidRPr="006B0F6C">
        <w:rPr>
          <w:rFonts w:ascii="Arial" w:hAnsi="Arial" w:cs="Arial"/>
        </w:rPr>
        <w:instrText xml:space="preserve"> ADDIN ZOTERO_ITEM CSL_CITATION {"citationID":"noxrJhzP","properties":{"formattedCitation":"(Cerqueira-Silva et al., 2022)","plainCitation":"(Cerqueira-Silva et al., 2022)","noteIndex":0},"citationItems":[{"id":362,"uris":["http://zotero.org/users/16006184/items/KRA7GTD7"],"itemData":{"id":362,"type":"article-journal","container-title":"The Lancet Infectious Diseases","DOI":"10.1016/S1473-3099(22)00140-2","ISSN":"1473-3099, 1474-4457","issue":"6","journalAbbreviation":"The Lancet Infectious Diseases","language":"English","note":"publisher: Elsevier\nPMID: 35366959","page":"791-801","source":"www.thelancet.com","title":"Effectiveness of CoronaVac, ChAdOx1 nCoV-19, BNT162b2, and Ad26.COV2.S among individuals with previous SARS-CoV-2 infection in Brazil: a test-negative, case-control study","title-short":"Effectiveness of CoronaVac, ChAdOx1 nCoV-19, BNT162b2, and Ad26.COV2.S among individuals with previous SARS-CoV-2 infection in Brazil","URL":"https://www.thelancet.com/journals/laninf/article/PIIS1473-3099(22)00140-2/fulltext","volume":"22","author":[{"family":"Cerqueira-Silva","given":"Thiago"},{"family":"Andrews","given":"Jason R."},{"family":"Boaventura","given":"Viviane S."},{"family":"Ranzani","given":"Otavio T."},{"family":"Oliveira","given":"Vinicius de Araújo"},{"family":"Paixão","given":"Enny S."},{"family":"Júnior","given":"Juracy Bertoldo"},{"family":"Machado","given":"Tales Mota"},{"family":"Hitchings","given":"Matt D. T."},{"family":"Dorion","given":"Murilo"},{"family":"Lind","given":"Margaret L."},{"family":"Penna","given":"Gerson O."},{"family":"Cummings","given":"Derek A. T."},{"family":"Dean","given":"Natalie E."},{"family":"Werneck","given":"Guilherme Loureiro"},{"family":"Pearce","given":"Neil"},{"family":"Barreto","given":"Mauricio L."},{"family":"Ko","given":"Albert I."},{"family":"Croda","given":"Julio"},{"family":"Barral-Netto","given":"Manoel"}],"accessed":{"date-parts":[["2025",3,5]]},"issued":{"date-parts":[["2022",6,1]]}}}],"schema":"https://github.com/citation-style-language/schema/raw/master/csl-citation.json"} </w:instrText>
      </w:r>
      <w:r w:rsidRPr="006B0F6C">
        <w:rPr>
          <w:rFonts w:ascii="Arial" w:hAnsi="Arial" w:cs="Arial"/>
        </w:rPr>
        <w:fldChar w:fldCharType="separate"/>
      </w:r>
      <w:r w:rsidRPr="006B0F6C">
        <w:rPr>
          <w:rFonts w:ascii="Arial" w:hAnsi="Arial" w:cs="Arial"/>
          <w:noProof/>
        </w:rPr>
        <w:t>(Cerqueira-Silva et al., 2022)</w:t>
      </w:r>
      <w:r w:rsidRPr="006B0F6C">
        <w:rPr>
          <w:rFonts w:ascii="Arial" w:hAnsi="Arial" w:cs="Arial"/>
        </w:rPr>
        <w:fldChar w:fldCharType="end"/>
      </w:r>
      <w:r w:rsidRPr="006B0F6C">
        <w:rPr>
          <w:rFonts w:ascii="Arial" w:hAnsi="Arial" w:cs="Arial"/>
        </w:rPr>
        <w:t xml:space="preserve">. In the first few months, widespread social mobilization and a greater perception of risk may have contributed to almost universal coverage of the first doses among the elderly. However, in the following months of 2021 and 2022, there was lower coverage of boosters among the elderly and lower coverage of all doses of the vaccine among adults </w:t>
      </w:r>
      <w:r w:rsidRPr="006B0F6C">
        <w:rPr>
          <w:rFonts w:ascii="Arial" w:hAnsi="Arial" w:cs="Arial"/>
        </w:rPr>
        <w:fldChar w:fldCharType="begin"/>
      </w:r>
      <w:r w:rsidRPr="006B0F6C">
        <w:rPr>
          <w:rFonts w:ascii="Arial" w:hAnsi="Arial" w:cs="Arial"/>
        </w:rPr>
        <w:instrText xml:space="preserve"> ADDIN ZOTERO_ITEM CSL_CITATION {"citationID":"BqsbFmo0","properties":{"formattedCitation":"(Boing et al., 2023)","plainCitation":"(Boing et al., 2023)","noteIndex":0},"citationItems":[{"id":357,"uris":["http://zotero.org/users/16006184/items/Q5TWDNMS"],"itemData":{"id":357,"type":"article-journal","abstract":"Vaccination is crucial for reducing severe COVID-19 cases, hospitalizations, and deaths. However, vaccine access disparities within countries, particularly in low- and middle-income nations, may leave disadvantaged regions and populations behind. This study aimed to investigate potential inequalities in vaccine coverage among Brazilian aged 18 years and older based on demographic, geographic, and socioeconomic characteristics at the municipal level. A total of 389 million vaccination records from the National Immunization Program Information System were analyzed to calculate vaccine coverage rates for the first, second, and booster doses among adults (18–59 years) and elderly (60 + years) vaccinated between January 2021 and December 2022. We analyzed the data by gender and used a three-level (municipalities, states, regions) multilevel regression analysis to assess the association between vaccine coverage and municipal characteristics. Vaccination coverage was higher among the elderly than among adults, particularly for the second and booster doses. Adult women showed higher coverage rates than men (ranging from 118 % to 25 % higher along the analyzed period). Significant inequalities were observed when analyzing the evolution of vaccination coverage by sociodemographic characteristics of municipalities. In the early stages of the vaccination campaign, municipalities with higher per capita Gross Domestic Product (pGDP), educational level, and fewer Black residents reached higher population coverages earlier. In December 2022, adult and elderly booster vaccine coverage was 43 % and 19 %, respectively, higher in municipalities in the highest quintile of educational level. Higher vaccine uptake was also observed in municipalities with fewer Black residents and higher pGDP. Municipalities accounted for most of the variance in vaccine coverage (59.7 %-90.4 % depending on the dose and age group). This study emphasizes the inadequate booster coverage and the presence of socioeconomic and demographic disparities in COVID-19 vaccination rates. These issues must be addressed through equitable interventions to avoid potential disparities in morbidity and mortality.","container-title":"Vaccine","DOI":"10.1016/j.vaccine.2023.05.030","ISSN":"0264-410X","issue":"26","journalAbbreviation":"Vaccine","page":"3937-3945","source":"ScienceDirect","title":"Uncovering inequities in Covid-19 vaccine coverage for adults and elderly in Brazil: A multilevel study of 2021–2022 data","title-short":"Uncovering inequities in Covid-19 vaccine coverage for adults and elderly in Brazil","URL":"https://www.sciencedirect.com/science/article/pii/S0264410X23005698","volume":"41","author":[{"family":"Boing","given":"Antonio Fernando"},{"family":"Boing","given":"Alexandra Crispim"},{"family":"Barberia","given":"Lorena"},{"family":"Borges","given":"Marcelo Eduardo"},{"family":"Subramanian","given":"S. V."}],"accessed":{"date-parts":[["2025",3,5]]},"issued":{"date-parts":[["2023",6,13]]}}}],"schema":"https://github.com/citation-style-language/schema/raw/master/csl-citation.json"} </w:instrText>
      </w:r>
      <w:r w:rsidRPr="006B0F6C">
        <w:rPr>
          <w:rFonts w:ascii="Arial" w:hAnsi="Arial" w:cs="Arial"/>
        </w:rPr>
        <w:fldChar w:fldCharType="separate"/>
      </w:r>
      <w:r w:rsidRPr="006B0F6C">
        <w:rPr>
          <w:rFonts w:ascii="Arial" w:hAnsi="Arial" w:cs="Arial"/>
          <w:noProof/>
        </w:rPr>
        <w:t>(Boing et al., 2023)</w:t>
      </w:r>
      <w:r w:rsidRPr="006B0F6C">
        <w:rPr>
          <w:rFonts w:ascii="Arial" w:hAnsi="Arial" w:cs="Arial"/>
        </w:rPr>
        <w:fldChar w:fldCharType="end"/>
      </w:r>
      <w:r w:rsidRPr="006B0F6C">
        <w:rPr>
          <w:rFonts w:ascii="Arial" w:hAnsi="Arial" w:cs="Arial"/>
        </w:rPr>
        <w:t>. In the second year of this study, only 54% of patients had this information in their medical records, and this period should be investigated in depth, since immunization could explain some of the changes seen from one year to the next.</w:t>
      </w:r>
    </w:p>
    <w:p w14:paraId="7098C0A7" w14:textId="77777777" w:rsidR="0086275A" w:rsidRPr="006B0F6C" w:rsidRDefault="0086275A" w:rsidP="0086275A">
      <w:pPr>
        <w:jc w:val="both"/>
        <w:rPr>
          <w:rFonts w:ascii="Arial" w:hAnsi="Arial" w:cs="Arial"/>
          <w:color w:val="1F487C"/>
        </w:rPr>
      </w:pPr>
      <w:r w:rsidRPr="006B0F6C">
        <w:rPr>
          <w:rFonts w:ascii="Arial" w:hAnsi="Arial" w:cs="Arial"/>
        </w:rPr>
        <w:t xml:space="preserve">The prevalent complications in hospitalized patients in the two periods were hemodynamic shock, acid-base and </w:t>
      </w:r>
      <w:proofErr w:type="spellStart"/>
      <w:r w:rsidRPr="006B0F6C">
        <w:rPr>
          <w:rFonts w:ascii="Arial" w:hAnsi="Arial" w:cs="Arial"/>
        </w:rPr>
        <w:t>hydroelectrolyte</w:t>
      </w:r>
      <w:proofErr w:type="spellEnd"/>
      <w:r w:rsidRPr="006B0F6C">
        <w:rPr>
          <w:rFonts w:ascii="Arial" w:hAnsi="Arial" w:cs="Arial"/>
        </w:rPr>
        <w:t xml:space="preserve"> disorders, hypotension, acute or chronic renal failure, pneumonia, severe acute respiratory distress syndrome, septic shock and others. These results corroborate a study carried out in a hospital in the state of São Paulo, Brazil, with patients in the intensive care unit, which showed complications such as pneumonia (38.1%), acute kidney injury (21.4%), deep vein thrombosis (16.7%), pressure injury (11.9%) and pulmonary embolism (9.5%) </w:t>
      </w:r>
      <w:r w:rsidRPr="006B0F6C">
        <w:rPr>
          <w:rFonts w:ascii="Arial" w:hAnsi="Arial" w:cs="Arial"/>
        </w:rPr>
        <w:fldChar w:fldCharType="begin"/>
      </w:r>
      <w:r w:rsidRPr="006B0F6C">
        <w:rPr>
          <w:rFonts w:ascii="Arial" w:hAnsi="Arial" w:cs="Arial"/>
        </w:rPr>
        <w:instrText xml:space="preserve"> ADDIN ZOTERO_ITEM CSL_CITATION {"citationID":"Zg01O0ws","properties":{"formattedCitation":"(Monteiro et al., 2022)","plainCitation":"(Monteiro et al., 2022)","noteIndex":0},"citationItems":[{"id":420,"uris":["http://zotero.org/users/16006184/items/J42IXSHA"],"itemData":{"id":420,"type":"article-journal","abstract":"Abstract\nIntroduction: COVID-19 is an acute respiratory infection, potentially severe, with high transmissibility and global distribution, whose transmission occurs through direct contact over an infected person, by droplet and aerosol. Admission to an Intensive Care Unit (ICU) is required for patients with respiratory difficulty. Objective: To identify the sociodemographic profile, clinical profile, complications and outcome of patients admitted to the Intensive Care Unit with COVID-19. Material and method: Retrospective study with patients of both genders, age over 18 years, admitted to any ICU of the Central Hospital of the Irmandade da Santa Casa de Misericórdia de São Paulo, from 07/01/2021 to 07/31/2021 diagnosed with COVID-19. Results: Regarding the sociodemographic profile of the 42 medical records analyzed, more than half (61.9%) of these patients were male, followed by 38.1% female. The average age was 54 years, varying from 28 to 90 years. The age group with the highest prevalence was 51 to 60 years old (28.6%), followed by the age group 61 to 70 years old (26.2%). A total of 16.6% were in the age group of 31 to 40 years and 14.3% in the age group of 41 to 50 years. The least affected age group was 71 to 80 years old (7.1%), followed by the age group 21 to 30 years old (4.8%) and finally the age group 81 to 90 years old (2.4%). In relation to the color of the patients, there was a record of 85.7% of patients who were white and 14.3% were brown. The marital status of the patients registered in the medical records identified the vast majority of singles (90.5%), followed by married (7.1%) and divorced (2.4%). The average hospital stay was 15 days, ranging from 2 to 41 days. The average ICU stay was 11 days, ranging from 1 to 33 days. Systemic Arterial Hypertension (SAH) was the most frequent comorbidity (54.8%), followed by Diabetes Mellitus (23.8%) and obesity (11.9%). Of the study sample, 33.3% of patients needed to suffer some surgical procedure, with the majority (85.8%) undergoing tracheostomy, followed by thoracostomy (7.1%) and abscess drainage (7.1%). Regarding the devices used during the ICU stay, the peripheral venous catheter was used in 100.0% of the sample, the enteral probe in 66.7%, the central venous catheter in 64.3%, the tracheal intubation and the catheter indwelling bladders were required in 57.1% of patients and tracheostomy in 28.6% of the sample. The average stay with tracheal intubation was 11 days, with tracheostomy and peripheral venous catheter was 15 days, with central venous catheter, indwelling vesical catheter and enteral tube, the average stay was 13 days each. The use of vasoactive drugs was evidenced in 90.5% of the sample, with an average use time of 12 days. The most frequent complication was pneumonia (38.1%), followed by acute kidney injury (21.4%), deep vein thrombosis (16.7%), pressure injury (11.9%) and pulmonary embolism (9.5%). Of the 42 patients evaluated, 54.8% were discharged from the hospital and 45.2% evolved to death. Conclusions: Males, whites, single, with a middle age of 54 years, hypertensive and diabetic prevailed, who stayed an average of two weeks in the hospital, needed invasive devices, vasoactive drugs, ventilatory support and had a mortality of 45.2%.\nKeywords: Health Profile; COVID-19; Intensive Care Units.","container-title":"Arquivos Médicos dos Hospitais e da Faculdade de Ciências Médicas da Santa Casa de São Paulo","DOI":"10.26432/1809-3019.2022.67.027","ISSN":"1809-3019","language":"pt","license":"Copyright (c) 2023 Kawany Santineli Monteiro, Camila Waters, Ronaldo Fernandes Rosa","page":"1 of 10-1 of 10","source":"arquivosmedicos.fcmsantacasasp.edu.br","title":"Perfil sociodemográfico, clínico, complicações e desfecho de pacientes internados com COVID-19 em uma Unidade de Terapia Intensiva / Sociodemographic and clinical profile, complications and outcome of patients hospitalized with COVID-19 in an Intensive Care Unit","URL":"https://arquivosmedicos.fcmsantacasasp.edu.br/index.php/AMSCSP/article/view/847","author":[{"family":"Monteiro","given":"Kawany Santineli"},{"family":"Waters","given":"Camila"},{"family":"Rosa","given":"Ronaldo Fernandes"}],"accessed":{"date-parts":[["2025",3,5]]},"issued":{"date-parts":[["2022"]]}}}],"schema":"https://github.com/citation-style-language/schema/raw/master/csl-citation.json"} </w:instrText>
      </w:r>
      <w:r w:rsidRPr="006B0F6C">
        <w:rPr>
          <w:rFonts w:ascii="Arial" w:hAnsi="Arial" w:cs="Arial"/>
        </w:rPr>
        <w:fldChar w:fldCharType="separate"/>
      </w:r>
      <w:r w:rsidRPr="006B0F6C">
        <w:rPr>
          <w:rFonts w:ascii="Arial" w:hAnsi="Arial" w:cs="Arial"/>
          <w:noProof/>
        </w:rPr>
        <w:t>(Monteiro et al., 2022)</w:t>
      </w:r>
      <w:r w:rsidRPr="006B0F6C">
        <w:rPr>
          <w:rFonts w:ascii="Arial" w:hAnsi="Arial" w:cs="Arial"/>
        </w:rPr>
        <w:fldChar w:fldCharType="end"/>
      </w:r>
      <w:r w:rsidRPr="006B0F6C">
        <w:rPr>
          <w:rFonts w:ascii="Arial" w:hAnsi="Arial" w:cs="Arial"/>
        </w:rPr>
        <w:t xml:space="preserve">. In another retrospective cohort carried out in China, complications included acute kidney injury (29%), liver dysfunction (29%) and heart damage (23%) </w:t>
      </w:r>
      <w:r w:rsidRPr="006B0F6C">
        <w:rPr>
          <w:rFonts w:ascii="Arial" w:hAnsi="Arial" w:cs="Arial"/>
        </w:rPr>
        <w:fldChar w:fldCharType="begin"/>
      </w:r>
      <w:r w:rsidRPr="006B0F6C">
        <w:rPr>
          <w:rFonts w:ascii="Arial" w:hAnsi="Arial" w:cs="Arial"/>
        </w:rPr>
        <w:instrText xml:space="preserve"> ADDIN ZOTERO_ITEM CSL_CITATION {"citationID":"6RTYlmQe","properties":{"formattedCitation":"(Yang et al., 2020)","plainCitation":"(Yang et al., 2020)","noteIndex":0},"citationItems":[{"id":457,"uris":["http://zotero.org/users/16006184/items/3BHE4B7D"],"itemData":{"id":457,"type":"article-journal","container-title":"The Lancet Respiratory Medicine","DOI":"10.1016/S2213-2600(20)30079-5","ISSN":"2213-2600, 2213-2619","issue":"5","journalAbbreviation":"The Lancet Respiratory Medicine","language":"English","note":"publisher: Elsevier\nPMID: 32105632","page":"475-481","source":"www.thelancet.com","title":"Clinical course and outcomes of critically ill patients with SARS-CoV-2 pneumonia in Wuhan, China: a single-centered, retrospective, observational study","title-short":"Clinical course and outcomes of critically ill patients with SARS-CoV-2 pneumonia in Wuhan, China","URL":"https://www.thelancet.com/journals/lanres/article/PIIS2213-2600(20)30079-5/fulltext","volume":"8","author":[{"family":"Yang","given":"Xiaobo"},{"family":"Yu","given":"Yuan"},{"family":"Xu","given":"Jiqian"},{"family":"Shu","given":"Huaqing"},{"family":"Xia","given":"Jia'an"},{"family":"Liu","given":"Hong"},{"family":"Wu","given":"Yongran"},{"family":"Zhang","given":"Lu"},{"family":"Yu","given":"Zhui"},{"family":"Fang","given":"Minghao"},{"family":"Yu","given":"Ting"},{"family":"Wang","given":"Yaxin"},{"family":"Pan","given":"Shangwen"},{"family":"Zou","given":"Xiaojing"},{"family":"Yuan","given":"Shiying"},{"family":"Shang","given":"You"}],"accessed":{"date-parts":[["2025",3,5]]},"issued":{"date-parts":[["2020",5,1]]}}}],"schema":"https://github.com/citation-style-language/schema/raw/master/csl-citation.json"} </w:instrText>
      </w:r>
      <w:r w:rsidRPr="006B0F6C">
        <w:rPr>
          <w:rFonts w:ascii="Arial" w:hAnsi="Arial" w:cs="Arial"/>
        </w:rPr>
        <w:fldChar w:fldCharType="separate"/>
      </w:r>
      <w:r w:rsidRPr="006B0F6C">
        <w:rPr>
          <w:rFonts w:ascii="Arial" w:hAnsi="Arial" w:cs="Arial"/>
          <w:noProof/>
        </w:rPr>
        <w:t>(Yang et al., 2020)</w:t>
      </w:r>
      <w:r w:rsidRPr="006B0F6C">
        <w:rPr>
          <w:rFonts w:ascii="Arial" w:hAnsi="Arial" w:cs="Arial"/>
        </w:rPr>
        <w:fldChar w:fldCharType="end"/>
      </w:r>
      <w:r w:rsidRPr="006B0F6C">
        <w:rPr>
          <w:rFonts w:ascii="Arial" w:hAnsi="Arial" w:cs="Arial"/>
        </w:rPr>
        <w:t xml:space="preserve">. </w:t>
      </w:r>
    </w:p>
    <w:p w14:paraId="2F23BF74" w14:textId="77777777" w:rsidR="0086275A" w:rsidRPr="006B0F6C" w:rsidRDefault="0086275A" w:rsidP="0086275A">
      <w:pPr>
        <w:jc w:val="both"/>
        <w:rPr>
          <w:rFonts w:ascii="Arial" w:hAnsi="Arial" w:cs="Arial"/>
        </w:rPr>
      </w:pPr>
      <w:r w:rsidRPr="006B0F6C">
        <w:rPr>
          <w:rFonts w:ascii="Arial" w:hAnsi="Arial" w:cs="Arial"/>
        </w:rPr>
        <w:t xml:space="preserve">Regarding the outcome of hospitalized patients, the majority of non-survivors were admitted to the intensive care unit (24.6%), which corroborates Nachtigall et al. (2020), in which the mortality rate was 29% among patients admitted to the intensive care unit </w:t>
      </w:r>
      <w:r w:rsidRPr="006B0F6C">
        <w:rPr>
          <w:rFonts w:ascii="Arial" w:hAnsi="Arial" w:cs="Arial"/>
        </w:rPr>
        <w:fldChar w:fldCharType="begin"/>
      </w:r>
      <w:r w:rsidRPr="006B0F6C">
        <w:rPr>
          <w:rFonts w:ascii="Arial" w:hAnsi="Arial" w:cs="Arial"/>
        </w:rPr>
        <w:instrText xml:space="preserve"> ADDIN ZOTERO_ITEM CSL_CITATION {"citationID":"NZO3rS01","properties":{"formattedCitation":"(Nachtigall et al., 2020)","plainCitation":"(Nachtigall et al., 2020)","noteIndex":0},"citationItems":[{"id":422,"uris":["http://zotero.org/users/16006184/items/CUDVCK7N"],"itemData":{"id":422,"type":"article-journal","container-title":"Clinical Microbiology and Infection","DOI":"10.1016/j.cmi.2020.08.011","ISSN":"1198-743X","issue":"12","journalAbbreviation":"Clinical Microbiology and Infection","language":"English","note":"publisher: Elsevier\nPMID: 32822883","page":"1663-1669","source":"www.clinicalmicrobiologyandinfection.com","title":"Clinical course and factors associated with outcomes among 1904 patients hospitalized with COVID-19 in Germany: an observational study","title-short":"Clinical course and factors associated with outcomes among 1904 patients hospitalized with COVID-19 in Germany","URL":"https://www.clinicalmicrobiologyandinfection.com/article/S1198-743X(20)30493-6/fulltext","volume":"26","author":[{"family":"Nachtigall","given":"Irit"},{"family":"Lenga","given":"Pavlina"},{"family":"Jóźwiak","given":"Katarzyna"},{"family":"Thürmann","given":"Petra"},{"family":"Meier-Hellmann","given":"Andreas"},{"family":"Kuhlen","given":"Ralf"},{"family":"Brederlau","given":"Joerg"},{"family":"Bauer","given":"Torsten"},{"family":"Tebbenjohanns","given":"Juergen"},{"family":"Schwegmann","given":"Karin"},{"family":"Hauptmann","given":"Michael"},{"family":"Dengler","given":"Julius"}],"accessed":{"date-parts":[["2025",3,5]]},"issued":{"date-parts":[["2020",12,1]]}}}],"schema":"https://github.com/citation-style-language/schema/raw/master/csl-citation.json"} </w:instrText>
      </w:r>
      <w:r w:rsidRPr="006B0F6C">
        <w:rPr>
          <w:rFonts w:ascii="Arial" w:hAnsi="Arial" w:cs="Arial"/>
        </w:rPr>
        <w:fldChar w:fldCharType="separate"/>
      </w:r>
      <w:r w:rsidRPr="006B0F6C">
        <w:rPr>
          <w:rFonts w:ascii="Arial" w:hAnsi="Arial" w:cs="Arial"/>
          <w:noProof/>
        </w:rPr>
        <w:t>(Nachtigall et al., 2020)</w:t>
      </w:r>
      <w:r w:rsidRPr="006B0F6C">
        <w:rPr>
          <w:rFonts w:ascii="Arial" w:hAnsi="Arial" w:cs="Arial"/>
        </w:rPr>
        <w:fldChar w:fldCharType="end"/>
      </w:r>
      <w:r w:rsidRPr="006B0F6C">
        <w:rPr>
          <w:rFonts w:ascii="Arial" w:hAnsi="Arial" w:cs="Arial"/>
        </w:rPr>
        <w:t xml:space="preserve">. In addition, published national data from the first 250,000 patients hospitalized for Covid-19 in Brazil states that the average mortality rate in the intensive care unit was 55% </w:t>
      </w:r>
      <w:r w:rsidRPr="006B0F6C">
        <w:rPr>
          <w:rFonts w:ascii="Arial" w:hAnsi="Arial" w:cs="Arial"/>
        </w:rPr>
        <w:fldChar w:fldCharType="begin"/>
      </w:r>
      <w:r w:rsidRPr="006B0F6C">
        <w:rPr>
          <w:rFonts w:ascii="Arial" w:hAnsi="Arial" w:cs="Arial"/>
        </w:rPr>
        <w:instrText xml:space="preserve"> ADDIN ZOTERO_ITEM CSL_CITATION {"citationID":"qbvnkOeM","properties":{"formattedCitation":"(Ranzani et al., 2021)","plainCitation":"(Ranzani et al., 2021)","noteIndex":0},"citationItems":[{"id":434,"uris":["http://zotero.org/users/16006184/items/BKIGZ82T"],"itemData":{"id":434,"type":"article-journal","container-title":"The Lancet Respiratory Medicine","DOI":"10.1016/S2213-2600(20)30560-9","ISSN":"2213-2600, 2213-2619","issue":"4","journalAbbreviation":"The Lancet Respiratory Medicine","language":"English","note":"publisher: Elsevier\nPMID: 33460571","page":"407-418","source":"www.thelancet.com","title":"Characterisation of the first 250 000 hospital admissions for COVID-19 in Brazil: a retrospective analysis of nationwide data","title-short":"Characterisation of the first 250 000 hospital admissions for COVID-19 in Brazil","URL":"https://www.thelancet.com/journals/lanres/article/PIIS2213-2600(20)30560-9/fulltext","volume":"9","author":[{"family":"Ranzani","given":"Otavio T."},{"family":"Bastos","given":"Leonardo S. L."},{"family":"Gelli","given":"João Gabriel M."},{"family":"Marchesi","given":"Janaina F."},{"family":"Baião","given":"Fernanda"},{"family":"Hamacher","given":"Silvio"},{"family":"Bozza","given":"Fernando A."}],"accessed":{"date-parts":[["2025",3,5]]},"issued":{"date-parts":[["2021",4,1]]}}}],"schema":"https://github.com/citation-style-language/schema/raw/master/csl-citation.json"} </w:instrText>
      </w:r>
      <w:r w:rsidRPr="006B0F6C">
        <w:rPr>
          <w:rFonts w:ascii="Arial" w:hAnsi="Arial" w:cs="Arial"/>
        </w:rPr>
        <w:fldChar w:fldCharType="separate"/>
      </w:r>
      <w:r w:rsidRPr="006B0F6C">
        <w:rPr>
          <w:rFonts w:ascii="Arial" w:hAnsi="Arial" w:cs="Arial"/>
          <w:noProof/>
        </w:rPr>
        <w:t>(Ranzani et al., 2021)</w:t>
      </w:r>
      <w:r w:rsidRPr="006B0F6C">
        <w:rPr>
          <w:rFonts w:ascii="Arial" w:hAnsi="Arial" w:cs="Arial"/>
        </w:rPr>
        <w:fldChar w:fldCharType="end"/>
      </w:r>
      <w:r w:rsidRPr="006B0F6C">
        <w:rPr>
          <w:rFonts w:ascii="Arial" w:hAnsi="Arial" w:cs="Arial"/>
        </w:rPr>
        <w:t>, exceeding the percentage found in this study.</w:t>
      </w:r>
    </w:p>
    <w:p w14:paraId="0974977E" w14:textId="77777777" w:rsidR="0086275A" w:rsidRPr="006B0F6C" w:rsidRDefault="0086275A" w:rsidP="0086275A">
      <w:pPr>
        <w:jc w:val="both"/>
        <w:rPr>
          <w:rFonts w:ascii="Arial" w:hAnsi="Arial" w:cs="Arial"/>
        </w:rPr>
      </w:pPr>
      <w:r w:rsidRPr="006B0F6C">
        <w:rPr>
          <w:rFonts w:ascii="Arial" w:hAnsi="Arial" w:cs="Arial"/>
        </w:rPr>
        <w:t xml:space="preserve">Not having a partner predominated in patients with a death outcome. According to Kudoh et al. (2023), in single patients with mild Covid-19 disease, social isolation, rather than viral virulence itself, can affect their psychological conditions, which could explain the difference between marital status and Covid-19 severity </w:t>
      </w:r>
      <w:r w:rsidRPr="006B0F6C">
        <w:rPr>
          <w:rFonts w:ascii="Arial" w:hAnsi="Arial" w:cs="Arial"/>
        </w:rPr>
        <w:fldChar w:fldCharType="begin"/>
      </w:r>
      <w:r w:rsidRPr="006B0F6C">
        <w:rPr>
          <w:rFonts w:ascii="Arial" w:hAnsi="Arial" w:cs="Arial"/>
        </w:rPr>
        <w:instrText xml:space="preserve"> ADDIN ZOTERO_ITEM CSL_CITATION {"citationID":"fu5NbTfk","properties":{"formattedCitation":"(Kudoh et al., 2023)","plainCitation":"(Kudoh et al., 2023)","noteIndex":0},"citationItems":[{"id":406,"uris":["http://zotero.org/users/16006184/items/N5SLHP6K"],"itemData":{"id":406,"type":"article-journal","abstract":"Although studies have investigated the factors associated with psychological post-COVID-19 symptoms, the impact of marital status on symptom development has not been fully determined. This study conducts a questionnaire survey to investigate the association between marital status and the proportion of patients with post-COVID-19 symptoms in 749 cases as valid responses. Depressive state and memory impairment were more frequently seen in the no-spouse group when each symptom was compared according to marital status. Particularly in individuals in the 40s who had minor COVID-19 illness, this trend was noted. Single patients with mild COVID-19 illness may need proactive psychological support.","container-title":"Respiratory Investigation","DOI":"10.1016/j.resinv.2023.01.001","ISSN":"2212-5345","issue":"2","journalAbbreviation":"Respiratory Investigation","page":"181-185","source":"ScienceDirect","title":"Marital status and post-COVID-19 conditions","URL":"https://www.sciencedirect.com/science/article/pii/S2212534523000084","volume":"61","author":[{"family":"Kudoh","given":"Ryohei"},{"family":"Komiya","given":"Kosaku"},{"family":"Shinohara","given":"Aya"},{"family":"Kageyama","given":"Takaaki"},{"family":"Hiramatsu","given":"Kazufumi"},{"family":"Kadota","given":"Jun-ichi"}],"accessed":{"date-parts":[["2025",3,5]]},"issued":{"date-parts":[["2023",3,1]]}}}],"schema":"https://github.com/citation-style-language/schema/raw/master/csl-citation.json"} </w:instrText>
      </w:r>
      <w:r w:rsidRPr="006B0F6C">
        <w:rPr>
          <w:rFonts w:ascii="Arial" w:hAnsi="Arial" w:cs="Arial"/>
        </w:rPr>
        <w:fldChar w:fldCharType="separate"/>
      </w:r>
      <w:r w:rsidRPr="006B0F6C">
        <w:rPr>
          <w:rFonts w:ascii="Arial" w:hAnsi="Arial" w:cs="Arial"/>
          <w:noProof/>
        </w:rPr>
        <w:t>(Kudoh et al., 2023)</w:t>
      </w:r>
      <w:r w:rsidRPr="006B0F6C">
        <w:rPr>
          <w:rFonts w:ascii="Arial" w:hAnsi="Arial" w:cs="Arial"/>
        </w:rPr>
        <w:fldChar w:fldCharType="end"/>
      </w:r>
      <w:r w:rsidRPr="006B0F6C">
        <w:rPr>
          <w:rFonts w:ascii="Arial" w:hAnsi="Arial" w:cs="Arial"/>
        </w:rPr>
        <w:t xml:space="preserve">. Patients with dyslipidemia and type II diabetes mellitus were mostly discharged and only 1.1% and 6% died, respectively. This result differs from the available scientific literature, which reports twice the odds of hospital death related to Covid-19 in people with type 2 diabetes mellitus </w:t>
      </w:r>
      <w:r w:rsidRPr="006B0F6C">
        <w:rPr>
          <w:rFonts w:ascii="Arial" w:hAnsi="Arial" w:cs="Arial"/>
        </w:rPr>
        <w:fldChar w:fldCharType="begin"/>
      </w:r>
      <w:r w:rsidRPr="006B0F6C">
        <w:rPr>
          <w:rFonts w:ascii="Arial" w:hAnsi="Arial" w:cs="Arial"/>
        </w:rPr>
        <w:instrText xml:space="preserve"> ADDIN ZOTERO_ITEM CSL_CITATION {"citationID":"c3WvNjpz","properties":{"formattedCitation":"(Barron et al., 2020)","plainCitation":"(Barron et al., 2020)","noteIndex":0},"citationItems":[{"id":346,"uris":["http://zotero.org/users/16006184/items/LLLBFXBJ"],"itemData":{"id":346,"type":"article-journal","container-title":"The Lancet Diabetes &amp; Endocrinology","DOI":"10.1016/S2213-8587(20)30272-2","ISSN":"2213-8587, 2213-8595","issue":"10","journalAbbreviation":"The Lancet Diabetes &amp; Endocrinology","language":"English","note":"publisher: Elsevier\nPMID: 32798472","page":"813-822","source":"www.thelancet.com","title":"Associations of type 1 and type 2 diabetes with COVID-19-related mortality in England: a whole-population study","title-short":"Associations of type 1 and type 2 diabetes with COVID-19-related mortality in England","URL":"https://www.thelancet.com/journals/landia/article/PIIS2213-8587(20)30272-2/fulltext","volume":"8","author":[{"family":"Barron","given":"Emma"},{"family":"Bakhai","given":"Chirag"},{"family":"Kar","given":"Partha"},{"family":"Weaver","given":"Andy"},{"family":"Bradley","given":"Dominique"},{"family":"Ismail","given":"Hassan"},{"family":"Knighton","given":"Peter"},{"family":"Holman","given":"Naomi"},{"family":"Khunti","given":"Kamlesh"},{"family":"Sattar","given":"Naveed"},{"family":"Wareham","given":"Nicholas J."},{"family":"Young","given":"Bob"},{"family":"Valabhji","given":"Jonathan"}],"accessed":{"date-parts":[["2025",3,5]]},"issued":{"date-parts":[["2020",10,1]]}}}],"schema":"https://github.com/citation-style-language/schema/raw/master/csl-citation.json"} </w:instrText>
      </w:r>
      <w:r w:rsidRPr="006B0F6C">
        <w:rPr>
          <w:rFonts w:ascii="Arial" w:hAnsi="Arial" w:cs="Arial"/>
        </w:rPr>
        <w:fldChar w:fldCharType="separate"/>
      </w:r>
      <w:r w:rsidRPr="006B0F6C">
        <w:rPr>
          <w:rFonts w:ascii="Arial" w:hAnsi="Arial" w:cs="Arial"/>
          <w:noProof/>
        </w:rPr>
        <w:t>(Barron et al., 2020)</w:t>
      </w:r>
      <w:r w:rsidRPr="006B0F6C">
        <w:rPr>
          <w:rFonts w:ascii="Arial" w:hAnsi="Arial" w:cs="Arial"/>
        </w:rPr>
        <w:fldChar w:fldCharType="end"/>
      </w:r>
      <w:r w:rsidRPr="006B0F6C">
        <w:rPr>
          <w:rFonts w:ascii="Arial" w:hAnsi="Arial" w:cs="Arial"/>
        </w:rPr>
        <w:t xml:space="preserve">. Furthermore, diabetes mellitus is known to be associated with an increased risk of Covid-19-related hospitalization and serious outcomes, including mortality </w:t>
      </w:r>
      <w:r w:rsidRPr="006B0F6C">
        <w:rPr>
          <w:rFonts w:ascii="Arial" w:hAnsi="Arial" w:cs="Arial"/>
        </w:rPr>
        <w:fldChar w:fldCharType="begin"/>
      </w:r>
      <w:r w:rsidRPr="006B0F6C">
        <w:rPr>
          <w:rFonts w:ascii="Arial" w:hAnsi="Arial" w:cs="Arial"/>
        </w:rPr>
        <w:instrText xml:space="preserve"> ADDIN ZOTERO_ITEM CSL_CITATION {"citationID":"MAacxQuL","properties":{"formattedCitation":"(Singh, Awadhesh Kumar &amp; Khunti, Kamlesh, 2022)","plainCitation":"(Singh, Awadhesh Kumar &amp; Khunti, Kamlesh, 2022)","noteIndex":0},"citationItems":[{"id":474,"uris":["http://zotero.org/users/16006184/items/H9V9VDBZ"],"itemData":{"id":474,"type":"article-journal","container-title":"Annual Review of Medicine","DOI":"https://doi.org/10.1146/annurev-med-042220-011857","page":"129-147","title":"COVID-19 and Diabetes","URL":"https://www.annualreviews.org/content/journals/10.1146/annurev-med-042220-011857","volume":"73","author":[{"literal":"Singh, Awadhesh Kumar"},{"literal":"Khunti, Kamlesh"}],"accessed":{"date-parts":[["2025",3,5]]},"issued":{"date-parts":[["2022"]]}}}],"schema":"https://github.com/citation-style-language/schema/raw/master/csl-citation.json"} </w:instrText>
      </w:r>
      <w:r w:rsidRPr="006B0F6C">
        <w:rPr>
          <w:rFonts w:ascii="Arial" w:hAnsi="Arial" w:cs="Arial"/>
        </w:rPr>
        <w:fldChar w:fldCharType="separate"/>
      </w:r>
      <w:r w:rsidRPr="006B0F6C">
        <w:rPr>
          <w:rFonts w:ascii="Arial" w:hAnsi="Arial" w:cs="Arial"/>
          <w:noProof/>
        </w:rPr>
        <w:t>(Singh, Awadhesh Kumar &amp; Khunti, Kamlesh, 2022)</w:t>
      </w:r>
      <w:r w:rsidRPr="006B0F6C">
        <w:rPr>
          <w:rFonts w:ascii="Arial" w:hAnsi="Arial" w:cs="Arial"/>
        </w:rPr>
        <w:fldChar w:fldCharType="end"/>
      </w:r>
      <w:r w:rsidRPr="006B0F6C">
        <w:rPr>
          <w:rFonts w:ascii="Arial" w:hAnsi="Arial" w:cs="Arial"/>
        </w:rPr>
        <w:t xml:space="preserve">. According to </w:t>
      </w:r>
      <w:proofErr w:type="spellStart"/>
      <w:r w:rsidRPr="006B0F6C">
        <w:rPr>
          <w:rFonts w:ascii="Arial" w:hAnsi="Arial" w:cs="Arial"/>
        </w:rPr>
        <w:t>Hariyanto</w:t>
      </w:r>
      <w:proofErr w:type="spellEnd"/>
      <w:r w:rsidRPr="006B0F6C">
        <w:rPr>
          <w:rFonts w:ascii="Arial" w:hAnsi="Arial" w:cs="Arial"/>
        </w:rPr>
        <w:t xml:space="preserve"> &amp; Kurniawan (2020), in dyslipidemia, the accumulation of LDL cholesterol and triglycerides causes endothelial dysfunction, which can be accentuated in Covid-19 infections, leading to the development of cardiovascular complications that can cause a serious evolution of patients. </w:t>
      </w:r>
    </w:p>
    <w:p w14:paraId="58E461C9" w14:textId="77777777" w:rsidR="0086275A" w:rsidRPr="006B0F6C" w:rsidRDefault="0086275A" w:rsidP="0086275A">
      <w:pPr>
        <w:jc w:val="both"/>
        <w:rPr>
          <w:rFonts w:ascii="Arial" w:hAnsi="Arial" w:cs="Arial"/>
        </w:rPr>
      </w:pPr>
      <w:r w:rsidRPr="006B0F6C">
        <w:rPr>
          <w:rFonts w:ascii="Arial" w:hAnsi="Arial" w:cs="Arial"/>
        </w:rPr>
        <w:t xml:space="preserve">Of the patients who died, half used a spectacle-type nasal cannula, while the majority used noninvasive ventilation and orotracheal intubation. In discharges, the highest percentage of patients used nasal cannula, and noninvasive ventilation and orotracheal intubation were not used in most cases. A study by Kurtz et al. (2021) reported that in-hospital mortality was higher </w:t>
      </w:r>
      <w:r w:rsidRPr="006B0F6C">
        <w:rPr>
          <w:rFonts w:ascii="Arial" w:hAnsi="Arial" w:cs="Arial"/>
        </w:rPr>
        <w:lastRenderedPageBreak/>
        <w:t xml:space="preserve">in patients who underwent only invasive mechanical ventilation compared to those who required only non-invasive ventilation with positive pressure or high-flow nasal cannula (58 vs. 4.6%) </w:t>
      </w:r>
      <w:r w:rsidRPr="006B0F6C">
        <w:rPr>
          <w:rFonts w:ascii="Arial" w:hAnsi="Arial" w:cs="Arial"/>
        </w:rPr>
        <w:fldChar w:fldCharType="begin"/>
      </w:r>
      <w:r w:rsidRPr="006B0F6C">
        <w:rPr>
          <w:rFonts w:ascii="Arial" w:hAnsi="Arial" w:cs="Arial"/>
        </w:rPr>
        <w:instrText xml:space="preserve"> ADDIN ZOTERO_ITEM CSL_CITATION {"citationID":"ujJwdudi","properties":{"formattedCitation":"(Kurtz et al., 2021)","plainCitation":"(Kurtz et al., 2021)","noteIndex":0},"citationItems":[{"id":409,"uris":["http://zotero.org/users/16006184/items/Z4QVAJE7"],"itemData":{"id":409,"type":"article-journal","abstract":"Clinical characteristics and management of COVID-19 patients have evolved during the pandemic, potentially changing their outcomes. We analyzed the associations of changes in mortality rates with clinical profiles and respiratory support strategies in COVID-19 critically ill patients.","container-title":"Intensive Care Medicine","DOI":"10.1007/s00134-021-06388-0","ISSN":"1432-1238","issue":"5","journalAbbreviation":"Intensive Care Med","language":"en","page":"538-548","source":"Springer Link","title":"Evolving changes in mortality of 13,301 critically ill adult patients with COVID-19 over 8 months","URL":"https://doi.org/10.1007/s00134-021-06388-0","volume":"47","author":[{"family":"Kurtz","given":"Pedro"},{"family":"Bastos","given":"Leonardo S. L."},{"family":"Dantas","given":"Leila F."},{"family":"Zampieri","given":"Fernando G."},{"family":"Soares","given":"Marcio"},{"family":"Hamacher","given":"Silvio"},{"family":"Salluh","given":"Jorge I. F."},{"family":"Bozza","given":"Fernando A."}],"accessed":{"date-parts":[["2025",3,5]]},"issued":{"date-parts":[["2021",5,1]]}}}],"schema":"https://github.com/citation-style-language/schema/raw/master/csl-citation.json"} </w:instrText>
      </w:r>
      <w:r w:rsidRPr="006B0F6C">
        <w:rPr>
          <w:rFonts w:ascii="Arial" w:hAnsi="Arial" w:cs="Arial"/>
        </w:rPr>
        <w:fldChar w:fldCharType="separate"/>
      </w:r>
      <w:r w:rsidRPr="006B0F6C">
        <w:rPr>
          <w:rFonts w:ascii="Arial" w:hAnsi="Arial" w:cs="Arial"/>
          <w:noProof/>
        </w:rPr>
        <w:t>(Kurtz et al., 2021)</w:t>
      </w:r>
      <w:r w:rsidRPr="006B0F6C">
        <w:rPr>
          <w:rFonts w:ascii="Arial" w:hAnsi="Arial" w:cs="Arial"/>
        </w:rPr>
        <w:fldChar w:fldCharType="end"/>
      </w:r>
      <w:r w:rsidRPr="006B0F6C">
        <w:rPr>
          <w:rFonts w:ascii="Arial" w:hAnsi="Arial" w:cs="Arial"/>
        </w:rPr>
        <w:t>. Thus, an independent association was observed between increased use of non-invasive ventilation with positive pressure or high-flow nasal cannula and improved survival, which is corroborated by the results found in this study, except for noninvasive ventilation, which was present in the majority of cases with a death outcome. The most commonly used diet in non-surviving patients was the enteral route (24.9%), which may be partly explained by the similarity in the percentage of orotracheal intubation use in this population (21.8%).</w:t>
      </w:r>
    </w:p>
    <w:p w14:paraId="4C8851E2" w14:textId="77777777" w:rsidR="0086275A" w:rsidRPr="006B0F6C" w:rsidRDefault="0086275A" w:rsidP="0086275A">
      <w:pPr>
        <w:jc w:val="both"/>
        <w:rPr>
          <w:rFonts w:ascii="Arial" w:hAnsi="Arial" w:cs="Arial"/>
          <w:color w:val="1F497D"/>
        </w:rPr>
      </w:pPr>
      <w:r w:rsidRPr="006B0F6C">
        <w:rPr>
          <w:rFonts w:ascii="Arial" w:hAnsi="Arial" w:cs="Arial"/>
        </w:rPr>
        <w:t>Inpatients underwent various procedures, including hemodialysis, which was performed in 6.7% of patients, all of whom died afterwards. In the study by Ferreira et al. (2021), renal replacement therapy was used in 35% of patients and was associated with high costs and a greater burden of care, as well as high mortality</w:t>
      </w:r>
      <w:r w:rsidRPr="006B0F6C">
        <w:rPr>
          <w:rFonts w:ascii="Arial" w:hAnsi="Arial" w:cs="Arial"/>
        </w:rPr>
        <w:fldChar w:fldCharType="begin"/>
      </w:r>
      <w:r w:rsidRPr="006B0F6C">
        <w:rPr>
          <w:rFonts w:ascii="Arial" w:hAnsi="Arial" w:cs="Arial"/>
        </w:rPr>
        <w:instrText xml:space="preserve"> ADDIN ZOTERO_ITEM CSL_CITATION {"citationID":"w4Vi4vTn","properties":{"formattedCitation":"(Ferreira et al., 2021)","plainCitation":"(Ferreira et al., 2021)","noteIndex":0},"citationItems":[{"id":379,"uris":["http://zotero.org/users/16006184/items/3CJJXI3B"],"itemData":{"id":379,"type":"article-journal","abstract":"PDF | Background: Approximately 5% of COVID-19 patients develop respiratory failure and need ventilatory support, yet little is known about the impact... | Find, read and cite all the research you need on ResearchGate","container-title":"Annals of Intensive Care","DOI":"https://doi.org/10.1186/s13613-021-00882-w","language":"en","source":"www.researchgate.net","title":"(PDF) Protective ventilation and outcomes of critically ill patients with COVID-19: a cohort study","title-short":"(PDF) Protective ventilation and outcomes of critically ill patients with COVID-19","URL":"https://www.researchgate.net/publication/352225864_Protective_ventilation_and_outcomes_of_critically_ill_patients_with_COVID-19_a_cohort_study","volume":"11","author":[{"family":"Ferreira","given":"Juliana Carvalho"},{"family":"Ho","given":"Yeh-Li"},{"family":"Besen","given":"Bruno Adler Maccagnan Pinheiro"},{"family":"Malbouisson","given":"Luiz Marcelo"}],"accessed":{"date-parts":[["2025",3,5]]},"issued":{"date-parts":[["2021"]]}}}],"schema":"https://github.com/citation-style-language/schema/raw/master/csl-citation.json"} </w:instrText>
      </w:r>
      <w:r w:rsidRPr="006B0F6C">
        <w:rPr>
          <w:rFonts w:ascii="Arial" w:hAnsi="Arial" w:cs="Arial"/>
        </w:rPr>
        <w:fldChar w:fldCharType="separate"/>
      </w:r>
      <w:r w:rsidRPr="006B0F6C">
        <w:rPr>
          <w:rFonts w:ascii="Arial" w:hAnsi="Arial" w:cs="Arial"/>
          <w:noProof/>
        </w:rPr>
        <w:t>(Ferreira et al., 2021)</w:t>
      </w:r>
      <w:r w:rsidRPr="006B0F6C">
        <w:rPr>
          <w:rFonts w:ascii="Arial" w:hAnsi="Arial" w:cs="Arial"/>
        </w:rPr>
        <w:fldChar w:fldCharType="end"/>
      </w:r>
      <w:r w:rsidRPr="006B0F6C">
        <w:rPr>
          <w:rFonts w:ascii="Arial" w:hAnsi="Arial" w:cs="Arial"/>
        </w:rPr>
        <w:t>. Chest drainage and other procedures such as central venous catheter, colostomy and cardiac catheterization were performed in a higher percentage of non-survivors than survivors.</w:t>
      </w:r>
    </w:p>
    <w:p w14:paraId="24BA1A3A" w14:textId="77777777" w:rsidR="0086275A" w:rsidRPr="006B0F6C" w:rsidRDefault="0086275A" w:rsidP="0086275A">
      <w:pPr>
        <w:jc w:val="both"/>
        <w:rPr>
          <w:rFonts w:ascii="Arial" w:hAnsi="Arial" w:cs="Arial"/>
        </w:rPr>
      </w:pPr>
      <w:r w:rsidRPr="006B0F6C">
        <w:rPr>
          <w:rFonts w:ascii="Arial" w:hAnsi="Arial" w:cs="Arial"/>
        </w:rPr>
        <w:t xml:space="preserve">Blood components were used in 6.3% of patients who were discharged and in 11.2% of those who died. The greater use of blood components in non-surviving patients corroborates a retrospective observational study carried out in a hospital in Spain, which revealed that, in general, the transfusion requirements of Covid-19 patients were higher among those who needed to be admitted to the intensive care unit and that mortality among hospitalized patients who required transfusion was high (45%). It also states that the transfusion requirements of Covid-intensive care unit patients were 40% higher than those of non-Covid intensive care unit patients </w:t>
      </w:r>
      <w:r w:rsidRPr="006B0F6C">
        <w:rPr>
          <w:rFonts w:ascii="Arial" w:hAnsi="Arial" w:cs="Arial"/>
        </w:rPr>
        <w:fldChar w:fldCharType="begin"/>
      </w:r>
      <w:r w:rsidRPr="006B0F6C">
        <w:rPr>
          <w:rFonts w:ascii="Arial" w:hAnsi="Arial" w:cs="Arial"/>
        </w:rPr>
        <w:instrText xml:space="preserve"> ADDIN ZOTERO_ITEM CSL_CITATION {"citationID":"ohIFYZ3u","properties":{"formattedCitation":"(Vel\\uc0\\u225{}zquez-Kennedy et al., 2021)","plainCitation":"(Velázquez-Kennedy et al., 2021)","noteIndex":0},"citationItems":[{"id":453,"uris":["http://zotero.org/users/16006184/items/6AYMKIG8"],"itemData":{"id":453,"type":"article-journal","abstract":"Background During the COVID-19 outbreak, most hospitals deferred elective surgical procedures to allow space for the overwhelming number of COVID-19 patient admissions, expecting a decrease in routine blood component requirements. However, because transfusion support needs of COVID-19 patients are not well known, its impact on hospital blood supply is uncertain. The objective of this study was to assess the effect of the COVID-19 pandemic on transfusion demand. Study Design and Methods Transfusion records during the peak of the COVID-19 pandemic (March 1-April 30, 2020) were reviewed in our center to assess changes in blood requirements. Results During this period 636 patients received a total of 2934 blood components, which reflects a 17.6% reduction in transfusion requirements with regard to the same period of 2019, and blood donations in Madrid dropped by 45%. The surgical blood demand decreased significantly during the outbreak (50.2%). Blood usage in the hematology and oncology departments remained unchanged, while the day ward demand halved, and intensive care unit transfusion needs increased by 116%. A total of 6.2% of all COVID inpatients required transfusion support. COVID-19 inpatients consumed 19% of all blood components, which counterbalanced the savings owed to the reduction in elective procedures. Conclusion Although only a minority of COVID-19 inpatients required transfusion, the expected reduction in transfusion needs caused by the lack of elective surgical procedures is partially offset by the large number of admitted patients during the peak of the pandemic. This fact must be taken into account when planning hospital blood supply.","container-title":"Transfusion","DOI":"10.1111/trf.16171","ISSN":"1537-2995","issue":"2","language":"en","license":"© 2020 AABB","note":"_eprint: https://onlinelibrary.wiley.com/doi/pdf/10.1111/trf.16171","page":"361-367","source":"Wiley Online Library","title":"Transfusion support in COVID-19 patients: Impact on hospital blood component supply during the outbreak","title-short":"Transfusion support in COVID-19 patients","URL":"https://onlinelibrary.wiley.com/doi/abs/10.1111/trf.16171","volume":"61","author":[{"family":"Velázquez-Kennedy","given":"Kyra"},{"family":"Luna","given":"Alejandro"},{"family":"Sánchez-Tornero","given":"Adrián"},{"family":"Jiménez-Chillón","given":"Carlos"},{"family":"Jiménez-Martín","given":"Ana"},{"family":"Vallés Carboneras","given":"Ana"},{"family":"Tenorio","given":"María"},{"family":"García García","given":"Irene"},{"family":"López-Jiménez","given":"Francisco Javier"},{"family":"Moreno-Jiménez","given":"Gemma"}],"accessed":{"date-parts":[["2025",3,5]]},"issued":{"date-parts":[["2021"]]}}}],"schema":"https://github.com/citation-style-language/schema/raw/master/csl-citation.json"} </w:instrText>
      </w:r>
      <w:r w:rsidRPr="006B0F6C">
        <w:rPr>
          <w:rFonts w:ascii="Arial" w:hAnsi="Arial" w:cs="Arial"/>
        </w:rPr>
        <w:fldChar w:fldCharType="separate"/>
      </w:r>
      <w:r w:rsidRPr="006B0F6C">
        <w:rPr>
          <w:rFonts w:ascii="Arial" w:hAnsi="Arial" w:cs="Arial"/>
        </w:rPr>
        <w:t>(Velázquez-Kennedy et al., 2021)</w:t>
      </w:r>
      <w:r w:rsidRPr="006B0F6C">
        <w:rPr>
          <w:rFonts w:ascii="Arial" w:hAnsi="Arial" w:cs="Arial"/>
        </w:rPr>
        <w:fldChar w:fldCharType="end"/>
      </w:r>
      <w:r w:rsidRPr="006B0F6C">
        <w:rPr>
          <w:rFonts w:ascii="Arial" w:hAnsi="Arial" w:cs="Arial"/>
        </w:rPr>
        <w:t>.</w:t>
      </w:r>
    </w:p>
    <w:p w14:paraId="128CF5B8" w14:textId="77777777" w:rsidR="0086275A" w:rsidRPr="006B0F6C" w:rsidRDefault="0086275A" w:rsidP="0086275A">
      <w:pPr>
        <w:jc w:val="both"/>
        <w:rPr>
          <w:rFonts w:ascii="Arial" w:hAnsi="Arial" w:cs="Arial"/>
        </w:rPr>
      </w:pPr>
      <w:r w:rsidRPr="006B0F6C">
        <w:rPr>
          <w:rFonts w:ascii="Arial" w:hAnsi="Arial" w:cs="Arial"/>
        </w:rPr>
        <w:t xml:space="preserve">Complications during hospitalization were reported in the majority of patients who died. This corroborates Zhang et al. (2023) who stated that complications during hospitalization have been identified as risk factors for Covid-19 mortality and, therefore, early identification and immediate intervention might be able to reduce mortality </w:t>
      </w:r>
      <w:r w:rsidRPr="006B0F6C">
        <w:rPr>
          <w:rFonts w:ascii="Arial" w:hAnsi="Arial" w:cs="Arial"/>
        </w:rPr>
        <w:fldChar w:fldCharType="begin"/>
      </w:r>
      <w:r w:rsidRPr="006B0F6C">
        <w:rPr>
          <w:rFonts w:ascii="Arial" w:hAnsi="Arial" w:cs="Arial"/>
        </w:rPr>
        <w:instrText xml:space="preserve"> ADDIN ZOTERO_ITEM CSL_CITATION {"citationID":"XgLmhl26","properties":{"formattedCitation":"(Zhang et al., 2023)","plainCitation":"(Zhang et al., 2023)","noteIndex":0},"citationItems":[{"id":465,"uris":["http://zotero.org/users/16006184/items/7RL3LRKK"],"itemData":{"id":465,"type":"article-journal","abstract":"The outbreak of the coronavirus disease 2019 (COVID-19), caused by the novel severe acute respiratory syndrome coronavirus 2 (SARS-CoV-2), has become an evolving global health crisis. Currently, a number of risk factors have been identified to have a potential impact on increasing the morbidity of COVID-19 in adults, including old age, male sex, pre-existing comorbidities, and racial/ethnic disparities. In addition to these factors, changes in laboratory indices and pro-inflammatory cytokines, as well as possible complications, could indicate the progression of COVID-19 into a severe and critical stage. Children predominantly suffer from mild illnesses due to COVID-19. Similar to adults, the main risk factors in pediatric patients include age and pre-existing comorbidities. In contrast, supplementation with a healthy diet and sufficient nutrition, COVID-19 vaccination, and atopic conditions may act as protective factors against the infection of SARS-CoV-2. COVID-19 vaccination not only protects vulnerable individuals from SARS-CoV-2 infection, more importantly, it may also reduce the development of severe disease and death due to COVID-19. Currently used therapies for COVID-19 are off-label and empiric, and their impacts on the severity and mortality of COVID-19 are still unclear. The interaction between asthma and COVID-19 may be bidirectional and needs to be clarified in more studies. In this review, we highlight the clinical evidence supporting the rationale for the risk and protective factors for the morbidity, severity, and mortality of COVID-19.","container-title":"Clinical Reviews in Allergy &amp; Immunology","DOI":"10.1007/s12016-022-08921-5","ISSN":"1559-0267","issue":"1","journalAbbreviation":"Clinic Rev Allerg Immunol","language":"en","page":"90-107","source":"Springer Link","title":"Risk and Protective Factors for COVID-19 Morbidity, Severity, and Mortality","URL":"https://doi.org/10.1007/s12016-022-08921-5","volume":"64","author":[{"family":"Zhang","given":"Jin-jin"},{"family":"Dong","given":"Xiang"},{"family":"Liu","given":"Guang-hui"},{"family":"Gao","given":"Ya-dong"}],"accessed":{"date-parts":[["2025",3,5]]},"issued":{"date-parts":[["2023",2,1]]}}}],"schema":"https://github.com/citation-style-language/schema/raw/master/csl-citation.json"} </w:instrText>
      </w:r>
      <w:r w:rsidRPr="006B0F6C">
        <w:rPr>
          <w:rFonts w:ascii="Arial" w:hAnsi="Arial" w:cs="Arial"/>
        </w:rPr>
        <w:fldChar w:fldCharType="separate"/>
      </w:r>
      <w:r w:rsidRPr="006B0F6C">
        <w:rPr>
          <w:rFonts w:ascii="Arial" w:hAnsi="Arial" w:cs="Arial"/>
          <w:noProof/>
        </w:rPr>
        <w:t>(Zhang et al., 2023)</w:t>
      </w:r>
      <w:r w:rsidRPr="006B0F6C">
        <w:rPr>
          <w:rFonts w:ascii="Arial" w:hAnsi="Arial" w:cs="Arial"/>
        </w:rPr>
        <w:fldChar w:fldCharType="end"/>
      </w:r>
      <w:r w:rsidRPr="006B0F6C">
        <w:rPr>
          <w:rFonts w:ascii="Arial" w:hAnsi="Arial" w:cs="Arial"/>
        </w:rPr>
        <w:t>.</w:t>
      </w:r>
    </w:p>
    <w:p w14:paraId="44BB54BB" w14:textId="77777777" w:rsidR="0086275A" w:rsidRPr="006B0F6C" w:rsidRDefault="0086275A" w:rsidP="0086275A">
      <w:pPr>
        <w:jc w:val="both"/>
        <w:rPr>
          <w:rFonts w:ascii="Arial" w:hAnsi="Arial" w:cs="Arial"/>
        </w:rPr>
      </w:pPr>
      <w:r w:rsidRPr="006B0F6C">
        <w:rPr>
          <w:rFonts w:ascii="Arial" w:hAnsi="Arial" w:cs="Arial"/>
        </w:rPr>
        <w:t xml:space="preserve">Imaging tests were widely used, with </w:t>
      </w:r>
      <w:r w:rsidRPr="006B0F6C">
        <w:rPr>
          <w:rFonts w:ascii="Arial" w:hAnsi="Arial" w:cs="Arial"/>
          <w:color w:val="000000"/>
        </w:rPr>
        <w:t>computed tomography</w:t>
      </w:r>
      <w:r w:rsidRPr="006B0F6C">
        <w:rPr>
          <w:rFonts w:ascii="Arial" w:hAnsi="Arial" w:cs="Arial"/>
        </w:rPr>
        <w:t xml:space="preserve"> alone being the most commonly performed test in survivors, while in non-survivors, the highest percentage of patients underwent </w:t>
      </w:r>
      <w:r w:rsidRPr="006B0F6C">
        <w:rPr>
          <w:rFonts w:ascii="Arial" w:hAnsi="Arial" w:cs="Arial"/>
          <w:color w:val="000000"/>
        </w:rPr>
        <w:t>computed tomography</w:t>
      </w:r>
      <w:r w:rsidRPr="006B0F6C">
        <w:rPr>
          <w:rFonts w:ascii="Arial" w:hAnsi="Arial" w:cs="Arial"/>
        </w:rPr>
        <w:t xml:space="preserve"> together with X-ray, which is partly explained by the fact that chest radiography is the only possible test for critically ill patients or those admitted to the intensive care unit </w:t>
      </w:r>
      <w:r w:rsidRPr="006B0F6C">
        <w:rPr>
          <w:rFonts w:ascii="Arial" w:hAnsi="Arial" w:cs="Arial"/>
        </w:rPr>
        <w:fldChar w:fldCharType="begin"/>
      </w:r>
      <w:r w:rsidRPr="006B0F6C">
        <w:rPr>
          <w:rFonts w:ascii="Arial" w:hAnsi="Arial" w:cs="Arial"/>
        </w:rPr>
        <w:instrText xml:space="preserve"> ADDIN ZOTERO_ITEM CSL_CITATION {"citationID":"o4QGLBx5","properties":{"formattedCitation":"(Mart\\uc0\\u237{}nez Chamorro et al., 2021)","plainCitation":"(Martínez Chamorro et al., 2021)","noteIndex":0},"citationItems":[{"id":365,"uris":["http://zotero.org/users/16006184/items/LPZK2TGQ"],"itemData":{"id":365,"type":"article-journal","abstract":"Resumen\nLa pandemia por el virus SARS-CoV-2ha desencadenado una crisis económica y sanitaria sin precedentes. Aunque el diagnóstico es microbiológico, las técnicas de imagen tienen un papel importante para apoyar el diagnóstico, graduar la gravedad de la enfermedad, guiar el tratamiento, detectar posibles complicaciones y valorar la respuesta terapéutica. La afectación es principalmente pulmonar. La radiografía de tórax en sala convencional o portátil es el primer método de imagen por su amplia disponibilidad y bajo coste. La tomografía computarizada torácica tiene una mayor sensibilidad que la radiografía de tórax y permite valorar tanto la afectación pulmonar como posibles complicaciones, además de proporcionar diagnósticos alternativos. Los hallazgos radiológicos más frecuentes son las opacidades del espacio aéreo en forma de consolidaciones y/u opacidades en vidrio deslustrado, con distribución típicamente bilateral, periférica y de predominio en los campos inferiores.\nThe pandemia caused by the SARS-CoV-2 virus has triggered an unprecedented health and economic crisis. Although the diagnosis of infection with SARS-CoV-2 is microbiological, imaging techniques play an important role in supporting the diagnosis, grading the severity of disease, guiding treatment, detecting complications, and evaluating the response to treatment. The lungs are the main organ involved, and chest X-rays, whether obtained in conventional X-ray suites or with portable units, are the first-line imaging test because they are widely available and economical. Chest CT is more sensitive than plain chest X-rays, and CT studies make it possible to identify complications in addition to pulmonary involvement, as well as to suggestive alternative diagnoses. The most common radiologic findings in COVID-19 are airspace opacities (consolidations and/or ground-glass opacities), which are typically bilateral, peripheral, and located primarily in the lower fields.","container-title":"Radiología","DOI":"10.1016/j.rx.2020.11.001","ISSN":"0033-8338","issue":"1","journalAbbreviation":"Radiología","page":"56-73","source":"ScienceDirect","title":"Diagnóstico radiológico del paciente con COVID-19","URL":"https://www.sciencedirect.com/science/article/pii/S003383382030165X","volume":"63","author":[{"family":"Martínez Chamorro","given":"E."},{"family":"Díez Tascón","given":"A."},{"family":"Ibáñez Sanz","given":"L."},{"family":"Ossaba Vélez","given":"S."},{"family":"Borruel Nacenta","given":"S."}],"accessed":{"date-parts":[["2025",3,5]]},"issued":{"date-parts":[["2021",1,1]]}}}],"schema":"https://github.com/citation-style-language/schema/raw/master/csl-citation.json"} </w:instrText>
      </w:r>
      <w:r w:rsidRPr="006B0F6C">
        <w:rPr>
          <w:rFonts w:ascii="Arial" w:hAnsi="Arial" w:cs="Arial"/>
        </w:rPr>
        <w:fldChar w:fldCharType="separate"/>
      </w:r>
      <w:r w:rsidRPr="006B0F6C">
        <w:rPr>
          <w:rFonts w:ascii="Arial" w:hAnsi="Arial" w:cs="Arial"/>
        </w:rPr>
        <w:t>(Martínez Chamorro et al., 2021)</w:t>
      </w:r>
      <w:r w:rsidRPr="006B0F6C">
        <w:rPr>
          <w:rFonts w:ascii="Arial" w:hAnsi="Arial" w:cs="Arial"/>
        </w:rPr>
        <w:fldChar w:fldCharType="end"/>
      </w:r>
      <w:r w:rsidRPr="006B0F6C">
        <w:rPr>
          <w:rFonts w:ascii="Arial" w:hAnsi="Arial" w:cs="Arial"/>
        </w:rPr>
        <w:t xml:space="preserve">. In deaths, pulmonary involvement was predominant in 50 to 75% of cases, as assessed by </w:t>
      </w:r>
      <w:r w:rsidRPr="006B0F6C">
        <w:rPr>
          <w:rFonts w:ascii="Arial" w:hAnsi="Arial" w:cs="Arial"/>
          <w:color w:val="000000"/>
        </w:rPr>
        <w:t>computed tomography</w:t>
      </w:r>
      <w:r w:rsidRPr="006B0F6C">
        <w:rPr>
          <w:rFonts w:ascii="Arial" w:hAnsi="Arial" w:cs="Arial"/>
        </w:rPr>
        <w:t xml:space="preserve">, while in discharges, the parenchyma was involved in 25 to 50% of cases. Thus, greater pulmonary involvement was observed in the most severe cases, corroborating Yuan et al. (2020) who stated that the median </w:t>
      </w:r>
      <w:r w:rsidRPr="006B0F6C">
        <w:rPr>
          <w:rFonts w:ascii="Arial" w:hAnsi="Arial" w:cs="Arial"/>
          <w:color w:val="000000"/>
        </w:rPr>
        <w:t>computed tomography</w:t>
      </w:r>
      <w:r w:rsidRPr="006B0F6C">
        <w:rPr>
          <w:rFonts w:ascii="Arial" w:hAnsi="Arial" w:cs="Arial"/>
        </w:rPr>
        <w:t xml:space="preserve"> score of the mortality group was higher compared to the survival group, with a higher frequency of consolidation and air bronchograms </w:t>
      </w:r>
      <w:r w:rsidRPr="006B0F6C">
        <w:rPr>
          <w:rFonts w:ascii="Arial" w:hAnsi="Arial" w:cs="Arial"/>
        </w:rPr>
        <w:fldChar w:fldCharType="begin"/>
      </w:r>
      <w:r w:rsidRPr="006B0F6C">
        <w:rPr>
          <w:rFonts w:ascii="Arial" w:hAnsi="Arial" w:cs="Arial"/>
        </w:rPr>
        <w:instrText xml:space="preserve"> ADDIN ZOTERO_ITEM CSL_CITATION {"citationID":"gmVj1d28","properties":{"formattedCitation":"(Yuan et al., 2020)","plainCitation":"(Yuan et al., 2020)","noteIndex":0},"citationItems":[{"id":463,"uris":["http://zotero.org/users/16006184/items/U3II7D43"],"itemData":{"id":463,"type":"article-journal","abstract":"Radiologic characteristics of 2019 novel coronavirus (2019-nCoV) infected pneumonia (NCIP) which had not been fully understood are especially important for diagnosing and predicting prognosis. We retrospective studied 27 consecutive patients who were confirmed NCIP, the clinical characteristics and CT image findings were collected, and the association of radiologic findings with mortality of patients was evaluated. 27 patients included 12 men and 15 women, with median age of 60 years (IQR 47–69). 17 patients discharged in recovered condition and 10 patients died in hospital. The median age of mortality group was higher compared to survival group (68 (IQR 63–73) vs 55 (IQR 35–60), P = 0.003). The comorbidity rate in mortality group was significantly higher than in survival group (80% vs 29%, P = 0.018). The predominant CT characteristics consisted of ground glass opacity (67%), bilateral sides involved (86%), both peripheral and central distribution (74%), and lower zone involvement (96%). The median CT score of mortality group was higher compared to survival group (30 (IQR 7–13) vs 12 (IQR 11–43), P = 0.021), with more frequency of consolidation (40% vs 6%, P = 0.047) and air bronchogram (60% vs 12%, P = 0.025). An optimal cutoff value of a CT score of 24.5 had a sensitivity of 85.6% and a specificity of 84.5% for the prediction of mortality. 2019-nCoV was more likely to infect elderly people with chronic comorbidities. CT findings of NCIP were featured by predominant ground glass opacities mixed with consolidations, mainly peripheral or combined peripheral and central distributions, bilateral and lower lung zones being mostly involved. A simple CT scoring method was capable to predict mortality.","container-title":"PLOS ONE","DOI":"10.1371/journal.pone.0230548","ISSN":"1932-6203","issue":"3","journalAbbreviation":"PLOS ONE","language":"en","note":"publisher: Public Library of Science","page":"e0230548","source":"PLoS Journals","title":"Association of radiologic findings with mortality of patients infected with 2019 novel coronavirus in Wuhan, China","URL":"https://journals.plos.org/plosone/article?id=10.1371/journal.pone.0230548","volume":"15","author":[{"family":"Yuan","given":"Mingli"},{"family":"Yin","given":"Wen"},{"family":"Tao","given":"Zhaowu"},{"family":"Tan","given":"Weijun"},{"family":"Hu","given":"Yi"}],"accessed":{"date-parts":[["2025",3,5]]},"issued":{"date-parts":[["2020",3,19]]}}}],"schema":"https://github.com/citation-style-language/schema/raw/master/csl-citation.json"} </w:instrText>
      </w:r>
      <w:r w:rsidRPr="006B0F6C">
        <w:rPr>
          <w:rFonts w:ascii="Arial" w:hAnsi="Arial" w:cs="Arial"/>
        </w:rPr>
        <w:fldChar w:fldCharType="separate"/>
      </w:r>
      <w:r w:rsidRPr="006B0F6C">
        <w:rPr>
          <w:rFonts w:ascii="Arial" w:hAnsi="Arial" w:cs="Arial"/>
          <w:noProof/>
        </w:rPr>
        <w:t>(Yuan et al., 2020)</w:t>
      </w:r>
      <w:r w:rsidRPr="006B0F6C">
        <w:rPr>
          <w:rFonts w:ascii="Arial" w:hAnsi="Arial" w:cs="Arial"/>
        </w:rPr>
        <w:fldChar w:fldCharType="end"/>
      </w:r>
      <w:r w:rsidRPr="006B0F6C">
        <w:rPr>
          <w:rFonts w:ascii="Arial" w:hAnsi="Arial" w:cs="Arial"/>
        </w:rPr>
        <w:t xml:space="preserve">. </w:t>
      </w:r>
    </w:p>
    <w:p w14:paraId="61AE6F4F" w14:textId="77777777" w:rsidR="0086275A" w:rsidRPr="006B0F6C" w:rsidRDefault="0086275A" w:rsidP="0086275A">
      <w:pPr>
        <w:jc w:val="both"/>
        <w:rPr>
          <w:rFonts w:ascii="Arial" w:hAnsi="Arial" w:cs="Arial"/>
        </w:rPr>
      </w:pPr>
      <w:r w:rsidRPr="006B0F6C">
        <w:rPr>
          <w:rFonts w:ascii="Arial" w:hAnsi="Arial" w:cs="Arial"/>
        </w:rPr>
        <w:t xml:space="preserve">It was found that length of stay and orotracheal intubation, age and oxygen saturation differed significantly in the outcome found. The highest death rate was concentrated in the 68-year-old age group, which differs from Umakanthan et al. (2020), in which the average was 80 years in Italy and China </w:t>
      </w:r>
      <w:r w:rsidRPr="006B0F6C">
        <w:rPr>
          <w:rFonts w:ascii="Arial" w:hAnsi="Arial" w:cs="Arial"/>
        </w:rPr>
        <w:fldChar w:fldCharType="begin"/>
      </w:r>
      <w:r w:rsidRPr="006B0F6C">
        <w:rPr>
          <w:rFonts w:ascii="Arial" w:hAnsi="Arial" w:cs="Arial"/>
        </w:rPr>
        <w:instrText xml:space="preserve"> ADDIN ZOTERO_ITEM CSL_CITATION {"citationID":"byIRf9un","properties":{"formattedCitation":"(Umakanthan et al., 2020)","plainCitation":"(Umakanthan et al., 2020)","noteIndex":0},"citationItems":[{"id":451,"uris":["http://zotero.org/users/16006184/items/HB5GLAP5"],"itemData":{"id":451,"type":"article-journal","abstract":"Coronavirus has emerged as a global health threat due to its accelerated geographic spread over the last two decades. This article reviews the current state of knowledge concerning the origin, transmission, diagnosis and management of coronavirus disease 2019 (COVID-19). Historically, it has caused two pandemics: severe acute respiratory syndrome and Middle East respiratory syndrome followed by the present COVID-19 that emerged from China. The virus is believed to be acquired from zoonotic source and spreads through direct and contact transmission. The symptomatic phase manifests with fever, cough and myalgia to severe respiratory failure. The diagnosis is confirmed using reverse transcriptase PCR. Management of COVID-19 is mainly by supportive therapy along with mechanical ventilation in severe cases. Preventive strategies form the major role in reducing the public spread of virus along with successful disease isolation and community containment. Development of a vaccine to eliminate the virus from the host still remains an ongoing challenge.","container-title":"Postgraduate Medical Journal","DOI":"10.1136/postgradmedj-2020-138234","ISSN":"1469-0756","issue":"1142","journalAbbreviation":"Postgrad Med J","language":"eng","note":"PMID: 32563999\nPMCID: PMC10016932","page":"753-758","source":"PubMed","title":"Origin, transmission, diagnosis and management of coronavirus disease 2019 (COVID-19)","volume":"96","author":[{"family":"Umakanthan","given":"Srikanth"},{"family":"Sahu","given":"Pradeep"},{"family":"Ranade","given":"Anu V."},{"family":"Bukelo","given":"Maryann M."},{"family":"Rao","given":"Joseph Sushil"},{"family":"Abrahao-Machado","given":"Lucas Faria"},{"family":"Dahal","given":"Samarika"},{"family":"Kumar","given":"Hari"},{"family":"Kv","given":"Dhananjaya"}],"issued":{"date-parts":[["2020",12]]}}}],"schema":"https://github.com/citation-style-language/schema/raw/master/csl-citation.json"} </w:instrText>
      </w:r>
      <w:r w:rsidRPr="006B0F6C">
        <w:rPr>
          <w:rFonts w:ascii="Arial" w:hAnsi="Arial" w:cs="Arial"/>
        </w:rPr>
        <w:fldChar w:fldCharType="separate"/>
      </w:r>
      <w:r w:rsidRPr="006B0F6C">
        <w:rPr>
          <w:rFonts w:ascii="Arial" w:hAnsi="Arial" w:cs="Arial"/>
          <w:noProof/>
        </w:rPr>
        <w:t>(Umakanthan et al., 2020)</w:t>
      </w:r>
      <w:r w:rsidRPr="006B0F6C">
        <w:rPr>
          <w:rFonts w:ascii="Arial" w:hAnsi="Arial" w:cs="Arial"/>
        </w:rPr>
        <w:fldChar w:fldCharType="end"/>
      </w:r>
      <w:r w:rsidRPr="006B0F6C">
        <w:rPr>
          <w:rFonts w:ascii="Arial" w:hAnsi="Arial" w:cs="Arial"/>
        </w:rPr>
        <w:t xml:space="preserve">. On the other hand, the length of hospitalization and orotracheal intubation was longer in those who died, at 10 and 5 days, respectively, which also differs from </w:t>
      </w:r>
      <w:proofErr w:type="spellStart"/>
      <w:r w:rsidRPr="006B0F6C">
        <w:rPr>
          <w:rFonts w:ascii="Arial" w:hAnsi="Arial" w:cs="Arial"/>
        </w:rPr>
        <w:t>Alharthy</w:t>
      </w:r>
      <w:proofErr w:type="spellEnd"/>
      <w:r w:rsidRPr="006B0F6C">
        <w:rPr>
          <w:rFonts w:ascii="Arial" w:hAnsi="Arial" w:cs="Arial"/>
        </w:rPr>
        <w:t xml:space="preserve"> et al. (2021) in which the average time for the same outcome was higher, at 18 days in hospital and 16 days of orotracheal intubation </w:t>
      </w:r>
      <w:r w:rsidRPr="006B0F6C">
        <w:rPr>
          <w:rFonts w:ascii="Arial" w:hAnsi="Arial" w:cs="Arial"/>
        </w:rPr>
        <w:fldChar w:fldCharType="begin"/>
      </w:r>
      <w:r w:rsidRPr="006B0F6C">
        <w:rPr>
          <w:rFonts w:ascii="Arial" w:hAnsi="Arial" w:cs="Arial"/>
        </w:rPr>
        <w:instrText xml:space="preserve"> ADDIN ZOTERO_ITEM CSL_CITATION {"citationID":"xNfecP4k","properties":{"formattedCitation":"(Alharthy et al., 2021)","plainCitation":"(Alharthy et al., 2021)","noteIndex":0},"citationItems":[{"id":339,"uris":["http://zotero.org/users/16006184/items/DFYVZ4IB"],"itemData":{"id":339,"type":"article-journal","abstract":"Since the first COVID-19 patient in Saudi Arabia (March, 2020) more than 338,539 cases and approximately 4996 dead were reported. We present the main characteristics and outcomes of critically ill COVID-19 patients that were admitted in the largest Ministry of Health Intensive Care Unit (ICU) in Saudi Arabia.","container-title":"Journal of Epidemiology and Global Health","DOI":"10.2991/jegh.k.200928.001","ISSN":"2210-6014","issue":"1","journalAbbreviation":"J Epidemiol Glob Health","language":"en","page":"98-104","source":"Springer Link","title":"Clinical Characteristics and Predictors of 28-Day Mortality in 352 Critically Ill Patients with COVID-19: A Retrospective Study","title-short":"Clinical Characteristics and Predictors of 28-Day Mortality in 352 Critically Ill Patients with COVID-19","URL":"https://doi.org/10.2991/jegh.k.200928.001","volume":"11","author":[{"family":"Alharthy","given":"Abdulrahman"},{"family":"Aletreby","given":"Waleed"},{"family":"Faqihi","given":"Fahad"},{"family":"Balhamar","given":"Abdullah"},{"family":"Alaklobi","given":"Feisal"},{"family":"Alanezi","given":"Khaled"},{"family":"Jaganathan","given":"Parameaswari"},{"family":"Tamim","given":"Hani"},{"family":"Alqahtani","given":"Saleh A."},{"family":"Karakitsos","given":"Dimitrios"},{"family":"Memish","given":"Ziad A."}],"accessed":{"date-parts":[["2025",3,5]]},"issued":{"date-parts":[["2021",3,1]]}}}],"schema":"https://github.com/citation-style-language/schema/raw/master/csl-citation.json"} </w:instrText>
      </w:r>
      <w:r w:rsidRPr="006B0F6C">
        <w:rPr>
          <w:rFonts w:ascii="Arial" w:hAnsi="Arial" w:cs="Arial"/>
        </w:rPr>
        <w:fldChar w:fldCharType="separate"/>
      </w:r>
      <w:r w:rsidRPr="006B0F6C">
        <w:rPr>
          <w:rFonts w:ascii="Arial" w:hAnsi="Arial" w:cs="Arial"/>
          <w:noProof/>
        </w:rPr>
        <w:t>(Alharthy et al., 2021)</w:t>
      </w:r>
      <w:r w:rsidRPr="006B0F6C">
        <w:rPr>
          <w:rFonts w:ascii="Arial" w:hAnsi="Arial" w:cs="Arial"/>
        </w:rPr>
        <w:fldChar w:fldCharType="end"/>
      </w:r>
      <w:r w:rsidRPr="006B0F6C">
        <w:rPr>
          <w:rFonts w:ascii="Arial" w:hAnsi="Arial" w:cs="Arial"/>
        </w:rPr>
        <w:t>.</w:t>
      </w:r>
    </w:p>
    <w:p w14:paraId="22D1F347" w14:textId="77777777" w:rsidR="00790ADA" w:rsidRPr="00FB3A86" w:rsidRDefault="00790ADA" w:rsidP="00441B6F">
      <w:pPr>
        <w:pStyle w:val="Body"/>
        <w:spacing w:after="0"/>
        <w:rPr>
          <w:rFonts w:ascii="Arial" w:hAnsi="Arial" w:cs="Arial"/>
        </w:rPr>
      </w:pPr>
    </w:p>
    <w:p w14:paraId="6B6E9F9D" w14:textId="2111DA14" w:rsidR="00B01FCD" w:rsidRDefault="0027569C"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0DEE4C6A" w14:textId="1C128E4C" w:rsidR="00790ADA" w:rsidRDefault="00790ADA" w:rsidP="00441B6F">
      <w:pPr>
        <w:pStyle w:val="ConcHead"/>
        <w:spacing w:after="0"/>
        <w:jc w:val="both"/>
        <w:rPr>
          <w:rFonts w:ascii="Arial" w:hAnsi="Arial" w:cs="Arial"/>
        </w:rPr>
      </w:pPr>
    </w:p>
    <w:p w14:paraId="5EB8DE6D" w14:textId="77777777" w:rsidR="0086275A" w:rsidRPr="0086275A" w:rsidRDefault="0086275A" w:rsidP="0086275A">
      <w:pPr>
        <w:jc w:val="both"/>
        <w:rPr>
          <w:rFonts w:ascii="Arial" w:hAnsi="Arial" w:cs="Arial"/>
        </w:rPr>
      </w:pPr>
      <w:r w:rsidRPr="0086275A">
        <w:rPr>
          <w:rFonts w:ascii="Arial" w:hAnsi="Arial" w:cs="Arial"/>
        </w:rPr>
        <w:t xml:space="preserve">The sociodemographic profile of the sample was predominantly male, with a mean age of 58 years, white race and educated patients. Regarding the clinical profile, there was an increase from the first to the second year in the presence of comorbidities, especially type 2 diabetes mellitus and systemic arterial hypertension, intensive care unit admissions, the use of invasive ventilation modalities and pulmonary infiltrates seen on </w:t>
      </w:r>
      <w:r w:rsidRPr="0086275A">
        <w:rPr>
          <w:rFonts w:ascii="Arial" w:hAnsi="Arial" w:cs="Arial"/>
          <w:color w:val="000000"/>
        </w:rPr>
        <w:t>computed tomography</w:t>
      </w:r>
      <w:r w:rsidRPr="0086275A">
        <w:rPr>
          <w:rFonts w:ascii="Arial" w:hAnsi="Arial" w:cs="Arial"/>
        </w:rPr>
        <w:t xml:space="preserve">. There was </w:t>
      </w:r>
      <w:r w:rsidRPr="0086275A">
        <w:rPr>
          <w:rFonts w:ascii="Arial" w:hAnsi="Arial" w:cs="Arial"/>
        </w:rPr>
        <w:lastRenderedPageBreak/>
        <w:t xml:space="preserve">also an increase in the length of hospital stay and orotracheal intubation time in year 2. Thus, there was a probable worsening of conditions, but the number of deaths did not increase in the second year, which may be explained by the introduction of vaccination, which was already available in the second period. </w:t>
      </w:r>
    </w:p>
    <w:p w14:paraId="7539D775" w14:textId="77777777" w:rsidR="0086275A" w:rsidRPr="0086275A" w:rsidRDefault="0086275A" w:rsidP="0086275A">
      <w:pPr>
        <w:jc w:val="both"/>
        <w:rPr>
          <w:rFonts w:ascii="Arial" w:hAnsi="Arial" w:cs="Arial"/>
        </w:rPr>
      </w:pPr>
      <w:r w:rsidRPr="0086275A">
        <w:rPr>
          <w:rFonts w:ascii="Arial" w:hAnsi="Arial" w:cs="Arial"/>
        </w:rPr>
        <w:t>As for the outcome, there were some differences in the clinical profile between deaths and discharges. In deaths, the median age was higher in patients admitted to the intensive care unit, with greater use of orotracheal intubation and 50-75% pulmonary impairment. As for discharges, the predominant place of hospitalization was the nursing, with greater use of non-invasive ventilation modalities, of the nasal catheter type and 25-50% pulmonary impairment.</w:t>
      </w:r>
    </w:p>
    <w:p w14:paraId="470B97DE" w14:textId="77777777" w:rsidR="0086275A" w:rsidRPr="0086275A" w:rsidRDefault="0086275A" w:rsidP="0086275A">
      <w:pPr>
        <w:jc w:val="both"/>
        <w:rPr>
          <w:rFonts w:ascii="Arial" w:hAnsi="Arial" w:cs="Arial"/>
          <w:color w:val="000000"/>
        </w:rPr>
      </w:pPr>
      <w:r w:rsidRPr="0086275A">
        <w:rPr>
          <w:rFonts w:ascii="Arial" w:hAnsi="Arial" w:cs="Arial"/>
        </w:rPr>
        <w:t xml:space="preserve">As for the outcome, there were some differences in the clinical profile between deaths and discharges. In deaths, the median age was higher in patients admitted to the intensive care unit, with greater use of orotracheal intubation and 50-75% pulmonary impairment. As for discharges, the predominant place of hospitalization was the nursing, with greater use of non-invasive ventilation modalities, of the nasal catheter type and 25-50% pulmonary impairment. </w:t>
      </w:r>
    </w:p>
    <w:p w14:paraId="0EE9C3B7" w14:textId="62FBB5DB" w:rsidR="0086275A" w:rsidRPr="0086275A" w:rsidRDefault="0086275A" w:rsidP="0086275A">
      <w:pPr>
        <w:pStyle w:val="ConcHead"/>
        <w:spacing w:after="0"/>
        <w:jc w:val="both"/>
        <w:rPr>
          <w:rFonts w:ascii="Arial" w:hAnsi="Arial" w:cs="Arial"/>
          <w:b w:val="0"/>
          <w:bCs/>
          <w:caps w:val="0"/>
          <w:sz w:val="20"/>
        </w:rPr>
      </w:pPr>
      <w:r w:rsidRPr="0086275A">
        <w:rPr>
          <w:rFonts w:ascii="Arial" w:hAnsi="Arial" w:cs="Arial"/>
          <w:b w:val="0"/>
          <w:bCs/>
          <w:caps w:val="0"/>
          <w:sz w:val="20"/>
        </w:rPr>
        <w:t>Thus, knowledge about the profile and outcome of patients, the percentage of deaths and hospitalizations resulting from this pathology can help to better understand the impacts of Covid-19 on the population and support public policies aimed at the care and management of cases of the disease. It could also help to understand the clinical and cultural population context, allowing strategies to be created for the care of infected individuals based on their characteristics, including the possibility of changing the clinical outcomes of Covid-19.</w:t>
      </w:r>
    </w:p>
    <w:p w14:paraId="6D7C729D" w14:textId="77777777" w:rsidR="0086275A" w:rsidRPr="00FB3A86" w:rsidRDefault="0086275A" w:rsidP="0086275A">
      <w:pPr>
        <w:pStyle w:val="ConcHead"/>
        <w:spacing w:after="0"/>
        <w:jc w:val="both"/>
        <w:rPr>
          <w:rFonts w:ascii="Arial" w:hAnsi="Arial" w:cs="Arial"/>
        </w:rPr>
      </w:pPr>
    </w:p>
    <w:p w14:paraId="43749CAF" w14:textId="0B4006F6" w:rsidR="00315186" w:rsidRDefault="00315186" w:rsidP="00441B6F"/>
    <w:p w14:paraId="30E028E2" w14:textId="0A446481" w:rsidR="0086275A" w:rsidRDefault="0086275A" w:rsidP="0086275A">
      <w:pPr>
        <w:pStyle w:val="Default"/>
        <w:rPr>
          <w:b/>
          <w:bCs/>
          <w:sz w:val="21"/>
          <w:szCs w:val="21"/>
          <w:lang w:val="en-US"/>
        </w:rPr>
      </w:pPr>
      <w:r w:rsidRPr="006B0F6C">
        <w:rPr>
          <w:b/>
          <w:bCs/>
          <w:sz w:val="21"/>
          <w:szCs w:val="21"/>
          <w:lang w:val="en-US"/>
        </w:rPr>
        <w:t>DISCLAIMER (ARTIFICIAL INTELLIGENCE)</w:t>
      </w:r>
    </w:p>
    <w:p w14:paraId="7CD06999" w14:textId="77777777" w:rsidR="0086275A" w:rsidRPr="006B0F6C" w:rsidRDefault="0086275A" w:rsidP="0086275A">
      <w:pPr>
        <w:pStyle w:val="Default"/>
        <w:rPr>
          <w:sz w:val="21"/>
          <w:szCs w:val="21"/>
          <w:lang w:val="en-US"/>
        </w:rPr>
      </w:pPr>
    </w:p>
    <w:p w14:paraId="228D28A4" w14:textId="119618CA" w:rsidR="0086275A" w:rsidRDefault="0086275A" w:rsidP="0086275A">
      <w:pPr>
        <w:pStyle w:val="Default"/>
        <w:jc w:val="both"/>
        <w:rPr>
          <w:sz w:val="20"/>
          <w:szCs w:val="20"/>
          <w:lang w:val="en-US"/>
        </w:rPr>
      </w:pPr>
      <w:r w:rsidRPr="006B0F6C">
        <w:rPr>
          <w:sz w:val="20"/>
          <w:szCs w:val="20"/>
          <w:lang w:val="en-US"/>
        </w:rPr>
        <w:t>Author(s) hereby declare that NO generative AI technologies such as Large Language Models (ChatGPT, COPILOT, etc.) and text-to-image generators have been used during the writing or editing of this manuscript.</w:t>
      </w:r>
    </w:p>
    <w:p w14:paraId="4641C5C4" w14:textId="77777777" w:rsidR="0086275A" w:rsidRPr="006B0F6C" w:rsidRDefault="0086275A" w:rsidP="0086275A">
      <w:pPr>
        <w:pStyle w:val="Default"/>
        <w:rPr>
          <w:sz w:val="20"/>
          <w:szCs w:val="20"/>
          <w:lang w:val="en-US"/>
        </w:rPr>
      </w:pPr>
    </w:p>
    <w:p w14:paraId="1C5CDA72" w14:textId="7BA1B7FE" w:rsidR="0086275A" w:rsidRDefault="0086275A" w:rsidP="0086275A">
      <w:pPr>
        <w:pStyle w:val="Default"/>
        <w:rPr>
          <w:b/>
          <w:bCs/>
          <w:sz w:val="22"/>
          <w:szCs w:val="22"/>
          <w:lang w:val="en-US"/>
        </w:rPr>
      </w:pPr>
      <w:r w:rsidRPr="006B0F6C">
        <w:rPr>
          <w:b/>
          <w:bCs/>
          <w:sz w:val="22"/>
          <w:szCs w:val="22"/>
          <w:lang w:val="en-US"/>
        </w:rPr>
        <w:t xml:space="preserve">CONSENT AND ETHICAL APPROVAL </w:t>
      </w:r>
    </w:p>
    <w:p w14:paraId="061C7633" w14:textId="77777777" w:rsidR="00517E92" w:rsidRPr="006B0F6C" w:rsidRDefault="00517E92" w:rsidP="0086275A">
      <w:pPr>
        <w:pStyle w:val="Default"/>
        <w:rPr>
          <w:sz w:val="22"/>
          <w:szCs w:val="22"/>
          <w:lang w:val="en-US"/>
        </w:rPr>
      </w:pPr>
    </w:p>
    <w:p w14:paraId="047F43EA" w14:textId="77777777" w:rsidR="0086275A" w:rsidRPr="0027569C" w:rsidRDefault="0086275A" w:rsidP="0086275A">
      <w:pPr>
        <w:pStyle w:val="AbstHead"/>
        <w:spacing w:after="0"/>
        <w:jc w:val="both"/>
        <w:rPr>
          <w:rFonts w:ascii="Arial" w:hAnsi="Arial" w:cs="Arial"/>
          <w:b w:val="0"/>
          <w:bCs/>
          <w:caps w:val="0"/>
          <w:sz w:val="20"/>
        </w:rPr>
      </w:pPr>
      <w:r w:rsidRPr="0027569C">
        <w:rPr>
          <w:rFonts w:ascii="Arial" w:hAnsi="Arial" w:cs="Arial"/>
          <w:b w:val="0"/>
          <w:bCs/>
          <w:caps w:val="0"/>
          <w:sz w:val="20"/>
        </w:rPr>
        <w:t xml:space="preserve">The research was carried out in accordance with CNS Resolution 466/2012 </w:t>
      </w:r>
      <w:r w:rsidRPr="0027569C">
        <w:rPr>
          <w:rFonts w:ascii="Arial" w:hAnsi="Arial" w:cs="Arial"/>
          <w:b w:val="0"/>
          <w:bCs/>
          <w:caps w:val="0"/>
          <w:sz w:val="20"/>
        </w:rPr>
        <w:fldChar w:fldCharType="begin"/>
      </w:r>
      <w:r w:rsidRPr="0027569C">
        <w:rPr>
          <w:rFonts w:ascii="Arial" w:hAnsi="Arial" w:cs="Arial"/>
          <w:b w:val="0"/>
          <w:bCs/>
          <w:caps w:val="0"/>
          <w:sz w:val="20"/>
        </w:rPr>
        <w:instrText xml:space="preserve"> ADDIN ZOTERO_ITEM CSL_CITATION {"citationID":"jAbQiDIb","properties":{"formattedCitation":"(Brasil, 2012)","plainCitation":"(Brasil, 2012)","noteIndex":0},"citationItems":[{"id":353,"uris":["http://zotero.org/users/16006184/items/DU7UJYZM"],"itemData":{"id":353,"type":"webpage","container-title":"Diário Oficial da União","title":"Resolução nº 466, de 12 de dezembro de 2012. Dispõe sobre diretrizes e normas regulamentadoras de pesquisas envolvendo seres humanos.","URL":"http://conselho.saude.gov.br/resolucoes/2012/Reso466.pdf.","author":[{"family":"Brasil","given":""}],"accessed":{"date-parts":[["2022",5,24]]},"issued":{"date-parts":[["2012"]]}}}],"schema":"https://github.com/citation-style-language/schema/raw/master/csl-citation.json"} </w:instrText>
      </w:r>
      <w:r w:rsidRPr="0027569C">
        <w:rPr>
          <w:rFonts w:ascii="Arial" w:hAnsi="Arial" w:cs="Arial"/>
          <w:b w:val="0"/>
          <w:bCs/>
          <w:caps w:val="0"/>
          <w:sz w:val="20"/>
        </w:rPr>
        <w:fldChar w:fldCharType="separate"/>
      </w:r>
      <w:r w:rsidRPr="0027569C">
        <w:rPr>
          <w:rFonts w:ascii="Arial" w:hAnsi="Arial" w:cs="Arial"/>
          <w:b w:val="0"/>
          <w:bCs/>
          <w:caps w:val="0"/>
          <w:noProof/>
          <w:sz w:val="20"/>
        </w:rPr>
        <w:t>(Brasil, 2012)</w:t>
      </w:r>
      <w:r w:rsidRPr="0027569C">
        <w:rPr>
          <w:rFonts w:ascii="Arial" w:hAnsi="Arial" w:cs="Arial"/>
          <w:b w:val="0"/>
          <w:bCs/>
          <w:caps w:val="0"/>
          <w:sz w:val="20"/>
        </w:rPr>
        <w:fldChar w:fldCharType="end"/>
      </w:r>
      <w:r w:rsidRPr="0027569C">
        <w:rPr>
          <w:rFonts w:ascii="Arial" w:hAnsi="Arial" w:cs="Arial"/>
          <w:b w:val="0"/>
          <w:bCs/>
          <w:caps w:val="0"/>
          <w:sz w:val="20"/>
        </w:rPr>
        <w:t xml:space="preserve"> and Resolution 510/2016 </w:t>
      </w:r>
      <w:r w:rsidRPr="0027569C">
        <w:rPr>
          <w:rFonts w:ascii="Arial" w:hAnsi="Arial" w:cs="Arial"/>
          <w:b w:val="0"/>
          <w:bCs/>
          <w:caps w:val="0"/>
          <w:sz w:val="20"/>
        </w:rPr>
        <w:fldChar w:fldCharType="begin"/>
      </w:r>
      <w:r w:rsidRPr="0027569C">
        <w:rPr>
          <w:rFonts w:ascii="Arial" w:hAnsi="Arial" w:cs="Arial"/>
          <w:b w:val="0"/>
          <w:bCs/>
          <w:caps w:val="0"/>
          <w:sz w:val="20"/>
        </w:rPr>
        <w:instrText xml:space="preserve"> ADDIN ZOTERO_ITEM CSL_CITATION {"citationID":"S02ieyAv","properties":{"formattedCitation":"(Brasil, 2016)","plainCitation":"(Brasil, 2016)","noteIndex":0},"citationItems":[{"id":354,"uris":["http://zotero.org/users/16006184/items/383I8SXM"],"itemData":{"id":354,"type":"webpage","container-title":"Diário Oficial da União","title":"Resolução nº 510, de 07 de abril de 2016. Dispõe sobre as normas aplicáveis a pesquisas em Ciências Humanas e Sociais.","URL":"http://conselho.saude.gov.br/resolucoes/2016/Reso510.pdf","author":[{"family":"Brasil","given":""}],"accessed":{"date-parts":[["2022",5,24]]},"issued":{"date-parts":[["2016"]]}}}],"schema":"https://github.com/citation-style-language/schema/raw/master/csl-citation.json"} </w:instrText>
      </w:r>
      <w:r w:rsidRPr="0027569C">
        <w:rPr>
          <w:rFonts w:ascii="Arial" w:hAnsi="Arial" w:cs="Arial"/>
          <w:b w:val="0"/>
          <w:bCs/>
          <w:caps w:val="0"/>
          <w:sz w:val="20"/>
        </w:rPr>
        <w:fldChar w:fldCharType="separate"/>
      </w:r>
      <w:r w:rsidRPr="0027569C">
        <w:rPr>
          <w:rFonts w:ascii="Arial" w:hAnsi="Arial" w:cs="Arial"/>
          <w:b w:val="0"/>
          <w:bCs/>
          <w:caps w:val="0"/>
          <w:noProof/>
          <w:sz w:val="20"/>
        </w:rPr>
        <w:t>(Brasil, 2016)</w:t>
      </w:r>
      <w:r w:rsidRPr="0027569C">
        <w:rPr>
          <w:rFonts w:ascii="Arial" w:hAnsi="Arial" w:cs="Arial"/>
          <w:b w:val="0"/>
          <w:bCs/>
          <w:caps w:val="0"/>
          <w:sz w:val="20"/>
        </w:rPr>
        <w:fldChar w:fldCharType="end"/>
      </w:r>
      <w:r w:rsidRPr="0027569C">
        <w:rPr>
          <w:rFonts w:ascii="Arial" w:hAnsi="Arial" w:cs="Arial"/>
          <w:b w:val="0"/>
          <w:bCs/>
          <w:caps w:val="0"/>
          <w:sz w:val="20"/>
        </w:rPr>
        <w:t xml:space="preserve"> and approved under Opinion: 5.543.130. It was also carried out in accordance with the General Personal Data Protection Law (LGPD), Law No. 13,709/2018 </w:t>
      </w:r>
      <w:r w:rsidRPr="0027569C">
        <w:rPr>
          <w:rFonts w:ascii="Arial" w:hAnsi="Arial" w:cs="Arial"/>
          <w:b w:val="0"/>
          <w:bCs/>
          <w:caps w:val="0"/>
          <w:sz w:val="20"/>
        </w:rPr>
        <w:fldChar w:fldCharType="begin"/>
      </w:r>
      <w:r w:rsidRPr="0027569C">
        <w:rPr>
          <w:rFonts w:ascii="Arial" w:hAnsi="Arial" w:cs="Arial"/>
          <w:b w:val="0"/>
          <w:bCs/>
          <w:caps w:val="0"/>
          <w:sz w:val="20"/>
        </w:rPr>
        <w:instrText xml:space="preserve"> ADDIN ZOTERO_ITEM CSL_CITATION {"citationID":"bthpYkOh","properties":{"formattedCitation":"(Brasil, 2018)","plainCitation":"(Brasil, 2018)","noteIndex":0},"citationItems":[{"id":351,"uris":["http://zotero.org/users/16006184/items/3PQCTPJH"],"itemData":{"id":351,"type":"webpage","container-title":"Diário Oficial da União","title":"Lei no 13.709, de 14 de agosto de 2018. Lei Geral de Proteção de Dados Pessoais (LGPD).","URL":"https://www.planalto.gov.br/ccivil_03/_ato2015-2018/2018/lei/l13709.htm","author":[{"family":"Brasil","given":""}],"accessed":{"date-parts":[["2022",4,22]]},"issued":{"date-parts":[["2018"]]}}}],"schema":"https://github.com/citation-style-language/schema/raw/master/csl-citation.json"} </w:instrText>
      </w:r>
      <w:r w:rsidRPr="0027569C">
        <w:rPr>
          <w:rFonts w:ascii="Arial" w:hAnsi="Arial" w:cs="Arial"/>
          <w:b w:val="0"/>
          <w:bCs/>
          <w:caps w:val="0"/>
          <w:sz w:val="20"/>
        </w:rPr>
        <w:fldChar w:fldCharType="separate"/>
      </w:r>
      <w:r w:rsidRPr="0027569C">
        <w:rPr>
          <w:rFonts w:ascii="Arial" w:hAnsi="Arial" w:cs="Arial"/>
          <w:b w:val="0"/>
          <w:bCs/>
          <w:caps w:val="0"/>
          <w:noProof/>
          <w:sz w:val="20"/>
        </w:rPr>
        <w:t>(Brasil, 2018)</w:t>
      </w:r>
      <w:r w:rsidRPr="0027569C">
        <w:rPr>
          <w:rFonts w:ascii="Arial" w:hAnsi="Arial" w:cs="Arial"/>
          <w:b w:val="0"/>
          <w:bCs/>
          <w:caps w:val="0"/>
          <w:sz w:val="20"/>
        </w:rPr>
        <w:fldChar w:fldCharType="end"/>
      </w:r>
      <w:r w:rsidRPr="0027569C">
        <w:rPr>
          <w:rFonts w:ascii="Arial" w:hAnsi="Arial" w:cs="Arial"/>
          <w:b w:val="0"/>
          <w:bCs/>
          <w:caps w:val="0"/>
          <w:sz w:val="20"/>
        </w:rPr>
        <w:t>.</w:t>
      </w:r>
    </w:p>
    <w:p w14:paraId="3257BF12" w14:textId="77777777" w:rsidR="0086275A" w:rsidRPr="00315186" w:rsidRDefault="0086275A" w:rsidP="00441B6F"/>
    <w:p w14:paraId="37C0D415" w14:textId="77777777" w:rsidR="002B685A" w:rsidRDefault="002B685A" w:rsidP="00441B6F">
      <w:pPr>
        <w:pStyle w:val="ReferHead"/>
        <w:spacing w:after="0"/>
        <w:jc w:val="both"/>
        <w:rPr>
          <w:rFonts w:ascii="Arial" w:hAnsi="Arial" w:cs="Arial"/>
          <w:b w:val="0"/>
          <w:caps w:val="0"/>
          <w:sz w:val="20"/>
        </w:rPr>
      </w:pPr>
    </w:p>
    <w:p w14:paraId="376F7C4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B0076B4" w14:textId="77777777" w:rsidR="00790ADA" w:rsidRPr="00FB3A86" w:rsidRDefault="00790ADA" w:rsidP="00441B6F">
      <w:pPr>
        <w:pStyle w:val="ReferHead"/>
        <w:spacing w:after="0"/>
        <w:jc w:val="both"/>
        <w:rPr>
          <w:rFonts w:ascii="Arial" w:hAnsi="Arial" w:cs="Arial"/>
        </w:rPr>
      </w:pPr>
    </w:p>
    <w:p w14:paraId="06158C1C" w14:textId="77777777" w:rsidR="000876FC" w:rsidRPr="006B0F6C" w:rsidRDefault="000876FC" w:rsidP="000876FC">
      <w:pPr>
        <w:pStyle w:val="Bibliography"/>
        <w:spacing w:before="240"/>
        <w:jc w:val="both"/>
        <w:rPr>
          <w:rFonts w:ascii="Arial" w:hAnsi="Arial" w:cs="Arial"/>
        </w:rPr>
      </w:pPr>
      <w:proofErr w:type="spellStart"/>
      <w:r w:rsidRPr="006B0F6C">
        <w:rPr>
          <w:rFonts w:ascii="Arial" w:hAnsi="Arial" w:cs="Arial"/>
        </w:rPr>
        <w:t>Alharthy</w:t>
      </w:r>
      <w:proofErr w:type="spellEnd"/>
      <w:r w:rsidRPr="006B0F6C">
        <w:rPr>
          <w:rFonts w:ascii="Arial" w:hAnsi="Arial" w:cs="Arial"/>
        </w:rPr>
        <w:t xml:space="preserve">, A., </w:t>
      </w:r>
      <w:proofErr w:type="spellStart"/>
      <w:r w:rsidRPr="006B0F6C">
        <w:rPr>
          <w:rFonts w:ascii="Arial" w:hAnsi="Arial" w:cs="Arial"/>
        </w:rPr>
        <w:t>Aletreby</w:t>
      </w:r>
      <w:proofErr w:type="spellEnd"/>
      <w:r w:rsidRPr="006B0F6C">
        <w:rPr>
          <w:rFonts w:ascii="Arial" w:hAnsi="Arial" w:cs="Arial"/>
        </w:rPr>
        <w:t xml:space="preserve">, W., </w:t>
      </w:r>
      <w:proofErr w:type="spellStart"/>
      <w:r w:rsidRPr="006B0F6C">
        <w:rPr>
          <w:rFonts w:ascii="Arial" w:hAnsi="Arial" w:cs="Arial"/>
        </w:rPr>
        <w:t>Faqihi</w:t>
      </w:r>
      <w:proofErr w:type="spellEnd"/>
      <w:r w:rsidRPr="006B0F6C">
        <w:rPr>
          <w:rFonts w:ascii="Arial" w:hAnsi="Arial" w:cs="Arial"/>
        </w:rPr>
        <w:t xml:space="preserve">, F., </w:t>
      </w:r>
      <w:proofErr w:type="spellStart"/>
      <w:r w:rsidRPr="006B0F6C">
        <w:rPr>
          <w:rFonts w:ascii="Arial" w:hAnsi="Arial" w:cs="Arial"/>
        </w:rPr>
        <w:t>Balhamar</w:t>
      </w:r>
      <w:proofErr w:type="spellEnd"/>
      <w:r w:rsidRPr="006B0F6C">
        <w:rPr>
          <w:rFonts w:ascii="Arial" w:hAnsi="Arial" w:cs="Arial"/>
        </w:rPr>
        <w:t xml:space="preserve">, A., </w:t>
      </w:r>
      <w:proofErr w:type="spellStart"/>
      <w:r w:rsidRPr="006B0F6C">
        <w:rPr>
          <w:rFonts w:ascii="Arial" w:hAnsi="Arial" w:cs="Arial"/>
        </w:rPr>
        <w:t>Alaklobi</w:t>
      </w:r>
      <w:proofErr w:type="spellEnd"/>
      <w:r w:rsidRPr="006B0F6C">
        <w:rPr>
          <w:rFonts w:ascii="Arial" w:hAnsi="Arial" w:cs="Arial"/>
        </w:rPr>
        <w:t xml:space="preserve">, F., </w:t>
      </w:r>
      <w:proofErr w:type="spellStart"/>
      <w:r w:rsidRPr="006B0F6C">
        <w:rPr>
          <w:rFonts w:ascii="Arial" w:hAnsi="Arial" w:cs="Arial"/>
        </w:rPr>
        <w:t>Alanezi</w:t>
      </w:r>
      <w:proofErr w:type="spellEnd"/>
      <w:r w:rsidRPr="006B0F6C">
        <w:rPr>
          <w:rFonts w:ascii="Arial" w:hAnsi="Arial" w:cs="Arial"/>
        </w:rPr>
        <w:t xml:space="preserve">, K., Jaganathan, P., Tamim, H., Alqahtani, S. A., </w:t>
      </w:r>
      <w:proofErr w:type="spellStart"/>
      <w:r w:rsidRPr="006B0F6C">
        <w:rPr>
          <w:rFonts w:ascii="Arial" w:hAnsi="Arial" w:cs="Arial"/>
        </w:rPr>
        <w:t>Karakitsos</w:t>
      </w:r>
      <w:proofErr w:type="spellEnd"/>
      <w:r w:rsidRPr="006B0F6C">
        <w:rPr>
          <w:rFonts w:ascii="Arial" w:hAnsi="Arial" w:cs="Arial"/>
        </w:rPr>
        <w:t xml:space="preserve">, D., &amp; Memish, Z. A. (2021). Clinical Characteristics and Predictors of 28-Day Mortality in 352 Critically Ill Patients with COVID-19: A Retrospective Study. </w:t>
      </w:r>
      <w:r w:rsidRPr="006B0F6C">
        <w:rPr>
          <w:rFonts w:ascii="Arial" w:hAnsi="Arial" w:cs="Arial"/>
          <w:i/>
          <w:iCs/>
        </w:rPr>
        <w:t>Journal of Epidemiology and Global Health</w:t>
      </w:r>
      <w:r w:rsidRPr="006B0F6C">
        <w:rPr>
          <w:rFonts w:ascii="Arial" w:hAnsi="Arial" w:cs="Arial"/>
        </w:rPr>
        <w:t xml:space="preserve">, </w:t>
      </w:r>
      <w:r w:rsidRPr="006B0F6C">
        <w:rPr>
          <w:rFonts w:ascii="Arial" w:hAnsi="Arial" w:cs="Arial"/>
          <w:i/>
          <w:iCs/>
        </w:rPr>
        <w:t>11</w:t>
      </w:r>
      <w:r w:rsidRPr="006B0F6C">
        <w:rPr>
          <w:rFonts w:ascii="Arial" w:hAnsi="Arial" w:cs="Arial"/>
        </w:rPr>
        <w:t>(1), 98–104. https://doi.org/10.2991/jegh.k.200928.001</w:t>
      </w:r>
    </w:p>
    <w:p w14:paraId="03ACD07D" w14:textId="77777777" w:rsidR="000876FC" w:rsidRPr="006B0F6C" w:rsidRDefault="000876FC" w:rsidP="000876FC">
      <w:pPr>
        <w:pStyle w:val="Bibliography"/>
        <w:spacing w:before="240"/>
        <w:jc w:val="both"/>
        <w:rPr>
          <w:rFonts w:ascii="Arial" w:hAnsi="Arial" w:cs="Arial"/>
        </w:rPr>
      </w:pPr>
      <w:r w:rsidRPr="006B0F6C">
        <w:rPr>
          <w:rFonts w:ascii="Arial" w:hAnsi="Arial" w:cs="Arial"/>
          <w:lang w:val="pt-BR"/>
        </w:rPr>
        <w:t xml:space="preserve">Andrade, C. L. T. de, Pereira, C. C. de A., Martins, M., Lima, S. M. L., &amp; Portela, M. C. (2020). </w:t>
      </w:r>
      <w:r w:rsidRPr="006B0F6C">
        <w:rPr>
          <w:rFonts w:ascii="Arial" w:hAnsi="Arial" w:cs="Arial"/>
        </w:rPr>
        <w:t xml:space="preserve">COVID-19 hospitalizations in Brazil’s Unified Health System (SUS). </w:t>
      </w:r>
      <w:r w:rsidRPr="006B0F6C">
        <w:rPr>
          <w:rFonts w:ascii="Arial" w:hAnsi="Arial" w:cs="Arial"/>
          <w:i/>
          <w:iCs/>
        </w:rPr>
        <w:t>PLOS ONE</w:t>
      </w:r>
      <w:r w:rsidRPr="006B0F6C">
        <w:rPr>
          <w:rFonts w:ascii="Arial" w:hAnsi="Arial" w:cs="Arial"/>
        </w:rPr>
        <w:t xml:space="preserve">, </w:t>
      </w:r>
      <w:r w:rsidRPr="006B0F6C">
        <w:rPr>
          <w:rFonts w:ascii="Arial" w:hAnsi="Arial" w:cs="Arial"/>
          <w:i/>
          <w:iCs/>
        </w:rPr>
        <w:t>15</w:t>
      </w:r>
      <w:r w:rsidRPr="006B0F6C">
        <w:rPr>
          <w:rFonts w:ascii="Arial" w:hAnsi="Arial" w:cs="Arial"/>
        </w:rPr>
        <w:t>(12), e0243126. https://doi.org/10.1371/journal.pone.0243126</w:t>
      </w:r>
    </w:p>
    <w:p w14:paraId="17C6F55F" w14:textId="77777777" w:rsidR="000876FC" w:rsidRPr="006B0F6C" w:rsidRDefault="000876FC" w:rsidP="000876FC">
      <w:pPr>
        <w:pStyle w:val="Bibliography"/>
        <w:spacing w:before="240"/>
        <w:jc w:val="both"/>
        <w:rPr>
          <w:rFonts w:ascii="Arial" w:hAnsi="Arial" w:cs="Arial"/>
        </w:rPr>
      </w:pPr>
      <w:r w:rsidRPr="006B0F6C">
        <w:rPr>
          <w:rFonts w:ascii="Arial" w:hAnsi="Arial" w:cs="Arial"/>
        </w:rPr>
        <w:t xml:space="preserve">Anka, A. U., Tahir, M. I., Abubakar, S. D., Alsabbagh, M., Zian, Z., </w:t>
      </w:r>
      <w:proofErr w:type="spellStart"/>
      <w:r w:rsidRPr="006B0F6C">
        <w:rPr>
          <w:rFonts w:ascii="Arial" w:hAnsi="Arial" w:cs="Arial"/>
        </w:rPr>
        <w:t>Hamedifar</w:t>
      </w:r>
      <w:proofErr w:type="spellEnd"/>
      <w:r w:rsidRPr="006B0F6C">
        <w:rPr>
          <w:rFonts w:ascii="Arial" w:hAnsi="Arial" w:cs="Arial"/>
        </w:rPr>
        <w:t xml:space="preserve">, H., </w:t>
      </w:r>
      <w:proofErr w:type="spellStart"/>
      <w:r w:rsidRPr="006B0F6C">
        <w:rPr>
          <w:rFonts w:ascii="Arial" w:hAnsi="Arial" w:cs="Arial"/>
        </w:rPr>
        <w:t>Sabzevari</w:t>
      </w:r>
      <w:proofErr w:type="spellEnd"/>
      <w:r w:rsidRPr="006B0F6C">
        <w:rPr>
          <w:rFonts w:ascii="Arial" w:hAnsi="Arial" w:cs="Arial"/>
        </w:rPr>
        <w:t xml:space="preserve">, A., &amp; Azizi, G. (2021). Coronavirus disease 2019 (COVID-19): An overview of the immunopathology, serological diagnosis and management. </w:t>
      </w:r>
      <w:r w:rsidRPr="006B0F6C">
        <w:rPr>
          <w:rFonts w:ascii="Arial" w:hAnsi="Arial" w:cs="Arial"/>
          <w:i/>
          <w:iCs/>
        </w:rPr>
        <w:t>Scandinavian Journal of Immunology</w:t>
      </w:r>
      <w:r w:rsidRPr="006B0F6C">
        <w:rPr>
          <w:rFonts w:ascii="Arial" w:hAnsi="Arial" w:cs="Arial"/>
        </w:rPr>
        <w:t xml:space="preserve">, </w:t>
      </w:r>
      <w:r w:rsidRPr="006B0F6C">
        <w:rPr>
          <w:rFonts w:ascii="Arial" w:hAnsi="Arial" w:cs="Arial"/>
          <w:i/>
          <w:iCs/>
        </w:rPr>
        <w:t>93</w:t>
      </w:r>
      <w:r w:rsidRPr="006B0F6C">
        <w:rPr>
          <w:rFonts w:ascii="Arial" w:hAnsi="Arial" w:cs="Arial"/>
        </w:rPr>
        <w:t>(4), e12998. https://doi.org/10.1111/sji.12998</w:t>
      </w:r>
    </w:p>
    <w:p w14:paraId="46C00C90" w14:textId="77777777" w:rsidR="000876FC" w:rsidRPr="006B0F6C" w:rsidRDefault="000876FC" w:rsidP="000876FC">
      <w:pPr>
        <w:pStyle w:val="Bibliography"/>
        <w:spacing w:before="240"/>
        <w:jc w:val="both"/>
        <w:rPr>
          <w:rFonts w:ascii="Arial" w:hAnsi="Arial" w:cs="Arial"/>
        </w:rPr>
      </w:pPr>
      <w:r w:rsidRPr="006B0F6C">
        <w:rPr>
          <w:rFonts w:ascii="Arial" w:hAnsi="Arial" w:cs="Arial"/>
        </w:rPr>
        <w:lastRenderedPageBreak/>
        <w:t xml:space="preserve">Barron, E., </w:t>
      </w:r>
      <w:proofErr w:type="spellStart"/>
      <w:r w:rsidRPr="006B0F6C">
        <w:rPr>
          <w:rFonts w:ascii="Arial" w:hAnsi="Arial" w:cs="Arial"/>
        </w:rPr>
        <w:t>Bakhai</w:t>
      </w:r>
      <w:proofErr w:type="spellEnd"/>
      <w:r w:rsidRPr="006B0F6C">
        <w:rPr>
          <w:rFonts w:ascii="Arial" w:hAnsi="Arial" w:cs="Arial"/>
        </w:rPr>
        <w:t xml:space="preserve">, C., Kar, P., Weaver, A., Bradley, D., Ismail, H., Knighton, P., Holman, N., </w:t>
      </w:r>
      <w:proofErr w:type="spellStart"/>
      <w:r w:rsidRPr="006B0F6C">
        <w:rPr>
          <w:rFonts w:ascii="Arial" w:hAnsi="Arial" w:cs="Arial"/>
        </w:rPr>
        <w:t>Khunti</w:t>
      </w:r>
      <w:proofErr w:type="spellEnd"/>
      <w:r w:rsidRPr="006B0F6C">
        <w:rPr>
          <w:rFonts w:ascii="Arial" w:hAnsi="Arial" w:cs="Arial"/>
        </w:rPr>
        <w:t xml:space="preserve">, K., Sattar, N., Wareham, N. J., Young, B., &amp; </w:t>
      </w:r>
      <w:proofErr w:type="spellStart"/>
      <w:r w:rsidRPr="006B0F6C">
        <w:rPr>
          <w:rFonts w:ascii="Arial" w:hAnsi="Arial" w:cs="Arial"/>
        </w:rPr>
        <w:t>Valabhji</w:t>
      </w:r>
      <w:proofErr w:type="spellEnd"/>
      <w:r w:rsidRPr="006B0F6C">
        <w:rPr>
          <w:rFonts w:ascii="Arial" w:hAnsi="Arial" w:cs="Arial"/>
        </w:rPr>
        <w:t xml:space="preserve">, J. (2020). Associations of type 1 and type 2 diabetes with COVID-19-related mortality in England: A whole-population study. </w:t>
      </w:r>
      <w:r w:rsidRPr="006B0F6C">
        <w:rPr>
          <w:rFonts w:ascii="Arial" w:hAnsi="Arial" w:cs="Arial"/>
          <w:i/>
          <w:iCs/>
        </w:rPr>
        <w:t>The Lancet Diabetes &amp; Endocrinology</w:t>
      </w:r>
      <w:r w:rsidRPr="006B0F6C">
        <w:rPr>
          <w:rFonts w:ascii="Arial" w:hAnsi="Arial" w:cs="Arial"/>
        </w:rPr>
        <w:t xml:space="preserve">, </w:t>
      </w:r>
      <w:r w:rsidRPr="006B0F6C">
        <w:rPr>
          <w:rFonts w:ascii="Arial" w:hAnsi="Arial" w:cs="Arial"/>
          <w:i/>
          <w:iCs/>
        </w:rPr>
        <w:t>8</w:t>
      </w:r>
      <w:r w:rsidRPr="006B0F6C">
        <w:rPr>
          <w:rFonts w:ascii="Arial" w:hAnsi="Arial" w:cs="Arial"/>
        </w:rPr>
        <w:t>(10), 813–822. https://doi.org/10.1016/S2213-8587(20)30272-2</w:t>
      </w:r>
    </w:p>
    <w:p w14:paraId="50AEBBFD" w14:textId="77777777" w:rsidR="000876FC" w:rsidRPr="006B0F6C" w:rsidRDefault="000876FC" w:rsidP="000876FC">
      <w:pPr>
        <w:pStyle w:val="Bibliography"/>
        <w:spacing w:before="240"/>
        <w:jc w:val="both"/>
        <w:rPr>
          <w:rFonts w:ascii="Arial" w:hAnsi="Arial" w:cs="Arial"/>
        </w:rPr>
      </w:pPr>
      <w:r w:rsidRPr="006B0F6C">
        <w:rPr>
          <w:rFonts w:ascii="Arial" w:hAnsi="Arial" w:cs="Arial"/>
        </w:rPr>
        <w:t xml:space="preserve">Berlin, D. A., Gulick, R. M., &amp; Martinez, F. J. (2020). Severe Covid-19. </w:t>
      </w:r>
      <w:r w:rsidRPr="006B0F6C">
        <w:rPr>
          <w:rFonts w:ascii="Arial" w:hAnsi="Arial" w:cs="Arial"/>
          <w:i/>
          <w:iCs/>
        </w:rPr>
        <w:t>New England Journal of Medicine</w:t>
      </w:r>
      <w:r w:rsidRPr="006B0F6C">
        <w:rPr>
          <w:rFonts w:ascii="Arial" w:hAnsi="Arial" w:cs="Arial"/>
        </w:rPr>
        <w:t xml:space="preserve">, </w:t>
      </w:r>
      <w:r w:rsidRPr="006B0F6C">
        <w:rPr>
          <w:rFonts w:ascii="Arial" w:hAnsi="Arial" w:cs="Arial"/>
          <w:i/>
          <w:iCs/>
        </w:rPr>
        <w:t>383</w:t>
      </w:r>
      <w:r w:rsidRPr="006B0F6C">
        <w:rPr>
          <w:rFonts w:ascii="Arial" w:hAnsi="Arial" w:cs="Arial"/>
        </w:rPr>
        <w:t>(25), 2451–2460. https://doi.org/10.1056/NEJMcp2009575</w:t>
      </w:r>
    </w:p>
    <w:p w14:paraId="5A6EC448" w14:textId="77777777" w:rsidR="000876FC" w:rsidRPr="006B0F6C" w:rsidRDefault="000876FC" w:rsidP="000876FC">
      <w:pPr>
        <w:pStyle w:val="Bibliography"/>
        <w:spacing w:before="240"/>
        <w:jc w:val="both"/>
        <w:rPr>
          <w:rFonts w:ascii="Arial" w:hAnsi="Arial" w:cs="Arial"/>
        </w:rPr>
      </w:pPr>
      <w:r w:rsidRPr="006B0F6C">
        <w:rPr>
          <w:rFonts w:ascii="Arial" w:hAnsi="Arial" w:cs="Arial"/>
        </w:rPr>
        <w:t xml:space="preserve">Boing, A. F., Boing, A. C., </w:t>
      </w:r>
      <w:proofErr w:type="spellStart"/>
      <w:r w:rsidRPr="006B0F6C">
        <w:rPr>
          <w:rFonts w:ascii="Arial" w:hAnsi="Arial" w:cs="Arial"/>
        </w:rPr>
        <w:t>Barberia</w:t>
      </w:r>
      <w:proofErr w:type="spellEnd"/>
      <w:r w:rsidRPr="006B0F6C">
        <w:rPr>
          <w:rFonts w:ascii="Arial" w:hAnsi="Arial" w:cs="Arial"/>
        </w:rPr>
        <w:t xml:space="preserve">, L., Borges, M. E., &amp; Subramanian, S. V. (2023). Uncovering inequities in Covid-19 vaccine coverage for adults and elderly in Brazil: A multilevel study of 2021–2022 data. </w:t>
      </w:r>
      <w:r w:rsidRPr="006B0F6C">
        <w:rPr>
          <w:rFonts w:ascii="Arial" w:hAnsi="Arial" w:cs="Arial"/>
          <w:i/>
          <w:iCs/>
        </w:rPr>
        <w:t>Vaccine</w:t>
      </w:r>
      <w:r w:rsidRPr="006B0F6C">
        <w:rPr>
          <w:rFonts w:ascii="Arial" w:hAnsi="Arial" w:cs="Arial"/>
        </w:rPr>
        <w:t xml:space="preserve">, </w:t>
      </w:r>
      <w:r w:rsidRPr="006B0F6C">
        <w:rPr>
          <w:rFonts w:ascii="Arial" w:hAnsi="Arial" w:cs="Arial"/>
          <w:i/>
          <w:iCs/>
        </w:rPr>
        <w:t>41</w:t>
      </w:r>
      <w:r w:rsidRPr="006B0F6C">
        <w:rPr>
          <w:rFonts w:ascii="Arial" w:hAnsi="Arial" w:cs="Arial"/>
        </w:rPr>
        <w:t>(26), 3937–3945. https://doi.org/10.1016/j.vaccine.2023.05.030</w:t>
      </w:r>
    </w:p>
    <w:p w14:paraId="666CE328" w14:textId="77777777" w:rsidR="000876FC" w:rsidRPr="006B0F6C" w:rsidRDefault="000876FC" w:rsidP="000876FC">
      <w:pPr>
        <w:pStyle w:val="Bibliography"/>
        <w:spacing w:before="240"/>
        <w:jc w:val="both"/>
        <w:rPr>
          <w:rFonts w:ascii="Arial" w:hAnsi="Arial" w:cs="Arial"/>
          <w:lang w:val="pt-BR"/>
        </w:rPr>
      </w:pPr>
      <w:r w:rsidRPr="006B0F6C">
        <w:rPr>
          <w:rFonts w:ascii="Arial" w:hAnsi="Arial" w:cs="Arial"/>
        </w:rPr>
        <w:t xml:space="preserve">Booth, A., Reed, A. B., Ponzo, S., </w:t>
      </w:r>
      <w:proofErr w:type="spellStart"/>
      <w:r w:rsidRPr="006B0F6C">
        <w:rPr>
          <w:rFonts w:ascii="Arial" w:hAnsi="Arial" w:cs="Arial"/>
        </w:rPr>
        <w:t>Yassaee</w:t>
      </w:r>
      <w:proofErr w:type="spellEnd"/>
      <w:r w:rsidRPr="006B0F6C">
        <w:rPr>
          <w:rFonts w:ascii="Arial" w:hAnsi="Arial" w:cs="Arial"/>
        </w:rPr>
        <w:t xml:space="preserve">, A., Aral, M., Plans, D., </w:t>
      </w:r>
      <w:proofErr w:type="spellStart"/>
      <w:r w:rsidRPr="006B0F6C">
        <w:rPr>
          <w:rFonts w:ascii="Arial" w:hAnsi="Arial" w:cs="Arial"/>
        </w:rPr>
        <w:t>Labrique</w:t>
      </w:r>
      <w:proofErr w:type="spellEnd"/>
      <w:r w:rsidRPr="006B0F6C">
        <w:rPr>
          <w:rFonts w:ascii="Arial" w:hAnsi="Arial" w:cs="Arial"/>
        </w:rPr>
        <w:t xml:space="preserve">, A., &amp; Mohan, D. (2021). Population risk factors for severe disease and mortality in COVID-19: A global systematic review and meta-analysis. </w:t>
      </w:r>
      <w:r w:rsidRPr="006B0F6C">
        <w:rPr>
          <w:rFonts w:ascii="Arial" w:hAnsi="Arial" w:cs="Arial"/>
          <w:i/>
          <w:iCs/>
          <w:lang w:val="pt-BR"/>
        </w:rPr>
        <w:t>PLOS ONE</w:t>
      </w:r>
      <w:r w:rsidRPr="006B0F6C">
        <w:rPr>
          <w:rFonts w:ascii="Arial" w:hAnsi="Arial" w:cs="Arial"/>
          <w:lang w:val="pt-BR"/>
        </w:rPr>
        <w:t xml:space="preserve">, </w:t>
      </w:r>
      <w:r w:rsidRPr="006B0F6C">
        <w:rPr>
          <w:rFonts w:ascii="Arial" w:hAnsi="Arial" w:cs="Arial"/>
          <w:i/>
          <w:iCs/>
          <w:lang w:val="pt-BR"/>
        </w:rPr>
        <w:t>16</w:t>
      </w:r>
      <w:r w:rsidRPr="006B0F6C">
        <w:rPr>
          <w:rFonts w:ascii="Arial" w:hAnsi="Arial" w:cs="Arial"/>
          <w:lang w:val="pt-BR"/>
        </w:rPr>
        <w:t>(3), e0247461. https://doi.org/10.1371/journal.pone.0247461</w:t>
      </w:r>
    </w:p>
    <w:p w14:paraId="7A537009" w14:textId="77777777" w:rsidR="000876FC" w:rsidRPr="006B0F6C" w:rsidRDefault="000876FC" w:rsidP="000876FC">
      <w:pPr>
        <w:pStyle w:val="Bibliography"/>
        <w:spacing w:before="240"/>
        <w:jc w:val="both"/>
        <w:rPr>
          <w:rFonts w:ascii="Arial" w:hAnsi="Arial" w:cs="Arial"/>
          <w:lang w:val="pt-BR"/>
        </w:rPr>
      </w:pPr>
      <w:r w:rsidRPr="006B0F6C">
        <w:rPr>
          <w:rFonts w:ascii="Arial" w:hAnsi="Arial" w:cs="Arial"/>
          <w:lang w:val="pt-BR"/>
        </w:rPr>
        <w:t xml:space="preserve">Brasil. (2012). </w:t>
      </w:r>
      <w:r w:rsidRPr="006B0F6C">
        <w:rPr>
          <w:rFonts w:ascii="Arial" w:hAnsi="Arial" w:cs="Arial"/>
          <w:i/>
          <w:iCs/>
          <w:lang w:val="pt-BR"/>
        </w:rPr>
        <w:t>Resolução n</w:t>
      </w:r>
      <w:r w:rsidRPr="006B0F6C">
        <w:rPr>
          <w:rFonts w:ascii="Arial" w:hAnsi="Arial" w:cs="Arial"/>
          <w:i/>
          <w:iCs/>
          <w:vertAlign w:val="superscript"/>
          <w:lang w:val="pt-BR"/>
        </w:rPr>
        <w:t>o</w:t>
      </w:r>
      <w:r w:rsidRPr="006B0F6C">
        <w:rPr>
          <w:rFonts w:ascii="Arial" w:hAnsi="Arial" w:cs="Arial"/>
          <w:i/>
          <w:iCs/>
          <w:lang w:val="pt-BR"/>
        </w:rPr>
        <w:t xml:space="preserve"> 466, de 12 de dezembro de 2012. Dispõe sobre diretrizes e normas regulamentadoras de pesquisas envolvendo seres humanos.</w:t>
      </w:r>
      <w:r w:rsidRPr="006B0F6C">
        <w:rPr>
          <w:rFonts w:ascii="Arial" w:hAnsi="Arial" w:cs="Arial"/>
          <w:lang w:val="pt-BR"/>
        </w:rPr>
        <w:t xml:space="preserve"> Diário Oficial da União. http://conselho.saude.gov.br/resolucoes/2012/Reso466.pdf.</w:t>
      </w:r>
    </w:p>
    <w:p w14:paraId="6DFE08CC" w14:textId="77777777" w:rsidR="000876FC" w:rsidRPr="006B0F6C" w:rsidRDefault="000876FC" w:rsidP="000876FC">
      <w:pPr>
        <w:pStyle w:val="Bibliography"/>
        <w:spacing w:before="240"/>
        <w:jc w:val="both"/>
        <w:rPr>
          <w:rFonts w:ascii="Arial" w:hAnsi="Arial" w:cs="Arial"/>
          <w:lang w:val="pt-BR"/>
        </w:rPr>
      </w:pPr>
      <w:r w:rsidRPr="006B0F6C">
        <w:rPr>
          <w:rFonts w:ascii="Arial" w:hAnsi="Arial" w:cs="Arial"/>
          <w:lang w:val="pt-BR"/>
        </w:rPr>
        <w:t xml:space="preserve">Brasil. (2016). </w:t>
      </w:r>
      <w:r w:rsidRPr="006B0F6C">
        <w:rPr>
          <w:rFonts w:ascii="Arial" w:hAnsi="Arial" w:cs="Arial"/>
          <w:i/>
          <w:iCs/>
          <w:lang w:val="pt-BR"/>
        </w:rPr>
        <w:t>Resolução n</w:t>
      </w:r>
      <w:r w:rsidRPr="006B0F6C">
        <w:rPr>
          <w:rFonts w:ascii="Arial" w:hAnsi="Arial" w:cs="Arial"/>
          <w:i/>
          <w:iCs/>
          <w:vertAlign w:val="superscript"/>
          <w:lang w:val="pt-BR"/>
        </w:rPr>
        <w:t>o</w:t>
      </w:r>
      <w:r w:rsidRPr="006B0F6C">
        <w:rPr>
          <w:rFonts w:ascii="Arial" w:hAnsi="Arial" w:cs="Arial"/>
          <w:i/>
          <w:iCs/>
          <w:lang w:val="pt-BR"/>
        </w:rPr>
        <w:t xml:space="preserve"> 510, de 07 de abril de 2016. Dispõe sobre as normas aplicáveis a pesquisas em Ciências Humanas e Sociais.</w:t>
      </w:r>
      <w:r w:rsidRPr="006B0F6C">
        <w:rPr>
          <w:rFonts w:ascii="Arial" w:hAnsi="Arial" w:cs="Arial"/>
          <w:lang w:val="pt-BR"/>
        </w:rPr>
        <w:t xml:space="preserve"> Diário Oficial da União. http://conselho.saude.gov.br/resolucoes/2016/Reso510.pdf</w:t>
      </w:r>
    </w:p>
    <w:p w14:paraId="45A459F1" w14:textId="77777777" w:rsidR="000876FC" w:rsidRPr="006B0F6C" w:rsidRDefault="000876FC" w:rsidP="000876FC">
      <w:pPr>
        <w:pStyle w:val="Bibliography"/>
        <w:spacing w:before="240"/>
        <w:jc w:val="both"/>
        <w:rPr>
          <w:rFonts w:ascii="Arial" w:hAnsi="Arial" w:cs="Arial"/>
          <w:lang w:val="pt-BR"/>
        </w:rPr>
      </w:pPr>
      <w:r w:rsidRPr="006B0F6C">
        <w:rPr>
          <w:rFonts w:ascii="Arial" w:hAnsi="Arial" w:cs="Arial"/>
          <w:lang w:val="pt-BR"/>
        </w:rPr>
        <w:t xml:space="preserve">Brasil. (2018). </w:t>
      </w:r>
      <w:r w:rsidRPr="006B0F6C">
        <w:rPr>
          <w:rFonts w:ascii="Arial" w:hAnsi="Arial" w:cs="Arial"/>
          <w:i/>
          <w:iCs/>
          <w:lang w:val="pt-BR"/>
        </w:rPr>
        <w:t>Lei no 13.709, de 14 de agosto de 2018. Lei Geral de Proteção de Dados Pessoais (LGPD).</w:t>
      </w:r>
      <w:r w:rsidRPr="006B0F6C">
        <w:rPr>
          <w:rFonts w:ascii="Arial" w:hAnsi="Arial" w:cs="Arial"/>
          <w:lang w:val="pt-BR"/>
        </w:rPr>
        <w:t xml:space="preserve"> Diário Oficial da União. https://www.planalto.gov.br/ccivil_03/_ato2015-2018/2018/lei/l13709.htm</w:t>
      </w:r>
    </w:p>
    <w:p w14:paraId="4D1B58AD" w14:textId="77777777" w:rsidR="000876FC" w:rsidRPr="006B0F6C" w:rsidRDefault="000876FC" w:rsidP="000876FC">
      <w:pPr>
        <w:pStyle w:val="Bibliography"/>
        <w:spacing w:before="240"/>
        <w:jc w:val="both"/>
        <w:rPr>
          <w:rFonts w:ascii="Arial" w:hAnsi="Arial" w:cs="Arial"/>
          <w:lang w:val="pt-BR"/>
        </w:rPr>
      </w:pPr>
      <w:r w:rsidRPr="006B0F6C">
        <w:rPr>
          <w:rFonts w:ascii="Arial" w:hAnsi="Arial" w:cs="Arial"/>
          <w:lang w:val="pt-BR"/>
        </w:rPr>
        <w:t xml:space="preserve">Brasil. (2021). </w:t>
      </w:r>
      <w:r w:rsidRPr="006B0F6C">
        <w:rPr>
          <w:rFonts w:ascii="Arial" w:hAnsi="Arial" w:cs="Arial"/>
          <w:i/>
          <w:iCs/>
          <w:lang w:val="pt-BR"/>
        </w:rPr>
        <w:t>Sistema de Vigilância Alimentar e Nutricional. Relatórios do Estado nutricional dos indivíduos acompanhados por período, fase do ciclo da vida e índice.</w:t>
      </w:r>
      <w:r w:rsidRPr="006B0F6C">
        <w:rPr>
          <w:rFonts w:ascii="Arial" w:hAnsi="Arial" w:cs="Arial"/>
          <w:lang w:val="pt-BR"/>
        </w:rPr>
        <w:t xml:space="preserve"> Ministério da Saúde. https://sisaps.saude.gov.br/sisvan/relatoriopublico/index.</w:t>
      </w:r>
    </w:p>
    <w:p w14:paraId="2D25D4CB" w14:textId="77777777" w:rsidR="000876FC" w:rsidRPr="006B0F6C" w:rsidRDefault="000876FC" w:rsidP="000876FC">
      <w:pPr>
        <w:pStyle w:val="Bibliography"/>
        <w:spacing w:before="240"/>
        <w:jc w:val="both"/>
        <w:rPr>
          <w:rFonts w:ascii="Arial" w:hAnsi="Arial" w:cs="Arial"/>
          <w:lang w:val="pt-BR"/>
        </w:rPr>
      </w:pPr>
      <w:r w:rsidRPr="006B0F6C">
        <w:rPr>
          <w:rFonts w:ascii="Arial" w:hAnsi="Arial" w:cs="Arial"/>
          <w:lang w:val="pt-BR"/>
        </w:rPr>
        <w:t xml:space="preserve">Brasil. (2023). </w:t>
      </w:r>
      <w:r w:rsidRPr="006B0F6C">
        <w:rPr>
          <w:rFonts w:ascii="Arial" w:hAnsi="Arial" w:cs="Arial"/>
          <w:i/>
          <w:iCs/>
          <w:lang w:val="pt-BR"/>
        </w:rPr>
        <w:t>Brasil chega à marca de 700 mil mortes por Covid-19.</w:t>
      </w:r>
      <w:r w:rsidRPr="006B0F6C">
        <w:rPr>
          <w:rFonts w:ascii="Arial" w:hAnsi="Arial" w:cs="Arial"/>
          <w:lang w:val="pt-BR"/>
        </w:rPr>
        <w:t xml:space="preserve"> Ministério da Saúde. https://www.gov.br/saude/pt-br/assuntos/noticias/2023/marco/brasil-chega-a-marca-de-700-mil-mortes-por-covid-19.</w:t>
      </w:r>
    </w:p>
    <w:p w14:paraId="1F613176" w14:textId="77777777" w:rsidR="000876FC" w:rsidRPr="006B0F6C" w:rsidRDefault="000876FC" w:rsidP="000876FC">
      <w:pPr>
        <w:pStyle w:val="Bibliography"/>
        <w:spacing w:before="240"/>
        <w:jc w:val="both"/>
        <w:rPr>
          <w:rFonts w:ascii="Arial" w:hAnsi="Arial" w:cs="Arial"/>
        </w:rPr>
      </w:pPr>
      <w:r w:rsidRPr="006B0F6C">
        <w:rPr>
          <w:rFonts w:ascii="Arial" w:hAnsi="Arial" w:cs="Arial"/>
          <w:lang w:val="pt-BR"/>
        </w:rPr>
        <w:t xml:space="preserve">Cerqueira-Silva, T., Andrews, J. R., Boaventura, V. S., Ranzani, O. T., Oliveira, V. de A., Paixão, E. S., Júnior, J. B., Machado, T. M., Hitchings, M. D. T., Dorion, M., Lind, M. L., Penna, G. O., Cummings, D. A. T., Dean, N. E., Werneck, G. L., Pearce, N., Barreto, M. L., Ko, A. I., Croda, J., &amp; Barral-Netto, M. (2022). </w:t>
      </w:r>
      <w:r w:rsidRPr="006B0F6C">
        <w:rPr>
          <w:rFonts w:ascii="Arial" w:hAnsi="Arial" w:cs="Arial"/>
        </w:rPr>
        <w:t>Effectiveness of CoronaVac, ChAdOx1 nCoV-19, BNT162b2, and Ad26.COV</w:t>
      </w:r>
      <w:proofErr w:type="gramStart"/>
      <w:r w:rsidRPr="006B0F6C">
        <w:rPr>
          <w:rFonts w:ascii="Arial" w:hAnsi="Arial" w:cs="Arial"/>
        </w:rPr>
        <w:t>2.S</w:t>
      </w:r>
      <w:proofErr w:type="gramEnd"/>
      <w:r w:rsidRPr="006B0F6C">
        <w:rPr>
          <w:rFonts w:ascii="Arial" w:hAnsi="Arial" w:cs="Arial"/>
        </w:rPr>
        <w:t xml:space="preserve"> among individuals with previous SARS-CoV-2 infection in Brazil: A test-negative, case-control study. </w:t>
      </w:r>
      <w:r w:rsidRPr="006B0F6C">
        <w:rPr>
          <w:rFonts w:ascii="Arial" w:hAnsi="Arial" w:cs="Arial"/>
          <w:i/>
          <w:iCs/>
        </w:rPr>
        <w:t>The Lancet Infectious Diseases</w:t>
      </w:r>
      <w:r w:rsidRPr="006B0F6C">
        <w:rPr>
          <w:rFonts w:ascii="Arial" w:hAnsi="Arial" w:cs="Arial"/>
        </w:rPr>
        <w:t xml:space="preserve">, </w:t>
      </w:r>
      <w:r w:rsidRPr="006B0F6C">
        <w:rPr>
          <w:rFonts w:ascii="Arial" w:hAnsi="Arial" w:cs="Arial"/>
          <w:i/>
          <w:iCs/>
        </w:rPr>
        <w:t>22</w:t>
      </w:r>
      <w:r w:rsidRPr="006B0F6C">
        <w:rPr>
          <w:rFonts w:ascii="Arial" w:hAnsi="Arial" w:cs="Arial"/>
        </w:rPr>
        <w:t>(6), 791–801. https://doi.org/10.1016/S1473-3099(22)00140-2</w:t>
      </w:r>
    </w:p>
    <w:p w14:paraId="6EB33ACE" w14:textId="77777777" w:rsidR="000876FC" w:rsidRPr="006B0F6C" w:rsidRDefault="000876FC" w:rsidP="000876FC">
      <w:pPr>
        <w:pStyle w:val="Bibliography"/>
        <w:spacing w:before="240"/>
        <w:jc w:val="both"/>
        <w:rPr>
          <w:rFonts w:ascii="Arial" w:hAnsi="Arial" w:cs="Arial"/>
        </w:rPr>
      </w:pPr>
      <w:r w:rsidRPr="006B0F6C">
        <w:rPr>
          <w:rFonts w:ascii="Arial" w:hAnsi="Arial" w:cs="Arial"/>
        </w:rPr>
        <w:t xml:space="preserve">Cheng, S., Zhao, Y., Wang, F., Chen, Y., </w:t>
      </w:r>
      <w:proofErr w:type="spellStart"/>
      <w:r w:rsidRPr="006B0F6C">
        <w:rPr>
          <w:rFonts w:ascii="Arial" w:hAnsi="Arial" w:cs="Arial"/>
        </w:rPr>
        <w:t>Kaminga</w:t>
      </w:r>
      <w:proofErr w:type="spellEnd"/>
      <w:r w:rsidRPr="006B0F6C">
        <w:rPr>
          <w:rFonts w:ascii="Arial" w:hAnsi="Arial" w:cs="Arial"/>
        </w:rPr>
        <w:t xml:space="preserve">, A. C., &amp; Xu, H. (2021). Comorbidities’ potential impacts on severe and non-severe patients with COVID-19: A systematic review and meta-analysis. </w:t>
      </w:r>
      <w:r w:rsidRPr="006B0F6C">
        <w:rPr>
          <w:rFonts w:ascii="Arial" w:hAnsi="Arial" w:cs="Arial"/>
          <w:i/>
          <w:iCs/>
        </w:rPr>
        <w:t>Medicine</w:t>
      </w:r>
      <w:r w:rsidRPr="006B0F6C">
        <w:rPr>
          <w:rFonts w:ascii="Arial" w:hAnsi="Arial" w:cs="Arial"/>
        </w:rPr>
        <w:t xml:space="preserve">, </w:t>
      </w:r>
      <w:r w:rsidRPr="006B0F6C">
        <w:rPr>
          <w:rFonts w:ascii="Arial" w:hAnsi="Arial" w:cs="Arial"/>
          <w:i/>
          <w:iCs/>
        </w:rPr>
        <w:t>100</w:t>
      </w:r>
      <w:r w:rsidRPr="006B0F6C">
        <w:rPr>
          <w:rFonts w:ascii="Arial" w:hAnsi="Arial" w:cs="Arial"/>
        </w:rPr>
        <w:t>(12), e24971. https://doi.org/10.1097/MD.0000000000024971</w:t>
      </w:r>
    </w:p>
    <w:p w14:paraId="6CE3E0DA" w14:textId="77777777" w:rsidR="000876FC" w:rsidRPr="006B0F6C" w:rsidRDefault="000876FC" w:rsidP="000876FC">
      <w:pPr>
        <w:pStyle w:val="Bibliography"/>
        <w:spacing w:before="240"/>
        <w:jc w:val="both"/>
        <w:rPr>
          <w:rFonts w:ascii="Arial" w:hAnsi="Arial" w:cs="Arial"/>
        </w:rPr>
      </w:pPr>
      <w:r w:rsidRPr="006B0F6C">
        <w:rPr>
          <w:rFonts w:ascii="Arial" w:hAnsi="Arial" w:cs="Arial"/>
        </w:rPr>
        <w:t xml:space="preserve">Dar, M., Swamy, L., Gavin, D., &amp; Theodore, A. (2021). Mechanical-Ventilation Supply and Options for the COVID-19 Pandemic. Leveraging All Available Resources for a Limited </w:t>
      </w:r>
      <w:r w:rsidRPr="006B0F6C">
        <w:rPr>
          <w:rFonts w:ascii="Arial" w:hAnsi="Arial" w:cs="Arial"/>
        </w:rPr>
        <w:lastRenderedPageBreak/>
        <w:t xml:space="preserve">Resource in a Crisis. </w:t>
      </w:r>
      <w:r w:rsidRPr="006B0F6C">
        <w:rPr>
          <w:rFonts w:ascii="Arial" w:hAnsi="Arial" w:cs="Arial"/>
          <w:i/>
          <w:iCs/>
        </w:rPr>
        <w:t>Annals of the American Thoracic Society</w:t>
      </w:r>
      <w:r w:rsidRPr="006B0F6C">
        <w:rPr>
          <w:rFonts w:ascii="Arial" w:hAnsi="Arial" w:cs="Arial"/>
        </w:rPr>
        <w:t xml:space="preserve">, </w:t>
      </w:r>
      <w:r w:rsidRPr="006B0F6C">
        <w:rPr>
          <w:rFonts w:ascii="Arial" w:hAnsi="Arial" w:cs="Arial"/>
          <w:i/>
          <w:iCs/>
        </w:rPr>
        <w:t>18</w:t>
      </w:r>
      <w:r w:rsidRPr="006B0F6C">
        <w:rPr>
          <w:rFonts w:ascii="Arial" w:hAnsi="Arial" w:cs="Arial"/>
        </w:rPr>
        <w:t>(3), 408–416. https://doi.org/10.1513/AnnalsATS.202004-317CME</w:t>
      </w:r>
    </w:p>
    <w:p w14:paraId="7D35FA50" w14:textId="77777777" w:rsidR="000876FC" w:rsidRPr="006B0F6C" w:rsidRDefault="000876FC" w:rsidP="000876FC">
      <w:pPr>
        <w:pStyle w:val="Bibliography"/>
        <w:spacing w:before="240"/>
        <w:jc w:val="both"/>
        <w:rPr>
          <w:rFonts w:ascii="Arial" w:hAnsi="Arial" w:cs="Arial"/>
        </w:rPr>
      </w:pPr>
      <w:r w:rsidRPr="006B0F6C">
        <w:rPr>
          <w:rFonts w:ascii="Arial" w:hAnsi="Arial" w:cs="Arial"/>
        </w:rPr>
        <w:t xml:space="preserve">Doyle, A. J., </w:t>
      </w:r>
      <w:proofErr w:type="spellStart"/>
      <w:r w:rsidRPr="006B0F6C">
        <w:rPr>
          <w:rFonts w:ascii="Arial" w:hAnsi="Arial" w:cs="Arial"/>
        </w:rPr>
        <w:t>Danaee</w:t>
      </w:r>
      <w:proofErr w:type="spellEnd"/>
      <w:r w:rsidRPr="006B0F6C">
        <w:rPr>
          <w:rFonts w:ascii="Arial" w:hAnsi="Arial" w:cs="Arial"/>
        </w:rPr>
        <w:t>, A., Furtado, C. I., Miller, S., Maggs, T., Robinson, S. E., &amp; Retter, A. (2020). Blood component use in critical care in patients with COVID-19 infection: A single-</w:t>
      </w:r>
      <w:proofErr w:type="spellStart"/>
      <w:r w:rsidRPr="006B0F6C">
        <w:rPr>
          <w:rFonts w:ascii="Arial" w:hAnsi="Arial" w:cs="Arial"/>
        </w:rPr>
        <w:t>centre</w:t>
      </w:r>
      <w:proofErr w:type="spellEnd"/>
      <w:r w:rsidRPr="006B0F6C">
        <w:rPr>
          <w:rFonts w:ascii="Arial" w:hAnsi="Arial" w:cs="Arial"/>
        </w:rPr>
        <w:t xml:space="preserve"> experience. </w:t>
      </w:r>
      <w:r w:rsidRPr="006B0F6C">
        <w:rPr>
          <w:rFonts w:ascii="Arial" w:hAnsi="Arial" w:cs="Arial"/>
          <w:i/>
          <w:iCs/>
        </w:rPr>
        <w:t xml:space="preserve">British Journal of </w:t>
      </w:r>
      <w:proofErr w:type="spellStart"/>
      <w:r w:rsidRPr="006B0F6C">
        <w:rPr>
          <w:rFonts w:ascii="Arial" w:hAnsi="Arial" w:cs="Arial"/>
          <w:i/>
          <w:iCs/>
        </w:rPr>
        <w:t>Haematology</w:t>
      </w:r>
      <w:proofErr w:type="spellEnd"/>
      <w:r w:rsidRPr="006B0F6C">
        <w:rPr>
          <w:rFonts w:ascii="Arial" w:hAnsi="Arial" w:cs="Arial"/>
        </w:rPr>
        <w:t xml:space="preserve">, </w:t>
      </w:r>
      <w:r w:rsidRPr="006B0F6C">
        <w:rPr>
          <w:rFonts w:ascii="Arial" w:hAnsi="Arial" w:cs="Arial"/>
          <w:i/>
          <w:iCs/>
        </w:rPr>
        <w:t>191</w:t>
      </w:r>
      <w:r w:rsidRPr="006B0F6C">
        <w:rPr>
          <w:rFonts w:ascii="Arial" w:hAnsi="Arial" w:cs="Arial"/>
        </w:rPr>
        <w:t>(3), 382–385. https://doi.org/10.1111/bjh.17007</w:t>
      </w:r>
    </w:p>
    <w:p w14:paraId="1AD0B74A" w14:textId="77777777" w:rsidR="000876FC" w:rsidRPr="006B0F6C" w:rsidRDefault="000876FC" w:rsidP="000876FC">
      <w:pPr>
        <w:pStyle w:val="Bibliography"/>
        <w:spacing w:before="240"/>
        <w:jc w:val="both"/>
        <w:rPr>
          <w:rFonts w:ascii="Arial" w:hAnsi="Arial" w:cs="Arial"/>
        </w:rPr>
      </w:pPr>
      <w:r w:rsidRPr="006B0F6C">
        <w:rPr>
          <w:rFonts w:ascii="Arial" w:hAnsi="Arial" w:cs="Arial"/>
        </w:rPr>
        <w:t xml:space="preserve">Ejaz, H., </w:t>
      </w:r>
      <w:proofErr w:type="spellStart"/>
      <w:r w:rsidRPr="006B0F6C">
        <w:rPr>
          <w:rFonts w:ascii="Arial" w:hAnsi="Arial" w:cs="Arial"/>
        </w:rPr>
        <w:t>Alsrhani</w:t>
      </w:r>
      <w:proofErr w:type="spellEnd"/>
      <w:r w:rsidRPr="006B0F6C">
        <w:rPr>
          <w:rFonts w:ascii="Arial" w:hAnsi="Arial" w:cs="Arial"/>
        </w:rPr>
        <w:t xml:space="preserve">, A., Zafar, A., Javed, H., Junaid, K., Abdalla, A. E., </w:t>
      </w:r>
      <w:proofErr w:type="spellStart"/>
      <w:r w:rsidRPr="006B0F6C">
        <w:rPr>
          <w:rFonts w:ascii="Arial" w:hAnsi="Arial" w:cs="Arial"/>
        </w:rPr>
        <w:t>Abosalif</w:t>
      </w:r>
      <w:proofErr w:type="spellEnd"/>
      <w:r w:rsidRPr="006B0F6C">
        <w:rPr>
          <w:rFonts w:ascii="Arial" w:hAnsi="Arial" w:cs="Arial"/>
        </w:rPr>
        <w:t xml:space="preserve">, K. O. A., Ahmed, Z., &amp; Younas, S. (2020). COVID-19 and comorbidities: Deleterious impact on infected patients. </w:t>
      </w:r>
      <w:r w:rsidRPr="006B0F6C">
        <w:rPr>
          <w:rFonts w:ascii="Arial" w:hAnsi="Arial" w:cs="Arial"/>
          <w:i/>
          <w:iCs/>
        </w:rPr>
        <w:t>Journal of Infection and Public Health</w:t>
      </w:r>
      <w:r w:rsidRPr="006B0F6C">
        <w:rPr>
          <w:rFonts w:ascii="Arial" w:hAnsi="Arial" w:cs="Arial"/>
        </w:rPr>
        <w:t xml:space="preserve">, </w:t>
      </w:r>
      <w:r w:rsidRPr="006B0F6C">
        <w:rPr>
          <w:rFonts w:ascii="Arial" w:hAnsi="Arial" w:cs="Arial"/>
          <w:i/>
          <w:iCs/>
        </w:rPr>
        <w:t>13</w:t>
      </w:r>
      <w:r w:rsidRPr="006B0F6C">
        <w:rPr>
          <w:rFonts w:ascii="Arial" w:hAnsi="Arial" w:cs="Arial"/>
        </w:rPr>
        <w:t>(12), 1833–1839. https://doi.org/10.1016/j.jiph.2020.07.014</w:t>
      </w:r>
    </w:p>
    <w:p w14:paraId="54145ED5" w14:textId="77777777" w:rsidR="000876FC" w:rsidRPr="006B0F6C" w:rsidRDefault="000876FC" w:rsidP="000876FC">
      <w:pPr>
        <w:pStyle w:val="Bibliography"/>
        <w:spacing w:before="240"/>
        <w:jc w:val="both"/>
        <w:rPr>
          <w:rFonts w:ascii="Arial" w:hAnsi="Arial" w:cs="Arial"/>
        </w:rPr>
      </w:pPr>
      <w:r w:rsidRPr="006B0F6C">
        <w:rPr>
          <w:rFonts w:ascii="Arial" w:hAnsi="Arial" w:cs="Arial"/>
          <w:lang w:val="pt-BR"/>
        </w:rPr>
        <w:t xml:space="preserve">Ferreira, J. C., Ho, Y.-L., Besen, B. A. M. P., &amp; Malbouisson, L. M. (2021). </w:t>
      </w:r>
      <w:r w:rsidRPr="006B0F6C">
        <w:rPr>
          <w:rFonts w:ascii="Arial" w:hAnsi="Arial" w:cs="Arial"/>
        </w:rPr>
        <w:t xml:space="preserve">(PDF) Protective ventilation and outcomes of critically ill patients with COVID-19: A cohort study. </w:t>
      </w:r>
      <w:r w:rsidRPr="006B0F6C">
        <w:rPr>
          <w:rFonts w:ascii="Arial" w:hAnsi="Arial" w:cs="Arial"/>
          <w:i/>
          <w:iCs/>
        </w:rPr>
        <w:t>Annals of Intensive Care</w:t>
      </w:r>
      <w:r w:rsidRPr="006B0F6C">
        <w:rPr>
          <w:rFonts w:ascii="Arial" w:hAnsi="Arial" w:cs="Arial"/>
        </w:rPr>
        <w:t xml:space="preserve">, </w:t>
      </w:r>
      <w:r w:rsidRPr="006B0F6C">
        <w:rPr>
          <w:rFonts w:ascii="Arial" w:hAnsi="Arial" w:cs="Arial"/>
          <w:i/>
          <w:iCs/>
        </w:rPr>
        <w:t>11</w:t>
      </w:r>
      <w:r w:rsidRPr="006B0F6C">
        <w:rPr>
          <w:rFonts w:ascii="Arial" w:hAnsi="Arial" w:cs="Arial"/>
        </w:rPr>
        <w:t>. https://doi.org/10.1186/s13613-021-00882-w</w:t>
      </w:r>
    </w:p>
    <w:p w14:paraId="2C870020" w14:textId="77777777" w:rsidR="000876FC" w:rsidRPr="006B0F6C" w:rsidRDefault="000876FC" w:rsidP="000876FC">
      <w:pPr>
        <w:pStyle w:val="Bibliography"/>
        <w:spacing w:before="240"/>
        <w:jc w:val="both"/>
        <w:rPr>
          <w:rFonts w:ascii="Arial" w:hAnsi="Arial" w:cs="Arial"/>
        </w:rPr>
      </w:pPr>
      <w:proofErr w:type="spellStart"/>
      <w:r w:rsidRPr="006B0F6C">
        <w:rPr>
          <w:rFonts w:ascii="Arial" w:hAnsi="Arial" w:cs="Arial"/>
        </w:rPr>
        <w:t>Fontelles</w:t>
      </w:r>
      <w:proofErr w:type="spellEnd"/>
      <w:r w:rsidRPr="006B0F6C">
        <w:rPr>
          <w:rFonts w:ascii="Arial" w:hAnsi="Arial" w:cs="Arial"/>
        </w:rPr>
        <w:t xml:space="preserve">, M. J., Simões, M. G., Farias, S. H., &amp; </w:t>
      </w:r>
      <w:proofErr w:type="spellStart"/>
      <w:r w:rsidRPr="006B0F6C">
        <w:rPr>
          <w:rFonts w:ascii="Arial" w:hAnsi="Arial" w:cs="Arial"/>
        </w:rPr>
        <w:t>Fontelles</w:t>
      </w:r>
      <w:proofErr w:type="spellEnd"/>
      <w:r w:rsidRPr="006B0F6C">
        <w:rPr>
          <w:rFonts w:ascii="Arial" w:hAnsi="Arial" w:cs="Arial"/>
        </w:rPr>
        <w:t xml:space="preserve">, R. G. S. (2009). </w:t>
      </w:r>
      <w:r w:rsidRPr="006B0F6C">
        <w:rPr>
          <w:rFonts w:ascii="Arial" w:hAnsi="Arial" w:cs="Arial"/>
          <w:lang w:val="pt-BR"/>
        </w:rPr>
        <w:t xml:space="preserve">Metodologia da pesquisa científica: Diretrizes para a elaboração de um protocolo de pesquisa. </w:t>
      </w:r>
      <w:r w:rsidRPr="006B0F6C">
        <w:rPr>
          <w:rFonts w:ascii="Arial" w:hAnsi="Arial" w:cs="Arial"/>
          <w:i/>
          <w:iCs/>
        </w:rPr>
        <w:t>Rev. para. med</w:t>
      </w:r>
      <w:r w:rsidRPr="006B0F6C">
        <w:rPr>
          <w:rFonts w:ascii="Arial" w:hAnsi="Arial" w:cs="Arial"/>
        </w:rPr>
        <w:t xml:space="preserve">, </w:t>
      </w:r>
      <w:r w:rsidRPr="006B0F6C">
        <w:rPr>
          <w:rFonts w:ascii="Arial" w:hAnsi="Arial" w:cs="Arial"/>
          <w:i/>
          <w:iCs/>
        </w:rPr>
        <w:t>3</w:t>
      </w:r>
      <w:r w:rsidRPr="006B0F6C">
        <w:rPr>
          <w:rFonts w:ascii="Arial" w:hAnsi="Arial" w:cs="Arial"/>
        </w:rPr>
        <w:t>. http://files.bvs.br/upload/S/0101-5907/2009/v23n3/a1967.pdf</w:t>
      </w:r>
    </w:p>
    <w:p w14:paraId="521C90EF" w14:textId="77777777" w:rsidR="000876FC" w:rsidRPr="006B0F6C" w:rsidRDefault="000876FC" w:rsidP="000876FC">
      <w:pPr>
        <w:pStyle w:val="Bibliography"/>
        <w:spacing w:before="240"/>
        <w:jc w:val="both"/>
        <w:rPr>
          <w:rFonts w:ascii="Arial" w:hAnsi="Arial" w:cs="Arial"/>
        </w:rPr>
      </w:pPr>
      <w:r w:rsidRPr="006B0F6C">
        <w:rPr>
          <w:rFonts w:ascii="Arial" w:hAnsi="Arial" w:cs="Arial"/>
        </w:rPr>
        <w:t xml:space="preserve">Garcia-Gallo, E., Merson, L., Kennon, K., Kelly, S., Citarella, B. W., Fryer, D. V., Shrapnel, S., Lee, J., Duque, S., Fuentes, Y. V., Balan, V., Smith, S., Wei, J., Gonçalves, B. P., Russell, C. D., Sigfrid, L., Dagens, A., Olliaro, P. L., Baruch, J., … Reyes, L. F. (2022). ISARIC-COVID-19 dataset: A Prospective, Standardized, Global Dataset of Patients Hospitalized with COVID-19. </w:t>
      </w:r>
      <w:r w:rsidRPr="006B0F6C">
        <w:rPr>
          <w:rFonts w:ascii="Arial" w:hAnsi="Arial" w:cs="Arial"/>
          <w:i/>
          <w:iCs/>
        </w:rPr>
        <w:t>Scientific Data</w:t>
      </w:r>
      <w:r w:rsidRPr="006B0F6C">
        <w:rPr>
          <w:rFonts w:ascii="Arial" w:hAnsi="Arial" w:cs="Arial"/>
        </w:rPr>
        <w:t xml:space="preserve">, </w:t>
      </w:r>
      <w:r w:rsidRPr="006B0F6C">
        <w:rPr>
          <w:rFonts w:ascii="Arial" w:hAnsi="Arial" w:cs="Arial"/>
          <w:i/>
          <w:iCs/>
        </w:rPr>
        <w:t>9</w:t>
      </w:r>
      <w:r w:rsidRPr="006B0F6C">
        <w:rPr>
          <w:rFonts w:ascii="Arial" w:hAnsi="Arial" w:cs="Arial"/>
        </w:rPr>
        <w:t>(1), 454. https://doi.org/10.1038/s41597-022-01534-9</w:t>
      </w:r>
    </w:p>
    <w:p w14:paraId="2CF0FB57" w14:textId="77777777" w:rsidR="000876FC" w:rsidRPr="006B0F6C" w:rsidRDefault="000876FC" w:rsidP="000876FC">
      <w:pPr>
        <w:pStyle w:val="Bibliography"/>
        <w:spacing w:before="240"/>
        <w:jc w:val="both"/>
        <w:rPr>
          <w:rFonts w:ascii="Arial" w:hAnsi="Arial" w:cs="Arial"/>
        </w:rPr>
      </w:pPr>
      <w:proofErr w:type="spellStart"/>
      <w:r w:rsidRPr="006B0F6C">
        <w:rPr>
          <w:rFonts w:ascii="Arial" w:hAnsi="Arial" w:cs="Arial"/>
        </w:rPr>
        <w:t>Ghaebi</w:t>
      </w:r>
      <w:proofErr w:type="spellEnd"/>
      <w:r w:rsidRPr="006B0F6C">
        <w:rPr>
          <w:rFonts w:ascii="Arial" w:hAnsi="Arial" w:cs="Arial"/>
        </w:rPr>
        <w:t xml:space="preserve">, M., Tahmasebi, S., </w:t>
      </w:r>
      <w:proofErr w:type="spellStart"/>
      <w:r w:rsidRPr="006B0F6C">
        <w:rPr>
          <w:rFonts w:ascii="Arial" w:hAnsi="Arial" w:cs="Arial"/>
        </w:rPr>
        <w:t>Jozghorbani</w:t>
      </w:r>
      <w:proofErr w:type="spellEnd"/>
      <w:r w:rsidRPr="006B0F6C">
        <w:rPr>
          <w:rFonts w:ascii="Arial" w:hAnsi="Arial" w:cs="Arial"/>
        </w:rPr>
        <w:t xml:space="preserve">, M., Sadeghi, A., Thangavelu, L., </w:t>
      </w:r>
      <w:proofErr w:type="spellStart"/>
      <w:r w:rsidRPr="006B0F6C">
        <w:rPr>
          <w:rFonts w:ascii="Arial" w:hAnsi="Arial" w:cs="Arial"/>
        </w:rPr>
        <w:t>Zekiy</w:t>
      </w:r>
      <w:proofErr w:type="spellEnd"/>
      <w:r w:rsidRPr="006B0F6C">
        <w:rPr>
          <w:rFonts w:ascii="Arial" w:hAnsi="Arial" w:cs="Arial"/>
        </w:rPr>
        <w:t xml:space="preserve">, A. O., &amp; Esmaeilzadeh, A. (2021). Risk factors for adverse outcomes of COVID-19 patients: Possible basis for diverse responses to the novel coronavirus SARS-CoV-2. </w:t>
      </w:r>
      <w:r w:rsidRPr="006B0F6C">
        <w:rPr>
          <w:rFonts w:ascii="Arial" w:hAnsi="Arial" w:cs="Arial"/>
          <w:i/>
          <w:iCs/>
        </w:rPr>
        <w:t>Life Sciences</w:t>
      </w:r>
      <w:r w:rsidRPr="006B0F6C">
        <w:rPr>
          <w:rFonts w:ascii="Arial" w:hAnsi="Arial" w:cs="Arial"/>
        </w:rPr>
        <w:t xml:space="preserve">, </w:t>
      </w:r>
      <w:r w:rsidRPr="006B0F6C">
        <w:rPr>
          <w:rFonts w:ascii="Arial" w:hAnsi="Arial" w:cs="Arial"/>
          <w:i/>
          <w:iCs/>
        </w:rPr>
        <w:t>277</w:t>
      </w:r>
      <w:r w:rsidRPr="006B0F6C">
        <w:rPr>
          <w:rFonts w:ascii="Arial" w:hAnsi="Arial" w:cs="Arial"/>
        </w:rPr>
        <w:t>, 119503. https://doi.org/10.1016/j.lfs.2021.119503</w:t>
      </w:r>
    </w:p>
    <w:p w14:paraId="33E6FC44" w14:textId="77777777" w:rsidR="000876FC" w:rsidRPr="006B0F6C" w:rsidRDefault="000876FC" w:rsidP="000876FC">
      <w:pPr>
        <w:pStyle w:val="Bibliography"/>
        <w:spacing w:before="240"/>
        <w:jc w:val="both"/>
        <w:rPr>
          <w:rFonts w:ascii="Arial" w:hAnsi="Arial" w:cs="Arial"/>
        </w:rPr>
      </w:pPr>
      <w:r w:rsidRPr="006B0F6C">
        <w:rPr>
          <w:rFonts w:ascii="Arial" w:hAnsi="Arial" w:cs="Arial"/>
        </w:rPr>
        <w:t xml:space="preserve">Goyal, P., Choi, J. J., Pinheiro, L. C., Schenck, E. J., Chen, R., Jabri, A., </w:t>
      </w:r>
      <w:proofErr w:type="spellStart"/>
      <w:r w:rsidRPr="006B0F6C">
        <w:rPr>
          <w:rFonts w:ascii="Arial" w:hAnsi="Arial" w:cs="Arial"/>
        </w:rPr>
        <w:t>Satlin</w:t>
      </w:r>
      <w:proofErr w:type="spellEnd"/>
      <w:r w:rsidRPr="006B0F6C">
        <w:rPr>
          <w:rFonts w:ascii="Arial" w:hAnsi="Arial" w:cs="Arial"/>
        </w:rPr>
        <w:t xml:space="preserve">, M. J., Campion, T. R., Nahid, M., Ringel, J. B., Hoffman, K. L., </w:t>
      </w:r>
      <w:proofErr w:type="spellStart"/>
      <w:r w:rsidRPr="006B0F6C">
        <w:rPr>
          <w:rFonts w:ascii="Arial" w:hAnsi="Arial" w:cs="Arial"/>
        </w:rPr>
        <w:t>Alshak</w:t>
      </w:r>
      <w:proofErr w:type="spellEnd"/>
      <w:r w:rsidRPr="006B0F6C">
        <w:rPr>
          <w:rFonts w:ascii="Arial" w:hAnsi="Arial" w:cs="Arial"/>
        </w:rPr>
        <w:t xml:space="preserve">, M. N., Li, H. A., Wehmeyer, G. T., Rajan, M., </w:t>
      </w:r>
      <w:proofErr w:type="spellStart"/>
      <w:r w:rsidRPr="006B0F6C">
        <w:rPr>
          <w:rFonts w:ascii="Arial" w:hAnsi="Arial" w:cs="Arial"/>
        </w:rPr>
        <w:t>Reshetnyak</w:t>
      </w:r>
      <w:proofErr w:type="spellEnd"/>
      <w:r w:rsidRPr="006B0F6C">
        <w:rPr>
          <w:rFonts w:ascii="Arial" w:hAnsi="Arial" w:cs="Arial"/>
        </w:rPr>
        <w:t xml:space="preserve">, E., Hupert, N., Horn, E. M., Martinez, F. J., … Safford, M. M. (2020). Clinical Characteristics of Covid-19 in New York City. </w:t>
      </w:r>
      <w:r w:rsidRPr="006B0F6C">
        <w:rPr>
          <w:rFonts w:ascii="Arial" w:hAnsi="Arial" w:cs="Arial"/>
          <w:i/>
          <w:iCs/>
        </w:rPr>
        <w:t>New England Journal of Medicine</w:t>
      </w:r>
      <w:r w:rsidRPr="006B0F6C">
        <w:rPr>
          <w:rFonts w:ascii="Arial" w:hAnsi="Arial" w:cs="Arial"/>
        </w:rPr>
        <w:t xml:space="preserve">, </w:t>
      </w:r>
      <w:r w:rsidRPr="006B0F6C">
        <w:rPr>
          <w:rFonts w:ascii="Arial" w:hAnsi="Arial" w:cs="Arial"/>
          <w:i/>
          <w:iCs/>
        </w:rPr>
        <w:t>382</w:t>
      </w:r>
      <w:r w:rsidRPr="006B0F6C">
        <w:rPr>
          <w:rFonts w:ascii="Arial" w:hAnsi="Arial" w:cs="Arial"/>
        </w:rPr>
        <w:t>(24), 2372–2374. https://doi.org/10.1056/NEJMc2010419</w:t>
      </w:r>
    </w:p>
    <w:p w14:paraId="3F68975E" w14:textId="77777777" w:rsidR="000876FC" w:rsidRPr="006B0F6C" w:rsidRDefault="000876FC" w:rsidP="000876FC">
      <w:pPr>
        <w:pStyle w:val="Bibliography"/>
        <w:spacing w:before="240"/>
        <w:jc w:val="both"/>
        <w:rPr>
          <w:rFonts w:ascii="Arial" w:hAnsi="Arial" w:cs="Arial"/>
        </w:rPr>
      </w:pPr>
      <w:r w:rsidRPr="006B0F6C">
        <w:rPr>
          <w:rFonts w:ascii="Arial" w:hAnsi="Arial" w:cs="Arial"/>
        </w:rPr>
        <w:t xml:space="preserve">Guan, W., Liang, W., Zhao, Y., Liang, H., Chen, Z., Li, Y., Liu, X., Chen, R., Tang, C., Wang, T., Ou, C., Li, L., Chen, P., Sang, L., Wang, W., Li, J., Li, C., Ou, L., Cheng, B., … He, J. (2020). Comorbidity and its impact on 1590 patients with COVID-19 in China: A nationwide analysis. </w:t>
      </w:r>
      <w:r w:rsidRPr="006B0F6C">
        <w:rPr>
          <w:rFonts w:ascii="Arial" w:hAnsi="Arial" w:cs="Arial"/>
          <w:i/>
          <w:iCs/>
        </w:rPr>
        <w:t>European Respiratory Journal</w:t>
      </w:r>
      <w:r w:rsidRPr="006B0F6C">
        <w:rPr>
          <w:rFonts w:ascii="Arial" w:hAnsi="Arial" w:cs="Arial"/>
        </w:rPr>
        <w:t xml:space="preserve">, </w:t>
      </w:r>
      <w:r w:rsidRPr="006B0F6C">
        <w:rPr>
          <w:rFonts w:ascii="Arial" w:hAnsi="Arial" w:cs="Arial"/>
          <w:i/>
          <w:iCs/>
        </w:rPr>
        <w:t>55</w:t>
      </w:r>
      <w:r w:rsidRPr="006B0F6C">
        <w:rPr>
          <w:rFonts w:ascii="Arial" w:hAnsi="Arial" w:cs="Arial"/>
        </w:rPr>
        <w:t>(5). https://doi.org/10.1183/13993003.00547-2020</w:t>
      </w:r>
    </w:p>
    <w:p w14:paraId="2A83C2BF" w14:textId="77777777" w:rsidR="000876FC" w:rsidRPr="006B0F6C" w:rsidRDefault="000876FC" w:rsidP="000876FC">
      <w:pPr>
        <w:pStyle w:val="Bibliography"/>
        <w:spacing w:before="240"/>
        <w:jc w:val="both"/>
        <w:rPr>
          <w:rFonts w:ascii="Arial" w:hAnsi="Arial" w:cs="Arial"/>
        </w:rPr>
      </w:pPr>
      <w:r w:rsidRPr="006B0F6C">
        <w:rPr>
          <w:rFonts w:ascii="Arial" w:hAnsi="Arial" w:cs="Arial"/>
        </w:rPr>
        <w:t xml:space="preserve">Hammer, O., Harper, D. A. T., &amp; Ryan, P. D. (2001). </w:t>
      </w:r>
      <w:r w:rsidRPr="006B0F6C">
        <w:rPr>
          <w:rFonts w:ascii="Arial" w:hAnsi="Arial" w:cs="Arial"/>
          <w:i/>
          <w:iCs/>
        </w:rPr>
        <w:t>PAST: Paleontological Statistics Software Package for Education and Data Analysis</w:t>
      </w:r>
      <w:r w:rsidRPr="006B0F6C">
        <w:rPr>
          <w:rFonts w:ascii="Arial" w:hAnsi="Arial" w:cs="Arial"/>
        </w:rPr>
        <w:t>.</w:t>
      </w:r>
    </w:p>
    <w:p w14:paraId="1BD2EBCF" w14:textId="77777777" w:rsidR="000876FC" w:rsidRPr="006B0F6C" w:rsidRDefault="000876FC" w:rsidP="000876FC">
      <w:pPr>
        <w:pStyle w:val="Bibliography"/>
        <w:spacing w:before="240"/>
        <w:jc w:val="both"/>
        <w:rPr>
          <w:rFonts w:ascii="Arial" w:hAnsi="Arial" w:cs="Arial"/>
        </w:rPr>
      </w:pPr>
      <w:r w:rsidRPr="006B0F6C">
        <w:rPr>
          <w:rFonts w:ascii="Arial" w:hAnsi="Arial" w:cs="Arial"/>
          <w:lang w:val="pt-BR"/>
        </w:rPr>
        <w:t xml:space="preserve">Hospital Regional São Paulo. (2022). </w:t>
      </w:r>
      <w:r w:rsidRPr="006B0F6C">
        <w:rPr>
          <w:rFonts w:ascii="Arial" w:hAnsi="Arial" w:cs="Arial"/>
          <w:i/>
          <w:iCs/>
          <w:lang w:val="pt-BR"/>
        </w:rPr>
        <w:t>O hospital: Quem somos.</w:t>
      </w:r>
      <w:r w:rsidRPr="006B0F6C">
        <w:rPr>
          <w:rFonts w:ascii="Arial" w:hAnsi="Arial" w:cs="Arial"/>
          <w:lang w:val="pt-BR"/>
        </w:rPr>
        <w:t xml:space="preserve"> </w:t>
      </w:r>
      <w:r w:rsidRPr="006B0F6C">
        <w:rPr>
          <w:rFonts w:ascii="Arial" w:hAnsi="Arial" w:cs="Arial"/>
        </w:rPr>
        <w:t>HRSP. http://www.hrsp.com.br/home/index.php/o-hospital/quem-somos.</w:t>
      </w:r>
    </w:p>
    <w:p w14:paraId="05AD368D" w14:textId="77777777" w:rsidR="000876FC" w:rsidRPr="006B0F6C" w:rsidRDefault="000876FC" w:rsidP="000876FC">
      <w:pPr>
        <w:pStyle w:val="Bibliography"/>
        <w:spacing w:before="240"/>
        <w:jc w:val="both"/>
        <w:rPr>
          <w:rFonts w:ascii="Arial" w:hAnsi="Arial" w:cs="Arial"/>
          <w:lang w:val="pt-BR"/>
        </w:rPr>
      </w:pPr>
      <w:r w:rsidRPr="006B0F6C">
        <w:rPr>
          <w:rFonts w:ascii="Arial" w:hAnsi="Arial" w:cs="Arial"/>
        </w:rPr>
        <w:t xml:space="preserve">Hussain Khan, Z., Maki Aldulaimi, A., </w:t>
      </w:r>
      <w:proofErr w:type="spellStart"/>
      <w:r w:rsidRPr="006B0F6C">
        <w:rPr>
          <w:rFonts w:ascii="Arial" w:hAnsi="Arial" w:cs="Arial"/>
        </w:rPr>
        <w:t>Varpaei</w:t>
      </w:r>
      <w:proofErr w:type="spellEnd"/>
      <w:r w:rsidRPr="006B0F6C">
        <w:rPr>
          <w:rFonts w:ascii="Arial" w:hAnsi="Arial" w:cs="Arial"/>
        </w:rPr>
        <w:t xml:space="preserve">, H. A., &amp; Mohammadi, M. (2022). Various Aspects of Non-Invasive Ventilation in COVID-19 Patients: A Narrative Review. </w:t>
      </w:r>
      <w:r w:rsidRPr="006B0F6C">
        <w:rPr>
          <w:rFonts w:ascii="Arial" w:hAnsi="Arial" w:cs="Arial"/>
          <w:i/>
          <w:iCs/>
          <w:lang w:val="pt-BR"/>
        </w:rPr>
        <w:t>Iranian Journal of Medical Sciences</w:t>
      </w:r>
      <w:r w:rsidRPr="006B0F6C">
        <w:rPr>
          <w:rFonts w:ascii="Arial" w:hAnsi="Arial" w:cs="Arial"/>
          <w:lang w:val="pt-BR"/>
        </w:rPr>
        <w:t xml:space="preserve">, </w:t>
      </w:r>
      <w:r w:rsidRPr="006B0F6C">
        <w:rPr>
          <w:rFonts w:ascii="Arial" w:hAnsi="Arial" w:cs="Arial"/>
          <w:i/>
          <w:iCs/>
          <w:lang w:val="pt-BR"/>
        </w:rPr>
        <w:t>47</w:t>
      </w:r>
      <w:r w:rsidRPr="006B0F6C">
        <w:rPr>
          <w:rFonts w:ascii="Arial" w:hAnsi="Arial" w:cs="Arial"/>
          <w:lang w:val="pt-BR"/>
        </w:rPr>
        <w:t>(3), 194–209. https://doi.org/10.30476/ijms.2021.91753.2291</w:t>
      </w:r>
    </w:p>
    <w:p w14:paraId="6112643C" w14:textId="77777777" w:rsidR="000876FC" w:rsidRPr="006B0F6C" w:rsidRDefault="000876FC" w:rsidP="000876FC">
      <w:pPr>
        <w:pStyle w:val="Bibliography"/>
        <w:spacing w:before="240"/>
        <w:jc w:val="both"/>
        <w:rPr>
          <w:rFonts w:ascii="Arial" w:hAnsi="Arial" w:cs="Arial"/>
        </w:rPr>
      </w:pPr>
      <w:r w:rsidRPr="006B0F6C">
        <w:rPr>
          <w:rFonts w:ascii="Arial" w:hAnsi="Arial" w:cs="Arial"/>
          <w:lang w:val="pt-BR"/>
        </w:rPr>
        <w:lastRenderedPageBreak/>
        <w:t xml:space="preserve">Instituto Brasileiro de Geografia e Estatística. (2020). </w:t>
      </w:r>
      <w:r w:rsidRPr="006B0F6C">
        <w:rPr>
          <w:rFonts w:ascii="Arial" w:hAnsi="Arial" w:cs="Arial"/>
          <w:i/>
          <w:iCs/>
          <w:lang w:val="pt-BR"/>
        </w:rPr>
        <w:t>Conheça o Brasil—População: Educação.</w:t>
      </w:r>
      <w:r w:rsidRPr="006B0F6C">
        <w:rPr>
          <w:rFonts w:ascii="Arial" w:hAnsi="Arial" w:cs="Arial"/>
          <w:lang w:val="pt-BR"/>
        </w:rPr>
        <w:t xml:space="preserve"> </w:t>
      </w:r>
      <w:r w:rsidRPr="006B0F6C">
        <w:rPr>
          <w:rFonts w:ascii="Arial" w:hAnsi="Arial" w:cs="Arial"/>
        </w:rPr>
        <w:t>IBGE. Available in: https://educa.ibge.gov.br/jovens/conheca-o-brasil/populacao/18317-educacao.html</w:t>
      </w:r>
    </w:p>
    <w:p w14:paraId="199C47A9" w14:textId="77777777" w:rsidR="000876FC" w:rsidRPr="006B0F6C" w:rsidRDefault="000876FC" w:rsidP="000876FC">
      <w:pPr>
        <w:pStyle w:val="Bibliography"/>
        <w:spacing w:before="240"/>
        <w:jc w:val="both"/>
        <w:rPr>
          <w:rFonts w:ascii="Arial" w:hAnsi="Arial" w:cs="Arial"/>
          <w:lang w:val="pt-BR"/>
        </w:rPr>
      </w:pPr>
      <w:r w:rsidRPr="006B0F6C">
        <w:rPr>
          <w:rFonts w:ascii="Arial" w:hAnsi="Arial" w:cs="Arial"/>
          <w:lang w:val="pt-BR"/>
        </w:rPr>
        <w:t xml:space="preserve">Instituto Brasileiro de Geografia e Estatística. (2022). </w:t>
      </w:r>
      <w:r w:rsidRPr="006B0F6C">
        <w:rPr>
          <w:rFonts w:ascii="Arial" w:hAnsi="Arial" w:cs="Arial"/>
          <w:i/>
          <w:iCs/>
          <w:lang w:val="pt-BR"/>
        </w:rPr>
        <w:t>Desigualdades sociais por cor ou raça no Brasil. Rio de Janeiro</w:t>
      </w:r>
      <w:r w:rsidRPr="006B0F6C">
        <w:rPr>
          <w:rFonts w:ascii="Arial" w:hAnsi="Arial" w:cs="Arial"/>
          <w:lang w:val="pt-BR"/>
        </w:rPr>
        <w:t>. IBGE. https://static.poder360.com.br/2022/11/IBGE-DESIGUALDADES-11.NV_.pdf.</w:t>
      </w:r>
    </w:p>
    <w:p w14:paraId="1B75ED85" w14:textId="77777777" w:rsidR="000876FC" w:rsidRPr="006B0F6C" w:rsidRDefault="000876FC" w:rsidP="000876FC">
      <w:pPr>
        <w:pStyle w:val="Bibliography"/>
        <w:spacing w:before="240"/>
        <w:jc w:val="both"/>
        <w:rPr>
          <w:rFonts w:ascii="Arial" w:hAnsi="Arial" w:cs="Arial"/>
        </w:rPr>
      </w:pPr>
      <w:r w:rsidRPr="006B0F6C">
        <w:rPr>
          <w:rFonts w:ascii="Arial" w:hAnsi="Arial" w:cs="Arial"/>
        </w:rPr>
        <w:t>Khan, M., Khan, H., Khan, S., &amp; Nawaz, M. (2020). Epidemiological and clinical characteristics of coronavirus disease (COVID-19) cases at a screening clinic during the early outbreak period: A single-</w:t>
      </w:r>
      <w:proofErr w:type="spellStart"/>
      <w:r w:rsidRPr="006B0F6C">
        <w:rPr>
          <w:rFonts w:ascii="Arial" w:hAnsi="Arial" w:cs="Arial"/>
        </w:rPr>
        <w:t>centre</w:t>
      </w:r>
      <w:proofErr w:type="spellEnd"/>
      <w:r w:rsidRPr="006B0F6C">
        <w:rPr>
          <w:rFonts w:ascii="Arial" w:hAnsi="Arial" w:cs="Arial"/>
        </w:rPr>
        <w:t xml:space="preserve"> study. </w:t>
      </w:r>
      <w:r w:rsidRPr="006B0F6C">
        <w:rPr>
          <w:rFonts w:ascii="Arial" w:hAnsi="Arial" w:cs="Arial"/>
          <w:i/>
          <w:iCs/>
        </w:rPr>
        <w:t>Journal of Medical Microbiology</w:t>
      </w:r>
      <w:r w:rsidRPr="006B0F6C">
        <w:rPr>
          <w:rFonts w:ascii="Arial" w:hAnsi="Arial" w:cs="Arial"/>
        </w:rPr>
        <w:t xml:space="preserve">, </w:t>
      </w:r>
      <w:r w:rsidRPr="006B0F6C">
        <w:rPr>
          <w:rFonts w:ascii="Arial" w:hAnsi="Arial" w:cs="Arial"/>
          <w:i/>
          <w:iCs/>
        </w:rPr>
        <w:t>69</w:t>
      </w:r>
      <w:r w:rsidRPr="006B0F6C">
        <w:rPr>
          <w:rFonts w:ascii="Arial" w:hAnsi="Arial" w:cs="Arial"/>
        </w:rPr>
        <w:t>(8), 1114–1123. https://doi.org/10.1099/jmm.0.001231</w:t>
      </w:r>
    </w:p>
    <w:p w14:paraId="1625D9F7" w14:textId="77777777" w:rsidR="000876FC" w:rsidRPr="006B0F6C" w:rsidRDefault="000876FC" w:rsidP="000876FC">
      <w:pPr>
        <w:pStyle w:val="Bibliography"/>
        <w:spacing w:before="240"/>
        <w:jc w:val="both"/>
        <w:rPr>
          <w:rFonts w:ascii="Arial" w:hAnsi="Arial" w:cs="Arial"/>
        </w:rPr>
      </w:pPr>
      <w:r w:rsidRPr="006B0F6C">
        <w:rPr>
          <w:rFonts w:ascii="Arial" w:hAnsi="Arial" w:cs="Arial"/>
        </w:rPr>
        <w:t xml:space="preserve">Kudoh, R., Komiya, K., Shinohara, A., Kageyama, T., Hiramatsu, K., &amp; Kadota, J. (2023). Marital status and post-COVID-19 conditions. </w:t>
      </w:r>
      <w:r w:rsidRPr="006B0F6C">
        <w:rPr>
          <w:rFonts w:ascii="Arial" w:hAnsi="Arial" w:cs="Arial"/>
          <w:i/>
          <w:iCs/>
        </w:rPr>
        <w:t>Respiratory Investigation</w:t>
      </w:r>
      <w:r w:rsidRPr="006B0F6C">
        <w:rPr>
          <w:rFonts w:ascii="Arial" w:hAnsi="Arial" w:cs="Arial"/>
        </w:rPr>
        <w:t xml:space="preserve">, </w:t>
      </w:r>
      <w:r w:rsidRPr="006B0F6C">
        <w:rPr>
          <w:rFonts w:ascii="Arial" w:hAnsi="Arial" w:cs="Arial"/>
          <w:i/>
          <w:iCs/>
        </w:rPr>
        <w:t>61</w:t>
      </w:r>
      <w:r w:rsidRPr="006B0F6C">
        <w:rPr>
          <w:rFonts w:ascii="Arial" w:hAnsi="Arial" w:cs="Arial"/>
        </w:rPr>
        <w:t>(2), 181–185. https://doi.org/10.1016/j.resinv.2023.01.001</w:t>
      </w:r>
    </w:p>
    <w:p w14:paraId="4527999E" w14:textId="77777777" w:rsidR="000876FC" w:rsidRPr="006B0F6C" w:rsidRDefault="000876FC" w:rsidP="000876FC">
      <w:pPr>
        <w:pStyle w:val="Bibliography"/>
        <w:spacing w:before="240"/>
        <w:jc w:val="both"/>
        <w:rPr>
          <w:rFonts w:ascii="Arial" w:hAnsi="Arial" w:cs="Arial"/>
        </w:rPr>
      </w:pPr>
      <w:r w:rsidRPr="006B0F6C">
        <w:rPr>
          <w:rFonts w:ascii="Arial" w:hAnsi="Arial" w:cs="Arial"/>
        </w:rPr>
        <w:t xml:space="preserve">Kurtz, P., Bastos, L. S. L., Dantas, L. F., Zampieri, F. G., Soares, M., Hamacher, S., </w:t>
      </w:r>
      <w:proofErr w:type="spellStart"/>
      <w:r w:rsidRPr="006B0F6C">
        <w:rPr>
          <w:rFonts w:ascii="Arial" w:hAnsi="Arial" w:cs="Arial"/>
        </w:rPr>
        <w:t>Salluh</w:t>
      </w:r>
      <w:proofErr w:type="spellEnd"/>
      <w:r w:rsidRPr="006B0F6C">
        <w:rPr>
          <w:rFonts w:ascii="Arial" w:hAnsi="Arial" w:cs="Arial"/>
        </w:rPr>
        <w:t xml:space="preserve">, J. I. F., &amp; Bozza, F. A. (2021). Evolving changes in mortality of 13,301 critically ill adult patients with COVID-19 over 8 months. </w:t>
      </w:r>
      <w:r w:rsidRPr="006B0F6C">
        <w:rPr>
          <w:rFonts w:ascii="Arial" w:hAnsi="Arial" w:cs="Arial"/>
          <w:i/>
          <w:iCs/>
        </w:rPr>
        <w:t>Intensive Care Medicine</w:t>
      </w:r>
      <w:r w:rsidRPr="006B0F6C">
        <w:rPr>
          <w:rFonts w:ascii="Arial" w:hAnsi="Arial" w:cs="Arial"/>
        </w:rPr>
        <w:t xml:space="preserve">, </w:t>
      </w:r>
      <w:r w:rsidRPr="006B0F6C">
        <w:rPr>
          <w:rFonts w:ascii="Arial" w:hAnsi="Arial" w:cs="Arial"/>
          <w:i/>
          <w:iCs/>
        </w:rPr>
        <w:t>47</w:t>
      </w:r>
      <w:r w:rsidRPr="006B0F6C">
        <w:rPr>
          <w:rFonts w:ascii="Arial" w:hAnsi="Arial" w:cs="Arial"/>
        </w:rPr>
        <w:t>(5), 538–548. https://doi.org/10.1007/s00134-021-06388-0</w:t>
      </w:r>
    </w:p>
    <w:p w14:paraId="1B3D27C7" w14:textId="77777777" w:rsidR="000876FC" w:rsidRPr="006B0F6C" w:rsidRDefault="000876FC" w:rsidP="000876FC">
      <w:pPr>
        <w:pStyle w:val="Bibliography"/>
        <w:spacing w:before="240"/>
        <w:jc w:val="both"/>
        <w:rPr>
          <w:rFonts w:ascii="Arial" w:hAnsi="Arial" w:cs="Arial"/>
        </w:rPr>
      </w:pPr>
      <w:r w:rsidRPr="006B0F6C">
        <w:rPr>
          <w:rFonts w:ascii="Arial" w:hAnsi="Arial" w:cs="Arial"/>
        </w:rPr>
        <w:t xml:space="preserve">Long, B., Carius, B. M., Chavez, S., Liang, S. Y., Brady, W. J., Koyfman, A., &amp; Gottlieb, M. (2022). Clinical update on COVID-19 for the emergency clinician: Presentation and evaluation. </w:t>
      </w:r>
      <w:r w:rsidRPr="006B0F6C">
        <w:rPr>
          <w:rFonts w:ascii="Arial" w:hAnsi="Arial" w:cs="Arial"/>
          <w:i/>
          <w:iCs/>
        </w:rPr>
        <w:t>The American Journal of Emergency Medicine</w:t>
      </w:r>
      <w:r w:rsidRPr="006B0F6C">
        <w:rPr>
          <w:rFonts w:ascii="Arial" w:hAnsi="Arial" w:cs="Arial"/>
        </w:rPr>
        <w:t xml:space="preserve">, </w:t>
      </w:r>
      <w:r w:rsidRPr="006B0F6C">
        <w:rPr>
          <w:rFonts w:ascii="Arial" w:hAnsi="Arial" w:cs="Arial"/>
          <w:i/>
          <w:iCs/>
        </w:rPr>
        <w:t>54</w:t>
      </w:r>
      <w:r w:rsidRPr="006B0F6C">
        <w:rPr>
          <w:rFonts w:ascii="Arial" w:hAnsi="Arial" w:cs="Arial"/>
        </w:rPr>
        <w:t>, 46–57. https://doi.org/10.1016/j.ajem.2022.01.028</w:t>
      </w:r>
    </w:p>
    <w:p w14:paraId="142BCDEB" w14:textId="77777777" w:rsidR="000876FC" w:rsidRPr="006B0F6C" w:rsidRDefault="000876FC" w:rsidP="000876FC">
      <w:pPr>
        <w:pStyle w:val="Bibliography"/>
        <w:spacing w:before="240"/>
        <w:jc w:val="both"/>
        <w:rPr>
          <w:rFonts w:ascii="Arial" w:hAnsi="Arial" w:cs="Arial"/>
          <w:lang w:val="pt-BR"/>
        </w:rPr>
      </w:pPr>
      <w:r w:rsidRPr="006B0F6C">
        <w:rPr>
          <w:rFonts w:ascii="Arial" w:hAnsi="Arial" w:cs="Arial"/>
          <w:lang w:val="pt-BR"/>
        </w:rPr>
        <w:t xml:space="preserve">Lopes Júnior, W., Paiva, E. M. das C., Cardoso, A. B. dos A., Costa, I. C. P., Ferreira, E. B., Bressan, V. R., &amp; Rezende, E. G. (2023). Religiosidade/espiritualidade entre a população brasileira diante da pandemia Covid-19 e a correlação com a qualidade de vida. </w:t>
      </w:r>
      <w:r w:rsidRPr="006B0F6C">
        <w:rPr>
          <w:rFonts w:ascii="Arial" w:hAnsi="Arial" w:cs="Arial"/>
          <w:i/>
          <w:iCs/>
          <w:lang w:val="pt-BR"/>
        </w:rPr>
        <w:t>Arq. ciências saúde UNIPAR</w:t>
      </w:r>
      <w:r w:rsidRPr="006B0F6C">
        <w:rPr>
          <w:rFonts w:ascii="Arial" w:hAnsi="Arial" w:cs="Arial"/>
          <w:lang w:val="pt-BR"/>
        </w:rPr>
        <w:t>, 948–966. https://revistas.unipar.br/index.php/saude/article/view/9407/4586</w:t>
      </w:r>
    </w:p>
    <w:p w14:paraId="6F8774EE" w14:textId="77777777" w:rsidR="000876FC" w:rsidRPr="006B0F6C" w:rsidRDefault="000876FC" w:rsidP="000876FC">
      <w:pPr>
        <w:pStyle w:val="Bibliography"/>
        <w:spacing w:before="240"/>
        <w:jc w:val="both"/>
        <w:rPr>
          <w:rFonts w:ascii="Arial" w:hAnsi="Arial" w:cs="Arial"/>
        </w:rPr>
      </w:pPr>
      <w:r w:rsidRPr="006B0F6C">
        <w:rPr>
          <w:rFonts w:ascii="Arial" w:hAnsi="Arial" w:cs="Arial"/>
        </w:rPr>
        <w:t xml:space="preserve">Mackey, K., Ayers, C. K., Kondo, K. K., Saha, S., Advani, S. M., Young, S., Spencer, H., Rusek, M., Anderson, J., Veazie, S., Smith, M., &amp; </w:t>
      </w:r>
      <w:proofErr w:type="spellStart"/>
      <w:r w:rsidRPr="006B0F6C">
        <w:rPr>
          <w:rFonts w:ascii="Arial" w:hAnsi="Arial" w:cs="Arial"/>
        </w:rPr>
        <w:t>Kansagara</w:t>
      </w:r>
      <w:proofErr w:type="spellEnd"/>
      <w:r w:rsidRPr="006B0F6C">
        <w:rPr>
          <w:rFonts w:ascii="Arial" w:hAnsi="Arial" w:cs="Arial"/>
        </w:rPr>
        <w:t xml:space="preserve">, D. (2021). Racial and Ethnic Disparities in COVID-19–Related Infections, Hospitalizations, and Deaths. </w:t>
      </w:r>
      <w:r w:rsidRPr="006B0F6C">
        <w:rPr>
          <w:rFonts w:ascii="Arial" w:hAnsi="Arial" w:cs="Arial"/>
          <w:i/>
          <w:iCs/>
        </w:rPr>
        <w:t>Annals of Internal Medicine</w:t>
      </w:r>
      <w:r w:rsidRPr="006B0F6C">
        <w:rPr>
          <w:rFonts w:ascii="Arial" w:hAnsi="Arial" w:cs="Arial"/>
        </w:rPr>
        <w:t xml:space="preserve">, </w:t>
      </w:r>
      <w:r w:rsidRPr="006B0F6C">
        <w:rPr>
          <w:rFonts w:ascii="Arial" w:hAnsi="Arial" w:cs="Arial"/>
          <w:i/>
          <w:iCs/>
        </w:rPr>
        <w:t>174</w:t>
      </w:r>
      <w:r w:rsidRPr="006B0F6C">
        <w:rPr>
          <w:rFonts w:ascii="Arial" w:hAnsi="Arial" w:cs="Arial"/>
        </w:rPr>
        <w:t>(3), 362–373. https://doi.org/10.7326/M20-6306</w:t>
      </w:r>
    </w:p>
    <w:p w14:paraId="3A9DB005" w14:textId="77777777" w:rsidR="000876FC" w:rsidRPr="006B0F6C" w:rsidRDefault="000876FC" w:rsidP="000876FC">
      <w:pPr>
        <w:pStyle w:val="Bibliography"/>
        <w:spacing w:before="240"/>
        <w:jc w:val="both"/>
        <w:rPr>
          <w:rFonts w:ascii="Arial" w:hAnsi="Arial" w:cs="Arial"/>
        </w:rPr>
      </w:pPr>
      <w:proofErr w:type="spellStart"/>
      <w:r w:rsidRPr="006B0F6C">
        <w:rPr>
          <w:rFonts w:ascii="Arial" w:hAnsi="Arial" w:cs="Arial"/>
        </w:rPr>
        <w:t>Mahalmani</w:t>
      </w:r>
      <w:proofErr w:type="spellEnd"/>
      <w:r w:rsidRPr="006B0F6C">
        <w:rPr>
          <w:rFonts w:ascii="Arial" w:hAnsi="Arial" w:cs="Arial"/>
        </w:rPr>
        <w:t xml:space="preserve">, V. M., Mahendru, D., Semwal, A., Kaur, S., Kaur, H., Sarma, P., Prakash, A., &amp; Medhi, B. (2020). COVID-19 pandemic: A review based on current evidence. </w:t>
      </w:r>
      <w:r w:rsidRPr="006B0F6C">
        <w:rPr>
          <w:rFonts w:ascii="Arial" w:hAnsi="Arial" w:cs="Arial"/>
          <w:i/>
          <w:iCs/>
        </w:rPr>
        <w:t>Indian Journal of Pharmacology</w:t>
      </w:r>
      <w:r w:rsidRPr="006B0F6C">
        <w:rPr>
          <w:rFonts w:ascii="Arial" w:hAnsi="Arial" w:cs="Arial"/>
        </w:rPr>
        <w:t xml:space="preserve">, </w:t>
      </w:r>
      <w:r w:rsidRPr="006B0F6C">
        <w:rPr>
          <w:rFonts w:ascii="Arial" w:hAnsi="Arial" w:cs="Arial"/>
          <w:i/>
          <w:iCs/>
        </w:rPr>
        <w:t>52</w:t>
      </w:r>
      <w:r w:rsidRPr="006B0F6C">
        <w:rPr>
          <w:rFonts w:ascii="Arial" w:hAnsi="Arial" w:cs="Arial"/>
        </w:rPr>
        <w:t>(2), 117. https://doi.org/10.4103/ijp.IJP_310_20</w:t>
      </w:r>
    </w:p>
    <w:p w14:paraId="4E767679" w14:textId="77777777" w:rsidR="000876FC" w:rsidRPr="006B0F6C" w:rsidRDefault="000876FC" w:rsidP="000876FC">
      <w:pPr>
        <w:pStyle w:val="Bibliography"/>
        <w:spacing w:before="240"/>
        <w:jc w:val="both"/>
        <w:rPr>
          <w:rFonts w:ascii="Arial" w:hAnsi="Arial" w:cs="Arial"/>
          <w:lang w:val="es-419"/>
        </w:rPr>
      </w:pPr>
      <w:r w:rsidRPr="006B0F6C">
        <w:rPr>
          <w:rFonts w:ascii="Arial" w:hAnsi="Arial" w:cs="Arial"/>
          <w:lang w:val="es-419"/>
        </w:rPr>
        <w:t xml:space="preserve">Martínez Chamorro, E., Díez Tascón, A., Ibáñez Sanz, L., </w:t>
      </w:r>
      <w:proofErr w:type="spellStart"/>
      <w:r w:rsidRPr="006B0F6C">
        <w:rPr>
          <w:rFonts w:ascii="Arial" w:hAnsi="Arial" w:cs="Arial"/>
          <w:lang w:val="es-419"/>
        </w:rPr>
        <w:t>Ossaba</w:t>
      </w:r>
      <w:proofErr w:type="spellEnd"/>
      <w:r w:rsidRPr="006B0F6C">
        <w:rPr>
          <w:rFonts w:ascii="Arial" w:hAnsi="Arial" w:cs="Arial"/>
          <w:lang w:val="es-419"/>
        </w:rPr>
        <w:t xml:space="preserve"> Vélez, S., &amp; Borruel </w:t>
      </w:r>
      <w:proofErr w:type="spellStart"/>
      <w:r w:rsidRPr="006B0F6C">
        <w:rPr>
          <w:rFonts w:ascii="Arial" w:hAnsi="Arial" w:cs="Arial"/>
          <w:lang w:val="es-419"/>
        </w:rPr>
        <w:t>Nacenta</w:t>
      </w:r>
      <w:proofErr w:type="spellEnd"/>
      <w:r w:rsidRPr="006B0F6C">
        <w:rPr>
          <w:rFonts w:ascii="Arial" w:hAnsi="Arial" w:cs="Arial"/>
          <w:lang w:val="es-419"/>
        </w:rPr>
        <w:t xml:space="preserve">, S. (2021). Diagnóstico radiológico del paciente con COVID-19. </w:t>
      </w:r>
      <w:r w:rsidRPr="006B0F6C">
        <w:rPr>
          <w:rFonts w:ascii="Arial" w:hAnsi="Arial" w:cs="Arial"/>
          <w:i/>
          <w:iCs/>
          <w:lang w:val="es-419"/>
        </w:rPr>
        <w:t>Radiología</w:t>
      </w:r>
      <w:r w:rsidRPr="006B0F6C">
        <w:rPr>
          <w:rFonts w:ascii="Arial" w:hAnsi="Arial" w:cs="Arial"/>
          <w:lang w:val="es-419"/>
        </w:rPr>
        <w:t xml:space="preserve">, </w:t>
      </w:r>
      <w:r w:rsidRPr="006B0F6C">
        <w:rPr>
          <w:rFonts w:ascii="Arial" w:hAnsi="Arial" w:cs="Arial"/>
          <w:i/>
          <w:iCs/>
          <w:lang w:val="es-419"/>
        </w:rPr>
        <w:t>63</w:t>
      </w:r>
      <w:r w:rsidRPr="006B0F6C">
        <w:rPr>
          <w:rFonts w:ascii="Arial" w:hAnsi="Arial" w:cs="Arial"/>
          <w:lang w:val="es-419"/>
        </w:rPr>
        <w:t>(1), 56–73. https://doi.org/10.1016/j.rx.2020.11.001</w:t>
      </w:r>
    </w:p>
    <w:p w14:paraId="31ABE4D0" w14:textId="77777777" w:rsidR="000876FC" w:rsidRPr="006B0F6C" w:rsidRDefault="000876FC" w:rsidP="000876FC">
      <w:pPr>
        <w:pStyle w:val="Bibliography"/>
        <w:spacing w:before="240"/>
        <w:jc w:val="both"/>
        <w:rPr>
          <w:rFonts w:ascii="Arial" w:hAnsi="Arial" w:cs="Arial"/>
          <w:lang w:val="pt-BR"/>
        </w:rPr>
      </w:pPr>
      <w:r w:rsidRPr="006B0F6C">
        <w:rPr>
          <w:rFonts w:ascii="Arial" w:hAnsi="Arial" w:cs="Arial"/>
          <w:lang w:val="pt-BR"/>
        </w:rPr>
        <w:t xml:space="preserve">Monteiro, K. S., Waters, C., &amp; Rosa, R. F. (2022). Perfil sociodemográfico, clínico, complicações e desfecho de pacientes internados com COVID-19 em uma Unidade de Terapia Intensiva / Sociodemographic and clinical profile, complications and outcome of patients hospitalized with COVID-19 in an Intensive Care Unit. </w:t>
      </w:r>
      <w:r w:rsidRPr="006B0F6C">
        <w:rPr>
          <w:rFonts w:ascii="Arial" w:hAnsi="Arial" w:cs="Arial"/>
          <w:i/>
          <w:iCs/>
          <w:lang w:val="pt-BR"/>
        </w:rPr>
        <w:t>Arquivos Médicos dos Hospitais e da Faculdade de Ciências Médicas da Santa Casa de São Paulo</w:t>
      </w:r>
      <w:r w:rsidRPr="006B0F6C">
        <w:rPr>
          <w:rFonts w:ascii="Arial" w:hAnsi="Arial" w:cs="Arial"/>
          <w:lang w:val="pt-BR"/>
        </w:rPr>
        <w:t>, 1 of 10–11 10. https://doi.org/10.26432/1809-3019.2022.67.027</w:t>
      </w:r>
    </w:p>
    <w:p w14:paraId="2A75C5C6" w14:textId="77777777" w:rsidR="000876FC" w:rsidRPr="006B0F6C" w:rsidRDefault="000876FC" w:rsidP="000876FC">
      <w:pPr>
        <w:pStyle w:val="Bibliography"/>
        <w:spacing w:before="240"/>
        <w:jc w:val="both"/>
        <w:rPr>
          <w:rFonts w:ascii="Arial" w:hAnsi="Arial" w:cs="Arial"/>
          <w:lang w:val="pt-BR"/>
        </w:rPr>
      </w:pPr>
      <w:r w:rsidRPr="006B0F6C">
        <w:rPr>
          <w:rFonts w:ascii="Arial" w:hAnsi="Arial" w:cs="Arial"/>
          <w:lang w:val="pt-BR"/>
        </w:rPr>
        <w:lastRenderedPageBreak/>
        <w:t xml:space="preserve">Nachtigall, I., Lenga, P., Jóźwiak, K., Thürmann, P., Meier-Hellmann, A., Kuhlen, R., Brederlau, J., Bauer, T., Tebbenjohanns, J., Schwegmann, K., Hauptmann, M., &amp; Dengler, J. (2020). </w:t>
      </w:r>
      <w:r w:rsidRPr="006B0F6C">
        <w:rPr>
          <w:rFonts w:ascii="Arial" w:hAnsi="Arial" w:cs="Arial"/>
        </w:rPr>
        <w:t xml:space="preserve">Clinical course and factors associated with outcomes among 1904 patients hospitalized with COVID-19 in Germany: An observational study. </w:t>
      </w:r>
      <w:r w:rsidRPr="006B0F6C">
        <w:rPr>
          <w:rFonts w:ascii="Arial" w:hAnsi="Arial" w:cs="Arial"/>
          <w:i/>
          <w:iCs/>
          <w:lang w:val="pt-BR"/>
        </w:rPr>
        <w:t>Clinical Microbiology and Infection</w:t>
      </w:r>
      <w:r w:rsidRPr="006B0F6C">
        <w:rPr>
          <w:rFonts w:ascii="Arial" w:hAnsi="Arial" w:cs="Arial"/>
          <w:lang w:val="pt-BR"/>
        </w:rPr>
        <w:t xml:space="preserve">, </w:t>
      </w:r>
      <w:r w:rsidRPr="006B0F6C">
        <w:rPr>
          <w:rFonts w:ascii="Arial" w:hAnsi="Arial" w:cs="Arial"/>
          <w:i/>
          <w:iCs/>
          <w:lang w:val="pt-BR"/>
        </w:rPr>
        <w:t>26</w:t>
      </w:r>
      <w:r w:rsidRPr="006B0F6C">
        <w:rPr>
          <w:rFonts w:ascii="Arial" w:hAnsi="Arial" w:cs="Arial"/>
          <w:lang w:val="pt-BR"/>
        </w:rPr>
        <w:t>(12), 1663–1669. https://doi.org/10.1016/j.cmi.2020.08.011</w:t>
      </w:r>
    </w:p>
    <w:p w14:paraId="0330F7FA" w14:textId="77777777" w:rsidR="000876FC" w:rsidRPr="006B0F6C" w:rsidRDefault="000876FC" w:rsidP="000876FC">
      <w:pPr>
        <w:pStyle w:val="Bibliography"/>
        <w:spacing w:before="240"/>
        <w:jc w:val="both"/>
        <w:rPr>
          <w:rFonts w:ascii="Arial" w:hAnsi="Arial" w:cs="Arial"/>
        </w:rPr>
      </w:pPr>
      <w:r w:rsidRPr="006B0F6C">
        <w:rPr>
          <w:rFonts w:ascii="Arial" w:hAnsi="Arial" w:cs="Arial"/>
          <w:lang w:val="pt-BR"/>
        </w:rPr>
        <w:t xml:space="preserve">Organização Pan-Americana de Saúde. (2020, março 11). </w:t>
      </w:r>
      <w:r w:rsidRPr="006B0F6C">
        <w:rPr>
          <w:rFonts w:ascii="Arial" w:hAnsi="Arial" w:cs="Arial"/>
          <w:i/>
          <w:iCs/>
          <w:lang w:val="pt-BR"/>
        </w:rPr>
        <w:t>OMS afirma que COVID-19 é agora caracterizada como pandemia—OPAS/OMS | Organização Pan-Americana da Saúde</w:t>
      </w:r>
      <w:r w:rsidRPr="006B0F6C">
        <w:rPr>
          <w:rFonts w:ascii="Arial" w:hAnsi="Arial" w:cs="Arial"/>
          <w:lang w:val="pt-BR"/>
        </w:rPr>
        <w:t xml:space="preserve">. </w:t>
      </w:r>
      <w:r w:rsidRPr="006B0F6C">
        <w:rPr>
          <w:rFonts w:ascii="Arial" w:hAnsi="Arial" w:cs="Arial"/>
        </w:rPr>
        <w:t>OPAS. https://www.paho.org/pt/news/11-3-2020-who-characterizes-covid-19-pandemic</w:t>
      </w:r>
    </w:p>
    <w:p w14:paraId="08A5EA65" w14:textId="77777777" w:rsidR="000876FC" w:rsidRPr="006B0F6C" w:rsidRDefault="000876FC" w:rsidP="000876FC">
      <w:pPr>
        <w:pStyle w:val="Bibliography"/>
        <w:spacing w:before="240"/>
        <w:jc w:val="both"/>
        <w:rPr>
          <w:rFonts w:ascii="Arial" w:hAnsi="Arial" w:cs="Arial"/>
        </w:rPr>
      </w:pPr>
      <w:r w:rsidRPr="006B0F6C">
        <w:rPr>
          <w:rFonts w:ascii="Arial" w:hAnsi="Arial" w:cs="Arial"/>
        </w:rPr>
        <w:t xml:space="preserve">Parasher, A. (2021). COVID-19: Current understanding of its Pathophysiology, Clinical presentation and Treatment. </w:t>
      </w:r>
      <w:r w:rsidRPr="006B0F6C">
        <w:rPr>
          <w:rFonts w:ascii="Arial" w:hAnsi="Arial" w:cs="Arial"/>
          <w:i/>
          <w:iCs/>
        </w:rPr>
        <w:t>Postgraduate Medical Journal</w:t>
      </w:r>
      <w:r w:rsidRPr="006B0F6C">
        <w:rPr>
          <w:rFonts w:ascii="Arial" w:hAnsi="Arial" w:cs="Arial"/>
        </w:rPr>
        <w:t xml:space="preserve">, </w:t>
      </w:r>
      <w:r w:rsidRPr="006B0F6C">
        <w:rPr>
          <w:rFonts w:ascii="Arial" w:hAnsi="Arial" w:cs="Arial"/>
          <w:i/>
          <w:iCs/>
        </w:rPr>
        <w:t>97</w:t>
      </w:r>
      <w:r w:rsidRPr="006B0F6C">
        <w:rPr>
          <w:rFonts w:ascii="Arial" w:hAnsi="Arial" w:cs="Arial"/>
        </w:rPr>
        <w:t>(1147), 312–320. https://doi.org/10.1136/postgradmedj-2020-138577</w:t>
      </w:r>
    </w:p>
    <w:p w14:paraId="601DDD7D" w14:textId="77777777" w:rsidR="000876FC" w:rsidRPr="006B0F6C" w:rsidRDefault="000876FC" w:rsidP="000876FC">
      <w:pPr>
        <w:pStyle w:val="Bibliography"/>
        <w:spacing w:before="240"/>
        <w:jc w:val="both"/>
        <w:rPr>
          <w:rFonts w:ascii="Arial" w:hAnsi="Arial" w:cs="Arial"/>
          <w:lang w:val="pt-BR"/>
        </w:rPr>
      </w:pPr>
      <w:proofErr w:type="spellStart"/>
      <w:r w:rsidRPr="006B0F6C">
        <w:rPr>
          <w:rFonts w:ascii="Arial" w:hAnsi="Arial" w:cs="Arial"/>
        </w:rPr>
        <w:t>Pijls</w:t>
      </w:r>
      <w:proofErr w:type="spellEnd"/>
      <w:r w:rsidRPr="006B0F6C">
        <w:rPr>
          <w:rFonts w:ascii="Arial" w:hAnsi="Arial" w:cs="Arial"/>
        </w:rPr>
        <w:t xml:space="preserve">, B. G., Jolani, S., Atherley, A., </w:t>
      </w:r>
      <w:proofErr w:type="spellStart"/>
      <w:r w:rsidRPr="006B0F6C">
        <w:rPr>
          <w:rFonts w:ascii="Arial" w:hAnsi="Arial" w:cs="Arial"/>
        </w:rPr>
        <w:t>Derckx</w:t>
      </w:r>
      <w:proofErr w:type="spellEnd"/>
      <w:r w:rsidRPr="006B0F6C">
        <w:rPr>
          <w:rFonts w:ascii="Arial" w:hAnsi="Arial" w:cs="Arial"/>
        </w:rPr>
        <w:t xml:space="preserve">, R. T., Dijkstra, J. I. R., Franssen, G. H. L., Hendriks, S., Richters, A., </w:t>
      </w:r>
      <w:proofErr w:type="spellStart"/>
      <w:r w:rsidRPr="006B0F6C">
        <w:rPr>
          <w:rFonts w:ascii="Arial" w:hAnsi="Arial" w:cs="Arial"/>
        </w:rPr>
        <w:t>Venemans-Jellema</w:t>
      </w:r>
      <w:proofErr w:type="spellEnd"/>
      <w:r w:rsidRPr="006B0F6C">
        <w:rPr>
          <w:rFonts w:ascii="Arial" w:hAnsi="Arial" w:cs="Arial"/>
        </w:rPr>
        <w:t xml:space="preserve">, A., Zalpuri, S., &amp; Zeegers, M. P. (2021). Demographic risk factors for COVID-19 infection, severity, ICU admission and death: A meta-analysis of 59 studies. </w:t>
      </w:r>
      <w:r w:rsidRPr="006B0F6C">
        <w:rPr>
          <w:rFonts w:ascii="Arial" w:hAnsi="Arial" w:cs="Arial"/>
          <w:i/>
          <w:iCs/>
          <w:lang w:val="pt-BR"/>
        </w:rPr>
        <w:t>BMJ Open</w:t>
      </w:r>
      <w:r w:rsidRPr="006B0F6C">
        <w:rPr>
          <w:rFonts w:ascii="Arial" w:hAnsi="Arial" w:cs="Arial"/>
          <w:lang w:val="pt-BR"/>
        </w:rPr>
        <w:t xml:space="preserve">, </w:t>
      </w:r>
      <w:r w:rsidRPr="006B0F6C">
        <w:rPr>
          <w:rFonts w:ascii="Arial" w:hAnsi="Arial" w:cs="Arial"/>
          <w:i/>
          <w:iCs/>
          <w:lang w:val="pt-BR"/>
        </w:rPr>
        <w:t>11</w:t>
      </w:r>
      <w:r w:rsidRPr="006B0F6C">
        <w:rPr>
          <w:rFonts w:ascii="Arial" w:hAnsi="Arial" w:cs="Arial"/>
          <w:lang w:val="pt-BR"/>
        </w:rPr>
        <w:t>(1), e044640. https://doi.org/10.1136/bmjopen-2020-044640</w:t>
      </w:r>
    </w:p>
    <w:p w14:paraId="74C6E91A" w14:textId="77777777" w:rsidR="000876FC" w:rsidRPr="006B0F6C" w:rsidRDefault="000876FC" w:rsidP="000876FC">
      <w:pPr>
        <w:pStyle w:val="Bibliography"/>
        <w:spacing w:before="240"/>
        <w:jc w:val="both"/>
        <w:rPr>
          <w:rFonts w:ascii="Arial" w:hAnsi="Arial" w:cs="Arial"/>
        </w:rPr>
      </w:pPr>
      <w:r w:rsidRPr="006B0F6C">
        <w:rPr>
          <w:rFonts w:ascii="Arial" w:hAnsi="Arial" w:cs="Arial"/>
          <w:lang w:val="pt-BR"/>
        </w:rPr>
        <w:t xml:space="preserve">Ranzani, O. T., Bastos, L. S. L., Gelli, J. G. M., Marchesi, J. F., Baião, F., Hamacher, S., &amp; Bozza, F. A. (2021). </w:t>
      </w:r>
      <w:proofErr w:type="spellStart"/>
      <w:r w:rsidRPr="006B0F6C">
        <w:rPr>
          <w:rFonts w:ascii="Arial" w:hAnsi="Arial" w:cs="Arial"/>
        </w:rPr>
        <w:t>Characterisation</w:t>
      </w:r>
      <w:proofErr w:type="spellEnd"/>
      <w:r w:rsidRPr="006B0F6C">
        <w:rPr>
          <w:rFonts w:ascii="Arial" w:hAnsi="Arial" w:cs="Arial"/>
        </w:rPr>
        <w:t xml:space="preserve"> of the first 250 000 hospital admissions for COVID-19 in Brazil: A retrospective analysis of nationwide data. </w:t>
      </w:r>
      <w:r w:rsidRPr="006B0F6C">
        <w:rPr>
          <w:rFonts w:ascii="Arial" w:hAnsi="Arial" w:cs="Arial"/>
          <w:i/>
          <w:iCs/>
        </w:rPr>
        <w:t>The Lancet Respiratory Medicine</w:t>
      </w:r>
      <w:r w:rsidRPr="006B0F6C">
        <w:rPr>
          <w:rFonts w:ascii="Arial" w:hAnsi="Arial" w:cs="Arial"/>
        </w:rPr>
        <w:t xml:space="preserve">, </w:t>
      </w:r>
      <w:r w:rsidRPr="006B0F6C">
        <w:rPr>
          <w:rFonts w:ascii="Arial" w:hAnsi="Arial" w:cs="Arial"/>
          <w:i/>
          <w:iCs/>
        </w:rPr>
        <w:t>9</w:t>
      </w:r>
      <w:r w:rsidRPr="006B0F6C">
        <w:rPr>
          <w:rFonts w:ascii="Arial" w:hAnsi="Arial" w:cs="Arial"/>
        </w:rPr>
        <w:t>(4), 407–418. https://doi.org/10.1016/S2213-2600(20)30560-9</w:t>
      </w:r>
    </w:p>
    <w:p w14:paraId="0DE98029" w14:textId="77777777" w:rsidR="000876FC" w:rsidRPr="006B0F6C" w:rsidRDefault="000876FC" w:rsidP="000876FC">
      <w:pPr>
        <w:pStyle w:val="Bibliography"/>
        <w:spacing w:before="240"/>
        <w:jc w:val="both"/>
        <w:rPr>
          <w:rFonts w:ascii="Arial" w:hAnsi="Arial" w:cs="Arial"/>
        </w:rPr>
      </w:pPr>
      <w:r w:rsidRPr="006B0F6C">
        <w:rPr>
          <w:rFonts w:ascii="Arial" w:hAnsi="Arial" w:cs="Arial"/>
        </w:rPr>
        <w:t xml:space="preserve">Simons, D., Shahab, L., Brown, J., &amp; Perski, O. (2021). The association of smoking status with SARS-CoV-2 infection, hospitalization and mortality from COVID-19: A living rapid evidence review with Bayesian meta-analyses (version 7). </w:t>
      </w:r>
      <w:r w:rsidRPr="006B0F6C">
        <w:rPr>
          <w:rFonts w:ascii="Arial" w:hAnsi="Arial" w:cs="Arial"/>
          <w:i/>
          <w:iCs/>
        </w:rPr>
        <w:t>Addiction</w:t>
      </w:r>
      <w:r w:rsidRPr="006B0F6C">
        <w:rPr>
          <w:rFonts w:ascii="Arial" w:hAnsi="Arial" w:cs="Arial"/>
        </w:rPr>
        <w:t xml:space="preserve">, </w:t>
      </w:r>
      <w:r w:rsidRPr="006B0F6C">
        <w:rPr>
          <w:rFonts w:ascii="Arial" w:hAnsi="Arial" w:cs="Arial"/>
          <w:i/>
          <w:iCs/>
        </w:rPr>
        <w:t>116</w:t>
      </w:r>
      <w:r w:rsidRPr="006B0F6C">
        <w:rPr>
          <w:rFonts w:ascii="Arial" w:hAnsi="Arial" w:cs="Arial"/>
        </w:rPr>
        <w:t>(6), 1319–1368. https://doi.org/10.1111/add.15276</w:t>
      </w:r>
    </w:p>
    <w:p w14:paraId="51E66628" w14:textId="77777777" w:rsidR="000876FC" w:rsidRPr="006B0F6C" w:rsidRDefault="000876FC" w:rsidP="000876FC">
      <w:pPr>
        <w:pStyle w:val="Bibliography"/>
        <w:spacing w:before="240"/>
        <w:jc w:val="both"/>
        <w:rPr>
          <w:rFonts w:ascii="Arial" w:hAnsi="Arial" w:cs="Arial"/>
        </w:rPr>
      </w:pPr>
      <w:r w:rsidRPr="006B0F6C">
        <w:rPr>
          <w:rFonts w:ascii="Arial" w:hAnsi="Arial" w:cs="Arial"/>
        </w:rPr>
        <w:t xml:space="preserve">Singh, </w:t>
      </w:r>
      <w:proofErr w:type="spellStart"/>
      <w:r w:rsidRPr="006B0F6C">
        <w:rPr>
          <w:rFonts w:ascii="Arial" w:hAnsi="Arial" w:cs="Arial"/>
        </w:rPr>
        <w:t>Awadhesh</w:t>
      </w:r>
      <w:proofErr w:type="spellEnd"/>
      <w:r w:rsidRPr="006B0F6C">
        <w:rPr>
          <w:rFonts w:ascii="Arial" w:hAnsi="Arial" w:cs="Arial"/>
        </w:rPr>
        <w:t xml:space="preserve"> Kumar &amp; </w:t>
      </w:r>
      <w:proofErr w:type="spellStart"/>
      <w:r w:rsidRPr="006B0F6C">
        <w:rPr>
          <w:rFonts w:ascii="Arial" w:hAnsi="Arial" w:cs="Arial"/>
        </w:rPr>
        <w:t>Khunti</w:t>
      </w:r>
      <w:proofErr w:type="spellEnd"/>
      <w:r w:rsidRPr="006B0F6C">
        <w:rPr>
          <w:rFonts w:ascii="Arial" w:hAnsi="Arial" w:cs="Arial"/>
        </w:rPr>
        <w:t xml:space="preserve">, Kamlesh. (2022). COVID-19 and Diabetes. </w:t>
      </w:r>
      <w:r w:rsidRPr="006B0F6C">
        <w:rPr>
          <w:rFonts w:ascii="Arial" w:hAnsi="Arial" w:cs="Arial"/>
          <w:i/>
          <w:iCs/>
        </w:rPr>
        <w:t>Annual Review of Medicine</w:t>
      </w:r>
      <w:r w:rsidRPr="006B0F6C">
        <w:rPr>
          <w:rFonts w:ascii="Arial" w:hAnsi="Arial" w:cs="Arial"/>
        </w:rPr>
        <w:t xml:space="preserve">, </w:t>
      </w:r>
      <w:r w:rsidRPr="006B0F6C">
        <w:rPr>
          <w:rFonts w:ascii="Arial" w:hAnsi="Arial" w:cs="Arial"/>
          <w:i/>
          <w:iCs/>
        </w:rPr>
        <w:t>73</w:t>
      </w:r>
      <w:r w:rsidRPr="006B0F6C">
        <w:rPr>
          <w:rFonts w:ascii="Arial" w:hAnsi="Arial" w:cs="Arial"/>
        </w:rPr>
        <w:t>, 129–147. https://doi.org/10.1146/annurev-med-042220-011857</w:t>
      </w:r>
    </w:p>
    <w:p w14:paraId="0EE9EE64" w14:textId="77777777" w:rsidR="000876FC" w:rsidRPr="006B0F6C" w:rsidRDefault="000876FC" w:rsidP="000876FC">
      <w:pPr>
        <w:pStyle w:val="Bibliography"/>
        <w:spacing w:before="240"/>
        <w:jc w:val="both"/>
        <w:rPr>
          <w:rFonts w:ascii="Arial" w:hAnsi="Arial" w:cs="Arial"/>
        </w:rPr>
      </w:pPr>
      <w:r w:rsidRPr="006B0F6C">
        <w:rPr>
          <w:rFonts w:ascii="Arial" w:hAnsi="Arial" w:cs="Arial"/>
        </w:rPr>
        <w:t xml:space="preserve">Singh, M. K., Mobeen, A., Chandra, A., Joshi, S., &amp; Ramachandran, S. (2021). A meta-analysis of comorbidities in COVID-19: Which diseases increase the susceptibility of SARS-CoV-2 infection? </w:t>
      </w:r>
      <w:r w:rsidRPr="006B0F6C">
        <w:rPr>
          <w:rFonts w:ascii="Arial" w:hAnsi="Arial" w:cs="Arial"/>
          <w:i/>
          <w:iCs/>
        </w:rPr>
        <w:t>Computers in Biology and Medicine</w:t>
      </w:r>
      <w:r w:rsidRPr="006B0F6C">
        <w:rPr>
          <w:rFonts w:ascii="Arial" w:hAnsi="Arial" w:cs="Arial"/>
        </w:rPr>
        <w:t xml:space="preserve">, </w:t>
      </w:r>
      <w:r w:rsidRPr="006B0F6C">
        <w:rPr>
          <w:rFonts w:ascii="Arial" w:hAnsi="Arial" w:cs="Arial"/>
          <w:i/>
          <w:iCs/>
        </w:rPr>
        <w:t>130</w:t>
      </w:r>
      <w:r w:rsidRPr="006B0F6C">
        <w:rPr>
          <w:rFonts w:ascii="Arial" w:hAnsi="Arial" w:cs="Arial"/>
        </w:rPr>
        <w:t>, 104219. https://doi.org/10.1016/j.compbiomed.2021.104219</w:t>
      </w:r>
    </w:p>
    <w:p w14:paraId="3F6B2E59" w14:textId="77777777" w:rsidR="000876FC" w:rsidRPr="006B0F6C" w:rsidRDefault="000876FC" w:rsidP="000876FC">
      <w:pPr>
        <w:pStyle w:val="Bibliography"/>
        <w:spacing w:before="240"/>
        <w:jc w:val="both"/>
        <w:rPr>
          <w:rFonts w:ascii="Arial" w:hAnsi="Arial" w:cs="Arial"/>
        </w:rPr>
      </w:pPr>
      <w:r w:rsidRPr="006B0F6C">
        <w:rPr>
          <w:rFonts w:ascii="Arial" w:hAnsi="Arial" w:cs="Arial"/>
        </w:rPr>
        <w:t xml:space="preserve">Singh, N., Singh, P., Singh, V., Krishna, A., &amp; Singh, S. (2021). Comprehensive study on clinical responses and socioeconomic characteristics of COVID-19 patients during outbreak. </w:t>
      </w:r>
      <w:r w:rsidRPr="006B0F6C">
        <w:rPr>
          <w:rFonts w:ascii="Arial" w:hAnsi="Arial" w:cs="Arial"/>
          <w:i/>
          <w:iCs/>
        </w:rPr>
        <w:t>Journal of Family Medicine and Primary Care</w:t>
      </w:r>
      <w:r w:rsidRPr="006B0F6C">
        <w:rPr>
          <w:rFonts w:ascii="Arial" w:hAnsi="Arial" w:cs="Arial"/>
        </w:rPr>
        <w:t xml:space="preserve">, </w:t>
      </w:r>
      <w:r w:rsidRPr="006B0F6C">
        <w:rPr>
          <w:rFonts w:ascii="Arial" w:hAnsi="Arial" w:cs="Arial"/>
          <w:i/>
          <w:iCs/>
        </w:rPr>
        <w:t>10</w:t>
      </w:r>
      <w:r w:rsidRPr="006B0F6C">
        <w:rPr>
          <w:rFonts w:ascii="Arial" w:hAnsi="Arial" w:cs="Arial"/>
        </w:rPr>
        <w:t>(11), 4002. https://doi.org/10.4103/jfmpc.jfmpc_579_21</w:t>
      </w:r>
    </w:p>
    <w:p w14:paraId="0DDDD2C5" w14:textId="77777777" w:rsidR="000876FC" w:rsidRPr="006B0F6C" w:rsidRDefault="000876FC" w:rsidP="000876FC">
      <w:pPr>
        <w:pStyle w:val="Bibliography"/>
        <w:spacing w:before="240"/>
        <w:jc w:val="both"/>
        <w:rPr>
          <w:rFonts w:ascii="Arial" w:hAnsi="Arial" w:cs="Arial"/>
          <w:lang w:val="pt-BR"/>
        </w:rPr>
      </w:pPr>
      <w:r w:rsidRPr="006B0F6C">
        <w:rPr>
          <w:rFonts w:ascii="Arial" w:hAnsi="Arial" w:cs="Arial"/>
          <w:lang w:val="pt-BR"/>
        </w:rPr>
        <w:t xml:space="preserve">Sousa, E. L. de, Gaído, S. B., Sousa, R. A. de, Cardoso, O. de O., Matos Neto, E. M. de, Menezes Júnior, J. M. P. de, Oliveira, B. F. A. de, &amp; Aguiar, B. G. A. (2022). Perfil de internações e óbitos hospitalares por síndrome respiratória aguda grave causada por COVID-19 no Piauí: Estudo descritivo, 2020-2021. </w:t>
      </w:r>
      <w:r w:rsidRPr="006B0F6C">
        <w:rPr>
          <w:rFonts w:ascii="Arial" w:hAnsi="Arial" w:cs="Arial"/>
          <w:i/>
          <w:iCs/>
          <w:lang w:val="pt-BR"/>
        </w:rPr>
        <w:t>Epidemiologia e Serviços de Saúde</w:t>
      </w:r>
      <w:r w:rsidRPr="006B0F6C">
        <w:rPr>
          <w:rFonts w:ascii="Arial" w:hAnsi="Arial" w:cs="Arial"/>
          <w:lang w:val="pt-BR"/>
        </w:rPr>
        <w:t xml:space="preserve">, </w:t>
      </w:r>
      <w:r w:rsidRPr="006B0F6C">
        <w:rPr>
          <w:rFonts w:ascii="Arial" w:hAnsi="Arial" w:cs="Arial"/>
          <w:i/>
          <w:iCs/>
          <w:lang w:val="pt-BR"/>
        </w:rPr>
        <w:t>31</w:t>
      </w:r>
      <w:r w:rsidRPr="006B0F6C">
        <w:rPr>
          <w:rFonts w:ascii="Arial" w:hAnsi="Arial" w:cs="Arial"/>
          <w:lang w:val="pt-BR"/>
        </w:rPr>
        <w:t>, e2021836. https://doi.org/10.1590/S1679-49742022000100009</w:t>
      </w:r>
    </w:p>
    <w:p w14:paraId="11EB7928" w14:textId="77777777" w:rsidR="000876FC" w:rsidRPr="006B0F6C" w:rsidRDefault="000876FC" w:rsidP="000876FC">
      <w:pPr>
        <w:pStyle w:val="Bibliography"/>
        <w:spacing w:before="240"/>
        <w:jc w:val="both"/>
        <w:rPr>
          <w:rFonts w:ascii="Arial" w:hAnsi="Arial" w:cs="Arial"/>
          <w:lang w:val="pt-BR"/>
        </w:rPr>
      </w:pPr>
      <w:r w:rsidRPr="006B0F6C">
        <w:rPr>
          <w:rFonts w:ascii="Arial" w:hAnsi="Arial" w:cs="Arial"/>
          <w:lang w:val="pt-BR"/>
        </w:rPr>
        <w:t xml:space="preserve">Souza Filho, Z. A. de, Nemer, C. R. B., Teixeira, E., Neves, A. L. M. das, Nascimento, M. H. M., Medeiros, H. P., Panarra, B. A. C. e S., Lima, P. A. V., Gigante, V. C. G., &amp; Oliveira, V. L. G. de. (2021). Fatores associados ao enfrentamento da pandemia da COVID-19 por pessoas idosas com comorbidades. </w:t>
      </w:r>
      <w:r w:rsidRPr="006B0F6C">
        <w:rPr>
          <w:rFonts w:ascii="Arial" w:hAnsi="Arial" w:cs="Arial"/>
          <w:i/>
          <w:iCs/>
          <w:lang w:val="pt-BR"/>
        </w:rPr>
        <w:t>Escola Anna Nery</w:t>
      </w:r>
      <w:r w:rsidRPr="006B0F6C">
        <w:rPr>
          <w:rFonts w:ascii="Arial" w:hAnsi="Arial" w:cs="Arial"/>
          <w:lang w:val="pt-BR"/>
        </w:rPr>
        <w:t xml:space="preserve">, </w:t>
      </w:r>
      <w:r w:rsidRPr="006B0F6C">
        <w:rPr>
          <w:rFonts w:ascii="Arial" w:hAnsi="Arial" w:cs="Arial"/>
          <w:i/>
          <w:iCs/>
          <w:lang w:val="pt-BR"/>
        </w:rPr>
        <w:t>25</w:t>
      </w:r>
      <w:r w:rsidRPr="006B0F6C">
        <w:rPr>
          <w:rFonts w:ascii="Arial" w:hAnsi="Arial" w:cs="Arial"/>
          <w:lang w:val="pt-BR"/>
        </w:rPr>
        <w:t>, e20200495. https://doi.org/10.1590/2177-9465-EAN-2020-0495</w:t>
      </w:r>
    </w:p>
    <w:p w14:paraId="11939FBE" w14:textId="77777777" w:rsidR="000876FC" w:rsidRPr="006B0F6C" w:rsidRDefault="000876FC" w:rsidP="000876FC">
      <w:pPr>
        <w:pStyle w:val="Bibliography"/>
        <w:spacing w:before="240"/>
        <w:jc w:val="both"/>
        <w:rPr>
          <w:rFonts w:ascii="Arial" w:hAnsi="Arial" w:cs="Arial"/>
        </w:rPr>
      </w:pPr>
      <w:r w:rsidRPr="006B0F6C">
        <w:rPr>
          <w:rFonts w:ascii="Arial" w:hAnsi="Arial" w:cs="Arial"/>
          <w:lang w:val="pt-BR"/>
        </w:rPr>
        <w:lastRenderedPageBreak/>
        <w:t xml:space="preserve">Sun, H., Saeedi, P., Karuranga, S., Pinkepank, M., Ogurtsova, K., Duncan, B. B., Stein, C., Basit, A., Chan, J. C. N., Mbanya, J. C., Pavkov, M. E., Ramachandaran, A., Wild, S. H., James, S., Herman, W. H., Zhang, P., Bommer, C., Kuo, S., Boyko, E. J., &amp; Magliano, D. J. (2022). </w:t>
      </w:r>
      <w:r w:rsidRPr="006B0F6C">
        <w:rPr>
          <w:rFonts w:ascii="Arial" w:hAnsi="Arial" w:cs="Arial"/>
        </w:rPr>
        <w:t xml:space="preserve">IDF Diabetes Atlas: Global, regional and country-level diabetes prevalence estimates for 2021 and projections for 2045. </w:t>
      </w:r>
      <w:r w:rsidRPr="006B0F6C">
        <w:rPr>
          <w:rFonts w:ascii="Arial" w:hAnsi="Arial" w:cs="Arial"/>
          <w:i/>
          <w:iCs/>
        </w:rPr>
        <w:t>Diabetes Research and Clinical Practice</w:t>
      </w:r>
      <w:r w:rsidRPr="006B0F6C">
        <w:rPr>
          <w:rFonts w:ascii="Arial" w:hAnsi="Arial" w:cs="Arial"/>
        </w:rPr>
        <w:t xml:space="preserve">, </w:t>
      </w:r>
      <w:r w:rsidRPr="006B0F6C">
        <w:rPr>
          <w:rFonts w:ascii="Arial" w:hAnsi="Arial" w:cs="Arial"/>
          <w:i/>
          <w:iCs/>
        </w:rPr>
        <w:t>183</w:t>
      </w:r>
      <w:r w:rsidRPr="006B0F6C">
        <w:rPr>
          <w:rFonts w:ascii="Arial" w:hAnsi="Arial" w:cs="Arial"/>
        </w:rPr>
        <w:t>. https://doi.org/10.1016/j.diabres.2021.109119</w:t>
      </w:r>
    </w:p>
    <w:p w14:paraId="6763F5F1" w14:textId="77777777" w:rsidR="000876FC" w:rsidRPr="006B0F6C" w:rsidRDefault="000876FC" w:rsidP="000876FC">
      <w:pPr>
        <w:pStyle w:val="Bibliography"/>
        <w:spacing w:before="240"/>
        <w:jc w:val="both"/>
        <w:rPr>
          <w:rFonts w:ascii="Arial" w:hAnsi="Arial" w:cs="Arial"/>
        </w:rPr>
      </w:pPr>
      <w:r w:rsidRPr="006B0F6C">
        <w:rPr>
          <w:rFonts w:ascii="Arial" w:hAnsi="Arial" w:cs="Arial"/>
          <w:lang w:val="pt-BR"/>
        </w:rPr>
        <w:t xml:space="preserve">Umakanthan, S., Sahu, P., Ranade, A. V., Bukelo, M. M., Rao, J. S., Abrahao-Machado, L. F., Dahal, S., Kumar, H., &amp; Kv, D. (2020). </w:t>
      </w:r>
      <w:r w:rsidRPr="006B0F6C">
        <w:rPr>
          <w:rFonts w:ascii="Arial" w:hAnsi="Arial" w:cs="Arial"/>
        </w:rPr>
        <w:t xml:space="preserve">Origin, transmission, diagnosis and management of coronavirus disease 2019 (COVID-19). </w:t>
      </w:r>
      <w:r w:rsidRPr="006B0F6C">
        <w:rPr>
          <w:rFonts w:ascii="Arial" w:hAnsi="Arial" w:cs="Arial"/>
          <w:i/>
          <w:iCs/>
        </w:rPr>
        <w:t>Postgraduate Medical Journal</w:t>
      </w:r>
      <w:r w:rsidRPr="006B0F6C">
        <w:rPr>
          <w:rFonts w:ascii="Arial" w:hAnsi="Arial" w:cs="Arial"/>
        </w:rPr>
        <w:t xml:space="preserve">, </w:t>
      </w:r>
      <w:r w:rsidRPr="006B0F6C">
        <w:rPr>
          <w:rFonts w:ascii="Arial" w:hAnsi="Arial" w:cs="Arial"/>
          <w:i/>
          <w:iCs/>
        </w:rPr>
        <w:t>96</w:t>
      </w:r>
      <w:r w:rsidRPr="006B0F6C">
        <w:rPr>
          <w:rFonts w:ascii="Arial" w:hAnsi="Arial" w:cs="Arial"/>
        </w:rPr>
        <w:t>(1142), 753–758. https://doi.org/10.1136/postgradmedj-2020-138234</w:t>
      </w:r>
    </w:p>
    <w:p w14:paraId="00DF080E" w14:textId="77777777" w:rsidR="000876FC" w:rsidRPr="006B0F6C" w:rsidRDefault="000876FC" w:rsidP="000876FC">
      <w:pPr>
        <w:pStyle w:val="Bibliography"/>
        <w:spacing w:before="240"/>
        <w:jc w:val="both"/>
        <w:rPr>
          <w:rFonts w:ascii="Arial" w:hAnsi="Arial" w:cs="Arial"/>
        </w:rPr>
      </w:pPr>
      <w:r w:rsidRPr="006B0F6C">
        <w:rPr>
          <w:rFonts w:ascii="Arial" w:hAnsi="Arial" w:cs="Arial"/>
        </w:rPr>
        <w:t>Velázquez-Kennedy, K., Luna, A., Sánchez-Tornero, A., Jiménez-</w:t>
      </w:r>
      <w:proofErr w:type="spellStart"/>
      <w:r w:rsidRPr="006B0F6C">
        <w:rPr>
          <w:rFonts w:ascii="Arial" w:hAnsi="Arial" w:cs="Arial"/>
        </w:rPr>
        <w:t>Chillón</w:t>
      </w:r>
      <w:proofErr w:type="spellEnd"/>
      <w:r w:rsidRPr="006B0F6C">
        <w:rPr>
          <w:rFonts w:ascii="Arial" w:hAnsi="Arial" w:cs="Arial"/>
        </w:rPr>
        <w:t xml:space="preserve">, C., Jiménez-Martín, A., </w:t>
      </w:r>
      <w:proofErr w:type="spellStart"/>
      <w:r w:rsidRPr="006B0F6C">
        <w:rPr>
          <w:rFonts w:ascii="Arial" w:hAnsi="Arial" w:cs="Arial"/>
        </w:rPr>
        <w:t>Vallés</w:t>
      </w:r>
      <w:proofErr w:type="spellEnd"/>
      <w:r w:rsidRPr="006B0F6C">
        <w:rPr>
          <w:rFonts w:ascii="Arial" w:hAnsi="Arial" w:cs="Arial"/>
        </w:rPr>
        <w:t xml:space="preserve"> </w:t>
      </w:r>
      <w:proofErr w:type="spellStart"/>
      <w:r w:rsidRPr="006B0F6C">
        <w:rPr>
          <w:rFonts w:ascii="Arial" w:hAnsi="Arial" w:cs="Arial"/>
        </w:rPr>
        <w:t>Carboneras</w:t>
      </w:r>
      <w:proofErr w:type="spellEnd"/>
      <w:r w:rsidRPr="006B0F6C">
        <w:rPr>
          <w:rFonts w:ascii="Arial" w:hAnsi="Arial" w:cs="Arial"/>
        </w:rPr>
        <w:t xml:space="preserve">, A., Tenorio, M., García </w:t>
      </w:r>
      <w:proofErr w:type="spellStart"/>
      <w:r w:rsidRPr="006B0F6C">
        <w:rPr>
          <w:rFonts w:ascii="Arial" w:hAnsi="Arial" w:cs="Arial"/>
        </w:rPr>
        <w:t>García</w:t>
      </w:r>
      <w:proofErr w:type="spellEnd"/>
      <w:r w:rsidRPr="006B0F6C">
        <w:rPr>
          <w:rFonts w:ascii="Arial" w:hAnsi="Arial" w:cs="Arial"/>
        </w:rPr>
        <w:t xml:space="preserve">, I., López-Jiménez, F. J., &amp; Moreno-Jiménez, G. (2021). Transfusion support in COVID-19 patients: Impact on hospital blood component supply during the outbreak. </w:t>
      </w:r>
      <w:r w:rsidRPr="006B0F6C">
        <w:rPr>
          <w:rFonts w:ascii="Arial" w:hAnsi="Arial" w:cs="Arial"/>
          <w:i/>
          <w:iCs/>
        </w:rPr>
        <w:t>Transfusion</w:t>
      </w:r>
      <w:r w:rsidRPr="006B0F6C">
        <w:rPr>
          <w:rFonts w:ascii="Arial" w:hAnsi="Arial" w:cs="Arial"/>
        </w:rPr>
        <w:t xml:space="preserve">, </w:t>
      </w:r>
      <w:r w:rsidRPr="006B0F6C">
        <w:rPr>
          <w:rFonts w:ascii="Arial" w:hAnsi="Arial" w:cs="Arial"/>
          <w:i/>
          <w:iCs/>
        </w:rPr>
        <w:t>61</w:t>
      </w:r>
      <w:r w:rsidRPr="006B0F6C">
        <w:rPr>
          <w:rFonts w:ascii="Arial" w:hAnsi="Arial" w:cs="Arial"/>
        </w:rPr>
        <w:t>(2), 361–367. https://doi.org/10.1111/trf.16171</w:t>
      </w:r>
    </w:p>
    <w:p w14:paraId="0744AAFA" w14:textId="77777777" w:rsidR="000876FC" w:rsidRPr="006B0F6C" w:rsidRDefault="000876FC" w:rsidP="000876FC">
      <w:pPr>
        <w:pStyle w:val="Bibliography"/>
        <w:spacing w:before="240"/>
        <w:jc w:val="both"/>
        <w:rPr>
          <w:rFonts w:ascii="Arial" w:hAnsi="Arial" w:cs="Arial"/>
        </w:rPr>
      </w:pPr>
      <w:r w:rsidRPr="006B0F6C">
        <w:rPr>
          <w:rFonts w:ascii="Arial" w:hAnsi="Arial" w:cs="Arial"/>
        </w:rPr>
        <w:t xml:space="preserve">Yang, X., Yu, Y., Xu, J., Shu, H., Xia, J., Liu, H., Wu, Y., Zhang, L., Yu, Z., Fang, M., Yu, T., Wang, Y., Pan, S., Zou, X., Yuan, S., &amp; Shang, Y. (2020). Clinical course and outcomes of critically ill patients with SARS-CoV-2 pneumonia in Wuhan, China: A single-centered, retrospective, observational study. </w:t>
      </w:r>
      <w:r w:rsidRPr="006B0F6C">
        <w:rPr>
          <w:rFonts w:ascii="Arial" w:hAnsi="Arial" w:cs="Arial"/>
          <w:i/>
          <w:iCs/>
        </w:rPr>
        <w:t>The Lancet Respiratory Medicine</w:t>
      </w:r>
      <w:r w:rsidRPr="006B0F6C">
        <w:rPr>
          <w:rFonts w:ascii="Arial" w:hAnsi="Arial" w:cs="Arial"/>
        </w:rPr>
        <w:t xml:space="preserve">, </w:t>
      </w:r>
      <w:r w:rsidRPr="006B0F6C">
        <w:rPr>
          <w:rFonts w:ascii="Arial" w:hAnsi="Arial" w:cs="Arial"/>
          <w:i/>
          <w:iCs/>
        </w:rPr>
        <w:t>8</w:t>
      </w:r>
      <w:r w:rsidRPr="006B0F6C">
        <w:rPr>
          <w:rFonts w:ascii="Arial" w:hAnsi="Arial" w:cs="Arial"/>
        </w:rPr>
        <w:t>(5), 475–481. https://doi.org/10.1016/S2213-2600(20)30079-5</w:t>
      </w:r>
    </w:p>
    <w:p w14:paraId="705FDA89" w14:textId="77777777" w:rsidR="000876FC" w:rsidRPr="006B0F6C" w:rsidRDefault="000876FC" w:rsidP="000876FC">
      <w:pPr>
        <w:pStyle w:val="Bibliography"/>
        <w:spacing w:before="240"/>
        <w:jc w:val="both"/>
        <w:rPr>
          <w:rFonts w:ascii="Arial" w:hAnsi="Arial" w:cs="Arial"/>
        </w:rPr>
      </w:pPr>
      <w:r w:rsidRPr="006B0F6C">
        <w:rPr>
          <w:rFonts w:ascii="Arial" w:hAnsi="Arial" w:cs="Arial"/>
        </w:rPr>
        <w:t xml:space="preserve">Yazdanpanah, F., Garg, A., Shadman, S., &amp; </w:t>
      </w:r>
      <w:proofErr w:type="spellStart"/>
      <w:r w:rsidRPr="006B0F6C">
        <w:rPr>
          <w:rFonts w:ascii="Arial" w:hAnsi="Arial" w:cs="Arial"/>
        </w:rPr>
        <w:t>Asmarz</w:t>
      </w:r>
      <w:proofErr w:type="spellEnd"/>
      <w:r w:rsidRPr="006B0F6C">
        <w:rPr>
          <w:rFonts w:ascii="Arial" w:hAnsi="Arial" w:cs="Arial"/>
        </w:rPr>
        <w:t xml:space="preserve">, H. Y. (2021). Literature Review of COVID-19, Pulmonary and Extrapulmonary Disease. </w:t>
      </w:r>
      <w:r w:rsidRPr="006B0F6C">
        <w:rPr>
          <w:rFonts w:ascii="Arial" w:hAnsi="Arial" w:cs="Arial"/>
          <w:i/>
          <w:iCs/>
        </w:rPr>
        <w:t>The American Journal of the Medical Sciences</w:t>
      </w:r>
      <w:r w:rsidRPr="006B0F6C">
        <w:rPr>
          <w:rFonts w:ascii="Arial" w:hAnsi="Arial" w:cs="Arial"/>
        </w:rPr>
        <w:t xml:space="preserve">, </w:t>
      </w:r>
      <w:r w:rsidRPr="006B0F6C">
        <w:rPr>
          <w:rFonts w:ascii="Arial" w:hAnsi="Arial" w:cs="Arial"/>
          <w:i/>
          <w:iCs/>
        </w:rPr>
        <w:t>361</w:t>
      </w:r>
      <w:r w:rsidRPr="006B0F6C">
        <w:rPr>
          <w:rFonts w:ascii="Arial" w:hAnsi="Arial" w:cs="Arial"/>
        </w:rPr>
        <w:t>(5), 567–574. https://doi.org/10.1016/j.amjms.2021.01.023</w:t>
      </w:r>
    </w:p>
    <w:p w14:paraId="284FBB6F" w14:textId="77777777" w:rsidR="000876FC" w:rsidRPr="006B0F6C" w:rsidRDefault="000876FC" w:rsidP="000876FC">
      <w:pPr>
        <w:pStyle w:val="Bibliography"/>
        <w:spacing w:before="240"/>
        <w:jc w:val="both"/>
        <w:rPr>
          <w:rFonts w:ascii="Arial" w:hAnsi="Arial" w:cs="Arial"/>
        </w:rPr>
      </w:pPr>
      <w:r w:rsidRPr="006B0F6C">
        <w:rPr>
          <w:rFonts w:ascii="Arial" w:hAnsi="Arial" w:cs="Arial"/>
          <w:lang w:val="es-419"/>
        </w:rPr>
        <w:t xml:space="preserve">Yuan, M., Yin, W., Tao, Z., Tan, W., &amp; </w:t>
      </w:r>
      <w:proofErr w:type="spellStart"/>
      <w:r w:rsidRPr="006B0F6C">
        <w:rPr>
          <w:rFonts w:ascii="Arial" w:hAnsi="Arial" w:cs="Arial"/>
          <w:lang w:val="es-419"/>
        </w:rPr>
        <w:t>Hu</w:t>
      </w:r>
      <w:proofErr w:type="spellEnd"/>
      <w:r w:rsidRPr="006B0F6C">
        <w:rPr>
          <w:rFonts w:ascii="Arial" w:hAnsi="Arial" w:cs="Arial"/>
          <w:lang w:val="es-419"/>
        </w:rPr>
        <w:t xml:space="preserve">, Y. (2020). </w:t>
      </w:r>
      <w:r w:rsidRPr="006B0F6C">
        <w:rPr>
          <w:rFonts w:ascii="Arial" w:hAnsi="Arial" w:cs="Arial"/>
        </w:rPr>
        <w:t xml:space="preserve">Association of radiologic findings with mortality of patients infected with 2019 novel coronavirus in Wuhan, China. </w:t>
      </w:r>
      <w:r w:rsidRPr="006B0F6C">
        <w:rPr>
          <w:rFonts w:ascii="Arial" w:hAnsi="Arial" w:cs="Arial"/>
          <w:i/>
          <w:iCs/>
        </w:rPr>
        <w:t>PLOS ONE</w:t>
      </w:r>
      <w:r w:rsidRPr="006B0F6C">
        <w:rPr>
          <w:rFonts w:ascii="Arial" w:hAnsi="Arial" w:cs="Arial"/>
        </w:rPr>
        <w:t xml:space="preserve">, </w:t>
      </w:r>
      <w:r w:rsidRPr="006B0F6C">
        <w:rPr>
          <w:rFonts w:ascii="Arial" w:hAnsi="Arial" w:cs="Arial"/>
          <w:i/>
          <w:iCs/>
        </w:rPr>
        <w:t>15</w:t>
      </w:r>
      <w:r w:rsidRPr="006B0F6C">
        <w:rPr>
          <w:rFonts w:ascii="Arial" w:hAnsi="Arial" w:cs="Arial"/>
        </w:rPr>
        <w:t>(3), e0230548. https://doi.org/10.1371/journal.pone.0230548</w:t>
      </w:r>
    </w:p>
    <w:p w14:paraId="15D664B9" w14:textId="77777777" w:rsidR="000876FC" w:rsidRPr="006B0F6C" w:rsidRDefault="000876FC" w:rsidP="000876FC">
      <w:pPr>
        <w:pStyle w:val="Bibliography"/>
        <w:spacing w:before="240"/>
        <w:jc w:val="both"/>
        <w:rPr>
          <w:rFonts w:ascii="Arial" w:hAnsi="Arial" w:cs="Arial"/>
        </w:rPr>
      </w:pPr>
      <w:r w:rsidRPr="006B0F6C">
        <w:rPr>
          <w:rFonts w:ascii="Arial" w:hAnsi="Arial" w:cs="Arial"/>
        </w:rPr>
        <w:t xml:space="preserve">Zhang, J., Dong, X., Liu, G., &amp; Gao, Y. (2023). Risk and Protective Factors for COVID-19 Morbidity, Severity, and Mortality. </w:t>
      </w:r>
      <w:r w:rsidRPr="006B0F6C">
        <w:rPr>
          <w:rFonts w:ascii="Arial" w:hAnsi="Arial" w:cs="Arial"/>
          <w:i/>
          <w:iCs/>
        </w:rPr>
        <w:t>Clinical Reviews in Allergy &amp; Immunology</w:t>
      </w:r>
      <w:r w:rsidRPr="006B0F6C">
        <w:rPr>
          <w:rFonts w:ascii="Arial" w:hAnsi="Arial" w:cs="Arial"/>
        </w:rPr>
        <w:t xml:space="preserve">, </w:t>
      </w:r>
      <w:r w:rsidRPr="006B0F6C">
        <w:rPr>
          <w:rFonts w:ascii="Arial" w:hAnsi="Arial" w:cs="Arial"/>
          <w:i/>
          <w:iCs/>
        </w:rPr>
        <w:t>64</w:t>
      </w:r>
      <w:r w:rsidRPr="006B0F6C">
        <w:rPr>
          <w:rFonts w:ascii="Arial" w:hAnsi="Arial" w:cs="Arial"/>
        </w:rPr>
        <w:t>(1), 90–107. https://doi.org/10.1007/s12016-022-08921-5</w:t>
      </w:r>
    </w:p>
    <w:p w14:paraId="5CE2C70D" w14:textId="77777777" w:rsidR="000876FC" w:rsidRPr="006B0F6C" w:rsidRDefault="000876FC" w:rsidP="000876FC">
      <w:pPr>
        <w:pStyle w:val="Bibliography"/>
        <w:spacing w:before="240"/>
        <w:jc w:val="both"/>
        <w:rPr>
          <w:rFonts w:ascii="Arial" w:hAnsi="Arial" w:cs="Arial"/>
        </w:rPr>
      </w:pPr>
      <w:r w:rsidRPr="006B0F6C">
        <w:rPr>
          <w:rFonts w:ascii="Arial" w:hAnsi="Arial" w:cs="Arial"/>
        </w:rPr>
        <w:t xml:space="preserve">Zhao, Q., Zhang, Y., Li, M., Tian, R., Zhao, Y., Cao, B., Yao, L., Sheng, X., &amp; Yu, Y. (2023). Epidemiological clustered characteristics of coronavirus disease 2019 (COVID-19) in three phases of transmission in Jilin Province, China. </w:t>
      </w:r>
      <w:r w:rsidRPr="006B0F6C">
        <w:rPr>
          <w:rFonts w:ascii="Arial" w:hAnsi="Arial" w:cs="Arial"/>
          <w:i/>
          <w:iCs/>
        </w:rPr>
        <w:t>PLOS ONE</w:t>
      </w:r>
      <w:r w:rsidRPr="006B0F6C">
        <w:rPr>
          <w:rFonts w:ascii="Arial" w:hAnsi="Arial" w:cs="Arial"/>
        </w:rPr>
        <w:t xml:space="preserve">, </w:t>
      </w:r>
      <w:r w:rsidRPr="006B0F6C">
        <w:rPr>
          <w:rFonts w:ascii="Arial" w:hAnsi="Arial" w:cs="Arial"/>
          <w:i/>
          <w:iCs/>
        </w:rPr>
        <w:t>18</w:t>
      </w:r>
      <w:r w:rsidRPr="006B0F6C">
        <w:rPr>
          <w:rFonts w:ascii="Arial" w:hAnsi="Arial" w:cs="Arial"/>
        </w:rPr>
        <w:t>(1), e0279879. https://doi.org/10.1371/journal.pone.0279879</w:t>
      </w:r>
    </w:p>
    <w:p w14:paraId="02FB2042" w14:textId="77777777" w:rsidR="000876FC" w:rsidRDefault="000876FC" w:rsidP="000876FC">
      <w:pPr>
        <w:pStyle w:val="Bibliography"/>
        <w:spacing w:before="240"/>
        <w:jc w:val="both"/>
        <w:rPr>
          <w:rFonts w:ascii="Arial" w:hAnsi="Arial" w:cs="Arial"/>
        </w:rPr>
      </w:pPr>
      <w:r w:rsidRPr="006B0F6C">
        <w:rPr>
          <w:rFonts w:ascii="Arial" w:hAnsi="Arial" w:cs="Arial"/>
        </w:rPr>
        <w:t xml:space="preserve">Zhou, B., Carrillo-Larco, R. M., </w:t>
      </w:r>
      <w:proofErr w:type="spellStart"/>
      <w:r w:rsidRPr="006B0F6C">
        <w:rPr>
          <w:rFonts w:ascii="Arial" w:hAnsi="Arial" w:cs="Arial"/>
        </w:rPr>
        <w:t>Danaei</w:t>
      </w:r>
      <w:proofErr w:type="spellEnd"/>
      <w:r w:rsidRPr="006B0F6C">
        <w:rPr>
          <w:rFonts w:ascii="Arial" w:hAnsi="Arial" w:cs="Arial"/>
        </w:rPr>
        <w:t xml:space="preserve">, G., Riley, L. M., Paciorek, C. J., Stevens, G. A., Gregg, E. W., Bennett, J. E., Solomon, B., Singleton, R. K., Sophiea, M. K., </w:t>
      </w:r>
      <w:proofErr w:type="spellStart"/>
      <w:r w:rsidRPr="006B0F6C">
        <w:rPr>
          <w:rFonts w:ascii="Arial" w:hAnsi="Arial" w:cs="Arial"/>
        </w:rPr>
        <w:t>Iurilli</w:t>
      </w:r>
      <w:proofErr w:type="spellEnd"/>
      <w:r w:rsidRPr="006B0F6C">
        <w:rPr>
          <w:rFonts w:ascii="Arial" w:hAnsi="Arial" w:cs="Arial"/>
        </w:rPr>
        <w:t xml:space="preserve">, M. L., </w:t>
      </w:r>
      <w:proofErr w:type="spellStart"/>
      <w:r w:rsidRPr="006B0F6C">
        <w:rPr>
          <w:rFonts w:ascii="Arial" w:hAnsi="Arial" w:cs="Arial"/>
        </w:rPr>
        <w:t>Lhoste</w:t>
      </w:r>
      <w:proofErr w:type="spellEnd"/>
      <w:r w:rsidRPr="006B0F6C">
        <w:rPr>
          <w:rFonts w:ascii="Arial" w:hAnsi="Arial" w:cs="Arial"/>
        </w:rPr>
        <w:t xml:space="preserve">, V. P., Cowan, M. J., Savin, S., Woodward, M., </w:t>
      </w:r>
      <w:proofErr w:type="spellStart"/>
      <w:r w:rsidRPr="006B0F6C">
        <w:rPr>
          <w:rFonts w:ascii="Arial" w:hAnsi="Arial" w:cs="Arial"/>
        </w:rPr>
        <w:t>Balanova</w:t>
      </w:r>
      <w:proofErr w:type="spellEnd"/>
      <w:r w:rsidRPr="006B0F6C">
        <w:rPr>
          <w:rFonts w:ascii="Arial" w:hAnsi="Arial" w:cs="Arial"/>
        </w:rPr>
        <w:t xml:space="preserve">, Y., </w:t>
      </w:r>
      <w:proofErr w:type="spellStart"/>
      <w:r w:rsidRPr="006B0F6C">
        <w:rPr>
          <w:rFonts w:ascii="Arial" w:hAnsi="Arial" w:cs="Arial"/>
        </w:rPr>
        <w:t>Cifkova</w:t>
      </w:r>
      <w:proofErr w:type="spellEnd"/>
      <w:r w:rsidRPr="006B0F6C">
        <w:rPr>
          <w:rFonts w:ascii="Arial" w:hAnsi="Arial" w:cs="Arial"/>
        </w:rPr>
        <w:t xml:space="preserve">, R., Damasceno, A., … Ezzati, M. (2021). Worldwide trends in hypertension prevalence and progress in treatment and control from 1990 to 2019: A pooled analysis of 1201 population-representative studies with 104 million participants. </w:t>
      </w:r>
      <w:r w:rsidRPr="006B0F6C">
        <w:rPr>
          <w:rFonts w:ascii="Arial" w:hAnsi="Arial" w:cs="Arial"/>
          <w:i/>
          <w:iCs/>
        </w:rPr>
        <w:t>The Lancet</w:t>
      </w:r>
      <w:r w:rsidRPr="006B0F6C">
        <w:rPr>
          <w:rFonts w:ascii="Arial" w:hAnsi="Arial" w:cs="Arial"/>
        </w:rPr>
        <w:t xml:space="preserve">, </w:t>
      </w:r>
      <w:r w:rsidRPr="006B0F6C">
        <w:rPr>
          <w:rFonts w:ascii="Arial" w:hAnsi="Arial" w:cs="Arial"/>
          <w:i/>
          <w:iCs/>
        </w:rPr>
        <w:t>398</w:t>
      </w:r>
      <w:r w:rsidRPr="006B0F6C">
        <w:rPr>
          <w:rFonts w:ascii="Arial" w:hAnsi="Arial" w:cs="Arial"/>
        </w:rPr>
        <w:t xml:space="preserve">(10304), 957–980. </w:t>
      </w:r>
      <w:hyperlink r:id="rId14" w:history="1">
        <w:r w:rsidRPr="000876FC">
          <w:rPr>
            <w:rStyle w:val="Hyperlink"/>
            <w:rFonts w:ascii="Arial" w:hAnsi="Arial" w:cs="Arial"/>
            <w:color w:val="000000" w:themeColor="text1"/>
            <w:u w:val="none"/>
          </w:rPr>
          <w:t>https://doi.org/10.1016/S0140-6736(21)01330-1</w:t>
        </w:r>
      </w:hyperlink>
      <w:r w:rsidRPr="000876FC">
        <w:rPr>
          <w:rFonts w:ascii="Arial" w:hAnsi="Arial" w:cs="Arial"/>
          <w:color w:val="000000" w:themeColor="text1"/>
        </w:rPr>
        <w:t xml:space="preserve"> </w:t>
      </w:r>
    </w:p>
    <w:p w14:paraId="771131FB" w14:textId="77777777" w:rsidR="000876FC" w:rsidRPr="006B0F6C" w:rsidRDefault="000876FC" w:rsidP="000876FC">
      <w:pPr>
        <w:pStyle w:val="Bibliography"/>
        <w:spacing w:before="240"/>
        <w:jc w:val="both"/>
        <w:rPr>
          <w:rFonts w:ascii="Arial" w:hAnsi="Arial" w:cs="Arial"/>
        </w:rPr>
      </w:pPr>
      <w:r w:rsidRPr="006B0F6C">
        <w:rPr>
          <w:rFonts w:ascii="Arial" w:hAnsi="Arial" w:cs="Arial"/>
        </w:rPr>
        <w:t xml:space="preserve">Zhou, F., Yu, T., Du, R., Fan, G., Liu, Y., Liu, Z., Xiang, J., Wang, Y., Song, B., Gu, X., Guan, L., Wei, Y., Li, H., Wu, X., Xu, J., Tu, S., Zhang, Y., Chen, H., &amp; Cao, B. (2020). Clinical course and risk factors for mortality of adult inpatients with COVID-19 in Wuhan, China: A </w:t>
      </w:r>
      <w:r w:rsidRPr="006B0F6C">
        <w:rPr>
          <w:rFonts w:ascii="Arial" w:hAnsi="Arial" w:cs="Arial"/>
        </w:rPr>
        <w:lastRenderedPageBreak/>
        <w:t xml:space="preserve">retrospective cohort study. </w:t>
      </w:r>
      <w:r w:rsidRPr="006B0F6C">
        <w:rPr>
          <w:rFonts w:ascii="Arial" w:hAnsi="Arial" w:cs="Arial"/>
          <w:i/>
          <w:iCs/>
          <w:lang w:val="pt-BR"/>
        </w:rPr>
        <w:t>The Lancet</w:t>
      </w:r>
      <w:r w:rsidRPr="006B0F6C">
        <w:rPr>
          <w:rFonts w:ascii="Arial" w:hAnsi="Arial" w:cs="Arial"/>
          <w:lang w:val="pt-BR"/>
        </w:rPr>
        <w:t xml:space="preserve">, </w:t>
      </w:r>
      <w:r w:rsidRPr="006B0F6C">
        <w:rPr>
          <w:rFonts w:ascii="Arial" w:hAnsi="Arial" w:cs="Arial"/>
          <w:i/>
          <w:iCs/>
          <w:lang w:val="pt-BR"/>
        </w:rPr>
        <w:t>395</w:t>
      </w:r>
      <w:r w:rsidRPr="006B0F6C">
        <w:rPr>
          <w:rFonts w:ascii="Arial" w:hAnsi="Arial" w:cs="Arial"/>
          <w:lang w:val="pt-BR"/>
        </w:rPr>
        <w:t>(10229), 1054–1062. https://doi.org/10.1016/S0140-6736(20)30566-3</w:t>
      </w:r>
    </w:p>
    <w:p w14:paraId="682814A2" w14:textId="77777777" w:rsidR="00B01FCD" w:rsidRPr="00FB3A86" w:rsidRDefault="00B01FCD" w:rsidP="000876FC">
      <w:pPr>
        <w:pStyle w:val="Body"/>
        <w:spacing w:after="0"/>
        <w:rPr>
          <w:rFonts w:ascii="Arial" w:hAnsi="Arial" w:cs="Arial"/>
          <w:b/>
        </w:rPr>
      </w:pPr>
    </w:p>
    <w:sectPr w:rsidR="00B01FCD" w:rsidRPr="00FB3A86" w:rsidSect="00095754">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BE60B" w14:textId="77777777" w:rsidR="00AD7086" w:rsidRDefault="00AD7086" w:rsidP="00C37E61">
      <w:r>
        <w:separator/>
      </w:r>
    </w:p>
  </w:endnote>
  <w:endnote w:type="continuationSeparator" w:id="0">
    <w:p w14:paraId="24FDD15A" w14:textId="77777777" w:rsidR="00AD7086" w:rsidRDefault="00AD708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C2754" w14:textId="77777777" w:rsidR="0036397E" w:rsidRDefault="00363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5DF0" w14:textId="6EBF6032" w:rsidR="0036397E" w:rsidRDefault="0036397E"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4A04C" w14:textId="21C3E2EB" w:rsidR="0036397E" w:rsidRPr="00095754" w:rsidRDefault="0036397E" w:rsidP="00095754">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4D77B" w14:textId="77777777" w:rsidR="0036397E" w:rsidRPr="00C37E61" w:rsidRDefault="0036397E"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28633" w14:textId="77777777" w:rsidR="00AD7086" w:rsidRDefault="00AD7086" w:rsidP="00C37E61">
      <w:r>
        <w:separator/>
      </w:r>
    </w:p>
  </w:footnote>
  <w:footnote w:type="continuationSeparator" w:id="0">
    <w:p w14:paraId="295072B7" w14:textId="77777777" w:rsidR="00AD7086" w:rsidRDefault="00AD708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EB467" w14:textId="2F3B2F52" w:rsidR="0036397E" w:rsidRDefault="00095754">
    <w:pPr>
      <w:pStyle w:val="Header"/>
    </w:pPr>
    <w:r>
      <w:rPr>
        <w:noProof/>
      </w:rPr>
      <w:pict w14:anchorId="364FD2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3BA7" w14:textId="78E81FD9" w:rsidR="0036397E" w:rsidRDefault="00095754">
    <w:pPr>
      <w:pStyle w:val="Header"/>
    </w:pPr>
    <w:r>
      <w:rPr>
        <w:noProof/>
      </w:rPr>
      <w:pict w14:anchorId="638B7A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C094B" w14:textId="0D937756" w:rsidR="0036397E" w:rsidRPr="00296529" w:rsidRDefault="00095754" w:rsidP="00296529">
    <w:pPr>
      <w:ind w:left="2160"/>
      <w:jc w:val="center"/>
      <w:rPr>
        <w:rFonts w:ascii="Times New Roman" w:eastAsia="Calibri" w:hAnsi="Times New Roman"/>
        <w:i/>
        <w:sz w:val="18"/>
        <w:szCs w:val="22"/>
      </w:rPr>
    </w:pPr>
    <w:r>
      <w:rPr>
        <w:noProof/>
      </w:rPr>
      <w:pict w14:anchorId="7E4DE6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E9D2889" w14:textId="77777777" w:rsidR="0036397E" w:rsidRPr="00296529" w:rsidRDefault="0036397E"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E28E2A3" w14:textId="77777777" w:rsidR="0036397E" w:rsidRPr="00296529" w:rsidRDefault="0036397E"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18B91C3" w14:textId="77777777" w:rsidR="0036397E" w:rsidRPr="00296529" w:rsidRDefault="0036397E"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26393C5" w14:textId="77777777" w:rsidR="0036397E" w:rsidRDefault="0036397E"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128D3AC" w14:textId="77777777" w:rsidR="0036397E" w:rsidRDefault="0036397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64D2A07" w14:textId="77777777" w:rsidR="0036397E" w:rsidRDefault="0036397E">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7CC6B" w14:textId="4FEB29DF" w:rsidR="00095754" w:rsidRDefault="00095754">
    <w:pPr>
      <w:pStyle w:val="Header"/>
    </w:pPr>
    <w:r>
      <w:rPr>
        <w:noProof/>
      </w:rPr>
      <w:pict w14:anchorId="5D7440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F05AC" w14:textId="6F134376" w:rsidR="00095754" w:rsidRDefault="00095754">
    <w:pPr>
      <w:pStyle w:val="Header"/>
    </w:pPr>
    <w:r>
      <w:rPr>
        <w:noProof/>
      </w:rPr>
      <w:pict w14:anchorId="5B914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00E1F" w14:textId="143E680B" w:rsidR="00095754" w:rsidRDefault="00095754">
    <w:pPr>
      <w:pStyle w:val="Header"/>
    </w:pPr>
    <w:r>
      <w:rPr>
        <w:noProof/>
      </w:rPr>
      <w:pict w14:anchorId="706957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876FC"/>
    <w:rsid w:val="00095754"/>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10DBF"/>
    <w:rsid w:val="00231920"/>
    <w:rsid w:val="0023195C"/>
    <w:rsid w:val="0024282C"/>
    <w:rsid w:val="002460DC"/>
    <w:rsid w:val="00250985"/>
    <w:rsid w:val="002556F6"/>
    <w:rsid w:val="0027569C"/>
    <w:rsid w:val="00283105"/>
    <w:rsid w:val="00284C4C"/>
    <w:rsid w:val="00287E68"/>
    <w:rsid w:val="00296529"/>
    <w:rsid w:val="002B27FB"/>
    <w:rsid w:val="002B685A"/>
    <w:rsid w:val="002C57D2"/>
    <w:rsid w:val="002E0D56"/>
    <w:rsid w:val="00315186"/>
    <w:rsid w:val="0033343E"/>
    <w:rsid w:val="003512C2"/>
    <w:rsid w:val="0036397E"/>
    <w:rsid w:val="00371FB6"/>
    <w:rsid w:val="003763C1"/>
    <w:rsid w:val="00376BBE"/>
    <w:rsid w:val="0038032B"/>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17E92"/>
    <w:rsid w:val="0053056E"/>
    <w:rsid w:val="005358B6"/>
    <w:rsid w:val="00554EFD"/>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20217"/>
    <w:rsid w:val="007369E6"/>
    <w:rsid w:val="00746E59"/>
    <w:rsid w:val="00754C9A"/>
    <w:rsid w:val="00755761"/>
    <w:rsid w:val="0075599A"/>
    <w:rsid w:val="00761D52"/>
    <w:rsid w:val="0077749E"/>
    <w:rsid w:val="00790ADA"/>
    <w:rsid w:val="007D2288"/>
    <w:rsid w:val="007E088F"/>
    <w:rsid w:val="007F7B32"/>
    <w:rsid w:val="00804BC2"/>
    <w:rsid w:val="0081431A"/>
    <w:rsid w:val="0083216F"/>
    <w:rsid w:val="00850A40"/>
    <w:rsid w:val="00860000"/>
    <w:rsid w:val="0086275A"/>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71DA3"/>
    <w:rsid w:val="00983040"/>
    <w:rsid w:val="009B3FB9"/>
    <w:rsid w:val="009C2465"/>
    <w:rsid w:val="009D35A0"/>
    <w:rsid w:val="009D7EB7"/>
    <w:rsid w:val="009E048A"/>
    <w:rsid w:val="009E08E9"/>
    <w:rsid w:val="009E3821"/>
    <w:rsid w:val="009E3DB9"/>
    <w:rsid w:val="009E6E35"/>
    <w:rsid w:val="009F0EDA"/>
    <w:rsid w:val="00A03B96"/>
    <w:rsid w:val="00A05B19"/>
    <w:rsid w:val="00A1134E"/>
    <w:rsid w:val="00A24E7E"/>
    <w:rsid w:val="00A258C3"/>
    <w:rsid w:val="00A347C0"/>
    <w:rsid w:val="00A51431"/>
    <w:rsid w:val="00A539AD"/>
    <w:rsid w:val="00A94063"/>
    <w:rsid w:val="00AA3843"/>
    <w:rsid w:val="00AA6219"/>
    <w:rsid w:val="00AA74E0"/>
    <w:rsid w:val="00AB703F"/>
    <w:rsid w:val="00AC6BB8"/>
    <w:rsid w:val="00AD7086"/>
    <w:rsid w:val="00AE008F"/>
    <w:rsid w:val="00B01FCD"/>
    <w:rsid w:val="00B0258C"/>
    <w:rsid w:val="00B147FD"/>
    <w:rsid w:val="00B1776C"/>
    <w:rsid w:val="00B4521A"/>
    <w:rsid w:val="00B52583"/>
    <w:rsid w:val="00B52896"/>
    <w:rsid w:val="00B95236"/>
    <w:rsid w:val="00B96BD9"/>
    <w:rsid w:val="00BA1B01"/>
    <w:rsid w:val="00BA2641"/>
    <w:rsid w:val="00BB37AA"/>
    <w:rsid w:val="00BC53A0"/>
    <w:rsid w:val="00BC773D"/>
    <w:rsid w:val="00BE62AD"/>
    <w:rsid w:val="00BF121F"/>
    <w:rsid w:val="00BF1F80"/>
    <w:rsid w:val="00C166EF"/>
    <w:rsid w:val="00C17EB0"/>
    <w:rsid w:val="00C27F5F"/>
    <w:rsid w:val="00C30A0F"/>
    <w:rsid w:val="00C31FCB"/>
    <w:rsid w:val="00C37E61"/>
    <w:rsid w:val="00C70F1B"/>
    <w:rsid w:val="00C71A47"/>
    <w:rsid w:val="00C7464C"/>
    <w:rsid w:val="00C85588"/>
    <w:rsid w:val="00CD6755"/>
    <w:rsid w:val="00CD6856"/>
    <w:rsid w:val="00CE0089"/>
    <w:rsid w:val="00CE793C"/>
    <w:rsid w:val="00CF193C"/>
    <w:rsid w:val="00D173F1"/>
    <w:rsid w:val="00D74CB0"/>
    <w:rsid w:val="00D8295D"/>
    <w:rsid w:val="00DC047D"/>
    <w:rsid w:val="00DC2A65"/>
    <w:rsid w:val="00DE15F0"/>
    <w:rsid w:val="00DE5663"/>
    <w:rsid w:val="00DE62FE"/>
    <w:rsid w:val="00DE78AA"/>
    <w:rsid w:val="00E053D0"/>
    <w:rsid w:val="00E15994"/>
    <w:rsid w:val="00E3114E"/>
    <w:rsid w:val="00E31A70"/>
    <w:rsid w:val="00E35B02"/>
    <w:rsid w:val="00E44034"/>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81591"/>
    <w:rsid w:val="00F8388B"/>
    <w:rsid w:val="00FB3A86"/>
    <w:rsid w:val="00FD36C8"/>
    <w:rsid w:val="00FE5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D221EF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Default">
    <w:name w:val="Default"/>
    <w:rsid w:val="00DC047D"/>
    <w:pPr>
      <w:autoSpaceDE w:val="0"/>
      <w:autoSpaceDN w:val="0"/>
      <w:adjustRightInd w:val="0"/>
    </w:pPr>
    <w:rPr>
      <w:rFonts w:ascii="Arial" w:eastAsia="Calibri" w:hAnsi="Arial" w:cs="Arial"/>
      <w:color w:val="000000"/>
      <w:sz w:val="24"/>
      <w:szCs w:val="24"/>
      <w:lang w:val="pt-BR" w:eastAsia="pt-BR"/>
    </w:rPr>
  </w:style>
  <w:style w:type="character" w:customStyle="1" w:styleId="Heading1Char">
    <w:name w:val="Heading 1 Char"/>
    <w:basedOn w:val="DefaultParagraphFont"/>
    <w:link w:val="Heading1"/>
    <w:rsid w:val="00DC047D"/>
    <w:rPr>
      <w:rFonts w:ascii="Arial" w:hAnsi="Arial"/>
      <w:b/>
      <w:kern w:val="28"/>
      <w:sz w:val="28"/>
    </w:rPr>
  </w:style>
  <w:style w:type="paragraph" w:styleId="Bibliography">
    <w:name w:val="Bibliography"/>
    <w:basedOn w:val="Normal"/>
    <w:next w:val="Normal"/>
    <w:uiPriority w:val="37"/>
    <w:semiHidden/>
    <w:unhideWhenUsed/>
    <w:rsid w:val="00087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52786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9388982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0113813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S0140-6736(21)0133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54B4F-9840-45A5-B7BA-FFFA2DFFC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77</TotalTime>
  <Pages>20</Pages>
  <Words>36647</Words>
  <Characters>208888</Characters>
  <Application>Microsoft Office Word</Application>
  <DocSecurity>0</DocSecurity>
  <Lines>1740</Lines>
  <Paragraphs>490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245045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22</cp:revision>
  <cp:lastPrinted>1999-07-06T11:00:00Z</cp:lastPrinted>
  <dcterms:created xsi:type="dcterms:W3CDTF">2025-03-14T17:06:00Z</dcterms:created>
  <dcterms:modified xsi:type="dcterms:W3CDTF">2025-03-15T08:23:00Z</dcterms:modified>
</cp:coreProperties>
</file>