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A648C" w14:textId="77777777" w:rsidR="009D62F7" w:rsidRPr="00CA4452" w:rsidRDefault="009D62F7" w:rsidP="009D62F7">
      <w:pPr>
        <w:pStyle w:val="NormalWeb"/>
        <w:rPr>
          <w:rStyle w:val="Strong"/>
          <w:rFonts w:asciiTheme="majorHAnsi" w:hAnsiTheme="majorHAnsi"/>
          <w:sz w:val="26"/>
        </w:rPr>
      </w:pPr>
      <w:r w:rsidRPr="00CA4452">
        <w:rPr>
          <w:rStyle w:val="Strong"/>
          <w:rFonts w:asciiTheme="majorHAnsi" w:hAnsiTheme="majorHAnsi"/>
          <w:sz w:val="26"/>
        </w:rPr>
        <w:t>A Community-Based Survey on Metabolic Health and Obesity at Mile One</w:t>
      </w:r>
      <w:r w:rsidR="005C2F07" w:rsidRPr="00CA4452">
        <w:rPr>
          <w:rStyle w:val="Strong"/>
          <w:rFonts w:asciiTheme="majorHAnsi" w:hAnsiTheme="majorHAnsi"/>
          <w:sz w:val="26"/>
        </w:rPr>
        <w:t xml:space="preserve"> Market</w:t>
      </w:r>
      <w:r w:rsidRPr="00CA4452">
        <w:rPr>
          <w:rStyle w:val="Strong"/>
          <w:rFonts w:asciiTheme="majorHAnsi" w:hAnsiTheme="majorHAnsi"/>
          <w:sz w:val="26"/>
        </w:rPr>
        <w:t>, Port Harcourt</w:t>
      </w:r>
    </w:p>
    <w:p w14:paraId="378C22E4" w14:textId="77777777" w:rsidR="00AB7488" w:rsidRDefault="00AB7488" w:rsidP="00CE0CC6">
      <w:pPr>
        <w:pStyle w:val="Heading3"/>
      </w:pPr>
    </w:p>
    <w:p w14:paraId="79422834" w14:textId="40527CD7" w:rsidR="00976A56" w:rsidRDefault="00976A56" w:rsidP="00CE0CC6">
      <w:pPr>
        <w:pStyle w:val="Heading3"/>
      </w:pPr>
      <w:r>
        <w:t>Abstract</w:t>
      </w:r>
    </w:p>
    <w:p w14:paraId="7A0D39C4" w14:textId="77777777" w:rsidR="00976A56" w:rsidRDefault="00976A56" w:rsidP="00976A56">
      <w:pPr>
        <w:pStyle w:val="NormalWeb"/>
      </w:pPr>
      <w:r>
        <w:rPr>
          <w:rStyle w:val="Strong"/>
        </w:rPr>
        <w:t>Background:</w:t>
      </w:r>
      <w:r>
        <w:t xml:space="preserve"> Diabetes mellitus remains a major public health concern, with multiple demographic, metabolic, and lifestyle factors contributing to its</w:t>
      </w:r>
      <w:r w:rsidR="00CE0CC6">
        <w:t xml:space="preserve"> risk. T</w:t>
      </w:r>
      <w:r>
        <w:t>he associations between diabetes risk and various parameters, including age, sex, occupation, residence, alcohol consumption, and body mass index (BMI)</w:t>
      </w:r>
      <w:r w:rsidR="00CE0CC6">
        <w:t xml:space="preserve"> were examined</w:t>
      </w:r>
      <w:r>
        <w:t>, while assessing correlations between metabolic and cardiovascular markers.</w:t>
      </w:r>
    </w:p>
    <w:p w14:paraId="686DFD2D" w14:textId="077B0702" w:rsidR="00976A56" w:rsidRDefault="00976A56" w:rsidP="00976A56">
      <w:pPr>
        <w:pStyle w:val="NormalWeb"/>
      </w:pPr>
      <w:r>
        <w:rPr>
          <w:rStyle w:val="Strong"/>
        </w:rPr>
        <w:t>Methods:</w:t>
      </w:r>
      <w:r>
        <w:t xml:space="preserve"> A cross-sectional survey was conducted among </w:t>
      </w:r>
      <w:r w:rsidR="00CE0CC6">
        <w:t xml:space="preserve">consenting </w:t>
      </w:r>
      <w:r>
        <w:t>adult</w:t>
      </w:r>
      <w:r w:rsidR="005C2F07">
        <w:t xml:space="preserve"> Nigerians</w:t>
      </w:r>
      <w:r>
        <w:t xml:space="preserve">, with </w:t>
      </w:r>
      <w:r w:rsidR="001B410F">
        <w:t>fasting blood glucose</w:t>
      </w:r>
      <w:r>
        <w:t xml:space="preserve"> (</w:t>
      </w:r>
      <w:r w:rsidR="00D05FC3">
        <w:t>FBG</w:t>
      </w:r>
      <w:r>
        <w:t xml:space="preserve">), </w:t>
      </w:r>
      <w:r w:rsidR="00D05FC3">
        <w:t>random blood glucose</w:t>
      </w:r>
      <w:r>
        <w:t xml:space="preserve"> (</w:t>
      </w:r>
      <w:r w:rsidR="00D05FC3">
        <w:t>RBG</w:t>
      </w:r>
      <w:r>
        <w:t>), systolic blood pressure (SBP), diastolic blood pressure (DBP), BMI, and waist-to-hip ratio measured. Statistical analyses included correlation tests, regression modelling, and significance testing to evaluate associations between diabetes risk and predictor variables.</w:t>
      </w:r>
    </w:p>
    <w:p w14:paraId="5E96939E" w14:textId="48CAC47C" w:rsidR="00976A56" w:rsidRDefault="00976A56" w:rsidP="00976A56">
      <w:pPr>
        <w:pStyle w:val="NormalWeb"/>
      </w:pPr>
      <w:r>
        <w:rPr>
          <w:rStyle w:val="Strong"/>
        </w:rPr>
        <w:t>Results:</w:t>
      </w:r>
      <w:r>
        <w:t xml:space="preserve"> Age was significantly associated with diabetes risk (p = 0.007), with individuals aged 41–60 years and &gt;60 years more frequently classified as pre-diabetic or diabetic. However, sex, occupation, residence, alcohol consumption, and BMI were not significantly associated with diabetes risk (p &gt; 0.05). Most participants in all glucose categories were traders (90.5%), suggesting limited occupational variability</w:t>
      </w:r>
      <w:r w:rsidR="00CE0CC6">
        <w:t xml:space="preserve"> because of the study site</w:t>
      </w:r>
      <w:r>
        <w:t xml:space="preserve">. There were no significant differences in </w:t>
      </w:r>
      <w:r w:rsidR="00D05FC3">
        <w:t>FBG</w:t>
      </w:r>
      <w:r>
        <w:t xml:space="preserve"> (p = 0.51), </w:t>
      </w:r>
      <w:r w:rsidR="00D05FC3">
        <w:t>RBG</w:t>
      </w:r>
      <w:r>
        <w:t xml:space="preserve"> (p = 0.45), SBP (p = 0.42), DBP (p = 0.26), or BMI (p = 0.18). However, waist-to-hip ratio differed significantly between sexes (p = 0.04), with males exhibiting higher values (1.02 ± 0.005) than females (1.00 ± 0.005). Age was positively correlated with </w:t>
      </w:r>
      <w:r w:rsidR="00D05FC3">
        <w:t>FBG</w:t>
      </w:r>
      <w:r>
        <w:t xml:space="preserve"> (r = 0.27, p &lt; 0.05), SBP (r = 0.40, p &lt; 0.01), DBP (r = 0.45, p &lt; 0.01), and BMI (r = 0.23, p &lt; 0.05). Regression analysis showed no significant predictors of </w:t>
      </w:r>
      <w:r w:rsidR="00D05FC3">
        <w:t>FBG</w:t>
      </w:r>
      <w:r>
        <w:t>, though SBP and DBP exhibited the strongest, albeit non-significant, associations.</w:t>
      </w:r>
    </w:p>
    <w:p w14:paraId="51AA004B" w14:textId="77777777" w:rsidR="00976A56" w:rsidRDefault="00976A56" w:rsidP="00976A56">
      <w:pPr>
        <w:pStyle w:val="NormalWeb"/>
      </w:pPr>
      <w:r>
        <w:rPr>
          <w:rStyle w:val="Strong"/>
        </w:rPr>
        <w:t>Conclusion:</w:t>
      </w:r>
      <w:r>
        <w:t xml:space="preserve"> Age emerged as a key factor in diabetes risk, while other demographic and metabolic variables showed weaker associations. Future research should explore additional covariates and diverse populations to enhance understanding of metabolic health determinants.</w:t>
      </w:r>
    </w:p>
    <w:p w14:paraId="01DA2CAB" w14:textId="77777777" w:rsidR="00976A56" w:rsidRPr="005C2F07" w:rsidRDefault="005C2F07" w:rsidP="009D62F7">
      <w:pPr>
        <w:pStyle w:val="NormalWeb"/>
        <w:rPr>
          <w:rStyle w:val="Strong"/>
          <w:rFonts w:asciiTheme="majorHAnsi" w:hAnsiTheme="majorHAnsi"/>
          <w:i/>
          <w:sz w:val="22"/>
        </w:rPr>
      </w:pPr>
      <w:r>
        <w:rPr>
          <w:rStyle w:val="Strong"/>
        </w:rPr>
        <w:t>Keywords:</w:t>
      </w:r>
      <w:r>
        <w:t xml:space="preserve"> </w:t>
      </w:r>
      <w:r w:rsidRPr="005C2F07">
        <w:rPr>
          <w:i/>
          <w:sz w:val="22"/>
        </w:rPr>
        <w:t>Diabetes Mellitus, Metabolic Risk Factors, Fasting Blood Glucose, Cardiovascular Health, Anthropometric Indices, Aging and Diabetes, Urbanization, Public Health.</w:t>
      </w:r>
    </w:p>
    <w:p w14:paraId="29F0536B" w14:textId="1623560E" w:rsidR="005C2F07" w:rsidRDefault="005C2F07" w:rsidP="00976A56">
      <w:pPr>
        <w:pStyle w:val="Heading3"/>
      </w:pPr>
    </w:p>
    <w:p w14:paraId="64A906AA" w14:textId="43718EB6" w:rsidR="00AB7488" w:rsidRDefault="00AB7488" w:rsidP="00976A56">
      <w:pPr>
        <w:pStyle w:val="Heading3"/>
      </w:pPr>
    </w:p>
    <w:p w14:paraId="767CA59E" w14:textId="26EAA5DF" w:rsidR="00AB7488" w:rsidRDefault="00AB7488" w:rsidP="00976A56">
      <w:pPr>
        <w:pStyle w:val="Heading3"/>
      </w:pPr>
    </w:p>
    <w:p w14:paraId="12EA1F13" w14:textId="3AB6E52F" w:rsidR="00AB7488" w:rsidRDefault="00AB7488" w:rsidP="00976A56">
      <w:pPr>
        <w:pStyle w:val="Heading3"/>
      </w:pPr>
    </w:p>
    <w:p w14:paraId="15830847" w14:textId="77777777" w:rsidR="00AB7488" w:rsidRDefault="00AB7488" w:rsidP="00976A56">
      <w:pPr>
        <w:pStyle w:val="Heading3"/>
      </w:pPr>
      <w:bookmarkStart w:id="0" w:name="_GoBack"/>
      <w:bookmarkEnd w:id="0"/>
    </w:p>
    <w:p w14:paraId="03BD0BAA" w14:textId="77777777" w:rsidR="00CA4452" w:rsidRDefault="00CA4452" w:rsidP="00976A56">
      <w:pPr>
        <w:pStyle w:val="Heading3"/>
      </w:pPr>
    </w:p>
    <w:p w14:paraId="0675306F" w14:textId="77777777" w:rsidR="00CA4452" w:rsidRDefault="00CA4452" w:rsidP="00976A56">
      <w:pPr>
        <w:pStyle w:val="Heading3"/>
      </w:pPr>
    </w:p>
    <w:p w14:paraId="58CFC43A" w14:textId="77777777" w:rsidR="00976A56" w:rsidRDefault="00976A56" w:rsidP="00F95B57">
      <w:pPr>
        <w:pStyle w:val="Heading3"/>
        <w:jc w:val="both"/>
      </w:pPr>
      <w:r>
        <w:t>Introduction</w:t>
      </w:r>
    </w:p>
    <w:p w14:paraId="35A7BDDC" w14:textId="56D0F065" w:rsidR="00976A56" w:rsidRDefault="00976A56" w:rsidP="00F95B57">
      <w:pPr>
        <w:pStyle w:val="NormalWeb"/>
        <w:jc w:val="both"/>
      </w:pPr>
      <w:r>
        <w:t>Diabetes mellitus is a complex metabolic disorder characterized by chronic hyperglyc</w:t>
      </w:r>
      <w:r w:rsidR="00CE0CC6">
        <w:t>a</w:t>
      </w:r>
      <w:r>
        <w:t>emia resulting from defects in insulin secretion, insulin action, or both.</w:t>
      </w:r>
      <w:r w:rsidR="005B6BD8">
        <w:fldChar w:fldCharType="begin" w:fldLock="1"/>
      </w:r>
      <w:r w:rsidR="005B6BD8">
        <w:instrText>ADDIN CSL_CITATION {"citationItems":[{"id":"ITEM-1","itemData":{"DOI":"10.2337/dc22-sint","ISSN":"0149-5992","author":[{"dropping-particle":"","family":"(ADA)","given":"American Diabetes Association","non-dropping-particle":"","parse-names":false,"suffix":""}],"container-title":"Diabetes Care","id":"ITEM-1","issue":"1","issued":{"date-parts":[["2023"]]},"page":"S1-S2286","publisher":"American Diabetes Association","title":"Standards of Medical Care in Diabetes-2023","type":"article-journal","volume":"45"},"uris":["http://www.mendeley.com/documents/?uuid=cd9ca611-d93a-4de9-a22e-9f13de0c2b77"]}],"mendeley":{"formattedCitation":"&lt;sup&gt;1&lt;/sup&gt;","plainTextFormattedCitation":"1","previouslyFormattedCitation":"&lt;sup&gt;1&lt;/sup&gt;"},"properties":{"noteIndex":0},"schema":"https://github.com/citation-style-language/schema/raw/master/csl-citation.json"}</w:instrText>
      </w:r>
      <w:r w:rsidR="005B6BD8">
        <w:fldChar w:fldCharType="separate"/>
      </w:r>
      <w:r w:rsidR="005B6BD8" w:rsidRPr="005B6BD8">
        <w:rPr>
          <w:noProof/>
          <w:vertAlign w:val="superscript"/>
        </w:rPr>
        <w:t>1</w:t>
      </w:r>
      <w:r w:rsidR="005B6BD8">
        <w:fldChar w:fldCharType="end"/>
      </w:r>
      <w:r>
        <w:t xml:space="preserve"> It remains a major global health concern, with increasing prevalence in both developed and developing countries. According to the International Diabetes Federatio</w:t>
      </w:r>
      <w:r w:rsidR="00301E51">
        <w:t>n,</w:t>
      </w:r>
      <w:r w:rsidR="00301E51">
        <w:fldChar w:fldCharType="begin" w:fldLock="1"/>
      </w:r>
      <w:r w:rsidR="00301E51">
        <w:instrText>ADDIN CSL_CITATION {"citationItems":[{"id":"ITEM-1","itemData":{"DOI":"10.1163/1570-6664_iyb_sim_org_38965","author":[{"dropping-particle":"","family":"IDF","given":"","non-dropping-particle":"","parse-names":false,"suffix":""}],"container-title":"International Diabetes Federation","id":"ITEM-1","issued":{"date-parts":[["2021"]]},"publisher":"Brill","title":"International Diabetes Atlas (10th ed)","type":"article"},"uris":["http://www.mendeley.com/documents/?uuid=476ff180-08d2-41a0-871e-9dd604389775"]}],"mendeley":{"formattedCitation":"&lt;sup&gt;2&lt;/sup&gt;","plainTextFormattedCitation":"2","previouslyFormattedCitation":"&lt;sup&gt;2&lt;/sup&gt;"},"properties":{"noteIndex":0},"schema":"https://github.com/citation-style-language/schema/raw/master/csl-citation.json"}</w:instrText>
      </w:r>
      <w:r w:rsidR="00301E51">
        <w:fldChar w:fldCharType="separate"/>
      </w:r>
      <w:r w:rsidR="00301E51" w:rsidRPr="00301E51">
        <w:rPr>
          <w:noProof/>
          <w:vertAlign w:val="superscript"/>
        </w:rPr>
        <w:t>2</w:t>
      </w:r>
      <w:r w:rsidR="00301E51">
        <w:fldChar w:fldCharType="end"/>
      </w:r>
      <w:r>
        <w:t xml:space="preserve"> approximately 537 million adults worldwide were living with diabetes in 2021, with projections indicating a rise to 643 million b</w:t>
      </w:r>
      <w:r w:rsidR="00772D82">
        <w:t>y 2030 and 783 million by 2045. The rising incidence of diabetes is largely driven by demographic shifts, urbanization, and lifestyle changes.</w:t>
      </w:r>
      <w:r w:rsidR="00301E51">
        <w:fldChar w:fldCharType="begin" w:fldLock="1"/>
      </w:r>
      <w:r w:rsidR="00301E51">
        <w:instrText>ADDIN CSL_CITATION {"citationItems":[{"id":"ITEM-1","itemData":{"DOI":"10.1038/nrendo.2017.151","ISSN":"1759-5029","author":[{"dropping-particle":"","family":"Zheng","given":"Yan","non-dropping-particle":"","parse-names":false,"suffix":""},{"dropping-particle":"","family":"Ley","given":"Sylvia H","non-dropping-particle":"","parse-names":false,"suffix":""},{"dropping-particle":"","family":"Hu","given":"Frank B","non-dropping-particle":"","parse-names":false,"suffix":""}],"container-title":"Nature Reviews Endocrinology","id":"ITEM-1","issue":"2","issued":{"date-parts":[["2018"]]},"page":"88-98","publisher":"Springer Science and Business Media LLC","title":"Global aetiology and epidemiology of type 2 diabetes mellitus and its complications","type":"article-journal","volume":"14"},"uris":["http://www.mendeley.com/documents/?uuid=d300c1d4-334a-4cfc-ae12-06838edcdfda"]}],"mendeley":{"formattedCitation":"&lt;sup&gt;3&lt;/sup&gt;","plainTextFormattedCitation":"3","previouslyFormattedCitation":"&lt;sup&gt;3&lt;/sup&gt;"},"properties":{"noteIndex":0},"schema":"https://github.com/citation-style-language/schema/raw/master/csl-citation.json"}</w:instrText>
      </w:r>
      <w:r w:rsidR="00301E51">
        <w:fldChar w:fldCharType="separate"/>
      </w:r>
      <w:r w:rsidR="00301E51" w:rsidRPr="00301E51">
        <w:rPr>
          <w:noProof/>
          <w:vertAlign w:val="superscript"/>
        </w:rPr>
        <w:t>3</w:t>
      </w:r>
      <w:r w:rsidR="00301E51">
        <w:fldChar w:fldCharType="end"/>
      </w:r>
      <w:r w:rsidR="00772D82">
        <w:t xml:space="preserve"> Aging populations, increased life expectancy, and changing socioeconomic conditions contribute to a growing at-risk population. Urbanization has led to greater consumption of processed, high-calorie foods and reduced physical activity due to sedentary work and transportation habits. Additionally, stress, inadequate sleep, and environmental factors further exacerbate metabolic dysfunction. Addressing these trends through public health interventions, lifestyle modifications, and early screening is crucial for diabetes prevention and management.</w:t>
      </w:r>
    </w:p>
    <w:p w14:paraId="7F2B8420" w14:textId="1B2853A7" w:rsidR="00976A56" w:rsidRDefault="00976A56" w:rsidP="00F95B57">
      <w:pPr>
        <w:pStyle w:val="NormalWeb"/>
        <w:jc w:val="both"/>
      </w:pPr>
      <w:r>
        <w:t>Aging is one of the strongest risk factors for diabetes, with prevalence increasing significantly among individuals aged 40 years and older.</w:t>
      </w:r>
      <w:r w:rsidR="00301E51">
        <w:fldChar w:fldCharType="begin" w:fldLock="1"/>
      </w:r>
      <w:r w:rsidR="00301E51">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Lancet","id":"ITEM-1","issue":"10085","issued":{"date-parts":[["2017"]]},"page":"2239-2251","publisher":"Elsevier BV","title":"Type 2 diabetes","type":"article-journal","volume":"389"},"uris":["http://www.mendeley.com/documents/?uuid=4cfd3e64-9fc4-4c15-a838-2a3e77277a4e"]}],"mendeley":{"formattedCitation":"&lt;sup&gt;4&lt;/sup&gt;","plainTextFormattedCitation":"4","previouslyFormattedCitation":"&lt;sup&gt;4&lt;/sup&gt;"},"properties":{"noteIndex":0},"schema":"https://github.com/citation-style-language/schema/raw/master/csl-citation.json"}</w:instrText>
      </w:r>
      <w:r w:rsidR="00301E51">
        <w:fldChar w:fldCharType="separate"/>
      </w:r>
      <w:r w:rsidR="00301E51" w:rsidRPr="00301E51">
        <w:rPr>
          <w:noProof/>
          <w:vertAlign w:val="superscript"/>
        </w:rPr>
        <w:t>4</w:t>
      </w:r>
      <w:r w:rsidR="00301E51">
        <w:fldChar w:fldCharType="end"/>
      </w:r>
      <w:r>
        <w:t xml:space="preserve"> Physiological changes associated with aging, such as declining pancreatic beta-cell function and increasing insulin resistance, contribute to the higher risk of diabetes in older adults.</w:t>
      </w:r>
      <w:r w:rsidR="00301E51">
        <w:fldChar w:fldCharType="begin" w:fldLock="1"/>
      </w:r>
      <w:r w:rsidR="00301E51">
        <w:instrText>ADDIN CSL_CITATION {"citationItems":[{"id":"ITEM-1","itemData":{"DOI":"10.3389/fendo.2013.00037","ISSN":"1664-2392","author":[{"dropping-particle":"","family":"Cerf","given":"Marlon E","non-dropping-particle":"","parse-names":false,"suffix":""}],"container-title":"Frontiers in Endocrinology","id":"ITEM-1","issued":{"date-parts":[["2019"]]},"page":"62-58","publisher":"Frontiers Media SA","title":"Beta Cell Dysfunction and Insulin Resistance","type":"article-journal","volume":"10"},"uris":["http://www.mendeley.com/documents/?uuid=17548506-a88f-4b09-b526-f71b0febb8b5"]}],"mendeley":{"formattedCitation":"&lt;sup&gt;5&lt;/sup&gt;","plainTextFormattedCitation":"5","previouslyFormattedCitation":"&lt;sup&gt;5&lt;/sup&gt;"},"properties":{"noteIndex":0},"schema":"https://github.com/citation-style-language/schema/raw/master/csl-citation.json"}</w:instrText>
      </w:r>
      <w:r w:rsidR="00301E51">
        <w:fldChar w:fldCharType="separate"/>
      </w:r>
      <w:r w:rsidR="00301E51" w:rsidRPr="00301E51">
        <w:rPr>
          <w:noProof/>
          <w:vertAlign w:val="superscript"/>
        </w:rPr>
        <w:t>5</w:t>
      </w:r>
      <w:r w:rsidR="00301E51">
        <w:fldChar w:fldCharType="end"/>
      </w:r>
      <w:r>
        <w:t xml:space="preserve"> However, other factors, including sex, occupation, place of residence, alcohol consumption, and body mass index (BMI), have also been linked to diabetes risk, although their associations remain inconsistent across different populations.</w:t>
      </w:r>
      <w:r w:rsidR="00301E51">
        <w:fldChar w:fldCharType="begin" w:fldLock="1"/>
      </w:r>
      <w:r w:rsidR="00301E51">
        <w:instrText>ADDIN CSL_CITATION {"citationItems":[{"id":"ITEM-1","itemData":{"DOI":"10.1016/j.diabres.2018.02.023","ISSN":"0168-8227","author":[{"dropping-particle":"","family":"Cho","given":"N H","non-dropping-particle":"","parse-names":false,"suffix":""},{"dropping-particle":"","family":"Shaw","given":"J E","non-dropping-particle":"","parse-names":false,"suffix":""},{"dropping-particle":"","family":"Karuranga","given":"S","non-dropping-particle":"","parse-names":false,"suffix":""},{"dropping-particle":"","family":"Huang","given":"Y","non-dropping-particle":"","parse-names":false,"suffix":""},{"dropping-particle":"","family":"Rocha Fernandes","given":"J D","non-dropping-particle":"da","parse-names":false,"suffix":""},{"dropping-particle":"","family":"Ohlrogge","given":"A W","non-dropping-particle":"","parse-names":false,"suffix":""},{"dropping-particle":"","family":"Malanda","given":"B","non-dropping-particle":"","parse-names":false,"suffix":""}],"container-title":"Diabetes Research and Clinical Practice","id":"ITEM-1","issued":{"date-parts":[["2018"]]},"page":"271-281","publisher":"Elsevier BV","title":"IDF Diabetes Atlas: Global estimates of diabetes prevalence for 2017 and projections for 2045","type":"article-journal","volume":"138"},"uris":["http://www.mendeley.com/documents/?uuid=ec0d65cb-95f7-483f-8464-f23af21b5373"]}],"mendeley":{"formattedCitation":"&lt;sup&gt;6&lt;/sup&gt;","plainTextFormattedCitation":"6","previouslyFormattedCitation":"&lt;sup&gt;6&lt;/sup&gt;"},"properties":{"noteIndex":0},"schema":"https://github.com/citation-style-language/schema/raw/master/csl-citation.json"}</w:instrText>
      </w:r>
      <w:r w:rsidR="00301E51">
        <w:fldChar w:fldCharType="separate"/>
      </w:r>
      <w:r w:rsidR="00301E51" w:rsidRPr="00301E51">
        <w:rPr>
          <w:noProof/>
          <w:vertAlign w:val="superscript"/>
        </w:rPr>
        <w:t>6</w:t>
      </w:r>
      <w:r w:rsidR="00301E51">
        <w:fldChar w:fldCharType="end"/>
      </w:r>
      <w:r>
        <w:t xml:space="preserve"> Central obesity, as measured by waist-to-hip ratio, has been recognized as a stronger predictor of metabolic and cardiovascular risk compared to BMI alone.</w:t>
      </w:r>
      <w:r w:rsidR="00301E51">
        <w:fldChar w:fldCharType="begin" w:fldLock="1"/>
      </w:r>
      <w:r w:rsidR="00301E51">
        <w:instrText>ADDIN CSL_CITATION {"citationItems":[{"id":"ITEM-1","itemData":{"DOI":"10.2337/dc07-9921","ISSN":"0149-5992","author":[{"dropping-particle":"","family":"Klein","given":"Samuel","non-dropping-particle":"","parse-names":false,"suffix":""},{"dropping-particle":"","family":"Allison","given":"David B","non-dropping-particle":"","parse-names":false,"suffix":""},{"dropping-particle":"","family":"Heymsfield","given":"Steven B","non-dropping-particle":"","parse-names":false,"suffix":""},{"dropping-particle":"","family":"Kelley","given":"David E","non-dropping-particle":"","parse-names":false,"suffix":""},{"dropping-particle":"","family":"Leibel","given":"Rudolph L","non-dropping-particle":"","parse-names":false,"suffix":""},{"dropping-particle":"","family":"Nonas","given":"Cathy","non-dropping-particle":"","parse-names":false,"suffix":""},{"dropping-particle":"","family":"Kahn","given":"Richard","non-dropping-particle":"","parse-names":false,"suffix":""}],"container-title":"Obesity","id":"ITEM-1","issue":"4","issued":{"date-parts":[["2020"]]},"page":"627-638","publisher":"American Diabetes Association","title":"Waist Circumference and Cardiometabolic Risk: A Consesus Statement","type":"article-journal","volume":"28"},"uris":["http://www.mendeley.com/documents/?uuid=255ee4e5-ccea-40df-9a98-b47fda44e0c1"]}],"mendeley":{"formattedCitation":"&lt;sup&gt;7&lt;/sup&gt;","plainTextFormattedCitation":"7","previouslyFormattedCitation":"&lt;sup&gt;7&lt;/sup&gt;"},"properties":{"noteIndex":0},"schema":"https://github.com/citation-style-language/schema/raw/master/csl-citation.json"}</w:instrText>
      </w:r>
      <w:r w:rsidR="00301E51">
        <w:fldChar w:fldCharType="separate"/>
      </w:r>
      <w:r w:rsidR="00301E51" w:rsidRPr="00301E51">
        <w:rPr>
          <w:noProof/>
          <w:vertAlign w:val="superscript"/>
        </w:rPr>
        <w:t>7</w:t>
      </w:r>
      <w:r w:rsidR="00301E51">
        <w:fldChar w:fldCharType="end"/>
      </w:r>
      <w:r>
        <w:t xml:space="preserve"> Despite these known associations, there is a need for population-specific studies to clarify the relative influence of these factors on diabetes risk.</w:t>
      </w:r>
    </w:p>
    <w:p w14:paraId="4378AC59" w14:textId="3822F5A0" w:rsidR="00976A56" w:rsidRDefault="00976A56" w:rsidP="00F95B57">
      <w:pPr>
        <w:pStyle w:val="NormalWeb"/>
        <w:jc w:val="both"/>
      </w:pPr>
      <w:r>
        <w:t xml:space="preserve">This study aims to assess the relationship between diabetes risk and key demographic, metabolic, and cardiovascular parameters in a selected population. Specifically, it examines whether age, sex, occupation, residence, alcohol consumption, and BMI are significantly associated with diabetes risk. Additionally, it explores correlations between </w:t>
      </w:r>
      <w:r w:rsidR="001B410F">
        <w:t>fasting blood glucose</w:t>
      </w:r>
      <w:r>
        <w:t xml:space="preserve"> (</w:t>
      </w:r>
      <w:r w:rsidR="00D05FC3">
        <w:t>FBG</w:t>
      </w:r>
      <w:r>
        <w:t xml:space="preserve">), </w:t>
      </w:r>
      <w:r w:rsidR="00D05FC3">
        <w:t>random blood glucose</w:t>
      </w:r>
      <w:r>
        <w:t xml:space="preserve"> (</w:t>
      </w:r>
      <w:r w:rsidR="00D05FC3">
        <w:t>RBG</w:t>
      </w:r>
      <w:r>
        <w:t>), systolic and diastolic blood pressure, BMI, and waist-to-hip ratio to determine potential metabolic and cardiovascular interactions.</w:t>
      </w:r>
    </w:p>
    <w:p w14:paraId="07789B64" w14:textId="77777777" w:rsidR="00976A56" w:rsidRDefault="00976A56" w:rsidP="00F95B57">
      <w:pPr>
        <w:pStyle w:val="NormalWeb"/>
        <w:jc w:val="both"/>
      </w:pPr>
      <w:r>
        <w:t>By identifying significant predictors of diabetes risk, this research seeks to contribute to the broader understanding of metabolic health determinants. The findings may provide insights for targeted public health interventions and risk reduction strategies, particularly in resource-limited settings where diabetes prevalence continues to rise.</w:t>
      </w:r>
    </w:p>
    <w:p w14:paraId="38EE02A0" w14:textId="77777777" w:rsidR="005C2F07" w:rsidRDefault="005C2F07" w:rsidP="00F95B57">
      <w:pPr>
        <w:pStyle w:val="Heading3"/>
        <w:jc w:val="both"/>
      </w:pPr>
      <w:r>
        <w:t>Literature Review</w:t>
      </w:r>
    </w:p>
    <w:p w14:paraId="1DE78FEA" w14:textId="77777777" w:rsidR="005C2F07" w:rsidRPr="005C2F07" w:rsidRDefault="005C2F07" w:rsidP="00F95B57">
      <w:pPr>
        <w:pStyle w:val="Heading4"/>
        <w:jc w:val="both"/>
        <w:rPr>
          <w:i w:val="0"/>
          <w:color w:val="auto"/>
        </w:rPr>
      </w:pPr>
      <w:r w:rsidRPr="005C2F07">
        <w:rPr>
          <w:rStyle w:val="Strong"/>
          <w:b/>
          <w:bCs/>
          <w:i w:val="0"/>
          <w:color w:val="auto"/>
        </w:rPr>
        <w:t>Diabetes Mellitus and Its Global Burden</w:t>
      </w:r>
    </w:p>
    <w:p w14:paraId="5788CB0A" w14:textId="75EFFFC7" w:rsidR="005C2F07" w:rsidRDefault="005C2F07" w:rsidP="00F95B57">
      <w:pPr>
        <w:pStyle w:val="NormalWeb"/>
        <w:jc w:val="both"/>
      </w:pPr>
      <w:r>
        <w:t>Diabetes mellitus is a chronic metabolic disorder that has emerged as a global public health challenge. The International Diabetes Federation</w:t>
      </w:r>
      <w:r w:rsidR="00301E51">
        <w:fldChar w:fldCharType="begin" w:fldLock="1"/>
      </w:r>
      <w:r w:rsidR="00301E51">
        <w:instrText>ADDIN CSL_CITATION {"citationItems":[{"id":"ITEM-1","itemData":{"DOI":"10.1163/1570-6664_iyb_sim_org_38965","author":[{"dropping-particle":"","family":"IDF","given":"","non-dropping-particle":"","parse-names":false,"suffix":""}],"container-title":"International Diabetes Federation","id":"ITEM-1","issued":{"date-parts":[["2021"]]},"publisher":"Brill","title":"International Diabetes Atlas (10th ed)","type":"article"},"uris":["http://www.mendeley.com/documents/?uuid=476ff180-08d2-41a0-871e-9dd604389775"]}],"mendeley":{"formattedCitation":"&lt;sup&gt;2&lt;/sup&gt;","plainTextFormattedCitation":"2","previouslyFormattedCitation":"&lt;sup&gt;2&lt;/sup&gt;"},"properties":{"noteIndex":0},"schema":"https://github.com/citation-style-language/schema/raw/master/csl-citation.json"}</w:instrText>
      </w:r>
      <w:r w:rsidR="00301E51">
        <w:fldChar w:fldCharType="separate"/>
      </w:r>
      <w:r w:rsidR="00301E51" w:rsidRPr="00301E51">
        <w:rPr>
          <w:noProof/>
          <w:vertAlign w:val="superscript"/>
        </w:rPr>
        <w:t>2</w:t>
      </w:r>
      <w:r w:rsidR="00301E51">
        <w:fldChar w:fldCharType="end"/>
      </w:r>
      <w:r>
        <w:t xml:space="preserve"> estimates that the number of people with diabetes will rise from 537 million in 2021 to 783 million by 2045. This increase is driven by urbanization, aging populations, and lifestyle modifications such as sedentary behaviour and poor dietary habits.</w:t>
      </w:r>
      <w:r w:rsidR="00301E51">
        <w:fldChar w:fldCharType="begin" w:fldLock="1"/>
      </w:r>
      <w:r w:rsidR="00301E51">
        <w:instrText>ADDIN CSL_CITATION {"citationItems":[{"id":"ITEM-1","itemData":{"DOI":"10.1038/nrendo.2017.151","ISSN":"1759-5029","author":[{"dropping-particle":"","family":"Zheng","given":"Yan","non-dropping-particle":"","parse-names":false,"suffix":""},{"dropping-particle":"","family":"Ley","given":"Sylvia H","non-dropping-particle":"","parse-names":false,"suffix":""},{"dropping-particle":"","family":"Hu","given":"Frank B","non-dropping-particle":"","parse-names":false,"suffix":""}],"container-title":"Nature Reviews Endocrinology","id":"ITEM-1","issue":"2","issued":{"date-parts":[["2018"]]},"page":"88-98","publisher":"Springer Science and Business Media LLC","title":"Global aetiology and epidemiology of type 2 diabetes mellitus and its complications","type":"article-journal","volume":"14"},"uris":["http://www.mendeley.com/documents/?uuid=d300c1d4-334a-4cfc-ae12-06838edcdfda"]}],"mendeley":{"formattedCitation":"&lt;sup&gt;3&lt;/sup&gt;","plainTextFormattedCitation":"3","previouslyFormattedCitation":"&lt;sup&gt;3&lt;/sup&gt;"},"properties":{"noteIndex":0},"schema":"https://github.com/citation-style-language/schema/raw/master/csl-citation.json"}</w:instrText>
      </w:r>
      <w:r w:rsidR="00301E51">
        <w:fldChar w:fldCharType="separate"/>
      </w:r>
      <w:r w:rsidR="00301E51" w:rsidRPr="00301E51">
        <w:rPr>
          <w:noProof/>
          <w:vertAlign w:val="superscript"/>
        </w:rPr>
        <w:t>3</w:t>
      </w:r>
      <w:r w:rsidR="00301E51">
        <w:fldChar w:fldCharType="end"/>
      </w:r>
      <w:r>
        <w:t xml:space="preserve"> Developing countries, particularly in sub-Saharan Africa, are experiencing a rapid increase in diabetes prevalence, largely due to shifting epidemiological and nutritional transitions.</w:t>
      </w:r>
      <w:r w:rsidR="00301E51">
        <w:fldChar w:fldCharType="begin" w:fldLock="1"/>
      </w:r>
      <w:r w:rsidR="00C674F0">
        <w:instrText>ADDIN CSL_CITATION {"citationItems":[{"id":"ITEM-1","itemData":{"DOI":"10.1016/j.diabres.2018.02.023","ISSN":"0168-8227","author":[{"dropping-particle":"","family":"Cho","given":"N H","non-dropping-particle":"","parse-names":false,"suffix":""},{"dropping-particle":"","family":"Shaw","given":"J E","non-dropping-particle":"","parse-names":false,"suffix":""},{"dropping-particle":"","family":"Karuranga","given":"S","non-dropping-particle":"","parse-names":false,"suffix":""},{"dropping-particle":"","family":"Huang","given":"Y","non-dropping-particle":"","parse-names":false,"suffix":""},{"dropping-particle":"","family":"Rocha Fernandes","given":"J D","non-dropping-particle":"da","parse-names":false,"suffix":""},{"dropping-particle":"","family":"Ohlrogge","given":"A W","non-dropping-particle":"","parse-names":false,"suffix":""},{"dropping-particle":"","family":"Malanda","given":"B","non-dropping-particle":"","parse-names":false,"suffix":""}],"container-title":"Diabetes Research and Clinical Practice","id":"ITEM-1","issued":{"date-parts":[["2018"]]},"page":"271-281","publisher":"Elsevier BV","title":"IDF Diabetes Atlas: Global estimates of diabetes prevalence for 2017 and projections for 2045","type":"article-journal","volume":"138"},"uris":["http://www.mendeley.com/documents/?uuid=ec0d65cb-95f7-483f-8464-f23af21b5373"]}],"mendeley":{"formattedCitation":"&lt;sup&gt;6&lt;/sup&gt;","plainTextFormattedCitation":"6","previouslyFormattedCitation":"&lt;sup&gt;6&lt;/sup&gt;"},"properties":{"noteIndex":0},"schema":"https://github.com/citation-style-language/schema/raw/master/csl-citation.json"}</w:instrText>
      </w:r>
      <w:r w:rsidR="00301E51">
        <w:fldChar w:fldCharType="separate"/>
      </w:r>
      <w:r w:rsidR="00301E51" w:rsidRPr="00301E51">
        <w:rPr>
          <w:noProof/>
          <w:vertAlign w:val="superscript"/>
        </w:rPr>
        <w:t>6</w:t>
      </w:r>
      <w:r w:rsidR="00301E51">
        <w:fldChar w:fldCharType="end"/>
      </w:r>
    </w:p>
    <w:p w14:paraId="35E21FF7" w14:textId="77777777" w:rsidR="005C2F07" w:rsidRPr="005C2F07" w:rsidRDefault="005C2F07" w:rsidP="00F95B57">
      <w:pPr>
        <w:pStyle w:val="Heading4"/>
        <w:jc w:val="both"/>
        <w:rPr>
          <w:i w:val="0"/>
          <w:color w:val="auto"/>
        </w:rPr>
      </w:pPr>
      <w:r w:rsidRPr="005C2F07">
        <w:rPr>
          <w:rStyle w:val="Strong"/>
          <w:b/>
          <w:bCs/>
          <w:i w:val="0"/>
          <w:color w:val="auto"/>
        </w:rPr>
        <w:lastRenderedPageBreak/>
        <w:t>Age and Diabetes Risk</w:t>
      </w:r>
    </w:p>
    <w:p w14:paraId="3EF11EB2" w14:textId="59DF0FEC" w:rsidR="003C2237" w:rsidRDefault="005C2F07" w:rsidP="00F95B57">
      <w:pPr>
        <w:pStyle w:val="NormalWeb"/>
        <w:jc w:val="both"/>
      </w:pPr>
      <w:r>
        <w:t>Age is a well-established risk factor for diabetes, with older adults displaying a significantly higher prevalence of both type 2 diabetes and pre</w:t>
      </w:r>
      <w:r w:rsidR="003C2237">
        <w:t>-</w:t>
      </w:r>
      <w:r>
        <w:t>diabetes.</w:t>
      </w:r>
      <w:r w:rsidR="00C674F0">
        <w:fldChar w:fldCharType="begin" w:fldLock="1"/>
      </w:r>
      <w:r w:rsidR="00C674F0">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Lancet","id":"ITEM-1","issue":"10085","issued":{"date-parts":[["2017"]]},"page":"2239-2251","publisher":"Elsevier BV","title":"Type 2 diabetes","type":"article-journal","volume":"389"},"uris":["http://www.mendeley.com/documents/?uuid=4cfd3e64-9fc4-4c15-a838-2a3e77277a4e"]}],"mendeley":{"formattedCitation":"&lt;sup&gt;4&lt;/sup&gt;","plainTextFormattedCitation":"4","previouslyFormattedCitation":"&lt;sup&gt;4&lt;/sup&gt;"},"properties":{"noteIndex":0},"schema":"https://github.com/citation-style-language/schema/raw/master/csl-citation.json"}</w:instrText>
      </w:r>
      <w:r w:rsidR="00C674F0">
        <w:fldChar w:fldCharType="separate"/>
      </w:r>
      <w:r w:rsidR="00C674F0" w:rsidRPr="00C674F0">
        <w:rPr>
          <w:noProof/>
          <w:vertAlign w:val="superscript"/>
        </w:rPr>
        <w:t>4</w:t>
      </w:r>
      <w:r w:rsidR="00C674F0">
        <w:fldChar w:fldCharType="end"/>
      </w:r>
      <w:r>
        <w:t xml:space="preserve"> </w:t>
      </w:r>
      <w:r w:rsidR="007C45A4">
        <w:t>This is primarily due to physiological changes that occur with aging, including increased insulin resistance and impaired pancreatic beta-cell function. Studies, including those by Chatterjee et al.</w:t>
      </w:r>
      <w:r w:rsidR="00C674F0">
        <w:fldChar w:fldCharType="begin" w:fldLock="1"/>
      </w:r>
      <w:r w:rsidR="00C674F0">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Lancet","id":"ITEM-1","issue":"10085","issued":{"date-parts":[["2017"]]},"page":"2239-2251","publisher":"Elsevier BV","title":"Type 2 diabetes","type":"article-journal","volume":"389"},"uris":["http://www.mendeley.com/documents/?uuid=4cfd3e64-9fc4-4c15-a838-2a3e77277a4e"]}],"mendeley":{"formattedCitation":"&lt;sup&gt;4&lt;/sup&gt;","plainTextFormattedCitation":"4","previouslyFormattedCitation":"&lt;sup&gt;4&lt;/sup&gt;"},"properties":{"noteIndex":0},"schema":"https://github.com/citation-style-language/schema/raw/master/csl-citation.json"}</w:instrText>
      </w:r>
      <w:r w:rsidR="00C674F0">
        <w:fldChar w:fldCharType="separate"/>
      </w:r>
      <w:r w:rsidR="00C674F0" w:rsidRPr="00C674F0">
        <w:rPr>
          <w:noProof/>
          <w:vertAlign w:val="superscript"/>
        </w:rPr>
        <w:t>4</w:t>
      </w:r>
      <w:r w:rsidR="00C674F0">
        <w:fldChar w:fldCharType="end"/>
      </w:r>
      <w:r w:rsidR="007C45A4">
        <w:t xml:space="preserve"> have shown that the prevalence of diabetes rises with age, particularly in individuals over 45 years. Additionally, aging is often accompanied by other risk factors such as obesity, reduced physical activity, and chronic inflammation, all of which contribute to metabolic dysfunction.</w:t>
      </w:r>
    </w:p>
    <w:p w14:paraId="433375F2" w14:textId="198DD355" w:rsidR="003C2237" w:rsidRDefault="005C2F07" w:rsidP="00F95B57">
      <w:pPr>
        <w:pStyle w:val="NormalWeb"/>
        <w:jc w:val="both"/>
      </w:pPr>
      <w:r>
        <w:t>Studies indicate that insulin resistance increases with age, largely due to declining pancreatic beta-cell function and alterations in glucose metabolism.</w:t>
      </w:r>
      <w:r w:rsidR="00C674F0">
        <w:fldChar w:fldCharType="begin" w:fldLock="1"/>
      </w:r>
      <w:r w:rsidR="00C674F0">
        <w:instrText>ADDIN CSL_CITATION {"citationItems":[{"id":"ITEM-1","itemData":{"DOI":"10.3389/fendo.2013.00037","ISSN":"1664-2392","author":[{"dropping-particle":"","family":"Cerf","given":"Marlon E","non-dropping-particle":"","parse-names":false,"suffix":""}],"container-title":"Frontiers in Endocrinology","id":"ITEM-1","issued":{"date-parts":[["2019"]]},"page":"62-58","publisher":"Frontiers Media SA","title":"Beta Cell Dysfunction and Insulin Resistance","type":"article-journal","volume":"10"},"uris":["http://www.mendeley.com/documents/?uuid=17548506-a88f-4b09-b526-f71b0febb8b5"]}],"mendeley":{"formattedCitation":"&lt;sup&gt;5&lt;/sup&gt;","plainTextFormattedCitation":"5","previouslyFormattedCitation":"&lt;sup&gt;5&lt;/sup&gt;"},"properties":{"noteIndex":0},"schema":"https://github.com/citation-style-language/schema/raw/master/csl-citation.json"}</w:instrText>
      </w:r>
      <w:r w:rsidR="00C674F0">
        <w:fldChar w:fldCharType="separate"/>
      </w:r>
      <w:r w:rsidR="00C674F0" w:rsidRPr="00C674F0">
        <w:rPr>
          <w:noProof/>
          <w:vertAlign w:val="superscript"/>
        </w:rPr>
        <w:t>5</w:t>
      </w:r>
      <w:r w:rsidR="00C674F0">
        <w:fldChar w:fldCharType="end"/>
      </w:r>
      <w:r>
        <w:t xml:space="preserve"> </w:t>
      </w:r>
      <w:r w:rsidR="00D71CE5">
        <w:t>Aging is associated with reduced insulin sensitivity in peripheral tissues, particularly muscle and adipose tissue, leading to impaired glucose uptake. Additionally, pancreatic beta-cells undergo functional decline, reducing their ability to compensate for rising insulin resistance. Chronic low-grade inflammation, mitochondrial dysfunction, and changes in body composition (such as increased visceral fat) further exacerbate metabolic disturbances, increasing the risk of type 2 diabetes and prediabetes in older adults.</w:t>
      </w:r>
    </w:p>
    <w:p w14:paraId="2840923E" w14:textId="4A8222B2" w:rsidR="003C2237" w:rsidRDefault="000437AB" w:rsidP="00F95B57">
      <w:pPr>
        <w:pStyle w:val="NormalWeb"/>
        <w:jc w:val="both"/>
      </w:pPr>
      <w:r>
        <w:t xml:space="preserve">Research indicates that individuals over 40 years of age have a significantly higher risk of developing diabetes compared to younger </w:t>
      </w:r>
      <w:r w:rsidRPr="00772D82">
        <w:t>adults.</w:t>
      </w:r>
      <w:r w:rsidR="00C674F0">
        <w:fldChar w:fldCharType="begin" w:fldLock="1"/>
      </w:r>
      <w:r w:rsidR="00C674F0">
        <w:instrText>ADDIN CSL_CITATION {"citationItems":[{"id":"ITEM-1","itemData":{"DOI":"10.2337/dc22-sint","ISSN":"0149-5992","author":[{"dropping-particle":"","family":"(ADA)","given":"American Diabetes Association","non-dropping-particle":"","parse-names":false,"suffix":""}],"container-title":"Diabetes Care","id":"ITEM-1","issue":"1","issued":{"date-parts":[["2023"]]},"page":"S1-S2286","publisher":"American Diabetes Association","title":"Standards of Medical Care in Diabetes-2023","type":"article-journal","volume":"45"},"uris":["http://www.mendeley.com/documents/?uuid=cd9ca611-d93a-4de9-a22e-9f13de0c2b77"]}],"mendeley":{"formattedCitation":"&lt;sup&gt;1&lt;/sup&gt;","plainTextFormattedCitation":"1","previouslyFormattedCitation":"&lt;sup&gt;1&lt;/sup&gt;"},"properties":{"noteIndex":0},"schema":"https://github.com/citation-style-language/schema/raw/master/csl-citation.json"}</w:instrText>
      </w:r>
      <w:r w:rsidR="00C674F0">
        <w:fldChar w:fldCharType="separate"/>
      </w:r>
      <w:r w:rsidR="00C674F0" w:rsidRPr="00C674F0">
        <w:rPr>
          <w:noProof/>
          <w:vertAlign w:val="superscript"/>
        </w:rPr>
        <w:t>1</w:t>
      </w:r>
      <w:r w:rsidR="00C674F0">
        <w:fldChar w:fldCharType="end"/>
      </w:r>
      <w:r w:rsidRPr="00772D82">
        <w:t xml:space="preserve"> </w:t>
      </w:r>
      <w:r>
        <w:t>This increased risk is largely attributed to age-related declines in insulin sensitivity, progressive beta-cell dysfunction, and metabolic changes such as increased visceral fat accumulation. Additionally, lifestyle factors, including reduced physical activity and dietary patterns, contribute to impaired glucose regulation. As a result, diabetes screening and preventive measures become increasingly important in this age group to mitigate the risk of progression to type 2 diabetes.</w:t>
      </w:r>
    </w:p>
    <w:p w14:paraId="50371962" w14:textId="39B00E43" w:rsidR="005C2F07" w:rsidRPr="006D7F18" w:rsidRDefault="005C2F07" w:rsidP="00F95B57">
      <w:pPr>
        <w:pStyle w:val="NormalWeb"/>
        <w:jc w:val="both"/>
        <w:rPr>
          <w:color w:val="FF0000"/>
        </w:rPr>
      </w:pPr>
      <w:r w:rsidRPr="00772D82">
        <w:t xml:space="preserve">Furthermore, studies have linked aging to increases in systolic and diastolic blood pressure, body mass index (BMI), and </w:t>
      </w:r>
      <w:r w:rsidR="001B410F">
        <w:t>fasting blood glucose</w:t>
      </w:r>
      <w:r w:rsidRPr="00772D82">
        <w:t xml:space="preserve"> (</w:t>
      </w:r>
      <w:r w:rsidR="00D05FC3">
        <w:t>FBG</w:t>
      </w:r>
      <w:r w:rsidRPr="00772D82">
        <w:t>), all of which contribute to heightened diabetes risk.</w:t>
      </w:r>
      <w:r w:rsidR="00C674F0">
        <w:fldChar w:fldCharType="begin" w:fldLock="1"/>
      </w:r>
      <w:r w:rsidR="006B657B">
        <w:instrText>ADDIN CSL_CITATION {"citationItems":[{"id":"ITEM-1","itemData":{"DOI":"10.2337/dci17-0005","ISSN":"0149-5992","author":[{"dropping-particle":"","family":"Kalyani","given":"Rita R","non-dropping-particle":"","parse-names":false,"suffix":""},{"dropping-particle":"","family":"Golden","given":"Sherita H","non-dropping-particle":"","parse-names":false,"suffix":""},{"dropping-particle":"","family":"Cefalu","given":"William T","non-dropping-particle":"","parse-names":false,"suffix":""}],"container-title":"Diabetes Care","id":"ITEM-1","issue":"4","issued":{"date-parts":[["2017"]]},"page":"440-443","publisher":"American Diabetes Association","title":"Diabetes and Aging: Unique Considerations and Goals of Care","type":"article-journal","volume":"40"},"uris":["http://www.mendeley.com/documents/?uuid=bbd80fe7-9921-40b7-9014-b260ae456499"]}],"mendeley":{"formattedCitation":"&lt;sup&gt;8&lt;/sup&gt;","plainTextFormattedCitation":"8","previouslyFormattedCitation":"&lt;sup&gt;8&lt;/sup&gt;"},"properties":{"noteIndex":0},"schema":"https://github.com/citation-style-language/schema/raw/master/csl-citation.json"}</w:instrText>
      </w:r>
      <w:r w:rsidR="00C674F0">
        <w:fldChar w:fldCharType="separate"/>
      </w:r>
      <w:r w:rsidR="00C674F0" w:rsidRPr="00C674F0">
        <w:rPr>
          <w:noProof/>
          <w:vertAlign w:val="superscript"/>
        </w:rPr>
        <w:t>8</w:t>
      </w:r>
      <w:r w:rsidR="00C674F0">
        <w:fldChar w:fldCharType="end"/>
      </w:r>
      <w:r w:rsidR="006D7F18" w:rsidRPr="00772D82">
        <w:t xml:space="preserve"> </w:t>
      </w:r>
      <w:r w:rsidR="006D7F18">
        <w:t>Age-related changes in vascular function, reduced metabolic efficiency, and increased adiposity play a key role in these trends. Elevated blood pressure and BMI are closely associated with insulin resistance and chronic inflammation, further impairing glucose regulation. As these risk factors accumulate with age, they create a metabolic environment that significantly increases the likelihood of developing type 2 diabetes.</w:t>
      </w:r>
    </w:p>
    <w:p w14:paraId="6CD59BAA" w14:textId="77777777" w:rsidR="005C2F07" w:rsidRPr="005C2F07" w:rsidRDefault="005C2F07" w:rsidP="00F95B57">
      <w:pPr>
        <w:pStyle w:val="Heading4"/>
        <w:jc w:val="both"/>
        <w:rPr>
          <w:i w:val="0"/>
          <w:color w:val="auto"/>
        </w:rPr>
      </w:pPr>
      <w:r w:rsidRPr="005C2F07">
        <w:rPr>
          <w:rStyle w:val="Strong"/>
          <w:b/>
          <w:bCs/>
          <w:i w:val="0"/>
          <w:color w:val="auto"/>
        </w:rPr>
        <w:t>Sex, Occupation, and Residence as Influencing Factors</w:t>
      </w:r>
    </w:p>
    <w:p w14:paraId="59C1CB82" w14:textId="5D5519FD" w:rsidR="003B5F3B" w:rsidRDefault="005C2F07" w:rsidP="00F95B57">
      <w:pPr>
        <w:pStyle w:val="NormalWeb"/>
        <w:jc w:val="both"/>
      </w:pPr>
      <w:r>
        <w:t>The relationship between sex and diabetes risk remains inconclusive</w:t>
      </w:r>
      <w:r w:rsidR="00B8402A">
        <w:t xml:space="preserve"> because</w:t>
      </w:r>
      <w:r>
        <w:t xml:space="preserve"> </w:t>
      </w:r>
      <w:r w:rsidR="00B8402A">
        <w:t>r</w:t>
      </w:r>
      <w:r w:rsidR="003B5F3B" w:rsidRPr="003B5F3B">
        <w:t xml:space="preserve">esearch on gender differences in diabetes risk presents mixed findings. </w:t>
      </w:r>
      <w:r>
        <w:t>Some studies suggest that men have a higher predisposition to diabetes due to greater visceral fat accumulation, whereas others indicate that women, particularly postmenopausal women, may have an increased risk due to hormonal changes affecting insulin sensitivity.</w:t>
      </w:r>
      <w:r w:rsidR="006B657B">
        <w:fldChar w:fldCharType="begin" w:fldLock="1"/>
      </w:r>
      <w:r w:rsidR="00A84FBC">
        <w:instrText>ADDIN CSL_CITATION {"citationItems":[{"id":"ITEM-1","itemData":{"DOI":"10.1007/s00392-006-0377-8","ISSN":"1861-0684","author":[{"dropping-particle":"","family":"Regitz-Zagrosek","given":"Vera","non-dropping-particle":"","parse-names":false,"suffix":""},{"dropping-particle":"","family":"Lehmkuhl","given":"Elke","non-dropping-particle":"","parse-names":false,"suffix":""},{"dropping-particle":"","family":"Weickert","given":"Martin O","non-dropping-particle":"","parse-names":false,"suffix":""}],"container-title":"Current Cardiovascular Risk Reports","id":"ITEM-1","issue":"8","issued":{"date-parts":[["2018"]]},"page":"1-9","publisher":"Springer Science and Business Media LLC","title":"Gender differences in obesity and cardiovascular risk","type":"article-journal","volume":"12"},"uris":["http://www.mendeley.com/documents/?uuid=ddee4e4a-b2de-4ed2-80b4-a098c3dc4060"]}],"mendeley":{"formattedCitation":"&lt;sup&gt;9&lt;/sup&gt;","plainTextFormattedCitation":"9","previouslyFormattedCitation":"&lt;sup&gt;9&lt;/sup&gt;"},"properties":{"noteIndex":0},"schema":"https://github.com/citation-style-language/schema/raw/master/csl-citation.json"}</w:instrText>
      </w:r>
      <w:r w:rsidR="006B657B">
        <w:fldChar w:fldCharType="separate"/>
      </w:r>
      <w:r w:rsidR="006B657B" w:rsidRPr="006B657B">
        <w:rPr>
          <w:noProof/>
          <w:vertAlign w:val="superscript"/>
        </w:rPr>
        <w:t>9</w:t>
      </w:r>
      <w:r w:rsidR="006B657B">
        <w:fldChar w:fldCharType="end"/>
      </w:r>
      <w:r>
        <w:t xml:space="preserve"> </w:t>
      </w:r>
      <w:r w:rsidR="001A505D">
        <w:t>G</w:t>
      </w:r>
      <w:r w:rsidR="003B5F3B">
        <w:t>reater visceral fat accumulation</w:t>
      </w:r>
      <w:r w:rsidR="001A505D">
        <w:t xml:space="preserve"> in men </w:t>
      </w:r>
      <w:r w:rsidR="003B5F3B">
        <w:t xml:space="preserve">is strongly linked to insulin resistance and metabolic dysfunction. Conversely, other studies indicate that women, particularly postmenopausal women, may face an increased risk due to hormonal changes, such as declining </w:t>
      </w:r>
      <w:r w:rsidR="001A505D">
        <w:t>oestrogen</w:t>
      </w:r>
      <w:r w:rsidR="003B5F3B">
        <w:t xml:space="preserve"> levels, which negatively impact insulin sensitivity and fat distribution. These sex-specific differences highlight the need for tailored prevention and management strategies for diabetes in men and women.</w:t>
      </w:r>
    </w:p>
    <w:p w14:paraId="7AA912B7" w14:textId="66F35206" w:rsidR="00886C4E" w:rsidRDefault="00886C4E" w:rsidP="00F95B57">
      <w:pPr>
        <w:pStyle w:val="NormalWeb"/>
        <w:jc w:val="both"/>
      </w:pPr>
      <w:r>
        <w:t>Occupational status has been investigated as a potential risk factor for diabetes, with studies indicating that sedentary occupations contribute to higher BMI and an increased risk of type 2 diabetes.</w:t>
      </w:r>
      <w:r w:rsidR="00A84FBC">
        <w:fldChar w:fldCharType="begin" w:fldLock="1"/>
      </w:r>
      <w:r w:rsidR="00A84FBC">
        <w:instrText>ADDIN CSL_CITATION {"citationItems":[{"id":"ITEM-1","itemData":{"DOI":"10.5271/sjweh.702","ISSN":"0355-3140","author":[{"dropping-particle":"","family":"Tüchsen","given":"Finn","non-dropping-particle":"","parse-names":false,"suffix":""},{"dropping-particle":"","family":"Hannerz","given":"Harald","non-dropping-particle":"","parse-names":false,"suffix":""},{"dropping-particle":"","family":"Burr","given":"Hermann","non-dropping-particle":"","parse-names":false,"suffix":""},{"dropping-particle":"","family":"Lund","given":"Thomas","non-dropping-particle":"","parse-names":false,"suffix":""},{"dropping-particle":"","family":"Krause","given":"Niklas","non-dropping-particle":"","parse-names":false,"suffix":""}],"container-title":"Scandinavian Journal of Work, Environment &amp; Health","id":"ITEM-1","issue":"3","issued":{"date-parts":[["2020"]]},"page":"293-301","publisher":"Scandinavian Journal of Work, Environment and Health","title":"A 10-year prospective study of the effect of work-related physical strain on the risk of type 2 diabetes","type":"article-journal","volume":"46"},"uris":["http://www.mendeley.com/documents/?uuid=9c2779e1-9114-4c7a-adf5-b7989350ff1c"]}],"mendeley":{"formattedCitation":"&lt;sup&gt;10&lt;/sup&gt;","plainTextFormattedCitation":"10","previouslyFormattedCitation":"&lt;sup&gt;10&lt;/sup&gt;"},"properties":{"noteIndex":0},"schema":"https://github.com/citation-style-language/schema/raw/master/csl-citation.json"}</w:instrText>
      </w:r>
      <w:r w:rsidR="00A84FBC">
        <w:fldChar w:fldCharType="separate"/>
      </w:r>
      <w:r w:rsidR="00A84FBC" w:rsidRPr="00A84FBC">
        <w:rPr>
          <w:noProof/>
          <w:vertAlign w:val="superscript"/>
        </w:rPr>
        <w:t>10</w:t>
      </w:r>
      <w:r w:rsidR="00A84FBC">
        <w:fldChar w:fldCharType="end"/>
      </w:r>
      <w:r>
        <w:t xml:space="preserve"> Jobs that involve prolonged sitting and low physical activity levels are associated with reduced energy </w:t>
      </w:r>
      <w:r>
        <w:lastRenderedPageBreak/>
        <w:t xml:space="preserve">expenditure, weight gain, and metabolic dysfunction. Additionally, workplace stress and irregular work schedules may further contribute to insulin resistance and poor glucose control. Encouraging physical activity and ergonomic workplace adjustments can help mitigate these occupational health risks. </w:t>
      </w:r>
      <w:r w:rsidR="005C2F07">
        <w:t xml:space="preserve">However, limited occupational variability in some populations may obscure these associations. </w:t>
      </w:r>
    </w:p>
    <w:p w14:paraId="433FE42D" w14:textId="0C7EBE77" w:rsidR="0081302A" w:rsidRDefault="0081302A" w:rsidP="00F95B57">
      <w:pPr>
        <w:pStyle w:val="NormalWeb"/>
        <w:jc w:val="both"/>
      </w:pPr>
      <w:r>
        <w:t>Residence in urban versus rural areas has been studied as a diabetes risk factor, with research showing a higher prevalence of diabetes among urban dwellers. This is largely attributed to greater access to processed and calorie-dense foods, lower physical activity levels due to sedentary lifestyles, and increased exposure to obesogenic environments.</w:t>
      </w:r>
      <w:r w:rsidR="00A84FBC">
        <w:fldChar w:fldCharType="begin" w:fldLock="1"/>
      </w:r>
      <w:r w:rsidR="00B82320">
        <w:instrText>ADDIN CSL_CITATION {"citationItems":[{"id":"ITEM-1","itemData":{"DOI":"10.1186/1471-2261-9-28","ISSN":"1471-2261","author":[{"dropping-particle":"","family":"Gupta","given":"Rajeev","non-dropping-particle":"","parse-names":false,"suffix":""},{"dropping-particle":"","family":"Misra","given":"Anoop","non-dropping-particle":"","parse-names":false,"suffix":""},{"dropping-particle":"","family":"Vikram","given":"Naval K","non-dropping-particle":"","parse-names":false,"suffix":""},{"dropping-particle":"","family":"Kondal","given":"Dimple","non-dropping-particle":"","parse-names":false,"suffix":""},{"dropping-particle":"Sen","family":"Gupta","given":"Shaon","non-dropping-particle":"","parse-names":false,"suffix":""},{"dropping-particle":"","family":"Agrawal","given":"Aachu","non-dropping-particle":"","parse-names":false,"suffix":""},{"dropping-particle":"","family":"Pandey","given":"R M","non-dropping-particle":"","parse-names":false,"suffix":""}],"container-title":"Diabetes Technology &amp; Therapeutics","id":"ITEM-1","issue":"9","issued":{"date-parts":[["2019"]]},"page":"527-533","publisher":"Springer Science and Business Media LLC","title":"Younger age of diabetes onset and rising cardiovascular risk in urban Asian Indian adolescents","type":"article-journal","volume":"21"},"uris":["http://www.mendeley.com/documents/?uuid=df76d7a5-e3b1-442d-ae04-65ab010cb08f"]}],"mendeley":{"formattedCitation":"&lt;sup&gt;11&lt;/sup&gt;","plainTextFormattedCitation":"11","previouslyFormattedCitation":"&lt;sup&gt;11&lt;/sup&gt;"},"properties":{"noteIndex":0},"schema":"https://github.com/citation-style-language/schema/raw/master/csl-citation.json"}</w:instrText>
      </w:r>
      <w:r w:rsidR="00A84FBC">
        <w:fldChar w:fldCharType="separate"/>
      </w:r>
      <w:r w:rsidR="00A84FBC" w:rsidRPr="00A84FBC">
        <w:rPr>
          <w:noProof/>
          <w:vertAlign w:val="superscript"/>
        </w:rPr>
        <w:t>11</w:t>
      </w:r>
      <w:r w:rsidR="00A84FBC">
        <w:fldChar w:fldCharType="end"/>
      </w:r>
      <w:r>
        <w:t xml:space="preserve"> Urbanization is also linked to higher stress levels, air pollution, and reduced social cohesion, all of which may contribute to metabolic dysfunction. In contrast, rural populations often engage in more physically demanding activities and have greater access to fresh, unprocessed foods, potentially lowering their diabetes risk.</w:t>
      </w:r>
    </w:p>
    <w:p w14:paraId="05216932" w14:textId="77777777" w:rsidR="005C2F07" w:rsidRPr="005C2F07" w:rsidRDefault="005C2F07" w:rsidP="00F95B57">
      <w:pPr>
        <w:pStyle w:val="Heading4"/>
        <w:jc w:val="both"/>
        <w:rPr>
          <w:i w:val="0"/>
          <w:color w:val="auto"/>
        </w:rPr>
      </w:pPr>
      <w:r w:rsidRPr="005C2F07">
        <w:rPr>
          <w:rStyle w:val="Strong"/>
          <w:b/>
          <w:bCs/>
          <w:i w:val="0"/>
          <w:color w:val="auto"/>
        </w:rPr>
        <w:t>Alcohol Consumption and Metabolic Health</w:t>
      </w:r>
    </w:p>
    <w:p w14:paraId="6DCD4448" w14:textId="50FEC686" w:rsidR="00275930" w:rsidRDefault="005C2F07" w:rsidP="00F95B57">
      <w:pPr>
        <w:pStyle w:val="NormalWeb"/>
        <w:jc w:val="both"/>
      </w:pPr>
      <w:r>
        <w:t>The effect of alcohol consumption on diabetes risk is complex and appears to be dose-dependent. Moderate alcohol intake has been linked to improved insulin sensitivity and reduced risk of type 2 diabetes, whereas excessive alcohol consumption is associated with higher fasting glucose levels and increased diabetes risk.</w:t>
      </w:r>
      <w:r w:rsidR="00B82320">
        <w:fldChar w:fldCharType="begin" w:fldLock="1"/>
      </w:r>
      <w:r w:rsidR="00B82320">
        <w:instrText>ADDIN CSL_CITATION {"citationItems":[{"id":"ITEM-1","itemData":{"DOI":"10.2337/dc15-0710","ISSN":"0149-5992","author":[{"dropping-particle":"","family":"Knott","given":"Craig","non-dropping-particle":"","parse-names":false,"suffix":""},{"dropping-particle":"","family":"Bell","given":"Steven","non-dropping-particle":"","parse-names":false,"suffix":""},{"dropping-particle":"","family":"Britton","given":"Annie","non-dropping-particle":"","parse-names":false,"suffix":""}],"container-title":"Diabetes Care","id":"ITEM-1","issue":"9","issued":{"date-parts":[["2015"]]},"page":"1804-1812","publisher":"American Diabetes Association","title":"Alcohol Consumption and the Risk of Type 2 Diabetes: A Systematic Review and Dose-Response Meta-analysis of More Than 1.9 Million Individuals From 38 Observational Studies","type":"article-journal","volume":"38"},"uris":["http://www.mendeley.com/documents/?uuid=eb64bcd7-04bb-45c1-a837-368a76d4cc1f"]}],"mendeley":{"formattedCitation":"&lt;sup&gt;12&lt;/sup&gt;","plainTextFormattedCitation":"12","previouslyFormattedCitation":"&lt;sup&gt;12&lt;/sup&gt;"},"properties":{"noteIndex":0},"schema":"https://github.com/citation-style-language/schema/raw/master/csl-citation.json"}</w:instrText>
      </w:r>
      <w:r w:rsidR="00B82320">
        <w:fldChar w:fldCharType="separate"/>
      </w:r>
      <w:r w:rsidR="00B82320" w:rsidRPr="00B82320">
        <w:rPr>
          <w:noProof/>
          <w:vertAlign w:val="superscript"/>
        </w:rPr>
        <w:t>12</w:t>
      </w:r>
      <w:r w:rsidR="00B82320">
        <w:fldChar w:fldCharType="end"/>
      </w:r>
      <w:r>
        <w:t xml:space="preserve"> </w:t>
      </w:r>
      <w:r w:rsidR="00275930">
        <w:t>Moderate alcohol intake has been linked to improved insulin sensitivity and a reduced risk of type 2 diabetes, possibly due to its effects on glucose metabolism and lipid profiles. However, excessive alcohol consumption is associated with higher fasting glucose levels, increased insulin resistance, and pancreatic dysfunction, all of which elevate diabetes risk. Chronic heavy drinking can also lead to liver damage, obesity, and metabolic disturbances, further exacerbating glucose dysregulation. Therefore, while moderate alcohol consumption may have some protective effects, excessive intake significantly increases the likelihood of developing diabetes.</w:t>
      </w:r>
    </w:p>
    <w:p w14:paraId="76C162EF" w14:textId="4542FC4C" w:rsidR="005C2F07" w:rsidRDefault="005C2F07" w:rsidP="00F95B57">
      <w:pPr>
        <w:pStyle w:val="NormalWeb"/>
        <w:jc w:val="both"/>
      </w:pPr>
      <w:r>
        <w:t>Some studies suggest that alcohol consumption is negatively correlated with BMI, as observed in this study, potentially due to its appetite-suppressing effects and alterations in fat metabolism.</w:t>
      </w:r>
      <w:r w:rsidR="00B82320">
        <w:fldChar w:fldCharType="begin" w:fldLock="1"/>
      </w:r>
      <w:r w:rsidR="00CF5A1F">
        <w:instrText>ADDIN CSL_CITATION {"citationItems":[{"id":"ITEM-1","itemData":{"DOI":"10.2337/dc14-1556","ISSN":"0149-5992","author":[{"dropping-particle":"","family":"Schrieks","given":"Ilse C","non-dropping-particle":"","parse-names":false,"suffix":""},{"dropping-particle":"","family":"Heil","given":"Annelijn L J","non-dropping-particle":"","parse-names":false,"suffix":""},{"dropping-particle":"","family":"Hendriks","given":"Henk F J","non-dropping-particle":"","parse-names":false,"suffix":""},{"dropping-particle":"","family":"Mukamal","given":"Kenneth J","non-dropping-particle":"","parse-names":false,"suffix":""},{"dropping-particle":"","family":"Beulens","given":"Joline W J","non-dropping-particle":"","parse-names":false,"suffix":""}],"container-title":"Diabetes Care","id":"ITEM-1","issue":"4","issued":{"date-parts":[["2015"]]},"page":"723-732","publisher":"American Diabetes Association","title":"The Effect of Alcohol Consumption on Insulin Sensitivity and Glycemic Status: A Systematic Review and Meta-analysis of Intervention Studies","type":"article-journal","volume":"38"},"uris":["http://www.mendeley.com/documents/?uuid=c8eb0760-2e25-4e92-8b50-cf653b1e147d"]}],"mendeley":{"formattedCitation":"&lt;sup&gt;13&lt;/sup&gt;","plainTextFormattedCitation":"13","previouslyFormattedCitation":"&lt;sup&gt;13&lt;/sup&gt;"},"properties":{"noteIndex":0},"schema":"https://github.com/citation-style-language/schema/raw/master/csl-citation.json"}</w:instrText>
      </w:r>
      <w:r w:rsidR="00B82320">
        <w:fldChar w:fldCharType="separate"/>
      </w:r>
      <w:r w:rsidR="00B82320" w:rsidRPr="00B82320">
        <w:rPr>
          <w:noProof/>
          <w:vertAlign w:val="superscript"/>
        </w:rPr>
        <w:t>13</w:t>
      </w:r>
      <w:r w:rsidR="00B82320">
        <w:fldChar w:fldCharType="end"/>
      </w:r>
      <w:r>
        <w:t xml:space="preserve"> However, conflicting findings indicate the need for further research to clarify these relationships across different populations.</w:t>
      </w:r>
    </w:p>
    <w:p w14:paraId="73FD5080" w14:textId="77777777" w:rsidR="005C2F07" w:rsidRPr="005C2F07" w:rsidRDefault="005C2F07" w:rsidP="00F95B57">
      <w:pPr>
        <w:pStyle w:val="Heading4"/>
        <w:jc w:val="both"/>
        <w:rPr>
          <w:i w:val="0"/>
          <w:color w:val="auto"/>
        </w:rPr>
      </w:pPr>
      <w:r w:rsidRPr="005C2F07">
        <w:rPr>
          <w:rStyle w:val="Strong"/>
          <w:b/>
          <w:bCs/>
          <w:i w:val="0"/>
          <w:color w:val="auto"/>
        </w:rPr>
        <w:t>Anthropometric and Cardiovascular Predictors of Diabetes</w:t>
      </w:r>
    </w:p>
    <w:p w14:paraId="58062B12" w14:textId="5D70C221" w:rsidR="005C2F07" w:rsidRDefault="005C2F07" w:rsidP="00F95B57">
      <w:pPr>
        <w:pStyle w:val="NormalWeb"/>
        <w:jc w:val="both"/>
      </w:pPr>
      <w:r>
        <w:t>BMI and waist-to-hip ratio (WHR) are commonly used anthropometric indices for assessing obesity-related metabolic risks. While BMI is a widely accepted measure of general obesity, WHR has been suggested to be a better predictor of diabetes and cardiovascular risk due to its emphasis on central fat distribution.</w:t>
      </w:r>
      <w:r w:rsidR="00CF5A1F">
        <w:fldChar w:fldCharType="begin" w:fldLock="1"/>
      </w:r>
      <w:r w:rsidR="00285CB3">
        <w:instrText>ADDIN CSL_CITATION {"citationItems":[{"id":"ITEM-1","itemData":{"DOI":"10.2337/dc07-9921","ISSN":"0149-5992","author":[{"dropping-particle":"","family":"Klein","given":"Samuel","non-dropping-particle":"","parse-names":false,"suffix":""},{"dropping-particle":"","family":"Allison","given":"David B","non-dropping-particle":"","parse-names":false,"suffix":""},{"dropping-particle":"","family":"Heymsfield","given":"Steven B","non-dropping-particle":"","parse-names":false,"suffix":""},{"dropping-particle":"","family":"Kelley","given":"David E","non-dropping-particle":"","parse-names":false,"suffix":""},{"dropping-particle":"","family":"Leibel","given":"Rudolph L","non-dropping-particle":"","parse-names":false,"suffix":""},{"dropping-particle":"","family":"Nonas","given":"Cathy","non-dropping-particle":"","parse-names":false,"suffix":""},{"dropping-particle":"","family":"Kahn","given":"Richard","non-dropping-particle":"","parse-names":false,"suffix":""}],"container-title":"Obesity","id":"ITEM-1","issue":"4","issued":{"date-parts":[["2020"]]},"page":"627-638","publisher":"American Diabetes Association","title":"Waist Circumference and Cardiometabolic Risk: A Consesus Statement","type":"article-journal","volume":"28"},"uris":["http://www.mendeley.com/documents/?uuid=255ee4e5-ccea-40df-9a98-b47fda44e0c1"]}],"mendeley":{"formattedCitation":"&lt;sup&gt;7&lt;/sup&gt;","plainTextFormattedCitation":"7","previouslyFormattedCitation":"&lt;sup&gt;7&lt;/sup&gt;"},"properties":{"noteIndex":0},"schema":"https://github.com/citation-style-language/schema/raw/master/csl-citation.json"}</w:instrText>
      </w:r>
      <w:r w:rsidR="00CF5A1F">
        <w:fldChar w:fldCharType="separate"/>
      </w:r>
      <w:r w:rsidR="00CF5A1F" w:rsidRPr="00CF5A1F">
        <w:rPr>
          <w:noProof/>
          <w:vertAlign w:val="superscript"/>
        </w:rPr>
        <w:t>7</w:t>
      </w:r>
      <w:r w:rsidR="00CF5A1F">
        <w:fldChar w:fldCharType="end"/>
      </w:r>
      <w:r>
        <w:t xml:space="preserve"> Studies have demonstrated a strong correlation between WHR and fasting blood glucose levels, blood pressure, and overall cardiometabolic risk.</w:t>
      </w:r>
      <w:r w:rsidR="00285CB3">
        <w:fldChar w:fldCharType="begin" w:fldLock="1"/>
      </w:r>
      <w:r w:rsidR="00285CB3">
        <w:instrText>ADDIN CSL_CITATION {"citationItems":[{"id":"ITEM-1","itemData":{"DOI":"10.1016/s2213-8587(18)30318-8","ISSN":"2213-8587","author":[{"dropping-particle":"","family":"Gill","given":"TP","non-dropping-particle":"","parse-names":false,"suffix":""},{"dropping-particle":"","family":"Sattar","given":"Naveed","non-dropping-particle":"","parse-names":false,"suffix":""},{"dropping-particle":"","family":"Zimmet","given":"P","non-dropping-particle":"","parse-names":false,"suffix":""}],"container-title":"The Lancet Diabetes &amp; Endocrinology","id":"ITEM-1","issue":"8","issued":{"date-parts":[["2021"]]},"page":"482-494","publisher":"Elsevier BV","title":"The role of obesity in cardiometabolic disease: Insights from genetic epidemiology","type":"article-journal","volume":"9"},"uris":["http://www.mendeley.com/documents/?uuid=b687c18b-5f0b-45ad-8cc5-b7ddee7e4e79"]}],"mendeley":{"formattedCitation":"&lt;sup&gt;14&lt;/sup&gt;","plainTextFormattedCitation":"14","previouslyFormattedCitation":"&lt;sup&gt;14&lt;/sup&gt;"},"properties":{"noteIndex":0},"schema":"https://github.com/citation-style-language/schema/raw/master/csl-citation.json"}</w:instrText>
      </w:r>
      <w:r w:rsidR="00285CB3">
        <w:fldChar w:fldCharType="separate"/>
      </w:r>
      <w:r w:rsidR="00285CB3" w:rsidRPr="00285CB3">
        <w:rPr>
          <w:noProof/>
          <w:vertAlign w:val="superscript"/>
        </w:rPr>
        <w:t>14</w:t>
      </w:r>
      <w:r w:rsidR="00285CB3">
        <w:fldChar w:fldCharType="end"/>
      </w:r>
    </w:p>
    <w:p w14:paraId="7FAF3304" w14:textId="6C664305" w:rsidR="005C2F07" w:rsidRDefault="005C2F07" w:rsidP="00F95B57">
      <w:pPr>
        <w:pStyle w:val="NormalWeb"/>
        <w:jc w:val="both"/>
      </w:pPr>
      <w:r>
        <w:t>Blood pressure is another critical factor linked to diabetes risk. Hypertension and diabetes often coexist, sharing common pathophysiological mechanisms such as endothelial dysfunction, insulin resistance, and chronic inflammation.</w:t>
      </w:r>
      <w:r w:rsidR="00285CB3">
        <w:fldChar w:fldCharType="begin" w:fldLock="1"/>
      </w:r>
      <w:r w:rsidR="00285CB3">
        <w:instrText>ADDIN CSL_CITATION {"citationItems":[{"id":"ITEM-1","itemData":{"DOI":"10.1161/01.hyp.37.4.1053","ISSN":"0194-911X","author":[{"dropping-particle":"","family":"Sowers","given":"James R","non-dropping-particle":"","parse-names":false,"suffix":""},{"dropping-particle":"","family":"Epstein","given":"Murray","non-dropping-particle":"","parse-names":false,"suffix":""},{"dropping-particle":"","family":"Frohlich","given":"Edward D","non-dropping-particle":"","parse-names":false,"suffix":""}],"container-title":"Hypertension","id":"ITEM-1","issue":"5","issued":{"date-parts":[["2018"]]},"page":"689-697","publisher":"Ovid Technologies (Wolters Kluwer Health)","title":"Diabetes, Hypertension, and Cardiovascular Disease; An Update","type":"article-journal","volume":"53"},"uris":["http://www.mendeley.com/documents/?uuid=db97fe26-a2b2-42d1-a802-75a7b64cde7d"]}],"mendeley":{"formattedCitation":"&lt;sup&gt;15&lt;/sup&gt;","plainTextFormattedCitation":"15","previouslyFormattedCitation":"&lt;sup&gt;15&lt;/sup&gt;"},"properties":{"noteIndex":0},"schema":"https://github.com/citation-style-language/schema/raw/master/csl-citation.json"}</w:instrText>
      </w:r>
      <w:r w:rsidR="00285CB3">
        <w:fldChar w:fldCharType="separate"/>
      </w:r>
      <w:r w:rsidR="00285CB3" w:rsidRPr="00285CB3">
        <w:rPr>
          <w:noProof/>
          <w:vertAlign w:val="superscript"/>
        </w:rPr>
        <w:t>15</w:t>
      </w:r>
      <w:r w:rsidR="00285CB3">
        <w:fldChar w:fldCharType="end"/>
      </w:r>
      <w:r>
        <w:t xml:space="preserve"> Research indicates that systolic and diastolic blood pressures are significantly correlated with BMI and fasting blood glucose, reinforcing the interconnection between metabolic and cardiovascular health.</w:t>
      </w:r>
      <w:r w:rsidR="00285CB3">
        <w:fldChar w:fldCharType="begin" w:fldLock="1"/>
      </w:r>
      <w:r w:rsidR="008E1F8B">
        <w:instrText>ADDIN CSL_CITATION {"citationItems":[{"id":"ITEM-1","itemData":{"DOI":"10.1007/978-3-319-20797-1_2-1","ISBN":"9783319207971","author":[{"dropping-particle":"","family":"Powers","given":"AC","non-dropping-particle":"","parse-names":false,"suffix":""},{"dropping-particle":"","family":"Stanford","given":"JM","non-dropping-particle":"","parse-names":false,"suffix":""},{"dropping-particle":"","family":"Rickels","given":"MR","non-dropping-particle":"","parse-names":false,"suffix":""}],"container-title":"Harrison’s Principles of Internal Medicine","id":"ITEM-1","issue":"2","issued":{"date-parts":[["2022"]]},"page":"2982-3003","publisher":"Springer International Publishing","title":"Diabetes mellitus: A disorder of glucose homeostasis","type":"article-journal","volume":"21"},"uris":["http://www.mendeley.com/documents/?uuid=e1727224-a92f-4979-97d6-b969a19cb8a2"]}],"mendeley":{"formattedCitation":"&lt;sup&gt;16&lt;/sup&gt;","plainTextFormattedCitation":"16","previouslyFormattedCitation":"&lt;sup&gt;16&lt;/sup&gt;"},"properties":{"noteIndex":0},"schema":"https://github.com/citation-style-language/schema/raw/master/csl-citation.json"}</w:instrText>
      </w:r>
      <w:r w:rsidR="00285CB3">
        <w:fldChar w:fldCharType="separate"/>
      </w:r>
      <w:r w:rsidR="00285CB3" w:rsidRPr="00285CB3">
        <w:rPr>
          <w:noProof/>
          <w:vertAlign w:val="superscript"/>
        </w:rPr>
        <w:t>16</w:t>
      </w:r>
      <w:r w:rsidR="00285CB3">
        <w:fldChar w:fldCharType="end"/>
      </w:r>
    </w:p>
    <w:p w14:paraId="7F452CB7" w14:textId="77777777" w:rsidR="005C2F07" w:rsidRPr="005C2F07" w:rsidRDefault="005C2F07" w:rsidP="00F95B57">
      <w:pPr>
        <w:pStyle w:val="Heading4"/>
        <w:jc w:val="both"/>
        <w:rPr>
          <w:i w:val="0"/>
          <w:color w:val="auto"/>
        </w:rPr>
      </w:pPr>
      <w:r w:rsidRPr="005C2F07">
        <w:rPr>
          <w:rStyle w:val="Strong"/>
          <w:b/>
          <w:bCs/>
          <w:i w:val="0"/>
          <w:color w:val="auto"/>
        </w:rPr>
        <w:t>Gaps in the Literature and Study Justification</w:t>
      </w:r>
    </w:p>
    <w:p w14:paraId="1BD169E2" w14:textId="77777777" w:rsidR="005C2F07" w:rsidRDefault="005C2F07" w:rsidP="00F95B57">
      <w:pPr>
        <w:pStyle w:val="NormalWeb"/>
        <w:jc w:val="both"/>
      </w:pPr>
      <w:r>
        <w:t xml:space="preserve">Despite extensive research on diabetes risk factors, inconsistencies persist regarding the relative influence of sex, occupation, residence, and alcohol consumption on metabolic health. Additionally, while studies highlight the role of BMI and WHR in diabetes risk, their independent effects on fasting </w:t>
      </w:r>
      <w:r>
        <w:lastRenderedPageBreak/>
        <w:t>glucose levels remain unclear. Given the rising burden of diabetes, particularly in resource-limited settings, population-specific investigations are necessary to refine risk assessment strategies and develop targeted interventions. This study seeks to contribute to this growing body of literature by examining the associations between demographic, metabolic, and cardiovascular parameters and diabetes risk in a defined population.</w:t>
      </w:r>
    </w:p>
    <w:p w14:paraId="4BD7D140" w14:textId="77777777" w:rsidR="00275EC2" w:rsidRDefault="00275EC2" w:rsidP="00F95B57">
      <w:pPr>
        <w:pStyle w:val="NormalWeb"/>
        <w:jc w:val="both"/>
      </w:pPr>
      <w:r>
        <w:rPr>
          <w:rStyle w:val="Strong"/>
        </w:rPr>
        <w:t>Methodology</w:t>
      </w:r>
    </w:p>
    <w:p w14:paraId="31836F66" w14:textId="77777777" w:rsidR="00275EC2" w:rsidRDefault="00275EC2" w:rsidP="00F95B57">
      <w:pPr>
        <w:pStyle w:val="Heading3"/>
        <w:jc w:val="both"/>
      </w:pPr>
      <w:r>
        <w:t>Study Design</w:t>
      </w:r>
    </w:p>
    <w:p w14:paraId="1A556C28" w14:textId="05477BE0" w:rsidR="00275EC2" w:rsidRDefault="00275EC2" w:rsidP="00F95B57">
      <w:pPr>
        <w:pStyle w:val="NormalWeb"/>
        <w:jc w:val="both"/>
      </w:pPr>
      <w:r>
        <w:t>This study employed a cross-sectional design to assess the association between metabolic and cardiovascular parameters and diabetes risk. Cross-sectional studies are widely used in epidemiological research to identify risk factors and correlations at a specific point in time.</w:t>
      </w:r>
      <w:r w:rsidR="008E1F8B">
        <w:fldChar w:fldCharType="begin" w:fldLock="1"/>
      </w:r>
      <w:r w:rsidR="008E1F8B">
        <w:instrText>ADDIN CSL_CITATION {"citationItems":[{"id":"ITEM-1","itemData":{"DOI":"10.4103/0019-5154.182410","ISSN":"0019-5154","author":[{"dropping-particle":"","family":"Setia","given":"ManinderSingh","non-dropping-particle":"","parse-names":false,"suffix":""}],"container-title":"Indian Journal of Dermatology","id":"ITEM-1","issue":"3","issued":{"date-parts":[["2016"]]},"page":"261","publisher":"Medknow","title":"Methodology series module 3: Cross-sectional studies","type":"article-journal","volume":"61"},"uris":["http://www.mendeley.com/documents/?uuid=5230e125-9a9c-46b5-9b92-8eeef08b89d0"]}],"mendeley":{"formattedCitation":"&lt;sup&gt;17&lt;/sup&gt;","plainTextFormattedCitation":"17","previouslyFormattedCitation":"&lt;sup&gt;17&lt;/sup&gt;"},"properties":{"noteIndex":0},"schema":"https://github.com/citation-style-language/schema/raw/master/csl-citation.json"}</w:instrText>
      </w:r>
      <w:r w:rsidR="008E1F8B">
        <w:fldChar w:fldCharType="separate"/>
      </w:r>
      <w:r w:rsidR="008E1F8B" w:rsidRPr="008E1F8B">
        <w:rPr>
          <w:noProof/>
          <w:vertAlign w:val="superscript"/>
        </w:rPr>
        <w:t>17</w:t>
      </w:r>
      <w:r w:rsidR="008E1F8B">
        <w:fldChar w:fldCharType="end"/>
      </w:r>
      <w:r>
        <w:t xml:space="preserve"> The study focused on adult participants residing in an urban and peri-urban setting.</w:t>
      </w:r>
    </w:p>
    <w:p w14:paraId="5A22F4AD" w14:textId="77777777" w:rsidR="00275EC2" w:rsidRDefault="00275EC2" w:rsidP="00F95B57">
      <w:pPr>
        <w:pStyle w:val="Heading3"/>
        <w:jc w:val="both"/>
      </w:pPr>
      <w:r>
        <w:t>Study Population and Sampling</w:t>
      </w:r>
    </w:p>
    <w:p w14:paraId="0A1168E4" w14:textId="6439279D" w:rsidR="00275EC2" w:rsidRDefault="00275EC2" w:rsidP="00F95B57">
      <w:pPr>
        <w:pStyle w:val="NormalWeb"/>
        <w:jc w:val="both"/>
      </w:pPr>
      <w:r>
        <w:t>The study population included adults aged 18 years and above who voluntarily participated in a community-based screening program. Participants were recruited through a combination of convenience and purposive sampling, targeting individuals attending a World Diabetes Day health awareness program</w:t>
      </w:r>
      <w:r w:rsidR="009A5591">
        <w:t xml:space="preserve"> organised by the Diabetes Association of Nigeria, Rivers state chapter in conjunction with the Mile one market association</w:t>
      </w:r>
      <w:r>
        <w:t>. Inclusion criteria were age ≥18 years, consent to participate, and willingness to undergo metabolic and cardiovascular assessments. Exclusion criteria included individuals with diagnosed chronic illnesses unrelated to diabetes and those on medications known to influence glucose metabolism.</w:t>
      </w:r>
      <w:r w:rsidR="008E1F8B">
        <w:fldChar w:fldCharType="begin" w:fldLock="1"/>
      </w:r>
      <w:r w:rsidR="00400BB6">
        <w:instrText>ADDIN CSL_CITATION {"citationItems":[{"id":"ITEM-1","itemData":{"DOI":"10.1002/(sici)1096-9136(199807)15:7&lt;539::aid-dia668&gt;3.0.co;2-s","ISSN":"0742-3071","author":[{"dropping-particle":"","family":"Alberti","given":"K.G.M.M.","non-dropping-particle":"","parse-names":false,"suffix":""},{"dropping-particle":"","family":"Zimmet","given":"P Z","non-dropping-particle":"","parse-names":false,"suffix":""},{"dropping-particle":"","family":"","given":"","non-dropping-particle":"","parse-names":false,"suffix":""}],"container-title":"Diabetic Medicine","id":"ITEM-1","issue":"7","issued":{"date-parts":[["1998"]]},"page":"539-553","publisher":"Wiley","title":"Definition, diagnosis and classification of diabetes mellitus and its complications. Part 1: diagnosis and classification of diabetes mellitus. Provisional report of a WHO Consultation","type":"article-journal","volume":"15"},"uris":["http://www.mendeley.com/documents/?uuid=d216e234-9597-4711-829c-d706bb647c15"]}],"mendeley":{"formattedCitation":"&lt;sup&gt;18&lt;/sup&gt;","plainTextFormattedCitation":"18","previouslyFormattedCitation":"&lt;sup&gt;18&lt;/sup&gt;"},"properties":{"noteIndex":0},"schema":"https://github.com/citation-style-language/schema/raw/master/csl-citation.json"}</w:instrText>
      </w:r>
      <w:r w:rsidR="008E1F8B">
        <w:fldChar w:fldCharType="separate"/>
      </w:r>
      <w:r w:rsidR="008E1F8B" w:rsidRPr="008E1F8B">
        <w:rPr>
          <w:noProof/>
          <w:vertAlign w:val="superscript"/>
        </w:rPr>
        <w:t>18</w:t>
      </w:r>
      <w:r w:rsidR="008E1F8B">
        <w:fldChar w:fldCharType="end"/>
      </w:r>
    </w:p>
    <w:p w14:paraId="58F1B6B6" w14:textId="77777777" w:rsidR="00275EC2" w:rsidRDefault="00275EC2" w:rsidP="00F95B57">
      <w:pPr>
        <w:pStyle w:val="Heading3"/>
        <w:jc w:val="both"/>
      </w:pPr>
      <w:r>
        <w:t>Data Collection Procedures</w:t>
      </w:r>
    </w:p>
    <w:p w14:paraId="4BFB53AF" w14:textId="10E041CC" w:rsidR="00275EC2" w:rsidRDefault="00275EC2" w:rsidP="00F95B57">
      <w:pPr>
        <w:pStyle w:val="NormalWeb"/>
        <w:jc w:val="both"/>
      </w:pPr>
      <w:r>
        <w:t xml:space="preserve">Data collection involved structured questionnaires, anthropometric measurements, and biochemical assessments. Participants completed a standardized questionnaire that collected demographic details (age, sex, occupation, residence, and alcohol consumption habits). Anthropometric indices included body mass index (BMI), waist-to-hip ratio, and blood </w:t>
      </w:r>
      <w:r w:rsidR="009A5591">
        <w:t>pressure;</w:t>
      </w:r>
      <w:r>
        <w:t xml:space="preserve"> measured using standardized protocols.</w:t>
      </w:r>
      <w:r w:rsidR="00400BB6">
        <w:fldChar w:fldCharType="begin" w:fldLock="1"/>
      </w:r>
      <w:r w:rsidR="00400BB6">
        <w:instrText>ADDIN CSL_CITATION {"citationItems":[{"id":"ITEM-1","itemData":{"abstract":"The World Health Organization (WHO) Expert Consultation on Waist Circumference and Waist–Hip Ratio was held in Geneva, Switzerland on 8–11 December 2008. The consultation was organized by WHO’s Department of Nutrition for Health and Development, in collaboration with the Department of Chronic Diseases and Health Promotion. It was opened by Dr Ala Alwan, WHO Assistant Director‐General for Noncommunicable Diseases and Mental Health. The consultation was convened as part of WHO's: • efforts in implementing the recommendations made at the WHO Consultation on Appropriate Body Mass Index for Asian Populations (WHO, 2004); • response to the emerging problem of obesity and related chronic diseases, in particular in low‐ and middle‐income countries.","author":[{"dropping-particle":"","family":"World Health Organisation (WHO)","given":"","non-dropping-particle":"","parse-names":false,"suffix":""}],"id":"ITEM-1","issue":"December","issued":{"date-parts":[["2008"]]},"page":"8-11","title":"WHO | Waist Circumference and Waist–Hip Ratio. Report of a WHO Expert Consultation. Geneva, 8-11 December 2008.","type":"article-journal"},"uris":["http://www.mendeley.com/documents/?uuid=e898e88c-57d5-48cd-b301-8c9b058e0707"]}],"mendeley":{"formattedCitation":"&lt;sup&gt;19&lt;/sup&gt;","plainTextFormattedCitation":"19","previouslyFormattedCitation":"&lt;sup&gt;19&lt;/sup&gt;"},"properties":{"noteIndex":0},"schema":"https://github.com/citation-style-language/schema/raw/master/csl-citation.json"}</w:instrText>
      </w:r>
      <w:r w:rsidR="00400BB6">
        <w:fldChar w:fldCharType="separate"/>
      </w:r>
      <w:r w:rsidR="00400BB6" w:rsidRPr="00400BB6">
        <w:rPr>
          <w:noProof/>
          <w:vertAlign w:val="superscript"/>
        </w:rPr>
        <w:t>19</w:t>
      </w:r>
      <w:r w:rsidR="00400BB6">
        <w:fldChar w:fldCharType="end"/>
      </w:r>
      <w:r>
        <w:t xml:space="preserve"> Biochemical assessments included fasting blood glucose (</w:t>
      </w:r>
      <w:r w:rsidR="00D05FC3">
        <w:t>FBG</w:t>
      </w:r>
      <w:r>
        <w:t>) and random blood glucose (</w:t>
      </w:r>
      <w:r w:rsidR="00D05FC3">
        <w:t>RBG</w:t>
      </w:r>
      <w:r>
        <w:t>), measured using a glucometer calibrated according to manufacturer guidelines.</w:t>
      </w:r>
    </w:p>
    <w:p w14:paraId="03C64C2D" w14:textId="77777777" w:rsidR="00275EC2" w:rsidRDefault="00275EC2" w:rsidP="00F95B57">
      <w:pPr>
        <w:pStyle w:val="Heading3"/>
        <w:jc w:val="both"/>
      </w:pPr>
      <w:r>
        <w:t>Ethical Considerations</w:t>
      </w:r>
    </w:p>
    <w:p w14:paraId="69650787" w14:textId="37BF9879" w:rsidR="00275EC2" w:rsidRDefault="00275EC2" w:rsidP="00F95B57">
      <w:pPr>
        <w:pStyle w:val="NormalWeb"/>
        <w:jc w:val="both"/>
      </w:pPr>
      <w:r>
        <w:t>Ethical approval was obtained from an institutional review board (IRB), and all participants provided written informed consent before participation. Confidentiality and anonymity of participants were maintained throughout the study in accordance with ethical guidelines for human research.</w:t>
      </w:r>
      <w:r w:rsidR="00400BB6">
        <w:fldChar w:fldCharType="begin" w:fldLock="1"/>
      </w:r>
      <w:r w:rsidR="00A52DCA">
        <w:instrText>ADDIN CSL_CITATION {"citationItems":[{"id":"ITEM-1","itemData":{"DOI":"10.1001/jama.2013.281053","ISSN":"0098-7484","author":[{"dropping-particle":"","family":"World","given":"Medical Association (WMA)","non-dropping-particle":"","parse-names":false,"suffix":""}],"container-title":"JAMA","id":"ITEM-1","issue":"20","issued":{"date-parts":[["2013"]]},"page":"2191-2194","publisher":"American Medical Association (AMA)","title":"Declaration of Helsinki: Ethical principles for medical research involving human subjects","type":"article-journal","volume":"310"},"uris":["http://www.mendeley.com/documents/?uuid=6d2a4a2e-7340-48af-8f5b-01618b62fab9"]}],"mendeley":{"formattedCitation":"&lt;sup&gt;20&lt;/sup&gt;","plainTextFormattedCitation":"20","previouslyFormattedCitation":"&lt;sup&gt;20&lt;/sup&gt;"},"properties":{"noteIndex":0},"schema":"https://github.com/citation-style-language/schema/raw/master/csl-citation.json"}</w:instrText>
      </w:r>
      <w:r w:rsidR="00400BB6">
        <w:fldChar w:fldCharType="separate"/>
      </w:r>
      <w:r w:rsidR="00400BB6" w:rsidRPr="00400BB6">
        <w:rPr>
          <w:noProof/>
          <w:vertAlign w:val="superscript"/>
        </w:rPr>
        <w:t>20</w:t>
      </w:r>
      <w:r w:rsidR="00400BB6">
        <w:fldChar w:fldCharType="end"/>
      </w:r>
    </w:p>
    <w:p w14:paraId="63DEB430" w14:textId="77777777" w:rsidR="009A5591" w:rsidRDefault="009A5591" w:rsidP="00275EC2">
      <w:pPr>
        <w:pStyle w:val="Heading3"/>
      </w:pPr>
    </w:p>
    <w:p w14:paraId="71B36FB9" w14:textId="77777777" w:rsidR="00275EC2" w:rsidRDefault="00275EC2" w:rsidP="00F95B57">
      <w:pPr>
        <w:pStyle w:val="Heading3"/>
        <w:jc w:val="both"/>
      </w:pPr>
      <w:r>
        <w:t>Statistical Analysis</w:t>
      </w:r>
    </w:p>
    <w:p w14:paraId="0BD207B1" w14:textId="20C73A9A" w:rsidR="00275EC2" w:rsidRDefault="00275EC2" w:rsidP="00F95B57">
      <w:pPr>
        <w:pStyle w:val="NormalWeb"/>
        <w:jc w:val="both"/>
      </w:pPr>
      <w:r>
        <w:t xml:space="preserve">Data were </w:t>
      </w:r>
      <w:proofErr w:type="spellStart"/>
      <w:r>
        <w:t>analyzed</w:t>
      </w:r>
      <w:proofErr w:type="spellEnd"/>
      <w:r>
        <w:t xml:space="preserve"> using SPSS version 25.0. Descriptive statistics (means, standard deviations, and percentages) were computed for continuous and categorical variables. Pearson correlation analysis assessed relationships between metabolic and cardiovascular parameters. Logistic regression models were used to determine predictors of diabetes risk, with significance set at p &lt; 0.05.</w:t>
      </w:r>
      <w:r w:rsidR="008C583A">
        <w:fldChar w:fldCharType="begin" w:fldLock="1"/>
      </w:r>
      <w:r w:rsidR="00292311">
        <w:instrText>ADDIN CSL_CITATION {"citationItems":[{"id":"ITEM-1","itemData":{"DOI":"10.1024/1012-5302/a000397","ISSN":"1012-5302","author":[{"dropping-particle":"","family":"Field","given":"A","non-dropping-particle":"","parse-names":false,"suffix":""}],"container-title":"Sage","id":"ITEM-1","issue":"6","issued":{"date-parts":[["2018"]]},"page":"430","publisher":"Hogrefe Publishing Group","title":"Discovering Statistics Using IBM SPSS Statistics. And Sex and Drugs and Rock'n'Roll","type":"article-journal","volume":"27"},"uris":["http://www.mendeley.com/documents/?uuid=1f39ea2a-fb92-412e-8daf-62fa5d87b89f"]}],"mendeley":{"formattedCitation":"&lt;sup&gt;21&lt;/sup&gt;","plainTextFormattedCitation":"21","previouslyFormattedCitation":"&lt;sup&gt;21&lt;/sup&gt;"},"properties":{"noteIndex":0},"schema":"https://github.com/citation-style-language/schema/raw/master/csl-citation.json"}</w:instrText>
      </w:r>
      <w:r w:rsidR="008C583A">
        <w:fldChar w:fldCharType="separate"/>
      </w:r>
      <w:r w:rsidR="008C583A" w:rsidRPr="008C583A">
        <w:rPr>
          <w:noProof/>
          <w:vertAlign w:val="superscript"/>
        </w:rPr>
        <w:t>21</w:t>
      </w:r>
      <w:r w:rsidR="008C583A">
        <w:fldChar w:fldCharType="end"/>
      </w:r>
    </w:p>
    <w:p w14:paraId="01BCC4E1" w14:textId="77777777" w:rsidR="00976A56" w:rsidRDefault="00976A56" w:rsidP="00F95B57">
      <w:pPr>
        <w:spacing w:before="100" w:beforeAutospacing="1" w:after="100" w:afterAutospacing="1" w:line="240" w:lineRule="auto"/>
        <w:jc w:val="both"/>
        <w:rPr>
          <w:rFonts w:ascii="Times New Roman" w:eastAsia="Times New Roman" w:hAnsi="Times New Roman" w:cs="Times New Roman"/>
          <w:b/>
          <w:bCs/>
          <w:sz w:val="24"/>
          <w:szCs w:val="24"/>
          <w:lang w:eastAsia="en-GB"/>
        </w:rPr>
      </w:pPr>
    </w:p>
    <w:p w14:paraId="41D9AF2D" w14:textId="77777777" w:rsidR="00976A56" w:rsidRDefault="00275EC2" w:rsidP="00F95B57">
      <w:pPr>
        <w:spacing w:before="100" w:beforeAutospacing="1" w:after="100" w:afterAutospacing="1"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Results</w:t>
      </w:r>
    </w:p>
    <w:p w14:paraId="51DD5BC5" w14:textId="77777777" w:rsidR="000A7584" w:rsidRDefault="000A7584"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sz w:val="24"/>
          <w:szCs w:val="24"/>
          <w:lang w:eastAsia="en-GB"/>
        </w:rPr>
        <w:t xml:space="preserve">This table presents the distribution of individuals based on their fasting blood glucose (FBG) and/or </w:t>
      </w:r>
      <w:r>
        <w:rPr>
          <w:rFonts w:ascii="Times New Roman" w:eastAsia="Times New Roman" w:hAnsi="Times New Roman" w:cs="Times New Roman"/>
          <w:sz w:val="24"/>
          <w:szCs w:val="24"/>
          <w:lang w:eastAsia="en-GB"/>
        </w:rPr>
        <w:t>Random Blood</w:t>
      </w:r>
      <w:r w:rsidRPr="000A7584">
        <w:rPr>
          <w:rFonts w:ascii="Times New Roman" w:eastAsia="Times New Roman" w:hAnsi="Times New Roman" w:cs="Times New Roman"/>
          <w:sz w:val="24"/>
          <w:szCs w:val="24"/>
          <w:lang w:eastAsia="en-GB"/>
        </w:rPr>
        <w:t xml:space="preserve"> glucose (</w:t>
      </w:r>
      <w:r>
        <w:rPr>
          <w:rFonts w:ascii="Times New Roman" w:eastAsia="Times New Roman" w:hAnsi="Times New Roman" w:cs="Times New Roman"/>
          <w:sz w:val="24"/>
          <w:szCs w:val="24"/>
          <w:lang w:eastAsia="en-GB"/>
        </w:rPr>
        <w:t>RB</w:t>
      </w:r>
      <w:r w:rsidRPr="000A7584">
        <w:rPr>
          <w:rFonts w:ascii="Times New Roman" w:eastAsia="Times New Roman" w:hAnsi="Times New Roman" w:cs="Times New Roman"/>
          <w:sz w:val="24"/>
          <w:szCs w:val="24"/>
          <w:lang w:eastAsia="en-GB"/>
        </w:rPr>
        <w:t xml:space="preserve">G) levels. The table categorizes participants into </w:t>
      </w:r>
      <w:r w:rsidRPr="000A7584">
        <w:rPr>
          <w:rFonts w:ascii="Times New Roman" w:eastAsia="Times New Roman" w:hAnsi="Times New Roman" w:cs="Times New Roman"/>
          <w:b/>
          <w:bCs/>
          <w:sz w:val="24"/>
          <w:szCs w:val="24"/>
          <w:lang w:eastAsia="en-GB"/>
        </w:rPr>
        <w:t>Normal</w:t>
      </w:r>
      <w:r w:rsidRPr="000A7584">
        <w:rPr>
          <w:rFonts w:ascii="Times New Roman" w:eastAsia="Times New Roman" w:hAnsi="Times New Roman" w:cs="Times New Roman"/>
          <w:sz w:val="24"/>
          <w:szCs w:val="24"/>
          <w:lang w:eastAsia="en-GB"/>
        </w:rPr>
        <w:t xml:space="preserve">, </w:t>
      </w:r>
      <w:r w:rsidRPr="000A7584">
        <w:rPr>
          <w:rFonts w:ascii="Times New Roman" w:eastAsia="Times New Roman" w:hAnsi="Times New Roman" w:cs="Times New Roman"/>
          <w:b/>
          <w:bCs/>
          <w:sz w:val="24"/>
          <w:szCs w:val="24"/>
          <w:lang w:eastAsia="en-GB"/>
        </w:rPr>
        <w:t>Pre-Diabetes</w:t>
      </w:r>
      <w:r w:rsidRPr="000A7584">
        <w:rPr>
          <w:rFonts w:ascii="Times New Roman" w:eastAsia="Times New Roman" w:hAnsi="Times New Roman" w:cs="Times New Roman"/>
          <w:sz w:val="24"/>
          <w:szCs w:val="24"/>
          <w:lang w:eastAsia="en-GB"/>
        </w:rPr>
        <w:t xml:space="preserve">, and </w:t>
      </w:r>
      <w:r w:rsidRPr="000A7584">
        <w:rPr>
          <w:rFonts w:ascii="Times New Roman" w:eastAsia="Times New Roman" w:hAnsi="Times New Roman" w:cs="Times New Roman"/>
          <w:b/>
          <w:bCs/>
          <w:sz w:val="24"/>
          <w:szCs w:val="24"/>
          <w:lang w:eastAsia="en-GB"/>
        </w:rPr>
        <w:t>Diabetes</w:t>
      </w:r>
      <w:r w:rsidRPr="000A7584">
        <w:rPr>
          <w:rFonts w:ascii="Times New Roman" w:eastAsia="Times New Roman" w:hAnsi="Times New Roman" w:cs="Times New Roman"/>
          <w:sz w:val="24"/>
          <w:szCs w:val="24"/>
          <w:lang w:eastAsia="en-GB"/>
        </w:rPr>
        <w:t xml:space="preserve"> groups, and examines their </w:t>
      </w:r>
      <w:r>
        <w:rPr>
          <w:rFonts w:ascii="Times New Roman" w:eastAsia="Times New Roman" w:hAnsi="Times New Roman" w:cs="Times New Roman"/>
          <w:sz w:val="24"/>
          <w:szCs w:val="24"/>
          <w:lang w:eastAsia="en-GB"/>
        </w:rPr>
        <w:t>distribution</w:t>
      </w:r>
      <w:r w:rsidRPr="000A7584">
        <w:rPr>
          <w:rFonts w:ascii="Times New Roman" w:eastAsia="Times New Roman" w:hAnsi="Times New Roman" w:cs="Times New Roman"/>
          <w:sz w:val="24"/>
          <w:szCs w:val="24"/>
          <w:lang w:eastAsia="en-GB"/>
        </w:rPr>
        <w:t xml:space="preserve"> with sex, age, occupation, residence, alcohol consumption, and body mass index (BMI). The chi-square (</w:t>
      </w:r>
      <w:r>
        <w:rPr>
          <w:rFonts w:ascii="Times New Roman" w:eastAsia="Times New Roman" w:hAnsi="Times New Roman" w:cs="Times New Roman"/>
          <w:i/>
          <w:sz w:val="24"/>
          <w:szCs w:val="24"/>
          <w:lang w:eastAsia="en-GB"/>
        </w:rPr>
        <w:t>χ</w:t>
      </w:r>
      <w:r w:rsidRPr="000A7584">
        <w:rPr>
          <w:rFonts w:ascii="Times New Roman" w:eastAsia="Times New Roman" w:hAnsi="Times New Roman" w:cs="Times New Roman"/>
          <w:sz w:val="24"/>
          <w:szCs w:val="24"/>
          <w:lang w:eastAsia="en-GB"/>
        </w:rPr>
        <w:t>²) values and corresponding p-values assess the statistical significance of these associations.</w:t>
      </w:r>
    </w:p>
    <w:p w14:paraId="34168329" w14:textId="77777777" w:rsidR="000A7584" w:rsidRPr="000A7584" w:rsidRDefault="000A7584" w:rsidP="00F95B57">
      <w:pPr>
        <w:spacing w:before="100" w:beforeAutospacing="1" w:after="100" w:afterAutospacing="1" w:line="240" w:lineRule="auto"/>
        <w:jc w:val="both"/>
        <w:outlineLvl w:val="2"/>
        <w:rPr>
          <w:rFonts w:ascii="Times New Roman" w:eastAsia="Times New Roman" w:hAnsi="Times New Roman" w:cs="Times New Roman"/>
          <w:b/>
          <w:bCs/>
          <w:sz w:val="27"/>
          <w:szCs w:val="27"/>
          <w:lang w:eastAsia="en-GB"/>
        </w:rPr>
      </w:pPr>
      <w:r w:rsidRPr="000A7584">
        <w:rPr>
          <w:rFonts w:ascii="Times New Roman" w:eastAsia="Times New Roman" w:hAnsi="Times New Roman" w:cs="Times New Roman"/>
          <w:b/>
          <w:bCs/>
          <w:sz w:val="27"/>
          <w:szCs w:val="27"/>
          <w:lang w:eastAsia="en-GB"/>
        </w:rPr>
        <w:t>Key Findings:</w:t>
      </w:r>
    </w:p>
    <w:p w14:paraId="5EB299A1" w14:textId="77777777" w:rsidR="000A7584" w:rsidRPr="000A7584" w:rsidRDefault="000A7584" w:rsidP="00F95B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b/>
          <w:bCs/>
          <w:sz w:val="24"/>
          <w:szCs w:val="24"/>
          <w:lang w:eastAsia="en-GB"/>
        </w:rPr>
        <w:t>Age is significantly associated with diabetes risk</w:t>
      </w:r>
      <w:r w:rsidRPr="000A7584">
        <w:rPr>
          <w:rFonts w:ascii="Times New Roman" w:eastAsia="Times New Roman" w:hAnsi="Times New Roman" w:cs="Times New Roman"/>
          <w:sz w:val="24"/>
          <w:szCs w:val="24"/>
          <w:lang w:eastAsia="en-GB"/>
        </w:rPr>
        <w:t xml:space="preserve"> (p = 0.007). A higher percentage of individuals aged 41-60 years and &gt;60 years were in the pre-diabetes and diabetes groups.</w:t>
      </w:r>
    </w:p>
    <w:p w14:paraId="04BC983F" w14:textId="77777777" w:rsidR="000A7584" w:rsidRPr="000A7584" w:rsidRDefault="000A7584" w:rsidP="00F95B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b/>
          <w:bCs/>
          <w:sz w:val="24"/>
          <w:szCs w:val="24"/>
          <w:lang w:eastAsia="en-GB"/>
        </w:rPr>
        <w:t>Sex, occupation, residence, alcohol consumption, and BMI</w:t>
      </w:r>
      <w:r w:rsidRPr="000A7584">
        <w:rPr>
          <w:rFonts w:ascii="Times New Roman" w:eastAsia="Times New Roman" w:hAnsi="Times New Roman" w:cs="Times New Roman"/>
          <w:sz w:val="24"/>
          <w:szCs w:val="24"/>
          <w:lang w:eastAsia="en-GB"/>
        </w:rPr>
        <w:t xml:space="preserve"> were </w:t>
      </w:r>
      <w:r w:rsidRPr="000A7584">
        <w:rPr>
          <w:rFonts w:ascii="Times New Roman" w:eastAsia="Times New Roman" w:hAnsi="Times New Roman" w:cs="Times New Roman"/>
          <w:b/>
          <w:bCs/>
          <w:sz w:val="24"/>
          <w:szCs w:val="24"/>
          <w:lang w:eastAsia="en-GB"/>
        </w:rPr>
        <w:t>not significantly associated</w:t>
      </w:r>
      <w:r w:rsidRPr="000A7584">
        <w:rPr>
          <w:rFonts w:ascii="Times New Roman" w:eastAsia="Times New Roman" w:hAnsi="Times New Roman" w:cs="Times New Roman"/>
          <w:sz w:val="24"/>
          <w:szCs w:val="24"/>
          <w:lang w:eastAsia="en-GB"/>
        </w:rPr>
        <w:t xml:space="preserve"> with diabetes risk (p &gt; 0.05).</w:t>
      </w:r>
    </w:p>
    <w:p w14:paraId="52296BCC" w14:textId="77777777" w:rsidR="000A7584" w:rsidRPr="000A7584" w:rsidRDefault="000A7584" w:rsidP="00F95B57">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b/>
          <w:bCs/>
          <w:sz w:val="24"/>
          <w:szCs w:val="24"/>
          <w:lang w:eastAsia="en-GB"/>
        </w:rPr>
        <w:t>Most participants in all glucose categories were traders</w:t>
      </w:r>
      <w:r w:rsidRPr="000A7584">
        <w:rPr>
          <w:rFonts w:ascii="Times New Roman" w:eastAsia="Times New Roman" w:hAnsi="Times New Roman" w:cs="Times New Roman"/>
          <w:sz w:val="24"/>
          <w:szCs w:val="24"/>
          <w:lang w:eastAsia="en-GB"/>
        </w:rPr>
        <w:t xml:space="preserve"> (90.5% in normal and diabetes groups), suggesting limited variability in occupational distribution.</w:t>
      </w:r>
    </w:p>
    <w:p w14:paraId="1A1952D2" w14:textId="77777777" w:rsidR="000A7584" w:rsidRDefault="000A7584"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0A7584">
        <w:rPr>
          <w:rFonts w:ascii="Times New Roman" w:eastAsia="Times New Roman" w:hAnsi="Times New Roman" w:cs="Times New Roman"/>
          <w:sz w:val="24"/>
          <w:szCs w:val="24"/>
          <w:lang w:eastAsia="en-GB"/>
        </w:rPr>
        <w:t>This table provides insight into the demographic and lifestyle characteristics associated with glucose regulation, highlighting the role of age in diabetes risk.</w:t>
      </w:r>
    </w:p>
    <w:p w14:paraId="57884D6B" w14:textId="76366E4E" w:rsidR="00844C48" w:rsidRPr="000A7584" w:rsidRDefault="00844C48"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844C48">
        <w:rPr>
          <w:rFonts w:ascii="Times New Roman" w:eastAsia="Times New Roman" w:hAnsi="Times New Roman" w:cs="Times New Roman"/>
          <w:sz w:val="24"/>
          <w:szCs w:val="24"/>
          <w:lang w:eastAsia="en-GB"/>
        </w:rPr>
        <w:t>Table 1: Distribution of Blood Glucose Categories by Demographic and Lifestyle Factors</w:t>
      </w:r>
    </w:p>
    <w:tbl>
      <w:tblPr>
        <w:tblStyle w:val="TableGrid"/>
        <w:tblW w:w="9152" w:type="dxa"/>
        <w:jc w:val="center"/>
        <w:tblLook w:val="04A0" w:firstRow="1" w:lastRow="0" w:firstColumn="1" w:lastColumn="0" w:noHBand="0" w:noVBand="1"/>
      </w:tblPr>
      <w:tblGrid>
        <w:gridCol w:w="1639"/>
        <w:gridCol w:w="1203"/>
        <w:gridCol w:w="1774"/>
        <w:gridCol w:w="1701"/>
        <w:gridCol w:w="1134"/>
        <w:gridCol w:w="709"/>
        <w:gridCol w:w="992"/>
      </w:tblGrid>
      <w:tr w:rsidR="000A7584" w:rsidRPr="000A7584" w14:paraId="4796D218" w14:textId="77777777" w:rsidTr="00972620">
        <w:trPr>
          <w:trHeight w:val="899"/>
          <w:jc w:val="center"/>
        </w:trPr>
        <w:tc>
          <w:tcPr>
            <w:tcW w:w="1639" w:type="dxa"/>
          </w:tcPr>
          <w:p w14:paraId="588AF05E" w14:textId="77777777" w:rsidR="00FC1228" w:rsidRPr="000A7584" w:rsidRDefault="00FC1228">
            <w:pPr>
              <w:rPr>
                <w:b/>
                <w:sz w:val="16"/>
              </w:rPr>
            </w:pPr>
          </w:p>
        </w:tc>
        <w:tc>
          <w:tcPr>
            <w:tcW w:w="1203" w:type="dxa"/>
            <w:vAlign w:val="bottom"/>
          </w:tcPr>
          <w:p w14:paraId="65343B2F" w14:textId="77777777" w:rsidR="00FC1228"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NORMAL </w:t>
            </w:r>
          </w:p>
          <w:p w14:paraId="1FCF6FA4" w14:textId="77777777" w:rsidR="000A7584" w:rsidRPr="000A7584" w:rsidRDefault="00FC1228" w:rsidP="000A7584">
            <w:pPr>
              <w:autoSpaceDE w:val="0"/>
              <w:autoSpaceDN w:val="0"/>
              <w:adjustRightInd w:val="0"/>
              <w:spacing w:line="320" w:lineRule="atLeast"/>
              <w:ind w:left="60" w:right="60"/>
              <w:rPr>
                <w:rFonts w:ascii="Arial" w:hAnsi="Arial" w:cs="Arial"/>
                <w:b/>
                <w:sz w:val="16"/>
                <w:szCs w:val="18"/>
              </w:rPr>
            </w:pPr>
            <w:r w:rsidRPr="000A7584">
              <w:rPr>
                <w:rFonts w:ascii="Arial" w:hAnsi="Arial" w:cs="Arial"/>
                <w:b/>
                <w:sz w:val="16"/>
                <w:szCs w:val="18"/>
              </w:rPr>
              <w:t>[</w:t>
            </w:r>
            <w:r w:rsidR="000A7584" w:rsidRPr="000A7584">
              <w:rPr>
                <w:rFonts w:ascii="Arial" w:hAnsi="Arial" w:cs="Arial"/>
                <w:b/>
                <w:sz w:val="16"/>
                <w:szCs w:val="18"/>
              </w:rPr>
              <w:t xml:space="preserve">FBG 4.0-6.0 mmol/L </w:t>
            </w:r>
          </w:p>
          <w:p w14:paraId="73FA99D4" w14:textId="77777777" w:rsidR="00FC1228" w:rsidRPr="000A7584" w:rsidRDefault="000A7584" w:rsidP="000A7584">
            <w:pPr>
              <w:autoSpaceDE w:val="0"/>
              <w:autoSpaceDN w:val="0"/>
              <w:adjustRightInd w:val="0"/>
              <w:spacing w:line="320" w:lineRule="atLeast"/>
              <w:ind w:left="60" w:right="60"/>
              <w:rPr>
                <w:rFonts w:ascii="Arial" w:hAnsi="Arial" w:cs="Arial"/>
                <w:b/>
                <w:sz w:val="16"/>
                <w:szCs w:val="18"/>
              </w:rPr>
            </w:pPr>
            <w:r w:rsidRPr="000A7584">
              <w:rPr>
                <w:rFonts w:ascii="Arial" w:hAnsi="Arial" w:cs="Arial"/>
                <w:b/>
                <w:sz w:val="16"/>
                <w:szCs w:val="18"/>
              </w:rPr>
              <w:t xml:space="preserve">RBG </w:t>
            </w:r>
            <w:r w:rsidR="00FC1228" w:rsidRPr="000A7584">
              <w:rPr>
                <w:rFonts w:ascii="Arial" w:hAnsi="Arial" w:cs="Arial"/>
                <w:b/>
                <w:sz w:val="16"/>
                <w:szCs w:val="18"/>
              </w:rPr>
              <w:t xml:space="preserve">&lt;7.8 </w:t>
            </w:r>
            <w:r w:rsidRPr="000A7584">
              <w:rPr>
                <w:rFonts w:ascii="Arial" w:hAnsi="Arial" w:cs="Arial"/>
                <w:b/>
                <w:sz w:val="16"/>
                <w:szCs w:val="18"/>
              </w:rPr>
              <w:t>mmol/L</w:t>
            </w:r>
            <w:r w:rsidR="00FC1228" w:rsidRPr="000A7584">
              <w:rPr>
                <w:rFonts w:ascii="Arial" w:hAnsi="Arial" w:cs="Arial"/>
                <w:b/>
                <w:sz w:val="16"/>
                <w:szCs w:val="18"/>
              </w:rPr>
              <w:t>]</w:t>
            </w:r>
          </w:p>
        </w:tc>
        <w:tc>
          <w:tcPr>
            <w:tcW w:w="1774" w:type="dxa"/>
            <w:vAlign w:val="bottom"/>
          </w:tcPr>
          <w:p w14:paraId="6FEC3D25" w14:textId="77777777" w:rsidR="00FC1228"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PRE-DIABETES </w:t>
            </w:r>
          </w:p>
          <w:p w14:paraId="54F29A45" w14:textId="77777777" w:rsidR="000A7584"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w:t>
            </w:r>
            <w:r w:rsidR="000A7584" w:rsidRPr="000A7584">
              <w:rPr>
                <w:rFonts w:ascii="Arial" w:hAnsi="Arial" w:cs="Arial"/>
                <w:b/>
                <w:sz w:val="16"/>
                <w:szCs w:val="18"/>
              </w:rPr>
              <w:t xml:space="preserve">FBG </w:t>
            </w:r>
            <w:r w:rsidRPr="000A7584">
              <w:rPr>
                <w:rFonts w:ascii="Arial" w:hAnsi="Arial" w:cs="Arial"/>
                <w:b/>
                <w:sz w:val="16"/>
                <w:szCs w:val="18"/>
              </w:rPr>
              <w:t>6.1-6.9</w:t>
            </w:r>
            <w:r w:rsidR="000A7584" w:rsidRPr="000A7584">
              <w:rPr>
                <w:rFonts w:ascii="Arial" w:hAnsi="Arial" w:cs="Arial"/>
                <w:b/>
                <w:sz w:val="16"/>
                <w:szCs w:val="18"/>
              </w:rPr>
              <w:t xml:space="preserve"> mmol/L</w:t>
            </w:r>
            <w:r w:rsidRPr="000A7584">
              <w:rPr>
                <w:rFonts w:ascii="Arial" w:hAnsi="Arial" w:cs="Arial"/>
                <w:b/>
                <w:sz w:val="16"/>
                <w:szCs w:val="18"/>
              </w:rPr>
              <w:t xml:space="preserve"> </w:t>
            </w:r>
          </w:p>
          <w:p w14:paraId="7A151D35" w14:textId="77777777" w:rsidR="00FC1228" w:rsidRPr="000A7584" w:rsidRDefault="000A7584" w:rsidP="000A7584">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RBG </w:t>
            </w:r>
            <w:r w:rsidR="00FC1228" w:rsidRPr="000A7584">
              <w:rPr>
                <w:rFonts w:ascii="Arial" w:hAnsi="Arial" w:cs="Arial"/>
                <w:b/>
                <w:sz w:val="16"/>
                <w:szCs w:val="18"/>
              </w:rPr>
              <w:t xml:space="preserve">7.8-11.1 </w:t>
            </w:r>
            <w:r w:rsidRPr="000A7584">
              <w:rPr>
                <w:rFonts w:ascii="Arial" w:hAnsi="Arial" w:cs="Arial"/>
                <w:b/>
                <w:sz w:val="16"/>
                <w:szCs w:val="18"/>
              </w:rPr>
              <w:t>mmol/L</w:t>
            </w:r>
            <w:r w:rsidR="00FC1228" w:rsidRPr="000A7584">
              <w:rPr>
                <w:rFonts w:ascii="Arial" w:hAnsi="Arial" w:cs="Arial"/>
                <w:b/>
                <w:sz w:val="16"/>
                <w:szCs w:val="18"/>
              </w:rPr>
              <w:t>]</w:t>
            </w:r>
          </w:p>
        </w:tc>
        <w:tc>
          <w:tcPr>
            <w:tcW w:w="1701" w:type="dxa"/>
            <w:vAlign w:val="bottom"/>
          </w:tcPr>
          <w:p w14:paraId="170E79C9" w14:textId="77777777" w:rsidR="00FC1228"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DIABETES </w:t>
            </w:r>
          </w:p>
          <w:p w14:paraId="2162CD7E" w14:textId="77777777" w:rsidR="000A7584" w:rsidRPr="000A7584" w:rsidRDefault="00FC1228" w:rsidP="0004039B">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w:t>
            </w:r>
            <w:r w:rsidR="000A7584" w:rsidRPr="000A7584">
              <w:rPr>
                <w:rFonts w:ascii="Arial" w:hAnsi="Arial" w:cs="Arial"/>
                <w:b/>
                <w:sz w:val="16"/>
                <w:szCs w:val="18"/>
              </w:rPr>
              <w:t xml:space="preserve">FBG </w:t>
            </w:r>
            <w:r w:rsidRPr="000A7584">
              <w:rPr>
                <w:rFonts w:ascii="Arial" w:hAnsi="Arial" w:cs="Arial"/>
                <w:b/>
                <w:sz w:val="16"/>
                <w:szCs w:val="18"/>
              </w:rPr>
              <w:t>&gt;7.0</w:t>
            </w:r>
            <w:r w:rsidR="000A7584" w:rsidRPr="000A7584">
              <w:rPr>
                <w:rFonts w:ascii="Arial" w:hAnsi="Arial" w:cs="Arial"/>
                <w:b/>
                <w:sz w:val="16"/>
                <w:szCs w:val="18"/>
              </w:rPr>
              <w:t xml:space="preserve"> mmol/L</w:t>
            </w:r>
          </w:p>
          <w:p w14:paraId="66721A76" w14:textId="77777777" w:rsidR="00FC1228" w:rsidRPr="000A7584" w:rsidRDefault="00FC1228" w:rsidP="000A7584">
            <w:pPr>
              <w:autoSpaceDE w:val="0"/>
              <w:autoSpaceDN w:val="0"/>
              <w:adjustRightInd w:val="0"/>
              <w:spacing w:line="320" w:lineRule="atLeast"/>
              <w:ind w:left="60" w:right="60"/>
              <w:jc w:val="center"/>
              <w:rPr>
                <w:rFonts w:ascii="Arial" w:hAnsi="Arial" w:cs="Arial"/>
                <w:b/>
                <w:sz w:val="16"/>
                <w:szCs w:val="18"/>
              </w:rPr>
            </w:pPr>
            <w:r w:rsidRPr="000A7584">
              <w:rPr>
                <w:rFonts w:ascii="Arial" w:hAnsi="Arial" w:cs="Arial"/>
                <w:b/>
                <w:sz w:val="16"/>
                <w:szCs w:val="18"/>
              </w:rPr>
              <w:t xml:space="preserve"> </w:t>
            </w:r>
            <w:r w:rsidR="000A7584" w:rsidRPr="000A7584">
              <w:rPr>
                <w:rFonts w:ascii="Arial" w:hAnsi="Arial" w:cs="Arial"/>
                <w:b/>
                <w:sz w:val="16"/>
                <w:szCs w:val="18"/>
              </w:rPr>
              <w:t xml:space="preserve">RBG </w:t>
            </w:r>
            <w:r w:rsidRPr="000A7584">
              <w:rPr>
                <w:rFonts w:ascii="Arial" w:hAnsi="Arial" w:cs="Arial"/>
                <w:b/>
                <w:sz w:val="16"/>
                <w:szCs w:val="18"/>
              </w:rPr>
              <w:t>&gt;11.</w:t>
            </w:r>
            <w:r w:rsidR="000A7584" w:rsidRPr="000A7584">
              <w:rPr>
                <w:rFonts w:ascii="Arial" w:hAnsi="Arial" w:cs="Arial"/>
                <w:b/>
                <w:sz w:val="16"/>
                <w:szCs w:val="18"/>
              </w:rPr>
              <w:t>0 mmol</w:t>
            </w:r>
            <w:r w:rsidRPr="000A7584">
              <w:rPr>
                <w:rFonts w:ascii="Arial" w:hAnsi="Arial" w:cs="Arial"/>
                <w:b/>
                <w:sz w:val="16"/>
                <w:szCs w:val="18"/>
              </w:rPr>
              <w:t>/L]</w:t>
            </w:r>
          </w:p>
        </w:tc>
        <w:tc>
          <w:tcPr>
            <w:tcW w:w="1134" w:type="dxa"/>
          </w:tcPr>
          <w:p w14:paraId="426E09D8" w14:textId="77777777" w:rsidR="00FC1228" w:rsidRPr="000A7584" w:rsidRDefault="00FC1228">
            <w:pPr>
              <w:rPr>
                <w:b/>
                <w:sz w:val="16"/>
              </w:rPr>
            </w:pPr>
            <w:r w:rsidRPr="000A7584">
              <w:rPr>
                <w:b/>
                <w:sz w:val="16"/>
              </w:rPr>
              <w:t>total</w:t>
            </w:r>
          </w:p>
        </w:tc>
        <w:tc>
          <w:tcPr>
            <w:tcW w:w="709" w:type="dxa"/>
          </w:tcPr>
          <w:p w14:paraId="127C694E" w14:textId="77777777" w:rsidR="00FC1228" w:rsidRPr="000A7584" w:rsidRDefault="000A7584">
            <w:pPr>
              <w:rPr>
                <w:b/>
                <w:sz w:val="16"/>
              </w:rPr>
            </w:pPr>
            <w:r w:rsidRPr="000A7584">
              <w:rPr>
                <w:rFonts w:ascii="Times New Roman" w:eastAsia="Times New Roman" w:hAnsi="Times New Roman" w:cs="Times New Roman"/>
                <w:b/>
                <w:i/>
                <w:sz w:val="16"/>
                <w:szCs w:val="24"/>
                <w:lang w:eastAsia="en-GB"/>
              </w:rPr>
              <w:t>χ</w:t>
            </w:r>
            <w:r w:rsidRPr="000A7584">
              <w:rPr>
                <w:rFonts w:ascii="Times New Roman" w:eastAsia="Times New Roman" w:hAnsi="Times New Roman" w:cs="Times New Roman"/>
                <w:sz w:val="16"/>
                <w:szCs w:val="24"/>
                <w:lang w:eastAsia="en-GB"/>
              </w:rPr>
              <w:t>²</w:t>
            </w:r>
          </w:p>
        </w:tc>
        <w:tc>
          <w:tcPr>
            <w:tcW w:w="992" w:type="dxa"/>
          </w:tcPr>
          <w:p w14:paraId="49E093E7" w14:textId="77777777" w:rsidR="00FC1228" w:rsidRPr="000A7584" w:rsidRDefault="00FC1228">
            <w:pPr>
              <w:rPr>
                <w:b/>
                <w:sz w:val="16"/>
              </w:rPr>
            </w:pPr>
            <w:r w:rsidRPr="000A7584">
              <w:rPr>
                <w:b/>
                <w:sz w:val="16"/>
              </w:rPr>
              <w:t>p-value</w:t>
            </w:r>
          </w:p>
        </w:tc>
      </w:tr>
      <w:tr w:rsidR="000A7584" w:rsidRPr="000A7584" w14:paraId="6B83B5EF" w14:textId="77777777" w:rsidTr="00972620">
        <w:trPr>
          <w:trHeight w:val="445"/>
          <w:jc w:val="center"/>
        </w:trPr>
        <w:tc>
          <w:tcPr>
            <w:tcW w:w="1639" w:type="dxa"/>
          </w:tcPr>
          <w:p w14:paraId="0006C002" w14:textId="77777777" w:rsidR="00FC1228" w:rsidRPr="000A7584" w:rsidRDefault="00FC1228">
            <w:pPr>
              <w:rPr>
                <w:rFonts w:ascii="Arial" w:hAnsi="Arial" w:cs="Arial"/>
                <w:b/>
                <w:sz w:val="16"/>
                <w:szCs w:val="18"/>
              </w:rPr>
            </w:pPr>
            <w:r w:rsidRPr="000A7584">
              <w:rPr>
                <w:rFonts w:ascii="Arial" w:hAnsi="Arial" w:cs="Arial"/>
                <w:b/>
                <w:sz w:val="16"/>
                <w:szCs w:val="18"/>
              </w:rPr>
              <w:t>Sex</w:t>
            </w:r>
          </w:p>
          <w:p w14:paraId="1E00C5AD" w14:textId="77777777" w:rsidR="00FC1228" w:rsidRPr="000A7584" w:rsidRDefault="00FC1228" w:rsidP="00FC1228">
            <w:pPr>
              <w:pStyle w:val="ListParagraph"/>
              <w:ind w:left="284"/>
              <w:rPr>
                <w:sz w:val="16"/>
              </w:rPr>
            </w:pPr>
            <w:r w:rsidRPr="000A7584">
              <w:rPr>
                <w:rFonts w:ascii="Arial" w:hAnsi="Arial" w:cs="Arial"/>
                <w:sz w:val="16"/>
                <w:szCs w:val="18"/>
              </w:rPr>
              <w:t>Male</w:t>
            </w:r>
          </w:p>
          <w:p w14:paraId="1EAC3320" w14:textId="77777777" w:rsidR="00FC1228" w:rsidRPr="000A7584" w:rsidRDefault="00FC1228" w:rsidP="00FC1228">
            <w:pPr>
              <w:pStyle w:val="ListParagraph"/>
              <w:ind w:left="284"/>
              <w:rPr>
                <w:sz w:val="16"/>
              </w:rPr>
            </w:pPr>
            <w:r w:rsidRPr="000A7584">
              <w:rPr>
                <w:rFonts w:ascii="Arial" w:hAnsi="Arial" w:cs="Arial"/>
                <w:sz w:val="16"/>
                <w:szCs w:val="18"/>
              </w:rPr>
              <w:t xml:space="preserve">Female </w:t>
            </w:r>
          </w:p>
        </w:tc>
        <w:tc>
          <w:tcPr>
            <w:tcW w:w="1203" w:type="dxa"/>
          </w:tcPr>
          <w:p w14:paraId="4F32195B" w14:textId="77777777" w:rsidR="00FC1228" w:rsidRPr="000A7584" w:rsidRDefault="00FC1228">
            <w:pPr>
              <w:rPr>
                <w:sz w:val="16"/>
              </w:rPr>
            </w:pPr>
          </w:p>
          <w:p w14:paraId="5003A3E1"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41(48.8%)</w:t>
            </w:r>
          </w:p>
          <w:p w14:paraId="36B2D730" w14:textId="77777777" w:rsidR="00FC1228" w:rsidRPr="000A7584" w:rsidRDefault="00FC1228">
            <w:pPr>
              <w:rPr>
                <w:sz w:val="16"/>
              </w:rPr>
            </w:pPr>
            <w:r w:rsidRPr="000A7584">
              <w:rPr>
                <w:rFonts w:ascii="Arial" w:hAnsi="Arial" w:cs="Arial"/>
                <w:color w:val="010205"/>
                <w:sz w:val="16"/>
                <w:szCs w:val="18"/>
              </w:rPr>
              <w:t>43(51.2%)</w:t>
            </w:r>
          </w:p>
        </w:tc>
        <w:tc>
          <w:tcPr>
            <w:tcW w:w="1774" w:type="dxa"/>
          </w:tcPr>
          <w:p w14:paraId="05F62E39" w14:textId="77777777" w:rsidR="00FC1228" w:rsidRPr="000A7584" w:rsidRDefault="00FC1228">
            <w:pPr>
              <w:rPr>
                <w:sz w:val="16"/>
              </w:rPr>
            </w:pPr>
          </w:p>
          <w:p w14:paraId="5057F5C1"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4(57.1%)</w:t>
            </w:r>
          </w:p>
          <w:p w14:paraId="597BDE07" w14:textId="77777777" w:rsidR="00FC1228" w:rsidRPr="000A7584" w:rsidRDefault="00FC1228">
            <w:pPr>
              <w:rPr>
                <w:sz w:val="16"/>
              </w:rPr>
            </w:pPr>
            <w:r w:rsidRPr="000A7584">
              <w:rPr>
                <w:rFonts w:ascii="Arial" w:hAnsi="Arial" w:cs="Arial"/>
                <w:color w:val="010205"/>
                <w:sz w:val="16"/>
                <w:szCs w:val="18"/>
              </w:rPr>
              <w:t>3(42.9%)</w:t>
            </w:r>
          </w:p>
        </w:tc>
        <w:tc>
          <w:tcPr>
            <w:tcW w:w="1701" w:type="dxa"/>
          </w:tcPr>
          <w:p w14:paraId="0001A87C" w14:textId="77777777" w:rsidR="00FC1228" w:rsidRPr="000A7584" w:rsidRDefault="00FC1228">
            <w:pPr>
              <w:rPr>
                <w:sz w:val="16"/>
              </w:rPr>
            </w:pPr>
          </w:p>
          <w:p w14:paraId="5AA94CC6"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1(25.0%)</w:t>
            </w:r>
          </w:p>
          <w:p w14:paraId="2BF33CD2" w14:textId="77777777" w:rsidR="00FC1228" w:rsidRPr="000A7584" w:rsidRDefault="00FC1228">
            <w:pPr>
              <w:rPr>
                <w:sz w:val="16"/>
              </w:rPr>
            </w:pPr>
            <w:r w:rsidRPr="000A7584">
              <w:rPr>
                <w:rFonts w:ascii="Arial" w:hAnsi="Arial" w:cs="Arial"/>
                <w:color w:val="010205"/>
                <w:sz w:val="16"/>
                <w:szCs w:val="18"/>
              </w:rPr>
              <w:t>3(75.0%)</w:t>
            </w:r>
          </w:p>
        </w:tc>
        <w:tc>
          <w:tcPr>
            <w:tcW w:w="1134" w:type="dxa"/>
          </w:tcPr>
          <w:p w14:paraId="2D71136A" w14:textId="77777777" w:rsidR="00FC1228" w:rsidRPr="000A7584" w:rsidRDefault="00FC1228">
            <w:pPr>
              <w:rPr>
                <w:rFonts w:ascii="Arial" w:hAnsi="Arial" w:cs="Arial"/>
                <w:color w:val="010205"/>
                <w:sz w:val="16"/>
                <w:szCs w:val="18"/>
              </w:rPr>
            </w:pPr>
          </w:p>
          <w:p w14:paraId="66029C2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46(48.4%)</w:t>
            </w:r>
          </w:p>
          <w:p w14:paraId="0D2D6B6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49(51.6%)</w:t>
            </w:r>
          </w:p>
        </w:tc>
        <w:tc>
          <w:tcPr>
            <w:tcW w:w="709" w:type="dxa"/>
          </w:tcPr>
          <w:p w14:paraId="227ECD40" w14:textId="77777777" w:rsidR="00FC1228" w:rsidRPr="000A7584" w:rsidRDefault="00FC1228">
            <w:pPr>
              <w:rPr>
                <w:sz w:val="16"/>
              </w:rPr>
            </w:pPr>
            <w:r w:rsidRPr="000A7584">
              <w:rPr>
                <w:rFonts w:ascii="Arial" w:hAnsi="Arial" w:cs="Arial"/>
                <w:color w:val="010205"/>
                <w:sz w:val="16"/>
                <w:szCs w:val="18"/>
              </w:rPr>
              <w:t>1.10</w:t>
            </w:r>
          </w:p>
        </w:tc>
        <w:tc>
          <w:tcPr>
            <w:tcW w:w="992" w:type="dxa"/>
          </w:tcPr>
          <w:p w14:paraId="7594E0DF" w14:textId="77777777" w:rsidR="00FC1228" w:rsidRPr="000A7584" w:rsidRDefault="00FC1228">
            <w:pPr>
              <w:rPr>
                <w:sz w:val="16"/>
              </w:rPr>
            </w:pPr>
            <w:r w:rsidRPr="000A7584">
              <w:rPr>
                <w:rFonts w:ascii="Arial" w:hAnsi="Arial" w:cs="Arial"/>
                <w:color w:val="010205"/>
                <w:sz w:val="16"/>
                <w:szCs w:val="18"/>
              </w:rPr>
              <w:t>0.58</w:t>
            </w:r>
          </w:p>
        </w:tc>
      </w:tr>
      <w:tr w:rsidR="000A7584" w:rsidRPr="000A7584" w14:paraId="3F5D26BD" w14:textId="77777777" w:rsidTr="00972620">
        <w:trPr>
          <w:trHeight w:val="253"/>
          <w:jc w:val="center"/>
        </w:trPr>
        <w:tc>
          <w:tcPr>
            <w:tcW w:w="1639" w:type="dxa"/>
          </w:tcPr>
          <w:p w14:paraId="36E77375" w14:textId="77777777" w:rsidR="00FC1228" w:rsidRPr="000A7584" w:rsidRDefault="00FC1228">
            <w:pPr>
              <w:rPr>
                <w:rFonts w:ascii="Arial" w:hAnsi="Arial" w:cs="Arial"/>
                <w:b/>
                <w:sz w:val="16"/>
                <w:szCs w:val="18"/>
              </w:rPr>
            </w:pPr>
            <w:r w:rsidRPr="000A7584">
              <w:rPr>
                <w:rFonts w:ascii="Arial" w:hAnsi="Arial" w:cs="Arial"/>
                <w:b/>
                <w:sz w:val="16"/>
                <w:szCs w:val="18"/>
              </w:rPr>
              <w:t>Age</w:t>
            </w:r>
          </w:p>
          <w:p w14:paraId="68451D0D" w14:textId="77777777" w:rsidR="00FC1228" w:rsidRPr="000A7584" w:rsidRDefault="00FC1228" w:rsidP="00FC1228">
            <w:pPr>
              <w:pStyle w:val="ListParagraph"/>
              <w:ind w:left="284"/>
              <w:rPr>
                <w:sz w:val="16"/>
              </w:rPr>
            </w:pPr>
            <w:r w:rsidRPr="000A7584">
              <w:rPr>
                <w:rFonts w:ascii="Arial" w:hAnsi="Arial" w:cs="Arial"/>
                <w:sz w:val="16"/>
                <w:szCs w:val="18"/>
              </w:rPr>
              <w:t>&lt;20 years</w:t>
            </w:r>
          </w:p>
          <w:p w14:paraId="3E787BDA" w14:textId="77777777" w:rsidR="00FC1228" w:rsidRPr="000A7584" w:rsidRDefault="00FC1228" w:rsidP="00FC1228">
            <w:pPr>
              <w:pStyle w:val="ListParagraph"/>
              <w:ind w:left="284"/>
              <w:rPr>
                <w:sz w:val="16"/>
              </w:rPr>
            </w:pPr>
            <w:r w:rsidRPr="000A7584">
              <w:rPr>
                <w:rFonts w:ascii="Arial" w:hAnsi="Arial" w:cs="Arial"/>
                <w:sz w:val="16"/>
                <w:szCs w:val="18"/>
              </w:rPr>
              <w:t>21-40 years</w:t>
            </w:r>
          </w:p>
          <w:p w14:paraId="2F3424E6" w14:textId="77777777" w:rsidR="00FC1228" w:rsidRPr="000A7584" w:rsidRDefault="00FC1228" w:rsidP="00FC1228">
            <w:pPr>
              <w:pStyle w:val="ListParagraph"/>
              <w:ind w:left="284"/>
              <w:rPr>
                <w:sz w:val="16"/>
              </w:rPr>
            </w:pPr>
            <w:r w:rsidRPr="000A7584">
              <w:rPr>
                <w:rFonts w:ascii="Arial" w:hAnsi="Arial" w:cs="Arial"/>
                <w:sz w:val="16"/>
                <w:szCs w:val="18"/>
              </w:rPr>
              <w:t>41-60 years</w:t>
            </w:r>
          </w:p>
          <w:p w14:paraId="7E786910" w14:textId="77777777" w:rsidR="00FC1228" w:rsidRPr="000A7584" w:rsidRDefault="00FC1228" w:rsidP="00FC1228">
            <w:pPr>
              <w:pStyle w:val="ListParagraph"/>
              <w:ind w:left="284"/>
              <w:rPr>
                <w:sz w:val="16"/>
              </w:rPr>
            </w:pPr>
            <w:r w:rsidRPr="000A7584">
              <w:rPr>
                <w:rFonts w:ascii="Arial" w:hAnsi="Arial" w:cs="Arial"/>
                <w:sz w:val="16"/>
                <w:szCs w:val="18"/>
              </w:rPr>
              <w:t>&gt;60 years</w:t>
            </w:r>
          </w:p>
        </w:tc>
        <w:tc>
          <w:tcPr>
            <w:tcW w:w="1203" w:type="dxa"/>
          </w:tcPr>
          <w:p w14:paraId="6C637F06" w14:textId="77777777" w:rsidR="00FC1228" w:rsidRPr="000A7584" w:rsidRDefault="00FC1228">
            <w:pPr>
              <w:rPr>
                <w:sz w:val="16"/>
              </w:rPr>
            </w:pPr>
          </w:p>
          <w:p w14:paraId="400CFEE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D9B587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55(65.5%)</w:t>
            </w:r>
          </w:p>
          <w:p w14:paraId="5B9D3BFF"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23(27.4%)</w:t>
            </w:r>
          </w:p>
          <w:p w14:paraId="3A138805" w14:textId="77777777" w:rsidR="00FC1228" w:rsidRPr="000A7584" w:rsidRDefault="00FC1228">
            <w:pPr>
              <w:rPr>
                <w:sz w:val="16"/>
              </w:rPr>
            </w:pPr>
            <w:r w:rsidRPr="000A7584">
              <w:rPr>
                <w:rFonts w:ascii="Arial" w:hAnsi="Arial" w:cs="Arial"/>
                <w:color w:val="010205"/>
                <w:sz w:val="16"/>
                <w:szCs w:val="18"/>
              </w:rPr>
              <w:t>6(7.1%)</w:t>
            </w:r>
          </w:p>
        </w:tc>
        <w:tc>
          <w:tcPr>
            <w:tcW w:w="1774" w:type="dxa"/>
          </w:tcPr>
          <w:p w14:paraId="1A55EE40" w14:textId="77777777" w:rsidR="00FC1228" w:rsidRPr="000A7584" w:rsidRDefault="00FC1228">
            <w:pPr>
              <w:rPr>
                <w:sz w:val="16"/>
              </w:rPr>
            </w:pPr>
          </w:p>
          <w:p w14:paraId="6DA1DD3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1(14.3%)</w:t>
            </w:r>
          </w:p>
          <w:p w14:paraId="75AFC01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2(28.6%)</w:t>
            </w:r>
          </w:p>
          <w:p w14:paraId="72695F83" w14:textId="77777777" w:rsidR="00FC1228" w:rsidRPr="000A7584" w:rsidRDefault="00FC1228">
            <w:pPr>
              <w:rPr>
                <w:sz w:val="16"/>
              </w:rPr>
            </w:pPr>
            <w:r w:rsidRPr="000A7584">
              <w:rPr>
                <w:rFonts w:ascii="Arial" w:hAnsi="Arial" w:cs="Arial"/>
                <w:color w:val="010205"/>
                <w:sz w:val="16"/>
                <w:szCs w:val="18"/>
              </w:rPr>
              <w:t>3(42.9%)</w:t>
            </w:r>
          </w:p>
          <w:p w14:paraId="4F821C1A" w14:textId="77777777" w:rsidR="00FC1228" w:rsidRPr="000A7584" w:rsidRDefault="00FC1228">
            <w:pPr>
              <w:rPr>
                <w:sz w:val="16"/>
              </w:rPr>
            </w:pPr>
            <w:r w:rsidRPr="000A7584">
              <w:rPr>
                <w:rFonts w:ascii="Arial" w:hAnsi="Arial" w:cs="Arial"/>
                <w:color w:val="010205"/>
                <w:sz w:val="16"/>
                <w:szCs w:val="18"/>
              </w:rPr>
              <w:t>1(14.3%)</w:t>
            </w:r>
          </w:p>
        </w:tc>
        <w:tc>
          <w:tcPr>
            <w:tcW w:w="1701" w:type="dxa"/>
          </w:tcPr>
          <w:p w14:paraId="4D7CE07F" w14:textId="77777777" w:rsidR="00FC1228" w:rsidRPr="000A7584" w:rsidRDefault="00FC1228">
            <w:pPr>
              <w:rPr>
                <w:sz w:val="16"/>
              </w:rPr>
            </w:pPr>
          </w:p>
          <w:p w14:paraId="4ABD33D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57799DEF"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1(25.0%)</w:t>
            </w:r>
          </w:p>
          <w:p w14:paraId="6FACBED3"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2(50.0%)</w:t>
            </w:r>
          </w:p>
          <w:p w14:paraId="51219F29" w14:textId="77777777" w:rsidR="00FC1228" w:rsidRPr="000A7584" w:rsidRDefault="00FC1228">
            <w:pPr>
              <w:rPr>
                <w:sz w:val="16"/>
              </w:rPr>
            </w:pPr>
            <w:r w:rsidRPr="000A7584">
              <w:rPr>
                <w:rFonts w:ascii="Arial" w:hAnsi="Arial" w:cs="Arial"/>
                <w:color w:val="010205"/>
                <w:sz w:val="16"/>
                <w:szCs w:val="18"/>
              </w:rPr>
              <w:t>1(25.0%)</w:t>
            </w:r>
          </w:p>
        </w:tc>
        <w:tc>
          <w:tcPr>
            <w:tcW w:w="1134" w:type="dxa"/>
          </w:tcPr>
          <w:p w14:paraId="11E3C123" w14:textId="77777777" w:rsidR="00FC1228" w:rsidRPr="000A7584" w:rsidRDefault="00FC1228">
            <w:pPr>
              <w:rPr>
                <w:rFonts w:ascii="Arial" w:hAnsi="Arial" w:cs="Arial"/>
                <w:color w:val="010205"/>
                <w:sz w:val="16"/>
                <w:szCs w:val="18"/>
              </w:rPr>
            </w:pPr>
          </w:p>
          <w:p w14:paraId="69751C0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4CC0265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58(61.1%)</w:t>
            </w:r>
          </w:p>
          <w:p w14:paraId="028C62A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28(29.5%)</w:t>
            </w:r>
          </w:p>
          <w:p w14:paraId="5EB1623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8(8.4%)</w:t>
            </w:r>
          </w:p>
        </w:tc>
        <w:tc>
          <w:tcPr>
            <w:tcW w:w="709" w:type="dxa"/>
          </w:tcPr>
          <w:p w14:paraId="561248CD" w14:textId="77777777" w:rsidR="00FC1228" w:rsidRPr="000A7584" w:rsidRDefault="00FC1228">
            <w:pPr>
              <w:rPr>
                <w:sz w:val="16"/>
              </w:rPr>
            </w:pPr>
            <w:r w:rsidRPr="000A7584">
              <w:rPr>
                <w:rFonts w:ascii="Arial" w:hAnsi="Arial" w:cs="Arial"/>
                <w:color w:val="010205"/>
                <w:sz w:val="16"/>
                <w:szCs w:val="18"/>
              </w:rPr>
              <w:t>17.78</w:t>
            </w:r>
          </w:p>
        </w:tc>
        <w:tc>
          <w:tcPr>
            <w:tcW w:w="992" w:type="dxa"/>
          </w:tcPr>
          <w:p w14:paraId="167FC960" w14:textId="77777777" w:rsidR="00FC1228" w:rsidRPr="000A7584" w:rsidRDefault="00FC1228">
            <w:pPr>
              <w:rPr>
                <w:b/>
                <w:sz w:val="16"/>
              </w:rPr>
            </w:pPr>
            <w:r w:rsidRPr="000A7584">
              <w:rPr>
                <w:rFonts w:ascii="Arial" w:hAnsi="Arial" w:cs="Arial"/>
                <w:b/>
                <w:color w:val="010205"/>
                <w:sz w:val="16"/>
                <w:szCs w:val="18"/>
              </w:rPr>
              <w:t>0.007</w:t>
            </w:r>
          </w:p>
        </w:tc>
      </w:tr>
      <w:tr w:rsidR="000A7584" w:rsidRPr="000A7584" w14:paraId="244D7612" w14:textId="77777777" w:rsidTr="00972620">
        <w:trPr>
          <w:trHeight w:val="253"/>
          <w:jc w:val="center"/>
        </w:trPr>
        <w:tc>
          <w:tcPr>
            <w:tcW w:w="1639" w:type="dxa"/>
          </w:tcPr>
          <w:p w14:paraId="73A409B5" w14:textId="77777777" w:rsidR="00FC1228" w:rsidRPr="000A7584" w:rsidRDefault="00FC1228">
            <w:pPr>
              <w:rPr>
                <w:rFonts w:ascii="Arial" w:hAnsi="Arial" w:cs="Arial"/>
                <w:b/>
                <w:sz w:val="16"/>
                <w:szCs w:val="18"/>
              </w:rPr>
            </w:pPr>
            <w:r w:rsidRPr="000A7584">
              <w:rPr>
                <w:rFonts w:ascii="Arial" w:hAnsi="Arial" w:cs="Arial"/>
                <w:b/>
                <w:sz w:val="16"/>
                <w:szCs w:val="18"/>
              </w:rPr>
              <w:t>Occupation</w:t>
            </w:r>
          </w:p>
          <w:p w14:paraId="771557EA" w14:textId="77777777" w:rsidR="00FC1228" w:rsidRPr="000A7584" w:rsidRDefault="00FC1228" w:rsidP="00FC1228">
            <w:pPr>
              <w:pStyle w:val="ListParagraph"/>
              <w:ind w:left="284"/>
              <w:rPr>
                <w:sz w:val="16"/>
              </w:rPr>
            </w:pPr>
            <w:r w:rsidRPr="000A7584">
              <w:rPr>
                <w:rFonts w:ascii="Arial" w:hAnsi="Arial" w:cs="Arial"/>
                <w:sz w:val="16"/>
                <w:szCs w:val="18"/>
              </w:rPr>
              <w:t>None</w:t>
            </w:r>
          </w:p>
          <w:p w14:paraId="08DAB342" w14:textId="77777777" w:rsidR="00FC1228" w:rsidRPr="000A7584" w:rsidRDefault="00FC1228" w:rsidP="00FC1228">
            <w:pPr>
              <w:pStyle w:val="ListParagraph"/>
              <w:ind w:left="284"/>
              <w:rPr>
                <w:sz w:val="16"/>
              </w:rPr>
            </w:pPr>
            <w:r w:rsidRPr="000A7584">
              <w:rPr>
                <w:rFonts w:ascii="Arial" w:hAnsi="Arial" w:cs="Arial"/>
                <w:sz w:val="16"/>
                <w:szCs w:val="18"/>
              </w:rPr>
              <w:t>Farming</w:t>
            </w:r>
          </w:p>
          <w:p w14:paraId="491B9935" w14:textId="77777777" w:rsidR="00FC1228" w:rsidRPr="000A7584" w:rsidRDefault="00FC1228" w:rsidP="00FC1228">
            <w:pPr>
              <w:pStyle w:val="ListParagraph"/>
              <w:ind w:left="284"/>
              <w:rPr>
                <w:sz w:val="16"/>
              </w:rPr>
            </w:pPr>
            <w:r w:rsidRPr="000A7584">
              <w:rPr>
                <w:rFonts w:ascii="Arial" w:hAnsi="Arial" w:cs="Arial"/>
                <w:sz w:val="16"/>
                <w:szCs w:val="18"/>
              </w:rPr>
              <w:t>white collar</w:t>
            </w:r>
          </w:p>
          <w:p w14:paraId="42D162DE" w14:textId="77777777" w:rsidR="00FC1228" w:rsidRPr="000A7584" w:rsidRDefault="00FC1228" w:rsidP="00FC1228">
            <w:pPr>
              <w:pStyle w:val="ListParagraph"/>
              <w:ind w:left="284"/>
              <w:rPr>
                <w:sz w:val="16"/>
              </w:rPr>
            </w:pPr>
            <w:r w:rsidRPr="000A7584">
              <w:rPr>
                <w:rFonts w:ascii="Arial" w:hAnsi="Arial" w:cs="Arial"/>
                <w:sz w:val="16"/>
                <w:szCs w:val="18"/>
              </w:rPr>
              <w:t>technician</w:t>
            </w:r>
          </w:p>
          <w:p w14:paraId="75CAA59A" w14:textId="77777777" w:rsidR="00FC1228" w:rsidRPr="000A7584" w:rsidRDefault="00FC1228" w:rsidP="00FC1228">
            <w:pPr>
              <w:pStyle w:val="ListParagraph"/>
              <w:ind w:left="284"/>
              <w:rPr>
                <w:sz w:val="16"/>
              </w:rPr>
            </w:pPr>
            <w:r w:rsidRPr="000A7584">
              <w:rPr>
                <w:rFonts w:ascii="Arial" w:hAnsi="Arial" w:cs="Arial"/>
                <w:sz w:val="16"/>
                <w:szCs w:val="18"/>
              </w:rPr>
              <w:t>trading</w:t>
            </w:r>
          </w:p>
          <w:p w14:paraId="7A4005AB" w14:textId="77777777" w:rsidR="00FC1228" w:rsidRPr="000A7584" w:rsidRDefault="00FC1228" w:rsidP="00FC1228">
            <w:pPr>
              <w:pStyle w:val="ListParagraph"/>
              <w:ind w:left="284"/>
              <w:rPr>
                <w:sz w:val="16"/>
              </w:rPr>
            </w:pPr>
            <w:r w:rsidRPr="000A7584">
              <w:rPr>
                <w:rFonts w:ascii="Arial" w:hAnsi="Arial" w:cs="Arial"/>
                <w:sz w:val="16"/>
                <w:szCs w:val="18"/>
              </w:rPr>
              <w:t>business</w:t>
            </w:r>
          </w:p>
          <w:p w14:paraId="052673BA" w14:textId="77777777" w:rsidR="00FC1228" w:rsidRPr="000A7584" w:rsidRDefault="00FC1228" w:rsidP="00FC1228">
            <w:pPr>
              <w:pStyle w:val="ListParagraph"/>
              <w:ind w:left="284"/>
              <w:rPr>
                <w:sz w:val="16"/>
              </w:rPr>
            </w:pPr>
            <w:r w:rsidRPr="000A7584">
              <w:rPr>
                <w:rFonts w:ascii="Arial" w:hAnsi="Arial" w:cs="Arial"/>
                <w:sz w:val="16"/>
                <w:szCs w:val="18"/>
              </w:rPr>
              <w:t xml:space="preserve">driver </w:t>
            </w:r>
          </w:p>
        </w:tc>
        <w:tc>
          <w:tcPr>
            <w:tcW w:w="1203" w:type="dxa"/>
          </w:tcPr>
          <w:p w14:paraId="2F324AC3" w14:textId="77777777" w:rsidR="00FC1228" w:rsidRPr="000A7584" w:rsidRDefault="00FC1228">
            <w:pPr>
              <w:rPr>
                <w:sz w:val="16"/>
              </w:rPr>
            </w:pPr>
          </w:p>
          <w:p w14:paraId="376AEA6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1BAFBA9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3F96747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09FF0739"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17C4D13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76(90.5%)</w:t>
            </w:r>
          </w:p>
          <w:p w14:paraId="749A73E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3(3.6%)</w:t>
            </w:r>
          </w:p>
          <w:p w14:paraId="645D7813" w14:textId="77777777" w:rsidR="00FC1228" w:rsidRPr="000A7584" w:rsidRDefault="00FC1228">
            <w:pPr>
              <w:rPr>
                <w:sz w:val="16"/>
              </w:rPr>
            </w:pPr>
            <w:r w:rsidRPr="000A7584">
              <w:rPr>
                <w:rFonts w:ascii="Arial" w:hAnsi="Arial" w:cs="Arial"/>
                <w:color w:val="010205"/>
                <w:sz w:val="16"/>
                <w:szCs w:val="18"/>
              </w:rPr>
              <w:t>1(1.2%)</w:t>
            </w:r>
          </w:p>
        </w:tc>
        <w:tc>
          <w:tcPr>
            <w:tcW w:w="1774" w:type="dxa"/>
          </w:tcPr>
          <w:p w14:paraId="70D46736" w14:textId="77777777" w:rsidR="00FC1228" w:rsidRPr="000A7584" w:rsidRDefault="00FC1228">
            <w:pPr>
              <w:rPr>
                <w:sz w:val="16"/>
              </w:rPr>
            </w:pPr>
          </w:p>
          <w:p w14:paraId="1F887B8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51F8B0A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C9DEE1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61C449D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2509FC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6(85.7%)</w:t>
            </w:r>
          </w:p>
          <w:p w14:paraId="2A0D9E3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677C2595" w14:textId="77777777" w:rsidR="00FC1228" w:rsidRPr="000A7584" w:rsidRDefault="00FC1228">
            <w:pPr>
              <w:rPr>
                <w:sz w:val="16"/>
              </w:rPr>
            </w:pPr>
            <w:r w:rsidRPr="000A7584">
              <w:rPr>
                <w:rFonts w:ascii="Arial" w:hAnsi="Arial" w:cs="Arial"/>
                <w:color w:val="010205"/>
                <w:sz w:val="16"/>
                <w:szCs w:val="18"/>
              </w:rPr>
              <w:t>1(14.3%)</w:t>
            </w:r>
          </w:p>
        </w:tc>
        <w:tc>
          <w:tcPr>
            <w:tcW w:w="1701" w:type="dxa"/>
          </w:tcPr>
          <w:p w14:paraId="20BAB167" w14:textId="77777777" w:rsidR="00FC1228" w:rsidRPr="000A7584" w:rsidRDefault="00FC1228">
            <w:pPr>
              <w:rPr>
                <w:sz w:val="16"/>
              </w:rPr>
            </w:pPr>
          </w:p>
          <w:p w14:paraId="353481F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3A6A36B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17C1285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6834D3F0"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4DB38B9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4(100.0%)</w:t>
            </w:r>
          </w:p>
          <w:p w14:paraId="7BFEB47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755DEAD5" w14:textId="77777777" w:rsidR="00FC1228" w:rsidRPr="000A7584" w:rsidRDefault="00FC1228">
            <w:pPr>
              <w:rPr>
                <w:sz w:val="16"/>
              </w:rPr>
            </w:pPr>
            <w:r w:rsidRPr="000A7584">
              <w:rPr>
                <w:rFonts w:ascii="Arial" w:hAnsi="Arial" w:cs="Arial"/>
                <w:color w:val="010205"/>
                <w:sz w:val="16"/>
                <w:szCs w:val="18"/>
              </w:rPr>
              <w:t>0(0.0%)</w:t>
            </w:r>
          </w:p>
        </w:tc>
        <w:tc>
          <w:tcPr>
            <w:tcW w:w="1134" w:type="dxa"/>
          </w:tcPr>
          <w:p w14:paraId="2F06D0CF" w14:textId="77777777" w:rsidR="00FC1228" w:rsidRPr="000A7584" w:rsidRDefault="00FC1228">
            <w:pPr>
              <w:rPr>
                <w:rFonts w:ascii="Arial" w:hAnsi="Arial" w:cs="Arial"/>
                <w:color w:val="010205"/>
                <w:sz w:val="16"/>
                <w:szCs w:val="18"/>
              </w:rPr>
            </w:pPr>
          </w:p>
          <w:p w14:paraId="3385708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213B21B8"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74896389"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55BC7AD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1(1.1%)</w:t>
            </w:r>
          </w:p>
          <w:p w14:paraId="3AC1CF3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86(90.5%)</w:t>
            </w:r>
          </w:p>
          <w:p w14:paraId="3838536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3(3.2%)</w:t>
            </w:r>
          </w:p>
          <w:p w14:paraId="63E4034F"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2(2.1%)</w:t>
            </w:r>
          </w:p>
        </w:tc>
        <w:tc>
          <w:tcPr>
            <w:tcW w:w="709" w:type="dxa"/>
          </w:tcPr>
          <w:p w14:paraId="3D5FE1B0" w14:textId="77777777" w:rsidR="00FC1228" w:rsidRPr="000A7584" w:rsidRDefault="00FC1228">
            <w:pPr>
              <w:rPr>
                <w:sz w:val="16"/>
              </w:rPr>
            </w:pPr>
            <w:r w:rsidRPr="000A7584">
              <w:rPr>
                <w:rFonts w:ascii="Arial" w:hAnsi="Arial" w:cs="Arial"/>
                <w:color w:val="010205"/>
                <w:sz w:val="16"/>
                <w:szCs w:val="18"/>
              </w:rPr>
              <w:t>6.33</w:t>
            </w:r>
          </w:p>
        </w:tc>
        <w:tc>
          <w:tcPr>
            <w:tcW w:w="992" w:type="dxa"/>
          </w:tcPr>
          <w:p w14:paraId="2261FDAC" w14:textId="77777777" w:rsidR="00FC1228" w:rsidRPr="000A7584" w:rsidRDefault="00FC1228">
            <w:pPr>
              <w:rPr>
                <w:sz w:val="16"/>
              </w:rPr>
            </w:pPr>
            <w:r w:rsidRPr="000A7584">
              <w:rPr>
                <w:rFonts w:ascii="Arial" w:hAnsi="Arial" w:cs="Arial"/>
                <w:color w:val="010205"/>
                <w:sz w:val="16"/>
                <w:szCs w:val="18"/>
              </w:rPr>
              <w:t>0.90</w:t>
            </w:r>
          </w:p>
        </w:tc>
      </w:tr>
      <w:tr w:rsidR="000A7584" w:rsidRPr="000A7584" w14:paraId="7FF4C826" w14:textId="77777777" w:rsidTr="00972620">
        <w:trPr>
          <w:trHeight w:val="253"/>
          <w:jc w:val="center"/>
        </w:trPr>
        <w:tc>
          <w:tcPr>
            <w:tcW w:w="1639" w:type="dxa"/>
          </w:tcPr>
          <w:p w14:paraId="4AB74810" w14:textId="77777777" w:rsidR="00FC1228" w:rsidRPr="000A7584" w:rsidRDefault="00FC1228">
            <w:pPr>
              <w:rPr>
                <w:rFonts w:ascii="Arial" w:hAnsi="Arial" w:cs="Arial"/>
                <w:b/>
                <w:sz w:val="16"/>
                <w:szCs w:val="18"/>
              </w:rPr>
            </w:pPr>
            <w:r w:rsidRPr="000A7584">
              <w:rPr>
                <w:rFonts w:ascii="Arial" w:hAnsi="Arial" w:cs="Arial"/>
                <w:b/>
                <w:sz w:val="16"/>
                <w:szCs w:val="18"/>
              </w:rPr>
              <w:t xml:space="preserve">Residence </w:t>
            </w:r>
          </w:p>
          <w:p w14:paraId="74545823" w14:textId="77777777" w:rsidR="00FC1228" w:rsidRPr="000A7584" w:rsidRDefault="00FC1228" w:rsidP="00FC1228">
            <w:pPr>
              <w:pStyle w:val="ListParagraph"/>
              <w:ind w:left="284"/>
              <w:rPr>
                <w:rFonts w:ascii="Arial" w:hAnsi="Arial" w:cs="Arial"/>
                <w:sz w:val="16"/>
                <w:szCs w:val="18"/>
              </w:rPr>
            </w:pPr>
            <w:r w:rsidRPr="000A7584">
              <w:rPr>
                <w:rFonts w:ascii="Arial" w:hAnsi="Arial" w:cs="Arial"/>
                <w:sz w:val="16"/>
                <w:szCs w:val="18"/>
              </w:rPr>
              <w:t>Rural</w:t>
            </w:r>
          </w:p>
          <w:p w14:paraId="62C63E1C" w14:textId="77777777" w:rsidR="00FC1228" w:rsidRPr="000A7584" w:rsidRDefault="00FC1228" w:rsidP="00FC1228">
            <w:pPr>
              <w:pStyle w:val="ListParagraph"/>
              <w:ind w:left="284"/>
              <w:rPr>
                <w:rFonts w:ascii="Arial" w:hAnsi="Arial" w:cs="Arial"/>
                <w:sz w:val="16"/>
                <w:szCs w:val="18"/>
              </w:rPr>
            </w:pPr>
            <w:r w:rsidRPr="000A7584">
              <w:rPr>
                <w:rFonts w:ascii="Arial" w:hAnsi="Arial" w:cs="Arial"/>
                <w:sz w:val="16"/>
                <w:szCs w:val="18"/>
              </w:rPr>
              <w:t>Urban</w:t>
            </w:r>
          </w:p>
          <w:p w14:paraId="6A499AB3" w14:textId="77777777" w:rsidR="00FC1228" w:rsidRPr="000A7584" w:rsidRDefault="00FC1228" w:rsidP="00FC1228">
            <w:pPr>
              <w:pStyle w:val="ListParagraph"/>
              <w:ind w:left="284"/>
              <w:rPr>
                <w:rFonts w:ascii="Arial" w:hAnsi="Arial" w:cs="Arial"/>
                <w:sz w:val="16"/>
                <w:szCs w:val="18"/>
              </w:rPr>
            </w:pPr>
            <w:r w:rsidRPr="000A7584">
              <w:rPr>
                <w:rFonts w:ascii="Arial" w:hAnsi="Arial" w:cs="Arial"/>
                <w:sz w:val="16"/>
                <w:szCs w:val="18"/>
              </w:rPr>
              <w:t xml:space="preserve">City </w:t>
            </w:r>
          </w:p>
        </w:tc>
        <w:tc>
          <w:tcPr>
            <w:tcW w:w="1203" w:type="dxa"/>
          </w:tcPr>
          <w:p w14:paraId="24C0BFC3" w14:textId="77777777" w:rsidR="00FC1228" w:rsidRPr="000A7584" w:rsidRDefault="00FC1228">
            <w:pPr>
              <w:rPr>
                <w:sz w:val="16"/>
              </w:rPr>
            </w:pPr>
          </w:p>
          <w:p w14:paraId="1189638D"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1(1.2%)</w:t>
            </w:r>
          </w:p>
          <w:p w14:paraId="5EBCC52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46(55.4%)</w:t>
            </w:r>
          </w:p>
          <w:p w14:paraId="0AE54EF4" w14:textId="77777777" w:rsidR="00FC1228" w:rsidRPr="000A7584" w:rsidRDefault="00FC1228">
            <w:pPr>
              <w:rPr>
                <w:sz w:val="16"/>
              </w:rPr>
            </w:pPr>
            <w:r w:rsidRPr="000A7584">
              <w:rPr>
                <w:rFonts w:ascii="Arial" w:hAnsi="Arial" w:cs="Arial"/>
                <w:color w:val="010205"/>
                <w:sz w:val="16"/>
                <w:szCs w:val="18"/>
              </w:rPr>
              <w:t>36(43.4%)</w:t>
            </w:r>
          </w:p>
        </w:tc>
        <w:tc>
          <w:tcPr>
            <w:tcW w:w="1774" w:type="dxa"/>
          </w:tcPr>
          <w:p w14:paraId="1A12A6EF" w14:textId="77777777" w:rsidR="00FC1228" w:rsidRPr="000A7584" w:rsidRDefault="00FC1228">
            <w:pPr>
              <w:rPr>
                <w:sz w:val="16"/>
              </w:rPr>
            </w:pPr>
          </w:p>
          <w:p w14:paraId="589ACC7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1(14.3%)</w:t>
            </w:r>
          </w:p>
          <w:p w14:paraId="45A26FB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2(28.6%)</w:t>
            </w:r>
          </w:p>
          <w:p w14:paraId="03A540DD" w14:textId="77777777" w:rsidR="00FC1228" w:rsidRPr="000A7584" w:rsidRDefault="00FC1228">
            <w:pPr>
              <w:rPr>
                <w:sz w:val="16"/>
              </w:rPr>
            </w:pPr>
            <w:r w:rsidRPr="000A7584">
              <w:rPr>
                <w:rFonts w:ascii="Arial" w:hAnsi="Arial" w:cs="Arial"/>
                <w:color w:val="010205"/>
                <w:sz w:val="16"/>
                <w:szCs w:val="18"/>
              </w:rPr>
              <w:t>4(57.1%)</w:t>
            </w:r>
          </w:p>
        </w:tc>
        <w:tc>
          <w:tcPr>
            <w:tcW w:w="1701" w:type="dxa"/>
          </w:tcPr>
          <w:p w14:paraId="75B60F49" w14:textId="77777777" w:rsidR="00FC1228" w:rsidRPr="000A7584" w:rsidRDefault="00FC1228">
            <w:pPr>
              <w:rPr>
                <w:sz w:val="16"/>
              </w:rPr>
            </w:pPr>
          </w:p>
          <w:p w14:paraId="64755BC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054ECFA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3(75.0%)</w:t>
            </w:r>
          </w:p>
          <w:p w14:paraId="3B817597" w14:textId="77777777" w:rsidR="00FC1228" w:rsidRPr="000A7584" w:rsidRDefault="00FC1228">
            <w:pPr>
              <w:rPr>
                <w:sz w:val="16"/>
              </w:rPr>
            </w:pPr>
            <w:r w:rsidRPr="000A7584">
              <w:rPr>
                <w:rFonts w:ascii="Arial" w:hAnsi="Arial" w:cs="Arial"/>
                <w:color w:val="010205"/>
                <w:sz w:val="16"/>
                <w:szCs w:val="18"/>
              </w:rPr>
              <w:t>1(25.0%)</w:t>
            </w:r>
          </w:p>
        </w:tc>
        <w:tc>
          <w:tcPr>
            <w:tcW w:w="1134" w:type="dxa"/>
          </w:tcPr>
          <w:p w14:paraId="7088EA9C" w14:textId="77777777" w:rsidR="00FC1228" w:rsidRPr="000A7584" w:rsidRDefault="00FC1228">
            <w:pPr>
              <w:rPr>
                <w:rFonts w:ascii="Arial" w:hAnsi="Arial" w:cs="Arial"/>
                <w:color w:val="010205"/>
                <w:sz w:val="16"/>
                <w:szCs w:val="18"/>
              </w:rPr>
            </w:pPr>
          </w:p>
          <w:p w14:paraId="4F9D4AD2"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2(2.1%)</w:t>
            </w:r>
          </w:p>
          <w:p w14:paraId="604C46B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51(54.3%)</w:t>
            </w:r>
          </w:p>
          <w:p w14:paraId="69418796"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41(43.6%)</w:t>
            </w:r>
          </w:p>
        </w:tc>
        <w:tc>
          <w:tcPr>
            <w:tcW w:w="709" w:type="dxa"/>
          </w:tcPr>
          <w:p w14:paraId="11FB6CAC" w14:textId="77777777" w:rsidR="00FC1228" w:rsidRPr="000A7584" w:rsidRDefault="00FC1228">
            <w:pPr>
              <w:rPr>
                <w:sz w:val="16"/>
              </w:rPr>
            </w:pPr>
            <w:r w:rsidRPr="000A7584">
              <w:rPr>
                <w:rFonts w:ascii="Arial" w:hAnsi="Arial" w:cs="Arial"/>
                <w:color w:val="010205"/>
                <w:sz w:val="16"/>
                <w:szCs w:val="18"/>
              </w:rPr>
              <w:t>7.08</w:t>
            </w:r>
          </w:p>
        </w:tc>
        <w:tc>
          <w:tcPr>
            <w:tcW w:w="992" w:type="dxa"/>
          </w:tcPr>
          <w:p w14:paraId="7584BA87" w14:textId="77777777" w:rsidR="00FC1228" w:rsidRPr="000A7584" w:rsidRDefault="00FC1228">
            <w:pPr>
              <w:rPr>
                <w:sz w:val="16"/>
              </w:rPr>
            </w:pPr>
            <w:r w:rsidRPr="000A7584">
              <w:rPr>
                <w:rFonts w:ascii="Arial" w:hAnsi="Arial" w:cs="Arial"/>
                <w:color w:val="010205"/>
                <w:sz w:val="16"/>
                <w:szCs w:val="18"/>
              </w:rPr>
              <w:t>0.13</w:t>
            </w:r>
          </w:p>
        </w:tc>
      </w:tr>
      <w:tr w:rsidR="000A7584" w:rsidRPr="000A7584" w14:paraId="3406A67A" w14:textId="77777777" w:rsidTr="00972620">
        <w:trPr>
          <w:trHeight w:val="263"/>
          <w:jc w:val="center"/>
        </w:trPr>
        <w:tc>
          <w:tcPr>
            <w:tcW w:w="1639" w:type="dxa"/>
          </w:tcPr>
          <w:p w14:paraId="6CAF446D" w14:textId="77777777" w:rsidR="00FC1228" w:rsidRPr="000A7584" w:rsidRDefault="00FC1228">
            <w:pPr>
              <w:rPr>
                <w:rFonts w:ascii="Arial" w:hAnsi="Arial" w:cs="Arial"/>
                <w:b/>
                <w:sz w:val="16"/>
                <w:szCs w:val="18"/>
              </w:rPr>
            </w:pPr>
            <w:r w:rsidRPr="000A7584">
              <w:rPr>
                <w:rFonts w:ascii="Arial" w:hAnsi="Arial" w:cs="Arial"/>
                <w:b/>
                <w:sz w:val="16"/>
                <w:szCs w:val="18"/>
              </w:rPr>
              <w:t>Alcohol</w:t>
            </w:r>
          </w:p>
          <w:p w14:paraId="1AE0F5B9" w14:textId="77777777" w:rsidR="00FC1228" w:rsidRPr="000A7584" w:rsidRDefault="00FC1228" w:rsidP="00FC1228">
            <w:pPr>
              <w:pStyle w:val="ListParagraph"/>
              <w:ind w:left="284"/>
              <w:rPr>
                <w:sz w:val="16"/>
              </w:rPr>
            </w:pPr>
            <w:r w:rsidRPr="000A7584">
              <w:rPr>
                <w:rFonts w:ascii="Arial" w:hAnsi="Arial" w:cs="Arial"/>
                <w:sz w:val="16"/>
                <w:szCs w:val="18"/>
              </w:rPr>
              <w:t>Yes</w:t>
            </w:r>
          </w:p>
          <w:p w14:paraId="433F71E1" w14:textId="77777777" w:rsidR="00FC1228" w:rsidRPr="000A7584" w:rsidRDefault="00FC1228" w:rsidP="00FC1228">
            <w:pPr>
              <w:pStyle w:val="ListParagraph"/>
              <w:ind w:left="284"/>
              <w:rPr>
                <w:sz w:val="16"/>
              </w:rPr>
            </w:pPr>
            <w:r w:rsidRPr="000A7584">
              <w:rPr>
                <w:rFonts w:ascii="Arial" w:hAnsi="Arial" w:cs="Arial"/>
                <w:sz w:val="16"/>
                <w:szCs w:val="18"/>
              </w:rPr>
              <w:t xml:space="preserve"> No </w:t>
            </w:r>
          </w:p>
        </w:tc>
        <w:tc>
          <w:tcPr>
            <w:tcW w:w="1203" w:type="dxa"/>
          </w:tcPr>
          <w:p w14:paraId="74009D00" w14:textId="77777777" w:rsidR="00FC1228" w:rsidRPr="000A7584" w:rsidRDefault="00FC1228">
            <w:pPr>
              <w:rPr>
                <w:sz w:val="16"/>
              </w:rPr>
            </w:pPr>
          </w:p>
          <w:p w14:paraId="5694082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36(42.9%)</w:t>
            </w:r>
          </w:p>
          <w:p w14:paraId="0809A374" w14:textId="77777777" w:rsidR="00FC1228" w:rsidRPr="000A7584" w:rsidRDefault="00FC1228">
            <w:pPr>
              <w:rPr>
                <w:sz w:val="16"/>
              </w:rPr>
            </w:pPr>
            <w:r w:rsidRPr="000A7584">
              <w:rPr>
                <w:rFonts w:ascii="Arial" w:hAnsi="Arial" w:cs="Arial"/>
                <w:color w:val="010205"/>
                <w:sz w:val="16"/>
                <w:szCs w:val="18"/>
              </w:rPr>
              <w:t>48(57.1%)</w:t>
            </w:r>
          </w:p>
        </w:tc>
        <w:tc>
          <w:tcPr>
            <w:tcW w:w="1774" w:type="dxa"/>
          </w:tcPr>
          <w:p w14:paraId="74D0401A" w14:textId="77777777" w:rsidR="00FC1228" w:rsidRPr="000A7584" w:rsidRDefault="00FC1228">
            <w:pPr>
              <w:rPr>
                <w:sz w:val="16"/>
              </w:rPr>
            </w:pPr>
          </w:p>
          <w:p w14:paraId="743810AA"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2(28.6%)</w:t>
            </w:r>
          </w:p>
          <w:p w14:paraId="25E44744" w14:textId="77777777" w:rsidR="00FC1228" w:rsidRPr="000A7584" w:rsidRDefault="00FC1228">
            <w:pPr>
              <w:rPr>
                <w:sz w:val="16"/>
              </w:rPr>
            </w:pPr>
            <w:r w:rsidRPr="000A7584">
              <w:rPr>
                <w:rFonts w:ascii="Arial" w:hAnsi="Arial" w:cs="Arial"/>
                <w:color w:val="010205"/>
                <w:sz w:val="16"/>
                <w:szCs w:val="18"/>
              </w:rPr>
              <w:t>5(71.4%)</w:t>
            </w:r>
          </w:p>
        </w:tc>
        <w:tc>
          <w:tcPr>
            <w:tcW w:w="1701" w:type="dxa"/>
          </w:tcPr>
          <w:p w14:paraId="418EB8C5" w14:textId="77777777" w:rsidR="00FC1228" w:rsidRPr="000A7584" w:rsidRDefault="00FC1228">
            <w:pPr>
              <w:rPr>
                <w:sz w:val="16"/>
              </w:rPr>
            </w:pPr>
          </w:p>
          <w:p w14:paraId="1B5338D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2(50.0%)</w:t>
            </w:r>
          </w:p>
          <w:p w14:paraId="62B7FFFE" w14:textId="77777777" w:rsidR="00FC1228" w:rsidRPr="000A7584" w:rsidRDefault="00FC1228">
            <w:pPr>
              <w:rPr>
                <w:sz w:val="16"/>
              </w:rPr>
            </w:pPr>
            <w:r w:rsidRPr="000A7584">
              <w:rPr>
                <w:rFonts w:ascii="Arial" w:hAnsi="Arial" w:cs="Arial"/>
                <w:color w:val="010205"/>
                <w:sz w:val="16"/>
                <w:szCs w:val="18"/>
              </w:rPr>
              <w:t>2(50.0%)</w:t>
            </w:r>
          </w:p>
        </w:tc>
        <w:tc>
          <w:tcPr>
            <w:tcW w:w="1134" w:type="dxa"/>
          </w:tcPr>
          <w:p w14:paraId="47E4B174" w14:textId="77777777" w:rsidR="00FC1228" w:rsidRPr="000A7584" w:rsidRDefault="00FC1228">
            <w:pPr>
              <w:rPr>
                <w:rFonts w:ascii="Arial" w:hAnsi="Arial" w:cs="Arial"/>
                <w:color w:val="010205"/>
                <w:sz w:val="16"/>
                <w:szCs w:val="18"/>
              </w:rPr>
            </w:pPr>
          </w:p>
          <w:p w14:paraId="2B78847C"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40(42.1%)</w:t>
            </w:r>
          </w:p>
          <w:p w14:paraId="497F5E9D"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55(57.9%)</w:t>
            </w:r>
          </w:p>
        </w:tc>
        <w:tc>
          <w:tcPr>
            <w:tcW w:w="709" w:type="dxa"/>
          </w:tcPr>
          <w:p w14:paraId="365D9782" w14:textId="77777777" w:rsidR="00FC1228" w:rsidRPr="000A7584" w:rsidRDefault="00FC1228">
            <w:pPr>
              <w:rPr>
                <w:sz w:val="16"/>
              </w:rPr>
            </w:pPr>
            <w:r w:rsidRPr="000A7584">
              <w:rPr>
                <w:rFonts w:ascii="Arial" w:hAnsi="Arial" w:cs="Arial"/>
                <w:color w:val="010205"/>
                <w:sz w:val="16"/>
                <w:szCs w:val="18"/>
              </w:rPr>
              <w:t>0.65</w:t>
            </w:r>
          </w:p>
        </w:tc>
        <w:tc>
          <w:tcPr>
            <w:tcW w:w="992" w:type="dxa"/>
          </w:tcPr>
          <w:p w14:paraId="3F8A3456" w14:textId="77777777" w:rsidR="00FC1228" w:rsidRPr="000A7584" w:rsidRDefault="00FC1228">
            <w:pPr>
              <w:rPr>
                <w:sz w:val="16"/>
              </w:rPr>
            </w:pPr>
            <w:r w:rsidRPr="000A7584">
              <w:rPr>
                <w:rFonts w:ascii="Arial" w:hAnsi="Arial" w:cs="Arial"/>
                <w:color w:val="010205"/>
                <w:sz w:val="16"/>
                <w:szCs w:val="18"/>
              </w:rPr>
              <w:t>0.72</w:t>
            </w:r>
          </w:p>
        </w:tc>
      </w:tr>
      <w:tr w:rsidR="000A7584" w:rsidRPr="000A7584" w14:paraId="3B085064" w14:textId="77777777" w:rsidTr="00972620">
        <w:trPr>
          <w:trHeight w:val="1048"/>
          <w:jc w:val="center"/>
        </w:trPr>
        <w:tc>
          <w:tcPr>
            <w:tcW w:w="1639" w:type="dxa"/>
          </w:tcPr>
          <w:p w14:paraId="7E2D6AFC" w14:textId="77777777" w:rsidR="00FC1228" w:rsidRPr="000A7584" w:rsidRDefault="00FC1228">
            <w:pPr>
              <w:rPr>
                <w:rFonts w:ascii="Arial" w:hAnsi="Arial" w:cs="Arial"/>
                <w:b/>
                <w:sz w:val="16"/>
                <w:szCs w:val="18"/>
              </w:rPr>
            </w:pPr>
            <w:r w:rsidRPr="000A7584">
              <w:rPr>
                <w:rFonts w:ascii="Arial" w:hAnsi="Arial" w:cs="Arial"/>
                <w:b/>
                <w:sz w:val="16"/>
                <w:szCs w:val="18"/>
              </w:rPr>
              <w:t>Body Mass Index</w:t>
            </w:r>
          </w:p>
          <w:p w14:paraId="2F6E4F7E"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&lt;18.5 kg/m</w:t>
            </w:r>
            <w:r w:rsidRPr="000A7584">
              <w:rPr>
                <w:rFonts w:ascii="Arial" w:hAnsi="Arial" w:cs="Arial"/>
                <w:sz w:val="16"/>
                <w:szCs w:val="18"/>
                <w:vertAlign w:val="superscript"/>
              </w:rPr>
              <w:t>2</w:t>
            </w:r>
          </w:p>
          <w:p w14:paraId="35EC57AF"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18.5 - 25.0 kg/m</w:t>
            </w:r>
            <w:r w:rsidRPr="000A7584">
              <w:rPr>
                <w:rFonts w:ascii="Arial" w:hAnsi="Arial" w:cs="Arial"/>
                <w:sz w:val="16"/>
                <w:szCs w:val="18"/>
                <w:vertAlign w:val="superscript"/>
              </w:rPr>
              <w:t>2</w:t>
            </w:r>
          </w:p>
          <w:p w14:paraId="46ECB648"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25.5-29.5 kg/m</w:t>
            </w:r>
            <w:r w:rsidRPr="000A7584">
              <w:rPr>
                <w:rFonts w:ascii="Arial" w:hAnsi="Arial" w:cs="Arial"/>
                <w:sz w:val="16"/>
                <w:szCs w:val="18"/>
                <w:vertAlign w:val="superscript"/>
              </w:rPr>
              <w:t>2</w:t>
            </w:r>
          </w:p>
          <w:p w14:paraId="0219BC9B" w14:textId="77777777" w:rsidR="00FC1228" w:rsidRPr="000A7584" w:rsidRDefault="00FC1228" w:rsidP="00FC1228">
            <w:pPr>
              <w:pStyle w:val="ListParagraph"/>
              <w:ind w:left="237"/>
              <w:rPr>
                <w:rFonts w:ascii="Arial" w:hAnsi="Arial" w:cs="Arial"/>
                <w:sz w:val="16"/>
                <w:szCs w:val="18"/>
              </w:rPr>
            </w:pPr>
            <w:r w:rsidRPr="000A7584">
              <w:rPr>
                <w:rFonts w:ascii="Arial" w:hAnsi="Arial" w:cs="Arial"/>
                <w:sz w:val="16"/>
                <w:szCs w:val="18"/>
              </w:rPr>
              <w:t>&gt;30.0 kg/m</w:t>
            </w:r>
            <w:r w:rsidRPr="000A7584">
              <w:rPr>
                <w:rFonts w:ascii="Arial" w:hAnsi="Arial" w:cs="Arial"/>
                <w:sz w:val="16"/>
                <w:szCs w:val="18"/>
                <w:vertAlign w:val="superscript"/>
              </w:rPr>
              <w:t>2</w:t>
            </w:r>
          </w:p>
        </w:tc>
        <w:tc>
          <w:tcPr>
            <w:tcW w:w="1203" w:type="dxa"/>
          </w:tcPr>
          <w:p w14:paraId="30652E9F" w14:textId="77777777" w:rsidR="00FC1228" w:rsidRPr="000A7584" w:rsidRDefault="00FC1228">
            <w:pPr>
              <w:rPr>
                <w:sz w:val="16"/>
              </w:rPr>
            </w:pPr>
          </w:p>
          <w:p w14:paraId="34BA58F7"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2(2.4%)</w:t>
            </w:r>
          </w:p>
          <w:p w14:paraId="6BF3C5FB"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21(25.0%)</w:t>
            </w:r>
          </w:p>
          <w:p w14:paraId="01FF2E9D"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33(39.3%)</w:t>
            </w:r>
          </w:p>
          <w:p w14:paraId="35ABFD66" w14:textId="77777777" w:rsidR="00FC1228" w:rsidRPr="000A7584" w:rsidRDefault="00FC1228">
            <w:pPr>
              <w:rPr>
                <w:sz w:val="16"/>
              </w:rPr>
            </w:pPr>
            <w:r w:rsidRPr="000A7584">
              <w:rPr>
                <w:rFonts w:ascii="Arial" w:hAnsi="Arial" w:cs="Arial"/>
                <w:color w:val="010205"/>
                <w:sz w:val="16"/>
                <w:szCs w:val="18"/>
              </w:rPr>
              <w:t>28(33.3%)</w:t>
            </w:r>
          </w:p>
        </w:tc>
        <w:tc>
          <w:tcPr>
            <w:tcW w:w="1774" w:type="dxa"/>
          </w:tcPr>
          <w:p w14:paraId="22250D06" w14:textId="77777777" w:rsidR="00FC1228" w:rsidRPr="000A7584" w:rsidRDefault="00FC1228">
            <w:pPr>
              <w:rPr>
                <w:sz w:val="16"/>
              </w:rPr>
            </w:pPr>
          </w:p>
          <w:p w14:paraId="027156EE"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5120A15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1(14.3%)</w:t>
            </w:r>
          </w:p>
          <w:p w14:paraId="6BDA0E8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4(57.1%)</w:t>
            </w:r>
          </w:p>
          <w:p w14:paraId="276D0B72" w14:textId="77777777" w:rsidR="00FC1228" w:rsidRPr="000A7584" w:rsidRDefault="00FC1228">
            <w:pPr>
              <w:rPr>
                <w:sz w:val="16"/>
              </w:rPr>
            </w:pPr>
            <w:r w:rsidRPr="000A7584">
              <w:rPr>
                <w:rFonts w:ascii="Arial" w:hAnsi="Arial" w:cs="Arial"/>
                <w:color w:val="010205"/>
                <w:sz w:val="16"/>
                <w:szCs w:val="18"/>
              </w:rPr>
              <w:t>2(28.6%)</w:t>
            </w:r>
          </w:p>
        </w:tc>
        <w:tc>
          <w:tcPr>
            <w:tcW w:w="1701" w:type="dxa"/>
          </w:tcPr>
          <w:p w14:paraId="1D5CCE30" w14:textId="77777777" w:rsidR="00FC1228" w:rsidRPr="000A7584" w:rsidRDefault="00FC1228">
            <w:pPr>
              <w:rPr>
                <w:sz w:val="16"/>
              </w:rPr>
            </w:pPr>
          </w:p>
          <w:p w14:paraId="0C5EBCA4"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0(0.0%)</w:t>
            </w:r>
          </w:p>
          <w:p w14:paraId="297791B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1(25.0%)</w:t>
            </w:r>
          </w:p>
          <w:p w14:paraId="6B1D9415"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2(50.0%)</w:t>
            </w:r>
          </w:p>
          <w:p w14:paraId="68C6E6D5" w14:textId="77777777" w:rsidR="00FC1228" w:rsidRPr="000A7584" w:rsidRDefault="00FC1228">
            <w:pPr>
              <w:rPr>
                <w:sz w:val="16"/>
              </w:rPr>
            </w:pPr>
            <w:r w:rsidRPr="000A7584">
              <w:rPr>
                <w:rFonts w:ascii="Arial" w:hAnsi="Arial" w:cs="Arial"/>
                <w:color w:val="010205"/>
                <w:sz w:val="16"/>
                <w:szCs w:val="18"/>
              </w:rPr>
              <w:t>1(25.0%)</w:t>
            </w:r>
          </w:p>
        </w:tc>
        <w:tc>
          <w:tcPr>
            <w:tcW w:w="1134" w:type="dxa"/>
          </w:tcPr>
          <w:p w14:paraId="3192674D" w14:textId="77777777" w:rsidR="00FC1228" w:rsidRPr="000A7584" w:rsidRDefault="00FC1228">
            <w:pPr>
              <w:rPr>
                <w:rFonts w:ascii="Arial" w:hAnsi="Arial" w:cs="Arial"/>
                <w:color w:val="010205"/>
                <w:sz w:val="16"/>
                <w:szCs w:val="18"/>
              </w:rPr>
            </w:pPr>
          </w:p>
          <w:p w14:paraId="5891BA5B"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2(2.1%)</w:t>
            </w:r>
          </w:p>
          <w:p w14:paraId="69A7168A"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23(24.2%)</w:t>
            </w:r>
          </w:p>
          <w:p w14:paraId="4A189209"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39(41.1%)</w:t>
            </w:r>
          </w:p>
          <w:p w14:paraId="2BA73E4F" w14:textId="77777777" w:rsidR="006D2A09" w:rsidRPr="000A7584" w:rsidRDefault="006D2A09">
            <w:pPr>
              <w:rPr>
                <w:rFonts w:ascii="Arial" w:hAnsi="Arial" w:cs="Arial"/>
                <w:color w:val="010205"/>
                <w:sz w:val="16"/>
                <w:szCs w:val="18"/>
              </w:rPr>
            </w:pPr>
            <w:r w:rsidRPr="000A7584">
              <w:rPr>
                <w:rFonts w:ascii="Arial" w:hAnsi="Arial" w:cs="Arial"/>
                <w:color w:val="010205"/>
                <w:sz w:val="16"/>
                <w:szCs w:val="18"/>
              </w:rPr>
              <w:t>31(32.6%)</w:t>
            </w:r>
          </w:p>
        </w:tc>
        <w:tc>
          <w:tcPr>
            <w:tcW w:w="709" w:type="dxa"/>
          </w:tcPr>
          <w:p w14:paraId="4A0E2AC6"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1.27</w:t>
            </w:r>
          </w:p>
        </w:tc>
        <w:tc>
          <w:tcPr>
            <w:tcW w:w="992" w:type="dxa"/>
          </w:tcPr>
          <w:p w14:paraId="1C8BD21C" w14:textId="77777777" w:rsidR="00FC1228" w:rsidRPr="000A7584" w:rsidRDefault="00FC1228">
            <w:pPr>
              <w:rPr>
                <w:rFonts w:ascii="Arial" w:hAnsi="Arial" w:cs="Arial"/>
                <w:color w:val="010205"/>
                <w:sz w:val="16"/>
                <w:szCs w:val="18"/>
              </w:rPr>
            </w:pPr>
            <w:r w:rsidRPr="000A7584">
              <w:rPr>
                <w:rFonts w:ascii="Arial" w:hAnsi="Arial" w:cs="Arial"/>
                <w:color w:val="010205"/>
                <w:sz w:val="16"/>
                <w:szCs w:val="18"/>
              </w:rPr>
              <w:t>0.97</w:t>
            </w:r>
          </w:p>
        </w:tc>
      </w:tr>
    </w:tbl>
    <w:p w14:paraId="4900EC76" w14:textId="77777777" w:rsidR="00FA0419" w:rsidRDefault="00FA0419" w:rsidP="00FA0419">
      <w:pPr>
        <w:pStyle w:val="Heading3"/>
      </w:pPr>
      <w:r>
        <w:rPr>
          <w:rStyle w:val="Strong"/>
          <w:b/>
          <w:bCs/>
        </w:rPr>
        <w:lastRenderedPageBreak/>
        <w:t xml:space="preserve">Table 2: </w:t>
      </w:r>
      <w:r>
        <w:rPr>
          <w:rStyle w:val="Strong"/>
        </w:rPr>
        <w:t>Comparison of Metabolic and Cardiovascular Parameters Between Males and Females</w:t>
      </w:r>
    </w:p>
    <w:tbl>
      <w:tblPr>
        <w:tblStyle w:val="TableGrid"/>
        <w:tblW w:w="7978" w:type="dxa"/>
        <w:jc w:val="center"/>
        <w:tblLook w:val="04A0" w:firstRow="1" w:lastRow="0" w:firstColumn="1" w:lastColumn="0" w:noHBand="0" w:noVBand="1"/>
      </w:tblPr>
      <w:tblGrid>
        <w:gridCol w:w="1535"/>
        <w:gridCol w:w="1953"/>
        <w:gridCol w:w="2168"/>
        <w:gridCol w:w="1248"/>
        <w:gridCol w:w="1074"/>
      </w:tblGrid>
      <w:tr w:rsidR="0051253C" w:rsidRPr="0051253C" w14:paraId="523E347C" w14:textId="77777777" w:rsidTr="00FA0419">
        <w:trPr>
          <w:trHeight w:val="300"/>
          <w:jc w:val="center"/>
        </w:trPr>
        <w:tc>
          <w:tcPr>
            <w:tcW w:w="1535" w:type="dxa"/>
          </w:tcPr>
          <w:p w14:paraId="437C466E" w14:textId="77777777" w:rsidR="00D96AE3" w:rsidRPr="0051253C" w:rsidRDefault="00D96AE3" w:rsidP="00E107DB">
            <w:pPr>
              <w:spacing w:before="100" w:beforeAutospacing="1" w:after="100" w:afterAutospacing="1"/>
              <w:rPr>
                <w:rFonts w:ascii="Times New Roman" w:eastAsia="Times New Roman" w:hAnsi="Times New Roman" w:cs="Times New Roman"/>
                <w:b/>
                <w:sz w:val="24"/>
                <w:szCs w:val="24"/>
                <w:lang w:eastAsia="en-GB"/>
              </w:rPr>
            </w:pPr>
          </w:p>
        </w:tc>
        <w:tc>
          <w:tcPr>
            <w:tcW w:w="1953" w:type="dxa"/>
            <w:vAlign w:val="bottom"/>
          </w:tcPr>
          <w:p w14:paraId="11A6C274" w14:textId="77777777" w:rsidR="00D96AE3" w:rsidRPr="0051253C" w:rsidRDefault="00D96AE3" w:rsidP="0004039B">
            <w:pPr>
              <w:autoSpaceDE w:val="0"/>
              <w:autoSpaceDN w:val="0"/>
              <w:adjustRightInd w:val="0"/>
              <w:spacing w:line="320" w:lineRule="atLeast"/>
              <w:ind w:left="60" w:right="60"/>
              <w:jc w:val="center"/>
              <w:rPr>
                <w:rFonts w:ascii="Arial" w:hAnsi="Arial" w:cs="Arial"/>
                <w:b/>
                <w:color w:val="264A60"/>
                <w:sz w:val="18"/>
                <w:szCs w:val="18"/>
              </w:rPr>
            </w:pPr>
            <w:r w:rsidRPr="0051253C">
              <w:rPr>
                <w:rFonts w:ascii="Arial" w:hAnsi="Arial" w:cs="Arial"/>
                <w:b/>
                <w:color w:val="264A60"/>
                <w:sz w:val="18"/>
                <w:szCs w:val="18"/>
              </w:rPr>
              <w:t>M</w:t>
            </w:r>
            <w:r w:rsidRPr="00D96AE3">
              <w:rPr>
                <w:rFonts w:ascii="Arial" w:hAnsi="Arial" w:cs="Arial"/>
                <w:b/>
                <w:color w:val="264A60"/>
                <w:sz w:val="18"/>
                <w:szCs w:val="18"/>
              </w:rPr>
              <w:t>ale</w:t>
            </w:r>
          </w:p>
          <w:p w14:paraId="457EA379" w14:textId="77777777" w:rsidR="00D96AE3" w:rsidRPr="00D96AE3" w:rsidRDefault="00D96AE3" w:rsidP="0004039B">
            <w:pPr>
              <w:autoSpaceDE w:val="0"/>
              <w:autoSpaceDN w:val="0"/>
              <w:adjustRightInd w:val="0"/>
              <w:spacing w:line="320" w:lineRule="atLeast"/>
              <w:ind w:left="60" w:right="60"/>
              <w:jc w:val="center"/>
              <w:rPr>
                <w:rFonts w:ascii="Arial" w:hAnsi="Arial" w:cs="Arial"/>
                <w:b/>
                <w:color w:val="264A60"/>
                <w:sz w:val="18"/>
                <w:szCs w:val="18"/>
              </w:rPr>
            </w:pPr>
            <w:r w:rsidRPr="00D96AE3">
              <w:rPr>
                <w:rFonts w:ascii="Arial" w:hAnsi="Arial" w:cs="Arial"/>
                <w:b/>
                <w:color w:val="264A60"/>
                <w:sz w:val="18"/>
                <w:szCs w:val="18"/>
              </w:rPr>
              <w:t>Mean</w:t>
            </w:r>
            <w:r w:rsidRPr="0051253C">
              <w:rPr>
                <w:rFonts w:ascii="Arial" w:hAnsi="Arial" w:cs="Arial"/>
                <w:b/>
                <w:color w:val="264A60"/>
                <w:sz w:val="18"/>
                <w:szCs w:val="18"/>
              </w:rPr>
              <w:t>(</w:t>
            </w:r>
            <w:proofErr w:type="spellStart"/>
            <w:r w:rsidRPr="0051253C">
              <w:rPr>
                <w:rFonts w:ascii="Arial" w:hAnsi="Arial" w:cs="Arial"/>
                <w:b/>
                <w:color w:val="264A60"/>
                <w:sz w:val="18"/>
                <w:szCs w:val="18"/>
              </w:rPr>
              <w:t>sem</w:t>
            </w:r>
            <w:proofErr w:type="spellEnd"/>
            <w:r w:rsidRPr="0051253C">
              <w:rPr>
                <w:rFonts w:ascii="Arial" w:hAnsi="Arial" w:cs="Arial"/>
                <w:b/>
                <w:color w:val="264A60"/>
                <w:sz w:val="18"/>
                <w:szCs w:val="18"/>
              </w:rPr>
              <w:t>)</w:t>
            </w:r>
          </w:p>
        </w:tc>
        <w:tc>
          <w:tcPr>
            <w:tcW w:w="2168" w:type="dxa"/>
          </w:tcPr>
          <w:p w14:paraId="26522FCD" w14:textId="77777777" w:rsidR="00D96AE3" w:rsidRPr="0051253C" w:rsidRDefault="00D96AE3" w:rsidP="00D96AE3">
            <w:pPr>
              <w:autoSpaceDE w:val="0"/>
              <w:autoSpaceDN w:val="0"/>
              <w:adjustRightInd w:val="0"/>
              <w:spacing w:line="320" w:lineRule="atLeast"/>
              <w:ind w:left="60" w:right="60"/>
              <w:jc w:val="center"/>
              <w:rPr>
                <w:rFonts w:ascii="Arial" w:hAnsi="Arial" w:cs="Arial"/>
                <w:b/>
                <w:color w:val="264A60"/>
                <w:sz w:val="18"/>
                <w:szCs w:val="18"/>
              </w:rPr>
            </w:pPr>
            <w:r w:rsidRPr="0051253C">
              <w:rPr>
                <w:rFonts w:ascii="Arial" w:hAnsi="Arial" w:cs="Arial"/>
                <w:b/>
                <w:color w:val="264A60"/>
                <w:sz w:val="18"/>
                <w:szCs w:val="18"/>
              </w:rPr>
              <w:t>Fem</w:t>
            </w:r>
            <w:r w:rsidRPr="00D96AE3">
              <w:rPr>
                <w:rFonts w:ascii="Arial" w:hAnsi="Arial" w:cs="Arial"/>
                <w:b/>
                <w:color w:val="264A60"/>
                <w:sz w:val="18"/>
                <w:szCs w:val="18"/>
              </w:rPr>
              <w:t>ale</w:t>
            </w:r>
          </w:p>
          <w:p w14:paraId="3A0092F4" w14:textId="77777777" w:rsidR="00D96AE3" w:rsidRPr="0051253C" w:rsidRDefault="00D96AE3" w:rsidP="00D96AE3">
            <w:pPr>
              <w:autoSpaceDE w:val="0"/>
              <w:autoSpaceDN w:val="0"/>
              <w:adjustRightInd w:val="0"/>
              <w:spacing w:line="320" w:lineRule="atLeast"/>
              <w:ind w:left="60" w:right="60"/>
              <w:jc w:val="center"/>
              <w:rPr>
                <w:rFonts w:ascii="Arial" w:hAnsi="Arial" w:cs="Arial"/>
                <w:b/>
                <w:color w:val="264A60"/>
                <w:sz w:val="18"/>
                <w:szCs w:val="18"/>
              </w:rPr>
            </w:pPr>
            <w:r w:rsidRPr="00D96AE3">
              <w:rPr>
                <w:rFonts w:ascii="Arial" w:hAnsi="Arial" w:cs="Arial"/>
                <w:b/>
                <w:color w:val="264A60"/>
                <w:sz w:val="18"/>
                <w:szCs w:val="18"/>
              </w:rPr>
              <w:t>Mean</w:t>
            </w:r>
            <w:r w:rsidRPr="0051253C">
              <w:rPr>
                <w:rFonts w:ascii="Arial" w:hAnsi="Arial" w:cs="Arial"/>
                <w:b/>
                <w:color w:val="264A60"/>
                <w:sz w:val="18"/>
                <w:szCs w:val="18"/>
              </w:rPr>
              <w:t>(</w:t>
            </w:r>
            <w:proofErr w:type="spellStart"/>
            <w:r w:rsidRPr="0051253C">
              <w:rPr>
                <w:rFonts w:ascii="Arial" w:hAnsi="Arial" w:cs="Arial"/>
                <w:b/>
                <w:color w:val="264A60"/>
                <w:sz w:val="18"/>
                <w:szCs w:val="18"/>
              </w:rPr>
              <w:t>sem</w:t>
            </w:r>
            <w:proofErr w:type="spellEnd"/>
            <w:r w:rsidRPr="0051253C">
              <w:rPr>
                <w:rFonts w:ascii="Arial" w:hAnsi="Arial" w:cs="Arial"/>
                <w:b/>
                <w:color w:val="264A60"/>
                <w:sz w:val="18"/>
                <w:szCs w:val="18"/>
              </w:rPr>
              <w:t>)</w:t>
            </w:r>
          </w:p>
        </w:tc>
        <w:tc>
          <w:tcPr>
            <w:tcW w:w="1248" w:type="dxa"/>
          </w:tcPr>
          <w:p w14:paraId="43127F6B" w14:textId="77777777" w:rsidR="00D96AE3" w:rsidRPr="0051253C" w:rsidRDefault="00D96AE3" w:rsidP="00E107DB">
            <w:pPr>
              <w:spacing w:before="100" w:beforeAutospacing="1" w:after="100" w:afterAutospacing="1"/>
              <w:rPr>
                <w:rFonts w:ascii="Times New Roman" w:eastAsia="Times New Roman" w:hAnsi="Times New Roman" w:cs="Times New Roman"/>
                <w:b/>
                <w:sz w:val="24"/>
                <w:szCs w:val="24"/>
                <w:lang w:eastAsia="en-GB"/>
              </w:rPr>
            </w:pPr>
            <w:r w:rsidRPr="0051253C">
              <w:rPr>
                <w:rFonts w:ascii="Times New Roman" w:eastAsia="Times New Roman" w:hAnsi="Times New Roman" w:cs="Times New Roman"/>
                <w:b/>
                <w:sz w:val="24"/>
                <w:szCs w:val="24"/>
                <w:lang w:eastAsia="en-GB"/>
              </w:rPr>
              <w:t>t</w:t>
            </w:r>
          </w:p>
        </w:tc>
        <w:tc>
          <w:tcPr>
            <w:tcW w:w="1074" w:type="dxa"/>
          </w:tcPr>
          <w:p w14:paraId="37AF117A" w14:textId="77777777" w:rsidR="00D96AE3" w:rsidRPr="0051253C" w:rsidRDefault="00D96AE3" w:rsidP="00E107DB">
            <w:pPr>
              <w:spacing w:before="100" w:beforeAutospacing="1" w:after="100" w:afterAutospacing="1"/>
              <w:rPr>
                <w:rFonts w:ascii="Times New Roman" w:eastAsia="Times New Roman" w:hAnsi="Times New Roman" w:cs="Times New Roman"/>
                <w:b/>
                <w:sz w:val="24"/>
                <w:szCs w:val="24"/>
                <w:lang w:eastAsia="en-GB"/>
              </w:rPr>
            </w:pPr>
            <w:r w:rsidRPr="0051253C">
              <w:rPr>
                <w:rFonts w:ascii="Times New Roman" w:eastAsia="Times New Roman" w:hAnsi="Times New Roman" w:cs="Times New Roman"/>
                <w:b/>
                <w:sz w:val="24"/>
                <w:szCs w:val="24"/>
                <w:lang w:eastAsia="en-GB"/>
              </w:rPr>
              <w:t>p-value</w:t>
            </w:r>
          </w:p>
        </w:tc>
      </w:tr>
      <w:tr w:rsidR="0051253C" w14:paraId="77ABDC69" w14:textId="77777777" w:rsidTr="00FA0419">
        <w:trPr>
          <w:trHeight w:val="320"/>
          <w:jc w:val="center"/>
        </w:trPr>
        <w:tc>
          <w:tcPr>
            <w:tcW w:w="1535" w:type="dxa"/>
          </w:tcPr>
          <w:p w14:paraId="3770579B" w14:textId="7C5170CA" w:rsidR="0051253C" w:rsidRPr="00D96AE3" w:rsidRDefault="00D05FC3" w:rsidP="0004039B">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FBG</w:t>
            </w:r>
          </w:p>
        </w:tc>
        <w:tc>
          <w:tcPr>
            <w:tcW w:w="1953" w:type="dxa"/>
            <w:vAlign w:val="bottom"/>
          </w:tcPr>
          <w:p w14:paraId="6BDDB7FD" w14:textId="77777777" w:rsidR="0051253C" w:rsidRPr="00D96AE3" w:rsidRDefault="0051253C" w:rsidP="0051253C">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010205"/>
                <w:sz w:val="18"/>
                <w:szCs w:val="18"/>
              </w:rPr>
              <w:t>4.9</w:t>
            </w:r>
            <w:r>
              <w:rPr>
                <w:rFonts w:ascii="Arial" w:hAnsi="Arial" w:cs="Arial"/>
                <w:color w:val="010205"/>
                <w:sz w:val="18"/>
                <w:szCs w:val="18"/>
              </w:rPr>
              <w:t>5(0.17)</w:t>
            </w:r>
          </w:p>
        </w:tc>
        <w:tc>
          <w:tcPr>
            <w:tcW w:w="2168" w:type="dxa"/>
          </w:tcPr>
          <w:p w14:paraId="33E84738"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5.18(0.31)</w:t>
            </w:r>
          </w:p>
        </w:tc>
        <w:tc>
          <w:tcPr>
            <w:tcW w:w="1248" w:type="dxa"/>
          </w:tcPr>
          <w:p w14:paraId="7100EECE"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w:t>
            </w:r>
            <w:r w:rsidRPr="00D96AE3">
              <w:rPr>
                <w:rFonts w:ascii="Arial" w:hAnsi="Arial" w:cs="Arial"/>
                <w:color w:val="010205"/>
                <w:sz w:val="18"/>
                <w:szCs w:val="18"/>
              </w:rPr>
              <w:t>.6</w:t>
            </w:r>
            <w:r>
              <w:rPr>
                <w:rFonts w:ascii="Arial" w:hAnsi="Arial" w:cs="Arial"/>
                <w:color w:val="010205"/>
                <w:sz w:val="18"/>
                <w:szCs w:val="18"/>
              </w:rPr>
              <w:t>7</w:t>
            </w:r>
          </w:p>
        </w:tc>
        <w:tc>
          <w:tcPr>
            <w:tcW w:w="1074" w:type="dxa"/>
          </w:tcPr>
          <w:p w14:paraId="4BD64F45"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0.51</w:t>
            </w:r>
          </w:p>
        </w:tc>
      </w:tr>
      <w:tr w:rsidR="0051253C" w14:paraId="45776932" w14:textId="77777777" w:rsidTr="00FA0419">
        <w:trPr>
          <w:trHeight w:val="300"/>
          <w:jc w:val="center"/>
        </w:trPr>
        <w:tc>
          <w:tcPr>
            <w:tcW w:w="1535" w:type="dxa"/>
          </w:tcPr>
          <w:p w14:paraId="173399E3" w14:textId="391F08FA" w:rsidR="0051253C" w:rsidRPr="00D96AE3" w:rsidRDefault="00D05FC3" w:rsidP="0004039B">
            <w:pPr>
              <w:autoSpaceDE w:val="0"/>
              <w:autoSpaceDN w:val="0"/>
              <w:adjustRightInd w:val="0"/>
              <w:spacing w:line="320" w:lineRule="atLeast"/>
              <w:ind w:left="60" w:right="60"/>
              <w:rPr>
                <w:rFonts w:ascii="Arial" w:hAnsi="Arial" w:cs="Arial"/>
                <w:color w:val="264A60"/>
                <w:sz w:val="18"/>
                <w:szCs w:val="18"/>
              </w:rPr>
            </w:pPr>
            <w:r>
              <w:rPr>
                <w:rFonts w:ascii="Arial" w:hAnsi="Arial" w:cs="Arial"/>
                <w:color w:val="264A60"/>
                <w:sz w:val="18"/>
                <w:szCs w:val="18"/>
              </w:rPr>
              <w:t>RBG</w:t>
            </w:r>
          </w:p>
        </w:tc>
        <w:tc>
          <w:tcPr>
            <w:tcW w:w="1953" w:type="dxa"/>
          </w:tcPr>
          <w:p w14:paraId="31A3691D"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5.59(0.48)</w:t>
            </w:r>
          </w:p>
        </w:tc>
        <w:tc>
          <w:tcPr>
            <w:tcW w:w="2168" w:type="dxa"/>
          </w:tcPr>
          <w:p w14:paraId="65045A98"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5.13(0.36)</w:t>
            </w:r>
          </w:p>
        </w:tc>
        <w:tc>
          <w:tcPr>
            <w:tcW w:w="1248" w:type="dxa"/>
          </w:tcPr>
          <w:p w14:paraId="731469FC"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w:t>
            </w:r>
            <w:r w:rsidRPr="00D96AE3">
              <w:rPr>
                <w:rFonts w:ascii="Arial" w:hAnsi="Arial" w:cs="Arial"/>
                <w:color w:val="010205"/>
                <w:sz w:val="18"/>
                <w:szCs w:val="18"/>
              </w:rPr>
              <w:t>.7</w:t>
            </w:r>
            <w:r>
              <w:rPr>
                <w:rFonts w:ascii="Arial" w:hAnsi="Arial" w:cs="Arial"/>
                <w:color w:val="010205"/>
                <w:sz w:val="18"/>
                <w:szCs w:val="18"/>
              </w:rPr>
              <w:t>8</w:t>
            </w:r>
          </w:p>
        </w:tc>
        <w:tc>
          <w:tcPr>
            <w:tcW w:w="1074" w:type="dxa"/>
          </w:tcPr>
          <w:p w14:paraId="7132D08B"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0.45</w:t>
            </w:r>
          </w:p>
        </w:tc>
      </w:tr>
      <w:tr w:rsidR="0051253C" w14:paraId="7AD603CA" w14:textId="77777777" w:rsidTr="00FA0419">
        <w:trPr>
          <w:trHeight w:val="300"/>
          <w:jc w:val="center"/>
        </w:trPr>
        <w:tc>
          <w:tcPr>
            <w:tcW w:w="1535" w:type="dxa"/>
          </w:tcPr>
          <w:p w14:paraId="110B7105"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systolic</w:t>
            </w:r>
          </w:p>
        </w:tc>
        <w:tc>
          <w:tcPr>
            <w:tcW w:w="1953" w:type="dxa"/>
          </w:tcPr>
          <w:p w14:paraId="7EFB75B9"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123.80</w:t>
            </w:r>
            <w:r>
              <w:rPr>
                <w:rFonts w:ascii="Arial" w:hAnsi="Arial" w:cs="Arial"/>
                <w:color w:val="010205"/>
                <w:sz w:val="18"/>
                <w:szCs w:val="18"/>
              </w:rPr>
              <w:t>(2.79)</w:t>
            </w:r>
          </w:p>
        </w:tc>
        <w:tc>
          <w:tcPr>
            <w:tcW w:w="2168" w:type="dxa"/>
          </w:tcPr>
          <w:p w14:paraId="0FE04128"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120.71</w:t>
            </w:r>
            <w:r>
              <w:rPr>
                <w:rFonts w:ascii="Arial" w:hAnsi="Arial" w:cs="Arial"/>
                <w:color w:val="010205"/>
                <w:sz w:val="18"/>
                <w:szCs w:val="18"/>
              </w:rPr>
              <w:t>(2.60)</w:t>
            </w:r>
          </w:p>
        </w:tc>
        <w:tc>
          <w:tcPr>
            <w:tcW w:w="1248" w:type="dxa"/>
          </w:tcPr>
          <w:p w14:paraId="29305441"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0.81</w:t>
            </w:r>
          </w:p>
        </w:tc>
        <w:tc>
          <w:tcPr>
            <w:tcW w:w="1074" w:type="dxa"/>
          </w:tcPr>
          <w:p w14:paraId="3E1D0859"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0.42</w:t>
            </w:r>
          </w:p>
        </w:tc>
      </w:tr>
      <w:tr w:rsidR="0051253C" w14:paraId="07C2B937" w14:textId="77777777" w:rsidTr="00FA0419">
        <w:trPr>
          <w:trHeight w:val="300"/>
          <w:jc w:val="center"/>
        </w:trPr>
        <w:tc>
          <w:tcPr>
            <w:tcW w:w="1535" w:type="dxa"/>
          </w:tcPr>
          <w:p w14:paraId="7F5C44D4"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diastolic</w:t>
            </w:r>
          </w:p>
        </w:tc>
        <w:tc>
          <w:tcPr>
            <w:tcW w:w="1953" w:type="dxa"/>
          </w:tcPr>
          <w:p w14:paraId="11C98150"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77.93</w:t>
            </w:r>
            <w:r>
              <w:rPr>
                <w:rFonts w:ascii="Arial" w:hAnsi="Arial" w:cs="Arial"/>
                <w:color w:val="010205"/>
                <w:sz w:val="18"/>
                <w:szCs w:val="18"/>
              </w:rPr>
              <w:t>(1.99)</w:t>
            </w:r>
          </w:p>
        </w:tc>
        <w:tc>
          <w:tcPr>
            <w:tcW w:w="2168" w:type="dxa"/>
          </w:tcPr>
          <w:p w14:paraId="7A729D1F"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74.69</w:t>
            </w:r>
            <w:r>
              <w:rPr>
                <w:rFonts w:ascii="Arial" w:hAnsi="Arial" w:cs="Arial"/>
                <w:color w:val="010205"/>
                <w:sz w:val="18"/>
                <w:szCs w:val="18"/>
              </w:rPr>
              <w:t>(2.08)</w:t>
            </w:r>
          </w:p>
        </w:tc>
        <w:tc>
          <w:tcPr>
            <w:tcW w:w="1248" w:type="dxa"/>
          </w:tcPr>
          <w:p w14:paraId="1A029DE8"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sidRPr="00D96AE3">
              <w:rPr>
                <w:rFonts w:ascii="Arial" w:hAnsi="Arial" w:cs="Arial"/>
                <w:color w:val="010205"/>
                <w:sz w:val="18"/>
                <w:szCs w:val="18"/>
              </w:rPr>
              <w:t>1.1</w:t>
            </w:r>
            <w:r>
              <w:rPr>
                <w:rFonts w:ascii="Arial" w:hAnsi="Arial" w:cs="Arial"/>
                <w:color w:val="010205"/>
                <w:sz w:val="18"/>
                <w:szCs w:val="18"/>
              </w:rPr>
              <w:t>3</w:t>
            </w:r>
          </w:p>
        </w:tc>
        <w:tc>
          <w:tcPr>
            <w:tcW w:w="1074" w:type="dxa"/>
          </w:tcPr>
          <w:p w14:paraId="717099A1"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0.26</w:t>
            </w:r>
          </w:p>
        </w:tc>
      </w:tr>
      <w:tr w:rsidR="0051253C" w14:paraId="2A4DCD7F" w14:textId="77777777" w:rsidTr="00FA0419">
        <w:trPr>
          <w:trHeight w:val="300"/>
          <w:jc w:val="center"/>
        </w:trPr>
        <w:tc>
          <w:tcPr>
            <w:tcW w:w="1535" w:type="dxa"/>
          </w:tcPr>
          <w:p w14:paraId="5448330B"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BMI</w:t>
            </w:r>
          </w:p>
        </w:tc>
        <w:tc>
          <w:tcPr>
            <w:tcW w:w="1953" w:type="dxa"/>
          </w:tcPr>
          <w:p w14:paraId="70DB1272"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sidRPr="00D96AE3">
              <w:rPr>
                <w:rFonts w:ascii="Arial" w:hAnsi="Arial" w:cs="Arial"/>
                <w:color w:val="010205"/>
                <w:sz w:val="18"/>
                <w:szCs w:val="18"/>
              </w:rPr>
              <w:t>27</w:t>
            </w:r>
            <w:r>
              <w:rPr>
                <w:rFonts w:ascii="Arial" w:hAnsi="Arial" w:cs="Arial"/>
                <w:color w:val="010205"/>
                <w:sz w:val="18"/>
                <w:szCs w:val="18"/>
              </w:rPr>
              <w:t>.84(0.61)</w:t>
            </w:r>
          </w:p>
        </w:tc>
        <w:tc>
          <w:tcPr>
            <w:tcW w:w="2168" w:type="dxa"/>
          </w:tcPr>
          <w:p w14:paraId="1F5F9D5F"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29.37(0.94)</w:t>
            </w:r>
          </w:p>
        </w:tc>
        <w:tc>
          <w:tcPr>
            <w:tcW w:w="1248" w:type="dxa"/>
          </w:tcPr>
          <w:p w14:paraId="32250607"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sidRPr="00D96AE3">
              <w:rPr>
                <w:rFonts w:ascii="Arial" w:hAnsi="Arial" w:cs="Arial"/>
                <w:color w:val="010205"/>
                <w:sz w:val="18"/>
                <w:szCs w:val="18"/>
              </w:rPr>
              <w:t>1.3</w:t>
            </w:r>
            <w:r>
              <w:rPr>
                <w:rFonts w:ascii="Arial" w:hAnsi="Arial" w:cs="Arial"/>
                <w:color w:val="010205"/>
                <w:sz w:val="18"/>
                <w:szCs w:val="18"/>
              </w:rPr>
              <w:t>7</w:t>
            </w:r>
          </w:p>
        </w:tc>
        <w:tc>
          <w:tcPr>
            <w:tcW w:w="1074" w:type="dxa"/>
          </w:tcPr>
          <w:p w14:paraId="5164FD14"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0.18</w:t>
            </w:r>
          </w:p>
        </w:tc>
      </w:tr>
      <w:tr w:rsidR="0051253C" w14:paraId="6B7A045C" w14:textId="77777777" w:rsidTr="00FA0419">
        <w:trPr>
          <w:trHeight w:val="300"/>
          <w:jc w:val="center"/>
        </w:trPr>
        <w:tc>
          <w:tcPr>
            <w:tcW w:w="1535" w:type="dxa"/>
          </w:tcPr>
          <w:p w14:paraId="05D143D4" w14:textId="77777777" w:rsidR="0051253C" w:rsidRPr="00D96AE3" w:rsidRDefault="0051253C" w:rsidP="0004039B">
            <w:pPr>
              <w:autoSpaceDE w:val="0"/>
              <w:autoSpaceDN w:val="0"/>
              <w:adjustRightInd w:val="0"/>
              <w:spacing w:line="320" w:lineRule="atLeast"/>
              <w:ind w:left="60" w:right="60"/>
              <w:rPr>
                <w:rFonts w:ascii="Arial" w:hAnsi="Arial" w:cs="Arial"/>
                <w:color w:val="264A60"/>
                <w:sz w:val="18"/>
                <w:szCs w:val="18"/>
              </w:rPr>
            </w:pPr>
            <w:r w:rsidRPr="00D96AE3">
              <w:rPr>
                <w:rFonts w:ascii="Arial" w:hAnsi="Arial" w:cs="Arial"/>
                <w:color w:val="264A60"/>
                <w:sz w:val="18"/>
                <w:szCs w:val="18"/>
              </w:rPr>
              <w:t>Waist</w:t>
            </w:r>
            <w:r>
              <w:rPr>
                <w:rFonts w:ascii="Arial" w:hAnsi="Arial" w:cs="Arial"/>
                <w:color w:val="264A60"/>
                <w:sz w:val="18"/>
                <w:szCs w:val="18"/>
              </w:rPr>
              <w:t>/</w:t>
            </w:r>
            <w:r w:rsidRPr="00D96AE3">
              <w:rPr>
                <w:rFonts w:ascii="Arial" w:hAnsi="Arial" w:cs="Arial"/>
                <w:color w:val="264A60"/>
                <w:sz w:val="18"/>
                <w:szCs w:val="18"/>
              </w:rPr>
              <w:t>hip</w:t>
            </w:r>
          </w:p>
        </w:tc>
        <w:tc>
          <w:tcPr>
            <w:tcW w:w="1953" w:type="dxa"/>
          </w:tcPr>
          <w:p w14:paraId="4823C274"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1.02(0.005)</w:t>
            </w:r>
          </w:p>
        </w:tc>
        <w:tc>
          <w:tcPr>
            <w:tcW w:w="2168" w:type="dxa"/>
          </w:tcPr>
          <w:p w14:paraId="1EE7BCF3" w14:textId="77777777" w:rsidR="0051253C" w:rsidRDefault="0051253C" w:rsidP="00E107DB">
            <w:pPr>
              <w:spacing w:before="100" w:beforeAutospacing="1" w:after="100" w:afterAutospacing="1"/>
              <w:rPr>
                <w:rFonts w:ascii="Times New Roman" w:eastAsia="Times New Roman" w:hAnsi="Times New Roman" w:cs="Times New Roman"/>
                <w:sz w:val="24"/>
                <w:szCs w:val="24"/>
                <w:lang w:eastAsia="en-GB"/>
              </w:rPr>
            </w:pPr>
            <w:r>
              <w:rPr>
                <w:rFonts w:ascii="Arial" w:hAnsi="Arial" w:cs="Arial"/>
                <w:color w:val="010205"/>
                <w:sz w:val="18"/>
                <w:szCs w:val="18"/>
              </w:rPr>
              <w:t>1.00(0.005)</w:t>
            </w:r>
          </w:p>
        </w:tc>
        <w:tc>
          <w:tcPr>
            <w:tcW w:w="1248" w:type="dxa"/>
          </w:tcPr>
          <w:p w14:paraId="3B4883D4"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sidRPr="00D96AE3">
              <w:rPr>
                <w:rFonts w:ascii="Arial" w:hAnsi="Arial" w:cs="Arial"/>
                <w:color w:val="010205"/>
                <w:sz w:val="18"/>
                <w:szCs w:val="18"/>
              </w:rPr>
              <w:t>2.05</w:t>
            </w:r>
          </w:p>
        </w:tc>
        <w:tc>
          <w:tcPr>
            <w:tcW w:w="1074" w:type="dxa"/>
          </w:tcPr>
          <w:p w14:paraId="67F635C7" w14:textId="77777777" w:rsidR="0051253C" w:rsidRPr="00D96AE3" w:rsidRDefault="0051253C" w:rsidP="0051253C">
            <w:pPr>
              <w:autoSpaceDE w:val="0"/>
              <w:autoSpaceDN w:val="0"/>
              <w:adjustRightInd w:val="0"/>
              <w:spacing w:line="320" w:lineRule="atLeast"/>
              <w:ind w:left="60" w:right="60"/>
              <w:rPr>
                <w:rFonts w:ascii="Arial" w:hAnsi="Arial" w:cs="Arial"/>
                <w:color w:val="010205"/>
                <w:sz w:val="18"/>
                <w:szCs w:val="18"/>
              </w:rPr>
            </w:pPr>
            <w:r>
              <w:rPr>
                <w:rFonts w:ascii="Arial" w:hAnsi="Arial" w:cs="Arial"/>
                <w:color w:val="010205"/>
                <w:sz w:val="18"/>
                <w:szCs w:val="18"/>
              </w:rPr>
              <w:t>0.04</w:t>
            </w:r>
          </w:p>
        </w:tc>
      </w:tr>
    </w:tbl>
    <w:p w14:paraId="43061AEF" w14:textId="2FAF1044" w:rsidR="00FA0419" w:rsidRDefault="00FA0419" w:rsidP="00F95B57">
      <w:pPr>
        <w:pStyle w:val="NormalWeb"/>
        <w:jc w:val="both"/>
      </w:pPr>
      <w:r>
        <w:t xml:space="preserve">The study examined differences in metabolic and cardiovascular parameters between males and females. The results showed no statistically significant differences in </w:t>
      </w:r>
      <w:r w:rsidR="001B410F">
        <w:t>fasting blood glucose</w:t>
      </w:r>
      <w:r>
        <w:t xml:space="preserve"> (</w:t>
      </w:r>
      <w:r w:rsidR="00D05FC3">
        <w:t>FBG</w:t>
      </w:r>
      <w:r>
        <w:t xml:space="preserve">) (p = 0.51), </w:t>
      </w:r>
      <w:r w:rsidR="00D05FC3">
        <w:t>random blood glucose</w:t>
      </w:r>
      <w:r>
        <w:t xml:space="preserve"> (</w:t>
      </w:r>
      <w:r w:rsidR="00D05FC3">
        <w:t>RBG</w:t>
      </w:r>
      <w:r>
        <w:t>) (p = 0.45), systolic blood pressure (p = 0.42), diastolic blood pressure (p = 0.26), or body mass index (BMI) (p = 0.18). However, the waist-to-hip ratio showed a statistically significant difference (p = 0.04), with males having a higher mean value (1.02 ± 0.005) compared to females (1.00 ± 0.005). This finding suggests potential sex-related differences in fat distribution, which may have implications for cardiovascular and metabolic health.</w:t>
      </w:r>
    </w:p>
    <w:p w14:paraId="5C4410AC" w14:textId="77777777" w:rsidR="006C07E3" w:rsidRPr="006C07E3" w:rsidRDefault="006C07E3" w:rsidP="006C07E3">
      <w:pPr>
        <w:autoSpaceDE w:val="0"/>
        <w:autoSpaceDN w:val="0"/>
        <w:adjustRightInd w:val="0"/>
        <w:spacing w:after="0" w:line="240" w:lineRule="auto"/>
        <w:rPr>
          <w:rFonts w:ascii="Times New Roman" w:hAnsi="Times New Roman" w:cs="Times New Roman"/>
          <w:sz w:val="24"/>
          <w:szCs w:val="24"/>
        </w:rPr>
      </w:pPr>
    </w:p>
    <w:p w14:paraId="3A408C1F" w14:textId="77777777" w:rsidR="00804AC1" w:rsidRPr="00FA0419" w:rsidRDefault="00FA0419" w:rsidP="00FA0419">
      <w:pPr>
        <w:pStyle w:val="Heading3"/>
      </w:pPr>
      <w:r>
        <w:rPr>
          <w:rStyle w:val="Strong"/>
          <w:b/>
          <w:bCs/>
        </w:rPr>
        <w:t xml:space="preserve">Table 3: </w:t>
      </w:r>
      <w:r>
        <w:rPr>
          <w:rStyle w:val="Strong"/>
        </w:rPr>
        <w:t>Correlation Between Metabolic and Cardiovascular Parameters with Demographic and Lifestyle Factors</w:t>
      </w:r>
    </w:p>
    <w:p w14:paraId="594C61D8" w14:textId="77777777" w:rsidR="006C07E3" w:rsidRPr="00DE28AA" w:rsidRDefault="0004039B" w:rsidP="006C07E3">
      <w:pPr>
        <w:autoSpaceDE w:val="0"/>
        <w:autoSpaceDN w:val="0"/>
        <w:adjustRightInd w:val="0"/>
        <w:spacing w:after="0" w:line="240" w:lineRule="auto"/>
        <w:rPr>
          <w:rFonts w:ascii="Arial" w:hAnsi="Arial" w:cs="Arial"/>
          <w:b/>
          <w:color w:val="264A60"/>
          <w:sz w:val="18"/>
          <w:szCs w:val="18"/>
        </w:rPr>
      </w:pPr>
      <w:r w:rsidRPr="00DE28AA">
        <w:rPr>
          <w:rFonts w:ascii="Arial" w:hAnsi="Arial" w:cs="Arial"/>
          <w:b/>
          <w:color w:val="264A60"/>
          <w:sz w:val="18"/>
          <w:szCs w:val="18"/>
        </w:rPr>
        <w:t>Spearman's rho Correlations</w:t>
      </w:r>
    </w:p>
    <w:tbl>
      <w:tblPr>
        <w:tblStyle w:val="TableGrid"/>
        <w:tblW w:w="9202" w:type="dxa"/>
        <w:tblLook w:val="04A0" w:firstRow="1" w:lastRow="0" w:firstColumn="1" w:lastColumn="0" w:noHBand="0" w:noVBand="1"/>
      </w:tblPr>
      <w:tblGrid>
        <w:gridCol w:w="2251"/>
        <w:gridCol w:w="956"/>
        <w:gridCol w:w="1031"/>
        <w:gridCol w:w="1245"/>
        <w:gridCol w:w="1412"/>
        <w:gridCol w:w="1185"/>
        <w:gridCol w:w="1122"/>
      </w:tblGrid>
      <w:tr w:rsidR="008A189F" w:rsidRPr="00804AC1" w14:paraId="66A0C994" w14:textId="77777777" w:rsidTr="00FA0419">
        <w:trPr>
          <w:trHeight w:val="277"/>
        </w:trPr>
        <w:tc>
          <w:tcPr>
            <w:tcW w:w="0" w:type="auto"/>
          </w:tcPr>
          <w:p w14:paraId="62527A7A" w14:textId="77777777" w:rsidR="008A189F" w:rsidRPr="00804AC1" w:rsidRDefault="008A189F" w:rsidP="006C07E3">
            <w:pPr>
              <w:autoSpaceDE w:val="0"/>
              <w:autoSpaceDN w:val="0"/>
              <w:adjustRightInd w:val="0"/>
              <w:rPr>
                <w:rFonts w:ascii="Times New Roman" w:hAnsi="Times New Roman" w:cs="Times New Roman"/>
                <w:b/>
                <w:sz w:val="24"/>
                <w:szCs w:val="24"/>
              </w:rPr>
            </w:pPr>
          </w:p>
        </w:tc>
        <w:tc>
          <w:tcPr>
            <w:tcW w:w="956" w:type="dxa"/>
          </w:tcPr>
          <w:p w14:paraId="11318073" w14:textId="7DDCF2A4" w:rsidR="008A189F"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FBG</w:t>
            </w:r>
          </w:p>
        </w:tc>
        <w:tc>
          <w:tcPr>
            <w:tcW w:w="1031" w:type="dxa"/>
          </w:tcPr>
          <w:p w14:paraId="3319855C" w14:textId="798B42D8" w:rsidR="008A189F"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RBG</w:t>
            </w:r>
          </w:p>
        </w:tc>
        <w:tc>
          <w:tcPr>
            <w:tcW w:w="1245" w:type="dxa"/>
          </w:tcPr>
          <w:p w14:paraId="751DDC22"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systolic</w:t>
            </w:r>
          </w:p>
        </w:tc>
        <w:tc>
          <w:tcPr>
            <w:tcW w:w="1412" w:type="dxa"/>
          </w:tcPr>
          <w:p w14:paraId="1592E9A8"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diastolic</w:t>
            </w:r>
          </w:p>
        </w:tc>
        <w:tc>
          <w:tcPr>
            <w:tcW w:w="1185" w:type="dxa"/>
          </w:tcPr>
          <w:p w14:paraId="401A9BB0"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BMI</w:t>
            </w:r>
          </w:p>
        </w:tc>
        <w:tc>
          <w:tcPr>
            <w:tcW w:w="1122" w:type="dxa"/>
          </w:tcPr>
          <w:p w14:paraId="57D3779E"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Waist/hip</w:t>
            </w:r>
          </w:p>
        </w:tc>
      </w:tr>
      <w:tr w:rsidR="008A189F" w14:paraId="680F0BB6" w14:textId="77777777" w:rsidTr="00FA0419">
        <w:trPr>
          <w:trHeight w:val="277"/>
        </w:trPr>
        <w:tc>
          <w:tcPr>
            <w:tcW w:w="0" w:type="auto"/>
          </w:tcPr>
          <w:p w14:paraId="41622329"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Sex </w:t>
            </w:r>
          </w:p>
        </w:tc>
        <w:tc>
          <w:tcPr>
            <w:tcW w:w="956" w:type="dxa"/>
          </w:tcPr>
          <w:p w14:paraId="6CEBA10D"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.007</w:t>
            </w:r>
          </w:p>
        </w:tc>
        <w:tc>
          <w:tcPr>
            <w:tcW w:w="1031" w:type="dxa"/>
          </w:tcPr>
          <w:p w14:paraId="268E62AA"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.122</w:t>
            </w:r>
          </w:p>
        </w:tc>
        <w:tc>
          <w:tcPr>
            <w:tcW w:w="1245" w:type="dxa"/>
          </w:tcPr>
          <w:p w14:paraId="3F6BDFCF"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.081</w:t>
            </w:r>
          </w:p>
        </w:tc>
        <w:tc>
          <w:tcPr>
            <w:tcW w:w="1412" w:type="dxa"/>
          </w:tcPr>
          <w:p w14:paraId="2875F00D"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.144</w:t>
            </w:r>
          </w:p>
        </w:tc>
        <w:tc>
          <w:tcPr>
            <w:tcW w:w="1185" w:type="dxa"/>
          </w:tcPr>
          <w:p w14:paraId="4F86F31F"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.065</w:t>
            </w:r>
          </w:p>
        </w:tc>
        <w:tc>
          <w:tcPr>
            <w:tcW w:w="1122" w:type="dxa"/>
          </w:tcPr>
          <w:p w14:paraId="0729C248"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.187</w:t>
            </w:r>
          </w:p>
        </w:tc>
      </w:tr>
      <w:tr w:rsidR="008A189F" w14:paraId="138776C8" w14:textId="77777777" w:rsidTr="00FA0419">
        <w:trPr>
          <w:trHeight w:val="277"/>
        </w:trPr>
        <w:tc>
          <w:tcPr>
            <w:tcW w:w="0" w:type="auto"/>
          </w:tcPr>
          <w:p w14:paraId="244130DE"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Age </w:t>
            </w:r>
          </w:p>
        </w:tc>
        <w:tc>
          <w:tcPr>
            <w:tcW w:w="956" w:type="dxa"/>
          </w:tcPr>
          <w:p w14:paraId="73FC6FC4"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.271</w:t>
            </w:r>
            <w:r w:rsidR="008A189F" w:rsidRPr="0004039B">
              <w:rPr>
                <w:rFonts w:ascii="Arial" w:hAnsi="Arial" w:cs="Arial"/>
                <w:color w:val="010205"/>
                <w:sz w:val="18"/>
                <w:szCs w:val="18"/>
                <w:vertAlign w:val="superscript"/>
              </w:rPr>
              <w:t>*</w:t>
            </w:r>
          </w:p>
        </w:tc>
        <w:tc>
          <w:tcPr>
            <w:tcW w:w="1031" w:type="dxa"/>
          </w:tcPr>
          <w:p w14:paraId="3658981B"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.079</w:t>
            </w:r>
          </w:p>
        </w:tc>
        <w:tc>
          <w:tcPr>
            <w:tcW w:w="1245" w:type="dxa"/>
          </w:tcPr>
          <w:p w14:paraId="7FD01ED8"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.403</w:t>
            </w:r>
            <w:r w:rsidR="008A189F" w:rsidRPr="0004039B">
              <w:rPr>
                <w:rFonts w:ascii="Arial" w:hAnsi="Arial" w:cs="Arial"/>
                <w:color w:val="010205"/>
                <w:sz w:val="18"/>
                <w:szCs w:val="18"/>
                <w:vertAlign w:val="superscript"/>
              </w:rPr>
              <w:t>**</w:t>
            </w:r>
          </w:p>
        </w:tc>
        <w:tc>
          <w:tcPr>
            <w:tcW w:w="1412" w:type="dxa"/>
          </w:tcPr>
          <w:p w14:paraId="6E3C38E8"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.448</w:t>
            </w:r>
            <w:r w:rsidR="008A189F" w:rsidRPr="0004039B">
              <w:rPr>
                <w:rFonts w:ascii="Arial" w:hAnsi="Arial" w:cs="Arial"/>
                <w:color w:val="010205"/>
                <w:sz w:val="18"/>
                <w:szCs w:val="18"/>
                <w:vertAlign w:val="superscript"/>
              </w:rPr>
              <w:t>**</w:t>
            </w:r>
          </w:p>
        </w:tc>
        <w:tc>
          <w:tcPr>
            <w:tcW w:w="1185" w:type="dxa"/>
          </w:tcPr>
          <w:p w14:paraId="1760009D"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.229</w:t>
            </w:r>
            <w:r w:rsidR="008A189F" w:rsidRPr="0004039B">
              <w:rPr>
                <w:rFonts w:ascii="Arial" w:hAnsi="Arial" w:cs="Arial"/>
                <w:color w:val="010205"/>
                <w:sz w:val="18"/>
                <w:szCs w:val="18"/>
                <w:vertAlign w:val="superscript"/>
              </w:rPr>
              <w:t>*</w:t>
            </w:r>
          </w:p>
        </w:tc>
        <w:tc>
          <w:tcPr>
            <w:tcW w:w="1122" w:type="dxa"/>
          </w:tcPr>
          <w:p w14:paraId="590442E7"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.090</w:t>
            </w:r>
          </w:p>
        </w:tc>
      </w:tr>
      <w:tr w:rsidR="008A189F" w14:paraId="68F723E2" w14:textId="77777777" w:rsidTr="00FA0419">
        <w:trPr>
          <w:trHeight w:val="277"/>
        </w:trPr>
        <w:tc>
          <w:tcPr>
            <w:tcW w:w="0" w:type="auto"/>
          </w:tcPr>
          <w:p w14:paraId="4EE4887C"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Occupation </w:t>
            </w:r>
          </w:p>
        </w:tc>
        <w:tc>
          <w:tcPr>
            <w:tcW w:w="956" w:type="dxa"/>
          </w:tcPr>
          <w:p w14:paraId="3054CEDF"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.006</w:t>
            </w:r>
          </w:p>
        </w:tc>
        <w:tc>
          <w:tcPr>
            <w:tcW w:w="1031" w:type="dxa"/>
          </w:tcPr>
          <w:p w14:paraId="409101FA"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.499</w:t>
            </w:r>
            <w:r w:rsidRPr="0004039B">
              <w:rPr>
                <w:rFonts w:ascii="Arial" w:hAnsi="Arial" w:cs="Arial"/>
                <w:color w:val="010205"/>
                <w:sz w:val="18"/>
                <w:szCs w:val="18"/>
                <w:vertAlign w:val="superscript"/>
              </w:rPr>
              <w:t>*</w:t>
            </w:r>
          </w:p>
        </w:tc>
        <w:tc>
          <w:tcPr>
            <w:tcW w:w="1245" w:type="dxa"/>
          </w:tcPr>
          <w:p w14:paraId="160599CE"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.074</w:t>
            </w:r>
          </w:p>
        </w:tc>
        <w:tc>
          <w:tcPr>
            <w:tcW w:w="1412" w:type="dxa"/>
          </w:tcPr>
          <w:p w14:paraId="6FEA4056"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.031</w:t>
            </w:r>
          </w:p>
        </w:tc>
        <w:tc>
          <w:tcPr>
            <w:tcW w:w="1185" w:type="dxa"/>
          </w:tcPr>
          <w:p w14:paraId="08B30E8B"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.234</w:t>
            </w:r>
            <w:r w:rsidRPr="0004039B">
              <w:rPr>
                <w:rFonts w:ascii="Arial" w:hAnsi="Arial" w:cs="Arial"/>
                <w:color w:val="010205"/>
                <w:sz w:val="18"/>
                <w:szCs w:val="18"/>
                <w:vertAlign w:val="superscript"/>
              </w:rPr>
              <w:t>*</w:t>
            </w:r>
          </w:p>
        </w:tc>
        <w:tc>
          <w:tcPr>
            <w:tcW w:w="1122" w:type="dxa"/>
          </w:tcPr>
          <w:p w14:paraId="5841A22B"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.011</w:t>
            </w:r>
          </w:p>
        </w:tc>
      </w:tr>
      <w:tr w:rsidR="008A189F" w14:paraId="501CE140" w14:textId="77777777" w:rsidTr="00FA0419">
        <w:trPr>
          <w:trHeight w:val="277"/>
        </w:trPr>
        <w:tc>
          <w:tcPr>
            <w:tcW w:w="0" w:type="auto"/>
          </w:tcPr>
          <w:p w14:paraId="6C289441"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Residence </w:t>
            </w:r>
          </w:p>
        </w:tc>
        <w:tc>
          <w:tcPr>
            <w:tcW w:w="956" w:type="dxa"/>
          </w:tcPr>
          <w:p w14:paraId="6BCC64D1"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.032</w:t>
            </w:r>
          </w:p>
        </w:tc>
        <w:tc>
          <w:tcPr>
            <w:tcW w:w="1031" w:type="dxa"/>
          </w:tcPr>
          <w:p w14:paraId="1B4492A6"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.014</w:t>
            </w:r>
          </w:p>
        </w:tc>
        <w:tc>
          <w:tcPr>
            <w:tcW w:w="1245" w:type="dxa"/>
          </w:tcPr>
          <w:p w14:paraId="30BAB35C"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.088</w:t>
            </w:r>
          </w:p>
        </w:tc>
        <w:tc>
          <w:tcPr>
            <w:tcW w:w="1412" w:type="dxa"/>
          </w:tcPr>
          <w:p w14:paraId="057FAE16"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.065</w:t>
            </w:r>
          </w:p>
        </w:tc>
        <w:tc>
          <w:tcPr>
            <w:tcW w:w="1185" w:type="dxa"/>
          </w:tcPr>
          <w:p w14:paraId="0E46376B" w14:textId="77777777" w:rsidR="008A189F"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008A189F" w:rsidRPr="0004039B">
              <w:rPr>
                <w:rFonts w:ascii="Arial" w:hAnsi="Arial" w:cs="Arial"/>
                <w:color w:val="010205"/>
                <w:sz w:val="18"/>
                <w:szCs w:val="18"/>
              </w:rPr>
              <w:t>.074</w:t>
            </w:r>
          </w:p>
        </w:tc>
        <w:tc>
          <w:tcPr>
            <w:tcW w:w="1122" w:type="dxa"/>
          </w:tcPr>
          <w:p w14:paraId="36C8CAE7"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.023</w:t>
            </w:r>
          </w:p>
        </w:tc>
      </w:tr>
      <w:tr w:rsidR="008A189F" w14:paraId="270D6E20" w14:textId="77777777" w:rsidTr="00FA0419">
        <w:trPr>
          <w:trHeight w:val="277"/>
        </w:trPr>
        <w:tc>
          <w:tcPr>
            <w:tcW w:w="0" w:type="auto"/>
          </w:tcPr>
          <w:p w14:paraId="7EFA2C36" w14:textId="77777777" w:rsidR="008A189F" w:rsidRPr="00804AC1" w:rsidRDefault="008A189F"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Alcohol </w:t>
            </w:r>
          </w:p>
        </w:tc>
        <w:tc>
          <w:tcPr>
            <w:tcW w:w="956" w:type="dxa"/>
          </w:tcPr>
          <w:p w14:paraId="5E7F1D42"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.110</w:t>
            </w:r>
          </w:p>
        </w:tc>
        <w:tc>
          <w:tcPr>
            <w:tcW w:w="1031" w:type="dxa"/>
          </w:tcPr>
          <w:p w14:paraId="4D9260BE"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.126</w:t>
            </w:r>
          </w:p>
        </w:tc>
        <w:tc>
          <w:tcPr>
            <w:tcW w:w="1245" w:type="dxa"/>
          </w:tcPr>
          <w:p w14:paraId="039624DB"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.163</w:t>
            </w:r>
          </w:p>
        </w:tc>
        <w:tc>
          <w:tcPr>
            <w:tcW w:w="1412" w:type="dxa"/>
          </w:tcPr>
          <w:p w14:paraId="32109224"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.078</w:t>
            </w:r>
          </w:p>
        </w:tc>
        <w:tc>
          <w:tcPr>
            <w:tcW w:w="1185" w:type="dxa"/>
          </w:tcPr>
          <w:p w14:paraId="40C34BD7"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.222</w:t>
            </w:r>
            <w:r w:rsidRPr="0004039B">
              <w:rPr>
                <w:rFonts w:ascii="Arial" w:hAnsi="Arial" w:cs="Arial"/>
                <w:color w:val="010205"/>
                <w:sz w:val="18"/>
                <w:szCs w:val="18"/>
                <w:vertAlign w:val="superscript"/>
              </w:rPr>
              <w:t>*</w:t>
            </w:r>
          </w:p>
        </w:tc>
        <w:tc>
          <w:tcPr>
            <w:tcW w:w="1122" w:type="dxa"/>
          </w:tcPr>
          <w:p w14:paraId="1F414C00" w14:textId="77777777" w:rsidR="008A189F" w:rsidRPr="0004039B" w:rsidRDefault="008A189F"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sidR="00DE28AA">
              <w:rPr>
                <w:rFonts w:ascii="Arial" w:hAnsi="Arial" w:cs="Arial"/>
                <w:color w:val="010205"/>
                <w:sz w:val="18"/>
                <w:szCs w:val="18"/>
              </w:rPr>
              <w:t>0</w:t>
            </w:r>
            <w:r w:rsidRPr="0004039B">
              <w:rPr>
                <w:rFonts w:ascii="Arial" w:hAnsi="Arial" w:cs="Arial"/>
                <w:color w:val="010205"/>
                <w:sz w:val="18"/>
                <w:szCs w:val="18"/>
              </w:rPr>
              <w:t>.156</w:t>
            </w:r>
          </w:p>
        </w:tc>
      </w:tr>
      <w:tr w:rsidR="00DE28AA" w14:paraId="0C539348" w14:textId="77777777" w:rsidTr="00FA0419">
        <w:trPr>
          <w:trHeight w:val="277"/>
        </w:trPr>
        <w:tc>
          <w:tcPr>
            <w:tcW w:w="0" w:type="auto"/>
          </w:tcPr>
          <w:p w14:paraId="49467819" w14:textId="0B4B6D75" w:rsidR="00DE28AA"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FBG</w:t>
            </w:r>
            <w:r w:rsidR="00DE28AA" w:rsidRPr="00804AC1">
              <w:rPr>
                <w:rFonts w:ascii="Arial" w:hAnsi="Arial" w:cs="Arial"/>
                <w:b/>
                <w:color w:val="264A60"/>
                <w:sz w:val="18"/>
                <w:szCs w:val="18"/>
              </w:rPr>
              <w:t xml:space="preserve"> </w:t>
            </w:r>
          </w:p>
        </w:tc>
        <w:tc>
          <w:tcPr>
            <w:tcW w:w="956" w:type="dxa"/>
          </w:tcPr>
          <w:p w14:paraId="2F7A32F2"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031" w:type="dxa"/>
          </w:tcPr>
          <w:p w14:paraId="7E013BE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p>
        </w:tc>
        <w:tc>
          <w:tcPr>
            <w:tcW w:w="1245" w:type="dxa"/>
          </w:tcPr>
          <w:p w14:paraId="10645D3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.170</w:t>
            </w:r>
          </w:p>
        </w:tc>
        <w:tc>
          <w:tcPr>
            <w:tcW w:w="1412" w:type="dxa"/>
          </w:tcPr>
          <w:p w14:paraId="755905A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.221</w:t>
            </w:r>
            <w:r w:rsidRPr="0004039B">
              <w:rPr>
                <w:rFonts w:ascii="Arial" w:hAnsi="Arial" w:cs="Arial"/>
                <w:color w:val="010205"/>
                <w:sz w:val="18"/>
                <w:szCs w:val="18"/>
                <w:vertAlign w:val="superscript"/>
              </w:rPr>
              <w:t>*</w:t>
            </w:r>
          </w:p>
        </w:tc>
        <w:tc>
          <w:tcPr>
            <w:tcW w:w="1185" w:type="dxa"/>
          </w:tcPr>
          <w:p w14:paraId="733BEA5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.227</w:t>
            </w:r>
            <w:r w:rsidRPr="0004039B">
              <w:rPr>
                <w:rFonts w:ascii="Arial" w:hAnsi="Arial" w:cs="Arial"/>
                <w:color w:val="010205"/>
                <w:sz w:val="18"/>
                <w:szCs w:val="18"/>
                <w:vertAlign w:val="superscript"/>
              </w:rPr>
              <w:t>*</w:t>
            </w:r>
          </w:p>
        </w:tc>
        <w:tc>
          <w:tcPr>
            <w:tcW w:w="1122" w:type="dxa"/>
          </w:tcPr>
          <w:p w14:paraId="5C999E1D"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.148</w:t>
            </w:r>
          </w:p>
        </w:tc>
      </w:tr>
      <w:tr w:rsidR="00DE28AA" w14:paraId="26E8A8D3" w14:textId="77777777" w:rsidTr="00FA0419">
        <w:trPr>
          <w:trHeight w:val="277"/>
        </w:trPr>
        <w:tc>
          <w:tcPr>
            <w:tcW w:w="0" w:type="auto"/>
          </w:tcPr>
          <w:p w14:paraId="7D45F556" w14:textId="2F6AB57A" w:rsidR="00DE28AA" w:rsidRPr="00804AC1" w:rsidRDefault="00D05FC3" w:rsidP="006C07E3">
            <w:pPr>
              <w:autoSpaceDE w:val="0"/>
              <w:autoSpaceDN w:val="0"/>
              <w:adjustRightInd w:val="0"/>
              <w:rPr>
                <w:rFonts w:ascii="Times New Roman" w:hAnsi="Times New Roman" w:cs="Times New Roman"/>
                <w:b/>
                <w:sz w:val="24"/>
                <w:szCs w:val="24"/>
              </w:rPr>
            </w:pPr>
            <w:r>
              <w:rPr>
                <w:rFonts w:ascii="Arial" w:hAnsi="Arial" w:cs="Arial"/>
                <w:b/>
                <w:color w:val="264A60"/>
                <w:sz w:val="18"/>
                <w:szCs w:val="18"/>
              </w:rPr>
              <w:t>RBG</w:t>
            </w:r>
          </w:p>
        </w:tc>
        <w:tc>
          <w:tcPr>
            <w:tcW w:w="956" w:type="dxa"/>
          </w:tcPr>
          <w:p w14:paraId="7FE1EFA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p>
        </w:tc>
        <w:tc>
          <w:tcPr>
            <w:tcW w:w="1031" w:type="dxa"/>
          </w:tcPr>
          <w:p w14:paraId="19B4E7C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245" w:type="dxa"/>
          </w:tcPr>
          <w:p w14:paraId="4C2BFFED"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.303</w:t>
            </w:r>
          </w:p>
        </w:tc>
        <w:tc>
          <w:tcPr>
            <w:tcW w:w="1412" w:type="dxa"/>
          </w:tcPr>
          <w:p w14:paraId="4F060A01"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.450</w:t>
            </w:r>
          </w:p>
        </w:tc>
        <w:tc>
          <w:tcPr>
            <w:tcW w:w="1185" w:type="dxa"/>
          </w:tcPr>
          <w:p w14:paraId="35BA993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.127</w:t>
            </w:r>
          </w:p>
        </w:tc>
        <w:tc>
          <w:tcPr>
            <w:tcW w:w="1122" w:type="dxa"/>
          </w:tcPr>
          <w:p w14:paraId="5294861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.004</w:t>
            </w:r>
          </w:p>
        </w:tc>
      </w:tr>
      <w:tr w:rsidR="00DE28AA" w14:paraId="28F57594" w14:textId="77777777" w:rsidTr="00FA0419">
        <w:trPr>
          <w:trHeight w:val="295"/>
        </w:trPr>
        <w:tc>
          <w:tcPr>
            <w:tcW w:w="0" w:type="auto"/>
          </w:tcPr>
          <w:p w14:paraId="46A16E49"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Systolic Bp</w:t>
            </w:r>
          </w:p>
        </w:tc>
        <w:tc>
          <w:tcPr>
            <w:tcW w:w="956" w:type="dxa"/>
          </w:tcPr>
          <w:p w14:paraId="3A10B2DF"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.170</w:t>
            </w:r>
          </w:p>
        </w:tc>
        <w:tc>
          <w:tcPr>
            <w:tcW w:w="1031" w:type="dxa"/>
          </w:tcPr>
          <w:p w14:paraId="2DAAF260"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.303</w:t>
            </w:r>
          </w:p>
        </w:tc>
        <w:tc>
          <w:tcPr>
            <w:tcW w:w="1245" w:type="dxa"/>
          </w:tcPr>
          <w:p w14:paraId="12210CCB"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412" w:type="dxa"/>
          </w:tcPr>
          <w:p w14:paraId="18F478E7"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.817</w:t>
            </w:r>
            <w:r w:rsidRPr="0004039B">
              <w:rPr>
                <w:rFonts w:ascii="Arial" w:hAnsi="Arial" w:cs="Arial"/>
                <w:color w:val="010205"/>
                <w:sz w:val="18"/>
                <w:szCs w:val="18"/>
                <w:vertAlign w:val="superscript"/>
              </w:rPr>
              <w:t>**</w:t>
            </w:r>
          </w:p>
        </w:tc>
        <w:tc>
          <w:tcPr>
            <w:tcW w:w="1185" w:type="dxa"/>
          </w:tcPr>
          <w:p w14:paraId="75CEEF63"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.401</w:t>
            </w:r>
            <w:r w:rsidRPr="0004039B">
              <w:rPr>
                <w:rFonts w:ascii="Arial" w:hAnsi="Arial" w:cs="Arial"/>
                <w:color w:val="010205"/>
                <w:sz w:val="18"/>
                <w:szCs w:val="18"/>
                <w:vertAlign w:val="superscript"/>
              </w:rPr>
              <w:t>**</w:t>
            </w:r>
          </w:p>
        </w:tc>
        <w:tc>
          <w:tcPr>
            <w:tcW w:w="1122" w:type="dxa"/>
          </w:tcPr>
          <w:p w14:paraId="1EC28F0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.085</w:t>
            </w:r>
          </w:p>
        </w:tc>
      </w:tr>
      <w:tr w:rsidR="00DE28AA" w14:paraId="162FC342" w14:textId="77777777" w:rsidTr="00FA0419">
        <w:trPr>
          <w:trHeight w:val="277"/>
        </w:trPr>
        <w:tc>
          <w:tcPr>
            <w:tcW w:w="0" w:type="auto"/>
          </w:tcPr>
          <w:p w14:paraId="6BAC8288"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Diastolic Bp</w:t>
            </w:r>
          </w:p>
        </w:tc>
        <w:tc>
          <w:tcPr>
            <w:tcW w:w="956" w:type="dxa"/>
          </w:tcPr>
          <w:p w14:paraId="54189E7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.221</w:t>
            </w:r>
            <w:r w:rsidRPr="0004039B">
              <w:rPr>
                <w:rFonts w:ascii="Arial" w:hAnsi="Arial" w:cs="Arial"/>
                <w:color w:val="010205"/>
                <w:sz w:val="18"/>
                <w:szCs w:val="18"/>
                <w:vertAlign w:val="superscript"/>
              </w:rPr>
              <w:t>*</w:t>
            </w:r>
          </w:p>
        </w:tc>
        <w:tc>
          <w:tcPr>
            <w:tcW w:w="1031" w:type="dxa"/>
          </w:tcPr>
          <w:p w14:paraId="4F83BC81"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.450</w:t>
            </w:r>
          </w:p>
        </w:tc>
        <w:tc>
          <w:tcPr>
            <w:tcW w:w="1245" w:type="dxa"/>
          </w:tcPr>
          <w:p w14:paraId="0BE37E14"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.817</w:t>
            </w:r>
            <w:r w:rsidRPr="0004039B">
              <w:rPr>
                <w:rFonts w:ascii="Arial" w:hAnsi="Arial" w:cs="Arial"/>
                <w:color w:val="010205"/>
                <w:sz w:val="18"/>
                <w:szCs w:val="18"/>
                <w:vertAlign w:val="superscript"/>
              </w:rPr>
              <w:t>**</w:t>
            </w:r>
          </w:p>
        </w:tc>
        <w:tc>
          <w:tcPr>
            <w:tcW w:w="1412" w:type="dxa"/>
          </w:tcPr>
          <w:p w14:paraId="3168773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185" w:type="dxa"/>
          </w:tcPr>
          <w:p w14:paraId="0FB3654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.366</w:t>
            </w:r>
            <w:r w:rsidRPr="0004039B">
              <w:rPr>
                <w:rFonts w:ascii="Arial" w:hAnsi="Arial" w:cs="Arial"/>
                <w:color w:val="010205"/>
                <w:sz w:val="18"/>
                <w:szCs w:val="18"/>
                <w:vertAlign w:val="superscript"/>
              </w:rPr>
              <w:t>**</w:t>
            </w:r>
          </w:p>
        </w:tc>
        <w:tc>
          <w:tcPr>
            <w:tcW w:w="1122" w:type="dxa"/>
          </w:tcPr>
          <w:p w14:paraId="70415A3D"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.112</w:t>
            </w:r>
          </w:p>
        </w:tc>
      </w:tr>
      <w:tr w:rsidR="00DE28AA" w14:paraId="4A6BFDD6" w14:textId="77777777" w:rsidTr="00FA0419">
        <w:trPr>
          <w:trHeight w:val="277"/>
        </w:trPr>
        <w:tc>
          <w:tcPr>
            <w:tcW w:w="0" w:type="auto"/>
          </w:tcPr>
          <w:p w14:paraId="4162806F"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BMI</w:t>
            </w:r>
          </w:p>
        </w:tc>
        <w:tc>
          <w:tcPr>
            <w:tcW w:w="956" w:type="dxa"/>
          </w:tcPr>
          <w:p w14:paraId="7AE60AC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.227</w:t>
            </w:r>
            <w:r w:rsidRPr="0004039B">
              <w:rPr>
                <w:rFonts w:ascii="Arial" w:hAnsi="Arial" w:cs="Arial"/>
                <w:color w:val="010205"/>
                <w:sz w:val="18"/>
                <w:szCs w:val="18"/>
                <w:vertAlign w:val="superscript"/>
              </w:rPr>
              <w:t>*</w:t>
            </w:r>
          </w:p>
        </w:tc>
        <w:tc>
          <w:tcPr>
            <w:tcW w:w="1031" w:type="dxa"/>
          </w:tcPr>
          <w:p w14:paraId="66382FB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w:t>
            </w:r>
            <w:r>
              <w:rPr>
                <w:rFonts w:ascii="Arial" w:hAnsi="Arial" w:cs="Arial"/>
                <w:color w:val="010205"/>
                <w:sz w:val="18"/>
                <w:szCs w:val="18"/>
              </w:rPr>
              <w:t>0</w:t>
            </w:r>
            <w:r w:rsidRPr="0004039B">
              <w:rPr>
                <w:rFonts w:ascii="Arial" w:hAnsi="Arial" w:cs="Arial"/>
                <w:color w:val="010205"/>
                <w:sz w:val="18"/>
                <w:szCs w:val="18"/>
              </w:rPr>
              <w:t>.127</w:t>
            </w:r>
          </w:p>
        </w:tc>
        <w:tc>
          <w:tcPr>
            <w:tcW w:w="1245" w:type="dxa"/>
          </w:tcPr>
          <w:p w14:paraId="148B349C"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.401</w:t>
            </w:r>
            <w:r w:rsidRPr="0004039B">
              <w:rPr>
                <w:rFonts w:ascii="Arial" w:hAnsi="Arial" w:cs="Arial"/>
                <w:color w:val="010205"/>
                <w:sz w:val="18"/>
                <w:szCs w:val="18"/>
                <w:vertAlign w:val="superscript"/>
              </w:rPr>
              <w:t>**</w:t>
            </w:r>
          </w:p>
        </w:tc>
        <w:tc>
          <w:tcPr>
            <w:tcW w:w="1412" w:type="dxa"/>
          </w:tcPr>
          <w:p w14:paraId="3B6DEFD5"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.366</w:t>
            </w:r>
            <w:r w:rsidRPr="0004039B">
              <w:rPr>
                <w:rFonts w:ascii="Arial" w:hAnsi="Arial" w:cs="Arial"/>
                <w:color w:val="010205"/>
                <w:sz w:val="18"/>
                <w:szCs w:val="18"/>
                <w:vertAlign w:val="superscript"/>
              </w:rPr>
              <w:t>**</w:t>
            </w:r>
          </w:p>
        </w:tc>
        <w:tc>
          <w:tcPr>
            <w:tcW w:w="1185" w:type="dxa"/>
          </w:tcPr>
          <w:p w14:paraId="039689D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c>
          <w:tcPr>
            <w:tcW w:w="1122" w:type="dxa"/>
          </w:tcPr>
          <w:p w14:paraId="413286D9"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.193</w:t>
            </w:r>
          </w:p>
        </w:tc>
      </w:tr>
      <w:tr w:rsidR="00DE28AA" w14:paraId="4AA220A0" w14:textId="77777777" w:rsidTr="00FA0419">
        <w:trPr>
          <w:trHeight w:val="277"/>
        </w:trPr>
        <w:tc>
          <w:tcPr>
            <w:tcW w:w="0" w:type="auto"/>
          </w:tcPr>
          <w:p w14:paraId="2BF5CDC4" w14:textId="77777777" w:rsidR="00DE28AA" w:rsidRPr="00804AC1" w:rsidRDefault="00DE28AA" w:rsidP="006C07E3">
            <w:pPr>
              <w:autoSpaceDE w:val="0"/>
              <w:autoSpaceDN w:val="0"/>
              <w:adjustRightInd w:val="0"/>
              <w:rPr>
                <w:rFonts w:ascii="Times New Roman" w:hAnsi="Times New Roman" w:cs="Times New Roman"/>
                <w:b/>
                <w:sz w:val="24"/>
                <w:szCs w:val="24"/>
              </w:rPr>
            </w:pPr>
            <w:r w:rsidRPr="00804AC1">
              <w:rPr>
                <w:rFonts w:ascii="Arial" w:hAnsi="Arial" w:cs="Arial"/>
                <w:b/>
                <w:color w:val="264A60"/>
                <w:sz w:val="18"/>
                <w:szCs w:val="18"/>
              </w:rPr>
              <w:t xml:space="preserve">Waist/hip </w:t>
            </w:r>
          </w:p>
        </w:tc>
        <w:tc>
          <w:tcPr>
            <w:tcW w:w="956" w:type="dxa"/>
          </w:tcPr>
          <w:p w14:paraId="0FE39593"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.148</w:t>
            </w:r>
          </w:p>
        </w:tc>
        <w:tc>
          <w:tcPr>
            <w:tcW w:w="1031" w:type="dxa"/>
          </w:tcPr>
          <w:p w14:paraId="28EDD2D0"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.004</w:t>
            </w:r>
          </w:p>
        </w:tc>
        <w:tc>
          <w:tcPr>
            <w:tcW w:w="1245" w:type="dxa"/>
          </w:tcPr>
          <w:p w14:paraId="46BD480F"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.085</w:t>
            </w:r>
          </w:p>
        </w:tc>
        <w:tc>
          <w:tcPr>
            <w:tcW w:w="1412" w:type="dxa"/>
          </w:tcPr>
          <w:p w14:paraId="668240C3"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.112</w:t>
            </w:r>
          </w:p>
        </w:tc>
        <w:tc>
          <w:tcPr>
            <w:tcW w:w="1185" w:type="dxa"/>
          </w:tcPr>
          <w:p w14:paraId="2DFB6676"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Pr>
                <w:rFonts w:ascii="Arial" w:hAnsi="Arial" w:cs="Arial"/>
                <w:color w:val="010205"/>
                <w:sz w:val="18"/>
                <w:szCs w:val="18"/>
              </w:rPr>
              <w:t>0</w:t>
            </w:r>
            <w:r w:rsidRPr="0004039B">
              <w:rPr>
                <w:rFonts w:ascii="Arial" w:hAnsi="Arial" w:cs="Arial"/>
                <w:color w:val="010205"/>
                <w:sz w:val="18"/>
                <w:szCs w:val="18"/>
              </w:rPr>
              <w:t>.193</w:t>
            </w:r>
          </w:p>
        </w:tc>
        <w:tc>
          <w:tcPr>
            <w:tcW w:w="1122" w:type="dxa"/>
          </w:tcPr>
          <w:p w14:paraId="20968CBE" w14:textId="77777777" w:rsidR="00DE28AA" w:rsidRPr="0004039B" w:rsidRDefault="00DE28AA" w:rsidP="001A505D">
            <w:pPr>
              <w:autoSpaceDE w:val="0"/>
              <w:autoSpaceDN w:val="0"/>
              <w:adjustRightInd w:val="0"/>
              <w:spacing w:line="320" w:lineRule="atLeast"/>
              <w:ind w:left="60" w:right="60"/>
              <w:jc w:val="right"/>
              <w:rPr>
                <w:rFonts w:ascii="Arial" w:hAnsi="Arial" w:cs="Arial"/>
                <w:color w:val="010205"/>
                <w:sz w:val="18"/>
                <w:szCs w:val="18"/>
              </w:rPr>
            </w:pPr>
            <w:r w:rsidRPr="0004039B">
              <w:rPr>
                <w:rFonts w:ascii="Arial" w:hAnsi="Arial" w:cs="Arial"/>
                <w:color w:val="010205"/>
                <w:sz w:val="18"/>
                <w:szCs w:val="18"/>
              </w:rPr>
              <w:t>1.000</w:t>
            </w:r>
          </w:p>
        </w:tc>
      </w:tr>
    </w:tbl>
    <w:p w14:paraId="48CA7E87" w14:textId="77777777" w:rsidR="0004039B" w:rsidRPr="006C07E3" w:rsidRDefault="0004039B" w:rsidP="006C07E3">
      <w:pPr>
        <w:autoSpaceDE w:val="0"/>
        <w:autoSpaceDN w:val="0"/>
        <w:adjustRightInd w:val="0"/>
        <w:spacing w:after="0" w:line="240" w:lineRule="auto"/>
        <w:rPr>
          <w:rFonts w:ascii="Times New Roman" w:hAnsi="Times New Roman" w:cs="Times New Roman"/>
          <w:sz w:val="24"/>
          <w:szCs w:val="24"/>
        </w:rPr>
      </w:pPr>
    </w:p>
    <w:p w14:paraId="1B64EA2B" w14:textId="22786654" w:rsidR="00FA0419" w:rsidRPr="00FA0419" w:rsidRDefault="00FA0419"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sz w:val="24"/>
          <w:szCs w:val="24"/>
          <w:lang w:eastAsia="en-GB"/>
        </w:rPr>
        <w:t xml:space="preserve">The table presents correlation coefficients between </w:t>
      </w:r>
      <w:r w:rsidR="001B410F">
        <w:rPr>
          <w:rFonts w:ascii="Times New Roman" w:eastAsia="Times New Roman" w:hAnsi="Times New Roman" w:cs="Times New Roman"/>
          <w:sz w:val="24"/>
          <w:szCs w:val="24"/>
          <w:lang w:eastAsia="en-GB"/>
        </w:rPr>
        <w:t>fasting blood glucose</w:t>
      </w:r>
      <w:r w:rsidRPr="00FA0419">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FBG</w:t>
      </w:r>
      <w:r w:rsidRPr="00FA0419">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random blood glucose</w:t>
      </w:r>
      <w:r w:rsidRPr="00FA0419">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RBG</w:t>
      </w:r>
      <w:r w:rsidRPr="00FA0419">
        <w:rPr>
          <w:rFonts w:ascii="Times New Roman" w:eastAsia="Times New Roman" w:hAnsi="Times New Roman" w:cs="Times New Roman"/>
          <w:sz w:val="24"/>
          <w:szCs w:val="24"/>
          <w:lang w:eastAsia="en-GB"/>
        </w:rPr>
        <w:t>), blood pressure (systolic and diastolic), body mass index (BMI), and waist-to-hip ratio with various demographic and lifestyle factors.</w:t>
      </w:r>
    </w:p>
    <w:p w14:paraId="09784765"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Sex</w:t>
      </w:r>
      <w:r w:rsidRPr="00FA0419">
        <w:rPr>
          <w:rFonts w:ascii="Times New Roman" w:eastAsia="Times New Roman" w:hAnsi="Times New Roman" w:cs="Times New Roman"/>
          <w:sz w:val="24"/>
          <w:szCs w:val="24"/>
          <w:lang w:eastAsia="en-GB"/>
        </w:rPr>
        <w:t xml:space="preserve"> showed weak, non-significant correlations with all parameters, with the strongest being a negative correlation with waist-to-hip ratio (r = -0.1</w:t>
      </w:r>
      <w:r>
        <w:rPr>
          <w:rFonts w:ascii="Times New Roman" w:eastAsia="Times New Roman" w:hAnsi="Times New Roman" w:cs="Times New Roman"/>
          <w:sz w:val="24"/>
          <w:szCs w:val="24"/>
          <w:lang w:eastAsia="en-GB"/>
        </w:rPr>
        <w:t>9</w:t>
      </w:r>
      <w:r w:rsidRPr="00FA0419">
        <w:rPr>
          <w:rFonts w:ascii="Times New Roman" w:eastAsia="Times New Roman" w:hAnsi="Times New Roman" w:cs="Times New Roman"/>
          <w:sz w:val="24"/>
          <w:szCs w:val="24"/>
          <w:lang w:eastAsia="en-GB"/>
        </w:rPr>
        <w:t>).</w:t>
      </w:r>
    </w:p>
    <w:p w14:paraId="6657A403" w14:textId="63D12439"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lastRenderedPageBreak/>
        <w:t>Age</w:t>
      </w:r>
      <w:r w:rsidRPr="00FA0419">
        <w:rPr>
          <w:rFonts w:ascii="Times New Roman" w:eastAsia="Times New Roman" w:hAnsi="Times New Roman" w:cs="Times New Roman"/>
          <w:sz w:val="24"/>
          <w:szCs w:val="24"/>
          <w:lang w:eastAsia="en-GB"/>
        </w:rPr>
        <w:t xml:space="preserve"> was positively correlated with </w:t>
      </w:r>
      <w:r w:rsidR="00D05FC3">
        <w:rPr>
          <w:rFonts w:ascii="Times New Roman" w:eastAsia="Times New Roman" w:hAnsi="Times New Roman" w:cs="Times New Roman"/>
          <w:sz w:val="24"/>
          <w:szCs w:val="24"/>
          <w:lang w:eastAsia="en-GB"/>
        </w:rPr>
        <w:t>FBG</w:t>
      </w:r>
      <w:r w:rsidRPr="00FA0419">
        <w:rPr>
          <w:rFonts w:ascii="Times New Roman" w:eastAsia="Times New Roman" w:hAnsi="Times New Roman" w:cs="Times New Roman"/>
          <w:sz w:val="24"/>
          <w:szCs w:val="24"/>
          <w:lang w:eastAsia="en-GB"/>
        </w:rPr>
        <w:t xml:space="preserve"> (r = 0.27, p &lt; 0.05), systolic BP (r = 0.40, p &lt; 0.01), diastolic BP (r = 0.4</w:t>
      </w:r>
      <w:r w:rsidR="00120AA7">
        <w:rPr>
          <w:rFonts w:ascii="Times New Roman" w:eastAsia="Times New Roman" w:hAnsi="Times New Roman" w:cs="Times New Roman"/>
          <w:sz w:val="24"/>
          <w:szCs w:val="24"/>
          <w:lang w:eastAsia="en-GB"/>
        </w:rPr>
        <w:t>5</w:t>
      </w:r>
      <w:r w:rsidRPr="00FA0419">
        <w:rPr>
          <w:rFonts w:ascii="Times New Roman" w:eastAsia="Times New Roman" w:hAnsi="Times New Roman" w:cs="Times New Roman"/>
          <w:sz w:val="24"/>
          <w:szCs w:val="24"/>
          <w:lang w:eastAsia="en-GB"/>
        </w:rPr>
        <w:t>, p &lt; 0.01), and BMI (r = 0.2</w:t>
      </w:r>
      <w:r w:rsidR="00120AA7">
        <w:rPr>
          <w:rFonts w:ascii="Times New Roman" w:eastAsia="Times New Roman" w:hAnsi="Times New Roman" w:cs="Times New Roman"/>
          <w:sz w:val="24"/>
          <w:szCs w:val="24"/>
          <w:lang w:eastAsia="en-GB"/>
        </w:rPr>
        <w:t>3</w:t>
      </w:r>
      <w:r w:rsidRPr="00FA0419">
        <w:rPr>
          <w:rFonts w:ascii="Times New Roman" w:eastAsia="Times New Roman" w:hAnsi="Times New Roman" w:cs="Times New Roman"/>
          <w:sz w:val="24"/>
          <w:szCs w:val="24"/>
          <w:lang w:eastAsia="en-GB"/>
        </w:rPr>
        <w:t>, p &lt; 0.05), indicating an association between increasing age and these health markers.</w:t>
      </w:r>
    </w:p>
    <w:p w14:paraId="4B3BFB61" w14:textId="41E63EC2"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Occupation</w:t>
      </w:r>
      <w:r w:rsidRPr="00FA0419">
        <w:rPr>
          <w:rFonts w:ascii="Times New Roman" w:eastAsia="Times New Roman" w:hAnsi="Times New Roman" w:cs="Times New Roman"/>
          <w:sz w:val="24"/>
          <w:szCs w:val="24"/>
          <w:lang w:eastAsia="en-GB"/>
        </w:rPr>
        <w:t xml:space="preserve"> was significantly negatively correlated with </w:t>
      </w:r>
      <w:r w:rsidR="00D05FC3">
        <w:rPr>
          <w:rFonts w:ascii="Times New Roman" w:eastAsia="Times New Roman" w:hAnsi="Times New Roman" w:cs="Times New Roman"/>
          <w:sz w:val="24"/>
          <w:szCs w:val="24"/>
          <w:lang w:eastAsia="en-GB"/>
        </w:rPr>
        <w:t>RBG</w:t>
      </w:r>
      <w:r w:rsidRPr="00FA0419">
        <w:rPr>
          <w:rFonts w:ascii="Times New Roman" w:eastAsia="Times New Roman" w:hAnsi="Times New Roman" w:cs="Times New Roman"/>
          <w:sz w:val="24"/>
          <w:szCs w:val="24"/>
          <w:lang w:eastAsia="en-GB"/>
        </w:rPr>
        <w:t xml:space="preserve"> (r = -0.49, p &lt; 0.05) and BMI (r = -0.23, p &lt; 0.05), suggesting an inverse relationship between occupational status and these parameters.</w:t>
      </w:r>
    </w:p>
    <w:p w14:paraId="57278E7B"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Residence</w:t>
      </w:r>
      <w:r w:rsidRPr="00FA0419">
        <w:rPr>
          <w:rFonts w:ascii="Times New Roman" w:eastAsia="Times New Roman" w:hAnsi="Times New Roman" w:cs="Times New Roman"/>
          <w:sz w:val="24"/>
          <w:szCs w:val="24"/>
          <w:lang w:eastAsia="en-GB"/>
        </w:rPr>
        <w:t xml:space="preserve"> </w:t>
      </w:r>
      <w:r w:rsidR="00120AA7">
        <w:rPr>
          <w:rFonts w:ascii="Times New Roman" w:eastAsia="Times New Roman" w:hAnsi="Times New Roman" w:cs="Times New Roman"/>
          <w:sz w:val="24"/>
          <w:szCs w:val="24"/>
          <w:lang w:eastAsia="en-GB"/>
        </w:rPr>
        <w:t xml:space="preserve">in rural, urban and city </w:t>
      </w:r>
      <w:r w:rsidRPr="00FA0419">
        <w:rPr>
          <w:rFonts w:ascii="Times New Roman" w:eastAsia="Times New Roman" w:hAnsi="Times New Roman" w:cs="Times New Roman"/>
          <w:sz w:val="24"/>
          <w:szCs w:val="24"/>
          <w:lang w:eastAsia="en-GB"/>
        </w:rPr>
        <w:t>showed weak, non-significant correlations with all metabolic and cardiovascular parameters.</w:t>
      </w:r>
    </w:p>
    <w:p w14:paraId="2391E126"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Alcohol consumption</w:t>
      </w:r>
      <w:r w:rsidRPr="00FA0419">
        <w:rPr>
          <w:rFonts w:ascii="Times New Roman" w:eastAsia="Times New Roman" w:hAnsi="Times New Roman" w:cs="Times New Roman"/>
          <w:sz w:val="24"/>
          <w:szCs w:val="24"/>
          <w:lang w:eastAsia="en-GB"/>
        </w:rPr>
        <w:t xml:space="preserve"> was negatively correlated with BMI (r = -0.22, p &lt; 0.05), indicating that alcohol consumption was associated with lower BMI.</w:t>
      </w:r>
    </w:p>
    <w:p w14:paraId="2E7727D4" w14:textId="46ACE94D" w:rsidR="00FA0419" w:rsidRPr="00FA0419" w:rsidRDefault="00D05FC3"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FBG</w:t>
      </w:r>
      <w:r w:rsidR="00FA0419" w:rsidRPr="00FA0419">
        <w:rPr>
          <w:rFonts w:ascii="Times New Roman" w:eastAsia="Times New Roman" w:hAnsi="Times New Roman" w:cs="Times New Roman"/>
          <w:sz w:val="24"/>
          <w:szCs w:val="24"/>
          <w:lang w:eastAsia="en-GB"/>
        </w:rPr>
        <w:t xml:space="preserve"> was significantly correlated with diastolic BP (r = 0.22, p &lt; 0.05) and BMI (r = 0.2</w:t>
      </w:r>
      <w:r w:rsidR="00120AA7">
        <w:rPr>
          <w:rFonts w:ascii="Times New Roman" w:eastAsia="Times New Roman" w:hAnsi="Times New Roman" w:cs="Times New Roman"/>
          <w:sz w:val="24"/>
          <w:szCs w:val="24"/>
          <w:lang w:eastAsia="en-GB"/>
        </w:rPr>
        <w:t>3</w:t>
      </w:r>
      <w:r w:rsidR="00FA0419" w:rsidRPr="00FA0419">
        <w:rPr>
          <w:rFonts w:ascii="Times New Roman" w:eastAsia="Times New Roman" w:hAnsi="Times New Roman" w:cs="Times New Roman"/>
          <w:sz w:val="24"/>
          <w:szCs w:val="24"/>
          <w:lang w:eastAsia="en-GB"/>
        </w:rPr>
        <w:t xml:space="preserve">, p &lt; 0.05), suggesting that higher </w:t>
      </w:r>
      <w:r w:rsidR="001B410F">
        <w:rPr>
          <w:rFonts w:ascii="Times New Roman" w:eastAsia="Times New Roman" w:hAnsi="Times New Roman" w:cs="Times New Roman"/>
          <w:sz w:val="24"/>
          <w:szCs w:val="24"/>
          <w:lang w:eastAsia="en-GB"/>
        </w:rPr>
        <w:t>fasting blood glucose</w:t>
      </w:r>
      <w:r w:rsidR="00FA0419" w:rsidRPr="00FA0419">
        <w:rPr>
          <w:rFonts w:ascii="Times New Roman" w:eastAsia="Times New Roman" w:hAnsi="Times New Roman" w:cs="Times New Roman"/>
          <w:sz w:val="24"/>
          <w:szCs w:val="24"/>
          <w:lang w:eastAsia="en-GB"/>
        </w:rPr>
        <w:t xml:space="preserve"> may be linked to increased blood pressure and body mass.</w:t>
      </w:r>
    </w:p>
    <w:p w14:paraId="2C3FAC42" w14:textId="77777777" w:rsidR="00FA0419" w:rsidRPr="00FA0419" w:rsidRDefault="00FA0419" w:rsidP="00F95B57">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b/>
          <w:bCs/>
          <w:sz w:val="24"/>
          <w:szCs w:val="24"/>
          <w:lang w:eastAsia="en-GB"/>
        </w:rPr>
        <w:t>Systolic and diastolic BP</w:t>
      </w:r>
      <w:r w:rsidRPr="00FA0419">
        <w:rPr>
          <w:rFonts w:ascii="Times New Roman" w:eastAsia="Times New Roman" w:hAnsi="Times New Roman" w:cs="Times New Roman"/>
          <w:sz w:val="24"/>
          <w:szCs w:val="24"/>
          <w:lang w:eastAsia="en-GB"/>
        </w:rPr>
        <w:t xml:space="preserve"> were strongly correlated with each other (r = 0.8</w:t>
      </w:r>
      <w:r w:rsidR="00120AA7">
        <w:rPr>
          <w:rFonts w:ascii="Times New Roman" w:eastAsia="Times New Roman" w:hAnsi="Times New Roman" w:cs="Times New Roman"/>
          <w:sz w:val="24"/>
          <w:szCs w:val="24"/>
          <w:lang w:eastAsia="en-GB"/>
        </w:rPr>
        <w:t>2</w:t>
      </w:r>
      <w:r w:rsidRPr="00FA0419">
        <w:rPr>
          <w:rFonts w:ascii="Times New Roman" w:eastAsia="Times New Roman" w:hAnsi="Times New Roman" w:cs="Times New Roman"/>
          <w:sz w:val="24"/>
          <w:szCs w:val="24"/>
          <w:lang w:eastAsia="en-GB"/>
        </w:rPr>
        <w:t>, p &lt; 0.01) and with BMI (r = 0.40, p &lt; 0.01 and r = 0.3</w:t>
      </w:r>
      <w:r w:rsidR="00120AA7">
        <w:rPr>
          <w:rFonts w:ascii="Times New Roman" w:eastAsia="Times New Roman" w:hAnsi="Times New Roman" w:cs="Times New Roman"/>
          <w:sz w:val="24"/>
          <w:szCs w:val="24"/>
          <w:lang w:eastAsia="en-GB"/>
        </w:rPr>
        <w:t>7</w:t>
      </w:r>
      <w:r w:rsidRPr="00FA0419">
        <w:rPr>
          <w:rFonts w:ascii="Times New Roman" w:eastAsia="Times New Roman" w:hAnsi="Times New Roman" w:cs="Times New Roman"/>
          <w:sz w:val="24"/>
          <w:szCs w:val="24"/>
          <w:lang w:eastAsia="en-GB"/>
        </w:rPr>
        <w:t>, p &lt; 0.01, respectively), reinforcing the link between obesity and hypertension.</w:t>
      </w:r>
    </w:p>
    <w:p w14:paraId="21C03B51" w14:textId="77777777" w:rsidR="00FA0419" w:rsidRPr="00FA0419" w:rsidRDefault="00FA0419"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FA0419">
        <w:rPr>
          <w:rFonts w:ascii="Times New Roman" w:eastAsia="Times New Roman" w:hAnsi="Times New Roman" w:cs="Times New Roman"/>
          <w:sz w:val="24"/>
          <w:szCs w:val="24"/>
          <w:lang w:eastAsia="en-GB"/>
        </w:rPr>
        <w:t>Overall, age, occupation, and BMI emerged as important factors influencing metabolic and cardiovascular health parameters in this study.</w:t>
      </w:r>
    </w:p>
    <w:p w14:paraId="66B05602" w14:textId="77777777" w:rsidR="009E2062" w:rsidRDefault="009E2062" w:rsidP="006C07E3">
      <w:pPr>
        <w:autoSpaceDE w:val="0"/>
        <w:autoSpaceDN w:val="0"/>
        <w:adjustRightInd w:val="0"/>
        <w:spacing w:after="0" w:line="400" w:lineRule="atLeast"/>
        <w:rPr>
          <w:rFonts w:ascii="Times New Roman" w:hAnsi="Times New Roman" w:cs="Times New Roman"/>
          <w:b/>
          <w:sz w:val="24"/>
          <w:szCs w:val="24"/>
        </w:rPr>
      </w:pPr>
    </w:p>
    <w:p w14:paraId="15E084CA" w14:textId="77777777" w:rsidR="00120AA7" w:rsidRDefault="00120AA7" w:rsidP="00120AA7">
      <w:pPr>
        <w:pStyle w:val="Heading3"/>
      </w:pPr>
      <w:r>
        <w:rPr>
          <w:rStyle w:val="Strong"/>
          <w:b/>
          <w:bCs/>
        </w:rPr>
        <w:t xml:space="preserve">Table 4: </w:t>
      </w:r>
      <w:r w:rsidRPr="00120AA7">
        <w:rPr>
          <w:rStyle w:val="Strong"/>
        </w:rPr>
        <w:t>Multiple Regression Analysis of Metabolic and Cardiovascular Predictors</w:t>
      </w:r>
      <w:r>
        <w:rPr>
          <w:rStyle w:val="Strong"/>
        </w:rPr>
        <w:t xml:space="preserve"> of FBG</w:t>
      </w:r>
    </w:p>
    <w:tbl>
      <w:tblPr>
        <w:tblStyle w:val="TableGrid"/>
        <w:tblW w:w="8613" w:type="dxa"/>
        <w:tblLook w:val="04A0" w:firstRow="1" w:lastRow="0" w:firstColumn="1" w:lastColumn="0" w:noHBand="0" w:noVBand="1"/>
      </w:tblPr>
      <w:tblGrid>
        <w:gridCol w:w="1309"/>
        <w:gridCol w:w="1830"/>
        <w:gridCol w:w="1569"/>
        <w:gridCol w:w="1921"/>
        <w:gridCol w:w="992"/>
        <w:gridCol w:w="992"/>
      </w:tblGrid>
      <w:tr w:rsidR="009E2062" w:rsidRPr="009E2062" w14:paraId="28A26CD3" w14:textId="77777777" w:rsidTr="00360496">
        <w:trPr>
          <w:trHeight w:val="335"/>
        </w:trPr>
        <w:tc>
          <w:tcPr>
            <w:tcW w:w="1309" w:type="dxa"/>
          </w:tcPr>
          <w:p w14:paraId="6152E8BC" w14:textId="77777777" w:rsidR="009E2062" w:rsidRPr="009E2062" w:rsidRDefault="009E2062" w:rsidP="006C07E3">
            <w:pPr>
              <w:autoSpaceDE w:val="0"/>
              <w:autoSpaceDN w:val="0"/>
              <w:adjustRightInd w:val="0"/>
              <w:spacing w:line="400" w:lineRule="atLeast"/>
              <w:rPr>
                <w:rFonts w:ascii="Times New Roman" w:hAnsi="Times New Roman" w:cs="Times New Roman"/>
                <w:b/>
                <w:sz w:val="24"/>
                <w:szCs w:val="24"/>
              </w:rPr>
            </w:pPr>
          </w:p>
        </w:tc>
        <w:tc>
          <w:tcPr>
            <w:tcW w:w="3399" w:type="dxa"/>
            <w:gridSpan w:val="2"/>
            <w:vAlign w:val="bottom"/>
          </w:tcPr>
          <w:p w14:paraId="44B76CB5"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Unstandardized Coefficients</w:t>
            </w:r>
          </w:p>
        </w:tc>
        <w:tc>
          <w:tcPr>
            <w:tcW w:w="1921" w:type="dxa"/>
            <w:vAlign w:val="bottom"/>
          </w:tcPr>
          <w:p w14:paraId="4BD2319F"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Standardized Coefficients</w:t>
            </w:r>
          </w:p>
        </w:tc>
        <w:tc>
          <w:tcPr>
            <w:tcW w:w="992" w:type="dxa"/>
            <w:vAlign w:val="bottom"/>
          </w:tcPr>
          <w:p w14:paraId="59C680BE"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p>
        </w:tc>
        <w:tc>
          <w:tcPr>
            <w:tcW w:w="992" w:type="dxa"/>
            <w:vAlign w:val="bottom"/>
          </w:tcPr>
          <w:p w14:paraId="2F45ED04"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p>
        </w:tc>
      </w:tr>
      <w:tr w:rsidR="009E2062" w:rsidRPr="009E2062" w14:paraId="6546486D" w14:textId="77777777" w:rsidTr="00360496">
        <w:trPr>
          <w:trHeight w:val="322"/>
        </w:trPr>
        <w:tc>
          <w:tcPr>
            <w:tcW w:w="1309" w:type="dxa"/>
          </w:tcPr>
          <w:p w14:paraId="7A35A13B" w14:textId="77777777" w:rsidR="009E2062" w:rsidRPr="009E2062" w:rsidRDefault="009E2062" w:rsidP="006C07E3">
            <w:pPr>
              <w:autoSpaceDE w:val="0"/>
              <w:autoSpaceDN w:val="0"/>
              <w:adjustRightInd w:val="0"/>
              <w:spacing w:line="400" w:lineRule="atLeast"/>
              <w:rPr>
                <w:rFonts w:ascii="Times New Roman" w:hAnsi="Times New Roman" w:cs="Times New Roman"/>
                <w:b/>
                <w:sz w:val="24"/>
                <w:szCs w:val="24"/>
              </w:rPr>
            </w:pPr>
          </w:p>
        </w:tc>
        <w:tc>
          <w:tcPr>
            <w:tcW w:w="1830" w:type="dxa"/>
            <w:vAlign w:val="bottom"/>
          </w:tcPr>
          <w:p w14:paraId="767758AE"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B</w:t>
            </w:r>
          </w:p>
        </w:tc>
        <w:tc>
          <w:tcPr>
            <w:tcW w:w="1569" w:type="dxa"/>
            <w:vAlign w:val="bottom"/>
          </w:tcPr>
          <w:p w14:paraId="5B91FBFA"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Std. Error</w:t>
            </w:r>
          </w:p>
        </w:tc>
        <w:tc>
          <w:tcPr>
            <w:tcW w:w="1921" w:type="dxa"/>
            <w:vAlign w:val="bottom"/>
          </w:tcPr>
          <w:p w14:paraId="0A7C8DE6"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Beta</w:t>
            </w:r>
          </w:p>
        </w:tc>
        <w:tc>
          <w:tcPr>
            <w:tcW w:w="992" w:type="dxa"/>
            <w:vAlign w:val="bottom"/>
          </w:tcPr>
          <w:p w14:paraId="675C6F7E"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t</w:t>
            </w:r>
          </w:p>
        </w:tc>
        <w:tc>
          <w:tcPr>
            <w:tcW w:w="992" w:type="dxa"/>
            <w:vAlign w:val="bottom"/>
          </w:tcPr>
          <w:p w14:paraId="602E24CA" w14:textId="77777777" w:rsidR="009E2062" w:rsidRPr="009E2062" w:rsidRDefault="009E2062" w:rsidP="001A505D">
            <w:pPr>
              <w:autoSpaceDE w:val="0"/>
              <w:autoSpaceDN w:val="0"/>
              <w:adjustRightInd w:val="0"/>
              <w:spacing w:line="320" w:lineRule="atLeast"/>
              <w:ind w:left="60" w:right="60"/>
              <w:jc w:val="center"/>
              <w:rPr>
                <w:rFonts w:ascii="Arial" w:hAnsi="Arial" w:cs="Arial"/>
                <w:b/>
                <w:color w:val="264A60"/>
                <w:sz w:val="18"/>
                <w:szCs w:val="18"/>
              </w:rPr>
            </w:pPr>
            <w:r w:rsidRPr="009E2062">
              <w:rPr>
                <w:rFonts w:ascii="Arial" w:hAnsi="Arial" w:cs="Arial"/>
                <w:b/>
                <w:color w:val="264A60"/>
                <w:sz w:val="18"/>
                <w:szCs w:val="18"/>
              </w:rPr>
              <w:t>Sig.</w:t>
            </w:r>
          </w:p>
        </w:tc>
      </w:tr>
      <w:tr w:rsidR="009E2062" w14:paraId="0A552153" w14:textId="77777777" w:rsidTr="00360496">
        <w:trPr>
          <w:trHeight w:val="322"/>
        </w:trPr>
        <w:tc>
          <w:tcPr>
            <w:tcW w:w="1309" w:type="dxa"/>
          </w:tcPr>
          <w:p w14:paraId="54555EC7"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(Constant)</w:t>
            </w:r>
          </w:p>
        </w:tc>
        <w:tc>
          <w:tcPr>
            <w:tcW w:w="1830" w:type="dxa"/>
          </w:tcPr>
          <w:p w14:paraId="6A21E8AF"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3.49</w:t>
            </w:r>
          </w:p>
        </w:tc>
        <w:tc>
          <w:tcPr>
            <w:tcW w:w="1569" w:type="dxa"/>
          </w:tcPr>
          <w:p w14:paraId="31E86D19"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6.54</w:t>
            </w:r>
          </w:p>
        </w:tc>
        <w:tc>
          <w:tcPr>
            <w:tcW w:w="1921" w:type="dxa"/>
            <w:vAlign w:val="center"/>
          </w:tcPr>
          <w:p w14:paraId="3CAE24A9" w14:textId="77777777" w:rsidR="009E2062" w:rsidRPr="009E2062" w:rsidRDefault="009E2062" w:rsidP="009E2062">
            <w:pPr>
              <w:autoSpaceDE w:val="0"/>
              <w:autoSpaceDN w:val="0"/>
              <w:adjustRightInd w:val="0"/>
              <w:jc w:val="center"/>
              <w:rPr>
                <w:rFonts w:ascii="Times New Roman" w:hAnsi="Times New Roman" w:cs="Times New Roman"/>
                <w:sz w:val="24"/>
                <w:szCs w:val="24"/>
              </w:rPr>
            </w:pPr>
          </w:p>
        </w:tc>
        <w:tc>
          <w:tcPr>
            <w:tcW w:w="992" w:type="dxa"/>
          </w:tcPr>
          <w:p w14:paraId="7FC1334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.54</w:t>
            </w:r>
          </w:p>
        </w:tc>
        <w:tc>
          <w:tcPr>
            <w:tcW w:w="992" w:type="dxa"/>
          </w:tcPr>
          <w:p w14:paraId="31D9C48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.59</w:t>
            </w:r>
          </w:p>
        </w:tc>
      </w:tr>
      <w:tr w:rsidR="009E2062" w14:paraId="5DBBF5C9" w14:textId="77777777" w:rsidTr="00360496">
        <w:trPr>
          <w:trHeight w:val="335"/>
        </w:trPr>
        <w:tc>
          <w:tcPr>
            <w:tcW w:w="1309" w:type="dxa"/>
          </w:tcPr>
          <w:p w14:paraId="7EEC1C0E"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sex</w:t>
            </w:r>
          </w:p>
        </w:tc>
        <w:tc>
          <w:tcPr>
            <w:tcW w:w="1830" w:type="dxa"/>
          </w:tcPr>
          <w:p w14:paraId="42FD3A0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0.41</w:t>
            </w:r>
          </w:p>
        </w:tc>
        <w:tc>
          <w:tcPr>
            <w:tcW w:w="1569" w:type="dxa"/>
          </w:tcPr>
          <w:p w14:paraId="07A8CD0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0.43</w:t>
            </w:r>
          </w:p>
        </w:tc>
        <w:tc>
          <w:tcPr>
            <w:tcW w:w="1921" w:type="dxa"/>
          </w:tcPr>
          <w:p w14:paraId="71CE6A3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.13</w:t>
            </w:r>
          </w:p>
        </w:tc>
        <w:tc>
          <w:tcPr>
            <w:tcW w:w="992" w:type="dxa"/>
          </w:tcPr>
          <w:p w14:paraId="16CED18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.95</w:t>
            </w:r>
          </w:p>
        </w:tc>
        <w:tc>
          <w:tcPr>
            <w:tcW w:w="992" w:type="dxa"/>
          </w:tcPr>
          <w:p w14:paraId="1748C50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.34</w:t>
            </w:r>
          </w:p>
        </w:tc>
      </w:tr>
      <w:tr w:rsidR="009E2062" w14:paraId="29E5BC3B" w14:textId="77777777" w:rsidTr="00360496">
        <w:trPr>
          <w:trHeight w:val="322"/>
        </w:trPr>
        <w:tc>
          <w:tcPr>
            <w:tcW w:w="1309" w:type="dxa"/>
          </w:tcPr>
          <w:p w14:paraId="0ED1021B"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age</w:t>
            </w:r>
          </w:p>
        </w:tc>
        <w:tc>
          <w:tcPr>
            <w:tcW w:w="1830" w:type="dxa"/>
          </w:tcPr>
          <w:p w14:paraId="034A705F"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0.02</w:t>
            </w:r>
          </w:p>
        </w:tc>
        <w:tc>
          <w:tcPr>
            <w:tcW w:w="1569" w:type="dxa"/>
          </w:tcPr>
          <w:p w14:paraId="59C5A694"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0.02</w:t>
            </w:r>
          </w:p>
        </w:tc>
        <w:tc>
          <w:tcPr>
            <w:tcW w:w="1921" w:type="dxa"/>
          </w:tcPr>
          <w:p w14:paraId="0E947335"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.12</w:t>
            </w:r>
          </w:p>
        </w:tc>
        <w:tc>
          <w:tcPr>
            <w:tcW w:w="992" w:type="dxa"/>
          </w:tcPr>
          <w:p w14:paraId="701470E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.88</w:t>
            </w:r>
          </w:p>
        </w:tc>
        <w:tc>
          <w:tcPr>
            <w:tcW w:w="992" w:type="dxa"/>
          </w:tcPr>
          <w:p w14:paraId="5B3C0DA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.38</w:t>
            </w:r>
          </w:p>
        </w:tc>
      </w:tr>
      <w:tr w:rsidR="009E2062" w14:paraId="1791E849" w14:textId="77777777" w:rsidTr="00360496">
        <w:trPr>
          <w:trHeight w:val="322"/>
        </w:trPr>
        <w:tc>
          <w:tcPr>
            <w:tcW w:w="1309" w:type="dxa"/>
          </w:tcPr>
          <w:p w14:paraId="6D72EC1D"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occupation</w:t>
            </w:r>
          </w:p>
        </w:tc>
        <w:tc>
          <w:tcPr>
            <w:tcW w:w="1830" w:type="dxa"/>
          </w:tcPr>
          <w:p w14:paraId="6CD8F5B7"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0.22</w:t>
            </w:r>
          </w:p>
        </w:tc>
        <w:tc>
          <w:tcPr>
            <w:tcW w:w="1569" w:type="dxa"/>
          </w:tcPr>
          <w:p w14:paraId="5A575DF2"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0.34</w:t>
            </w:r>
          </w:p>
        </w:tc>
        <w:tc>
          <w:tcPr>
            <w:tcW w:w="1921" w:type="dxa"/>
          </w:tcPr>
          <w:p w14:paraId="64BBFF7A"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.08</w:t>
            </w:r>
          </w:p>
        </w:tc>
        <w:tc>
          <w:tcPr>
            <w:tcW w:w="992" w:type="dxa"/>
          </w:tcPr>
          <w:p w14:paraId="1B44E11C"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.67</w:t>
            </w:r>
          </w:p>
        </w:tc>
        <w:tc>
          <w:tcPr>
            <w:tcW w:w="992" w:type="dxa"/>
          </w:tcPr>
          <w:p w14:paraId="3C7CB754"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.51</w:t>
            </w:r>
          </w:p>
        </w:tc>
      </w:tr>
      <w:tr w:rsidR="009E2062" w14:paraId="0B86DF07" w14:textId="77777777" w:rsidTr="00360496">
        <w:trPr>
          <w:trHeight w:val="335"/>
        </w:trPr>
        <w:tc>
          <w:tcPr>
            <w:tcW w:w="1309" w:type="dxa"/>
          </w:tcPr>
          <w:p w14:paraId="5388F908"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residence</w:t>
            </w:r>
          </w:p>
        </w:tc>
        <w:tc>
          <w:tcPr>
            <w:tcW w:w="1830" w:type="dxa"/>
          </w:tcPr>
          <w:p w14:paraId="48C690C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Pr="009E2062">
              <w:rPr>
                <w:rFonts w:ascii="Arial" w:hAnsi="Arial" w:cs="Arial"/>
                <w:color w:val="010205"/>
                <w:sz w:val="18"/>
                <w:szCs w:val="18"/>
              </w:rPr>
              <w:t>.14</w:t>
            </w:r>
          </w:p>
        </w:tc>
        <w:tc>
          <w:tcPr>
            <w:tcW w:w="1569" w:type="dxa"/>
          </w:tcPr>
          <w:p w14:paraId="04AE141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0.38</w:t>
            </w:r>
          </w:p>
        </w:tc>
        <w:tc>
          <w:tcPr>
            <w:tcW w:w="1921" w:type="dxa"/>
          </w:tcPr>
          <w:p w14:paraId="254492D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00360496">
              <w:rPr>
                <w:rFonts w:ascii="Arial" w:hAnsi="Arial" w:cs="Arial"/>
                <w:color w:val="010205"/>
                <w:sz w:val="18"/>
                <w:szCs w:val="18"/>
              </w:rPr>
              <w:t>.0</w:t>
            </w:r>
            <w:r w:rsidRPr="009E2062">
              <w:rPr>
                <w:rFonts w:ascii="Arial" w:hAnsi="Arial" w:cs="Arial"/>
                <w:color w:val="010205"/>
                <w:sz w:val="18"/>
                <w:szCs w:val="18"/>
              </w:rPr>
              <w:t>5</w:t>
            </w:r>
          </w:p>
        </w:tc>
        <w:tc>
          <w:tcPr>
            <w:tcW w:w="992" w:type="dxa"/>
          </w:tcPr>
          <w:p w14:paraId="52C2F51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.37</w:t>
            </w:r>
          </w:p>
        </w:tc>
        <w:tc>
          <w:tcPr>
            <w:tcW w:w="992" w:type="dxa"/>
          </w:tcPr>
          <w:p w14:paraId="1C412DC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.71</w:t>
            </w:r>
          </w:p>
        </w:tc>
      </w:tr>
      <w:tr w:rsidR="009E2062" w14:paraId="509463A7" w14:textId="77777777" w:rsidTr="00360496">
        <w:trPr>
          <w:trHeight w:val="322"/>
        </w:trPr>
        <w:tc>
          <w:tcPr>
            <w:tcW w:w="1309" w:type="dxa"/>
          </w:tcPr>
          <w:p w14:paraId="5026C2F1"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alcohol</w:t>
            </w:r>
          </w:p>
        </w:tc>
        <w:tc>
          <w:tcPr>
            <w:tcW w:w="1830" w:type="dxa"/>
          </w:tcPr>
          <w:p w14:paraId="7A11889D"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0.14</w:t>
            </w:r>
          </w:p>
        </w:tc>
        <w:tc>
          <w:tcPr>
            <w:tcW w:w="1569" w:type="dxa"/>
          </w:tcPr>
          <w:p w14:paraId="0DB2F2EA"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0.45</w:t>
            </w:r>
          </w:p>
        </w:tc>
        <w:tc>
          <w:tcPr>
            <w:tcW w:w="1921" w:type="dxa"/>
          </w:tcPr>
          <w:p w14:paraId="251DA27F" w14:textId="77777777" w:rsidR="009E2062" w:rsidRPr="009E2062" w:rsidRDefault="009E2062" w:rsidP="00360496">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Pr="009E2062">
              <w:rPr>
                <w:rFonts w:ascii="Arial" w:hAnsi="Arial" w:cs="Arial"/>
                <w:color w:val="010205"/>
                <w:sz w:val="18"/>
                <w:szCs w:val="18"/>
              </w:rPr>
              <w:t>.04</w:t>
            </w:r>
          </w:p>
        </w:tc>
        <w:tc>
          <w:tcPr>
            <w:tcW w:w="992" w:type="dxa"/>
          </w:tcPr>
          <w:p w14:paraId="7CEFB16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.31</w:t>
            </w:r>
          </w:p>
        </w:tc>
        <w:tc>
          <w:tcPr>
            <w:tcW w:w="992" w:type="dxa"/>
          </w:tcPr>
          <w:p w14:paraId="1275E9B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.76</w:t>
            </w:r>
          </w:p>
        </w:tc>
      </w:tr>
      <w:tr w:rsidR="009E2062" w14:paraId="394E0587" w14:textId="77777777" w:rsidTr="00360496">
        <w:trPr>
          <w:trHeight w:val="322"/>
        </w:trPr>
        <w:tc>
          <w:tcPr>
            <w:tcW w:w="1309" w:type="dxa"/>
          </w:tcPr>
          <w:p w14:paraId="67BFEAC3"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systolic</w:t>
            </w:r>
          </w:p>
        </w:tc>
        <w:tc>
          <w:tcPr>
            <w:tcW w:w="1830" w:type="dxa"/>
          </w:tcPr>
          <w:p w14:paraId="489E26A9"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0.03</w:t>
            </w:r>
          </w:p>
        </w:tc>
        <w:tc>
          <w:tcPr>
            <w:tcW w:w="1569" w:type="dxa"/>
          </w:tcPr>
          <w:p w14:paraId="763E09D7"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0.02</w:t>
            </w:r>
          </w:p>
        </w:tc>
        <w:tc>
          <w:tcPr>
            <w:tcW w:w="1921" w:type="dxa"/>
          </w:tcPr>
          <w:p w14:paraId="450C8540"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00360496">
              <w:rPr>
                <w:rFonts w:ascii="Arial" w:hAnsi="Arial" w:cs="Arial"/>
                <w:color w:val="010205"/>
                <w:sz w:val="18"/>
                <w:szCs w:val="18"/>
              </w:rPr>
              <w:t>.31</w:t>
            </w:r>
          </w:p>
        </w:tc>
        <w:tc>
          <w:tcPr>
            <w:tcW w:w="992" w:type="dxa"/>
          </w:tcPr>
          <w:p w14:paraId="0C60C3BE" w14:textId="77777777" w:rsidR="009E2062" w:rsidRPr="009E2062" w:rsidRDefault="00360496"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1.43</w:t>
            </w:r>
          </w:p>
        </w:tc>
        <w:tc>
          <w:tcPr>
            <w:tcW w:w="992" w:type="dxa"/>
          </w:tcPr>
          <w:p w14:paraId="7741FB2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.16</w:t>
            </w:r>
          </w:p>
        </w:tc>
      </w:tr>
      <w:tr w:rsidR="009E2062" w14:paraId="46EEF6C6" w14:textId="77777777" w:rsidTr="00360496">
        <w:trPr>
          <w:trHeight w:val="335"/>
        </w:trPr>
        <w:tc>
          <w:tcPr>
            <w:tcW w:w="1309" w:type="dxa"/>
          </w:tcPr>
          <w:p w14:paraId="0136E297"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diastolic</w:t>
            </w:r>
          </w:p>
        </w:tc>
        <w:tc>
          <w:tcPr>
            <w:tcW w:w="1830" w:type="dxa"/>
          </w:tcPr>
          <w:p w14:paraId="319F6677"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0.04</w:t>
            </w:r>
          </w:p>
        </w:tc>
        <w:tc>
          <w:tcPr>
            <w:tcW w:w="1569" w:type="dxa"/>
          </w:tcPr>
          <w:p w14:paraId="4B2AB22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0.03</w:t>
            </w:r>
          </w:p>
        </w:tc>
        <w:tc>
          <w:tcPr>
            <w:tcW w:w="1921" w:type="dxa"/>
          </w:tcPr>
          <w:p w14:paraId="40008B9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.33</w:t>
            </w:r>
          </w:p>
        </w:tc>
        <w:tc>
          <w:tcPr>
            <w:tcW w:w="992" w:type="dxa"/>
          </w:tcPr>
          <w:p w14:paraId="6FF82214" w14:textId="77777777" w:rsidR="009E2062" w:rsidRPr="009E2062" w:rsidRDefault="00360496"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1.47</w:t>
            </w:r>
          </w:p>
        </w:tc>
        <w:tc>
          <w:tcPr>
            <w:tcW w:w="992" w:type="dxa"/>
          </w:tcPr>
          <w:p w14:paraId="1D404DA2"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.15</w:t>
            </w:r>
          </w:p>
        </w:tc>
      </w:tr>
      <w:tr w:rsidR="009E2062" w14:paraId="78512C0D" w14:textId="77777777" w:rsidTr="00360496">
        <w:trPr>
          <w:trHeight w:val="322"/>
        </w:trPr>
        <w:tc>
          <w:tcPr>
            <w:tcW w:w="1309" w:type="dxa"/>
          </w:tcPr>
          <w:p w14:paraId="587DE93D"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BMI</w:t>
            </w:r>
          </w:p>
        </w:tc>
        <w:tc>
          <w:tcPr>
            <w:tcW w:w="1830" w:type="dxa"/>
          </w:tcPr>
          <w:p w14:paraId="7169A4CB"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Pr="009E2062">
              <w:rPr>
                <w:rFonts w:ascii="Arial" w:hAnsi="Arial" w:cs="Arial"/>
                <w:color w:val="010205"/>
                <w:sz w:val="18"/>
                <w:szCs w:val="18"/>
              </w:rPr>
              <w:t>.01</w:t>
            </w:r>
          </w:p>
        </w:tc>
        <w:tc>
          <w:tcPr>
            <w:tcW w:w="1569" w:type="dxa"/>
          </w:tcPr>
          <w:p w14:paraId="7CE4059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0.04</w:t>
            </w:r>
          </w:p>
        </w:tc>
        <w:tc>
          <w:tcPr>
            <w:tcW w:w="1921" w:type="dxa"/>
          </w:tcPr>
          <w:p w14:paraId="52B67566"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sidRPr="009E2062">
              <w:rPr>
                <w:rFonts w:ascii="Arial" w:hAnsi="Arial" w:cs="Arial"/>
                <w:color w:val="010205"/>
                <w:sz w:val="18"/>
                <w:szCs w:val="18"/>
              </w:rPr>
              <w:t>-</w:t>
            </w:r>
            <w:r>
              <w:rPr>
                <w:rFonts w:ascii="Arial" w:hAnsi="Arial" w:cs="Arial"/>
                <w:color w:val="010205"/>
                <w:sz w:val="18"/>
                <w:szCs w:val="18"/>
              </w:rPr>
              <w:t>0</w:t>
            </w:r>
            <w:r w:rsidR="00360496">
              <w:rPr>
                <w:rFonts w:ascii="Arial" w:hAnsi="Arial" w:cs="Arial"/>
                <w:color w:val="010205"/>
                <w:sz w:val="18"/>
                <w:szCs w:val="18"/>
              </w:rPr>
              <w:t>.05</w:t>
            </w:r>
          </w:p>
        </w:tc>
        <w:tc>
          <w:tcPr>
            <w:tcW w:w="992" w:type="dxa"/>
          </w:tcPr>
          <w:p w14:paraId="3CC2AF49"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.33</w:t>
            </w:r>
          </w:p>
        </w:tc>
        <w:tc>
          <w:tcPr>
            <w:tcW w:w="992" w:type="dxa"/>
          </w:tcPr>
          <w:p w14:paraId="13CB4635"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.74</w:t>
            </w:r>
          </w:p>
        </w:tc>
      </w:tr>
      <w:tr w:rsidR="009E2062" w14:paraId="2890BBC2" w14:textId="77777777" w:rsidTr="00360496">
        <w:trPr>
          <w:trHeight w:val="335"/>
        </w:trPr>
        <w:tc>
          <w:tcPr>
            <w:tcW w:w="1309" w:type="dxa"/>
          </w:tcPr>
          <w:p w14:paraId="5D13F5E4" w14:textId="77777777" w:rsidR="009E2062" w:rsidRPr="009E2062" w:rsidRDefault="009E2062" w:rsidP="001A505D">
            <w:pPr>
              <w:autoSpaceDE w:val="0"/>
              <w:autoSpaceDN w:val="0"/>
              <w:adjustRightInd w:val="0"/>
              <w:spacing w:line="320" w:lineRule="atLeast"/>
              <w:ind w:left="60" w:right="60"/>
              <w:rPr>
                <w:rFonts w:ascii="Arial" w:hAnsi="Arial" w:cs="Arial"/>
                <w:color w:val="264A60"/>
                <w:sz w:val="18"/>
                <w:szCs w:val="18"/>
              </w:rPr>
            </w:pPr>
            <w:r w:rsidRPr="009E2062">
              <w:rPr>
                <w:rFonts w:ascii="Arial" w:hAnsi="Arial" w:cs="Arial"/>
                <w:color w:val="264A60"/>
                <w:sz w:val="18"/>
                <w:szCs w:val="18"/>
              </w:rPr>
              <w:t>Waist</w:t>
            </w:r>
            <w:r>
              <w:rPr>
                <w:rFonts w:ascii="Arial" w:hAnsi="Arial" w:cs="Arial"/>
                <w:color w:val="264A60"/>
                <w:sz w:val="18"/>
                <w:szCs w:val="18"/>
              </w:rPr>
              <w:t>/</w:t>
            </w:r>
            <w:r w:rsidRPr="009E2062">
              <w:rPr>
                <w:rFonts w:ascii="Arial" w:hAnsi="Arial" w:cs="Arial"/>
                <w:color w:val="264A60"/>
                <w:sz w:val="18"/>
                <w:szCs w:val="18"/>
              </w:rPr>
              <w:t>hip</w:t>
            </w:r>
          </w:p>
        </w:tc>
        <w:tc>
          <w:tcPr>
            <w:tcW w:w="1830" w:type="dxa"/>
          </w:tcPr>
          <w:p w14:paraId="61CD1FBE"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0.69</w:t>
            </w:r>
          </w:p>
        </w:tc>
        <w:tc>
          <w:tcPr>
            <w:tcW w:w="1569" w:type="dxa"/>
          </w:tcPr>
          <w:p w14:paraId="154795CA"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5.86</w:t>
            </w:r>
          </w:p>
        </w:tc>
        <w:tc>
          <w:tcPr>
            <w:tcW w:w="1921" w:type="dxa"/>
          </w:tcPr>
          <w:p w14:paraId="764A3115"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.01</w:t>
            </w:r>
          </w:p>
        </w:tc>
        <w:tc>
          <w:tcPr>
            <w:tcW w:w="992" w:type="dxa"/>
          </w:tcPr>
          <w:p w14:paraId="1749F681"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.12</w:t>
            </w:r>
          </w:p>
        </w:tc>
        <w:tc>
          <w:tcPr>
            <w:tcW w:w="992" w:type="dxa"/>
          </w:tcPr>
          <w:p w14:paraId="0B8280B8" w14:textId="77777777" w:rsidR="009E2062" w:rsidRPr="009E2062" w:rsidRDefault="009E2062" w:rsidP="009E2062">
            <w:pPr>
              <w:autoSpaceDE w:val="0"/>
              <w:autoSpaceDN w:val="0"/>
              <w:adjustRightInd w:val="0"/>
              <w:spacing w:line="320" w:lineRule="atLeast"/>
              <w:ind w:left="60" w:right="60"/>
              <w:jc w:val="center"/>
              <w:rPr>
                <w:rFonts w:ascii="Arial" w:hAnsi="Arial" w:cs="Arial"/>
                <w:color w:val="010205"/>
                <w:sz w:val="18"/>
                <w:szCs w:val="18"/>
              </w:rPr>
            </w:pPr>
            <w:r>
              <w:rPr>
                <w:rFonts w:ascii="Arial" w:hAnsi="Arial" w:cs="Arial"/>
                <w:color w:val="010205"/>
                <w:sz w:val="18"/>
                <w:szCs w:val="18"/>
              </w:rPr>
              <w:t>0</w:t>
            </w:r>
            <w:r w:rsidR="00360496">
              <w:rPr>
                <w:rFonts w:ascii="Arial" w:hAnsi="Arial" w:cs="Arial"/>
                <w:color w:val="010205"/>
                <w:sz w:val="18"/>
                <w:szCs w:val="18"/>
              </w:rPr>
              <w:t>.91</w:t>
            </w:r>
          </w:p>
        </w:tc>
      </w:tr>
    </w:tbl>
    <w:p w14:paraId="537FBBB2" w14:textId="77777777" w:rsidR="009E2062" w:rsidRDefault="009E2062" w:rsidP="006C07E3">
      <w:pPr>
        <w:autoSpaceDE w:val="0"/>
        <w:autoSpaceDN w:val="0"/>
        <w:adjustRightInd w:val="0"/>
        <w:spacing w:after="0" w:line="400" w:lineRule="atLeast"/>
        <w:rPr>
          <w:rFonts w:ascii="Times New Roman" w:hAnsi="Times New Roman" w:cs="Times New Roman"/>
          <w:sz w:val="24"/>
          <w:szCs w:val="24"/>
        </w:rPr>
      </w:pPr>
    </w:p>
    <w:p w14:paraId="66507AAC" w14:textId="77777777" w:rsidR="00120AA7" w:rsidRPr="00120AA7" w:rsidRDefault="00120AA7"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sz w:val="24"/>
          <w:szCs w:val="24"/>
          <w:lang w:eastAsia="en-GB"/>
        </w:rPr>
        <w:t xml:space="preserve">The table presents the results of a multiple regression analysis examining the relationship between various independent variables (sex, age, occupation, residence, alcohol consumption, systolic and diastolic blood pressure, BMI, and waist-to-hip ratio) and </w:t>
      </w:r>
      <w:r>
        <w:rPr>
          <w:rFonts w:ascii="Times New Roman" w:eastAsia="Times New Roman" w:hAnsi="Times New Roman" w:cs="Times New Roman"/>
          <w:sz w:val="24"/>
          <w:szCs w:val="24"/>
          <w:lang w:eastAsia="en-GB"/>
        </w:rPr>
        <w:t xml:space="preserve">fasting blood glucose as </w:t>
      </w:r>
      <w:r w:rsidRPr="00120AA7">
        <w:rPr>
          <w:rFonts w:ascii="Times New Roman" w:eastAsia="Times New Roman" w:hAnsi="Times New Roman" w:cs="Times New Roman"/>
          <w:sz w:val="24"/>
          <w:szCs w:val="24"/>
          <w:lang w:eastAsia="en-GB"/>
        </w:rPr>
        <w:t>the dependent variable.</w:t>
      </w:r>
    </w:p>
    <w:p w14:paraId="387EFE9D"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sz w:val="24"/>
          <w:szCs w:val="24"/>
          <w:lang w:eastAsia="en-GB"/>
        </w:rPr>
        <w:lastRenderedPageBreak/>
        <w:t xml:space="preserve">The model's </w:t>
      </w:r>
      <w:r w:rsidRPr="00120AA7">
        <w:rPr>
          <w:rFonts w:ascii="Times New Roman" w:eastAsia="Times New Roman" w:hAnsi="Times New Roman" w:cs="Times New Roman"/>
          <w:b/>
          <w:bCs/>
          <w:sz w:val="24"/>
          <w:szCs w:val="24"/>
          <w:lang w:eastAsia="en-GB"/>
        </w:rPr>
        <w:t>constant (intercept)</w:t>
      </w:r>
      <w:r w:rsidRPr="00120AA7">
        <w:rPr>
          <w:rFonts w:ascii="Times New Roman" w:eastAsia="Times New Roman" w:hAnsi="Times New Roman" w:cs="Times New Roman"/>
          <w:sz w:val="24"/>
          <w:szCs w:val="24"/>
          <w:lang w:eastAsia="en-GB"/>
        </w:rPr>
        <w:t xml:space="preserve"> is </w:t>
      </w:r>
      <w:r w:rsidRPr="00120AA7">
        <w:rPr>
          <w:rFonts w:ascii="Times New Roman" w:eastAsia="Times New Roman" w:hAnsi="Times New Roman" w:cs="Times New Roman"/>
          <w:b/>
          <w:bCs/>
          <w:sz w:val="24"/>
          <w:szCs w:val="24"/>
          <w:lang w:eastAsia="en-GB"/>
        </w:rPr>
        <w:t>3.49</w:t>
      </w:r>
      <w:r w:rsidRPr="00120AA7">
        <w:rPr>
          <w:rFonts w:ascii="Times New Roman" w:eastAsia="Times New Roman" w:hAnsi="Times New Roman" w:cs="Times New Roman"/>
          <w:sz w:val="24"/>
          <w:szCs w:val="24"/>
          <w:lang w:eastAsia="en-GB"/>
        </w:rPr>
        <w:t xml:space="preserve"> (p = 0.59), indicating the baseline value when all predictors are zero.</w:t>
      </w:r>
    </w:p>
    <w:p w14:paraId="7AFA969D"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b/>
          <w:bCs/>
          <w:sz w:val="24"/>
          <w:szCs w:val="24"/>
          <w:lang w:eastAsia="en-GB"/>
        </w:rPr>
        <w:t>Sex, age, occupation, residence, and alcohol consumption</w:t>
      </w:r>
      <w:r w:rsidRPr="00120AA7">
        <w:rPr>
          <w:rFonts w:ascii="Times New Roman" w:eastAsia="Times New Roman" w:hAnsi="Times New Roman" w:cs="Times New Roman"/>
          <w:sz w:val="24"/>
          <w:szCs w:val="24"/>
          <w:lang w:eastAsia="en-GB"/>
        </w:rPr>
        <w:t xml:space="preserve"> had weak and non-significant effects on </w:t>
      </w:r>
      <w:r>
        <w:rPr>
          <w:rFonts w:ascii="Times New Roman" w:eastAsia="Times New Roman" w:hAnsi="Times New Roman" w:cs="Times New Roman"/>
          <w:sz w:val="24"/>
          <w:szCs w:val="24"/>
          <w:lang w:eastAsia="en-GB"/>
        </w:rPr>
        <w:t>fasting blood glucose</w:t>
      </w:r>
      <w:r w:rsidRPr="00120AA7">
        <w:rPr>
          <w:rFonts w:ascii="Times New Roman" w:eastAsia="Times New Roman" w:hAnsi="Times New Roman" w:cs="Times New Roman"/>
          <w:sz w:val="24"/>
          <w:szCs w:val="24"/>
          <w:lang w:eastAsia="en-GB"/>
        </w:rPr>
        <w:t xml:space="preserve">, with p-values ranging from </w:t>
      </w:r>
      <w:r w:rsidRPr="00120AA7">
        <w:rPr>
          <w:rFonts w:ascii="Times New Roman" w:eastAsia="Times New Roman" w:hAnsi="Times New Roman" w:cs="Times New Roman"/>
          <w:b/>
          <w:bCs/>
          <w:sz w:val="24"/>
          <w:szCs w:val="24"/>
          <w:lang w:eastAsia="en-GB"/>
        </w:rPr>
        <w:t>0.34 to 0.76</w:t>
      </w:r>
      <w:r w:rsidRPr="00120AA7">
        <w:rPr>
          <w:rFonts w:ascii="Times New Roman" w:eastAsia="Times New Roman" w:hAnsi="Times New Roman" w:cs="Times New Roman"/>
          <w:sz w:val="24"/>
          <w:szCs w:val="24"/>
          <w:lang w:eastAsia="en-GB"/>
        </w:rPr>
        <w:t>, suggesting that these variables do not significantly contribute to the model.</w:t>
      </w:r>
    </w:p>
    <w:p w14:paraId="7A70ED1B"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b/>
          <w:bCs/>
          <w:sz w:val="24"/>
          <w:szCs w:val="24"/>
          <w:lang w:eastAsia="en-GB"/>
        </w:rPr>
        <w:t>Systolic blood pressure</w:t>
      </w:r>
      <w:r w:rsidRPr="00120AA7">
        <w:rPr>
          <w:rFonts w:ascii="Times New Roman" w:eastAsia="Times New Roman" w:hAnsi="Times New Roman" w:cs="Times New Roman"/>
          <w:sz w:val="24"/>
          <w:szCs w:val="24"/>
          <w:lang w:eastAsia="en-GB"/>
        </w:rPr>
        <w:t xml:space="preserve"> (B = -0.03, p = 0.16) and </w:t>
      </w:r>
      <w:r w:rsidRPr="00120AA7">
        <w:rPr>
          <w:rFonts w:ascii="Times New Roman" w:eastAsia="Times New Roman" w:hAnsi="Times New Roman" w:cs="Times New Roman"/>
          <w:b/>
          <w:bCs/>
          <w:sz w:val="24"/>
          <w:szCs w:val="24"/>
          <w:lang w:eastAsia="en-GB"/>
        </w:rPr>
        <w:t>diastolic blood pressure</w:t>
      </w:r>
      <w:r w:rsidRPr="00120AA7">
        <w:rPr>
          <w:rFonts w:ascii="Times New Roman" w:eastAsia="Times New Roman" w:hAnsi="Times New Roman" w:cs="Times New Roman"/>
          <w:sz w:val="24"/>
          <w:szCs w:val="24"/>
          <w:lang w:eastAsia="en-GB"/>
        </w:rPr>
        <w:t xml:space="preserve"> (B = 0.04, p = 0.15) had moderate, but statistically non-significant, associations</w:t>
      </w:r>
      <w:r>
        <w:rPr>
          <w:rFonts w:ascii="Times New Roman" w:eastAsia="Times New Roman" w:hAnsi="Times New Roman" w:cs="Times New Roman"/>
          <w:sz w:val="24"/>
          <w:szCs w:val="24"/>
          <w:lang w:eastAsia="en-GB"/>
        </w:rPr>
        <w:t xml:space="preserve"> with fasting blood glucose</w:t>
      </w:r>
      <w:r w:rsidRPr="00120AA7">
        <w:rPr>
          <w:rFonts w:ascii="Times New Roman" w:eastAsia="Times New Roman" w:hAnsi="Times New Roman" w:cs="Times New Roman"/>
          <w:sz w:val="24"/>
          <w:szCs w:val="24"/>
          <w:lang w:eastAsia="en-GB"/>
        </w:rPr>
        <w:t xml:space="preserve">. The beta values indicate that an increase in systolic BP slightly decreases the </w:t>
      </w:r>
      <w:r>
        <w:rPr>
          <w:rFonts w:ascii="Times New Roman" w:eastAsia="Times New Roman" w:hAnsi="Times New Roman" w:cs="Times New Roman"/>
          <w:sz w:val="24"/>
          <w:szCs w:val="24"/>
          <w:lang w:eastAsia="en-GB"/>
        </w:rPr>
        <w:t>fasting blood glucose</w:t>
      </w:r>
      <w:r w:rsidRPr="00120AA7">
        <w:rPr>
          <w:rFonts w:ascii="Times New Roman" w:eastAsia="Times New Roman" w:hAnsi="Times New Roman" w:cs="Times New Roman"/>
          <w:sz w:val="24"/>
          <w:szCs w:val="24"/>
          <w:lang w:eastAsia="en-GB"/>
        </w:rPr>
        <w:t>, whereas an increase in diastolic BP has the opposite effect.</w:t>
      </w:r>
    </w:p>
    <w:p w14:paraId="5945308C"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b/>
          <w:bCs/>
          <w:sz w:val="24"/>
          <w:szCs w:val="24"/>
          <w:lang w:eastAsia="en-GB"/>
        </w:rPr>
        <w:t>BMI</w:t>
      </w:r>
      <w:r w:rsidRPr="00120AA7">
        <w:rPr>
          <w:rFonts w:ascii="Times New Roman" w:eastAsia="Times New Roman" w:hAnsi="Times New Roman" w:cs="Times New Roman"/>
          <w:sz w:val="24"/>
          <w:szCs w:val="24"/>
          <w:lang w:eastAsia="en-GB"/>
        </w:rPr>
        <w:t xml:space="preserve"> (B = -0.01, p = 0.74) and </w:t>
      </w:r>
      <w:r w:rsidRPr="00120AA7">
        <w:rPr>
          <w:rFonts w:ascii="Times New Roman" w:eastAsia="Times New Roman" w:hAnsi="Times New Roman" w:cs="Times New Roman"/>
          <w:b/>
          <w:bCs/>
          <w:sz w:val="24"/>
          <w:szCs w:val="24"/>
          <w:lang w:eastAsia="en-GB"/>
        </w:rPr>
        <w:t>waist-to-hip ratio</w:t>
      </w:r>
      <w:r w:rsidRPr="00120AA7">
        <w:rPr>
          <w:rFonts w:ascii="Times New Roman" w:eastAsia="Times New Roman" w:hAnsi="Times New Roman" w:cs="Times New Roman"/>
          <w:sz w:val="24"/>
          <w:szCs w:val="24"/>
          <w:lang w:eastAsia="en-GB"/>
        </w:rPr>
        <w:t xml:space="preserve"> (B = 0.69, p = 0.91) showed very weak, non-significant effects on the </w:t>
      </w:r>
      <w:r>
        <w:rPr>
          <w:rFonts w:ascii="Times New Roman" w:eastAsia="Times New Roman" w:hAnsi="Times New Roman" w:cs="Times New Roman"/>
          <w:sz w:val="24"/>
          <w:szCs w:val="24"/>
          <w:lang w:eastAsia="en-GB"/>
        </w:rPr>
        <w:t>fasting blood glucose levels</w:t>
      </w:r>
      <w:r w:rsidRPr="00120AA7">
        <w:rPr>
          <w:rFonts w:ascii="Times New Roman" w:eastAsia="Times New Roman" w:hAnsi="Times New Roman" w:cs="Times New Roman"/>
          <w:sz w:val="24"/>
          <w:szCs w:val="24"/>
          <w:lang w:eastAsia="en-GB"/>
        </w:rPr>
        <w:t>.</w:t>
      </w:r>
    </w:p>
    <w:p w14:paraId="4E6461EB" w14:textId="77777777" w:rsidR="00120AA7" w:rsidRPr="00120AA7" w:rsidRDefault="00120AA7" w:rsidP="00F95B57">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sz w:val="24"/>
          <w:szCs w:val="24"/>
          <w:lang w:eastAsia="en-GB"/>
        </w:rPr>
        <w:t xml:space="preserve">The </w:t>
      </w:r>
      <w:r w:rsidRPr="00120AA7">
        <w:rPr>
          <w:rFonts w:ascii="Times New Roman" w:eastAsia="Times New Roman" w:hAnsi="Times New Roman" w:cs="Times New Roman"/>
          <w:b/>
          <w:bCs/>
          <w:sz w:val="24"/>
          <w:szCs w:val="24"/>
          <w:lang w:eastAsia="en-GB"/>
        </w:rPr>
        <w:t>standardized beta coefficients</w:t>
      </w:r>
      <w:r w:rsidRPr="00120AA7">
        <w:rPr>
          <w:rFonts w:ascii="Times New Roman" w:eastAsia="Times New Roman" w:hAnsi="Times New Roman" w:cs="Times New Roman"/>
          <w:sz w:val="24"/>
          <w:szCs w:val="24"/>
          <w:lang w:eastAsia="en-GB"/>
        </w:rPr>
        <w:t xml:space="preserve"> indicate that diastolic blood pressure (</w:t>
      </w:r>
      <w:r w:rsidRPr="00120AA7">
        <w:rPr>
          <w:rFonts w:ascii="Times New Roman" w:eastAsia="Times New Roman" w:hAnsi="Times New Roman" w:cs="Times New Roman"/>
          <w:b/>
          <w:bCs/>
          <w:sz w:val="24"/>
          <w:szCs w:val="24"/>
          <w:lang w:eastAsia="en-GB"/>
        </w:rPr>
        <w:t>β = 0.33</w:t>
      </w:r>
      <w:r w:rsidRPr="00120AA7">
        <w:rPr>
          <w:rFonts w:ascii="Times New Roman" w:eastAsia="Times New Roman" w:hAnsi="Times New Roman" w:cs="Times New Roman"/>
          <w:sz w:val="24"/>
          <w:szCs w:val="24"/>
          <w:lang w:eastAsia="en-GB"/>
        </w:rPr>
        <w:t>) and systolic blood pressure (</w:t>
      </w:r>
      <w:r w:rsidRPr="00120AA7">
        <w:rPr>
          <w:rFonts w:ascii="Times New Roman" w:eastAsia="Times New Roman" w:hAnsi="Times New Roman" w:cs="Times New Roman"/>
          <w:b/>
          <w:bCs/>
          <w:sz w:val="24"/>
          <w:szCs w:val="24"/>
          <w:lang w:eastAsia="en-GB"/>
        </w:rPr>
        <w:t>β = -0.31</w:t>
      </w:r>
      <w:r w:rsidRPr="00120AA7">
        <w:rPr>
          <w:rFonts w:ascii="Times New Roman" w:eastAsia="Times New Roman" w:hAnsi="Times New Roman" w:cs="Times New Roman"/>
          <w:sz w:val="24"/>
          <w:szCs w:val="24"/>
          <w:lang w:eastAsia="en-GB"/>
        </w:rPr>
        <w:t>) had the largest influences, though not statistically significant.</w:t>
      </w:r>
    </w:p>
    <w:p w14:paraId="7C0D6642" w14:textId="77777777" w:rsidR="00120AA7" w:rsidRPr="00120AA7" w:rsidRDefault="00120AA7"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20AA7">
        <w:rPr>
          <w:rFonts w:ascii="Times New Roman" w:eastAsia="Times New Roman" w:hAnsi="Times New Roman" w:cs="Times New Roman"/>
          <w:sz w:val="24"/>
          <w:szCs w:val="24"/>
          <w:lang w:eastAsia="en-GB"/>
        </w:rPr>
        <w:t xml:space="preserve">None of the independent variables were significant predictors in this model, with </w:t>
      </w:r>
      <w:r w:rsidRPr="00120AA7">
        <w:rPr>
          <w:rFonts w:ascii="Times New Roman" w:eastAsia="Times New Roman" w:hAnsi="Times New Roman" w:cs="Times New Roman"/>
          <w:b/>
          <w:bCs/>
          <w:sz w:val="24"/>
          <w:szCs w:val="24"/>
          <w:lang w:eastAsia="en-GB"/>
        </w:rPr>
        <w:t>systolic and diastolic blood pressure showing the strongest, albeit non-significant, associations</w:t>
      </w:r>
      <w:r w:rsidRPr="00120AA7">
        <w:rPr>
          <w:rFonts w:ascii="Times New Roman" w:eastAsia="Times New Roman" w:hAnsi="Times New Roman" w:cs="Times New Roman"/>
          <w:sz w:val="24"/>
          <w:szCs w:val="24"/>
          <w:lang w:eastAsia="en-GB"/>
        </w:rPr>
        <w:t>. Further studies with a larger sample size or additional covariates may be needed to clarify these relationships.</w:t>
      </w:r>
    </w:p>
    <w:p w14:paraId="2918F5C7" w14:textId="77777777" w:rsidR="003302EA" w:rsidRPr="000A7584"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eastAsia="en-GB"/>
        </w:rPr>
        <w:t>DISCUSSION</w:t>
      </w:r>
    </w:p>
    <w:p w14:paraId="3D999A40" w14:textId="7BFDC15E"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The present study examined the association between demographic, metabolic, and cardiovascular parameters with diabetes risk. The results revealed that age was significantly associated with diabetes risk (p = 0.007), with individuals aged 41-60 years and &gt;60 years more likely to be classified as pre-diabetic or diabetic. This finding aligns with previous research highlighting age as a major risk factor for type 2 diabetes due to the cumulative effects of metabolic changes, insulin resistance, and decreased pancreatic function over time.</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{"citationItems":[{"id":"ITEM-1","itemData":{"DOI":"10.1111/jgs.12035","ISSN":"0002-8614","author":[{"dropping-particle":"","family":"Sue Kirkman","given":"M","non-dropping-particle":"","parse-names":false,"suffix":""},{"dropping-particle":"","family":"Briscoe","given":"Vanessa Jones","non-dropping-particle":"","parse-names":false,"suffix":""},{"dropping-particle":"","family":"Clark","given":"Nathaniel","non-dropping-particle":"","parse-names":false,"suffix":""},{"dropping-particle":"","family":"Florez","given":"Hermes","non-dropping-particle":"","parse-names":false,"suffix":""},{"dropping-particle":"","family":"Haas","given":"Linda B","non-dropping-particle":"","parse-names":false,"suffix":""},{"dropping-particle":"","family":"Halter","given":"Jeffrey B","non-dropping-particle":"","parse-names":false,"suffix":""},{"dropping-particle":"","family":"Huang","given":"Elbert S","non-dropping-particle":"","parse-names":false,"suffix":""},{"dropping-particle":"","family":"Korytkowski","given":"Mary T","non-dropping-particle":"","parse-names":false,"suffix":""},{"dropping-particle":"","family":"Munshi","given":"Medha N","non-dropping-particle":"","parse-names":false,"suffix":""},{"dropping-particle":"","family":"Odegard","given":"Peggy Soule","non-dropping-particle":"","parse-names":false,"suffix":""},{"dropping-particle":"","family":"Pratley","given":"Richard E","non-dropping-particle":"","parse-names":false,"suffix":""},{"dropping-particle":"","family":"Swift","given":"Carrie S","non-dropping-particle":"","parse-names":false,"suffix":""}],"container-title":"Journal of the American Diabetes Association","id":"ITEM-1","issue":"12","issued":{"date-parts":[["2012"]]},"page":"2342-2356","publisher":"Wiley","title":"Diabetes in Older Adults: A Consensus Report","type":"article-journal","volume":"60"},"uris":["http://www.mendeley.com/documents/?uuid=69fbb99e-d306-4d7c-8f72-7a8234c3ec13"]}],"mendeley":{"formattedCitation":"&lt;sup&gt;22&lt;/sup&gt;","plainTextFormattedCitation":"22","previouslyFormattedCitation":"&lt;sup&gt;22&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22</w:t>
      </w:r>
      <w:r w:rsidR="00A52DCA">
        <w:rPr>
          <w:rFonts w:ascii="Times New Roman" w:eastAsia="Times New Roman" w:hAnsi="Times New Roman" w:cs="Times New Roman"/>
          <w:sz w:val="24"/>
          <w:szCs w:val="24"/>
          <w:lang w:eastAsia="en-GB"/>
        </w:rPr>
        <w:fldChar w:fldCharType="end"/>
      </w:r>
    </w:p>
    <w:p w14:paraId="48BF639D" w14:textId="77777777"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Conversely, sex, occupation, residence, alcohol consumption, and BMI were not significantly associated with diabetes risk (p &gt; 0.05). This suggests that while demographic and lifestyle factors play a role in diabetes risk, their independent effects may be weak or moderated by other unmeasured variables. Interestingly, the occupational distribution was skewed, with 90.5% of individuals in both normal and diabetes groups being traders. This lack of occupational variability could have limited the ability to detect potential associations.</w:t>
      </w:r>
    </w:p>
    <w:p w14:paraId="715D5A1F" w14:textId="4F0BECB1"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 xml:space="preserve">Metabolic and cardiovascular parameters, including </w:t>
      </w:r>
      <w:r w:rsidR="001B410F">
        <w:rPr>
          <w:rFonts w:ascii="Times New Roman" w:eastAsia="Times New Roman" w:hAnsi="Times New Roman" w:cs="Times New Roman"/>
          <w:sz w:val="24"/>
          <w:szCs w:val="24"/>
          <w:lang w:eastAsia="en-GB"/>
        </w:rPr>
        <w:t>fasting blood glucose</w:t>
      </w:r>
      <w:r w:rsidRPr="003302EA">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FBG</w:t>
      </w:r>
      <w:r w:rsidRPr="003302EA">
        <w:rPr>
          <w:rFonts w:ascii="Times New Roman" w:eastAsia="Times New Roman" w:hAnsi="Times New Roman" w:cs="Times New Roman"/>
          <w:sz w:val="24"/>
          <w:szCs w:val="24"/>
          <w:lang w:eastAsia="en-GB"/>
        </w:rPr>
        <w:t xml:space="preserve">) (p = 0.51), </w:t>
      </w:r>
      <w:r w:rsidR="00D05FC3">
        <w:rPr>
          <w:rFonts w:ascii="Times New Roman" w:eastAsia="Times New Roman" w:hAnsi="Times New Roman" w:cs="Times New Roman"/>
          <w:sz w:val="24"/>
          <w:szCs w:val="24"/>
          <w:lang w:eastAsia="en-GB"/>
        </w:rPr>
        <w:t>random blood glucose</w:t>
      </w:r>
      <w:r w:rsidRPr="003302EA">
        <w:rPr>
          <w:rFonts w:ascii="Times New Roman" w:eastAsia="Times New Roman" w:hAnsi="Times New Roman" w:cs="Times New Roman"/>
          <w:sz w:val="24"/>
          <w:szCs w:val="24"/>
          <w:lang w:eastAsia="en-GB"/>
        </w:rPr>
        <w:t xml:space="preserve"> (</w:t>
      </w:r>
      <w:r w:rsidR="00D05FC3">
        <w:rPr>
          <w:rFonts w:ascii="Times New Roman" w:eastAsia="Times New Roman" w:hAnsi="Times New Roman" w:cs="Times New Roman"/>
          <w:sz w:val="24"/>
          <w:szCs w:val="24"/>
          <w:lang w:eastAsia="en-GB"/>
        </w:rPr>
        <w:t>RBG</w:t>
      </w:r>
      <w:r w:rsidRPr="003302EA">
        <w:rPr>
          <w:rFonts w:ascii="Times New Roman" w:eastAsia="Times New Roman" w:hAnsi="Times New Roman" w:cs="Times New Roman"/>
          <w:sz w:val="24"/>
          <w:szCs w:val="24"/>
          <w:lang w:eastAsia="en-GB"/>
        </w:rPr>
        <w:t>) (p = 0.45), systolic blood pressure (p = 0.42), diastolic blood pressure (p = 0.26), and BMI (p = 0.18), showed no statistically significant differences across groups. However, the waist-to-hip ratio showed a significant difference (p = 0.04), with males having a higher mean value (1.02 ± 0.005) compared to females (1.00 ± 0.005). This suggests potential sex-related differences in fat distribution, which may have implications for cardiovascular and metabolic health, consistent with findings that central obesity is a stronger predictor of metabolic syndrome than BMI alone.</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10.1161/circulationaha.111.067264","ISSN":"0009-7322","author":[{"dropping-particle":"","family":"Després","given":"Jean-Pierre","non-dropping-particle":"","parse-names":false,"suffix":""}],"container-title":"Circulation","id":"ITEM-1","issue":"10","issued":{"date-parts":[["2012"]]},"page":"1301-1313","publisher":"Ovid Technologies (Wolters Kluwer Health)","title":"Body Fat Distribution and Risk of Cardiovascular Disease","type":"article-journal","volume":"126"},"uris":["http://www.mendeley.com/documents/?uuid=b9792cdf-6a5d-43d7-8882-6b3bb93bf3e2"]}],"mendeley":{"formattedCitation":"&lt;sup&gt;23&lt;/sup&gt;","plainTextFormattedCitation":"23","previouslyFormattedCitation":"&lt;sup&gt;23&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23</w:t>
      </w:r>
      <w:r w:rsidR="00A52DCA">
        <w:rPr>
          <w:rFonts w:ascii="Times New Roman" w:eastAsia="Times New Roman" w:hAnsi="Times New Roman" w:cs="Times New Roman"/>
          <w:sz w:val="24"/>
          <w:szCs w:val="24"/>
          <w:lang w:eastAsia="en-GB"/>
        </w:rPr>
        <w:fldChar w:fldCharType="end"/>
      </w:r>
    </w:p>
    <w:p w14:paraId="25573A2B" w14:textId="6C70F0B5"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 xml:space="preserve">Correlation analysis further revealed that sex had weak, non-significant correlations with all parameters, with the strongest being a negative correlation with waist-to-hip ratio (r = -0.19). Age showed significant positive correlations with </w:t>
      </w:r>
      <w:r w:rsidR="00D05FC3">
        <w:rPr>
          <w:rFonts w:ascii="Times New Roman" w:eastAsia="Times New Roman" w:hAnsi="Times New Roman" w:cs="Times New Roman"/>
          <w:sz w:val="24"/>
          <w:szCs w:val="24"/>
          <w:lang w:eastAsia="en-GB"/>
        </w:rPr>
        <w:t>FBG</w:t>
      </w:r>
      <w:r w:rsidRPr="003302EA">
        <w:rPr>
          <w:rFonts w:ascii="Times New Roman" w:eastAsia="Times New Roman" w:hAnsi="Times New Roman" w:cs="Times New Roman"/>
          <w:sz w:val="24"/>
          <w:szCs w:val="24"/>
          <w:lang w:eastAsia="en-GB"/>
        </w:rPr>
        <w:t xml:space="preserve"> (r = 0.27, p &lt; 0.05), systolic BP (r = 0.40, p &lt; 0.01), diastolic BP (r = 0.45, p &lt; 0.01), and BMI (r = 0.23, p &lt; 0.05), reinforcing the link between aging and metabolic/cardiovascular deterioration. Occupation was negatively correlated with </w:t>
      </w:r>
      <w:r w:rsidR="00D05FC3">
        <w:rPr>
          <w:rFonts w:ascii="Times New Roman" w:eastAsia="Times New Roman" w:hAnsi="Times New Roman" w:cs="Times New Roman"/>
          <w:sz w:val="24"/>
          <w:szCs w:val="24"/>
          <w:lang w:eastAsia="en-GB"/>
        </w:rPr>
        <w:t>RBG</w:t>
      </w:r>
      <w:r w:rsidRPr="003302EA">
        <w:rPr>
          <w:rFonts w:ascii="Times New Roman" w:eastAsia="Times New Roman" w:hAnsi="Times New Roman" w:cs="Times New Roman"/>
          <w:sz w:val="24"/>
          <w:szCs w:val="24"/>
          <w:lang w:eastAsia="en-GB"/>
        </w:rPr>
        <w:t xml:space="preserve"> (r = -0.49, p &lt; 0.05) and BMI (r = -0.23, p &lt; 0.05), suggesting that certain occupational activities may be protective against obesity and </w:t>
      </w:r>
      <w:proofErr w:type="spellStart"/>
      <w:r w:rsidRPr="003302EA">
        <w:rPr>
          <w:rFonts w:ascii="Times New Roman" w:eastAsia="Times New Roman" w:hAnsi="Times New Roman" w:cs="Times New Roman"/>
          <w:sz w:val="24"/>
          <w:szCs w:val="24"/>
          <w:lang w:eastAsia="en-GB"/>
        </w:rPr>
        <w:t>glycemic</w:t>
      </w:r>
      <w:proofErr w:type="spellEnd"/>
      <w:r w:rsidRPr="003302EA">
        <w:rPr>
          <w:rFonts w:ascii="Times New Roman" w:eastAsia="Times New Roman" w:hAnsi="Times New Roman" w:cs="Times New Roman"/>
          <w:sz w:val="24"/>
          <w:szCs w:val="24"/>
          <w:lang w:eastAsia="en-GB"/>
        </w:rPr>
        <w:t xml:space="preserve"> dysregulation. Similarly, alcohol consumption was negatively correlated </w:t>
      </w:r>
      <w:r w:rsidRPr="003302EA">
        <w:rPr>
          <w:rFonts w:ascii="Times New Roman" w:eastAsia="Times New Roman" w:hAnsi="Times New Roman" w:cs="Times New Roman"/>
          <w:sz w:val="24"/>
          <w:szCs w:val="24"/>
          <w:lang w:eastAsia="en-GB"/>
        </w:rPr>
        <w:lastRenderedPageBreak/>
        <w:t>with BMI (r = -0.22, p &lt; 0.05), indicating that alcohol consumption was associated with lower BMI, a relationship observed in some epidemiological studies.</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10.1007/s13679-014-0129-4","ISSN":"2162-4968","author":[{"dropping-particle":"","family":"Traversy","given":"Gregory","non-dropping-particle":"","parse-names":false,"suffix":""},{"dropping-particle":"","family":"Chaput","given":"Jean-Philippe","non-dropping-particle":"","parse-names":false,"suffix":""}],"container-title":"Current Obesity Reports","id":"ITEM-1","issue":"1","issued":{"date-parts":[["2015"]]},"page":"122-130","publisher":"Springer Science and Business Media LLC","title":"Alcohol Consumption and Obesity: An Update","type":"article-journal","volume":"4"},"uris":["http://www.mendeley.com/documents/?uuid=6ea96ef1-ded3-4565-9b0b-cbf4aacc5fda"]}],"mendeley":{"formattedCitation":"&lt;sup&gt;24&lt;/sup&gt;","plainTextFormattedCitation":"24","previouslyFormattedCitation":"&lt;sup&gt;24&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24</w:t>
      </w:r>
      <w:r w:rsidR="00A52DCA">
        <w:rPr>
          <w:rFonts w:ascii="Times New Roman" w:eastAsia="Times New Roman" w:hAnsi="Times New Roman" w:cs="Times New Roman"/>
          <w:sz w:val="24"/>
          <w:szCs w:val="24"/>
          <w:lang w:eastAsia="en-GB"/>
        </w:rPr>
        <w:fldChar w:fldCharType="end"/>
      </w:r>
    </w:p>
    <w:p w14:paraId="1E5F5479" w14:textId="31051C6E" w:rsidR="003302EA" w:rsidRPr="003302EA" w:rsidRDefault="00D05FC3"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FBG</w:t>
      </w:r>
      <w:r w:rsidR="003302EA" w:rsidRPr="003302EA">
        <w:rPr>
          <w:rFonts w:ascii="Times New Roman" w:eastAsia="Times New Roman" w:hAnsi="Times New Roman" w:cs="Times New Roman"/>
          <w:sz w:val="24"/>
          <w:szCs w:val="24"/>
          <w:lang w:eastAsia="en-GB"/>
        </w:rPr>
        <w:t xml:space="preserve"> was significantly correlated with diastolic BP (r = 0.22, p &lt; 0.05) and BMI (r = 0.23, p &lt; 0.05), suggesting that higher </w:t>
      </w:r>
      <w:r w:rsidR="001B410F">
        <w:rPr>
          <w:rFonts w:ascii="Times New Roman" w:eastAsia="Times New Roman" w:hAnsi="Times New Roman" w:cs="Times New Roman"/>
          <w:sz w:val="24"/>
          <w:szCs w:val="24"/>
          <w:lang w:eastAsia="en-GB"/>
        </w:rPr>
        <w:t>fasting blood glucose</w:t>
      </w:r>
      <w:r w:rsidR="003302EA" w:rsidRPr="003302EA">
        <w:rPr>
          <w:rFonts w:ascii="Times New Roman" w:eastAsia="Times New Roman" w:hAnsi="Times New Roman" w:cs="Times New Roman"/>
          <w:sz w:val="24"/>
          <w:szCs w:val="24"/>
          <w:lang w:eastAsia="en-GB"/>
        </w:rPr>
        <w:t xml:space="preserve"> levels may be linked to increased blood pressure and body mass. The strong correlations between systolic and diastolic BP (r = 0.82, p &lt; 0.01) and their associations with BMI (r = 0.40, p &lt; 0.01 and r = 0.37, p &lt; 0.01, respectively) reinforce the well-documented link between obesity and hypertension.</w:t>
      </w:r>
      <w:r w:rsidR="00A52DCA">
        <w:rPr>
          <w:rFonts w:ascii="Times New Roman" w:eastAsia="Times New Roman" w:hAnsi="Times New Roman" w:cs="Times New Roman"/>
          <w:sz w:val="24"/>
          <w:szCs w:val="24"/>
          <w:lang w:eastAsia="en-GB"/>
        </w:rPr>
        <w:fldChar w:fldCharType="begin" w:fldLock="1"/>
      </w:r>
      <w:r w:rsidR="00292311">
        <w:rPr>
          <w:rFonts w:ascii="Times New Roman" w:eastAsia="Times New Roman" w:hAnsi="Times New Roman" w:cs="Times New Roman"/>
          <w:sz w:val="24"/>
          <w:szCs w:val="24"/>
          <w:lang w:eastAsia="en-GB"/>
        </w:rPr>
        <w:instrText>ADDIN CSL_CITATION {"citationItems":[{"id":"ITEM-1","itemData":{"DOI":"10.1161/circresaha.116.305697","ISSN":"0009-7330","author":[{"dropping-particle":"","family":"Hall","given":"John E","non-dropping-particle":"","parse-names":false,"suffix":""},{"dropping-particle":"","family":"Carmo","given":"Jussara M","non-dropping-particle":"do","parse-names":false,"suffix":""},{"dropping-particle":"","family":"Silva","given":"Alexandre A","non-dropping-particle":"da","parse-names":false,"suffix":""},{"dropping-particle":"","family":"Wang","given":"Zhen","non-dropping-particle":"","parse-names":false,"suffix":""},{"dropping-particle":"","family":"Hall","given":"Michael E","non-dropping-particle":"","parse-names":false,"suffix":""}],"container-title":"Circulation Research","id":"ITEM-1","issue":"6","issued":{"date-parts":[["2015"]]},"page":"991-1006","publisher":"Ovid Technologies (Wolters Kluwer Health)","title":"Obesity-induced hypertension: Interaction of neurohumoral and renal mechanisms","type":"article-journal","volume":"116"},"uris":["http://www.mendeley.com/documents/?uuid=532d2542-94af-43be-bc8c-1dbdffecac2c"]}],"mendeley":{"formattedCitation":"&lt;sup&gt;25&lt;/sup&gt;","plainTextFormattedCitation":"25","previouslyFormattedCitation":"&lt;sup&gt;25&lt;/sup&gt;"},"properties":{"noteIndex":0},"schema":"https://github.com/citation-style-language/schema/raw/master/csl-citation.json"}</w:instrText>
      </w:r>
      <w:r w:rsidR="00A52DCA">
        <w:rPr>
          <w:rFonts w:ascii="Times New Roman" w:eastAsia="Times New Roman" w:hAnsi="Times New Roman" w:cs="Times New Roman"/>
          <w:sz w:val="24"/>
          <w:szCs w:val="24"/>
          <w:lang w:eastAsia="en-GB"/>
        </w:rPr>
        <w:fldChar w:fldCharType="separate"/>
      </w:r>
      <w:r w:rsidR="008C583A" w:rsidRPr="008C583A">
        <w:rPr>
          <w:rFonts w:ascii="Times New Roman" w:eastAsia="Times New Roman" w:hAnsi="Times New Roman" w:cs="Times New Roman"/>
          <w:noProof/>
          <w:sz w:val="24"/>
          <w:szCs w:val="24"/>
          <w:vertAlign w:val="superscript"/>
          <w:lang w:eastAsia="en-GB"/>
        </w:rPr>
        <w:t>25</w:t>
      </w:r>
      <w:r w:rsidR="00A52DCA">
        <w:rPr>
          <w:rFonts w:ascii="Times New Roman" w:eastAsia="Times New Roman" w:hAnsi="Times New Roman" w:cs="Times New Roman"/>
          <w:sz w:val="24"/>
          <w:szCs w:val="24"/>
          <w:lang w:eastAsia="en-GB"/>
        </w:rPr>
        <w:fldChar w:fldCharType="end"/>
      </w:r>
    </w:p>
    <w:p w14:paraId="4A38590F" w14:textId="77777777"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Multivariate analysis showed that none of the independent variables were significant predictors of fasting blood glucose, with systolic and diastolic blood pressure showing the strongest, albeit non-significant, associations. The model's constant (intercept) was 3.49 (p = 0.59), indicating the baseline fasting glucose when all predictors are zero. The effects of sex, age, occupation, residence, and alcohol consumption on fasting blood glucose were weak and non-significant (p-values ranging from 0.34 to 0.76). The beta coefficients for systolic BP (B = -0.03, p = 0.16) and diastolic BP (B = 0.04, p = 0.15) suggested a moderate influence, though not statistically significant. BMI (B = -0.01, p = 0.74) and waist-to-hip ratio (B = 0.69, p = 0.91) had minimal effects on fasting blood glucose levels.</w:t>
      </w:r>
    </w:p>
    <w:p w14:paraId="6EBD69A4" w14:textId="77777777" w:rsidR="003302EA" w:rsidRPr="003302EA" w:rsidRDefault="003302EA" w:rsidP="00F95B57">
      <w:pPr>
        <w:spacing w:before="100" w:beforeAutospacing="1" w:after="100" w:afterAutospacing="1" w:line="240" w:lineRule="auto"/>
        <w:jc w:val="both"/>
        <w:rPr>
          <w:rFonts w:ascii="Times New Roman" w:eastAsia="Times New Roman" w:hAnsi="Times New Roman" w:cs="Times New Roman"/>
          <w:sz w:val="24"/>
          <w:szCs w:val="24"/>
          <w:lang w:eastAsia="en-GB"/>
        </w:rPr>
      </w:pPr>
      <w:r w:rsidRPr="003302EA">
        <w:rPr>
          <w:rFonts w:ascii="Times New Roman" w:eastAsia="Times New Roman" w:hAnsi="Times New Roman" w:cs="Times New Roman"/>
          <w:sz w:val="24"/>
          <w:szCs w:val="24"/>
          <w:lang w:eastAsia="en-GB"/>
        </w:rPr>
        <w:t>Overall, this study highlights the significant role of age in diabetes risk, with additional correlations suggesting interactions between metabolic and cardiovascular parameters. The findings also indicate that while occupation, BMI, and waist-to-hip ratio play roles in metabolic health, their direct influence on fasting glucose may be limited. Future research with larger sample sizes and additional covariates, including dietary patterns and genetic factors, may be needed to clarify these associations.</w:t>
      </w:r>
    </w:p>
    <w:p w14:paraId="738AA692" w14:textId="77777777" w:rsidR="00CF0F18" w:rsidRDefault="00CF0F18" w:rsidP="00CF0F18">
      <w:pPr>
        <w:pStyle w:val="Heading3"/>
      </w:pPr>
      <w:r>
        <w:t>Conclusion</w:t>
      </w:r>
    </w:p>
    <w:p w14:paraId="292521C2" w14:textId="77777777" w:rsidR="00CF0F18" w:rsidRDefault="00CF0F18" w:rsidP="00F95B57">
      <w:pPr>
        <w:pStyle w:val="NormalWeb"/>
        <w:jc w:val="both"/>
      </w:pPr>
      <w:r>
        <w:t>This study highlights the significant association between age and diabetes risk, with older individuals (41–60 years and &gt;60 years) more likely to be in the pre-diabetes and diabetes groups (p = 0.007). However, other demographic and lifestyle factors, including sex, occupation, residence, alcohol consumption, and BMI, were not significantly associated with diabetes risk (p &gt; 0.05). The predominance of traders (90.5%) across all glucose categories suggests limited occupational variability, which may influence the generalizability of the findings.</w:t>
      </w:r>
    </w:p>
    <w:p w14:paraId="108CC68D" w14:textId="2E04ACC9" w:rsidR="00CF0F18" w:rsidRDefault="00CF0F18" w:rsidP="00F95B57">
      <w:pPr>
        <w:pStyle w:val="NormalWeb"/>
        <w:jc w:val="both"/>
      </w:pPr>
      <w:r>
        <w:t xml:space="preserve">Despite the lack of significant differences in </w:t>
      </w:r>
      <w:r w:rsidR="00D05FC3">
        <w:t>FBG</w:t>
      </w:r>
      <w:r>
        <w:t xml:space="preserve">, </w:t>
      </w:r>
      <w:r w:rsidR="00D05FC3">
        <w:t>RBG</w:t>
      </w:r>
      <w:r>
        <w:t xml:space="preserve">, blood pressure, and BMI, waist-to-hip ratio showed a notable sex-related disparity (p = 0.04), indicating potential differences in fat distribution that could impact metabolic health. Correlation analysis further revealed that age was positively associated with </w:t>
      </w:r>
      <w:r w:rsidR="00D05FC3">
        <w:t>FBG</w:t>
      </w:r>
      <w:r>
        <w:t xml:space="preserve">, systolic and diastolic blood pressure, and BMI, reinforcing the role of aging in metabolic and cardiovascular risks. The negative correlation between occupation and both </w:t>
      </w:r>
      <w:r w:rsidR="00D05FC3">
        <w:t>RBG</w:t>
      </w:r>
      <w:r>
        <w:t xml:space="preserve"> and BMI suggests that employment type may influence metabolic health, possibly through variations in physical activity levels or economic factors. Additionally, the inverse relationship between alcohol consumption and BMI (r = -0.22, p &lt; 0.05) warrants further investigation to understand underlying behavioural or metabolic mechanisms.</w:t>
      </w:r>
    </w:p>
    <w:p w14:paraId="03A9D61C" w14:textId="77777777" w:rsidR="00CF0F18" w:rsidRDefault="00CF0F18" w:rsidP="00F95B57">
      <w:pPr>
        <w:pStyle w:val="NormalWeb"/>
        <w:jc w:val="both"/>
      </w:pPr>
      <w:r>
        <w:t>Regression analysis indicated that none of the independent variables were significant predictors of fasting blood glucose, though systolic and diastolic blood pressure had the strongest, albeit non-significant, associations. This suggests that while age and other variables play roles in metabolic health, additional covariates or a larger sample size may be necessary to clarify these relationships. Future research should consider longitudinal studies to establish causality and incorporate more diverse occupational and socioeconomic groups to enhance the applicability of findings.</w:t>
      </w:r>
    </w:p>
    <w:p w14:paraId="580DB1A9" w14:textId="77777777" w:rsidR="00B4000D" w:rsidRDefault="00B4000D" w:rsidP="00B4000D">
      <w:pPr>
        <w:pStyle w:val="NormalWeb"/>
        <w:jc w:val="both"/>
      </w:pPr>
      <w:r>
        <w:lastRenderedPageBreak/>
        <w:t>Limitations</w:t>
      </w:r>
    </w:p>
    <w:p w14:paraId="5CB54978" w14:textId="20658E04" w:rsidR="00292311" w:rsidRDefault="00B4000D" w:rsidP="00B4000D">
      <w:pPr>
        <w:pStyle w:val="NormalWeb"/>
        <w:jc w:val="both"/>
      </w:pPr>
      <w:r>
        <w:t>The cross-sectional design limits causal inference. Additionally, reliance on self-reported data may introduce recall bias. Future research should incorporate longitudinal designs to establish temporal relationships.</w:t>
      </w:r>
    </w:p>
    <w:p w14:paraId="2520D859" w14:textId="1E0B17AF" w:rsidR="00292311" w:rsidRPr="006C5603" w:rsidRDefault="00292311" w:rsidP="00F95B57">
      <w:pPr>
        <w:pStyle w:val="NormalWeb"/>
        <w:jc w:val="both"/>
        <w:rPr>
          <w:b/>
          <w:bCs/>
        </w:rPr>
      </w:pPr>
      <w:r w:rsidRPr="006C5603">
        <w:rPr>
          <w:b/>
          <w:bCs/>
        </w:rPr>
        <w:t>References</w:t>
      </w:r>
    </w:p>
    <w:p w14:paraId="4AF999FF"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 </w:t>
      </w:r>
      <w:r w:rsidRPr="006C5603">
        <w:rPr>
          <w:rFonts w:eastAsiaTheme="minorHAnsi"/>
          <w:lang w:eastAsia="en-US"/>
        </w:rPr>
        <w:tab/>
        <w:t>American Diabetes Association (ADA). Standards of Medical Care in Diabetes-2023. Diabetes Care. 2023;45(1): S1–2286. Available from: http://dx.doi.org/10.2337/dc22-sint</w:t>
      </w:r>
    </w:p>
    <w:p w14:paraId="64959F1B"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 </w:t>
      </w:r>
      <w:r w:rsidRPr="006C5603">
        <w:rPr>
          <w:rFonts w:eastAsiaTheme="minorHAnsi"/>
          <w:lang w:eastAsia="en-US"/>
        </w:rPr>
        <w:tab/>
        <w:t>IDF. International Diabetes Atlas (10th ed). International Diabetes Federation. Brill; 2021. Available from: http://dx.doi.org/10.1163/1570-6664_iyb_sim_org_38965</w:t>
      </w:r>
    </w:p>
    <w:p w14:paraId="5B05B5FC"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3. </w:t>
      </w:r>
      <w:r w:rsidRPr="006C5603">
        <w:rPr>
          <w:rFonts w:eastAsiaTheme="minorHAnsi"/>
          <w:lang w:eastAsia="en-US"/>
        </w:rPr>
        <w:tab/>
        <w:t>Zheng Y, Ley SH, Hu FB. Global aetiology and epidemiology of type 2 diabetes mellitus and its complications. Nat Rev Endocrinol. 2018;14(2):88–98.</w:t>
      </w:r>
    </w:p>
    <w:p w14:paraId="052362F6"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4. </w:t>
      </w:r>
      <w:r w:rsidRPr="006C5603">
        <w:rPr>
          <w:rFonts w:eastAsiaTheme="minorHAnsi"/>
          <w:lang w:eastAsia="en-US"/>
        </w:rPr>
        <w:tab/>
        <w:t xml:space="preserve">Chatterjee S, </w:t>
      </w:r>
      <w:proofErr w:type="spellStart"/>
      <w:r w:rsidRPr="006C5603">
        <w:rPr>
          <w:rFonts w:eastAsiaTheme="minorHAnsi"/>
          <w:lang w:eastAsia="en-US"/>
        </w:rPr>
        <w:t>Khunti</w:t>
      </w:r>
      <w:proofErr w:type="spellEnd"/>
      <w:r w:rsidRPr="006C5603">
        <w:rPr>
          <w:rFonts w:eastAsiaTheme="minorHAnsi"/>
          <w:lang w:eastAsia="en-US"/>
        </w:rPr>
        <w:t xml:space="preserve"> K, Davies MJ. Type 2 diabetes. Lancet. 2017;389(10085):2239–51. Available from: http://dx.doi.org/10.1016/s0140-6736(17)30058-2</w:t>
      </w:r>
    </w:p>
    <w:p w14:paraId="399825C0"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5. </w:t>
      </w:r>
      <w:r w:rsidRPr="006C5603">
        <w:rPr>
          <w:rFonts w:eastAsiaTheme="minorHAnsi"/>
          <w:lang w:eastAsia="en-US"/>
        </w:rPr>
        <w:tab/>
        <w:t>Cerf ME. Beta Cell Dysfunction and Insulin Resistance. Frontiers in Endocrinology (Lausanne). 2019; 10:62–58.</w:t>
      </w:r>
    </w:p>
    <w:p w14:paraId="1CECFAF0"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6. </w:t>
      </w:r>
      <w:r w:rsidRPr="006C5603">
        <w:rPr>
          <w:rFonts w:eastAsiaTheme="minorHAnsi"/>
          <w:lang w:eastAsia="en-US"/>
        </w:rPr>
        <w:tab/>
        <w:t xml:space="preserve">Cho NH, Shaw JE, </w:t>
      </w:r>
      <w:proofErr w:type="spellStart"/>
      <w:r w:rsidRPr="006C5603">
        <w:rPr>
          <w:rFonts w:eastAsiaTheme="minorHAnsi"/>
          <w:lang w:eastAsia="en-US"/>
        </w:rPr>
        <w:t>Karuranga</w:t>
      </w:r>
      <w:proofErr w:type="spellEnd"/>
      <w:r w:rsidRPr="006C5603">
        <w:rPr>
          <w:rFonts w:eastAsiaTheme="minorHAnsi"/>
          <w:lang w:eastAsia="en-US"/>
        </w:rPr>
        <w:t xml:space="preserve"> S, Huang Y, da Rocha Fernandes JD, Ohlrogge AW, et al. IDF Diabetes Atlas: Global estimates of diabetes prevalence for 2017 and projections for 2045. Diabetes Res Clin </w:t>
      </w:r>
      <w:proofErr w:type="spellStart"/>
      <w:r w:rsidRPr="006C5603">
        <w:rPr>
          <w:rFonts w:eastAsiaTheme="minorHAnsi"/>
          <w:lang w:eastAsia="en-US"/>
        </w:rPr>
        <w:t>Pract</w:t>
      </w:r>
      <w:proofErr w:type="spellEnd"/>
      <w:r w:rsidRPr="006C5603">
        <w:rPr>
          <w:rFonts w:eastAsiaTheme="minorHAnsi"/>
          <w:lang w:eastAsia="en-US"/>
        </w:rPr>
        <w:t>. 2018; 138:271–81.</w:t>
      </w:r>
    </w:p>
    <w:p w14:paraId="4A6387E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7. </w:t>
      </w:r>
      <w:r w:rsidRPr="006C5603">
        <w:rPr>
          <w:rFonts w:eastAsiaTheme="minorHAnsi"/>
          <w:lang w:eastAsia="en-US"/>
        </w:rPr>
        <w:tab/>
        <w:t xml:space="preserve">Klein S, Allison DB, </w:t>
      </w:r>
      <w:proofErr w:type="spellStart"/>
      <w:r w:rsidRPr="006C5603">
        <w:rPr>
          <w:rFonts w:eastAsiaTheme="minorHAnsi"/>
          <w:lang w:eastAsia="en-US"/>
        </w:rPr>
        <w:t>Heymsfield</w:t>
      </w:r>
      <w:proofErr w:type="spellEnd"/>
      <w:r w:rsidRPr="006C5603">
        <w:rPr>
          <w:rFonts w:eastAsiaTheme="minorHAnsi"/>
          <w:lang w:eastAsia="en-US"/>
        </w:rPr>
        <w:t xml:space="preserve"> SB, Kelley DE, Leibel RL, Nonas C, et al. Waist Circumference and Cardiometabolic Risk: A </w:t>
      </w:r>
      <w:proofErr w:type="spellStart"/>
      <w:r w:rsidRPr="006C5603">
        <w:rPr>
          <w:rFonts w:eastAsiaTheme="minorHAnsi"/>
          <w:lang w:eastAsia="en-US"/>
        </w:rPr>
        <w:t>Consesus</w:t>
      </w:r>
      <w:proofErr w:type="spellEnd"/>
      <w:r w:rsidRPr="006C5603">
        <w:rPr>
          <w:rFonts w:eastAsiaTheme="minorHAnsi"/>
          <w:lang w:eastAsia="en-US"/>
        </w:rPr>
        <w:t xml:space="preserve"> Statement. Obesity. 2020;28(4):627–38.</w:t>
      </w:r>
    </w:p>
    <w:p w14:paraId="6761840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8. </w:t>
      </w:r>
      <w:r w:rsidRPr="006C5603">
        <w:rPr>
          <w:rFonts w:eastAsiaTheme="minorHAnsi"/>
          <w:lang w:eastAsia="en-US"/>
        </w:rPr>
        <w:tab/>
        <w:t xml:space="preserve">Kalyani RR, Golden SH, Cefalu WT. Diabetes and Aging: Unique Considerations and Goals of Care. Diabetes Care. 2017;40(4):440–3. </w:t>
      </w:r>
    </w:p>
    <w:p w14:paraId="2312FBF4"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9. </w:t>
      </w:r>
      <w:r w:rsidRPr="006C5603">
        <w:rPr>
          <w:rFonts w:eastAsiaTheme="minorHAnsi"/>
          <w:lang w:eastAsia="en-US"/>
        </w:rPr>
        <w:tab/>
      </w:r>
      <w:proofErr w:type="spellStart"/>
      <w:r w:rsidRPr="006C5603">
        <w:rPr>
          <w:rFonts w:eastAsiaTheme="minorHAnsi"/>
          <w:lang w:eastAsia="en-US"/>
        </w:rPr>
        <w:t>Regitz-Zagrosek</w:t>
      </w:r>
      <w:proofErr w:type="spellEnd"/>
      <w:r w:rsidRPr="006C5603">
        <w:rPr>
          <w:rFonts w:eastAsiaTheme="minorHAnsi"/>
          <w:lang w:eastAsia="en-US"/>
        </w:rPr>
        <w:t xml:space="preserve"> V, </w:t>
      </w:r>
      <w:proofErr w:type="spellStart"/>
      <w:r w:rsidRPr="006C5603">
        <w:rPr>
          <w:rFonts w:eastAsiaTheme="minorHAnsi"/>
          <w:lang w:eastAsia="en-US"/>
        </w:rPr>
        <w:t>Lehmkuhl</w:t>
      </w:r>
      <w:proofErr w:type="spellEnd"/>
      <w:r w:rsidRPr="006C5603">
        <w:rPr>
          <w:rFonts w:eastAsiaTheme="minorHAnsi"/>
          <w:lang w:eastAsia="en-US"/>
        </w:rPr>
        <w:t xml:space="preserve"> E, Weickert MO. Gender differences in obesity and cardiovascular risk. Curr Cardiovasc Risk Rep. 2018;12(8):1–9.</w:t>
      </w:r>
    </w:p>
    <w:p w14:paraId="2A587956"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10. </w:t>
      </w:r>
      <w:r w:rsidRPr="006C5603">
        <w:rPr>
          <w:rFonts w:eastAsiaTheme="minorHAnsi"/>
          <w:lang w:eastAsia="en-US"/>
        </w:rPr>
        <w:tab/>
      </w:r>
      <w:proofErr w:type="spellStart"/>
      <w:r w:rsidRPr="006C5603">
        <w:rPr>
          <w:rFonts w:eastAsiaTheme="minorHAnsi"/>
          <w:lang w:eastAsia="en-US"/>
        </w:rPr>
        <w:t>Tüchsen</w:t>
      </w:r>
      <w:proofErr w:type="spellEnd"/>
      <w:r w:rsidRPr="006C5603">
        <w:rPr>
          <w:rFonts w:eastAsiaTheme="minorHAnsi"/>
          <w:lang w:eastAsia="en-US"/>
        </w:rPr>
        <w:t xml:space="preserve"> F, </w:t>
      </w:r>
      <w:proofErr w:type="spellStart"/>
      <w:r w:rsidRPr="006C5603">
        <w:rPr>
          <w:rFonts w:eastAsiaTheme="minorHAnsi"/>
          <w:lang w:eastAsia="en-US"/>
        </w:rPr>
        <w:t>Hannerz</w:t>
      </w:r>
      <w:proofErr w:type="spellEnd"/>
      <w:r w:rsidRPr="006C5603">
        <w:rPr>
          <w:rFonts w:eastAsiaTheme="minorHAnsi"/>
          <w:lang w:eastAsia="en-US"/>
        </w:rPr>
        <w:t xml:space="preserve"> H, Burr H, Lund T, Krause N. A 10-year prospective study of the effect of work-related physical strain on the risk of type 2 diabetes. Scand J Work Environ Health. 2020;46(3):293–301. </w:t>
      </w:r>
    </w:p>
    <w:p w14:paraId="1F33ACD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11. </w:t>
      </w:r>
      <w:r w:rsidRPr="006C5603">
        <w:rPr>
          <w:rFonts w:eastAsiaTheme="minorHAnsi"/>
          <w:lang w:eastAsia="en-US"/>
        </w:rPr>
        <w:tab/>
        <w:t xml:space="preserve">Gupta R, Misra A, Vikram NK, Kondal D, Gupta S Sen, Agrawal A, et al. Younger age of diabetes onset and rising cardiovascular risk in urban Asian Indian adolescents. Diabetes </w:t>
      </w:r>
      <w:proofErr w:type="spellStart"/>
      <w:r w:rsidRPr="006C5603">
        <w:rPr>
          <w:rFonts w:eastAsiaTheme="minorHAnsi"/>
          <w:lang w:eastAsia="en-US"/>
        </w:rPr>
        <w:t>Technol</w:t>
      </w:r>
      <w:proofErr w:type="spellEnd"/>
      <w:r w:rsidRPr="006C5603">
        <w:rPr>
          <w:rFonts w:eastAsiaTheme="minorHAnsi"/>
          <w:lang w:eastAsia="en-US"/>
        </w:rPr>
        <w:t xml:space="preserve"> </w:t>
      </w:r>
      <w:proofErr w:type="spellStart"/>
      <w:r w:rsidRPr="006C5603">
        <w:rPr>
          <w:rFonts w:eastAsiaTheme="minorHAnsi"/>
          <w:lang w:eastAsia="en-US"/>
        </w:rPr>
        <w:t>Ther</w:t>
      </w:r>
      <w:proofErr w:type="spellEnd"/>
      <w:r w:rsidRPr="006C5603">
        <w:rPr>
          <w:rFonts w:eastAsiaTheme="minorHAnsi"/>
          <w:lang w:eastAsia="en-US"/>
        </w:rPr>
        <w:t>. 2019;21(9):527–33.</w:t>
      </w:r>
    </w:p>
    <w:p w14:paraId="1C7A6A5B"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12. </w:t>
      </w:r>
      <w:r w:rsidRPr="006C5603">
        <w:rPr>
          <w:rFonts w:eastAsiaTheme="minorHAnsi"/>
          <w:lang w:eastAsia="en-US"/>
        </w:rPr>
        <w:tab/>
        <w:t>Knott C, Bell S, Britton A. Alcohol Consumption and the Risk of Type 2 Diabetes: A Systematic Review and Dose-Response Meta-analysis of More Than 1.9 Million Individuals From 38 Observational Studies. Diabetes Care. 2015;38(9):1804–12.</w:t>
      </w:r>
    </w:p>
    <w:p w14:paraId="1F4EEC05"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lastRenderedPageBreak/>
        <w:t xml:space="preserve">13. </w:t>
      </w:r>
      <w:r w:rsidRPr="006C5603">
        <w:rPr>
          <w:rFonts w:eastAsiaTheme="minorHAnsi"/>
          <w:lang w:eastAsia="en-US"/>
        </w:rPr>
        <w:tab/>
      </w:r>
      <w:proofErr w:type="spellStart"/>
      <w:r w:rsidRPr="006C5603">
        <w:rPr>
          <w:rFonts w:eastAsiaTheme="minorHAnsi"/>
          <w:lang w:eastAsia="en-US"/>
        </w:rPr>
        <w:t>Schrieks</w:t>
      </w:r>
      <w:proofErr w:type="spellEnd"/>
      <w:r w:rsidRPr="006C5603">
        <w:rPr>
          <w:rFonts w:eastAsiaTheme="minorHAnsi"/>
          <w:lang w:eastAsia="en-US"/>
        </w:rPr>
        <w:t xml:space="preserve"> IC, Heil ALJ, Hendriks HFJ, </w:t>
      </w:r>
      <w:proofErr w:type="spellStart"/>
      <w:r w:rsidRPr="006C5603">
        <w:rPr>
          <w:rFonts w:eastAsiaTheme="minorHAnsi"/>
          <w:lang w:eastAsia="en-US"/>
        </w:rPr>
        <w:t>Mukamal</w:t>
      </w:r>
      <w:proofErr w:type="spellEnd"/>
      <w:r w:rsidRPr="006C5603">
        <w:rPr>
          <w:rFonts w:eastAsiaTheme="minorHAnsi"/>
          <w:lang w:eastAsia="en-US"/>
        </w:rPr>
        <w:t xml:space="preserve"> KJ, </w:t>
      </w:r>
      <w:proofErr w:type="spellStart"/>
      <w:r w:rsidRPr="006C5603">
        <w:rPr>
          <w:rFonts w:eastAsiaTheme="minorHAnsi"/>
          <w:lang w:eastAsia="en-US"/>
        </w:rPr>
        <w:t>Beulens</w:t>
      </w:r>
      <w:proofErr w:type="spellEnd"/>
      <w:r w:rsidRPr="006C5603">
        <w:rPr>
          <w:rFonts w:eastAsiaTheme="minorHAnsi"/>
          <w:lang w:eastAsia="en-US"/>
        </w:rPr>
        <w:t xml:space="preserve"> JWJ. The Effect of Alcohol Consumption on Insulin Sensitivity and </w:t>
      </w:r>
      <w:proofErr w:type="spellStart"/>
      <w:r w:rsidRPr="006C5603">
        <w:rPr>
          <w:rFonts w:eastAsiaTheme="minorHAnsi"/>
          <w:lang w:eastAsia="en-US"/>
        </w:rPr>
        <w:t>Glycemic</w:t>
      </w:r>
      <w:proofErr w:type="spellEnd"/>
      <w:r w:rsidRPr="006C5603">
        <w:rPr>
          <w:rFonts w:eastAsiaTheme="minorHAnsi"/>
          <w:lang w:eastAsia="en-US"/>
        </w:rPr>
        <w:t xml:space="preserve"> Status: A Systematic Review and Meta-analysis of Intervention Studies. Diabetes Care. 2015;38(4):723–32.</w:t>
      </w:r>
    </w:p>
    <w:p w14:paraId="31C12FD1"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14. </w:t>
      </w:r>
      <w:r w:rsidRPr="006C5603">
        <w:rPr>
          <w:rFonts w:eastAsiaTheme="minorHAnsi"/>
          <w:lang w:eastAsia="en-US"/>
        </w:rPr>
        <w:tab/>
        <w:t>Gill T, Sattar N, Zimmet P. The role of obesity in cardiometabolic disease: Insights from genetic epidemiology. Lancet Diabetes Endocrinol. 2021;9(8):482–94.</w:t>
      </w:r>
    </w:p>
    <w:p w14:paraId="5B544103"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15. </w:t>
      </w:r>
      <w:r w:rsidRPr="006C5603">
        <w:rPr>
          <w:rFonts w:eastAsiaTheme="minorHAnsi"/>
          <w:lang w:eastAsia="en-US"/>
        </w:rPr>
        <w:tab/>
        <w:t>Sowers JR, Epstein M, Frohlich ED. Diabetes, Hypertension, and Cardiovascular Disease; An Update. Hypertension. 2018;53(5):689–97.</w:t>
      </w:r>
    </w:p>
    <w:p w14:paraId="4A4EF2FF"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16. </w:t>
      </w:r>
      <w:r w:rsidRPr="006C5603">
        <w:rPr>
          <w:rFonts w:eastAsiaTheme="minorHAnsi"/>
          <w:lang w:eastAsia="en-US"/>
        </w:rPr>
        <w:tab/>
        <w:t>Powers A, Stanford J, Rickels M. Diabetes mellitus: A disorder of glucose homeostasis. Harrison’s Princ Intern Med. 2022;21(2):2982–3003.</w:t>
      </w:r>
    </w:p>
    <w:p w14:paraId="51CCF17C"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17. </w:t>
      </w:r>
      <w:r w:rsidRPr="006C5603">
        <w:rPr>
          <w:rFonts w:eastAsiaTheme="minorHAnsi"/>
          <w:lang w:eastAsia="en-US"/>
        </w:rPr>
        <w:tab/>
        <w:t>Setia M. Methodology series module 3: Cross-sectional studies. Indian J Dermatol. 2016;61(3):261.</w:t>
      </w:r>
    </w:p>
    <w:p w14:paraId="3E58FB83"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18. </w:t>
      </w:r>
      <w:r w:rsidRPr="006C5603">
        <w:rPr>
          <w:rFonts w:eastAsiaTheme="minorHAnsi"/>
          <w:lang w:eastAsia="en-US"/>
        </w:rPr>
        <w:tab/>
        <w:t xml:space="preserve">Alberti KGMM, Zimmet PZ. Definition, diagnosis and classification of diabetes mellitus and its complications. Part 1: diagnosis and classification of diabetes mellitus. Provisional report of a WHO Consultation. </w:t>
      </w:r>
      <w:proofErr w:type="spellStart"/>
      <w:r w:rsidRPr="006C5603">
        <w:rPr>
          <w:rFonts w:eastAsiaTheme="minorHAnsi"/>
          <w:lang w:eastAsia="en-US"/>
        </w:rPr>
        <w:t>Diabet</w:t>
      </w:r>
      <w:proofErr w:type="spellEnd"/>
      <w:r w:rsidRPr="006C5603">
        <w:rPr>
          <w:rFonts w:eastAsiaTheme="minorHAnsi"/>
          <w:lang w:eastAsia="en-US"/>
        </w:rPr>
        <w:t xml:space="preserve"> Med. 1998;15(7):539–53.</w:t>
      </w:r>
    </w:p>
    <w:p w14:paraId="76B5A5C8"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19. </w:t>
      </w:r>
      <w:r w:rsidRPr="006C5603">
        <w:rPr>
          <w:rFonts w:eastAsiaTheme="minorHAnsi"/>
          <w:lang w:eastAsia="en-US"/>
        </w:rPr>
        <w:tab/>
        <w:t>World Health Organisation (WHO). WHO | Waist Circumference and Waist–Hip Ratio. Report of a WHO Expert Consultation. Geneva, 8-11 December 2008. 2008;(December):8–11.</w:t>
      </w:r>
    </w:p>
    <w:p w14:paraId="31A5D7A7"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20. </w:t>
      </w:r>
      <w:r w:rsidRPr="006C5603">
        <w:rPr>
          <w:rFonts w:eastAsiaTheme="minorHAnsi"/>
          <w:lang w:eastAsia="en-US"/>
        </w:rPr>
        <w:tab/>
        <w:t>World Medication Association (WMA). Declaration of Helsinki: Ethical principles for medical research involving human subjects. JAMA. 2013;310(20):2191–4.</w:t>
      </w:r>
    </w:p>
    <w:p w14:paraId="424EEE05"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21. </w:t>
      </w:r>
      <w:r w:rsidRPr="006C5603">
        <w:rPr>
          <w:rFonts w:eastAsiaTheme="minorHAnsi"/>
          <w:lang w:eastAsia="en-US"/>
        </w:rPr>
        <w:tab/>
        <w:t xml:space="preserve">Field A. Discovering Statistics Using IBM SPSS Statistics. And Sex and Drugs and </w:t>
      </w:r>
      <w:proofErr w:type="spellStart"/>
      <w:r w:rsidRPr="006C5603">
        <w:rPr>
          <w:rFonts w:eastAsiaTheme="minorHAnsi"/>
          <w:lang w:eastAsia="en-US"/>
        </w:rPr>
        <w:t>Rock’n’Roll</w:t>
      </w:r>
      <w:proofErr w:type="spellEnd"/>
      <w:r w:rsidRPr="006C5603">
        <w:rPr>
          <w:rFonts w:eastAsiaTheme="minorHAnsi"/>
          <w:lang w:eastAsia="en-US"/>
        </w:rPr>
        <w:t>. Sage. 2018;27(6):430.</w:t>
      </w:r>
    </w:p>
    <w:p w14:paraId="690E132D"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22. </w:t>
      </w:r>
      <w:r w:rsidRPr="006C5603">
        <w:rPr>
          <w:rFonts w:eastAsiaTheme="minorHAnsi"/>
          <w:lang w:eastAsia="en-US"/>
        </w:rPr>
        <w:tab/>
        <w:t>Sue Kirkman M, Briscoe VJ, Clark N, Florez H, Haas LB, Halter JB, et al. Diabetes in Older Adults: A Consensus Report. J Am Diabetes Assoc. 2012;60(12):2342–56.</w:t>
      </w:r>
    </w:p>
    <w:p w14:paraId="5C028BA0"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23. </w:t>
      </w:r>
      <w:r w:rsidRPr="006C5603">
        <w:rPr>
          <w:rFonts w:eastAsiaTheme="minorHAnsi"/>
          <w:lang w:eastAsia="en-US"/>
        </w:rPr>
        <w:tab/>
        <w:t>Després JP. Body Fat Distribution and Risk of Cardiovascular Disease. Circulation. 2012;126(10):1301–13.</w:t>
      </w:r>
    </w:p>
    <w:p w14:paraId="68B350A4" w14:textId="77777777" w:rsidR="006C5603" w:rsidRPr="006C5603" w:rsidRDefault="006C5603" w:rsidP="006C5603">
      <w:pPr>
        <w:pStyle w:val="NormalWeb"/>
        <w:jc w:val="both"/>
        <w:rPr>
          <w:rFonts w:eastAsiaTheme="minorHAnsi"/>
          <w:lang w:eastAsia="en-US"/>
        </w:rPr>
      </w:pPr>
      <w:r w:rsidRPr="006C5603">
        <w:rPr>
          <w:rFonts w:eastAsiaTheme="minorHAnsi"/>
          <w:lang w:eastAsia="en-US"/>
        </w:rPr>
        <w:t xml:space="preserve">24. </w:t>
      </w:r>
      <w:r w:rsidRPr="006C5603">
        <w:rPr>
          <w:rFonts w:eastAsiaTheme="minorHAnsi"/>
          <w:lang w:eastAsia="en-US"/>
        </w:rPr>
        <w:tab/>
      </w:r>
      <w:proofErr w:type="spellStart"/>
      <w:r w:rsidRPr="006C5603">
        <w:rPr>
          <w:rFonts w:eastAsiaTheme="minorHAnsi"/>
          <w:lang w:eastAsia="en-US"/>
        </w:rPr>
        <w:t>Traversy</w:t>
      </w:r>
      <w:proofErr w:type="spellEnd"/>
      <w:r w:rsidRPr="006C5603">
        <w:rPr>
          <w:rFonts w:eastAsiaTheme="minorHAnsi"/>
          <w:lang w:eastAsia="en-US"/>
        </w:rPr>
        <w:t xml:space="preserve"> G, </w:t>
      </w:r>
      <w:proofErr w:type="spellStart"/>
      <w:r w:rsidRPr="006C5603">
        <w:rPr>
          <w:rFonts w:eastAsiaTheme="minorHAnsi"/>
          <w:lang w:eastAsia="en-US"/>
        </w:rPr>
        <w:t>Chaput</w:t>
      </w:r>
      <w:proofErr w:type="spellEnd"/>
      <w:r w:rsidRPr="006C5603">
        <w:rPr>
          <w:rFonts w:eastAsiaTheme="minorHAnsi"/>
          <w:lang w:eastAsia="en-US"/>
        </w:rPr>
        <w:t xml:space="preserve"> JP. Alcohol Consumption and Obesity: An Update. </w:t>
      </w:r>
      <w:proofErr w:type="spellStart"/>
      <w:r w:rsidRPr="006C5603">
        <w:rPr>
          <w:rFonts w:eastAsiaTheme="minorHAnsi"/>
          <w:lang w:eastAsia="en-US"/>
        </w:rPr>
        <w:t>Curr</w:t>
      </w:r>
      <w:proofErr w:type="spellEnd"/>
      <w:r w:rsidRPr="006C5603">
        <w:rPr>
          <w:rFonts w:eastAsiaTheme="minorHAnsi"/>
          <w:lang w:eastAsia="en-US"/>
        </w:rPr>
        <w:t xml:space="preserve"> </w:t>
      </w:r>
      <w:proofErr w:type="spellStart"/>
      <w:r w:rsidRPr="006C5603">
        <w:rPr>
          <w:rFonts w:eastAsiaTheme="minorHAnsi"/>
          <w:lang w:eastAsia="en-US"/>
        </w:rPr>
        <w:t>Obes</w:t>
      </w:r>
      <w:proofErr w:type="spellEnd"/>
      <w:r w:rsidRPr="006C5603">
        <w:rPr>
          <w:rFonts w:eastAsiaTheme="minorHAnsi"/>
          <w:lang w:eastAsia="en-US"/>
        </w:rPr>
        <w:t xml:space="preserve"> Rep. 2015;4(1):122–30.</w:t>
      </w:r>
    </w:p>
    <w:p w14:paraId="0F7D3FFE" w14:textId="42298369" w:rsidR="00292311" w:rsidRPr="006C5603" w:rsidRDefault="006C5603" w:rsidP="006C5603">
      <w:pPr>
        <w:widowControl w:val="0"/>
        <w:autoSpaceDE w:val="0"/>
        <w:autoSpaceDN w:val="0"/>
        <w:adjustRightInd w:val="0"/>
        <w:spacing w:before="100" w:after="100" w:line="240" w:lineRule="auto"/>
        <w:ind w:left="640" w:hanging="640"/>
        <w:rPr>
          <w:rFonts w:ascii="Times New Roman" w:hAnsi="Times New Roman" w:cs="Times New Roman"/>
          <w:noProof/>
          <w:sz w:val="24"/>
          <w:szCs w:val="24"/>
        </w:rPr>
      </w:pPr>
      <w:r w:rsidRPr="006C5603">
        <w:rPr>
          <w:rFonts w:ascii="Times New Roman" w:hAnsi="Times New Roman" w:cs="Times New Roman"/>
          <w:sz w:val="24"/>
          <w:szCs w:val="24"/>
        </w:rPr>
        <w:t xml:space="preserve">25. </w:t>
      </w:r>
      <w:r w:rsidRPr="006C5603">
        <w:rPr>
          <w:rFonts w:ascii="Times New Roman" w:hAnsi="Times New Roman" w:cs="Times New Roman"/>
          <w:sz w:val="24"/>
          <w:szCs w:val="24"/>
        </w:rPr>
        <w:tab/>
        <w:t xml:space="preserve">Hall JE, do Carmo JM, da Silva AA, Wang Z, Hall ME. Obesity-induced hypertension: Interaction of neurohumoral and renal mechanisms. </w:t>
      </w:r>
      <w:proofErr w:type="spellStart"/>
      <w:r w:rsidRPr="006C5603">
        <w:rPr>
          <w:rFonts w:ascii="Times New Roman" w:hAnsi="Times New Roman" w:cs="Times New Roman"/>
          <w:sz w:val="24"/>
          <w:szCs w:val="24"/>
        </w:rPr>
        <w:t>Circ</w:t>
      </w:r>
      <w:proofErr w:type="spellEnd"/>
      <w:r w:rsidRPr="006C5603">
        <w:rPr>
          <w:rFonts w:ascii="Times New Roman" w:hAnsi="Times New Roman" w:cs="Times New Roman"/>
          <w:sz w:val="24"/>
          <w:szCs w:val="24"/>
        </w:rPr>
        <w:t xml:space="preserve"> Res. 2015;116(6):991–1006.</w:t>
      </w:r>
      <w:r w:rsidR="00292311" w:rsidRPr="006C5603">
        <w:rPr>
          <w:rFonts w:ascii="Times New Roman" w:hAnsi="Times New Roman" w:cs="Times New Roman"/>
          <w:sz w:val="24"/>
          <w:szCs w:val="24"/>
        </w:rPr>
        <w:fldChar w:fldCharType="begin" w:fldLock="1"/>
      </w:r>
      <w:r w:rsidR="00292311" w:rsidRPr="006C5603">
        <w:rPr>
          <w:rFonts w:ascii="Times New Roman" w:hAnsi="Times New Roman" w:cs="Times New Roman"/>
          <w:sz w:val="24"/>
          <w:szCs w:val="24"/>
        </w:rPr>
        <w:instrText xml:space="preserve">ADDIN Mendeley Bibliography CSL_BIBLIOGRAPHY </w:instrText>
      </w:r>
      <w:r w:rsidR="00292311" w:rsidRPr="006C5603">
        <w:rPr>
          <w:rFonts w:ascii="Times New Roman" w:hAnsi="Times New Roman" w:cs="Times New Roman"/>
          <w:sz w:val="24"/>
          <w:szCs w:val="24"/>
        </w:rPr>
        <w:fldChar w:fldCharType="separate"/>
      </w:r>
      <w:bookmarkStart w:id="1" w:name="_Hlk192148346"/>
    </w:p>
    <w:bookmarkEnd w:id="1"/>
    <w:p w14:paraId="31B46E01" w14:textId="7B6BA4AF" w:rsidR="00292311" w:rsidRDefault="00292311" w:rsidP="00F95B57">
      <w:pPr>
        <w:pStyle w:val="NormalWeb"/>
        <w:jc w:val="both"/>
      </w:pPr>
      <w:r w:rsidRPr="006C5603">
        <w:fldChar w:fldCharType="end"/>
      </w:r>
    </w:p>
    <w:p w14:paraId="0B7B7041" w14:textId="0328231F" w:rsidR="000145E8" w:rsidRPr="00275EC2" w:rsidRDefault="000145E8" w:rsidP="00275EC2">
      <w:pPr>
        <w:spacing w:before="100" w:beforeAutospacing="1" w:after="100" w:afterAutospacing="1" w:line="240" w:lineRule="auto"/>
        <w:rPr>
          <w:rFonts w:ascii="Times New Roman" w:eastAsia="Times New Roman" w:hAnsi="Times New Roman" w:cs="Times New Roman"/>
          <w:sz w:val="24"/>
          <w:szCs w:val="24"/>
          <w:lang w:eastAsia="en-GB"/>
        </w:rPr>
      </w:pPr>
    </w:p>
    <w:sectPr w:rsidR="000145E8" w:rsidRPr="00275EC2" w:rsidSect="00CE0CC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6C348F" w14:textId="77777777" w:rsidR="00641292" w:rsidRDefault="00641292" w:rsidP="00275EC2">
      <w:pPr>
        <w:spacing w:after="0" w:line="240" w:lineRule="auto"/>
      </w:pPr>
      <w:r>
        <w:separator/>
      </w:r>
    </w:p>
  </w:endnote>
  <w:endnote w:type="continuationSeparator" w:id="0">
    <w:p w14:paraId="0ABC0D06" w14:textId="77777777" w:rsidR="00641292" w:rsidRDefault="00641292" w:rsidP="00275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5E75C" w14:textId="77777777" w:rsidR="00AB7488" w:rsidRDefault="00AB74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8536135"/>
      <w:docPartObj>
        <w:docPartGallery w:val="Page Numbers (Bottom of Page)"/>
        <w:docPartUnique/>
      </w:docPartObj>
    </w:sdtPr>
    <w:sdtEndPr>
      <w:rPr>
        <w:noProof/>
      </w:rPr>
    </w:sdtEndPr>
    <w:sdtContent>
      <w:p w14:paraId="1F8DAA79" w14:textId="77777777" w:rsidR="00772D82" w:rsidRDefault="00772D82">
        <w:pPr>
          <w:pStyle w:val="Footer"/>
          <w:jc w:val="right"/>
        </w:pPr>
        <w:r>
          <w:fldChar w:fldCharType="begin"/>
        </w:r>
        <w:r>
          <w:instrText xml:space="preserve"> PAGE   \* MERGEFORMAT </w:instrText>
        </w:r>
        <w:r>
          <w:fldChar w:fldCharType="separate"/>
        </w:r>
        <w:r w:rsidR="00972620">
          <w:rPr>
            <w:noProof/>
          </w:rPr>
          <w:t>12</w:t>
        </w:r>
        <w:r>
          <w:rPr>
            <w:noProof/>
          </w:rPr>
          <w:fldChar w:fldCharType="end"/>
        </w:r>
      </w:p>
    </w:sdtContent>
  </w:sdt>
  <w:p w14:paraId="18D1A167" w14:textId="77777777" w:rsidR="00772D82" w:rsidRDefault="00772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65602" w14:textId="77777777" w:rsidR="00AB7488" w:rsidRDefault="00AB7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80D0D" w14:textId="77777777" w:rsidR="00641292" w:rsidRDefault="00641292" w:rsidP="00275EC2">
      <w:pPr>
        <w:spacing w:after="0" w:line="240" w:lineRule="auto"/>
      </w:pPr>
      <w:r>
        <w:separator/>
      </w:r>
    </w:p>
  </w:footnote>
  <w:footnote w:type="continuationSeparator" w:id="0">
    <w:p w14:paraId="170A6304" w14:textId="77777777" w:rsidR="00641292" w:rsidRDefault="00641292" w:rsidP="00275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82A37" w14:textId="468CFD82" w:rsidR="00AB7488" w:rsidRDefault="00AB7488">
    <w:pPr>
      <w:pStyle w:val="Header"/>
    </w:pPr>
    <w:r>
      <w:rPr>
        <w:noProof/>
      </w:rPr>
      <w:pict w14:anchorId="37D37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38B31" w14:textId="387E3503" w:rsidR="00AB7488" w:rsidRDefault="00AB7488">
    <w:pPr>
      <w:pStyle w:val="Header"/>
    </w:pPr>
    <w:r>
      <w:rPr>
        <w:noProof/>
      </w:rPr>
      <w:pict w14:anchorId="192B9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BF26A" w14:textId="66A561D5" w:rsidR="00AB7488" w:rsidRDefault="00AB7488">
    <w:pPr>
      <w:pStyle w:val="Header"/>
    </w:pPr>
    <w:r>
      <w:rPr>
        <w:noProof/>
      </w:rPr>
      <w:pict w14:anchorId="6D7CC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91D"/>
    <w:multiLevelType w:val="hybridMultilevel"/>
    <w:tmpl w:val="0B8AF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B1253"/>
    <w:multiLevelType w:val="multilevel"/>
    <w:tmpl w:val="75CE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F6570"/>
    <w:multiLevelType w:val="hybridMultilevel"/>
    <w:tmpl w:val="82B6E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2640DF"/>
    <w:multiLevelType w:val="hybridMultilevel"/>
    <w:tmpl w:val="ECE6F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05C14"/>
    <w:multiLevelType w:val="hybridMultilevel"/>
    <w:tmpl w:val="5E3225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7052D5"/>
    <w:multiLevelType w:val="hybridMultilevel"/>
    <w:tmpl w:val="1BDE5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B85E2C"/>
    <w:multiLevelType w:val="hybridMultilevel"/>
    <w:tmpl w:val="0F8A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9D2C99"/>
    <w:multiLevelType w:val="multilevel"/>
    <w:tmpl w:val="3D7A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6A2DE8"/>
    <w:multiLevelType w:val="hybridMultilevel"/>
    <w:tmpl w:val="D7D6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196082"/>
    <w:multiLevelType w:val="multilevel"/>
    <w:tmpl w:val="2EFE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B566F8"/>
    <w:multiLevelType w:val="multilevel"/>
    <w:tmpl w:val="1CB24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F14297"/>
    <w:multiLevelType w:val="hybridMultilevel"/>
    <w:tmpl w:val="A7D05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8"/>
  </w:num>
  <w:num w:numId="6">
    <w:abstractNumId w:val="11"/>
  </w:num>
  <w:num w:numId="7">
    <w:abstractNumId w:val="3"/>
  </w:num>
  <w:num w:numId="8">
    <w:abstractNumId w:val="7"/>
  </w:num>
  <w:num w:numId="9">
    <w:abstractNumId w:val="10"/>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F7"/>
    <w:rsid w:val="000145E8"/>
    <w:rsid w:val="0004039B"/>
    <w:rsid w:val="000437AB"/>
    <w:rsid w:val="000A7584"/>
    <w:rsid w:val="00120AA7"/>
    <w:rsid w:val="00144E1D"/>
    <w:rsid w:val="00167597"/>
    <w:rsid w:val="001A505D"/>
    <w:rsid w:val="001B2444"/>
    <w:rsid w:val="001B410F"/>
    <w:rsid w:val="00241E15"/>
    <w:rsid w:val="00253C3E"/>
    <w:rsid w:val="00267DE6"/>
    <w:rsid w:val="00275930"/>
    <w:rsid w:val="00275EC2"/>
    <w:rsid w:val="00285CB3"/>
    <w:rsid w:val="00292311"/>
    <w:rsid w:val="00301E51"/>
    <w:rsid w:val="00321269"/>
    <w:rsid w:val="003302EA"/>
    <w:rsid w:val="00344C56"/>
    <w:rsid w:val="00360496"/>
    <w:rsid w:val="003B5F3B"/>
    <w:rsid w:val="003C2237"/>
    <w:rsid w:val="00400BB6"/>
    <w:rsid w:val="004116D7"/>
    <w:rsid w:val="00445F37"/>
    <w:rsid w:val="0051253C"/>
    <w:rsid w:val="005B6BD8"/>
    <w:rsid w:val="005C2F07"/>
    <w:rsid w:val="005F2165"/>
    <w:rsid w:val="006105A9"/>
    <w:rsid w:val="00627C2E"/>
    <w:rsid w:val="00641292"/>
    <w:rsid w:val="00646E08"/>
    <w:rsid w:val="006673AF"/>
    <w:rsid w:val="006B657B"/>
    <w:rsid w:val="006C07E3"/>
    <w:rsid w:val="006C5603"/>
    <w:rsid w:val="006D2A09"/>
    <w:rsid w:val="006D7F18"/>
    <w:rsid w:val="00754CB0"/>
    <w:rsid w:val="007563EB"/>
    <w:rsid w:val="00772D82"/>
    <w:rsid w:val="00776422"/>
    <w:rsid w:val="007C45A4"/>
    <w:rsid w:val="00804AC1"/>
    <w:rsid w:val="0081302A"/>
    <w:rsid w:val="00841F22"/>
    <w:rsid w:val="00844C48"/>
    <w:rsid w:val="00886C4E"/>
    <w:rsid w:val="008A189F"/>
    <w:rsid w:val="008C583A"/>
    <w:rsid w:val="008E1F8B"/>
    <w:rsid w:val="00930098"/>
    <w:rsid w:val="00972620"/>
    <w:rsid w:val="00976A56"/>
    <w:rsid w:val="009A5591"/>
    <w:rsid w:val="009D62F7"/>
    <w:rsid w:val="009E2062"/>
    <w:rsid w:val="00A51397"/>
    <w:rsid w:val="00A52DCA"/>
    <w:rsid w:val="00A84FBC"/>
    <w:rsid w:val="00AB7488"/>
    <w:rsid w:val="00B4000D"/>
    <w:rsid w:val="00B82320"/>
    <w:rsid w:val="00B8402A"/>
    <w:rsid w:val="00C674F0"/>
    <w:rsid w:val="00C87E64"/>
    <w:rsid w:val="00CA4452"/>
    <w:rsid w:val="00CE0CC6"/>
    <w:rsid w:val="00CF0F18"/>
    <w:rsid w:val="00CF5A1F"/>
    <w:rsid w:val="00D05FC3"/>
    <w:rsid w:val="00D71CE5"/>
    <w:rsid w:val="00D96AE3"/>
    <w:rsid w:val="00DC087E"/>
    <w:rsid w:val="00DE28AA"/>
    <w:rsid w:val="00E01CBE"/>
    <w:rsid w:val="00E107DB"/>
    <w:rsid w:val="00E340F1"/>
    <w:rsid w:val="00EB4CF7"/>
    <w:rsid w:val="00EB60E7"/>
    <w:rsid w:val="00F608C6"/>
    <w:rsid w:val="00F95B57"/>
    <w:rsid w:val="00FA0419"/>
    <w:rsid w:val="00FC1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4E7D66"/>
  <w15:docId w15:val="{AF598F80-B373-4308-9FE5-B1B3DF16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A7584"/>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C2F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62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62F7"/>
    <w:rPr>
      <w:b/>
      <w:bCs/>
    </w:rPr>
  </w:style>
  <w:style w:type="table" w:styleId="TableGrid">
    <w:name w:val="Table Grid"/>
    <w:basedOn w:val="TableNormal"/>
    <w:uiPriority w:val="59"/>
    <w:rsid w:val="009D6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2F7"/>
    <w:pPr>
      <w:ind w:left="720"/>
      <w:contextualSpacing/>
    </w:pPr>
  </w:style>
  <w:style w:type="character" w:customStyle="1" w:styleId="Heading3Char">
    <w:name w:val="Heading 3 Char"/>
    <w:basedOn w:val="DefaultParagraphFont"/>
    <w:link w:val="Heading3"/>
    <w:uiPriority w:val="9"/>
    <w:rsid w:val="000A7584"/>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302EA"/>
    <w:rPr>
      <w:i/>
      <w:iCs/>
    </w:rPr>
  </w:style>
  <w:style w:type="character" w:customStyle="1" w:styleId="Heading4Char">
    <w:name w:val="Heading 4 Char"/>
    <w:basedOn w:val="DefaultParagraphFont"/>
    <w:link w:val="Heading4"/>
    <w:uiPriority w:val="9"/>
    <w:semiHidden/>
    <w:rsid w:val="005C2F07"/>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CA4452"/>
    <w:rPr>
      <w:color w:val="0000FF" w:themeColor="hyperlink"/>
      <w:u w:val="single"/>
    </w:rPr>
  </w:style>
  <w:style w:type="paragraph" w:styleId="Header">
    <w:name w:val="header"/>
    <w:basedOn w:val="Normal"/>
    <w:link w:val="HeaderChar"/>
    <w:uiPriority w:val="99"/>
    <w:unhideWhenUsed/>
    <w:rsid w:val="00275E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EC2"/>
  </w:style>
  <w:style w:type="paragraph" w:styleId="Footer">
    <w:name w:val="footer"/>
    <w:basedOn w:val="Normal"/>
    <w:link w:val="FooterChar"/>
    <w:uiPriority w:val="99"/>
    <w:unhideWhenUsed/>
    <w:rsid w:val="00275E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EC2"/>
  </w:style>
  <w:style w:type="character" w:styleId="UnresolvedMention">
    <w:name w:val="Unresolved Mention"/>
    <w:basedOn w:val="DefaultParagraphFont"/>
    <w:uiPriority w:val="99"/>
    <w:semiHidden/>
    <w:unhideWhenUsed/>
    <w:rsid w:val="00EB4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9268">
      <w:bodyDiv w:val="1"/>
      <w:marLeft w:val="0"/>
      <w:marRight w:val="0"/>
      <w:marTop w:val="0"/>
      <w:marBottom w:val="0"/>
      <w:divBdr>
        <w:top w:val="none" w:sz="0" w:space="0" w:color="auto"/>
        <w:left w:val="none" w:sz="0" w:space="0" w:color="auto"/>
        <w:bottom w:val="none" w:sz="0" w:space="0" w:color="auto"/>
        <w:right w:val="none" w:sz="0" w:space="0" w:color="auto"/>
      </w:divBdr>
    </w:div>
    <w:div w:id="215701513">
      <w:bodyDiv w:val="1"/>
      <w:marLeft w:val="0"/>
      <w:marRight w:val="0"/>
      <w:marTop w:val="0"/>
      <w:marBottom w:val="0"/>
      <w:divBdr>
        <w:top w:val="none" w:sz="0" w:space="0" w:color="auto"/>
        <w:left w:val="none" w:sz="0" w:space="0" w:color="auto"/>
        <w:bottom w:val="none" w:sz="0" w:space="0" w:color="auto"/>
        <w:right w:val="none" w:sz="0" w:space="0" w:color="auto"/>
      </w:divBdr>
    </w:div>
    <w:div w:id="277642595">
      <w:bodyDiv w:val="1"/>
      <w:marLeft w:val="0"/>
      <w:marRight w:val="0"/>
      <w:marTop w:val="0"/>
      <w:marBottom w:val="0"/>
      <w:divBdr>
        <w:top w:val="none" w:sz="0" w:space="0" w:color="auto"/>
        <w:left w:val="none" w:sz="0" w:space="0" w:color="auto"/>
        <w:bottom w:val="none" w:sz="0" w:space="0" w:color="auto"/>
        <w:right w:val="none" w:sz="0" w:space="0" w:color="auto"/>
      </w:divBdr>
    </w:div>
    <w:div w:id="729813705">
      <w:bodyDiv w:val="1"/>
      <w:marLeft w:val="0"/>
      <w:marRight w:val="0"/>
      <w:marTop w:val="0"/>
      <w:marBottom w:val="0"/>
      <w:divBdr>
        <w:top w:val="none" w:sz="0" w:space="0" w:color="auto"/>
        <w:left w:val="none" w:sz="0" w:space="0" w:color="auto"/>
        <w:bottom w:val="none" w:sz="0" w:space="0" w:color="auto"/>
        <w:right w:val="none" w:sz="0" w:space="0" w:color="auto"/>
      </w:divBdr>
    </w:div>
    <w:div w:id="745105524">
      <w:bodyDiv w:val="1"/>
      <w:marLeft w:val="0"/>
      <w:marRight w:val="0"/>
      <w:marTop w:val="0"/>
      <w:marBottom w:val="0"/>
      <w:divBdr>
        <w:top w:val="none" w:sz="0" w:space="0" w:color="auto"/>
        <w:left w:val="none" w:sz="0" w:space="0" w:color="auto"/>
        <w:bottom w:val="none" w:sz="0" w:space="0" w:color="auto"/>
        <w:right w:val="none" w:sz="0" w:space="0" w:color="auto"/>
      </w:divBdr>
    </w:div>
    <w:div w:id="1039937511">
      <w:bodyDiv w:val="1"/>
      <w:marLeft w:val="0"/>
      <w:marRight w:val="0"/>
      <w:marTop w:val="0"/>
      <w:marBottom w:val="0"/>
      <w:divBdr>
        <w:top w:val="none" w:sz="0" w:space="0" w:color="auto"/>
        <w:left w:val="none" w:sz="0" w:space="0" w:color="auto"/>
        <w:bottom w:val="none" w:sz="0" w:space="0" w:color="auto"/>
        <w:right w:val="none" w:sz="0" w:space="0" w:color="auto"/>
      </w:divBdr>
    </w:div>
    <w:div w:id="1108617387">
      <w:bodyDiv w:val="1"/>
      <w:marLeft w:val="0"/>
      <w:marRight w:val="0"/>
      <w:marTop w:val="0"/>
      <w:marBottom w:val="0"/>
      <w:divBdr>
        <w:top w:val="none" w:sz="0" w:space="0" w:color="auto"/>
        <w:left w:val="none" w:sz="0" w:space="0" w:color="auto"/>
        <w:bottom w:val="none" w:sz="0" w:space="0" w:color="auto"/>
        <w:right w:val="none" w:sz="0" w:space="0" w:color="auto"/>
      </w:divBdr>
    </w:div>
    <w:div w:id="1178495854">
      <w:bodyDiv w:val="1"/>
      <w:marLeft w:val="0"/>
      <w:marRight w:val="0"/>
      <w:marTop w:val="0"/>
      <w:marBottom w:val="0"/>
      <w:divBdr>
        <w:top w:val="none" w:sz="0" w:space="0" w:color="auto"/>
        <w:left w:val="none" w:sz="0" w:space="0" w:color="auto"/>
        <w:bottom w:val="none" w:sz="0" w:space="0" w:color="auto"/>
        <w:right w:val="none" w:sz="0" w:space="0" w:color="auto"/>
      </w:divBdr>
    </w:div>
    <w:div w:id="1453093528">
      <w:bodyDiv w:val="1"/>
      <w:marLeft w:val="0"/>
      <w:marRight w:val="0"/>
      <w:marTop w:val="0"/>
      <w:marBottom w:val="0"/>
      <w:divBdr>
        <w:top w:val="none" w:sz="0" w:space="0" w:color="auto"/>
        <w:left w:val="none" w:sz="0" w:space="0" w:color="auto"/>
        <w:bottom w:val="none" w:sz="0" w:space="0" w:color="auto"/>
        <w:right w:val="none" w:sz="0" w:space="0" w:color="auto"/>
      </w:divBdr>
    </w:div>
    <w:div w:id="1522205873">
      <w:bodyDiv w:val="1"/>
      <w:marLeft w:val="0"/>
      <w:marRight w:val="0"/>
      <w:marTop w:val="0"/>
      <w:marBottom w:val="0"/>
      <w:divBdr>
        <w:top w:val="none" w:sz="0" w:space="0" w:color="auto"/>
        <w:left w:val="none" w:sz="0" w:space="0" w:color="auto"/>
        <w:bottom w:val="none" w:sz="0" w:space="0" w:color="auto"/>
        <w:right w:val="none" w:sz="0" w:space="0" w:color="auto"/>
      </w:divBdr>
    </w:div>
    <w:div w:id="1632249835">
      <w:bodyDiv w:val="1"/>
      <w:marLeft w:val="0"/>
      <w:marRight w:val="0"/>
      <w:marTop w:val="0"/>
      <w:marBottom w:val="0"/>
      <w:divBdr>
        <w:top w:val="none" w:sz="0" w:space="0" w:color="auto"/>
        <w:left w:val="none" w:sz="0" w:space="0" w:color="auto"/>
        <w:bottom w:val="none" w:sz="0" w:space="0" w:color="auto"/>
        <w:right w:val="none" w:sz="0" w:space="0" w:color="auto"/>
      </w:divBdr>
    </w:div>
    <w:div w:id="1804426569">
      <w:bodyDiv w:val="1"/>
      <w:marLeft w:val="0"/>
      <w:marRight w:val="0"/>
      <w:marTop w:val="0"/>
      <w:marBottom w:val="0"/>
      <w:divBdr>
        <w:top w:val="none" w:sz="0" w:space="0" w:color="auto"/>
        <w:left w:val="none" w:sz="0" w:space="0" w:color="auto"/>
        <w:bottom w:val="none" w:sz="0" w:space="0" w:color="auto"/>
        <w:right w:val="none" w:sz="0" w:space="0" w:color="auto"/>
      </w:divBdr>
    </w:div>
    <w:div w:id="184334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1A363-00DB-4F21-AE58-BA9D091C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11025</Words>
  <Characters>62847</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SDI 1084</cp:lastModifiedBy>
  <cp:revision>7</cp:revision>
  <dcterms:created xsi:type="dcterms:W3CDTF">2025-03-09T10:29:00Z</dcterms:created>
  <dcterms:modified xsi:type="dcterms:W3CDTF">2025-03-10T06:25:00Z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cdd05b47-de71-3cc9-8946-08943afedd36</vt:lpwstr>
  </property>
  <property fmtid="{D5CDD505-2E9C-101B-9397-08002B2CF9AE}" pid="24" name="Mendeley Citation Style_1">
    <vt:lpwstr>http://www.zotero.org/styles/vancouver-superscript</vt:lpwstr>
  </property>
</Properties>
</file>