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6FD3" w14:textId="1FF38289" w:rsidR="00754C9A" w:rsidRDefault="00093D83" w:rsidP="00441B6F">
      <w:pPr>
        <w:pStyle w:val="Title"/>
        <w:spacing w:after="0"/>
        <w:jc w:val="both"/>
        <w:rPr>
          <w:rFonts w:ascii="Arial" w:hAnsi="Arial" w:cs="Arial"/>
        </w:rPr>
      </w:pPr>
      <w:r w:rsidRPr="00093D83">
        <w:rPr>
          <w:rFonts w:ascii="Arial" w:hAnsi="Arial" w:cs="Arial"/>
        </w:rPr>
        <w:t>Systematic Review</w:t>
      </w:r>
    </w:p>
    <w:p w14:paraId="403B21E1" w14:textId="77777777" w:rsidR="00093D83" w:rsidRDefault="00093D83" w:rsidP="00441B6F">
      <w:pPr>
        <w:pStyle w:val="Title"/>
        <w:spacing w:after="0"/>
        <w:jc w:val="both"/>
        <w:rPr>
          <w:rFonts w:ascii="Arial" w:hAnsi="Arial" w:cs="Arial"/>
        </w:rPr>
      </w:pPr>
    </w:p>
    <w:p w14:paraId="1AF04F28" w14:textId="77777777" w:rsidR="00093D83" w:rsidRDefault="00093D83" w:rsidP="00531C5C">
      <w:pPr>
        <w:pStyle w:val="Author"/>
        <w:spacing w:line="240" w:lineRule="auto"/>
        <w:rPr>
          <w:rFonts w:ascii="Arial" w:hAnsi="Arial" w:cs="Arial"/>
          <w:bCs/>
          <w:iCs/>
          <w:kern w:val="28"/>
          <w:sz w:val="36"/>
        </w:rPr>
      </w:pPr>
    </w:p>
    <w:p w14:paraId="5D634922" w14:textId="43C5EBB5" w:rsidR="00A258C3" w:rsidRDefault="00531C5C" w:rsidP="00531C5C">
      <w:pPr>
        <w:pStyle w:val="Author"/>
        <w:spacing w:line="240" w:lineRule="auto"/>
        <w:rPr>
          <w:rFonts w:ascii="Arial" w:hAnsi="Arial" w:cs="Arial"/>
          <w:bCs/>
          <w:iCs/>
          <w:kern w:val="28"/>
          <w:sz w:val="36"/>
        </w:rPr>
      </w:pPr>
      <w:r w:rsidRPr="00531C5C">
        <w:rPr>
          <w:rFonts w:ascii="Arial" w:hAnsi="Arial" w:cs="Arial"/>
          <w:bCs/>
          <w:iCs/>
          <w:kern w:val="28"/>
          <w:sz w:val="36"/>
        </w:rPr>
        <w:t>Analysis of Risk Factors for Preeclampsia in Pregnant Women with Systemic Lupus Erythematosus: A Systematic Review</w:t>
      </w:r>
    </w:p>
    <w:p w14:paraId="3608FD51" w14:textId="77777777" w:rsidR="00531C5C" w:rsidRPr="00790ADA" w:rsidRDefault="00531C5C" w:rsidP="00531C5C">
      <w:pPr>
        <w:pStyle w:val="Author"/>
        <w:spacing w:line="240" w:lineRule="auto"/>
        <w:rPr>
          <w:rFonts w:ascii="Arial" w:hAnsi="Arial" w:cs="Arial"/>
          <w:sz w:val="36"/>
        </w:rPr>
      </w:pPr>
    </w:p>
    <w:p w14:paraId="564FC264" w14:textId="77777777" w:rsidR="00D87421" w:rsidRDefault="00D87421" w:rsidP="00531C5C">
      <w:pPr>
        <w:pStyle w:val="Affiliation"/>
        <w:spacing w:after="0" w:line="240" w:lineRule="auto"/>
        <w:rPr>
          <w:rFonts w:ascii="Arial" w:hAnsi="Arial" w:cs="Arial"/>
          <w:i/>
        </w:rPr>
      </w:pPr>
    </w:p>
    <w:p w14:paraId="7AB9A849" w14:textId="77777777" w:rsidR="00790ADA" w:rsidRDefault="00790ADA" w:rsidP="00441B6F">
      <w:pPr>
        <w:pStyle w:val="Affiliation"/>
        <w:spacing w:after="0" w:line="240" w:lineRule="auto"/>
        <w:jc w:val="both"/>
        <w:rPr>
          <w:rFonts w:ascii="Arial" w:hAnsi="Arial" w:cs="Arial"/>
        </w:rPr>
      </w:pPr>
    </w:p>
    <w:p w14:paraId="3F79FAF8" w14:textId="77777777" w:rsidR="002C57D2" w:rsidRPr="00FB3A86" w:rsidRDefault="002C57D2" w:rsidP="00441B6F">
      <w:pPr>
        <w:pStyle w:val="Affiliation"/>
        <w:spacing w:after="0" w:line="240" w:lineRule="auto"/>
        <w:jc w:val="both"/>
        <w:rPr>
          <w:rFonts w:ascii="Arial" w:hAnsi="Arial" w:cs="Arial"/>
        </w:rPr>
      </w:pPr>
    </w:p>
    <w:p w14:paraId="459DDF13" w14:textId="77777777" w:rsidR="00B01FCD" w:rsidRPr="00FB3A86" w:rsidRDefault="00494553" w:rsidP="00441B6F">
      <w:pPr>
        <w:pStyle w:val="Copyright"/>
        <w:spacing w:after="0" w:line="240" w:lineRule="auto"/>
        <w:jc w:val="both"/>
        <w:rPr>
          <w:rFonts w:ascii="Arial" w:hAnsi="Arial" w:cs="Arial"/>
        </w:rPr>
        <w:sectPr w:rsidR="00B01FCD" w:rsidRPr="00FB3A86" w:rsidSect="00F36A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97E02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483B3B8" w14:textId="5775BE5D" w:rsidR="00B01FCD" w:rsidRDefault="00B01FCD" w:rsidP="00853D1E">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B926F3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6A38F25" w14:textId="77777777" w:rsidTr="001E44FE">
        <w:tc>
          <w:tcPr>
            <w:tcW w:w="9576" w:type="dxa"/>
            <w:shd w:val="clear" w:color="auto" w:fill="F2F2F2"/>
          </w:tcPr>
          <w:p w14:paraId="1B0540DD" w14:textId="77777777"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Aims:</w:t>
            </w:r>
            <w:r w:rsidRPr="00BD1A0D">
              <w:rPr>
                <w:rFonts w:ascii="Arial" w:eastAsia="Calibri" w:hAnsi="Arial" w:cs="Arial"/>
                <w:szCs w:val="22"/>
              </w:rPr>
              <w:t xml:space="preserve"> To review the literature and analyze the main risk factors for the development of preeclampsia in women with Systemic Lupus Erythematosus. </w:t>
            </w:r>
          </w:p>
          <w:p w14:paraId="21539613" w14:textId="65C7768F"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Methodology:</w:t>
            </w:r>
            <w:r w:rsidRPr="00BD1A0D">
              <w:rPr>
                <w:rFonts w:ascii="Arial" w:eastAsia="Calibri" w:hAnsi="Arial" w:cs="Arial"/>
                <w:szCs w:val="22"/>
              </w:rPr>
              <w:t xml:space="preserve"> The study consists of a systematic review using the PRISMA 2020 guidelines through the search for articles in the PubMed, BVC/LILACS and Cochrane databases, covering clinical trials and observational studies published between 2013 and 2023. The articles were selected by two authors, using the Rayyan tool, and the divergences were analyzed by a third reviewer. A form previously defined by the authors was used to extract the main data from the studies and the quality of the articles was assessed using the Cochrane tool (ROBINS-I). Of the 171 articles initially selected, 9 met the inclusion and exclusion criteria, covering a total of 500,780 women. </w:t>
            </w:r>
          </w:p>
          <w:p w14:paraId="0B7D1F2B" w14:textId="171E9529"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Results:</w:t>
            </w:r>
            <w:r w:rsidRPr="00BD1A0D">
              <w:rPr>
                <w:rFonts w:ascii="Arial" w:eastAsia="Calibri" w:hAnsi="Arial" w:cs="Arial"/>
                <w:szCs w:val="22"/>
              </w:rPr>
              <w:t xml:space="preserve"> Lupus activity before and during pregnancy was identified as a risk factor for preeclampsia (95% CI 1.04-7.4 and 95% CI 1.0-9.1), as well as younger age (</w:t>
            </w:r>
            <w:r w:rsidR="00B21F25" w:rsidRPr="00B21F25">
              <w:rPr>
                <w:rFonts w:ascii="Arial" w:eastAsia="Calibri" w:hAnsi="Arial" w:cs="Arial"/>
                <w:i/>
                <w:iCs/>
                <w:szCs w:val="22"/>
              </w:rPr>
              <w:t>P</w:t>
            </w:r>
            <w:r w:rsidRPr="00BD1A0D">
              <w:rPr>
                <w:rFonts w:ascii="Arial" w:eastAsia="Calibri" w:hAnsi="Arial" w:cs="Arial"/>
                <w:szCs w:val="22"/>
              </w:rPr>
              <w:t xml:space="preserve"> &lt; 0.01), multiparity (95% CI 0.01-0.95) and high BMI (</w:t>
            </w:r>
            <w:r w:rsidR="00B21F25" w:rsidRPr="00B21F25">
              <w:rPr>
                <w:rFonts w:ascii="Arial" w:eastAsia="Calibri" w:hAnsi="Arial" w:cs="Arial"/>
                <w:i/>
                <w:iCs/>
                <w:szCs w:val="22"/>
              </w:rPr>
              <w:t>P</w:t>
            </w:r>
            <w:r w:rsidRPr="00BD1A0D">
              <w:rPr>
                <w:rFonts w:ascii="Arial" w:eastAsia="Calibri" w:hAnsi="Arial" w:cs="Arial"/>
                <w:szCs w:val="22"/>
              </w:rPr>
              <w:t xml:space="preserve"> = 0.026). Renal disease (95% CI 1.944-74.376), pregestational hypertension (95% CI 2.67-125.01), MAP value &gt; 95 mmHg (95% CI 24.39-999.99) and previous hematological disorders (95% CI 1.03-16.67), as well as lower estimated glomerular filtration rate (CI 95% 4.35–80.70), positive </w:t>
            </w:r>
            <w:proofErr w:type="spellStart"/>
            <w:r w:rsidRPr="00BD1A0D">
              <w:rPr>
                <w:rFonts w:ascii="Arial" w:eastAsia="Calibri" w:hAnsi="Arial" w:cs="Arial"/>
                <w:szCs w:val="22"/>
              </w:rPr>
              <w:t>aCL</w:t>
            </w:r>
            <w:proofErr w:type="spellEnd"/>
            <w:r w:rsidRPr="00BD1A0D">
              <w:rPr>
                <w:rFonts w:ascii="Arial" w:eastAsia="Calibri" w:hAnsi="Arial" w:cs="Arial"/>
                <w:szCs w:val="22"/>
              </w:rPr>
              <w:t xml:space="preserve">-IgM (95% CI 1.11–333.33), serum albumin &lt; 31.5 g/L (95% CI 2.07–47.62), serum uric acid ≥ 303 </w:t>
            </w:r>
            <w:proofErr w:type="spellStart"/>
            <w:r w:rsidRPr="00BD1A0D">
              <w:rPr>
                <w:rFonts w:ascii="Arial" w:eastAsia="Calibri" w:hAnsi="Arial" w:cs="Arial"/>
                <w:szCs w:val="22"/>
              </w:rPr>
              <w:t>μmol</w:t>
            </w:r>
            <w:proofErr w:type="spellEnd"/>
            <w:r w:rsidRPr="00BD1A0D">
              <w:rPr>
                <w:rFonts w:ascii="Arial" w:eastAsia="Calibri" w:hAnsi="Arial" w:cs="Arial"/>
                <w:szCs w:val="22"/>
              </w:rPr>
              <w:t xml:space="preserve">/L (95% CI 1.40–22.22), and 24-hour proteinuria ≥ 0.286 g (95% CI 2.43–83.33) also increased the risk for preeclampsia. Another predictor of risk was the use of prednisolone (OR=2.33), and a lower risk was identified with the use of antimalarial drugs (95% CI 0.08-0.53). </w:t>
            </w:r>
          </w:p>
          <w:p w14:paraId="66225F9F" w14:textId="20CB5671"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Conclusion:</w:t>
            </w:r>
            <w:r w:rsidRPr="00BD1A0D">
              <w:rPr>
                <w:rFonts w:ascii="Arial" w:eastAsia="Calibri" w:hAnsi="Arial" w:cs="Arial"/>
                <w:szCs w:val="22"/>
              </w:rPr>
              <w:t xml:space="preserve"> Certain factors associated with women with </w:t>
            </w:r>
            <w:r>
              <w:rPr>
                <w:rFonts w:ascii="Arial" w:eastAsia="Calibri" w:hAnsi="Arial" w:cs="Arial"/>
                <w:szCs w:val="22"/>
              </w:rPr>
              <w:t>L</w:t>
            </w:r>
            <w:r w:rsidRPr="00BD1A0D">
              <w:rPr>
                <w:rFonts w:ascii="Arial" w:eastAsia="Calibri" w:hAnsi="Arial" w:cs="Arial"/>
                <w:szCs w:val="22"/>
              </w:rPr>
              <w:t>upus contribute to the development of preeclampsia and their early identification may allow a</w:t>
            </w:r>
            <w:r>
              <w:rPr>
                <w:rFonts w:ascii="Arial" w:eastAsia="Calibri" w:hAnsi="Arial" w:cs="Arial"/>
                <w:szCs w:val="22"/>
              </w:rPr>
              <w:t xml:space="preserve"> </w:t>
            </w:r>
            <w:r w:rsidRPr="00BD1A0D">
              <w:rPr>
                <w:rFonts w:ascii="Arial" w:eastAsia="Calibri" w:hAnsi="Arial" w:cs="Arial"/>
                <w:szCs w:val="22"/>
              </w:rPr>
              <w:t>targeted follow-up to prevent and treat possible complications early.</w:t>
            </w:r>
          </w:p>
          <w:p w14:paraId="63956DD6" w14:textId="77777777" w:rsidR="00BD1A0D" w:rsidRPr="00BA1B01" w:rsidRDefault="00BD1A0D" w:rsidP="00441B6F">
            <w:pPr>
              <w:pStyle w:val="Body"/>
              <w:spacing w:after="0"/>
              <w:rPr>
                <w:rFonts w:ascii="Arial" w:eastAsia="Calibri" w:hAnsi="Arial" w:cs="Arial"/>
                <w:szCs w:val="22"/>
              </w:rPr>
            </w:pPr>
          </w:p>
        </w:tc>
      </w:tr>
    </w:tbl>
    <w:p w14:paraId="7BB76790" w14:textId="77777777" w:rsidR="00636EB2" w:rsidRDefault="00636EB2" w:rsidP="00441B6F">
      <w:pPr>
        <w:pStyle w:val="Body"/>
        <w:spacing w:after="0"/>
        <w:rPr>
          <w:rFonts w:ascii="Arial" w:hAnsi="Arial" w:cs="Arial"/>
          <w:i/>
        </w:rPr>
      </w:pPr>
    </w:p>
    <w:p w14:paraId="433AAC35" w14:textId="3CED4D63" w:rsidR="006519AC" w:rsidRPr="006519AC" w:rsidRDefault="006519AC" w:rsidP="00441B6F">
      <w:pPr>
        <w:pStyle w:val="Body"/>
        <w:spacing w:after="0"/>
        <w:rPr>
          <w:rFonts w:ascii="Arial" w:hAnsi="Arial" w:cs="Arial"/>
          <w:i/>
        </w:rPr>
      </w:pPr>
      <w:r>
        <w:rPr>
          <w:rFonts w:ascii="Arial" w:hAnsi="Arial" w:cs="Arial"/>
          <w:i/>
        </w:rPr>
        <w:t>Keywords</w:t>
      </w:r>
      <w:r w:rsidRPr="006519AC">
        <w:rPr>
          <w:rFonts w:ascii="Arial" w:hAnsi="Arial" w:cs="Arial"/>
          <w:i/>
        </w:rPr>
        <w:t>: Lupus Erythematosus, Systemic; Pre-Eclampsia; Pregnant Women; Risk Factors</w:t>
      </w:r>
    </w:p>
    <w:p w14:paraId="5ACA1317" w14:textId="77777777" w:rsidR="00505F06" w:rsidRPr="006519AC" w:rsidRDefault="00505F06" w:rsidP="00441B6F">
      <w:pPr>
        <w:pStyle w:val="Body"/>
        <w:spacing w:after="0"/>
        <w:rPr>
          <w:rFonts w:ascii="Arial" w:hAnsi="Arial" w:cs="Arial"/>
          <w:iCs/>
          <w:sz w:val="22"/>
          <w:szCs w:val="22"/>
        </w:rPr>
      </w:pPr>
    </w:p>
    <w:p w14:paraId="154B4448" w14:textId="4154E98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809BD" w14:textId="77777777" w:rsidR="00FA6645" w:rsidRPr="00FB3A86" w:rsidRDefault="00FA6645" w:rsidP="00441B6F">
      <w:pPr>
        <w:pStyle w:val="AbstHead"/>
        <w:spacing w:after="0"/>
        <w:jc w:val="both"/>
        <w:rPr>
          <w:rFonts w:ascii="Arial" w:hAnsi="Arial" w:cs="Arial"/>
        </w:rPr>
      </w:pPr>
    </w:p>
    <w:p w14:paraId="51A29732" w14:textId="19C89DC1" w:rsidR="00941B11" w:rsidRPr="00941B11" w:rsidRDefault="00941B11" w:rsidP="00941B11">
      <w:pPr>
        <w:pStyle w:val="Body"/>
        <w:ind w:firstLine="720"/>
        <w:rPr>
          <w:rFonts w:ascii="Arial" w:hAnsi="Arial" w:cs="Arial"/>
        </w:rPr>
      </w:pPr>
      <w:r w:rsidRPr="00941B11">
        <w:rPr>
          <w:rFonts w:ascii="Arial" w:hAnsi="Arial" w:cs="Arial"/>
        </w:rPr>
        <w:t xml:space="preserve">Systemic Lupus Erythematosus (SLE) is a chronic autoimmune and inflammatory disease characterized by periods of activity and remission. It can affect virtually all organs of the body, including the skin, joints, kidneys, and central nervous system. The etiology of the disease remains unknown, but its pathogenesis is known to involve an immunological cascade triggered by environmental and hormonal factors in genetically susceptible </w:t>
      </w:r>
      <w:r w:rsidRPr="00941B11">
        <w:rPr>
          <w:rFonts w:ascii="Arial" w:hAnsi="Arial" w:cs="Arial"/>
        </w:rPr>
        <w:lastRenderedPageBreak/>
        <w:t>individuals, particularly those with complement deficiency and the HLA DR2 gene</w:t>
      </w:r>
      <w:r w:rsidR="00725C90">
        <w:rPr>
          <w:rFonts w:ascii="Arial" w:hAnsi="Arial" w:cs="Arial"/>
        </w:rPr>
        <w:t xml:space="preserve"> (Carvalho </w:t>
      </w:r>
      <w:r w:rsidR="00377F9A" w:rsidRPr="00377F9A">
        <w:rPr>
          <w:rFonts w:ascii="Arial" w:hAnsi="Arial" w:cs="Arial"/>
          <w:i/>
        </w:rPr>
        <w:t>et al.</w:t>
      </w:r>
      <w:r w:rsidR="00725C90">
        <w:rPr>
          <w:rFonts w:ascii="Arial" w:hAnsi="Arial" w:cs="Arial"/>
        </w:rPr>
        <w:t>, 2019)</w:t>
      </w:r>
      <w:r w:rsidRPr="00941B11">
        <w:rPr>
          <w:rFonts w:ascii="Arial" w:hAnsi="Arial" w:cs="Arial"/>
        </w:rPr>
        <w:t>. Under certain stimuli, T and B lymphocytes specific to self-antigens become activated due to failures in the mechanisms responsible for self-tolerance, leading to the production of autoantibodies and the formation of immune complexes</w:t>
      </w:r>
      <w:r w:rsidR="00725C90">
        <w:rPr>
          <w:rFonts w:ascii="Arial" w:hAnsi="Arial" w:cs="Arial"/>
        </w:rPr>
        <w:t xml:space="preserve"> (Sawada </w:t>
      </w:r>
      <w:r w:rsidR="00377F9A" w:rsidRPr="00377F9A">
        <w:rPr>
          <w:rFonts w:ascii="Arial" w:hAnsi="Arial" w:cs="Arial"/>
          <w:i/>
        </w:rPr>
        <w:t>et al.</w:t>
      </w:r>
      <w:r w:rsidR="00725C90">
        <w:rPr>
          <w:rFonts w:ascii="Arial" w:hAnsi="Arial" w:cs="Arial"/>
        </w:rPr>
        <w:t>, 2019)</w:t>
      </w:r>
      <w:r w:rsidRPr="00941B11">
        <w:rPr>
          <w:rFonts w:ascii="Arial" w:hAnsi="Arial" w:cs="Arial"/>
        </w:rPr>
        <w:t>. Environmental and hormonal factors involved in SLE pathogenesis include ultraviolet radiation exposure, smoking, infections, medication use, and stress</w:t>
      </w:r>
      <w:r w:rsidR="00725C90">
        <w:rPr>
          <w:rFonts w:ascii="Arial" w:hAnsi="Arial" w:cs="Arial"/>
        </w:rPr>
        <w:t xml:space="preserve"> (Fava and Petri, 2019)</w:t>
      </w:r>
      <w:r w:rsidRPr="00941B11">
        <w:rPr>
          <w:rFonts w:ascii="Arial" w:hAnsi="Arial" w:cs="Arial"/>
        </w:rPr>
        <w:t>.</w:t>
      </w:r>
    </w:p>
    <w:p w14:paraId="658F3313" w14:textId="639C1DEA" w:rsidR="00941B11" w:rsidRPr="00941B11" w:rsidRDefault="00941B11" w:rsidP="00941B11">
      <w:pPr>
        <w:pStyle w:val="Body"/>
        <w:ind w:firstLine="720"/>
        <w:rPr>
          <w:rFonts w:ascii="Arial" w:hAnsi="Arial" w:cs="Arial"/>
        </w:rPr>
      </w:pPr>
      <w:r w:rsidRPr="00941B11">
        <w:rPr>
          <w:rFonts w:ascii="Arial" w:hAnsi="Arial" w:cs="Arial"/>
        </w:rPr>
        <w:t>Lupus predominantly affects women, with a 9:1 ratio compared to men, and is most common in young adults of reproductive age, with an average onset between 24 and 32 years</w:t>
      </w:r>
      <w:r w:rsidR="00725C90">
        <w:rPr>
          <w:rFonts w:ascii="Arial" w:hAnsi="Arial" w:cs="Arial"/>
        </w:rPr>
        <w:t xml:space="preserve"> (Pons-Estel </w:t>
      </w:r>
      <w:r w:rsidR="00377F9A" w:rsidRPr="00377F9A">
        <w:rPr>
          <w:rFonts w:ascii="Arial" w:hAnsi="Arial" w:cs="Arial"/>
          <w:i/>
        </w:rPr>
        <w:t>et al.</w:t>
      </w:r>
      <w:r w:rsidR="00725C90">
        <w:rPr>
          <w:rFonts w:ascii="Arial" w:hAnsi="Arial" w:cs="Arial"/>
        </w:rPr>
        <w:t>, 2017)</w:t>
      </w:r>
      <w:r w:rsidRPr="00941B11">
        <w:rPr>
          <w:rFonts w:ascii="Arial" w:hAnsi="Arial" w:cs="Arial"/>
        </w:rPr>
        <w:t>. Additionally, since SLE does not directly affect fertility, it is quite common to encounter pregnant women with lupus. However, during pregnancy, increased TH2 cell production and hormonal changes</w:t>
      </w:r>
      <w:r w:rsidR="00377F9A">
        <w:rPr>
          <w:rFonts w:ascii="Arial" w:hAnsi="Arial" w:cs="Arial"/>
        </w:rPr>
        <w:t xml:space="preserve">, </w:t>
      </w:r>
      <w:r w:rsidRPr="00941B11">
        <w:rPr>
          <w:rFonts w:ascii="Arial" w:hAnsi="Arial" w:cs="Arial"/>
        </w:rPr>
        <w:t>combined with the TH2-predominant immune response in lupus</w:t>
      </w:r>
      <w:r w:rsidR="00377F9A">
        <w:rPr>
          <w:rFonts w:ascii="Arial" w:hAnsi="Arial" w:cs="Arial"/>
        </w:rPr>
        <w:t xml:space="preserve">, </w:t>
      </w:r>
      <w:r w:rsidRPr="00941B11">
        <w:rPr>
          <w:rFonts w:ascii="Arial" w:hAnsi="Arial" w:cs="Arial"/>
        </w:rPr>
        <w:t>trigger a pro-inflammatory state, leading to greater disease activation and severity. For this reason, pregnant women with lupus have a higher risk of developing obstetric complications, such as preterm births, miscarriages, and preeclampsia</w:t>
      </w:r>
      <w:r w:rsidR="00725C90">
        <w:rPr>
          <w:rFonts w:ascii="Arial" w:hAnsi="Arial" w:cs="Arial"/>
        </w:rPr>
        <w:t xml:space="preserve"> (Maynard </w:t>
      </w:r>
      <w:r w:rsidR="00377F9A" w:rsidRPr="00377F9A">
        <w:rPr>
          <w:rFonts w:ascii="Arial" w:hAnsi="Arial" w:cs="Arial"/>
          <w:i/>
        </w:rPr>
        <w:t>et al.</w:t>
      </w:r>
      <w:r w:rsidR="00725C90">
        <w:rPr>
          <w:rFonts w:ascii="Arial" w:hAnsi="Arial" w:cs="Arial"/>
        </w:rPr>
        <w:t>, 2019)</w:t>
      </w:r>
      <w:r w:rsidRPr="00941B11">
        <w:rPr>
          <w:rFonts w:ascii="Arial" w:hAnsi="Arial" w:cs="Arial"/>
        </w:rPr>
        <w:t>.</w:t>
      </w:r>
    </w:p>
    <w:p w14:paraId="41A75EE8" w14:textId="71168214" w:rsidR="00941B11" w:rsidRPr="00941B11" w:rsidRDefault="00941B11" w:rsidP="00941B11">
      <w:pPr>
        <w:pStyle w:val="Body"/>
        <w:ind w:firstLine="720"/>
        <w:rPr>
          <w:rFonts w:ascii="Arial" w:hAnsi="Arial" w:cs="Arial"/>
        </w:rPr>
      </w:pPr>
      <w:r w:rsidRPr="00941B11">
        <w:rPr>
          <w:rFonts w:ascii="Arial" w:hAnsi="Arial" w:cs="Arial"/>
        </w:rPr>
        <w:t>In this group of patients, preeclampsia (PE) is one of the most significant complications, occurring in 16–30% of pregnant women with lupus, compared to a prevalence of 5–7% in healthy women</w:t>
      </w:r>
      <w:r w:rsidR="00725C90">
        <w:rPr>
          <w:rFonts w:ascii="Arial" w:hAnsi="Arial" w:cs="Arial"/>
        </w:rPr>
        <w:t xml:space="preserve"> (Lateef and Petri, 2017)</w:t>
      </w:r>
      <w:r w:rsidRPr="00941B11">
        <w:rPr>
          <w:rFonts w:ascii="Arial" w:hAnsi="Arial" w:cs="Arial"/>
        </w:rPr>
        <w:t>. This syndrome is characterized by elevated systemic blood pressure, usually associated with proteinuria or significant target organ dysfunction, in a patient beyond 20 weeks of gestation</w:t>
      </w:r>
      <w:r w:rsidR="00725C90">
        <w:rPr>
          <w:rFonts w:ascii="Arial" w:hAnsi="Arial" w:cs="Arial"/>
        </w:rPr>
        <w:t xml:space="preserve"> (ACOG, 2020)</w:t>
      </w:r>
      <w:r w:rsidRPr="00941B11">
        <w:rPr>
          <w:rFonts w:ascii="Arial" w:hAnsi="Arial" w:cs="Arial"/>
        </w:rPr>
        <w:t>. Its pathogenesis is not fully understood but is known to involve superficial trophoblast invasion into the uterus and abnormal placentation, resulting in incomplete remodeling of spiral arteries. Consequently, there is an exaggerated maternal inflammatory response and widespread endothelial dysfunction, increasing the risk of potentially severe and fatal events, such as seizures, cerebral hemorrhage, stroke, placental abruption, liver failure, and pulmonary edema</w:t>
      </w:r>
      <w:r w:rsidR="00725C90">
        <w:rPr>
          <w:rFonts w:ascii="Arial" w:hAnsi="Arial" w:cs="Arial"/>
        </w:rPr>
        <w:t xml:space="preserve"> (Opichka </w:t>
      </w:r>
      <w:r w:rsidR="00377F9A" w:rsidRPr="00377F9A">
        <w:rPr>
          <w:rFonts w:ascii="Arial" w:hAnsi="Arial" w:cs="Arial"/>
          <w:i/>
        </w:rPr>
        <w:t>et al.</w:t>
      </w:r>
      <w:r w:rsidR="00725C90">
        <w:rPr>
          <w:rFonts w:ascii="Arial" w:hAnsi="Arial" w:cs="Arial"/>
        </w:rPr>
        <w:t>, 2021)</w:t>
      </w:r>
      <w:r w:rsidRPr="00941B11">
        <w:rPr>
          <w:rFonts w:ascii="Arial" w:hAnsi="Arial" w:cs="Arial"/>
        </w:rPr>
        <w:t xml:space="preserve">.  </w:t>
      </w:r>
    </w:p>
    <w:p w14:paraId="4CF0BF8D" w14:textId="716F3A4A" w:rsidR="00941B11" w:rsidRPr="00941B11" w:rsidRDefault="00941B11" w:rsidP="00941B11">
      <w:pPr>
        <w:pStyle w:val="Body"/>
        <w:ind w:firstLine="720"/>
        <w:rPr>
          <w:rFonts w:ascii="Arial" w:hAnsi="Arial" w:cs="Arial"/>
        </w:rPr>
      </w:pPr>
      <w:r w:rsidRPr="00941B11">
        <w:rPr>
          <w:rFonts w:ascii="Arial" w:hAnsi="Arial" w:cs="Arial"/>
        </w:rPr>
        <w:t>General risk factors for preeclampsia in women include a family history of the condition, advanced maternal age, pre-existing hypertension or diabetes, and obesity, among others. In women with lupus, the reasons for the increased risk are unclear, but some predictors, such as the presence of antiphospholipid antibodies and hypocomplementemia, as well as mechanisms involving inflammation and microangiopathy, may be associated with the development of this hypertensive condition</w:t>
      </w:r>
      <w:r w:rsidR="00725C90">
        <w:rPr>
          <w:rFonts w:ascii="Arial" w:hAnsi="Arial" w:cs="Arial"/>
        </w:rPr>
        <w:t xml:space="preserve"> (Dalal </w:t>
      </w:r>
      <w:r w:rsidR="00377F9A" w:rsidRPr="00377F9A">
        <w:rPr>
          <w:rFonts w:ascii="Arial" w:hAnsi="Arial" w:cs="Arial"/>
          <w:i/>
        </w:rPr>
        <w:t>et al.</w:t>
      </w:r>
      <w:r w:rsidR="00725C90">
        <w:rPr>
          <w:rFonts w:ascii="Arial" w:hAnsi="Arial" w:cs="Arial"/>
        </w:rPr>
        <w:t xml:space="preserve">, 2019; Silva </w:t>
      </w:r>
      <w:r w:rsidR="00377F9A" w:rsidRPr="00377F9A">
        <w:rPr>
          <w:rFonts w:ascii="Arial" w:hAnsi="Arial" w:cs="Arial"/>
          <w:i/>
        </w:rPr>
        <w:t>et al.</w:t>
      </w:r>
      <w:r w:rsidR="00725C90">
        <w:rPr>
          <w:rFonts w:ascii="Arial" w:hAnsi="Arial" w:cs="Arial"/>
        </w:rPr>
        <w:t>, 2021)</w:t>
      </w:r>
      <w:r w:rsidRPr="00941B11">
        <w:rPr>
          <w:rFonts w:ascii="Arial" w:hAnsi="Arial" w:cs="Arial"/>
        </w:rPr>
        <w:t xml:space="preserve">.  </w:t>
      </w:r>
    </w:p>
    <w:p w14:paraId="4AF152D2" w14:textId="77058954" w:rsidR="00941B11" w:rsidRPr="00941B11" w:rsidRDefault="00941B11" w:rsidP="00941B11">
      <w:pPr>
        <w:pStyle w:val="Body"/>
        <w:ind w:firstLine="720"/>
        <w:rPr>
          <w:rFonts w:ascii="Arial" w:hAnsi="Arial" w:cs="Arial"/>
        </w:rPr>
      </w:pPr>
      <w:r w:rsidRPr="00941B11">
        <w:rPr>
          <w:rFonts w:ascii="Arial" w:hAnsi="Arial" w:cs="Arial"/>
        </w:rPr>
        <w:t>Preeclampsia can affect multiple organs and cause severe systemic repercussions for both the mother and fetus, such as disseminated intravascular coagulation, acute kidney injury, acute pulmonary edema, intracranial hemorrhage, and hepatic rupture</w:t>
      </w:r>
      <w:r w:rsidR="00725C90">
        <w:rPr>
          <w:rFonts w:ascii="Arial" w:hAnsi="Arial" w:cs="Arial"/>
        </w:rPr>
        <w:t xml:space="preserve"> (</w:t>
      </w:r>
      <w:proofErr w:type="spellStart"/>
      <w:r w:rsidR="00725C90">
        <w:rPr>
          <w:rFonts w:ascii="Arial" w:hAnsi="Arial" w:cs="Arial"/>
        </w:rPr>
        <w:t>Kahhale</w:t>
      </w:r>
      <w:proofErr w:type="spellEnd"/>
      <w:r w:rsidR="00725C90">
        <w:rPr>
          <w:rFonts w:ascii="Arial" w:hAnsi="Arial" w:cs="Arial"/>
        </w:rPr>
        <w:t xml:space="preserve"> </w:t>
      </w:r>
      <w:r w:rsidR="00377F9A" w:rsidRPr="00377F9A">
        <w:rPr>
          <w:rFonts w:ascii="Arial" w:hAnsi="Arial" w:cs="Arial"/>
          <w:i/>
        </w:rPr>
        <w:t>et al.</w:t>
      </w:r>
      <w:r w:rsidR="00725C90">
        <w:rPr>
          <w:rFonts w:ascii="Arial" w:hAnsi="Arial" w:cs="Arial"/>
        </w:rPr>
        <w:t>, 2018)</w:t>
      </w:r>
      <w:r w:rsidRPr="00941B11">
        <w:rPr>
          <w:rFonts w:ascii="Arial" w:hAnsi="Arial" w:cs="Arial"/>
        </w:rPr>
        <w:t xml:space="preserve">. Identifying risk factors for preeclampsia in women with systemic lupus erythematosus can help prevent these complications by enabling closer monitoring during pregnancy and the use of specific tests that may facilitate early treatment.  </w:t>
      </w:r>
    </w:p>
    <w:p w14:paraId="73251169" w14:textId="270330E3" w:rsidR="00360A30" w:rsidRDefault="00941B11" w:rsidP="00941B11">
      <w:pPr>
        <w:pStyle w:val="Body"/>
        <w:spacing w:after="0"/>
        <w:ind w:firstLine="720"/>
        <w:rPr>
          <w:rFonts w:ascii="Arial" w:hAnsi="Arial" w:cs="Arial"/>
        </w:rPr>
      </w:pPr>
      <w:r w:rsidRPr="00941B11">
        <w:rPr>
          <w:rFonts w:ascii="Arial" w:hAnsi="Arial" w:cs="Arial"/>
        </w:rPr>
        <w:t>Thus, the objective of this study is to analyze the primary risk predictors for developing preeclampsia in women with systemic lupus erythematosus, aiming to prevent this hypertensive condition and improve the safety and quality of life for these patients.</w:t>
      </w:r>
    </w:p>
    <w:p w14:paraId="46A2A909" w14:textId="34836407" w:rsidR="00790ADA" w:rsidRPr="00FB3A86" w:rsidRDefault="00790ADA" w:rsidP="00441B6F">
      <w:pPr>
        <w:pStyle w:val="Body"/>
        <w:spacing w:after="0"/>
        <w:rPr>
          <w:rFonts w:ascii="Arial" w:hAnsi="Arial" w:cs="Arial"/>
        </w:rPr>
      </w:pPr>
    </w:p>
    <w:p w14:paraId="693BAB37" w14:textId="71A4482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1243ADE" w14:textId="77777777" w:rsidR="00790ADA" w:rsidRPr="00FB3A86" w:rsidRDefault="00790ADA" w:rsidP="00441B6F">
      <w:pPr>
        <w:pStyle w:val="AbstHead"/>
        <w:spacing w:after="0"/>
        <w:jc w:val="both"/>
        <w:rPr>
          <w:rFonts w:ascii="Arial" w:hAnsi="Arial" w:cs="Arial"/>
        </w:rPr>
      </w:pPr>
    </w:p>
    <w:p w14:paraId="11EE9652" w14:textId="32F8C872" w:rsidR="00A03B96" w:rsidRDefault="00941B11" w:rsidP="00941B11">
      <w:pPr>
        <w:pStyle w:val="Body"/>
        <w:spacing w:after="0"/>
        <w:ind w:firstLine="720"/>
        <w:rPr>
          <w:rFonts w:ascii="Arial" w:hAnsi="Arial" w:cs="Arial"/>
        </w:rPr>
      </w:pPr>
      <w:r w:rsidRPr="00941B11">
        <w:rPr>
          <w:rFonts w:ascii="Arial" w:hAnsi="Arial" w:cs="Arial"/>
        </w:rPr>
        <w:t xml:space="preserve">The present study is a systematic review of the literature, with data obtained from updated sources using systematic methods to identify, select, and critically evaluate the risk predictors for preeclampsia in pregnant women with Systemic Lupus Erythematosus. This review followed the recommendations outlined by the Preferred Reporting Items for </w:t>
      </w:r>
      <w:r w:rsidRPr="00941B11">
        <w:rPr>
          <w:rFonts w:ascii="Arial" w:hAnsi="Arial" w:cs="Arial"/>
        </w:rPr>
        <w:lastRenderedPageBreak/>
        <w:t>Systematic Review and Meta-Analyses (PRISMA) (Figure 1), and the review protocol was registered in the International Prospective Register of Systematic Reviews (PROSPERO) under the registration number CRD42024581541.</w:t>
      </w:r>
    </w:p>
    <w:p w14:paraId="7E2EB4BF" w14:textId="77777777" w:rsidR="00790ADA" w:rsidRPr="00FB3A86" w:rsidRDefault="00790ADA" w:rsidP="00441B6F">
      <w:pPr>
        <w:pStyle w:val="Body"/>
        <w:spacing w:after="0"/>
        <w:rPr>
          <w:rFonts w:ascii="Arial" w:hAnsi="Arial" w:cs="Arial"/>
        </w:rPr>
      </w:pPr>
    </w:p>
    <w:p w14:paraId="5D4AC76E" w14:textId="516909CF" w:rsidR="00B21F25" w:rsidRDefault="00AA74E0" w:rsidP="00B21F25">
      <w:pPr>
        <w:pStyle w:val="Body"/>
        <w:spacing w:after="0"/>
        <w:jc w:val="left"/>
        <w:rPr>
          <w:rFonts w:ascii="Arial" w:hAnsi="Arial" w:cs="Arial"/>
          <w:b/>
          <w:sz w:val="22"/>
        </w:rPr>
      </w:pPr>
      <w:r w:rsidRPr="00C30A0F">
        <w:rPr>
          <w:rFonts w:ascii="Arial" w:hAnsi="Arial" w:cs="Arial"/>
          <w:b/>
          <w:caps/>
          <w:sz w:val="22"/>
        </w:rPr>
        <w:t xml:space="preserve">2.1 </w:t>
      </w:r>
      <w:r w:rsidR="00941B11" w:rsidRPr="00941B11">
        <w:rPr>
          <w:rFonts w:ascii="Arial" w:hAnsi="Arial" w:cs="Arial"/>
          <w:b/>
          <w:sz w:val="22"/>
        </w:rPr>
        <w:t>Identifying the research question</w:t>
      </w:r>
    </w:p>
    <w:p w14:paraId="548FF12E" w14:textId="503AE1FA" w:rsidR="00790ADA" w:rsidRDefault="00790ADA" w:rsidP="00941B11">
      <w:pPr>
        <w:pStyle w:val="Body"/>
        <w:spacing w:after="0"/>
        <w:rPr>
          <w:rFonts w:ascii="Arial" w:hAnsi="Arial" w:cs="Arial"/>
          <w:sz w:val="22"/>
          <w:szCs w:val="22"/>
        </w:rPr>
      </w:pPr>
    </w:p>
    <w:p w14:paraId="18444556" w14:textId="2EAD5CC2" w:rsidR="006519AC" w:rsidRDefault="00941B11" w:rsidP="00941B11">
      <w:pPr>
        <w:pStyle w:val="Body"/>
        <w:spacing w:after="0"/>
        <w:ind w:firstLine="720"/>
        <w:rPr>
          <w:rFonts w:ascii="Arial" w:hAnsi="Arial" w:cs="Arial"/>
        </w:rPr>
      </w:pPr>
      <w:r w:rsidRPr="00941B11">
        <w:rPr>
          <w:rFonts w:ascii="Arial" w:hAnsi="Arial" w:cs="Arial"/>
        </w:rPr>
        <w:t>The guiding question for this review was formulated using the PICO strategy, which analyzes the relationship between events based on its components. In this acronym, the Population targeted by the research is defined, followed by the Intervention to be studied, the Comparison with other interventions, and the Outcome intended to be achieved. For this study, the "Comparison" component was excluded, as the objective of this review was to analyze the risk factors involved in the occurrence of preeclampsia, making the comparison of different interventions non-essential.</w:t>
      </w:r>
    </w:p>
    <w:p w14:paraId="0A9D2481" w14:textId="5B27230B" w:rsidR="00941B11" w:rsidRPr="00941B11" w:rsidRDefault="00941B11" w:rsidP="00941B11">
      <w:pPr>
        <w:pStyle w:val="Body"/>
        <w:spacing w:after="0"/>
        <w:ind w:firstLine="720"/>
        <w:rPr>
          <w:rFonts w:ascii="Arial" w:hAnsi="Arial" w:cs="Arial"/>
        </w:rPr>
      </w:pPr>
      <w:r w:rsidRPr="00941B11">
        <w:rPr>
          <w:rFonts w:ascii="Arial" w:hAnsi="Arial" w:cs="Arial"/>
        </w:rPr>
        <w:t>Thus, the guiding question of this review was: “What are the risk factors for the occurrence of pre-eclampsia in pregnant women with Systemic Lupus Erythematosus?”.</w:t>
      </w:r>
    </w:p>
    <w:p w14:paraId="566E8994" w14:textId="77777777" w:rsidR="00941B11" w:rsidRDefault="00941B11" w:rsidP="00441B6F">
      <w:pPr>
        <w:pStyle w:val="Body"/>
        <w:spacing w:after="0"/>
        <w:rPr>
          <w:rFonts w:ascii="Arial" w:hAnsi="Arial" w:cs="Arial"/>
          <w:sz w:val="22"/>
          <w:szCs w:val="22"/>
        </w:rPr>
      </w:pPr>
    </w:p>
    <w:p w14:paraId="41AA5540" w14:textId="485C040C" w:rsidR="00B21F25" w:rsidRPr="00B21F25" w:rsidRDefault="00B21F25" w:rsidP="00441B6F">
      <w:pPr>
        <w:pStyle w:val="Body"/>
        <w:spacing w:after="0"/>
        <w:rPr>
          <w:rFonts w:ascii="Arial" w:hAnsi="Arial" w:cs="Arial"/>
          <w:b/>
          <w:bCs/>
        </w:rPr>
      </w:pPr>
      <w:r w:rsidRPr="00B21F25">
        <w:rPr>
          <w:rFonts w:ascii="Arial" w:hAnsi="Arial" w:cs="Arial"/>
          <w:b/>
          <w:bCs/>
        </w:rPr>
        <w:t xml:space="preserve">Table 1. </w:t>
      </w:r>
      <w:r w:rsidR="00941B11" w:rsidRPr="00941B11">
        <w:rPr>
          <w:rFonts w:ascii="Arial" w:hAnsi="Arial" w:cs="Arial"/>
          <w:b/>
          <w:bCs/>
        </w:rPr>
        <w:t>Description of the research question formulation strategy</w:t>
      </w:r>
    </w:p>
    <w:p w14:paraId="01C8AA8A" w14:textId="77777777" w:rsidR="00B21F25" w:rsidRPr="00B21F25" w:rsidRDefault="00B21F25" w:rsidP="00441B6F">
      <w:pPr>
        <w:pStyle w:val="Body"/>
        <w:spacing w:after="0"/>
        <w:rPr>
          <w:rFonts w:ascii="Arial" w:hAnsi="Arial" w:cs="Arial"/>
        </w:rPr>
      </w:pPr>
    </w:p>
    <w:tbl>
      <w:tblPr>
        <w:tblStyle w:val="Tabelacomgrade1"/>
        <w:tblW w:w="8762" w:type="dxa"/>
        <w:tblLook w:val="04A0" w:firstRow="1" w:lastRow="0" w:firstColumn="1" w:lastColumn="0" w:noHBand="0" w:noVBand="1"/>
      </w:tblPr>
      <w:tblGrid>
        <w:gridCol w:w="2920"/>
        <w:gridCol w:w="2920"/>
        <w:gridCol w:w="2922"/>
      </w:tblGrid>
      <w:tr w:rsidR="009B1D6F" w:rsidRPr="00B21F25" w14:paraId="2CFC9565" w14:textId="77777777" w:rsidTr="006D3ECA">
        <w:trPr>
          <w:trHeight w:val="340"/>
        </w:trPr>
        <w:tc>
          <w:tcPr>
            <w:tcW w:w="2920" w:type="dxa"/>
            <w:tcBorders>
              <w:top w:val="single" w:sz="12" w:space="0" w:color="auto"/>
              <w:left w:val="nil"/>
              <w:bottom w:val="single" w:sz="12" w:space="0" w:color="auto"/>
              <w:right w:val="nil"/>
            </w:tcBorders>
          </w:tcPr>
          <w:p w14:paraId="4F84AA8D" w14:textId="24F78E02" w:rsidR="009B1D6F" w:rsidRPr="00B21F25" w:rsidRDefault="00941B11" w:rsidP="009B1D6F">
            <w:pPr>
              <w:spacing w:line="360" w:lineRule="auto"/>
              <w:jc w:val="both"/>
              <w:rPr>
                <w:rFonts w:ascii="Arial" w:hAnsi="Arial" w:cs="Arial"/>
                <w:b/>
                <w:sz w:val="20"/>
                <w:szCs w:val="20"/>
              </w:rPr>
            </w:pPr>
            <w:r w:rsidRPr="00941B11">
              <w:rPr>
                <w:rFonts w:ascii="Arial" w:hAnsi="Arial" w:cs="Arial"/>
                <w:b/>
                <w:sz w:val="20"/>
                <w:szCs w:val="20"/>
              </w:rPr>
              <w:t>Acronym</w:t>
            </w:r>
          </w:p>
        </w:tc>
        <w:tc>
          <w:tcPr>
            <w:tcW w:w="2920" w:type="dxa"/>
            <w:tcBorders>
              <w:top w:val="single" w:sz="12" w:space="0" w:color="auto"/>
              <w:left w:val="nil"/>
              <w:bottom w:val="single" w:sz="12" w:space="0" w:color="auto"/>
              <w:right w:val="nil"/>
            </w:tcBorders>
          </w:tcPr>
          <w:p w14:paraId="2F8FC4A1" w14:textId="1541B5BE" w:rsidR="009B1D6F" w:rsidRPr="00B21F25" w:rsidRDefault="009B1D6F" w:rsidP="009B1D6F">
            <w:pPr>
              <w:spacing w:line="360" w:lineRule="auto"/>
              <w:jc w:val="both"/>
              <w:rPr>
                <w:rFonts w:ascii="Arial" w:hAnsi="Arial" w:cs="Arial"/>
                <w:b/>
                <w:sz w:val="20"/>
                <w:szCs w:val="20"/>
              </w:rPr>
            </w:pPr>
            <w:r w:rsidRPr="00B21F25">
              <w:rPr>
                <w:rFonts w:ascii="Arial" w:hAnsi="Arial" w:cs="Arial"/>
                <w:b/>
                <w:sz w:val="20"/>
                <w:szCs w:val="20"/>
              </w:rPr>
              <w:t>Defini</w:t>
            </w:r>
            <w:r w:rsidR="00941B11">
              <w:rPr>
                <w:rFonts w:ascii="Arial" w:hAnsi="Arial" w:cs="Arial"/>
                <w:b/>
                <w:sz w:val="20"/>
                <w:szCs w:val="20"/>
              </w:rPr>
              <w:t>tion</w:t>
            </w:r>
          </w:p>
        </w:tc>
        <w:tc>
          <w:tcPr>
            <w:tcW w:w="2922" w:type="dxa"/>
            <w:tcBorders>
              <w:top w:val="single" w:sz="12" w:space="0" w:color="auto"/>
              <w:left w:val="nil"/>
              <w:bottom w:val="single" w:sz="12" w:space="0" w:color="auto"/>
              <w:right w:val="nil"/>
            </w:tcBorders>
          </w:tcPr>
          <w:p w14:paraId="3977336C" w14:textId="04BB3E73" w:rsidR="009B1D6F" w:rsidRPr="00B21F25" w:rsidRDefault="009B1D6F" w:rsidP="009B1D6F">
            <w:pPr>
              <w:spacing w:line="360" w:lineRule="auto"/>
              <w:jc w:val="both"/>
              <w:rPr>
                <w:rFonts w:ascii="Arial" w:hAnsi="Arial" w:cs="Arial"/>
                <w:b/>
                <w:sz w:val="20"/>
                <w:szCs w:val="20"/>
              </w:rPr>
            </w:pPr>
            <w:r w:rsidRPr="00B21F25">
              <w:rPr>
                <w:rFonts w:ascii="Arial" w:hAnsi="Arial" w:cs="Arial"/>
                <w:b/>
                <w:sz w:val="20"/>
                <w:szCs w:val="20"/>
              </w:rPr>
              <w:t>Denomin</w:t>
            </w:r>
            <w:r w:rsidR="00941B11">
              <w:rPr>
                <w:rFonts w:ascii="Arial" w:hAnsi="Arial" w:cs="Arial"/>
                <w:b/>
                <w:sz w:val="20"/>
                <w:szCs w:val="20"/>
              </w:rPr>
              <w:t>ation</w:t>
            </w:r>
          </w:p>
        </w:tc>
      </w:tr>
      <w:tr w:rsidR="009B1D6F" w:rsidRPr="00B21F25" w14:paraId="22F94E69" w14:textId="77777777" w:rsidTr="00B21F25">
        <w:trPr>
          <w:trHeight w:val="340"/>
        </w:trPr>
        <w:tc>
          <w:tcPr>
            <w:tcW w:w="2920" w:type="dxa"/>
            <w:tcBorders>
              <w:top w:val="single" w:sz="12" w:space="0" w:color="auto"/>
              <w:left w:val="nil"/>
              <w:bottom w:val="nil"/>
              <w:right w:val="nil"/>
            </w:tcBorders>
          </w:tcPr>
          <w:p w14:paraId="70FC1164" w14:textId="77777777"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P</w:t>
            </w:r>
          </w:p>
        </w:tc>
        <w:tc>
          <w:tcPr>
            <w:tcW w:w="2920" w:type="dxa"/>
            <w:tcBorders>
              <w:top w:val="single" w:sz="12" w:space="0" w:color="auto"/>
              <w:left w:val="nil"/>
              <w:bottom w:val="nil"/>
              <w:right w:val="nil"/>
            </w:tcBorders>
          </w:tcPr>
          <w:p w14:paraId="11341108" w14:textId="63EA1BCF"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Popula</w:t>
            </w:r>
            <w:r w:rsidR="00941B11">
              <w:rPr>
                <w:rFonts w:ascii="Arial" w:hAnsi="Arial" w:cs="Arial"/>
                <w:sz w:val="20"/>
                <w:szCs w:val="20"/>
              </w:rPr>
              <w:t>tion</w:t>
            </w:r>
          </w:p>
        </w:tc>
        <w:tc>
          <w:tcPr>
            <w:tcW w:w="2922" w:type="dxa"/>
            <w:tcBorders>
              <w:top w:val="single" w:sz="12" w:space="0" w:color="auto"/>
              <w:left w:val="nil"/>
              <w:bottom w:val="nil"/>
              <w:right w:val="nil"/>
            </w:tcBorders>
          </w:tcPr>
          <w:p w14:paraId="157E225F" w14:textId="0CE7142A" w:rsidR="009B1D6F" w:rsidRPr="00B21F25" w:rsidRDefault="00941B11" w:rsidP="009B1D6F">
            <w:pPr>
              <w:spacing w:line="360" w:lineRule="auto"/>
              <w:jc w:val="both"/>
              <w:rPr>
                <w:rFonts w:ascii="Arial" w:hAnsi="Arial" w:cs="Arial"/>
                <w:sz w:val="20"/>
                <w:szCs w:val="20"/>
              </w:rPr>
            </w:pPr>
            <w:r w:rsidRPr="00941B11">
              <w:rPr>
                <w:rFonts w:ascii="Arial" w:hAnsi="Arial" w:cs="Arial"/>
                <w:sz w:val="20"/>
                <w:szCs w:val="20"/>
              </w:rPr>
              <w:t>Pregnant women with SLE</w:t>
            </w:r>
          </w:p>
        </w:tc>
      </w:tr>
      <w:tr w:rsidR="009B1D6F" w:rsidRPr="00B21F25" w14:paraId="77D02404" w14:textId="77777777" w:rsidTr="00B21F25">
        <w:trPr>
          <w:trHeight w:val="340"/>
        </w:trPr>
        <w:tc>
          <w:tcPr>
            <w:tcW w:w="2920" w:type="dxa"/>
            <w:tcBorders>
              <w:top w:val="nil"/>
              <w:left w:val="nil"/>
              <w:bottom w:val="nil"/>
              <w:right w:val="nil"/>
            </w:tcBorders>
          </w:tcPr>
          <w:p w14:paraId="5141D8F3" w14:textId="77777777"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I</w:t>
            </w:r>
          </w:p>
        </w:tc>
        <w:tc>
          <w:tcPr>
            <w:tcW w:w="2920" w:type="dxa"/>
            <w:tcBorders>
              <w:top w:val="nil"/>
              <w:left w:val="nil"/>
              <w:bottom w:val="nil"/>
              <w:right w:val="nil"/>
            </w:tcBorders>
          </w:tcPr>
          <w:p w14:paraId="662CD511" w14:textId="4503F4C6"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Interve</w:t>
            </w:r>
            <w:r w:rsidR="00941B11">
              <w:rPr>
                <w:rFonts w:ascii="Arial" w:hAnsi="Arial" w:cs="Arial"/>
                <w:sz w:val="20"/>
                <w:szCs w:val="20"/>
              </w:rPr>
              <w:t>ntion</w:t>
            </w:r>
          </w:p>
        </w:tc>
        <w:tc>
          <w:tcPr>
            <w:tcW w:w="2922" w:type="dxa"/>
            <w:tcBorders>
              <w:top w:val="nil"/>
              <w:left w:val="nil"/>
              <w:bottom w:val="nil"/>
              <w:right w:val="nil"/>
            </w:tcBorders>
          </w:tcPr>
          <w:p w14:paraId="60F6D181" w14:textId="4691F83D" w:rsidR="009B1D6F" w:rsidRPr="00B21F25" w:rsidRDefault="00941B11" w:rsidP="009B1D6F">
            <w:pPr>
              <w:spacing w:line="360" w:lineRule="auto"/>
              <w:jc w:val="both"/>
              <w:rPr>
                <w:rFonts w:ascii="Arial" w:hAnsi="Arial" w:cs="Arial"/>
                <w:sz w:val="20"/>
                <w:szCs w:val="20"/>
              </w:rPr>
            </w:pPr>
            <w:r w:rsidRPr="00941B11">
              <w:rPr>
                <w:rFonts w:ascii="Arial" w:hAnsi="Arial" w:cs="Arial"/>
                <w:sz w:val="20"/>
                <w:szCs w:val="20"/>
              </w:rPr>
              <w:t>Risk factors</w:t>
            </w:r>
            <w:r w:rsidR="009B1D6F" w:rsidRPr="00B21F25">
              <w:rPr>
                <w:rFonts w:ascii="Arial" w:hAnsi="Arial" w:cs="Arial"/>
                <w:sz w:val="20"/>
                <w:szCs w:val="20"/>
              </w:rPr>
              <w:t xml:space="preserve"> </w:t>
            </w:r>
          </w:p>
        </w:tc>
      </w:tr>
      <w:tr w:rsidR="009B1D6F" w:rsidRPr="00B21F25" w14:paraId="2AE42480" w14:textId="77777777" w:rsidTr="00B21F25">
        <w:trPr>
          <w:trHeight w:val="340"/>
        </w:trPr>
        <w:tc>
          <w:tcPr>
            <w:tcW w:w="2920" w:type="dxa"/>
            <w:tcBorders>
              <w:top w:val="nil"/>
              <w:left w:val="nil"/>
              <w:right w:val="nil"/>
            </w:tcBorders>
          </w:tcPr>
          <w:p w14:paraId="0702ABB6" w14:textId="77777777"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O</w:t>
            </w:r>
          </w:p>
        </w:tc>
        <w:tc>
          <w:tcPr>
            <w:tcW w:w="2920" w:type="dxa"/>
            <w:tcBorders>
              <w:top w:val="nil"/>
              <w:left w:val="nil"/>
              <w:right w:val="nil"/>
            </w:tcBorders>
          </w:tcPr>
          <w:p w14:paraId="0C821B25" w14:textId="1C7599CB" w:rsidR="009B1D6F" w:rsidRPr="00B21F25" w:rsidRDefault="00941B11" w:rsidP="009B1D6F">
            <w:pPr>
              <w:spacing w:line="360" w:lineRule="auto"/>
              <w:jc w:val="both"/>
              <w:rPr>
                <w:rFonts w:ascii="Arial" w:hAnsi="Arial" w:cs="Arial"/>
                <w:sz w:val="20"/>
                <w:szCs w:val="20"/>
              </w:rPr>
            </w:pPr>
            <w:r>
              <w:rPr>
                <w:rFonts w:ascii="Arial" w:hAnsi="Arial" w:cs="Arial"/>
                <w:sz w:val="20"/>
                <w:szCs w:val="20"/>
              </w:rPr>
              <w:t>Outcome</w:t>
            </w:r>
          </w:p>
        </w:tc>
        <w:tc>
          <w:tcPr>
            <w:tcW w:w="2922" w:type="dxa"/>
            <w:tcBorders>
              <w:top w:val="nil"/>
              <w:left w:val="nil"/>
              <w:right w:val="nil"/>
            </w:tcBorders>
          </w:tcPr>
          <w:p w14:paraId="76580C7E" w14:textId="0939A65C" w:rsidR="009B1D6F" w:rsidRPr="00B21F25" w:rsidRDefault="009B1D6F" w:rsidP="009B1D6F">
            <w:pPr>
              <w:spacing w:line="360" w:lineRule="auto"/>
              <w:jc w:val="both"/>
              <w:rPr>
                <w:rFonts w:ascii="Arial" w:hAnsi="Arial" w:cs="Arial"/>
                <w:sz w:val="20"/>
                <w:szCs w:val="20"/>
              </w:rPr>
            </w:pPr>
            <w:r w:rsidRPr="00B21F25">
              <w:rPr>
                <w:rFonts w:ascii="Arial" w:hAnsi="Arial" w:cs="Arial"/>
                <w:sz w:val="20"/>
                <w:szCs w:val="20"/>
              </w:rPr>
              <w:t>Pr</w:t>
            </w:r>
            <w:r w:rsidR="00941B11">
              <w:rPr>
                <w:rFonts w:ascii="Arial" w:hAnsi="Arial" w:cs="Arial"/>
                <w:sz w:val="20"/>
                <w:szCs w:val="20"/>
              </w:rPr>
              <w:t>e</w:t>
            </w:r>
            <w:r w:rsidRPr="00B21F25">
              <w:rPr>
                <w:rFonts w:ascii="Arial" w:hAnsi="Arial" w:cs="Arial"/>
                <w:sz w:val="20"/>
                <w:szCs w:val="20"/>
              </w:rPr>
              <w:t>-ecl</w:t>
            </w:r>
            <w:r w:rsidR="00941B11">
              <w:rPr>
                <w:rFonts w:ascii="Arial" w:hAnsi="Arial" w:cs="Arial"/>
                <w:sz w:val="20"/>
                <w:szCs w:val="20"/>
              </w:rPr>
              <w:t>a</w:t>
            </w:r>
            <w:r w:rsidRPr="00B21F25">
              <w:rPr>
                <w:rFonts w:ascii="Arial" w:hAnsi="Arial" w:cs="Arial"/>
                <w:sz w:val="20"/>
                <w:szCs w:val="20"/>
              </w:rPr>
              <w:t>mpsia</w:t>
            </w:r>
          </w:p>
        </w:tc>
      </w:tr>
    </w:tbl>
    <w:p w14:paraId="64EB9CC7" w14:textId="77777777" w:rsidR="009B1D6F" w:rsidRDefault="009B1D6F" w:rsidP="00441B6F">
      <w:pPr>
        <w:pStyle w:val="Body"/>
        <w:spacing w:after="0"/>
        <w:rPr>
          <w:rFonts w:ascii="Arial" w:hAnsi="Arial" w:cs="Arial"/>
          <w:sz w:val="22"/>
          <w:szCs w:val="22"/>
        </w:rPr>
      </w:pPr>
    </w:p>
    <w:p w14:paraId="2F79AD0F" w14:textId="2FBDAFD0" w:rsidR="006519AC" w:rsidRPr="00B21F25"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 xml:space="preserve">2.2 </w:t>
      </w:r>
      <w:r w:rsidR="00941B11" w:rsidRPr="00941B11">
        <w:rPr>
          <w:rFonts w:ascii="Arial" w:hAnsi="Arial" w:cs="Arial"/>
          <w:b/>
          <w:bCs/>
          <w:sz w:val="22"/>
          <w:szCs w:val="22"/>
        </w:rPr>
        <w:t>Search strategy and eligibility criteria</w:t>
      </w:r>
    </w:p>
    <w:p w14:paraId="38E06CFC" w14:textId="77777777" w:rsidR="006519AC" w:rsidRDefault="006519AC" w:rsidP="00441B6F">
      <w:pPr>
        <w:pStyle w:val="Body"/>
        <w:spacing w:after="0"/>
        <w:rPr>
          <w:rFonts w:ascii="Arial" w:hAnsi="Arial" w:cs="Arial"/>
        </w:rPr>
      </w:pPr>
    </w:p>
    <w:p w14:paraId="1A277706" w14:textId="564C9EA7" w:rsidR="00941B11" w:rsidRDefault="00941B11" w:rsidP="00941B11">
      <w:pPr>
        <w:pStyle w:val="Body"/>
        <w:spacing w:after="0"/>
        <w:ind w:firstLine="720"/>
        <w:rPr>
          <w:rFonts w:ascii="Arial" w:hAnsi="Arial" w:cs="Arial"/>
        </w:rPr>
      </w:pPr>
      <w:r w:rsidRPr="00941B11">
        <w:rPr>
          <w:rFonts w:ascii="Arial" w:hAnsi="Arial" w:cs="Arial"/>
        </w:rPr>
        <w:t>The article search was conducted in the electronic databases PubMed, BVS/LILACS, and Cochrane using descriptors included in the Medical Subject Headings (</w:t>
      </w:r>
      <w:proofErr w:type="spellStart"/>
      <w:r w:rsidRPr="00941B11">
        <w:rPr>
          <w:rFonts w:ascii="Arial" w:hAnsi="Arial" w:cs="Arial"/>
        </w:rPr>
        <w:t>MeSH</w:t>
      </w:r>
      <w:proofErr w:type="spellEnd"/>
      <w:r w:rsidRPr="00941B11">
        <w:rPr>
          <w:rFonts w:ascii="Arial" w:hAnsi="Arial" w:cs="Arial"/>
        </w:rPr>
        <w:t>) and Health Sciences Descriptors (</w:t>
      </w:r>
      <w:proofErr w:type="spellStart"/>
      <w:r w:rsidRPr="00941B11">
        <w:rPr>
          <w:rFonts w:ascii="Arial" w:hAnsi="Arial" w:cs="Arial"/>
        </w:rPr>
        <w:t>DeCs</w:t>
      </w:r>
      <w:proofErr w:type="spellEnd"/>
      <w:r w:rsidRPr="00941B11">
        <w:rPr>
          <w:rFonts w:ascii="Arial" w:hAnsi="Arial" w:cs="Arial"/>
        </w:rPr>
        <w:t>), combined with Boolean operators in the following search formula: “Risk factors” AND “Systemic Lupus Erythematosus” OR “SLE” OR “Lupus” AND “Pregnancy” OR “Pregnant” OR “Pregnancy diseases” OR “Pregnancy complications” OR “Adverse pregnancy outcomes” AND “Pre-eclampsia” OR “Preeclampsia”. Clinical trials and observational studies (cohort and case-control) with full text, published in Portuguese, English or Spanish between 2013 and 2023, were included. Exclusion criteria were: duplicate articles, editorials and reviews, studies conducted in animals, and studies reporting risk factors for the development of diverse obstetric complications rather than specifically preeclampsia.</w:t>
      </w:r>
    </w:p>
    <w:p w14:paraId="773A5461" w14:textId="77777777" w:rsidR="00941B11" w:rsidRPr="00B21F25" w:rsidRDefault="00941B11" w:rsidP="00441B6F">
      <w:pPr>
        <w:pStyle w:val="Body"/>
        <w:spacing w:after="0"/>
        <w:rPr>
          <w:rFonts w:ascii="Arial" w:hAnsi="Arial" w:cs="Arial"/>
        </w:rPr>
      </w:pPr>
    </w:p>
    <w:p w14:paraId="6B6460A5" w14:textId="31594FD9" w:rsidR="006519AC"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2.3</w:t>
      </w:r>
      <w:r w:rsidR="009B1D6F" w:rsidRPr="00B21F25">
        <w:rPr>
          <w:rFonts w:ascii="Arial" w:hAnsi="Arial" w:cs="Arial"/>
          <w:b/>
          <w:bCs/>
          <w:sz w:val="22"/>
          <w:szCs w:val="22"/>
        </w:rPr>
        <w:t xml:space="preserve"> </w:t>
      </w:r>
      <w:r w:rsidR="00941B11" w:rsidRPr="00941B11">
        <w:rPr>
          <w:rFonts w:ascii="Arial" w:hAnsi="Arial" w:cs="Arial"/>
          <w:b/>
          <w:bCs/>
          <w:sz w:val="22"/>
          <w:szCs w:val="22"/>
        </w:rPr>
        <w:t>Study selection and data extraction</w:t>
      </w:r>
    </w:p>
    <w:p w14:paraId="3D8D5D67" w14:textId="7CDCFDDB" w:rsidR="00941B11" w:rsidRDefault="00941B11" w:rsidP="00941B11">
      <w:pPr>
        <w:pStyle w:val="Body"/>
        <w:spacing w:after="0"/>
        <w:rPr>
          <w:rFonts w:ascii="Arial" w:hAnsi="Arial" w:cs="Arial"/>
          <w:b/>
          <w:bCs/>
          <w:sz w:val="22"/>
          <w:szCs w:val="22"/>
        </w:rPr>
      </w:pPr>
    </w:p>
    <w:p w14:paraId="3E502F62" w14:textId="28396967" w:rsidR="00941B11" w:rsidRPr="00941B11" w:rsidRDefault="00941B11" w:rsidP="00941B11">
      <w:pPr>
        <w:pStyle w:val="Body"/>
        <w:spacing w:after="0"/>
        <w:ind w:firstLine="720"/>
        <w:rPr>
          <w:rFonts w:ascii="Arial" w:hAnsi="Arial" w:cs="Arial"/>
          <w:b/>
          <w:bCs/>
          <w:sz w:val="22"/>
          <w:szCs w:val="22"/>
        </w:rPr>
      </w:pPr>
      <w:r w:rsidRPr="00941B11">
        <w:rPr>
          <w:rFonts w:ascii="Arial" w:hAnsi="Arial" w:cs="Arial"/>
        </w:rPr>
        <w:t>Two authors independently evaluated the titles and abstracts of the studies identified and selected those that met the inclusion and exclusion criteria. Subsequently, the eligible studies were read in full by the authors, and any disagreements were resolved by a third reviewer. The Rayyan tool was used for article selection, and a pre-defined form was employed to analyze and extract the following data from each study: the name of the first author and year of publication, the country where the study was conducted, study design, sample size, and the variables influencing the occurrence of preeclampsia.</w:t>
      </w:r>
    </w:p>
    <w:p w14:paraId="26E60E88" w14:textId="4F02ED23" w:rsidR="006519AC" w:rsidRPr="00B21F25" w:rsidRDefault="00941B11" w:rsidP="00941B11">
      <w:pPr>
        <w:pStyle w:val="Body"/>
        <w:tabs>
          <w:tab w:val="left" w:pos="3423"/>
        </w:tabs>
        <w:spacing w:after="0"/>
        <w:rPr>
          <w:rFonts w:ascii="Arial" w:hAnsi="Arial" w:cs="Arial"/>
        </w:rPr>
      </w:pPr>
      <w:r>
        <w:rPr>
          <w:rFonts w:ascii="Arial" w:hAnsi="Arial" w:cs="Arial"/>
        </w:rPr>
        <w:tab/>
      </w:r>
    </w:p>
    <w:p w14:paraId="3957B5C4" w14:textId="34BD14AF" w:rsidR="006519AC" w:rsidRPr="00B21F25"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2.4</w:t>
      </w:r>
      <w:r w:rsidR="009B1D6F" w:rsidRPr="00B21F25">
        <w:rPr>
          <w:b/>
          <w:bCs/>
        </w:rPr>
        <w:t xml:space="preserve"> </w:t>
      </w:r>
      <w:r w:rsidR="00941B11" w:rsidRPr="00941B11">
        <w:rPr>
          <w:b/>
          <w:bCs/>
        </w:rPr>
        <w:t>Analysis of Bias</w:t>
      </w:r>
    </w:p>
    <w:p w14:paraId="46420962" w14:textId="77777777" w:rsidR="009B1D6F" w:rsidRPr="00B21F25" w:rsidRDefault="009B1D6F" w:rsidP="00441B6F">
      <w:pPr>
        <w:pStyle w:val="Body"/>
        <w:spacing w:after="0"/>
        <w:rPr>
          <w:rFonts w:ascii="Arial" w:hAnsi="Arial" w:cs="Arial"/>
        </w:rPr>
      </w:pPr>
    </w:p>
    <w:p w14:paraId="3A325E7A" w14:textId="0443D03D" w:rsidR="009B1D6F" w:rsidRDefault="001A680B" w:rsidP="001A680B">
      <w:pPr>
        <w:pStyle w:val="Body"/>
        <w:spacing w:after="0"/>
        <w:ind w:firstLine="720"/>
        <w:rPr>
          <w:rFonts w:ascii="Arial" w:hAnsi="Arial" w:cs="Arial"/>
        </w:rPr>
      </w:pPr>
      <w:r w:rsidRPr="001A680B">
        <w:rPr>
          <w:rFonts w:ascii="Arial" w:hAnsi="Arial" w:cs="Arial"/>
        </w:rPr>
        <w:lastRenderedPageBreak/>
        <w:t>To assess the quality of the included studies, the Cochrane Risk of Bias in Non-randomized Studies of Interventions (ROBINS-I) tool was used, evaluating the following domains: bias due to confounding factors, bias in the selection of participants, bias in the classification of interventions, bias due to deviations from intended interventions, bias due to missing data, bias in the measurement of outcomes, bias in the selection of reported outcomes, and overall bias. Three reviewers independently assessed the risk of bias and classified it as low, moderate, serious, critical, or no information available. Discrepancies were individually evaluated and resolved through discussion.</w:t>
      </w:r>
    </w:p>
    <w:p w14:paraId="53FCBFA2" w14:textId="77777777" w:rsidR="00CF5B2C" w:rsidRDefault="00CF5B2C" w:rsidP="00377F9A">
      <w:pPr>
        <w:pStyle w:val="Body"/>
        <w:spacing w:after="0"/>
      </w:pPr>
    </w:p>
    <w:p w14:paraId="3DB666DC" w14:textId="1612380B" w:rsidR="00B21F25" w:rsidRPr="00B21F25" w:rsidRDefault="00CF5B2C" w:rsidP="00CF5B2C">
      <w:pPr>
        <w:pStyle w:val="Body"/>
        <w:spacing w:after="0"/>
        <w:jc w:val="center"/>
        <w:rPr>
          <w:rFonts w:ascii="Arial" w:hAnsi="Arial" w:cs="Arial"/>
        </w:rPr>
      </w:pPr>
      <w:r w:rsidRPr="00CF5B2C">
        <w:rPr>
          <w:noProof/>
        </w:rPr>
        <w:drawing>
          <wp:inline distT="0" distB="0" distL="0" distR="0" wp14:anchorId="65136CA1" wp14:editId="211AA3FF">
            <wp:extent cx="5080148" cy="5296104"/>
            <wp:effectExtent l="0" t="0" r="0" b="0"/>
            <wp:docPr id="5488440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069" t="6253" r="7467" b="1316"/>
                    <a:stretch/>
                  </pic:blipFill>
                  <pic:spPr bwMode="auto">
                    <a:xfrm>
                      <a:off x="0" y="0"/>
                      <a:ext cx="5087003" cy="5303251"/>
                    </a:xfrm>
                    <a:prstGeom prst="rect">
                      <a:avLst/>
                    </a:prstGeom>
                    <a:noFill/>
                    <a:ln>
                      <a:noFill/>
                    </a:ln>
                    <a:extLst>
                      <a:ext uri="{53640926-AAD7-44D8-BBD7-CCE9431645EC}">
                        <a14:shadowObscured xmlns:a14="http://schemas.microsoft.com/office/drawing/2010/main"/>
                      </a:ext>
                    </a:extLst>
                  </pic:spPr>
                </pic:pic>
              </a:graphicData>
            </a:graphic>
          </wp:inline>
        </w:drawing>
      </w:r>
    </w:p>
    <w:p w14:paraId="183D749C" w14:textId="77777777" w:rsidR="009B1D6F" w:rsidRDefault="009B1D6F" w:rsidP="00441B6F">
      <w:pPr>
        <w:pStyle w:val="Body"/>
        <w:spacing w:after="0"/>
        <w:rPr>
          <w:rFonts w:ascii="Arial" w:hAnsi="Arial" w:cs="Arial"/>
        </w:rPr>
      </w:pPr>
    </w:p>
    <w:p w14:paraId="610EEEBF" w14:textId="546F5771" w:rsidR="006519AC" w:rsidRDefault="00CF5B2C" w:rsidP="00441B6F">
      <w:pPr>
        <w:pStyle w:val="Body"/>
        <w:spacing w:after="0"/>
        <w:rPr>
          <w:rFonts w:ascii="Arial" w:hAnsi="Arial" w:cs="Arial"/>
          <w:b/>
          <w:bCs/>
        </w:rPr>
      </w:pPr>
      <w:r w:rsidRPr="00CF5B2C">
        <w:rPr>
          <w:rFonts w:ascii="Arial" w:hAnsi="Arial" w:cs="Arial"/>
          <w:b/>
          <w:bCs/>
        </w:rPr>
        <w:t>Fig 1.</w:t>
      </w:r>
      <w:r w:rsidRPr="00CF5B2C">
        <w:rPr>
          <w:b/>
          <w:bCs/>
        </w:rPr>
        <w:t xml:space="preserve"> </w:t>
      </w:r>
      <w:r w:rsidRPr="00CF5B2C">
        <w:rPr>
          <w:rFonts w:ascii="Arial" w:hAnsi="Arial" w:cs="Arial"/>
          <w:b/>
          <w:bCs/>
        </w:rPr>
        <w:t>The PRISMA flowchart of search strategy and selection process.</w:t>
      </w:r>
    </w:p>
    <w:p w14:paraId="47685E3C" w14:textId="77777777" w:rsidR="00377F9A" w:rsidRPr="00377F9A" w:rsidRDefault="00377F9A" w:rsidP="00441B6F">
      <w:pPr>
        <w:pStyle w:val="Body"/>
        <w:spacing w:after="0"/>
        <w:rPr>
          <w:rFonts w:ascii="Arial" w:hAnsi="Arial" w:cs="Arial"/>
          <w:b/>
          <w:bCs/>
        </w:rPr>
      </w:pPr>
    </w:p>
    <w:p w14:paraId="2B035521" w14:textId="325EB7B8" w:rsidR="00790ADA" w:rsidRDefault="00000F8F" w:rsidP="001A680B">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729A65A" w14:textId="77777777" w:rsidR="001A680B" w:rsidRDefault="001A680B" w:rsidP="001A680B">
      <w:pPr>
        <w:pStyle w:val="Head1"/>
        <w:spacing w:after="0"/>
        <w:jc w:val="both"/>
        <w:rPr>
          <w:rFonts w:ascii="Arial" w:hAnsi="Arial" w:cs="Arial"/>
        </w:rPr>
      </w:pPr>
    </w:p>
    <w:p w14:paraId="0DE0C819" w14:textId="7117BEBE"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3.1 </w:t>
      </w:r>
      <w:r w:rsidR="001A680B" w:rsidRPr="001A680B">
        <w:rPr>
          <w:rFonts w:ascii="Arial" w:hAnsi="Arial" w:cs="Arial"/>
          <w:b/>
          <w:bCs/>
          <w:sz w:val="22"/>
          <w:szCs w:val="22"/>
        </w:rPr>
        <w:t>Included Studies</w:t>
      </w:r>
    </w:p>
    <w:p w14:paraId="0AC7332F" w14:textId="77777777" w:rsidR="00CF5B2C" w:rsidRDefault="00CF5B2C" w:rsidP="00441B6F">
      <w:pPr>
        <w:pStyle w:val="Body"/>
        <w:spacing w:after="0"/>
        <w:rPr>
          <w:rFonts w:ascii="Arial" w:hAnsi="Arial" w:cs="Arial"/>
        </w:rPr>
      </w:pPr>
    </w:p>
    <w:p w14:paraId="6BC4BE5D" w14:textId="77777777" w:rsidR="001A680B" w:rsidRPr="001A680B" w:rsidRDefault="001A680B" w:rsidP="001A680B">
      <w:pPr>
        <w:pStyle w:val="Body"/>
        <w:ind w:firstLine="720"/>
        <w:rPr>
          <w:rFonts w:ascii="Arial" w:hAnsi="Arial" w:cs="Arial"/>
        </w:rPr>
      </w:pPr>
      <w:r w:rsidRPr="001A680B">
        <w:rPr>
          <w:rFonts w:ascii="Arial" w:hAnsi="Arial" w:cs="Arial"/>
        </w:rPr>
        <w:lastRenderedPageBreak/>
        <w:t xml:space="preserve">The initial search identified 171 records in the databases. After removing 65 duplicates, 106 articles were screened based on their titles and abstracts. Of these, 79 were excluded, leaving 27 publications for full-text review (Figure 1). Ultimately, this systematic review included nine articles involving a total of 500,780 pregnant women with SLE.  </w:t>
      </w:r>
    </w:p>
    <w:p w14:paraId="356E4CBF" w14:textId="75C7F935" w:rsidR="001A680B" w:rsidRDefault="001A680B" w:rsidP="001A680B">
      <w:pPr>
        <w:pStyle w:val="Body"/>
        <w:spacing w:after="0"/>
        <w:ind w:firstLine="720"/>
        <w:rPr>
          <w:rFonts w:ascii="Arial" w:hAnsi="Arial" w:cs="Arial"/>
        </w:rPr>
      </w:pPr>
      <w:r w:rsidRPr="001A680B">
        <w:rPr>
          <w:rFonts w:ascii="Arial" w:hAnsi="Arial" w:cs="Arial"/>
        </w:rPr>
        <w:t>In this context, Table 2 details the baseline characteristics of the included studies. The articles were published between 2017 and 2021, with most conducted in European countries (Norway, Sweden, Portugal, Italy), Asian countries (Japan, China, South Korea), and North America (Mexico), representing 44%, 44%, and 11% of the publications, respectively. This review included eight retrospective observational studies (89%) and one prospective study (11%).</w:t>
      </w:r>
    </w:p>
    <w:p w14:paraId="371440C5" w14:textId="77777777" w:rsidR="001A680B" w:rsidRDefault="001A680B" w:rsidP="00441B6F">
      <w:pPr>
        <w:pStyle w:val="Body"/>
        <w:spacing w:after="0"/>
        <w:rPr>
          <w:rFonts w:ascii="Arial" w:hAnsi="Arial" w:cs="Arial"/>
        </w:rPr>
      </w:pPr>
    </w:p>
    <w:p w14:paraId="728B2352" w14:textId="0E728390"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3.2 </w:t>
      </w:r>
      <w:r w:rsidR="001A680B" w:rsidRPr="001A680B">
        <w:rPr>
          <w:rFonts w:ascii="Arial" w:hAnsi="Arial" w:cs="Arial"/>
          <w:b/>
          <w:bCs/>
          <w:sz w:val="22"/>
          <w:szCs w:val="22"/>
        </w:rPr>
        <w:t>Systemic Lupus Erythematosus Activity</w:t>
      </w:r>
    </w:p>
    <w:p w14:paraId="4E2851EE" w14:textId="77777777" w:rsidR="00CF5B2C" w:rsidRDefault="00CF5B2C" w:rsidP="00441B6F">
      <w:pPr>
        <w:pStyle w:val="Body"/>
        <w:spacing w:after="0"/>
        <w:rPr>
          <w:rFonts w:ascii="Arial" w:hAnsi="Arial" w:cs="Arial"/>
        </w:rPr>
      </w:pPr>
    </w:p>
    <w:p w14:paraId="2AEE7265" w14:textId="4CAAD521" w:rsidR="001A680B" w:rsidRDefault="001A680B" w:rsidP="001A680B">
      <w:pPr>
        <w:pStyle w:val="Body"/>
        <w:spacing w:after="0"/>
        <w:ind w:firstLine="720"/>
        <w:rPr>
          <w:rFonts w:ascii="Arial" w:hAnsi="Arial" w:cs="Arial"/>
        </w:rPr>
      </w:pPr>
      <w:r w:rsidRPr="001A680B">
        <w:rPr>
          <w:rFonts w:ascii="Arial" w:hAnsi="Arial" w:cs="Arial"/>
        </w:rPr>
        <w:t>SLE activity was identified as a significant risk factor for the development of hypertensive pregnancy outcomes in two included studies: the risk of preeclampsia is higher in women in the active phase of lupus disease</w:t>
      </w:r>
      <w:r w:rsidR="00725C90">
        <w:rPr>
          <w:rFonts w:ascii="Arial" w:hAnsi="Arial" w:cs="Arial"/>
        </w:rPr>
        <w:t xml:space="preserve"> (Skorpen </w:t>
      </w:r>
      <w:r w:rsidR="00377F9A" w:rsidRPr="00377F9A">
        <w:rPr>
          <w:rFonts w:ascii="Arial" w:hAnsi="Arial" w:cs="Arial"/>
          <w:i/>
        </w:rPr>
        <w:t>et al.</w:t>
      </w:r>
      <w:r w:rsidR="00725C90">
        <w:rPr>
          <w:rFonts w:ascii="Arial" w:hAnsi="Arial" w:cs="Arial"/>
        </w:rPr>
        <w:t>, 2017)</w:t>
      </w:r>
      <w:r w:rsidRPr="001A680B">
        <w:rPr>
          <w:rFonts w:ascii="Arial" w:hAnsi="Arial" w:cs="Arial"/>
        </w:rPr>
        <w:t>, and disease activity both before (relative risk [RR] 2.7, 95% CI 1.04–7.4) and during pregnancy (RR 3.0, 95% CI 1.0–9.1) was associated with the development of preeclampsia</w:t>
      </w:r>
      <w:r w:rsidR="00725C90">
        <w:rPr>
          <w:rFonts w:ascii="Arial" w:hAnsi="Arial" w:cs="Arial"/>
        </w:rPr>
        <w:t xml:space="preserve"> (Saavedra </w:t>
      </w:r>
      <w:r w:rsidR="00377F9A" w:rsidRPr="00377F9A">
        <w:rPr>
          <w:rFonts w:ascii="Arial" w:hAnsi="Arial" w:cs="Arial"/>
          <w:i/>
        </w:rPr>
        <w:t>et al.</w:t>
      </w:r>
      <w:r w:rsidR="00725C90">
        <w:rPr>
          <w:rFonts w:ascii="Arial" w:hAnsi="Arial" w:cs="Arial"/>
        </w:rPr>
        <w:t>, 2020)</w:t>
      </w:r>
      <w:r w:rsidRPr="001A680B">
        <w:rPr>
          <w:rFonts w:ascii="Arial" w:hAnsi="Arial" w:cs="Arial"/>
        </w:rPr>
        <w:t>.</w:t>
      </w:r>
    </w:p>
    <w:p w14:paraId="240E6F83" w14:textId="77777777" w:rsidR="001A680B" w:rsidRDefault="001A680B" w:rsidP="00441B6F">
      <w:pPr>
        <w:pStyle w:val="Body"/>
        <w:spacing w:after="0"/>
        <w:rPr>
          <w:rFonts w:ascii="Arial" w:hAnsi="Arial" w:cs="Arial"/>
        </w:rPr>
      </w:pPr>
    </w:p>
    <w:p w14:paraId="3DF33D99" w14:textId="58C659AC"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3.3 </w:t>
      </w:r>
      <w:r w:rsidR="001A680B" w:rsidRPr="001A680B">
        <w:rPr>
          <w:rFonts w:ascii="Arial" w:hAnsi="Arial" w:cs="Arial"/>
          <w:b/>
          <w:bCs/>
          <w:sz w:val="22"/>
          <w:szCs w:val="22"/>
        </w:rPr>
        <w:t>Demographic profile</w:t>
      </w:r>
    </w:p>
    <w:p w14:paraId="4E3E6F9D" w14:textId="77777777" w:rsidR="00CF5B2C" w:rsidRDefault="00CF5B2C" w:rsidP="00441B6F">
      <w:pPr>
        <w:pStyle w:val="Body"/>
        <w:spacing w:after="0"/>
        <w:rPr>
          <w:rFonts w:ascii="Arial" w:hAnsi="Arial" w:cs="Arial"/>
        </w:rPr>
      </w:pPr>
    </w:p>
    <w:p w14:paraId="1E6ADB2D" w14:textId="02C3119B" w:rsidR="001A680B" w:rsidRPr="001A680B" w:rsidRDefault="001A680B" w:rsidP="001A680B">
      <w:pPr>
        <w:pStyle w:val="Body"/>
        <w:ind w:firstLine="720"/>
        <w:rPr>
          <w:rFonts w:ascii="Arial" w:hAnsi="Arial" w:cs="Arial"/>
        </w:rPr>
      </w:pPr>
      <w:r w:rsidRPr="001A680B">
        <w:rPr>
          <w:rFonts w:ascii="Arial" w:hAnsi="Arial" w:cs="Arial"/>
        </w:rPr>
        <w:t>The mean ages of patients across all studies ranged from 27.4 to 34.1 years, with an average of 33.5 years for nulliparous women and 34.1 years for multiparous women</w:t>
      </w:r>
      <w:r w:rsidR="00725C90">
        <w:rPr>
          <w:rFonts w:ascii="Arial" w:hAnsi="Arial" w:cs="Arial"/>
        </w:rPr>
        <w:t xml:space="preserve"> (Maeda </w:t>
      </w:r>
      <w:r w:rsidR="00377F9A" w:rsidRPr="00377F9A">
        <w:rPr>
          <w:rFonts w:ascii="Arial" w:hAnsi="Arial" w:cs="Arial"/>
          <w:i/>
        </w:rPr>
        <w:t>et al.</w:t>
      </w:r>
      <w:r w:rsidR="00725C90">
        <w:rPr>
          <w:rFonts w:ascii="Arial" w:hAnsi="Arial" w:cs="Arial"/>
        </w:rPr>
        <w:t>, 2020)</w:t>
      </w:r>
      <w:r w:rsidRPr="001A680B">
        <w:rPr>
          <w:rFonts w:ascii="Arial" w:hAnsi="Arial" w:cs="Arial"/>
        </w:rPr>
        <w:t>. Additionally, the mean age of women treated with HCQ was 32.8 years, compared to 31.8 years for those not receiving treatment</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0467229F" w14:textId="376F9958" w:rsidR="001A680B" w:rsidRPr="001A680B" w:rsidRDefault="001A680B" w:rsidP="001A680B">
      <w:pPr>
        <w:pStyle w:val="Body"/>
        <w:ind w:firstLine="720"/>
        <w:rPr>
          <w:rFonts w:ascii="Arial" w:hAnsi="Arial" w:cs="Arial"/>
        </w:rPr>
      </w:pPr>
      <w:r w:rsidRPr="001A680B">
        <w:rPr>
          <w:rFonts w:ascii="Arial" w:hAnsi="Arial" w:cs="Arial"/>
        </w:rPr>
        <w:t>Univariate logistic regression analyses revealed that the gestational age at disease onset increased the risk of preeclampsia/eclampsia</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Furthermore, in pregnancies complicated by preeclampsia, women appeared to be younger (25.3 vs. 29.9 years, p &lt; 0.01)</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03A7D601" w14:textId="54D24E74" w:rsidR="001A680B" w:rsidRPr="001A680B" w:rsidRDefault="001A680B" w:rsidP="001A680B">
      <w:pPr>
        <w:pStyle w:val="Body"/>
        <w:ind w:firstLine="720"/>
        <w:rPr>
          <w:rFonts w:ascii="Arial" w:hAnsi="Arial" w:cs="Arial"/>
        </w:rPr>
      </w:pPr>
      <w:r w:rsidRPr="001A680B">
        <w:rPr>
          <w:rFonts w:ascii="Arial" w:hAnsi="Arial" w:cs="Arial"/>
        </w:rPr>
        <w:t>Regarding parity, multiparous women with SLE had a statistically significantly lower risk of preeclampsia compared to nulliparous women with SLE (adjusted odds ratio [</w:t>
      </w:r>
      <w:proofErr w:type="spellStart"/>
      <w:r w:rsidRPr="001A680B">
        <w:rPr>
          <w:rFonts w:ascii="Arial" w:hAnsi="Arial" w:cs="Arial"/>
        </w:rPr>
        <w:t>aOR</w:t>
      </w:r>
      <w:proofErr w:type="spellEnd"/>
      <w:r w:rsidRPr="001A680B">
        <w:rPr>
          <w:rFonts w:ascii="Arial" w:hAnsi="Arial" w:cs="Arial"/>
        </w:rPr>
        <w:t>]: 0.08; 95% CI: 0.01–0.95)</w:t>
      </w:r>
      <w:r w:rsidR="00B724F1">
        <w:rPr>
          <w:rFonts w:ascii="Arial" w:hAnsi="Arial" w:cs="Arial"/>
        </w:rPr>
        <w:t xml:space="preserve"> (Maeda </w:t>
      </w:r>
      <w:r w:rsidR="00377F9A" w:rsidRPr="00377F9A">
        <w:rPr>
          <w:rFonts w:ascii="Arial" w:hAnsi="Arial" w:cs="Arial"/>
          <w:i/>
        </w:rPr>
        <w:t>et al.</w:t>
      </w:r>
      <w:r w:rsidR="00B724F1">
        <w:rPr>
          <w:rFonts w:ascii="Arial" w:hAnsi="Arial" w:cs="Arial"/>
        </w:rPr>
        <w:t>, 2020)</w:t>
      </w:r>
      <w:r w:rsidR="00B724F1" w:rsidRPr="001A680B">
        <w:rPr>
          <w:rFonts w:ascii="Arial" w:hAnsi="Arial" w:cs="Arial"/>
        </w:rPr>
        <w:t>.</w:t>
      </w:r>
      <w:r w:rsidRPr="001A680B">
        <w:rPr>
          <w:rFonts w:ascii="Arial" w:hAnsi="Arial" w:cs="Arial"/>
        </w:rPr>
        <w:t xml:space="preserve"> Additionally, in pregnancies complicated by preeclampsia, nulliparous women were more frequently affected, suggesting a potential risk factor for the condition (81.8% vs. 59.6%, p &lt; 0.20)</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412F41D9" w14:textId="022C0A45" w:rsidR="001A680B" w:rsidRDefault="001A680B" w:rsidP="001A680B">
      <w:pPr>
        <w:pStyle w:val="Body"/>
        <w:spacing w:after="0"/>
        <w:ind w:firstLine="720"/>
        <w:rPr>
          <w:rFonts w:ascii="Arial" w:hAnsi="Arial" w:cs="Arial"/>
        </w:rPr>
      </w:pPr>
      <w:r w:rsidRPr="001A680B">
        <w:rPr>
          <w:rFonts w:ascii="Arial" w:hAnsi="Arial" w:cs="Arial"/>
        </w:rPr>
        <w:t>Body Mass Index (BMI) was also evaluated as a significant and independent risk factor for the development of preeclampsia. It was also noted that pregnant women with SLE undergoing hydroxychloroquine treatment had a higher BMI compared to those not treated (24.3 kg/m² vs. 23.0 kg/m², p = 0.026)</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22FC4B61" w14:textId="77777777" w:rsidR="001A680B" w:rsidRDefault="001A680B" w:rsidP="001A680B">
      <w:pPr>
        <w:pStyle w:val="Body"/>
        <w:spacing w:after="0"/>
        <w:rPr>
          <w:rFonts w:ascii="Arial" w:hAnsi="Arial" w:cs="Arial"/>
        </w:rPr>
      </w:pPr>
    </w:p>
    <w:p w14:paraId="363E62CE" w14:textId="5DEBDD78"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3.4 Comorbi</w:t>
      </w:r>
      <w:r w:rsidR="001A680B">
        <w:rPr>
          <w:rFonts w:ascii="Arial" w:hAnsi="Arial" w:cs="Arial"/>
          <w:b/>
          <w:bCs/>
          <w:sz w:val="22"/>
          <w:szCs w:val="22"/>
        </w:rPr>
        <w:t>dities</w:t>
      </w:r>
    </w:p>
    <w:p w14:paraId="5160A1C5" w14:textId="77777777" w:rsidR="00CF5B2C" w:rsidRDefault="00CF5B2C" w:rsidP="00441B6F">
      <w:pPr>
        <w:pStyle w:val="Body"/>
        <w:spacing w:after="0"/>
        <w:rPr>
          <w:rFonts w:ascii="Arial" w:hAnsi="Arial" w:cs="Arial"/>
        </w:rPr>
      </w:pPr>
    </w:p>
    <w:p w14:paraId="22F46A19" w14:textId="3B3F2439" w:rsidR="001A680B" w:rsidRPr="001A680B" w:rsidRDefault="001A680B" w:rsidP="001A680B">
      <w:pPr>
        <w:pStyle w:val="Body"/>
        <w:ind w:firstLine="720"/>
        <w:rPr>
          <w:rFonts w:ascii="Arial" w:hAnsi="Arial" w:cs="Arial"/>
        </w:rPr>
      </w:pPr>
      <w:r w:rsidRPr="001A680B">
        <w:rPr>
          <w:rFonts w:ascii="Arial" w:hAnsi="Arial" w:cs="Arial"/>
        </w:rPr>
        <w:t>Regarding comorbidities, lupus nephritis (LN) is a significant condition, with the presence of pregestational LN serving as an indicator for the development of preeclampsia (PE)</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 Women with prior or active LN during pregnancy are more likely to develop PE compared to those with systemic lupus erythematosus (SLE) without renal involvement (25.7% vs. 2.9%, p=0.001)</w:t>
      </w:r>
      <w:r w:rsidR="00B724F1">
        <w:rPr>
          <w:rFonts w:ascii="Arial" w:hAnsi="Arial" w:cs="Arial"/>
        </w:rPr>
        <w:t xml:space="preserve"> (Bremme </w:t>
      </w:r>
      <w:r w:rsidR="00377F9A" w:rsidRPr="00377F9A">
        <w:rPr>
          <w:rFonts w:ascii="Arial" w:hAnsi="Arial" w:cs="Arial"/>
          <w:i/>
        </w:rPr>
        <w:t>et al.</w:t>
      </w:r>
      <w:r w:rsidR="00B724F1">
        <w:rPr>
          <w:rFonts w:ascii="Arial" w:hAnsi="Arial" w:cs="Arial"/>
        </w:rPr>
        <w:t>, 2021)</w:t>
      </w:r>
      <w:r w:rsidRPr="001A680B">
        <w:rPr>
          <w:rFonts w:ascii="Arial" w:hAnsi="Arial" w:cs="Arial"/>
        </w:rPr>
        <w:t>. In this context, renal involvement has been identified as an independent risk factor for PE (</w:t>
      </w:r>
      <w:proofErr w:type="spellStart"/>
      <w:r w:rsidRPr="001A680B">
        <w:rPr>
          <w:rFonts w:ascii="Arial" w:hAnsi="Arial" w:cs="Arial"/>
        </w:rPr>
        <w:t>aOR</w:t>
      </w:r>
      <w:proofErr w:type="spellEnd"/>
      <w:r w:rsidRPr="001A680B">
        <w:rPr>
          <w:rFonts w:ascii="Arial" w:hAnsi="Arial" w:cs="Arial"/>
        </w:rPr>
        <w:t>: 8.380, 95% CI: 1.944–74.376)</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with a high prevalence of LN in pregnancies complicated by PE (81.8% vs. 27.3%, p &lt; 0.01)</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609A7C4A" w14:textId="389F7472" w:rsidR="001A680B" w:rsidRPr="001A680B" w:rsidRDefault="001A680B" w:rsidP="001A680B">
      <w:pPr>
        <w:pStyle w:val="Body"/>
        <w:ind w:firstLine="720"/>
        <w:rPr>
          <w:rFonts w:ascii="Arial" w:hAnsi="Arial" w:cs="Arial"/>
        </w:rPr>
      </w:pPr>
      <w:r w:rsidRPr="001A680B">
        <w:rPr>
          <w:rFonts w:ascii="Arial" w:hAnsi="Arial" w:cs="Arial"/>
        </w:rPr>
        <w:lastRenderedPageBreak/>
        <w:t>Systemic arterial hypertension has also been found to be an independent risk factor for PE, as evidenced by stepwise multiple regression analysis (</w:t>
      </w:r>
      <w:proofErr w:type="spellStart"/>
      <w:r w:rsidRPr="001A680B">
        <w:rPr>
          <w:rFonts w:ascii="Arial" w:hAnsi="Arial" w:cs="Arial"/>
        </w:rPr>
        <w:t>aOR</w:t>
      </w:r>
      <w:proofErr w:type="spellEnd"/>
      <w:r w:rsidRPr="001A680B">
        <w:rPr>
          <w:rFonts w:ascii="Arial" w:hAnsi="Arial" w:cs="Arial"/>
        </w:rPr>
        <w:t>: 19.185; 95% CI: 3.921–93.868)</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Another study, through multivariate analysis, revealed that a mean arterial pressure (MAP) greater than 96.5 mmHg and the presence of pregestational hypertension were independent risk factors (OR 213.15, 95% CI=24.39–999.99 and OR 18.19, 95% CI=2.67–125.01, respectively)</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4CF7B21B" w14:textId="1DBFB363" w:rsidR="001A680B" w:rsidRDefault="001A680B" w:rsidP="001A680B">
      <w:pPr>
        <w:pStyle w:val="Body"/>
        <w:spacing w:after="0"/>
        <w:ind w:firstLine="720"/>
        <w:rPr>
          <w:rFonts w:ascii="Arial" w:hAnsi="Arial" w:cs="Arial"/>
        </w:rPr>
      </w:pPr>
      <w:r w:rsidRPr="001A680B">
        <w:rPr>
          <w:rFonts w:ascii="Arial" w:hAnsi="Arial" w:cs="Arial"/>
        </w:rPr>
        <w:t>Pre-gestational hematologic disorders, such as thrombocytopenia, have also been indicated as independent risk factors for the development of PE (OR 4.13, 95% CI=1.03–16.67)</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1F3F28FB" w14:textId="77777777" w:rsidR="00CF5B2C" w:rsidRDefault="00CF5B2C" w:rsidP="00441B6F">
      <w:pPr>
        <w:pStyle w:val="Body"/>
        <w:spacing w:after="0"/>
        <w:rPr>
          <w:rFonts w:ascii="Arial" w:hAnsi="Arial" w:cs="Arial"/>
        </w:rPr>
      </w:pPr>
    </w:p>
    <w:p w14:paraId="7712410E" w14:textId="7FD0DB1E"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3.5</w:t>
      </w:r>
      <w:r w:rsidRPr="00CF5B2C">
        <w:rPr>
          <w:b/>
          <w:bCs/>
          <w:sz w:val="22"/>
          <w:szCs w:val="22"/>
        </w:rPr>
        <w:t xml:space="preserve"> </w:t>
      </w:r>
      <w:r w:rsidR="001A680B" w:rsidRPr="001A680B">
        <w:rPr>
          <w:b/>
          <w:bCs/>
          <w:sz w:val="22"/>
          <w:szCs w:val="22"/>
        </w:rPr>
        <w:t>Biochemical parameters</w:t>
      </w:r>
    </w:p>
    <w:p w14:paraId="597263EF" w14:textId="77777777" w:rsidR="00CF5B2C" w:rsidRDefault="00CF5B2C" w:rsidP="00441B6F">
      <w:pPr>
        <w:pStyle w:val="Body"/>
        <w:spacing w:after="0"/>
        <w:rPr>
          <w:rFonts w:ascii="Arial" w:hAnsi="Arial" w:cs="Arial"/>
        </w:rPr>
      </w:pPr>
    </w:p>
    <w:p w14:paraId="4822F7C8" w14:textId="7B07E63E" w:rsidR="001A680B" w:rsidRPr="001A680B" w:rsidRDefault="001A680B" w:rsidP="001A680B">
      <w:pPr>
        <w:pStyle w:val="Body"/>
        <w:ind w:firstLine="720"/>
        <w:rPr>
          <w:rFonts w:ascii="Arial" w:hAnsi="Arial" w:cs="Arial"/>
        </w:rPr>
      </w:pPr>
      <w:r w:rsidRPr="001A680B">
        <w:rPr>
          <w:rFonts w:ascii="Arial" w:hAnsi="Arial" w:cs="Arial"/>
        </w:rPr>
        <w:t>The presence of proteinuria increased the risk of developing preeclampsia (PE) by 2.45 times, while serum creatinine levels greater than 1.2 mg/dL were associated with a 1.25-fold higher risk compared to patients with serum creatinine levels below 1.2 mg/dL. An estimated glomerular filtration rate (eGFR) lower than 90 mL/min/1.73 m² increased the risk of PE by 18.73 times, with the association between eGFR and PE being highly significant (OR: 18.73; 95% CI: 4.35–80.70; p &lt; 0.001), suggesting a strong relationship with the outcome</w:t>
      </w:r>
      <w:r w:rsidR="00B724F1">
        <w:rPr>
          <w:rFonts w:ascii="Arial" w:hAnsi="Arial" w:cs="Arial"/>
        </w:rPr>
        <w:t xml:space="preserve"> (</w:t>
      </w:r>
      <w:proofErr w:type="spellStart"/>
      <w:r w:rsidR="00B724F1">
        <w:rPr>
          <w:rFonts w:ascii="Arial" w:hAnsi="Arial" w:cs="Arial"/>
        </w:rPr>
        <w:t>Mecacci</w:t>
      </w:r>
      <w:proofErr w:type="spellEnd"/>
      <w:r w:rsidR="00B724F1">
        <w:rPr>
          <w:rFonts w:ascii="Arial" w:hAnsi="Arial" w:cs="Arial"/>
        </w:rPr>
        <w:t xml:space="preserve"> </w:t>
      </w:r>
      <w:r w:rsidR="00377F9A" w:rsidRPr="00377F9A">
        <w:rPr>
          <w:rFonts w:ascii="Arial" w:hAnsi="Arial" w:cs="Arial"/>
          <w:i/>
        </w:rPr>
        <w:t>et al.</w:t>
      </w:r>
      <w:r w:rsidR="00B724F1">
        <w:rPr>
          <w:rFonts w:ascii="Arial" w:hAnsi="Arial" w:cs="Arial"/>
        </w:rPr>
        <w:t>, 2017)</w:t>
      </w:r>
      <w:r w:rsidRPr="001A680B">
        <w:rPr>
          <w:rFonts w:ascii="Arial" w:hAnsi="Arial" w:cs="Arial"/>
        </w:rPr>
        <w:t xml:space="preserve">.  </w:t>
      </w:r>
    </w:p>
    <w:p w14:paraId="00887F90" w14:textId="4AE5B661" w:rsidR="001A680B" w:rsidRPr="001A680B" w:rsidRDefault="001A680B" w:rsidP="001A680B">
      <w:pPr>
        <w:pStyle w:val="Body"/>
        <w:ind w:firstLine="720"/>
        <w:rPr>
          <w:rFonts w:ascii="Arial" w:hAnsi="Arial" w:cs="Arial"/>
        </w:rPr>
      </w:pPr>
      <w:r w:rsidRPr="001A680B">
        <w:rPr>
          <w:rFonts w:ascii="Arial" w:hAnsi="Arial" w:cs="Arial"/>
        </w:rPr>
        <w:t xml:space="preserve">According to clinical reference values, positive </w:t>
      </w:r>
      <w:proofErr w:type="spellStart"/>
      <w:r w:rsidRPr="001A680B">
        <w:rPr>
          <w:rFonts w:ascii="Arial" w:hAnsi="Arial" w:cs="Arial"/>
        </w:rPr>
        <w:t>aCL</w:t>
      </w:r>
      <w:proofErr w:type="spellEnd"/>
      <w:r w:rsidRPr="001A680B">
        <w:rPr>
          <w:rFonts w:ascii="Arial" w:hAnsi="Arial" w:cs="Arial"/>
        </w:rPr>
        <w:t xml:space="preserve">-IgM (OR 19.85, 95% CI = 1.11–333.33), serum albumin &lt;31.5 g/L (OR 9.88, 95% CI = 2.07–47.62), serum uric acid ≥ 303 </w:t>
      </w:r>
      <w:proofErr w:type="spellStart"/>
      <w:r w:rsidRPr="001A680B">
        <w:rPr>
          <w:rFonts w:ascii="Arial" w:hAnsi="Arial" w:cs="Arial"/>
        </w:rPr>
        <w:t>μmol</w:t>
      </w:r>
      <w:proofErr w:type="spellEnd"/>
      <w:r w:rsidRPr="001A680B">
        <w:rPr>
          <w:rFonts w:ascii="Arial" w:hAnsi="Arial" w:cs="Arial"/>
        </w:rPr>
        <w:t>/L (OR 5.58, 95% CI = 1.40–22.22), and 24-hour proteinuria ≥ 0.286 g (OR 14.39, 95% CI = 2.43–83.33) were identified as independent risk factors for PE in pregnant women with systemic lupus erythematosus (SLE)</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 xml:space="preserve">. </w:t>
      </w:r>
    </w:p>
    <w:p w14:paraId="41A0354A" w14:textId="37AA88B1" w:rsidR="00CF5B2C" w:rsidRDefault="001A680B" w:rsidP="001A680B">
      <w:pPr>
        <w:pStyle w:val="Body"/>
        <w:spacing w:after="0"/>
        <w:ind w:firstLine="720"/>
        <w:rPr>
          <w:rFonts w:ascii="Arial" w:hAnsi="Arial" w:cs="Arial"/>
        </w:rPr>
      </w:pPr>
      <w:r w:rsidRPr="001A680B">
        <w:rPr>
          <w:rFonts w:ascii="Arial" w:hAnsi="Arial" w:cs="Arial"/>
        </w:rPr>
        <w:t>In one study, 25.2% of women had proteinuria, an important marker of renal disorders associated with SLE. It was demonstrated that elevated uric acid levels and lower eGFR before conception or during the first trimester of pregnancy were significantly associated with the development of PE. Multivariate analysis showed that the estimated glomerular filtration rate (OR 0.931, 95% CI: 0.886–0.979, P = 0.005) is an independent risk factor, with reduced eGFR being associated with a higher risk of adverse outcomes</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359DFCDE" w14:textId="77777777" w:rsidR="001A680B" w:rsidRDefault="001A680B" w:rsidP="001A680B">
      <w:pPr>
        <w:pStyle w:val="Body"/>
        <w:spacing w:after="0"/>
        <w:rPr>
          <w:rFonts w:ascii="Arial" w:hAnsi="Arial" w:cs="Arial"/>
        </w:rPr>
      </w:pPr>
    </w:p>
    <w:p w14:paraId="59E991EE" w14:textId="3F5A79B7"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3.6 </w:t>
      </w:r>
      <w:r w:rsidR="001A680B" w:rsidRPr="001A680B">
        <w:rPr>
          <w:rFonts w:ascii="Arial" w:hAnsi="Arial" w:cs="Arial"/>
          <w:b/>
          <w:bCs/>
          <w:sz w:val="22"/>
          <w:szCs w:val="22"/>
        </w:rPr>
        <w:t>Pharmacological therapy</w:t>
      </w:r>
    </w:p>
    <w:p w14:paraId="5E7C90E6" w14:textId="77777777" w:rsidR="00790ADA" w:rsidRDefault="00790ADA" w:rsidP="00441B6F">
      <w:pPr>
        <w:pStyle w:val="Body"/>
        <w:spacing w:after="0"/>
        <w:rPr>
          <w:rFonts w:ascii="Arial" w:hAnsi="Arial" w:cs="Arial"/>
        </w:rPr>
      </w:pPr>
    </w:p>
    <w:p w14:paraId="325A76DF" w14:textId="736B6993" w:rsidR="001A680B" w:rsidRPr="001A680B" w:rsidRDefault="001A680B" w:rsidP="001A680B">
      <w:pPr>
        <w:pStyle w:val="Body"/>
        <w:ind w:firstLine="720"/>
        <w:rPr>
          <w:rFonts w:ascii="Arial" w:hAnsi="Arial" w:cs="Arial"/>
        </w:rPr>
      </w:pPr>
      <w:r w:rsidRPr="001A680B">
        <w:rPr>
          <w:rFonts w:ascii="Arial" w:hAnsi="Arial" w:cs="Arial"/>
        </w:rPr>
        <w:t>The use of prednisolone was associated with a significant increase in the likelihood of developing preeclampsia (OR = 2.33)</w:t>
      </w:r>
      <w:r w:rsidR="00B724F1">
        <w:rPr>
          <w:rFonts w:ascii="Arial" w:hAnsi="Arial" w:cs="Arial"/>
        </w:rPr>
        <w:t xml:space="preserve"> (Skorpen </w:t>
      </w:r>
      <w:r w:rsidR="00377F9A" w:rsidRPr="00377F9A">
        <w:rPr>
          <w:rFonts w:ascii="Arial" w:hAnsi="Arial" w:cs="Arial"/>
          <w:i/>
        </w:rPr>
        <w:t>et al.</w:t>
      </w:r>
      <w:r w:rsidR="00B724F1">
        <w:rPr>
          <w:rFonts w:ascii="Arial" w:hAnsi="Arial" w:cs="Arial"/>
        </w:rPr>
        <w:t>, 2017)</w:t>
      </w:r>
      <w:r w:rsidRPr="001A680B">
        <w:rPr>
          <w:rFonts w:ascii="Arial" w:hAnsi="Arial" w:cs="Arial"/>
        </w:rPr>
        <w:t>, with another study showing that a higher percentage of patients who developed preeclampsia were using prednisone (88.9% vs. 71%, P = 0.01)</w:t>
      </w:r>
      <w:r w:rsidR="00B724F1">
        <w:rPr>
          <w:rFonts w:ascii="Arial" w:hAnsi="Arial" w:cs="Arial"/>
        </w:rPr>
        <w:t xml:space="preserve"> (Saavedra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0510919D" w14:textId="4BB68E1F" w:rsidR="00863BD3" w:rsidRPr="00FB3A86" w:rsidRDefault="001A680B" w:rsidP="001A680B">
      <w:pPr>
        <w:pStyle w:val="Body"/>
        <w:spacing w:after="0"/>
        <w:ind w:firstLine="720"/>
        <w:rPr>
          <w:rFonts w:ascii="Arial" w:hAnsi="Arial" w:cs="Arial"/>
        </w:rPr>
      </w:pPr>
      <w:r w:rsidRPr="001A680B">
        <w:rPr>
          <w:rFonts w:ascii="Arial" w:hAnsi="Arial" w:cs="Arial"/>
        </w:rPr>
        <w:t>Interestingly, in one study, patients who did not develop preeclampsia received antimalarial medications more frequently than those who did (84.8% vs. 68.2%, P = 0.007). The use of antimalarials during pregnancy was the only factor associated with a lower risk of developing preeclampsia (RR 0.21, 95% CI 0.08–0.53, P &lt; 0.001)</w:t>
      </w:r>
      <w:r w:rsidR="00B724F1">
        <w:rPr>
          <w:rFonts w:ascii="Arial" w:hAnsi="Arial" w:cs="Arial"/>
        </w:rPr>
        <w:t xml:space="preserve"> (Saavedra </w:t>
      </w:r>
      <w:r w:rsidR="00377F9A" w:rsidRPr="00377F9A">
        <w:rPr>
          <w:rFonts w:ascii="Arial" w:hAnsi="Arial" w:cs="Arial"/>
          <w:i/>
        </w:rPr>
        <w:t>et al.</w:t>
      </w:r>
      <w:r w:rsidR="00B724F1">
        <w:rPr>
          <w:rFonts w:ascii="Arial" w:hAnsi="Arial" w:cs="Arial"/>
        </w:rPr>
        <w:t>, 2020)</w:t>
      </w:r>
      <w:r w:rsidRPr="001A680B">
        <w:rPr>
          <w:rFonts w:ascii="Arial" w:hAnsi="Arial" w:cs="Arial"/>
        </w:rPr>
        <w:t>. Other authors also demonstrated that HCQ treatment was associated with an 89.4% reduction in the risk of developing preeclampsia in pregnant women with SLE (OR 0.106; 95% CI 0.017–0.671)</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263C30F9" w14:textId="77777777" w:rsidR="00E053D0" w:rsidRDefault="00E053D0" w:rsidP="00441B6F">
      <w:pPr>
        <w:pStyle w:val="Body"/>
        <w:spacing w:after="0"/>
        <w:rPr>
          <w:rFonts w:ascii="Arial" w:hAnsi="Arial" w:cs="Arial"/>
        </w:rPr>
      </w:pPr>
    </w:p>
    <w:p w14:paraId="7901B237" w14:textId="00F8D310" w:rsidR="00360A30" w:rsidRPr="001A680B" w:rsidRDefault="00360A30" w:rsidP="001A680B">
      <w:pPr>
        <w:spacing w:before="20" w:after="20"/>
        <w:jc w:val="both"/>
        <w:rPr>
          <w:rFonts w:ascii="Arial" w:hAnsi="Arial" w:cs="Arial"/>
          <w:b/>
          <w:bCs/>
        </w:rPr>
      </w:pPr>
      <w:r w:rsidRPr="00360A30">
        <w:rPr>
          <w:rFonts w:ascii="Arial" w:hAnsi="Arial" w:cs="Arial"/>
          <w:b/>
          <w:bCs/>
        </w:rPr>
        <w:t xml:space="preserve">Table 2. </w:t>
      </w:r>
      <w:r w:rsidR="001A680B" w:rsidRPr="001A680B">
        <w:rPr>
          <w:rFonts w:ascii="Arial" w:hAnsi="Arial" w:cs="Arial"/>
          <w:b/>
          <w:bCs/>
        </w:rPr>
        <w:t>Baseline Characteristics of Included Studies</w:t>
      </w:r>
    </w:p>
    <w:p w14:paraId="03CAC82F" w14:textId="77777777" w:rsidR="00CA4526" w:rsidRDefault="00CA4526" w:rsidP="00CA4526">
      <w:pPr>
        <w:spacing w:before="20" w:after="20"/>
        <w:rPr>
          <w:rFonts w:ascii="Arial" w:hAnsi="Arial" w:cs="Arial"/>
          <w:b/>
          <w:bCs/>
        </w:rPr>
      </w:pPr>
    </w:p>
    <w:tbl>
      <w:tblPr>
        <w:tblW w:w="597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80" w:firstRow="0" w:lastRow="0" w:firstColumn="1" w:lastColumn="0" w:noHBand="0" w:noVBand="1"/>
      </w:tblPr>
      <w:tblGrid>
        <w:gridCol w:w="891"/>
        <w:gridCol w:w="1268"/>
        <w:gridCol w:w="845"/>
        <w:gridCol w:w="704"/>
        <w:gridCol w:w="986"/>
        <w:gridCol w:w="1267"/>
        <w:gridCol w:w="1063"/>
        <w:gridCol w:w="2781"/>
      </w:tblGrid>
      <w:tr w:rsidR="00B96ABD" w14:paraId="7F37AB78" w14:textId="77777777" w:rsidTr="00B96ABD">
        <w:trPr>
          <w:cantSplit/>
          <w:trHeight w:val="1178"/>
          <w:jc w:val="center"/>
        </w:trPr>
        <w:tc>
          <w:tcPr>
            <w:tcW w:w="454" w:type="pct"/>
            <w:tcBorders>
              <w:top w:val="single" w:sz="4" w:space="0" w:color="auto"/>
              <w:left w:val="nil"/>
              <w:bottom w:val="single" w:sz="4" w:space="0" w:color="auto"/>
              <w:right w:val="nil"/>
            </w:tcBorders>
            <w:vAlign w:val="center"/>
            <w:hideMark/>
          </w:tcPr>
          <w:p w14:paraId="39BE4815" w14:textId="77777777" w:rsidR="001A680B" w:rsidRDefault="001A680B">
            <w:pPr>
              <w:spacing w:before="20" w:after="20"/>
              <w:jc w:val="center"/>
              <w:rPr>
                <w:rFonts w:ascii="Arial" w:hAnsi="Arial" w:cs="Arial"/>
                <w:b/>
                <w:bCs/>
                <w:sz w:val="18"/>
                <w:szCs w:val="18"/>
              </w:rPr>
            </w:pPr>
            <w:r>
              <w:rPr>
                <w:rFonts w:ascii="Arial" w:hAnsi="Arial" w:cs="Arial"/>
                <w:b/>
                <w:bCs/>
                <w:sz w:val="18"/>
                <w:szCs w:val="18"/>
              </w:rPr>
              <w:lastRenderedPageBreak/>
              <w:t xml:space="preserve">Author, year </w:t>
            </w:r>
          </w:p>
        </w:tc>
        <w:tc>
          <w:tcPr>
            <w:tcW w:w="646" w:type="pct"/>
            <w:tcBorders>
              <w:top w:val="single" w:sz="4" w:space="0" w:color="auto"/>
              <w:left w:val="nil"/>
              <w:bottom w:val="single" w:sz="4" w:space="0" w:color="auto"/>
              <w:right w:val="nil"/>
            </w:tcBorders>
            <w:vAlign w:val="center"/>
            <w:hideMark/>
          </w:tcPr>
          <w:p w14:paraId="53E00FDD"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Type of study</w:t>
            </w:r>
          </w:p>
        </w:tc>
        <w:tc>
          <w:tcPr>
            <w:tcW w:w="431" w:type="pct"/>
            <w:tcBorders>
              <w:top w:val="single" w:sz="4" w:space="0" w:color="auto"/>
              <w:left w:val="nil"/>
              <w:bottom w:val="single" w:sz="4" w:space="0" w:color="auto"/>
              <w:right w:val="nil"/>
            </w:tcBorders>
            <w:vAlign w:val="center"/>
            <w:hideMark/>
          </w:tcPr>
          <w:p w14:paraId="55CD8101"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Country</w:t>
            </w:r>
          </w:p>
        </w:tc>
        <w:tc>
          <w:tcPr>
            <w:tcW w:w="359" w:type="pct"/>
            <w:tcBorders>
              <w:top w:val="single" w:sz="4" w:space="0" w:color="auto"/>
              <w:left w:val="nil"/>
              <w:bottom w:val="single" w:sz="4" w:space="0" w:color="auto"/>
              <w:right w:val="nil"/>
            </w:tcBorders>
            <w:vAlign w:val="center"/>
            <w:hideMark/>
          </w:tcPr>
          <w:p w14:paraId="47DAD689"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Date</w:t>
            </w:r>
          </w:p>
        </w:tc>
        <w:tc>
          <w:tcPr>
            <w:tcW w:w="503" w:type="pct"/>
            <w:tcBorders>
              <w:top w:val="single" w:sz="4" w:space="0" w:color="auto"/>
              <w:left w:val="nil"/>
              <w:bottom w:val="single" w:sz="4" w:space="0" w:color="auto"/>
              <w:right w:val="nil"/>
            </w:tcBorders>
            <w:vAlign w:val="center"/>
            <w:hideMark/>
          </w:tcPr>
          <w:p w14:paraId="31651113"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Patients</w:t>
            </w:r>
          </w:p>
        </w:tc>
        <w:tc>
          <w:tcPr>
            <w:tcW w:w="646" w:type="pct"/>
            <w:tcBorders>
              <w:top w:val="single" w:sz="4" w:space="0" w:color="auto"/>
              <w:left w:val="nil"/>
              <w:bottom w:val="single" w:sz="4" w:space="0" w:color="auto"/>
              <w:right w:val="nil"/>
            </w:tcBorders>
            <w:vAlign w:val="center"/>
            <w:hideMark/>
          </w:tcPr>
          <w:p w14:paraId="0D4CCE70"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Sample</w:t>
            </w:r>
          </w:p>
        </w:tc>
        <w:tc>
          <w:tcPr>
            <w:tcW w:w="542" w:type="pct"/>
            <w:tcBorders>
              <w:top w:val="single" w:sz="4" w:space="0" w:color="auto"/>
              <w:left w:val="nil"/>
              <w:bottom w:val="single" w:sz="4" w:space="0" w:color="auto"/>
              <w:right w:val="nil"/>
            </w:tcBorders>
            <w:vAlign w:val="center"/>
            <w:hideMark/>
          </w:tcPr>
          <w:p w14:paraId="56984B92"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Age (average)</w:t>
            </w:r>
          </w:p>
        </w:tc>
        <w:tc>
          <w:tcPr>
            <w:tcW w:w="1418" w:type="pct"/>
            <w:tcBorders>
              <w:top w:val="single" w:sz="4" w:space="0" w:color="auto"/>
              <w:left w:val="nil"/>
              <w:bottom w:val="single" w:sz="4" w:space="0" w:color="auto"/>
              <w:right w:val="nil"/>
            </w:tcBorders>
            <w:vAlign w:val="center"/>
            <w:hideMark/>
          </w:tcPr>
          <w:p w14:paraId="2B97F250" w14:textId="77777777" w:rsidR="001A680B" w:rsidRDefault="001A680B">
            <w:pPr>
              <w:spacing w:before="20" w:after="20"/>
              <w:jc w:val="center"/>
              <w:rPr>
                <w:rFonts w:ascii="Arial" w:hAnsi="Arial" w:cs="Arial"/>
                <w:b/>
                <w:bCs/>
                <w:sz w:val="18"/>
                <w:szCs w:val="18"/>
              </w:rPr>
            </w:pPr>
            <w:r>
              <w:rPr>
                <w:rFonts w:ascii="Arial" w:hAnsi="Arial" w:cs="Arial"/>
                <w:b/>
                <w:bCs/>
                <w:sz w:val="18"/>
                <w:szCs w:val="18"/>
              </w:rPr>
              <w:t>Conclusions</w:t>
            </w:r>
          </w:p>
        </w:tc>
      </w:tr>
      <w:tr w:rsidR="00B96ABD" w14:paraId="2BC5A765" w14:textId="77777777" w:rsidTr="00B96ABD">
        <w:trPr>
          <w:cantSplit/>
          <w:trHeight w:val="1178"/>
          <w:jc w:val="center"/>
        </w:trPr>
        <w:tc>
          <w:tcPr>
            <w:tcW w:w="454" w:type="pct"/>
            <w:tcBorders>
              <w:top w:val="single" w:sz="4" w:space="0" w:color="auto"/>
              <w:left w:val="nil"/>
              <w:bottom w:val="nil"/>
              <w:right w:val="nil"/>
            </w:tcBorders>
            <w:vAlign w:val="center"/>
            <w:hideMark/>
          </w:tcPr>
          <w:p w14:paraId="15BA1494" w14:textId="34435A30" w:rsidR="001A680B" w:rsidRDefault="001A680B" w:rsidP="00B96ABD">
            <w:pPr>
              <w:spacing w:before="20" w:after="20"/>
              <w:jc w:val="center"/>
              <w:rPr>
                <w:rFonts w:ascii="Arial" w:hAnsi="Arial" w:cs="Arial"/>
                <w:b/>
                <w:bCs/>
                <w:sz w:val="18"/>
                <w:szCs w:val="18"/>
              </w:rPr>
            </w:pPr>
            <w:r>
              <w:rPr>
                <w:rFonts w:ascii="Arial" w:hAnsi="Arial" w:cs="Arial"/>
                <w:sz w:val="18"/>
                <w:szCs w:val="18"/>
              </w:rPr>
              <w:t xml:space="preserve">Skorpen </w:t>
            </w:r>
            <w:r w:rsidR="00377F9A" w:rsidRPr="00377F9A">
              <w:rPr>
                <w:rFonts w:ascii="Arial" w:hAnsi="Arial" w:cs="Arial"/>
                <w:i/>
                <w:iCs/>
                <w:sz w:val="18"/>
                <w:szCs w:val="18"/>
              </w:rPr>
              <w:t>et al.</w:t>
            </w:r>
            <w:r>
              <w:rPr>
                <w:rFonts w:ascii="Arial" w:hAnsi="Arial" w:cs="Arial"/>
                <w:sz w:val="18"/>
                <w:szCs w:val="18"/>
              </w:rPr>
              <w:t>, 2017</w:t>
            </w:r>
          </w:p>
        </w:tc>
        <w:tc>
          <w:tcPr>
            <w:tcW w:w="646" w:type="pct"/>
            <w:tcBorders>
              <w:top w:val="single" w:sz="4" w:space="0" w:color="auto"/>
              <w:left w:val="nil"/>
              <w:bottom w:val="nil"/>
              <w:right w:val="nil"/>
            </w:tcBorders>
            <w:vAlign w:val="center"/>
            <w:hideMark/>
          </w:tcPr>
          <w:p w14:paraId="1EB44085" w14:textId="77777777" w:rsidR="001A680B" w:rsidRDefault="001A680B" w:rsidP="00B96ABD">
            <w:pPr>
              <w:spacing w:before="20" w:after="20"/>
              <w:jc w:val="center"/>
              <w:rPr>
                <w:rFonts w:ascii="Arial" w:hAnsi="Arial" w:cs="Arial"/>
                <w:sz w:val="18"/>
                <w:szCs w:val="18"/>
              </w:rPr>
            </w:pPr>
            <w:proofErr w:type="spellStart"/>
            <w:r>
              <w:rPr>
                <w:rFonts w:ascii="Arial" w:hAnsi="Arial" w:cs="Arial"/>
                <w:sz w:val="18"/>
                <w:szCs w:val="18"/>
              </w:rPr>
              <w:t>Coorte</w:t>
            </w:r>
            <w:proofErr w:type="spellEnd"/>
            <w:r>
              <w:rPr>
                <w:rFonts w:ascii="Arial" w:hAnsi="Arial" w:cs="Arial"/>
                <w:sz w:val="18"/>
                <w:szCs w:val="18"/>
              </w:rPr>
              <w:t xml:space="preserve"> (Longitudinal Observational)</w:t>
            </w:r>
          </w:p>
        </w:tc>
        <w:tc>
          <w:tcPr>
            <w:tcW w:w="431" w:type="pct"/>
            <w:tcBorders>
              <w:top w:val="single" w:sz="4" w:space="0" w:color="auto"/>
              <w:left w:val="nil"/>
              <w:bottom w:val="nil"/>
              <w:right w:val="nil"/>
            </w:tcBorders>
            <w:vAlign w:val="center"/>
            <w:hideMark/>
          </w:tcPr>
          <w:p w14:paraId="041BDE20" w14:textId="77777777" w:rsidR="001A680B" w:rsidRDefault="001A680B" w:rsidP="00B96ABD">
            <w:pPr>
              <w:spacing w:before="20" w:after="20"/>
              <w:jc w:val="center"/>
              <w:rPr>
                <w:rFonts w:ascii="Arial" w:hAnsi="Arial" w:cs="Arial"/>
                <w:sz w:val="18"/>
                <w:szCs w:val="18"/>
              </w:rPr>
            </w:pPr>
            <w:r>
              <w:rPr>
                <w:rFonts w:ascii="Arial" w:hAnsi="Arial" w:cs="Arial"/>
                <w:sz w:val="18"/>
                <w:szCs w:val="18"/>
              </w:rPr>
              <w:t>Norway</w:t>
            </w:r>
          </w:p>
        </w:tc>
        <w:tc>
          <w:tcPr>
            <w:tcW w:w="359" w:type="pct"/>
            <w:tcBorders>
              <w:top w:val="single" w:sz="4" w:space="0" w:color="auto"/>
              <w:left w:val="nil"/>
              <w:bottom w:val="nil"/>
              <w:right w:val="nil"/>
            </w:tcBorders>
            <w:vAlign w:val="center"/>
            <w:hideMark/>
          </w:tcPr>
          <w:p w14:paraId="3C2520C1"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2006 – 2015</w:t>
            </w:r>
          </w:p>
        </w:tc>
        <w:tc>
          <w:tcPr>
            <w:tcW w:w="503" w:type="pct"/>
            <w:tcBorders>
              <w:top w:val="single" w:sz="4" w:space="0" w:color="auto"/>
              <w:left w:val="nil"/>
              <w:bottom w:val="nil"/>
              <w:right w:val="nil"/>
            </w:tcBorders>
            <w:vAlign w:val="center"/>
            <w:hideMark/>
          </w:tcPr>
          <w:p w14:paraId="77666F9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single" w:sz="4" w:space="0" w:color="auto"/>
              <w:left w:val="nil"/>
              <w:bottom w:val="nil"/>
              <w:right w:val="nil"/>
            </w:tcBorders>
            <w:vAlign w:val="center"/>
            <w:hideMark/>
          </w:tcPr>
          <w:p w14:paraId="2FD4E2A1" w14:textId="77777777" w:rsidR="001A680B" w:rsidRDefault="001A680B" w:rsidP="00B96ABD">
            <w:pPr>
              <w:spacing w:before="20" w:after="20"/>
              <w:jc w:val="center"/>
              <w:rPr>
                <w:rFonts w:ascii="Arial" w:hAnsi="Arial" w:cs="Arial"/>
                <w:sz w:val="18"/>
                <w:szCs w:val="18"/>
              </w:rPr>
            </w:pPr>
            <w:r>
              <w:rPr>
                <w:rFonts w:ascii="Arial" w:hAnsi="Arial" w:cs="Arial"/>
                <w:sz w:val="18"/>
                <w:szCs w:val="18"/>
              </w:rPr>
              <w:t>180 pregnancies</w:t>
            </w:r>
          </w:p>
        </w:tc>
        <w:tc>
          <w:tcPr>
            <w:tcW w:w="542" w:type="pct"/>
            <w:tcBorders>
              <w:top w:val="single" w:sz="4" w:space="0" w:color="auto"/>
              <w:left w:val="nil"/>
              <w:bottom w:val="nil"/>
              <w:right w:val="nil"/>
            </w:tcBorders>
            <w:vAlign w:val="center"/>
            <w:hideMark/>
          </w:tcPr>
          <w:p w14:paraId="1507196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31,5</w:t>
            </w:r>
          </w:p>
        </w:tc>
        <w:tc>
          <w:tcPr>
            <w:tcW w:w="1418" w:type="pct"/>
            <w:tcBorders>
              <w:top w:val="single" w:sz="4" w:space="0" w:color="auto"/>
              <w:left w:val="nil"/>
              <w:bottom w:val="nil"/>
              <w:right w:val="nil"/>
            </w:tcBorders>
            <w:vAlign w:val="center"/>
            <w:hideMark/>
          </w:tcPr>
          <w:p w14:paraId="29D4B8BB" w14:textId="77777777" w:rsidR="001A680B" w:rsidRDefault="001A680B" w:rsidP="00377F9A">
            <w:pPr>
              <w:spacing w:before="20" w:after="20"/>
              <w:jc w:val="both"/>
              <w:rPr>
                <w:rFonts w:ascii="Arial" w:hAnsi="Arial" w:cs="Arial"/>
                <w:sz w:val="18"/>
                <w:szCs w:val="18"/>
              </w:rPr>
            </w:pPr>
            <w:r>
              <w:rPr>
                <w:rFonts w:ascii="Arial" w:hAnsi="Arial" w:cs="Arial"/>
                <w:sz w:val="18"/>
                <w:szCs w:val="18"/>
              </w:rPr>
              <w:t>The risk of preeclampsia is higher in active disease compared to inactive disease (5.33 vs. 3.38). There was a substantially higher probability of PE with the use of prednisolone (OR = 2.33).</w:t>
            </w:r>
          </w:p>
          <w:p w14:paraId="6D4C8579" w14:textId="77777777" w:rsidR="00377F9A" w:rsidRDefault="00377F9A" w:rsidP="00377F9A">
            <w:pPr>
              <w:spacing w:before="20" w:after="20"/>
              <w:jc w:val="both"/>
              <w:rPr>
                <w:rFonts w:ascii="Arial" w:hAnsi="Arial" w:cs="Arial"/>
                <w:sz w:val="18"/>
                <w:szCs w:val="18"/>
              </w:rPr>
            </w:pPr>
          </w:p>
          <w:p w14:paraId="4C672365" w14:textId="77777777" w:rsidR="00377F9A" w:rsidRDefault="00377F9A" w:rsidP="00377F9A">
            <w:pPr>
              <w:spacing w:before="20" w:after="20"/>
              <w:jc w:val="both"/>
              <w:rPr>
                <w:rFonts w:ascii="Arial" w:hAnsi="Arial" w:cs="Arial"/>
                <w:sz w:val="18"/>
                <w:szCs w:val="18"/>
              </w:rPr>
            </w:pPr>
          </w:p>
        </w:tc>
      </w:tr>
      <w:tr w:rsidR="00B96ABD" w14:paraId="74CCDEE0" w14:textId="77777777" w:rsidTr="00B96ABD">
        <w:trPr>
          <w:cantSplit/>
          <w:trHeight w:val="1178"/>
          <w:jc w:val="center"/>
        </w:trPr>
        <w:tc>
          <w:tcPr>
            <w:tcW w:w="454" w:type="pct"/>
            <w:tcBorders>
              <w:top w:val="nil"/>
              <w:left w:val="nil"/>
              <w:bottom w:val="nil"/>
              <w:right w:val="nil"/>
            </w:tcBorders>
            <w:vAlign w:val="center"/>
            <w:hideMark/>
          </w:tcPr>
          <w:p w14:paraId="58B38F07" w14:textId="51A5F1DD" w:rsidR="001A680B" w:rsidRDefault="001A680B" w:rsidP="00B96ABD">
            <w:pPr>
              <w:spacing w:before="20" w:after="20"/>
              <w:jc w:val="center"/>
              <w:rPr>
                <w:rFonts w:ascii="Arial" w:hAnsi="Arial" w:cs="Arial"/>
                <w:b/>
                <w:bCs/>
                <w:sz w:val="18"/>
                <w:szCs w:val="18"/>
              </w:rPr>
            </w:pPr>
            <w:r>
              <w:rPr>
                <w:rFonts w:ascii="Arial" w:hAnsi="Arial" w:cs="Arial"/>
                <w:sz w:val="18"/>
                <w:szCs w:val="18"/>
              </w:rPr>
              <w:t xml:space="preserve">Bremme </w:t>
            </w:r>
            <w:r w:rsidR="00377F9A" w:rsidRPr="00377F9A">
              <w:rPr>
                <w:rFonts w:ascii="Arial" w:hAnsi="Arial" w:cs="Arial"/>
                <w:i/>
                <w:iCs/>
                <w:sz w:val="18"/>
                <w:szCs w:val="18"/>
              </w:rPr>
              <w:t>et al.</w:t>
            </w:r>
            <w:r>
              <w:rPr>
                <w:rFonts w:ascii="Arial" w:hAnsi="Arial" w:cs="Arial"/>
                <w:sz w:val="18"/>
                <w:szCs w:val="18"/>
              </w:rPr>
              <w:t>, 2021</w:t>
            </w:r>
          </w:p>
        </w:tc>
        <w:tc>
          <w:tcPr>
            <w:tcW w:w="646" w:type="pct"/>
            <w:tcBorders>
              <w:top w:val="nil"/>
              <w:left w:val="nil"/>
              <w:bottom w:val="nil"/>
              <w:right w:val="nil"/>
            </w:tcBorders>
            <w:vAlign w:val="center"/>
            <w:hideMark/>
          </w:tcPr>
          <w:p w14:paraId="7B82E85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Observational Retrospective Single-center</w:t>
            </w:r>
          </w:p>
        </w:tc>
        <w:tc>
          <w:tcPr>
            <w:tcW w:w="431" w:type="pct"/>
            <w:tcBorders>
              <w:top w:val="nil"/>
              <w:left w:val="nil"/>
              <w:bottom w:val="nil"/>
              <w:right w:val="nil"/>
            </w:tcBorders>
            <w:vAlign w:val="center"/>
            <w:hideMark/>
          </w:tcPr>
          <w:p w14:paraId="68193C68" w14:textId="77777777" w:rsidR="001A680B" w:rsidRDefault="001A680B" w:rsidP="00B96ABD">
            <w:pPr>
              <w:spacing w:before="20" w:after="20"/>
              <w:jc w:val="center"/>
              <w:rPr>
                <w:rFonts w:ascii="Arial" w:hAnsi="Arial" w:cs="Arial"/>
                <w:sz w:val="18"/>
                <w:szCs w:val="18"/>
              </w:rPr>
            </w:pPr>
            <w:r>
              <w:rPr>
                <w:rFonts w:ascii="Arial" w:hAnsi="Arial" w:cs="Arial"/>
                <w:sz w:val="18"/>
                <w:szCs w:val="18"/>
              </w:rPr>
              <w:t>Sweden</w:t>
            </w:r>
          </w:p>
        </w:tc>
        <w:tc>
          <w:tcPr>
            <w:tcW w:w="359" w:type="pct"/>
            <w:tcBorders>
              <w:top w:val="nil"/>
              <w:left w:val="nil"/>
              <w:bottom w:val="nil"/>
              <w:right w:val="nil"/>
            </w:tcBorders>
            <w:vAlign w:val="center"/>
            <w:hideMark/>
          </w:tcPr>
          <w:p w14:paraId="2B2F4F1A"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2000 - 2017</w:t>
            </w:r>
          </w:p>
        </w:tc>
        <w:tc>
          <w:tcPr>
            <w:tcW w:w="503" w:type="pct"/>
            <w:tcBorders>
              <w:top w:val="nil"/>
              <w:left w:val="nil"/>
              <w:bottom w:val="nil"/>
              <w:right w:val="nil"/>
            </w:tcBorders>
            <w:vAlign w:val="center"/>
            <w:hideMark/>
          </w:tcPr>
          <w:p w14:paraId="50FA72CF"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33134B4A" w14:textId="77777777" w:rsidR="001A680B" w:rsidRDefault="001A680B" w:rsidP="00B96ABD">
            <w:pPr>
              <w:spacing w:before="20" w:after="20"/>
              <w:jc w:val="center"/>
              <w:rPr>
                <w:rFonts w:ascii="Arial" w:hAnsi="Arial" w:cs="Arial"/>
                <w:sz w:val="18"/>
                <w:szCs w:val="18"/>
              </w:rPr>
            </w:pPr>
            <w:r>
              <w:rPr>
                <w:rFonts w:ascii="Arial" w:hAnsi="Arial" w:cs="Arial"/>
                <w:sz w:val="18"/>
                <w:szCs w:val="18"/>
              </w:rPr>
              <w:t>103 pregnancies (35 women with previous or active NL vs 68 with non-renal SLE)</w:t>
            </w:r>
          </w:p>
        </w:tc>
        <w:tc>
          <w:tcPr>
            <w:tcW w:w="542" w:type="pct"/>
            <w:tcBorders>
              <w:top w:val="nil"/>
              <w:left w:val="nil"/>
              <w:bottom w:val="nil"/>
              <w:right w:val="nil"/>
            </w:tcBorders>
            <w:vAlign w:val="center"/>
            <w:hideMark/>
          </w:tcPr>
          <w:p w14:paraId="063C126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31.6 (30.8 with NL and 32 without NL)</w:t>
            </w:r>
          </w:p>
        </w:tc>
        <w:tc>
          <w:tcPr>
            <w:tcW w:w="1418" w:type="pct"/>
            <w:tcBorders>
              <w:top w:val="nil"/>
              <w:left w:val="nil"/>
              <w:bottom w:val="nil"/>
              <w:right w:val="nil"/>
            </w:tcBorders>
            <w:vAlign w:val="center"/>
            <w:hideMark/>
          </w:tcPr>
          <w:p w14:paraId="31093182" w14:textId="77777777" w:rsidR="001A680B" w:rsidRDefault="001A680B" w:rsidP="00377F9A">
            <w:pPr>
              <w:spacing w:before="20" w:after="20"/>
              <w:jc w:val="both"/>
              <w:rPr>
                <w:rFonts w:ascii="Arial" w:hAnsi="Arial" w:cs="Arial"/>
                <w:sz w:val="18"/>
                <w:szCs w:val="18"/>
              </w:rPr>
            </w:pPr>
            <w:r>
              <w:rPr>
                <w:rFonts w:ascii="Arial" w:hAnsi="Arial" w:cs="Arial"/>
                <w:sz w:val="18"/>
                <w:szCs w:val="18"/>
              </w:rPr>
              <w:t>Patients with lupus nephritis (either previous or active) had a significantly higher risk of preeclampsia compared to women with SLE without renal involvement (25.7% vs. 2.9%, p = 0.001).</w:t>
            </w:r>
          </w:p>
          <w:p w14:paraId="46C3006B" w14:textId="77777777" w:rsidR="00377F9A" w:rsidRDefault="00377F9A" w:rsidP="00377F9A">
            <w:pPr>
              <w:spacing w:before="20" w:after="20"/>
              <w:jc w:val="both"/>
              <w:rPr>
                <w:rFonts w:ascii="Arial" w:hAnsi="Arial" w:cs="Arial"/>
                <w:sz w:val="18"/>
                <w:szCs w:val="18"/>
              </w:rPr>
            </w:pPr>
          </w:p>
          <w:p w14:paraId="499BB072" w14:textId="77777777" w:rsidR="00377F9A" w:rsidRDefault="00377F9A" w:rsidP="00377F9A">
            <w:pPr>
              <w:spacing w:before="20" w:after="20"/>
              <w:jc w:val="both"/>
              <w:rPr>
                <w:rFonts w:ascii="Arial" w:hAnsi="Arial" w:cs="Arial"/>
                <w:sz w:val="18"/>
                <w:szCs w:val="18"/>
              </w:rPr>
            </w:pPr>
          </w:p>
        </w:tc>
      </w:tr>
      <w:tr w:rsidR="00B96ABD" w14:paraId="3780A106" w14:textId="77777777" w:rsidTr="00B96ABD">
        <w:trPr>
          <w:cantSplit/>
          <w:trHeight w:val="1178"/>
          <w:jc w:val="center"/>
        </w:trPr>
        <w:tc>
          <w:tcPr>
            <w:tcW w:w="454" w:type="pct"/>
            <w:tcBorders>
              <w:top w:val="nil"/>
              <w:left w:val="nil"/>
              <w:bottom w:val="nil"/>
              <w:right w:val="nil"/>
            </w:tcBorders>
            <w:vAlign w:val="center"/>
            <w:hideMark/>
          </w:tcPr>
          <w:p w14:paraId="728F32EE" w14:textId="3B616793" w:rsidR="001A680B" w:rsidRDefault="001A680B" w:rsidP="00B96ABD">
            <w:pPr>
              <w:spacing w:before="20" w:after="20"/>
              <w:jc w:val="center"/>
              <w:rPr>
                <w:rFonts w:ascii="Arial" w:hAnsi="Arial" w:cs="Arial"/>
                <w:b/>
                <w:bCs/>
                <w:sz w:val="18"/>
                <w:szCs w:val="18"/>
              </w:rPr>
            </w:pPr>
            <w:r>
              <w:rPr>
                <w:rFonts w:ascii="Arial" w:hAnsi="Arial" w:cs="Arial"/>
                <w:sz w:val="18"/>
                <w:szCs w:val="18"/>
              </w:rPr>
              <w:t xml:space="preserve">Maeda </w:t>
            </w:r>
            <w:r w:rsidR="00377F9A" w:rsidRPr="00377F9A">
              <w:rPr>
                <w:rFonts w:ascii="Arial" w:hAnsi="Arial" w:cs="Arial"/>
                <w:i/>
                <w:iCs/>
                <w:sz w:val="18"/>
                <w:szCs w:val="18"/>
              </w:rPr>
              <w:t>et al.</w:t>
            </w:r>
            <w:r>
              <w:rPr>
                <w:rFonts w:ascii="Arial" w:hAnsi="Arial" w:cs="Arial"/>
                <w:sz w:val="18"/>
                <w:szCs w:val="18"/>
              </w:rPr>
              <w:t>, 2020</w:t>
            </w:r>
          </w:p>
        </w:tc>
        <w:tc>
          <w:tcPr>
            <w:tcW w:w="646" w:type="pct"/>
            <w:tcBorders>
              <w:top w:val="nil"/>
              <w:left w:val="nil"/>
              <w:bottom w:val="nil"/>
              <w:right w:val="nil"/>
            </w:tcBorders>
            <w:vAlign w:val="center"/>
            <w:hideMark/>
          </w:tcPr>
          <w:p w14:paraId="7AA1C287" w14:textId="77777777" w:rsidR="001A680B" w:rsidRDefault="001A680B" w:rsidP="00B96ABD">
            <w:pPr>
              <w:spacing w:before="20" w:after="20"/>
              <w:jc w:val="center"/>
              <w:rPr>
                <w:rFonts w:ascii="Arial" w:hAnsi="Arial" w:cs="Arial"/>
                <w:sz w:val="18"/>
                <w:szCs w:val="18"/>
              </w:rPr>
            </w:pPr>
            <w:r>
              <w:rPr>
                <w:rFonts w:ascii="Arial" w:hAnsi="Arial" w:cs="Arial"/>
                <w:sz w:val="18"/>
                <w:szCs w:val="18"/>
              </w:rPr>
              <w:t>Single-Centered Retrospective</w:t>
            </w:r>
          </w:p>
        </w:tc>
        <w:tc>
          <w:tcPr>
            <w:tcW w:w="431" w:type="pct"/>
            <w:tcBorders>
              <w:top w:val="nil"/>
              <w:left w:val="nil"/>
              <w:bottom w:val="nil"/>
              <w:right w:val="nil"/>
            </w:tcBorders>
            <w:vAlign w:val="center"/>
            <w:hideMark/>
          </w:tcPr>
          <w:p w14:paraId="2AB0AEC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Japan</w:t>
            </w:r>
          </w:p>
        </w:tc>
        <w:tc>
          <w:tcPr>
            <w:tcW w:w="359" w:type="pct"/>
            <w:tcBorders>
              <w:top w:val="nil"/>
              <w:left w:val="nil"/>
              <w:bottom w:val="nil"/>
              <w:right w:val="nil"/>
            </w:tcBorders>
            <w:vAlign w:val="center"/>
            <w:hideMark/>
          </w:tcPr>
          <w:p w14:paraId="572ECEC1"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2002 - 2017</w:t>
            </w:r>
          </w:p>
        </w:tc>
        <w:tc>
          <w:tcPr>
            <w:tcW w:w="503" w:type="pct"/>
            <w:tcBorders>
              <w:top w:val="nil"/>
              <w:left w:val="nil"/>
              <w:bottom w:val="nil"/>
              <w:right w:val="nil"/>
            </w:tcBorders>
            <w:vAlign w:val="center"/>
            <w:hideMark/>
          </w:tcPr>
          <w:p w14:paraId="39BEAB9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62CA7648" w14:textId="77777777" w:rsidR="001A680B" w:rsidRDefault="001A680B" w:rsidP="00B96ABD">
            <w:pPr>
              <w:spacing w:before="20" w:after="20"/>
              <w:jc w:val="center"/>
              <w:rPr>
                <w:rFonts w:ascii="Arial" w:hAnsi="Arial" w:cs="Arial"/>
                <w:sz w:val="18"/>
                <w:szCs w:val="18"/>
              </w:rPr>
            </w:pPr>
            <w:r>
              <w:rPr>
                <w:rFonts w:ascii="Arial" w:hAnsi="Arial" w:cs="Arial"/>
                <w:sz w:val="18"/>
                <w:szCs w:val="18"/>
              </w:rPr>
              <w:t>76 (48 nulliparous vs 28 multiparous)</w:t>
            </w:r>
          </w:p>
        </w:tc>
        <w:tc>
          <w:tcPr>
            <w:tcW w:w="542" w:type="pct"/>
            <w:tcBorders>
              <w:top w:val="nil"/>
              <w:left w:val="nil"/>
              <w:bottom w:val="nil"/>
              <w:right w:val="nil"/>
            </w:tcBorders>
            <w:vAlign w:val="center"/>
            <w:hideMark/>
          </w:tcPr>
          <w:p w14:paraId="0C28969B"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33.5 (nulliparous) and 34.1 (multiparous)</w:t>
            </w:r>
          </w:p>
        </w:tc>
        <w:tc>
          <w:tcPr>
            <w:tcW w:w="1418" w:type="pct"/>
            <w:tcBorders>
              <w:top w:val="nil"/>
              <w:left w:val="nil"/>
              <w:bottom w:val="nil"/>
              <w:right w:val="nil"/>
            </w:tcBorders>
            <w:vAlign w:val="center"/>
            <w:hideMark/>
          </w:tcPr>
          <w:p w14:paraId="1686A941" w14:textId="77777777" w:rsidR="001A680B" w:rsidRDefault="001A680B" w:rsidP="00377F9A">
            <w:pPr>
              <w:spacing w:before="20" w:after="20"/>
              <w:jc w:val="both"/>
              <w:rPr>
                <w:rFonts w:ascii="Arial" w:hAnsi="Arial" w:cs="Arial"/>
                <w:sz w:val="18"/>
                <w:szCs w:val="18"/>
              </w:rPr>
            </w:pPr>
            <w:r>
              <w:rPr>
                <w:rFonts w:ascii="Arial" w:hAnsi="Arial" w:cs="Arial"/>
                <w:sz w:val="18"/>
                <w:szCs w:val="18"/>
              </w:rPr>
              <w:t>PE occurred in 22.9% (11/48) of nulliparous women and in 3.6% (1/28) of multiparous women. Multiparity was significantly associated with a lower risk of preeclampsia (OR: 0.08; 95% CI: 0.01–0.95).</w:t>
            </w:r>
          </w:p>
          <w:p w14:paraId="1AC88ADB" w14:textId="77777777" w:rsidR="00377F9A" w:rsidRDefault="00377F9A" w:rsidP="00377F9A">
            <w:pPr>
              <w:spacing w:before="20" w:after="20"/>
              <w:jc w:val="both"/>
              <w:rPr>
                <w:rFonts w:ascii="Arial" w:hAnsi="Arial" w:cs="Arial"/>
                <w:sz w:val="18"/>
                <w:szCs w:val="18"/>
              </w:rPr>
            </w:pPr>
          </w:p>
          <w:p w14:paraId="0C2661BF" w14:textId="77777777" w:rsidR="00377F9A" w:rsidRDefault="00377F9A" w:rsidP="00377F9A">
            <w:pPr>
              <w:spacing w:before="20" w:after="20"/>
              <w:jc w:val="both"/>
              <w:rPr>
                <w:rFonts w:ascii="Arial" w:hAnsi="Arial" w:cs="Arial"/>
                <w:sz w:val="18"/>
                <w:szCs w:val="18"/>
              </w:rPr>
            </w:pPr>
          </w:p>
        </w:tc>
      </w:tr>
      <w:tr w:rsidR="00B96ABD" w14:paraId="7A2F9453" w14:textId="77777777" w:rsidTr="00B96ABD">
        <w:trPr>
          <w:cantSplit/>
          <w:trHeight w:val="1178"/>
          <w:jc w:val="center"/>
        </w:trPr>
        <w:tc>
          <w:tcPr>
            <w:tcW w:w="454" w:type="pct"/>
            <w:tcBorders>
              <w:top w:val="nil"/>
              <w:left w:val="nil"/>
              <w:bottom w:val="nil"/>
              <w:right w:val="nil"/>
            </w:tcBorders>
            <w:vAlign w:val="center"/>
            <w:hideMark/>
          </w:tcPr>
          <w:p w14:paraId="5CAE2557" w14:textId="023D1FC6" w:rsidR="001A680B" w:rsidRDefault="001A680B" w:rsidP="00B96ABD">
            <w:pPr>
              <w:spacing w:before="20" w:after="20"/>
              <w:jc w:val="center"/>
              <w:rPr>
                <w:rFonts w:ascii="Arial" w:hAnsi="Arial" w:cs="Arial"/>
                <w:b/>
                <w:bCs/>
                <w:sz w:val="18"/>
                <w:szCs w:val="18"/>
              </w:rPr>
            </w:pPr>
            <w:r>
              <w:rPr>
                <w:rFonts w:ascii="Arial" w:hAnsi="Arial" w:cs="Arial"/>
                <w:sz w:val="18"/>
                <w:szCs w:val="18"/>
              </w:rPr>
              <w:t xml:space="preserve">Jiang </w:t>
            </w:r>
            <w:r w:rsidR="00377F9A" w:rsidRPr="00377F9A">
              <w:rPr>
                <w:rFonts w:ascii="Arial" w:hAnsi="Arial" w:cs="Arial"/>
                <w:i/>
                <w:iCs/>
                <w:sz w:val="18"/>
                <w:szCs w:val="18"/>
              </w:rPr>
              <w:t>et al.</w:t>
            </w:r>
            <w:r>
              <w:rPr>
                <w:rFonts w:ascii="Arial" w:hAnsi="Arial" w:cs="Arial"/>
                <w:sz w:val="18"/>
                <w:szCs w:val="18"/>
              </w:rPr>
              <w:t>, 2020</w:t>
            </w:r>
          </w:p>
        </w:tc>
        <w:tc>
          <w:tcPr>
            <w:tcW w:w="646" w:type="pct"/>
            <w:tcBorders>
              <w:top w:val="nil"/>
              <w:left w:val="nil"/>
              <w:bottom w:val="nil"/>
              <w:right w:val="nil"/>
            </w:tcBorders>
            <w:vAlign w:val="center"/>
            <w:hideMark/>
          </w:tcPr>
          <w:p w14:paraId="1FDB635C" w14:textId="77777777" w:rsidR="001A680B" w:rsidRDefault="001A680B" w:rsidP="00B96ABD">
            <w:pPr>
              <w:spacing w:before="20" w:after="20"/>
              <w:jc w:val="center"/>
              <w:rPr>
                <w:rFonts w:ascii="Arial" w:hAnsi="Arial" w:cs="Arial"/>
                <w:sz w:val="18"/>
                <w:szCs w:val="18"/>
              </w:rPr>
            </w:pPr>
            <w:r>
              <w:rPr>
                <w:rFonts w:ascii="Arial" w:hAnsi="Arial" w:cs="Arial"/>
                <w:sz w:val="18"/>
                <w:szCs w:val="18"/>
              </w:rPr>
              <w:t>Randomized Observational Retrospective</w:t>
            </w:r>
          </w:p>
        </w:tc>
        <w:tc>
          <w:tcPr>
            <w:tcW w:w="431" w:type="pct"/>
            <w:tcBorders>
              <w:top w:val="nil"/>
              <w:left w:val="nil"/>
              <w:bottom w:val="nil"/>
              <w:right w:val="nil"/>
            </w:tcBorders>
            <w:vAlign w:val="center"/>
            <w:hideMark/>
          </w:tcPr>
          <w:p w14:paraId="3E7F715A" w14:textId="77777777" w:rsidR="001A680B" w:rsidRDefault="001A680B" w:rsidP="00B96ABD">
            <w:pPr>
              <w:spacing w:before="20" w:after="20"/>
              <w:jc w:val="center"/>
              <w:rPr>
                <w:rFonts w:ascii="Arial" w:hAnsi="Arial" w:cs="Arial"/>
                <w:sz w:val="18"/>
                <w:szCs w:val="18"/>
              </w:rPr>
            </w:pPr>
            <w:r>
              <w:rPr>
                <w:rFonts w:ascii="Arial" w:hAnsi="Arial" w:cs="Arial"/>
                <w:sz w:val="18"/>
                <w:szCs w:val="18"/>
              </w:rPr>
              <w:t>China</w:t>
            </w:r>
          </w:p>
        </w:tc>
        <w:tc>
          <w:tcPr>
            <w:tcW w:w="359" w:type="pct"/>
            <w:tcBorders>
              <w:top w:val="nil"/>
              <w:left w:val="nil"/>
              <w:bottom w:val="nil"/>
              <w:right w:val="nil"/>
            </w:tcBorders>
            <w:vAlign w:val="center"/>
            <w:hideMark/>
          </w:tcPr>
          <w:p w14:paraId="3A2C54A0"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2010 - 2018</w:t>
            </w:r>
          </w:p>
        </w:tc>
        <w:tc>
          <w:tcPr>
            <w:tcW w:w="503" w:type="pct"/>
            <w:tcBorders>
              <w:top w:val="nil"/>
              <w:left w:val="nil"/>
              <w:bottom w:val="nil"/>
              <w:right w:val="nil"/>
            </w:tcBorders>
            <w:vAlign w:val="center"/>
            <w:hideMark/>
          </w:tcPr>
          <w:p w14:paraId="51B74A2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7FA58832" w14:textId="77777777" w:rsidR="001A680B" w:rsidRDefault="001A680B" w:rsidP="00B96ABD">
            <w:pPr>
              <w:spacing w:before="20" w:after="20"/>
              <w:jc w:val="center"/>
              <w:rPr>
                <w:rFonts w:ascii="Arial" w:hAnsi="Arial" w:cs="Arial"/>
                <w:sz w:val="18"/>
                <w:szCs w:val="18"/>
              </w:rPr>
            </w:pPr>
            <w:r>
              <w:rPr>
                <w:rFonts w:ascii="Arial" w:hAnsi="Arial" w:cs="Arial"/>
                <w:sz w:val="18"/>
                <w:szCs w:val="18"/>
              </w:rPr>
              <w:t>513 pregnancies</w:t>
            </w:r>
          </w:p>
        </w:tc>
        <w:tc>
          <w:tcPr>
            <w:tcW w:w="542" w:type="pct"/>
            <w:tcBorders>
              <w:top w:val="nil"/>
              <w:left w:val="nil"/>
              <w:bottom w:val="nil"/>
              <w:right w:val="nil"/>
            </w:tcBorders>
            <w:vAlign w:val="center"/>
            <w:hideMark/>
          </w:tcPr>
          <w:p w14:paraId="0C66DCE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29,7</w:t>
            </w:r>
          </w:p>
        </w:tc>
        <w:tc>
          <w:tcPr>
            <w:tcW w:w="1418" w:type="pct"/>
            <w:tcBorders>
              <w:top w:val="nil"/>
              <w:left w:val="nil"/>
              <w:bottom w:val="nil"/>
              <w:right w:val="nil"/>
            </w:tcBorders>
            <w:vAlign w:val="center"/>
            <w:hideMark/>
          </w:tcPr>
          <w:p w14:paraId="789F8079" w14:textId="77777777" w:rsidR="001A680B" w:rsidRDefault="001A680B" w:rsidP="00377F9A">
            <w:pPr>
              <w:spacing w:before="20" w:after="20"/>
              <w:jc w:val="both"/>
              <w:rPr>
                <w:rFonts w:ascii="Arial" w:hAnsi="Arial" w:cs="Arial"/>
                <w:sz w:val="18"/>
                <w:szCs w:val="18"/>
              </w:rPr>
            </w:pPr>
            <w:r>
              <w:rPr>
                <w:rFonts w:ascii="Arial" w:hAnsi="Arial" w:cs="Arial"/>
                <w:sz w:val="18"/>
                <w:szCs w:val="18"/>
              </w:rPr>
              <w:t xml:space="preserve">It was observed that mean arterial pressure (MAP) ≥ 96.5 mmHg (OR 213.15, 95% CI 24.39–999.99), pregestational hypertension (OR 18.19, 95% CI 2.67–125.01), a hematologic disorder (OR 4.13, 95% CI 1.03–16.67), positive </w:t>
            </w:r>
            <w:proofErr w:type="spellStart"/>
            <w:r>
              <w:rPr>
                <w:rFonts w:ascii="Arial" w:hAnsi="Arial" w:cs="Arial"/>
                <w:sz w:val="18"/>
                <w:szCs w:val="18"/>
              </w:rPr>
              <w:t>aCL</w:t>
            </w:r>
            <w:proofErr w:type="spellEnd"/>
            <w:r>
              <w:rPr>
                <w:rFonts w:ascii="Arial" w:hAnsi="Arial" w:cs="Arial"/>
                <w:sz w:val="18"/>
                <w:szCs w:val="18"/>
              </w:rPr>
              <w:t xml:space="preserve"> IgM (OR 19.85, 95% CI 1.11–333.33), serum albumin &lt; 31.5 g/L (OR 9.88, 95% CI 2.07–47.62), serum uric acid ≥ 303 </w:t>
            </w:r>
            <w:proofErr w:type="spellStart"/>
            <w:r>
              <w:rPr>
                <w:rFonts w:ascii="Arial" w:hAnsi="Arial" w:cs="Arial"/>
                <w:sz w:val="18"/>
                <w:szCs w:val="18"/>
              </w:rPr>
              <w:t>μmol</w:t>
            </w:r>
            <w:proofErr w:type="spellEnd"/>
            <w:r>
              <w:rPr>
                <w:rFonts w:ascii="Arial" w:hAnsi="Arial" w:cs="Arial"/>
                <w:sz w:val="18"/>
                <w:szCs w:val="18"/>
              </w:rPr>
              <w:t>/L (OR 5.58, 95% CI 1.40–22.22), and 24-hour proteinuria ≥ 0.286 g (OR 14.39, 95% CI 2.43–83.33) were considered risk predictors for PE. These factors were included in a prediction model, indicating a high risk of PE.</w:t>
            </w:r>
          </w:p>
          <w:p w14:paraId="4284265A" w14:textId="77777777" w:rsidR="00377F9A" w:rsidRDefault="00377F9A" w:rsidP="00377F9A">
            <w:pPr>
              <w:spacing w:before="20" w:after="20"/>
              <w:jc w:val="both"/>
              <w:rPr>
                <w:rFonts w:ascii="Arial" w:hAnsi="Arial" w:cs="Arial"/>
                <w:sz w:val="18"/>
                <w:szCs w:val="18"/>
              </w:rPr>
            </w:pPr>
          </w:p>
          <w:p w14:paraId="61364630" w14:textId="77777777" w:rsidR="00377F9A" w:rsidRDefault="00377F9A" w:rsidP="00377F9A">
            <w:pPr>
              <w:spacing w:before="20" w:after="20"/>
              <w:jc w:val="both"/>
              <w:rPr>
                <w:rFonts w:ascii="Arial" w:hAnsi="Arial" w:cs="Arial"/>
                <w:sz w:val="18"/>
                <w:szCs w:val="18"/>
              </w:rPr>
            </w:pPr>
          </w:p>
        </w:tc>
      </w:tr>
      <w:tr w:rsidR="00B96ABD" w14:paraId="5D9EB8E3" w14:textId="77777777" w:rsidTr="00B96ABD">
        <w:trPr>
          <w:cantSplit/>
          <w:trHeight w:val="1178"/>
          <w:jc w:val="center"/>
        </w:trPr>
        <w:tc>
          <w:tcPr>
            <w:tcW w:w="454" w:type="pct"/>
            <w:tcBorders>
              <w:top w:val="nil"/>
              <w:left w:val="nil"/>
              <w:bottom w:val="nil"/>
              <w:right w:val="nil"/>
            </w:tcBorders>
            <w:vAlign w:val="center"/>
            <w:hideMark/>
          </w:tcPr>
          <w:p w14:paraId="0E5A1BC8" w14:textId="45AC4AC4" w:rsidR="001A680B" w:rsidRDefault="001A680B" w:rsidP="00B96ABD">
            <w:pPr>
              <w:spacing w:before="20" w:after="20"/>
              <w:jc w:val="center"/>
              <w:rPr>
                <w:rFonts w:ascii="Arial" w:hAnsi="Arial" w:cs="Arial"/>
                <w:b/>
                <w:bCs/>
                <w:sz w:val="18"/>
                <w:szCs w:val="18"/>
              </w:rPr>
            </w:pPr>
            <w:r>
              <w:rPr>
                <w:rFonts w:ascii="Arial" w:hAnsi="Arial" w:cs="Arial"/>
                <w:sz w:val="18"/>
                <w:szCs w:val="18"/>
              </w:rPr>
              <w:lastRenderedPageBreak/>
              <w:t xml:space="preserve">Saavedra </w:t>
            </w:r>
            <w:r w:rsidR="00377F9A" w:rsidRPr="00377F9A">
              <w:rPr>
                <w:rFonts w:ascii="Arial" w:hAnsi="Arial" w:cs="Arial"/>
                <w:i/>
                <w:iCs/>
                <w:sz w:val="18"/>
                <w:szCs w:val="18"/>
              </w:rPr>
              <w:t>et al.</w:t>
            </w:r>
            <w:r>
              <w:rPr>
                <w:rFonts w:ascii="Arial" w:hAnsi="Arial" w:cs="Arial"/>
                <w:sz w:val="18"/>
                <w:szCs w:val="18"/>
              </w:rPr>
              <w:t>, 2020</w:t>
            </w:r>
          </w:p>
        </w:tc>
        <w:tc>
          <w:tcPr>
            <w:tcW w:w="646" w:type="pct"/>
            <w:tcBorders>
              <w:top w:val="nil"/>
              <w:left w:val="nil"/>
              <w:bottom w:val="nil"/>
              <w:right w:val="nil"/>
            </w:tcBorders>
            <w:vAlign w:val="center"/>
            <w:hideMark/>
          </w:tcPr>
          <w:p w14:paraId="31E8833A"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Prospective Cohort</w:t>
            </w:r>
          </w:p>
        </w:tc>
        <w:tc>
          <w:tcPr>
            <w:tcW w:w="431" w:type="pct"/>
            <w:tcBorders>
              <w:top w:val="nil"/>
              <w:left w:val="nil"/>
              <w:bottom w:val="nil"/>
              <w:right w:val="nil"/>
            </w:tcBorders>
            <w:vAlign w:val="center"/>
            <w:hideMark/>
          </w:tcPr>
          <w:p w14:paraId="3FFF0B0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Mexico</w:t>
            </w:r>
          </w:p>
        </w:tc>
        <w:tc>
          <w:tcPr>
            <w:tcW w:w="359" w:type="pct"/>
            <w:tcBorders>
              <w:top w:val="nil"/>
              <w:left w:val="nil"/>
              <w:bottom w:val="nil"/>
              <w:right w:val="nil"/>
            </w:tcBorders>
            <w:vAlign w:val="center"/>
            <w:hideMark/>
          </w:tcPr>
          <w:p w14:paraId="365800C3"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2009 - 2018</w:t>
            </w:r>
          </w:p>
        </w:tc>
        <w:tc>
          <w:tcPr>
            <w:tcW w:w="503" w:type="pct"/>
            <w:tcBorders>
              <w:top w:val="nil"/>
              <w:left w:val="nil"/>
              <w:bottom w:val="nil"/>
              <w:right w:val="nil"/>
            </w:tcBorders>
            <w:vAlign w:val="center"/>
            <w:hideMark/>
          </w:tcPr>
          <w:p w14:paraId="69220929"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59C65F4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316 pregnancies (46 complicated with PE and 270 without PE)</w:t>
            </w:r>
          </w:p>
        </w:tc>
        <w:tc>
          <w:tcPr>
            <w:tcW w:w="542" w:type="pct"/>
            <w:tcBorders>
              <w:top w:val="nil"/>
              <w:left w:val="nil"/>
              <w:bottom w:val="nil"/>
              <w:right w:val="nil"/>
            </w:tcBorders>
            <w:vAlign w:val="center"/>
            <w:hideMark/>
          </w:tcPr>
          <w:p w14:paraId="2A432561" w14:textId="77777777" w:rsidR="001A680B" w:rsidRDefault="001A680B" w:rsidP="00355640">
            <w:pPr>
              <w:spacing w:before="20" w:after="20"/>
              <w:rPr>
                <w:rFonts w:ascii="Arial" w:hAnsi="Arial" w:cs="Arial"/>
                <w:sz w:val="18"/>
                <w:szCs w:val="18"/>
              </w:rPr>
            </w:pPr>
            <w:r>
              <w:rPr>
                <w:rFonts w:ascii="Arial" w:hAnsi="Arial" w:cs="Arial"/>
                <w:sz w:val="18"/>
                <w:szCs w:val="18"/>
              </w:rPr>
              <w:t>28 (without EP) and 29 (with EP)</w:t>
            </w:r>
          </w:p>
        </w:tc>
        <w:tc>
          <w:tcPr>
            <w:tcW w:w="1418" w:type="pct"/>
            <w:tcBorders>
              <w:top w:val="nil"/>
              <w:left w:val="nil"/>
              <w:bottom w:val="nil"/>
              <w:right w:val="nil"/>
            </w:tcBorders>
            <w:vAlign w:val="center"/>
            <w:hideMark/>
          </w:tcPr>
          <w:p w14:paraId="096F2490" w14:textId="77777777" w:rsidR="001A680B" w:rsidRDefault="001A680B" w:rsidP="00377F9A">
            <w:pPr>
              <w:spacing w:before="20" w:after="20"/>
              <w:jc w:val="both"/>
              <w:rPr>
                <w:rFonts w:ascii="Arial" w:hAnsi="Arial" w:cs="Arial"/>
                <w:sz w:val="18"/>
                <w:szCs w:val="18"/>
              </w:rPr>
            </w:pPr>
            <w:r>
              <w:rPr>
                <w:rFonts w:ascii="Arial" w:hAnsi="Arial" w:cs="Arial"/>
                <w:sz w:val="18"/>
                <w:szCs w:val="18"/>
              </w:rPr>
              <w:t>Multivariate analysis showed that disease activity before (relative risk [RR] 2.7, 95% CI 1.04–7.4) and during pregnancy (RR 3.0, 95% CI 1.0–9.1) was associated with the development of preeclampsia. The use of antimalarial drugs during pregnancy was associated with a lower risk of preeclampsia (RR 0.21, 95% CI 0.08–0.53).</w:t>
            </w:r>
          </w:p>
          <w:p w14:paraId="2B154530" w14:textId="77777777" w:rsidR="00377F9A" w:rsidRDefault="00377F9A" w:rsidP="00B96ABD">
            <w:pPr>
              <w:spacing w:before="20" w:after="20"/>
              <w:jc w:val="center"/>
              <w:rPr>
                <w:rFonts w:ascii="Arial" w:hAnsi="Arial" w:cs="Arial"/>
                <w:sz w:val="18"/>
                <w:szCs w:val="18"/>
              </w:rPr>
            </w:pPr>
          </w:p>
          <w:p w14:paraId="6CFDBF3F" w14:textId="77777777" w:rsidR="00377F9A" w:rsidRDefault="00377F9A" w:rsidP="00B96ABD">
            <w:pPr>
              <w:spacing w:before="20" w:after="20"/>
              <w:jc w:val="center"/>
              <w:rPr>
                <w:rFonts w:ascii="Arial" w:hAnsi="Arial" w:cs="Arial"/>
                <w:sz w:val="18"/>
                <w:szCs w:val="18"/>
              </w:rPr>
            </w:pPr>
          </w:p>
        </w:tc>
      </w:tr>
      <w:tr w:rsidR="00B96ABD" w14:paraId="79A52DE7" w14:textId="77777777" w:rsidTr="00B96ABD">
        <w:trPr>
          <w:cantSplit/>
          <w:trHeight w:val="1178"/>
          <w:jc w:val="center"/>
        </w:trPr>
        <w:tc>
          <w:tcPr>
            <w:tcW w:w="454" w:type="pct"/>
            <w:tcBorders>
              <w:top w:val="nil"/>
              <w:left w:val="nil"/>
              <w:bottom w:val="nil"/>
              <w:right w:val="nil"/>
            </w:tcBorders>
            <w:vAlign w:val="center"/>
            <w:hideMark/>
          </w:tcPr>
          <w:p w14:paraId="2D27D6F9" w14:textId="5CA07133" w:rsidR="001A680B" w:rsidRDefault="001A680B" w:rsidP="00B96ABD">
            <w:pPr>
              <w:spacing w:before="20" w:after="20"/>
              <w:jc w:val="center"/>
              <w:rPr>
                <w:rFonts w:ascii="Arial" w:hAnsi="Arial" w:cs="Arial"/>
                <w:b/>
                <w:bCs/>
                <w:sz w:val="18"/>
                <w:szCs w:val="18"/>
              </w:rPr>
            </w:pPr>
            <w:r>
              <w:rPr>
                <w:rFonts w:ascii="Arial" w:hAnsi="Arial" w:cs="Arial"/>
                <w:sz w:val="18"/>
                <w:szCs w:val="18"/>
              </w:rPr>
              <w:t>MR Seo</w:t>
            </w:r>
            <w:r>
              <w:rPr>
                <w:rFonts w:ascii="Arial" w:hAnsi="Arial" w:cs="Arial"/>
                <w:i/>
                <w:iCs/>
                <w:sz w:val="18"/>
                <w:szCs w:val="18"/>
              </w:rPr>
              <w:t xml:space="preserve">, </w:t>
            </w:r>
            <w:r w:rsidR="00377F9A" w:rsidRPr="00377F9A">
              <w:rPr>
                <w:rFonts w:ascii="Arial" w:hAnsi="Arial" w:cs="Arial"/>
                <w:i/>
                <w:iCs/>
                <w:sz w:val="18"/>
                <w:szCs w:val="18"/>
              </w:rPr>
              <w:t>et al.</w:t>
            </w:r>
            <w:r>
              <w:rPr>
                <w:rFonts w:ascii="Arial" w:hAnsi="Arial" w:cs="Arial"/>
                <w:i/>
                <w:iCs/>
                <w:sz w:val="18"/>
                <w:szCs w:val="18"/>
              </w:rPr>
              <w:t xml:space="preserve">, </w:t>
            </w:r>
            <w:r>
              <w:rPr>
                <w:rFonts w:ascii="Arial" w:hAnsi="Arial" w:cs="Arial"/>
                <w:sz w:val="18"/>
                <w:szCs w:val="18"/>
              </w:rPr>
              <w:t>2019</w:t>
            </w:r>
          </w:p>
        </w:tc>
        <w:tc>
          <w:tcPr>
            <w:tcW w:w="646" w:type="pct"/>
            <w:tcBorders>
              <w:top w:val="nil"/>
              <w:left w:val="nil"/>
              <w:bottom w:val="nil"/>
              <w:right w:val="nil"/>
            </w:tcBorders>
            <w:vAlign w:val="center"/>
            <w:hideMark/>
          </w:tcPr>
          <w:p w14:paraId="6C6EE79F" w14:textId="77777777" w:rsidR="001A680B" w:rsidRDefault="001A680B" w:rsidP="00B96ABD">
            <w:pPr>
              <w:spacing w:before="20" w:after="20"/>
              <w:jc w:val="center"/>
              <w:rPr>
                <w:rFonts w:ascii="Arial" w:hAnsi="Arial" w:cs="Arial"/>
                <w:sz w:val="18"/>
                <w:szCs w:val="18"/>
              </w:rPr>
            </w:pPr>
            <w:r>
              <w:rPr>
                <w:rFonts w:ascii="Arial" w:hAnsi="Arial" w:cs="Arial"/>
                <w:sz w:val="18"/>
                <w:szCs w:val="18"/>
              </w:rPr>
              <w:t>Retrospective Cohort</w:t>
            </w:r>
          </w:p>
        </w:tc>
        <w:tc>
          <w:tcPr>
            <w:tcW w:w="431" w:type="pct"/>
            <w:tcBorders>
              <w:top w:val="nil"/>
              <w:left w:val="nil"/>
              <w:bottom w:val="nil"/>
              <w:right w:val="nil"/>
            </w:tcBorders>
            <w:vAlign w:val="center"/>
            <w:hideMark/>
          </w:tcPr>
          <w:p w14:paraId="75B89E71" w14:textId="77777777" w:rsidR="001A680B" w:rsidRDefault="001A680B" w:rsidP="00B96ABD">
            <w:pPr>
              <w:spacing w:before="20" w:after="20"/>
              <w:jc w:val="center"/>
              <w:rPr>
                <w:rFonts w:ascii="Arial" w:hAnsi="Arial" w:cs="Arial"/>
                <w:sz w:val="18"/>
                <w:szCs w:val="18"/>
              </w:rPr>
            </w:pPr>
            <w:r>
              <w:rPr>
                <w:rFonts w:ascii="Arial" w:hAnsi="Arial" w:cs="Arial"/>
                <w:sz w:val="18"/>
                <w:szCs w:val="18"/>
              </w:rPr>
              <w:t>South Korea</w:t>
            </w:r>
          </w:p>
        </w:tc>
        <w:tc>
          <w:tcPr>
            <w:tcW w:w="359" w:type="pct"/>
            <w:tcBorders>
              <w:top w:val="nil"/>
              <w:left w:val="nil"/>
              <w:bottom w:val="nil"/>
              <w:right w:val="nil"/>
            </w:tcBorders>
            <w:vAlign w:val="center"/>
            <w:hideMark/>
          </w:tcPr>
          <w:p w14:paraId="46A3539B" w14:textId="77777777" w:rsidR="001A680B" w:rsidRDefault="001A680B" w:rsidP="00B96ABD">
            <w:pPr>
              <w:spacing w:before="20" w:after="20"/>
              <w:jc w:val="center"/>
              <w:rPr>
                <w:rFonts w:ascii="Arial" w:hAnsi="Arial" w:cs="Arial"/>
                <w:sz w:val="18"/>
                <w:szCs w:val="18"/>
              </w:rPr>
            </w:pPr>
            <w:r>
              <w:rPr>
                <w:rFonts w:ascii="Arial" w:hAnsi="Arial" w:cs="Arial"/>
                <w:sz w:val="18"/>
                <w:szCs w:val="18"/>
              </w:rPr>
              <w:t>1995 - 2018</w:t>
            </w:r>
          </w:p>
        </w:tc>
        <w:tc>
          <w:tcPr>
            <w:tcW w:w="503" w:type="pct"/>
            <w:tcBorders>
              <w:top w:val="nil"/>
              <w:left w:val="nil"/>
              <w:bottom w:val="nil"/>
              <w:right w:val="nil"/>
            </w:tcBorders>
            <w:vAlign w:val="center"/>
            <w:hideMark/>
          </w:tcPr>
          <w:p w14:paraId="02CB3336"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100D46EC" w14:textId="77777777" w:rsidR="00B96ABD" w:rsidRDefault="001A680B" w:rsidP="00B96ABD">
            <w:pPr>
              <w:spacing w:before="20" w:after="20"/>
              <w:jc w:val="center"/>
              <w:rPr>
                <w:rFonts w:ascii="Arial" w:hAnsi="Arial" w:cs="Arial"/>
                <w:sz w:val="18"/>
                <w:szCs w:val="18"/>
              </w:rPr>
            </w:pPr>
            <w:r>
              <w:rPr>
                <w:rFonts w:ascii="Arial" w:hAnsi="Arial" w:cs="Arial"/>
                <w:sz w:val="18"/>
                <w:szCs w:val="18"/>
              </w:rPr>
              <w:t xml:space="preserve">151 LES pregnancies </w:t>
            </w:r>
          </w:p>
          <w:p w14:paraId="3F814869" w14:textId="77777777" w:rsidR="00B96ABD" w:rsidRDefault="001A680B" w:rsidP="00B96ABD">
            <w:pPr>
              <w:spacing w:before="20" w:after="20"/>
              <w:jc w:val="center"/>
              <w:rPr>
                <w:rFonts w:ascii="Arial" w:hAnsi="Arial" w:cs="Arial"/>
                <w:sz w:val="18"/>
                <w:szCs w:val="18"/>
              </w:rPr>
            </w:pPr>
            <w:r>
              <w:rPr>
                <w:rFonts w:ascii="Arial" w:hAnsi="Arial" w:cs="Arial"/>
                <w:sz w:val="18"/>
                <w:szCs w:val="18"/>
              </w:rPr>
              <w:t xml:space="preserve">(80 under HCQ treatment and </w:t>
            </w:r>
          </w:p>
          <w:p w14:paraId="38034DBD" w14:textId="77777777" w:rsidR="00B96ABD" w:rsidRDefault="001A680B" w:rsidP="00B96ABD">
            <w:pPr>
              <w:spacing w:before="20" w:after="20"/>
              <w:jc w:val="center"/>
              <w:rPr>
                <w:rFonts w:ascii="Arial" w:hAnsi="Arial" w:cs="Arial"/>
                <w:sz w:val="18"/>
                <w:szCs w:val="18"/>
              </w:rPr>
            </w:pPr>
            <w:r>
              <w:rPr>
                <w:rFonts w:ascii="Arial" w:hAnsi="Arial" w:cs="Arial"/>
                <w:sz w:val="18"/>
                <w:szCs w:val="18"/>
              </w:rPr>
              <w:t xml:space="preserve">71 without </w:t>
            </w:r>
          </w:p>
          <w:p w14:paraId="4878402F" w14:textId="5DC3B4FE" w:rsidR="001A680B" w:rsidRDefault="001A680B" w:rsidP="00B96ABD">
            <w:pPr>
              <w:spacing w:before="20" w:after="20"/>
              <w:jc w:val="center"/>
              <w:rPr>
                <w:rFonts w:ascii="Arial" w:hAnsi="Arial" w:cs="Arial"/>
                <w:sz w:val="18"/>
                <w:szCs w:val="18"/>
              </w:rPr>
            </w:pPr>
            <w:r>
              <w:rPr>
                <w:rFonts w:ascii="Arial" w:hAnsi="Arial" w:cs="Arial"/>
                <w:sz w:val="18"/>
                <w:szCs w:val="18"/>
              </w:rPr>
              <w:t>HCQ treatment)</w:t>
            </w:r>
          </w:p>
        </w:tc>
        <w:tc>
          <w:tcPr>
            <w:tcW w:w="542" w:type="pct"/>
            <w:tcBorders>
              <w:top w:val="nil"/>
              <w:left w:val="nil"/>
              <w:bottom w:val="nil"/>
              <w:right w:val="nil"/>
            </w:tcBorders>
            <w:vAlign w:val="center"/>
            <w:hideMark/>
          </w:tcPr>
          <w:p w14:paraId="4843334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32.8 (with HCQ) and 31.8 (without HCQ)</w:t>
            </w:r>
          </w:p>
        </w:tc>
        <w:tc>
          <w:tcPr>
            <w:tcW w:w="1418" w:type="pct"/>
            <w:tcBorders>
              <w:top w:val="nil"/>
              <w:left w:val="nil"/>
              <w:bottom w:val="nil"/>
              <w:right w:val="nil"/>
            </w:tcBorders>
            <w:vAlign w:val="center"/>
            <w:hideMark/>
          </w:tcPr>
          <w:p w14:paraId="5D599910" w14:textId="77777777" w:rsidR="001A680B" w:rsidRDefault="001A680B" w:rsidP="00377F9A">
            <w:pPr>
              <w:spacing w:before="20" w:after="20"/>
              <w:jc w:val="both"/>
              <w:rPr>
                <w:rFonts w:ascii="Arial" w:hAnsi="Arial" w:cs="Arial"/>
                <w:sz w:val="18"/>
                <w:szCs w:val="18"/>
              </w:rPr>
            </w:pPr>
            <w:r>
              <w:rPr>
                <w:rFonts w:ascii="Arial" w:hAnsi="Arial" w:cs="Arial"/>
                <w:sz w:val="18"/>
                <w:szCs w:val="18"/>
              </w:rPr>
              <w:t>The incidence of preeclampsia was significantly lower in the HCQ treatment group compared to the non-HCQ group (7.5% vs. 19.7%, p = 0.032). In logistic regression analysis, after adjusting for variables, HCQ treatment was associated with an 89.4% lower risk of PE (OR 0.106, 95% CI 0.017–0.671). Other independent risk factors for PE included high BMI (OR 1.575, 95% CI 1.114–2.227) and low eGFR levels (OR 0.931, 95% CI 0.886–0.979).</w:t>
            </w:r>
          </w:p>
          <w:p w14:paraId="2DD96315" w14:textId="77777777" w:rsidR="00377F9A" w:rsidRDefault="00377F9A" w:rsidP="00377F9A">
            <w:pPr>
              <w:spacing w:before="20" w:after="20"/>
              <w:jc w:val="both"/>
              <w:rPr>
                <w:rFonts w:ascii="Arial" w:hAnsi="Arial" w:cs="Arial"/>
                <w:sz w:val="18"/>
                <w:szCs w:val="18"/>
              </w:rPr>
            </w:pPr>
          </w:p>
          <w:p w14:paraId="5513F4DA" w14:textId="77777777" w:rsidR="00377F9A" w:rsidRDefault="00377F9A" w:rsidP="00377F9A">
            <w:pPr>
              <w:spacing w:before="20" w:after="20"/>
              <w:rPr>
                <w:rFonts w:ascii="Arial" w:hAnsi="Arial" w:cs="Arial"/>
                <w:sz w:val="18"/>
                <w:szCs w:val="18"/>
              </w:rPr>
            </w:pPr>
          </w:p>
        </w:tc>
      </w:tr>
      <w:tr w:rsidR="00B96ABD" w14:paraId="18A58B30" w14:textId="77777777" w:rsidTr="00B96ABD">
        <w:trPr>
          <w:cantSplit/>
          <w:trHeight w:val="1178"/>
          <w:jc w:val="center"/>
        </w:trPr>
        <w:tc>
          <w:tcPr>
            <w:tcW w:w="454" w:type="pct"/>
            <w:tcBorders>
              <w:top w:val="nil"/>
              <w:left w:val="nil"/>
              <w:bottom w:val="nil"/>
              <w:right w:val="nil"/>
            </w:tcBorders>
            <w:vAlign w:val="center"/>
            <w:hideMark/>
          </w:tcPr>
          <w:p w14:paraId="50DEE789" w14:textId="798C5C79" w:rsidR="001A680B" w:rsidRDefault="001A680B" w:rsidP="00B96ABD">
            <w:pPr>
              <w:spacing w:before="20" w:after="20"/>
              <w:jc w:val="center"/>
              <w:rPr>
                <w:rFonts w:ascii="Arial" w:hAnsi="Arial" w:cs="Arial"/>
                <w:b/>
                <w:bCs/>
                <w:sz w:val="18"/>
                <w:szCs w:val="18"/>
              </w:rPr>
            </w:pPr>
            <w:r>
              <w:rPr>
                <w:rFonts w:ascii="Arial" w:hAnsi="Arial" w:cs="Arial"/>
                <w:sz w:val="18"/>
                <w:szCs w:val="18"/>
              </w:rPr>
              <w:t xml:space="preserve">Chen </w:t>
            </w:r>
            <w:r w:rsidR="00377F9A" w:rsidRPr="00377F9A">
              <w:rPr>
                <w:rFonts w:ascii="Arial" w:hAnsi="Arial" w:cs="Arial"/>
                <w:i/>
                <w:iCs/>
                <w:sz w:val="18"/>
                <w:szCs w:val="18"/>
              </w:rPr>
              <w:t>et al.</w:t>
            </w:r>
            <w:r>
              <w:rPr>
                <w:rFonts w:ascii="Arial" w:hAnsi="Arial" w:cs="Arial"/>
                <w:i/>
                <w:iCs/>
                <w:sz w:val="18"/>
                <w:szCs w:val="18"/>
              </w:rPr>
              <w:t xml:space="preserve">, </w:t>
            </w:r>
            <w:r>
              <w:rPr>
                <w:rFonts w:ascii="Arial" w:hAnsi="Arial" w:cs="Arial"/>
                <w:sz w:val="18"/>
                <w:szCs w:val="18"/>
              </w:rPr>
              <w:t>2021</w:t>
            </w:r>
          </w:p>
        </w:tc>
        <w:tc>
          <w:tcPr>
            <w:tcW w:w="646" w:type="pct"/>
            <w:tcBorders>
              <w:top w:val="nil"/>
              <w:left w:val="nil"/>
              <w:bottom w:val="nil"/>
              <w:right w:val="nil"/>
            </w:tcBorders>
            <w:vAlign w:val="center"/>
            <w:hideMark/>
          </w:tcPr>
          <w:p w14:paraId="12654CE9" w14:textId="77777777" w:rsidR="001A680B" w:rsidRDefault="001A680B" w:rsidP="00B96ABD">
            <w:pPr>
              <w:spacing w:before="20" w:after="20"/>
              <w:jc w:val="center"/>
              <w:rPr>
                <w:rFonts w:ascii="Arial" w:hAnsi="Arial" w:cs="Arial"/>
                <w:sz w:val="18"/>
                <w:szCs w:val="18"/>
              </w:rPr>
            </w:pPr>
            <w:r>
              <w:rPr>
                <w:rFonts w:ascii="Arial" w:hAnsi="Arial" w:cs="Arial"/>
                <w:sz w:val="18"/>
                <w:szCs w:val="18"/>
              </w:rPr>
              <w:t>Retrospective Study</w:t>
            </w:r>
          </w:p>
        </w:tc>
        <w:tc>
          <w:tcPr>
            <w:tcW w:w="431" w:type="pct"/>
            <w:tcBorders>
              <w:top w:val="nil"/>
              <w:left w:val="nil"/>
              <w:bottom w:val="nil"/>
              <w:right w:val="nil"/>
            </w:tcBorders>
            <w:vAlign w:val="center"/>
            <w:hideMark/>
          </w:tcPr>
          <w:p w14:paraId="53444DD3" w14:textId="77777777" w:rsidR="001A680B" w:rsidRDefault="001A680B" w:rsidP="00B96ABD">
            <w:pPr>
              <w:spacing w:before="20" w:after="20"/>
              <w:jc w:val="center"/>
              <w:rPr>
                <w:rFonts w:ascii="Arial" w:hAnsi="Arial" w:cs="Arial"/>
                <w:sz w:val="18"/>
                <w:szCs w:val="18"/>
              </w:rPr>
            </w:pPr>
            <w:r>
              <w:rPr>
                <w:rFonts w:ascii="Arial" w:hAnsi="Arial" w:cs="Arial"/>
                <w:sz w:val="18"/>
                <w:szCs w:val="18"/>
              </w:rPr>
              <w:t>China</w:t>
            </w:r>
          </w:p>
        </w:tc>
        <w:tc>
          <w:tcPr>
            <w:tcW w:w="359" w:type="pct"/>
            <w:tcBorders>
              <w:top w:val="nil"/>
              <w:left w:val="nil"/>
              <w:bottom w:val="nil"/>
              <w:right w:val="nil"/>
            </w:tcBorders>
            <w:vAlign w:val="center"/>
            <w:hideMark/>
          </w:tcPr>
          <w:p w14:paraId="7E6A86EB"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2011 - 2018</w:t>
            </w:r>
          </w:p>
        </w:tc>
        <w:tc>
          <w:tcPr>
            <w:tcW w:w="503" w:type="pct"/>
            <w:tcBorders>
              <w:top w:val="nil"/>
              <w:left w:val="nil"/>
              <w:bottom w:val="nil"/>
              <w:right w:val="nil"/>
            </w:tcBorders>
            <w:vAlign w:val="center"/>
            <w:hideMark/>
          </w:tcPr>
          <w:p w14:paraId="57C6DB75"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02DDFB8A" w14:textId="77777777" w:rsidR="001A680B" w:rsidRDefault="001A680B" w:rsidP="00B96ABD">
            <w:pPr>
              <w:spacing w:before="20" w:after="20"/>
              <w:jc w:val="center"/>
              <w:rPr>
                <w:rFonts w:ascii="Arial" w:hAnsi="Arial" w:cs="Arial"/>
                <w:sz w:val="18"/>
                <w:szCs w:val="18"/>
              </w:rPr>
            </w:pPr>
            <w:r>
              <w:rPr>
                <w:rFonts w:ascii="Arial" w:hAnsi="Arial" w:cs="Arial"/>
                <w:sz w:val="18"/>
                <w:szCs w:val="18"/>
              </w:rPr>
              <w:t>85 patients</w:t>
            </w:r>
          </w:p>
        </w:tc>
        <w:tc>
          <w:tcPr>
            <w:tcW w:w="542" w:type="pct"/>
            <w:tcBorders>
              <w:top w:val="nil"/>
              <w:left w:val="nil"/>
              <w:bottom w:val="nil"/>
              <w:right w:val="nil"/>
            </w:tcBorders>
            <w:vAlign w:val="center"/>
            <w:hideMark/>
          </w:tcPr>
          <w:p w14:paraId="19077D0E"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27,4</w:t>
            </w:r>
          </w:p>
        </w:tc>
        <w:tc>
          <w:tcPr>
            <w:tcW w:w="1418" w:type="pct"/>
            <w:tcBorders>
              <w:top w:val="nil"/>
              <w:left w:val="nil"/>
              <w:bottom w:val="nil"/>
              <w:right w:val="nil"/>
            </w:tcBorders>
            <w:vAlign w:val="center"/>
          </w:tcPr>
          <w:p w14:paraId="152264E7" w14:textId="25CF6A40" w:rsidR="001A680B" w:rsidRDefault="001A680B" w:rsidP="00377F9A">
            <w:pPr>
              <w:spacing w:before="20" w:after="20"/>
              <w:jc w:val="both"/>
              <w:rPr>
                <w:rFonts w:ascii="Arial" w:hAnsi="Arial" w:cs="Arial"/>
                <w:sz w:val="18"/>
                <w:szCs w:val="18"/>
              </w:rPr>
            </w:pPr>
            <w:r>
              <w:rPr>
                <w:rFonts w:ascii="Arial" w:hAnsi="Arial" w:cs="Arial"/>
                <w:sz w:val="18"/>
                <w:szCs w:val="18"/>
              </w:rPr>
              <w:t xml:space="preserve">In univariate logistic regression analysis, it was found that gestational age at disease onset, high SLEDAI score, hypertension, renal involvement, and positive </w:t>
            </w:r>
            <w:proofErr w:type="spellStart"/>
            <w:r>
              <w:rPr>
                <w:rFonts w:ascii="Arial" w:hAnsi="Arial" w:cs="Arial"/>
                <w:sz w:val="18"/>
                <w:szCs w:val="18"/>
              </w:rPr>
              <w:t>aCL</w:t>
            </w:r>
            <w:proofErr w:type="spellEnd"/>
            <w:r>
              <w:rPr>
                <w:rFonts w:ascii="Arial" w:hAnsi="Arial" w:cs="Arial"/>
                <w:sz w:val="18"/>
                <w:szCs w:val="18"/>
              </w:rPr>
              <w:t xml:space="preserve"> and anti-B2GPI increased the risk of preeclampsia and eclampsia.</w:t>
            </w:r>
          </w:p>
          <w:p w14:paraId="4FD2C8BD" w14:textId="77777777" w:rsidR="001A680B" w:rsidRDefault="001A680B" w:rsidP="00377F9A">
            <w:pPr>
              <w:spacing w:before="20" w:after="20"/>
              <w:jc w:val="both"/>
              <w:rPr>
                <w:rFonts w:ascii="Arial" w:hAnsi="Arial" w:cs="Arial"/>
                <w:sz w:val="18"/>
                <w:szCs w:val="18"/>
              </w:rPr>
            </w:pPr>
            <w:r>
              <w:rPr>
                <w:rFonts w:ascii="Arial" w:hAnsi="Arial" w:cs="Arial"/>
                <w:sz w:val="18"/>
                <w:szCs w:val="18"/>
              </w:rPr>
              <w:t>Multivariate regression analysis showed that hypertension (OR 19.185, 95% CI 3.921–93.868) and renal involvement (OR 8.380, 95% CI 1.944–74.376) were independent risk factors for preeclampsia and eclampsia.</w:t>
            </w:r>
          </w:p>
          <w:p w14:paraId="6385A205" w14:textId="77777777" w:rsidR="00377F9A" w:rsidRDefault="00377F9A" w:rsidP="00B96ABD">
            <w:pPr>
              <w:spacing w:before="20" w:after="20"/>
              <w:jc w:val="center"/>
              <w:rPr>
                <w:rFonts w:ascii="Arial" w:hAnsi="Arial" w:cs="Arial"/>
                <w:sz w:val="18"/>
                <w:szCs w:val="18"/>
              </w:rPr>
            </w:pPr>
          </w:p>
        </w:tc>
      </w:tr>
      <w:tr w:rsidR="00B96ABD" w14:paraId="48F22067" w14:textId="77777777" w:rsidTr="00B96ABD">
        <w:trPr>
          <w:cantSplit/>
          <w:trHeight w:val="1177"/>
          <w:jc w:val="center"/>
        </w:trPr>
        <w:tc>
          <w:tcPr>
            <w:tcW w:w="454" w:type="pct"/>
            <w:tcBorders>
              <w:top w:val="nil"/>
              <w:left w:val="nil"/>
              <w:bottom w:val="nil"/>
              <w:right w:val="nil"/>
            </w:tcBorders>
            <w:vAlign w:val="center"/>
            <w:hideMark/>
          </w:tcPr>
          <w:p w14:paraId="21D95D19" w14:textId="441374BB" w:rsidR="001A680B" w:rsidRDefault="001A680B" w:rsidP="00B96ABD">
            <w:pPr>
              <w:spacing w:before="20" w:after="20"/>
              <w:jc w:val="center"/>
              <w:rPr>
                <w:rFonts w:ascii="Arial" w:hAnsi="Arial" w:cs="Arial"/>
                <w:b/>
                <w:bCs/>
                <w:sz w:val="18"/>
                <w:szCs w:val="18"/>
              </w:rPr>
            </w:pPr>
            <w:r>
              <w:rPr>
                <w:rFonts w:ascii="Arial" w:hAnsi="Arial" w:cs="Arial"/>
                <w:sz w:val="18"/>
                <w:szCs w:val="18"/>
              </w:rPr>
              <w:lastRenderedPageBreak/>
              <w:t xml:space="preserve">Reis </w:t>
            </w:r>
            <w:r w:rsidR="00377F9A" w:rsidRPr="00377F9A">
              <w:rPr>
                <w:rFonts w:ascii="Arial" w:hAnsi="Arial" w:cs="Arial"/>
                <w:i/>
                <w:iCs/>
                <w:sz w:val="18"/>
                <w:szCs w:val="18"/>
              </w:rPr>
              <w:t>et al.</w:t>
            </w:r>
            <w:r>
              <w:rPr>
                <w:rFonts w:ascii="Arial" w:hAnsi="Arial" w:cs="Arial"/>
                <w:i/>
                <w:iCs/>
                <w:sz w:val="18"/>
                <w:szCs w:val="18"/>
              </w:rPr>
              <w:t>,</w:t>
            </w:r>
            <w:r>
              <w:rPr>
                <w:rFonts w:ascii="Arial" w:hAnsi="Arial" w:cs="Arial"/>
                <w:sz w:val="18"/>
                <w:szCs w:val="18"/>
              </w:rPr>
              <w:t xml:space="preserve"> 2019</w:t>
            </w:r>
          </w:p>
        </w:tc>
        <w:tc>
          <w:tcPr>
            <w:tcW w:w="646" w:type="pct"/>
            <w:tcBorders>
              <w:top w:val="nil"/>
              <w:left w:val="nil"/>
              <w:bottom w:val="nil"/>
              <w:right w:val="nil"/>
            </w:tcBorders>
            <w:vAlign w:val="center"/>
            <w:hideMark/>
          </w:tcPr>
          <w:p w14:paraId="2AD54573" w14:textId="77777777" w:rsidR="001A680B" w:rsidRDefault="001A680B" w:rsidP="00B96ABD">
            <w:pPr>
              <w:spacing w:before="20" w:after="20"/>
              <w:jc w:val="center"/>
              <w:rPr>
                <w:rFonts w:ascii="Arial" w:hAnsi="Arial" w:cs="Arial"/>
                <w:sz w:val="18"/>
                <w:szCs w:val="18"/>
              </w:rPr>
            </w:pPr>
            <w:r>
              <w:rPr>
                <w:rFonts w:ascii="Arial" w:hAnsi="Arial" w:cs="Arial"/>
                <w:sz w:val="18"/>
                <w:szCs w:val="18"/>
              </w:rPr>
              <w:t>Retrospective Cohort</w:t>
            </w:r>
          </w:p>
        </w:tc>
        <w:tc>
          <w:tcPr>
            <w:tcW w:w="431" w:type="pct"/>
            <w:tcBorders>
              <w:top w:val="nil"/>
              <w:left w:val="nil"/>
              <w:bottom w:val="nil"/>
              <w:right w:val="nil"/>
            </w:tcBorders>
            <w:vAlign w:val="center"/>
            <w:hideMark/>
          </w:tcPr>
          <w:p w14:paraId="52D61D8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Portugal</w:t>
            </w:r>
          </w:p>
        </w:tc>
        <w:tc>
          <w:tcPr>
            <w:tcW w:w="359" w:type="pct"/>
            <w:tcBorders>
              <w:top w:val="nil"/>
              <w:left w:val="nil"/>
              <w:bottom w:val="nil"/>
              <w:right w:val="nil"/>
            </w:tcBorders>
            <w:vAlign w:val="center"/>
            <w:hideMark/>
          </w:tcPr>
          <w:p w14:paraId="7B387CB7" w14:textId="77777777" w:rsidR="001A680B" w:rsidRDefault="001A680B" w:rsidP="00B96ABD">
            <w:pPr>
              <w:spacing w:before="20" w:after="20"/>
              <w:jc w:val="center"/>
              <w:rPr>
                <w:rFonts w:ascii="Arial" w:hAnsi="Arial" w:cs="Arial"/>
                <w:sz w:val="18"/>
                <w:szCs w:val="18"/>
              </w:rPr>
            </w:pPr>
            <w:r>
              <w:rPr>
                <w:rFonts w:ascii="Arial" w:hAnsi="Arial" w:cs="Arial"/>
                <w:sz w:val="18"/>
                <w:szCs w:val="18"/>
              </w:rPr>
              <w:t>1994 - 2016</w:t>
            </w:r>
          </w:p>
        </w:tc>
        <w:tc>
          <w:tcPr>
            <w:tcW w:w="503" w:type="pct"/>
            <w:tcBorders>
              <w:top w:val="nil"/>
              <w:left w:val="nil"/>
              <w:bottom w:val="nil"/>
              <w:right w:val="nil"/>
            </w:tcBorders>
            <w:vAlign w:val="center"/>
            <w:hideMark/>
          </w:tcPr>
          <w:p w14:paraId="41157829"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nil"/>
              <w:right w:val="nil"/>
            </w:tcBorders>
            <w:vAlign w:val="center"/>
            <w:hideMark/>
          </w:tcPr>
          <w:p w14:paraId="6FAF8426" w14:textId="77777777" w:rsidR="001A680B" w:rsidRDefault="001A680B" w:rsidP="00B96ABD">
            <w:pPr>
              <w:spacing w:before="20" w:after="20"/>
              <w:jc w:val="center"/>
              <w:rPr>
                <w:rFonts w:ascii="Arial" w:hAnsi="Arial" w:cs="Arial"/>
                <w:sz w:val="18"/>
                <w:szCs w:val="18"/>
              </w:rPr>
            </w:pPr>
            <w:r>
              <w:rPr>
                <w:rFonts w:ascii="Arial" w:hAnsi="Arial" w:cs="Arial"/>
                <w:sz w:val="18"/>
                <w:szCs w:val="18"/>
              </w:rPr>
              <w:t>157 pregnancies</w:t>
            </w:r>
          </w:p>
        </w:tc>
        <w:tc>
          <w:tcPr>
            <w:tcW w:w="542" w:type="pct"/>
            <w:tcBorders>
              <w:top w:val="nil"/>
              <w:left w:val="nil"/>
              <w:bottom w:val="nil"/>
              <w:right w:val="nil"/>
            </w:tcBorders>
            <w:vAlign w:val="center"/>
            <w:hideMark/>
          </w:tcPr>
          <w:p w14:paraId="3B6D9C0B"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29,6</w:t>
            </w:r>
          </w:p>
        </w:tc>
        <w:tc>
          <w:tcPr>
            <w:tcW w:w="1418" w:type="pct"/>
            <w:tcBorders>
              <w:top w:val="nil"/>
              <w:left w:val="nil"/>
              <w:bottom w:val="nil"/>
              <w:right w:val="nil"/>
            </w:tcBorders>
            <w:vAlign w:val="center"/>
          </w:tcPr>
          <w:p w14:paraId="0D6A1ABB" w14:textId="71C44348" w:rsidR="001A680B" w:rsidRDefault="001A680B" w:rsidP="00377F9A">
            <w:pPr>
              <w:spacing w:before="20" w:after="20"/>
              <w:jc w:val="both"/>
              <w:rPr>
                <w:rFonts w:ascii="Arial" w:hAnsi="Arial" w:cs="Arial"/>
                <w:sz w:val="18"/>
                <w:szCs w:val="18"/>
              </w:rPr>
            </w:pPr>
            <w:r>
              <w:rPr>
                <w:rFonts w:ascii="Arial" w:hAnsi="Arial" w:cs="Arial"/>
                <w:sz w:val="18"/>
                <w:szCs w:val="18"/>
              </w:rPr>
              <w:t>In pregnancies complicated by preeclampsia, women tend to be younger (25.3 vs. 29.9 years, p &lt; 0.01) and more frequently nulliparous (81.8% vs. 59.6%, p &lt; 0.20). These women also show a higher prevalence of lupus nephritis (81.8% vs. 27.3%, p &lt; 0.01).</w:t>
            </w:r>
          </w:p>
          <w:p w14:paraId="187EDBC5" w14:textId="77777777" w:rsidR="001A680B" w:rsidRDefault="001A680B" w:rsidP="00377F9A">
            <w:pPr>
              <w:spacing w:before="20" w:after="20"/>
              <w:jc w:val="both"/>
              <w:rPr>
                <w:rFonts w:ascii="Arial" w:hAnsi="Arial" w:cs="Arial"/>
                <w:sz w:val="18"/>
                <w:szCs w:val="18"/>
              </w:rPr>
            </w:pPr>
            <w:r>
              <w:rPr>
                <w:rFonts w:ascii="Arial" w:hAnsi="Arial" w:cs="Arial"/>
                <w:sz w:val="18"/>
                <w:szCs w:val="18"/>
              </w:rPr>
              <w:t>After adjusting for maternal age, nulliparity, and chronic hypertension in a logistic regression model, the positive association between lupus nephritis and preeclampsia remained significant, with an OR of 29.78 (95% CI 3.84–281.11, p &lt; 0.01).</w:t>
            </w:r>
          </w:p>
          <w:p w14:paraId="3A90329A" w14:textId="77777777" w:rsidR="00377F9A" w:rsidRDefault="00377F9A" w:rsidP="00B96ABD">
            <w:pPr>
              <w:spacing w:before="20" w:after="20"/>
              <w:jc w:val="center"/>
              <w:rPr>
                <w:rFonts w:ascii="Arial" w:hAnsi="Arial" w:cs="Arial"/>
                <w:sz w:val="18"/>
                <w:szCs w:val="18"/>
              </w:rPr>
            </w:pPr>
          </w:p>
        </w:tc>
      </w:tr>
      <w:tr w:rsidR="00B96ABD" w14:paraId="3809E5E3" w14:textId="77777777" w:rsidTr="00B96ABD">
        <w:trPr>
          <w:cantSplit/>
          <w:trHeight w:val="1255"/>
          <w:jc w:val="center"/>
        </w:trPr>
        <w:tc>
          <w:tcPr>
            <w:tcW w:w="454" w:type="pct"/>
            <w:tcBorders>
              <w:top w:val="nil"/>
              <w:left w:val="nil"/>
              <w:bottom w:val="single" w:sz="4" w:space="0" w:color="auto"/>
              <w:right w:val="nil"/>
            </w:tcBorders>
            <w:vAlign w:val="center"/>
            <w:hideMark/>
          </w:tcPr>
          <w:p w14:paraId="0BD1DCD3" w14:textId="68BC556F" w:rsidR="001A680B" w:rsidRDefault="001A680B" w:rsidP="00B96ABD">
            <w:pPr>
              <w:spacing w:before="20" w:after="20"/>
              <w:jc w:val="center"/>
              <w:rPr>
                <w:rFonts w:ascii="Arial" w:hAnsi="Arial" w:cs="Arial"/>
                <w:b/>
                <w:bCs/>
                <w:sz w:val="18"/>
                <w:szCs w:val="18"/>
              </w:rPr>
            </w:pPr>
            <w:proofErr w:type="spellStart"/>
            <w:r>
              <w:rPr>
                <w:rFonts w:ascii="Arial" w:hAnsi="Arial" w:cs="Arial"/>
                <w:sz w:val="18"/>
                <w:szCs w:val="18"/>
              </w:rPr>
              <w:t>Meccaci</w:t>
            </w:r>
            <w:proofErr w:type="spellEnd"/>
            <w:r>
              <w:rPr>
                <w:rFonts w:ascii="Arial" w:hAnsi="Arial" w:cs="Arial"/>
                <w:sz w:val="18"/>
                <w:szCs w:val="18"/>
              </w:rPr>
              <w:t xml:space="preserve"> </w:t>
            </w:r>
            <w:r w:rsidR="00377F9A" w:rsidRPr="00377F9A">
              <w:rPr>
                <w:rFonts w:ascii="Arial" w:hAnsi="Arial" w:cs="Arial"/>
                <w:i/>
                <w:iCs/>
                <w:sz w:val="18"/>
                <w:szCs w:val="18"/>
              </w:rPr>
              <w:t>et al.</w:t>
            </w:r>
            <w:r>
              <w:rPr>
                <w:rFonts w:ascii="Arial" w:hAnsi="Arial" w:cs="Arial"/>
                <w:sz w:val="18"/>
                <w:szCs w:val="18"/>
              </w:rPr>
              <w:t>, 2017</w:t>
            </w:r>
          </w:p>
        </w:tc>
        <w:tc>
          <w:tcPr>
            <w:tcW w:w="646" w:type="pct"/>
            <w:tcBorders>
              <w:top w:val="nil"/>
              <w:left w:val="nil"/>
              <w:bottom w:val="single" w:sz="4" w:space="0" w:color="auto"/>
              <w:right w:val="nil"/>
            </w:tcBorders>
            <w:vAlign w:val="center"/>
            <w:hideMark/>
          </w:tcPr>
          <w:p w14:paraId="0D11301F" w14:textId="77777777" w:rsidR="001A680B" w:rsidRDefault="001A680B" w:rsidP="00B96ABD">
            <w:pPr>
              <w:spacing w:before="20" w:after="20"/>
              <w:jc w:val="center"/>
              <w:rPr>
                <w:rFonts w:ascii="Arial" w:hAnsi="Arial" w:cs="Arial"/>
                <w:sz w:val="18"/>
                <w:szCs w:val="18"/>
              </w:rPr>
            </w:pPr>
            <w:r>
              <w:rPr>
                <w:rFonts w:ascii="Arial" w:hAnsi="Arial" w:cs="Arial"/>
                <w:sz w:val="18"/>
                <w:szCs w:val="18"/>
              </w:rPr>
              <w:t>Retrospective Cohort</w:t>
            </w:r>
          </w:p>
        </w:tc>
        <w:tc>
          <w:tcPr>
            <w:tcW w:w="431" w:type="pct"/>
            <w:tcBorders>
              <w:top w:val="nil"/>
              <w:left w:val="nil"/>
              <w:bottom w:val="single" w:sz="4" w:space="0" w:color="auto"/>
              <w:right w:val="nil"/>
            </w:tcBorders>
            <w:vAlign w:val="center"/>
            <w:hideMark/>
          </w:tcPr>
          <w:p w14:paraId="676FC1D8" w14:textId="77777777" w:rsidR="001A680B" w:rsidRDefault="001A680B" w:rsidP="00B96ABD">
            <w:pPr>
              <w:spacing w:before="20" w:after="20"/>
              <w:jc w:val="center"/>
              <w:rPr>
                <w:rFonts w:ascii="Arial" w:hAnsi="Arial" w:cs="Arial"/>
                <w:sz w:val="18"/>
                <w:szCs w:val="18"/>
              </w:rPr>
            </w:pPr>
            <w:r>
              <w:rPr>
                <w:rFonts w:ascii="Arial" w:hAnsi="Arial" w:cs="Arial"/>
                <w:sz w:val="18"/>
                <w:szCs w:val="18"/>
              </w:rPr>
              <w:t>Italy</w:t>
            </w:r>
          </w:p>
        </w:tc>
        <w:tc>
          <w:tcPr>
            <w:tcW w:w="359" w:type="pct"/>
            <w:tcBorders>
              <w:top w:val="nil"/>
              <w:left w:val="nil"/>
              <w:bottom w:val="single" w:sz="4" w:space="0" w:color="auto"/>
              <w:right w:val="nil"/>
            </w:tcBorders>
            <w:vAlign w:val="center"/>
            <w:hideMark/>
          </w:tcPr>
          <w:p w14:paraId="456C583B" w14:textId="77777777" w:rsidR="001A680B" w:rsidRDefault="001A680B" w:rsidP="00B96ABD">
            <w:pPr>
              <w:spacing w:before="20" w:after="20"/>
              <w:jc w:val="center"/>
              <w:rPr>
                <w:rFonts w:ascii="Arial" w:hAnsi="Arial" w:cs="Arial"/>
                <w:sz w:val="18"/>
                <w:szCs w:val="18"/>
              </w:rPr>
            </w:pPr>
            <w:r>
              <w:rPr>
                <w:rFonts w:ascii="Arial" w:hAnsi="Arial" w:cs="Arial"/>
                <w:sz w:val="18"/>
                <w:szCs w:val="18"/>
              </w:rPr>
              <w:t>2007 - 2015</w:t>
            </w:r>
          </w:p>
        </w:tc>
        <w:tc>
          <w:tcPr>
            <w:tcW w:w="503" w:type="pct"/>
            <w:tcBorders>
              <w:top w:val="nil"/>
              <w:left w:val="nil"/>
              <w:bottom w:val="single" w:sz="4" w:space="0" w:color="auto"/>
              <w:right w:val="nil"/>
            </w:tcBorders>
            <w:vAlign w:val="center"/>
            <w:hideMark/>
          </w:tcPr>
          <w:p w14:paraId="6881A453" w14:textId="77777777" w:rsidR="001A680B" w:rsidRDefault="001A680B" w:rsidP="00B96ABD">
            <w:pPr>
              <w:spacing w:before="20" w:after="20"/>
              <w:jc w:val="center"/>
              <w:rPr>
                <w:rFonts w:ascii="Arial" w:hAnsi="Arial" w:cs="Arial"/>
                <w:sz w:val="18"/>
                <w:szCs w:val="18"/>
              </w:rPr>
            </w:pPr>
            <w:r>
              <w:rPr>
                <w:rFonts w:ascii="Arial" w:hAnsi="Arial" w:cs="Arial"/>
                <w:sz w:val="18"/>
                <w:szCs w:val="18"/>
              </w:rPr>
              <w:t>Pregnant women with LES</w:t>
            </w:r>
          </w:p>
        </w:tc>
        <w:tc>
          <w:tcPr>
            <w:tcW w:w="646" w:type="pct"/>
            <w:tcBorders>
              <w:top w:val="nil"/>
              <w:left w:val="nil"/>
              <w:bottom w:val="single" w:sz="4" w:space="0" w:color="auto"/>
              <w:right w:val="nil"/>
            </w:tcBorders>
            <w:vAlign w:val="center"/>
            <w:hideMark/>
          </w:tcPr>
          <w:p w14:paraId="29861F50" w14:textId="77777777" w:rsidR="00B96ABD" w:rsidRDefault="001A680B" w:rsidP="00B96ABD">
            <w:pPr>
              <w:spacing w:before="20" w:after="20"/>
              <w:jc w:val="center"/>
              <w:rPr>
                <w:rFonts w:ascii="Arial" w:hAnsi="Arial" w:cs="Arial"/>
                <w:sz w:val="18"/>
                <w:szCs w:val="18"/>
              </w:rPr>
            </w:pPr>
            <w:r>
              <w:rPr>
                <w:rFonts w:ascii="Arial" w:hAnsi="Arial" w:cs="Arial"/>
                <w:sz w:val="18"/>
                <w:szCs w:val="18"/>
              </w:rPr>
              <w:t xml:space="preserve">86 pregnancies (27 with </w:t>
            </w:r>
          </w:p>
          <w:p w14:paraId="62614DA4" w14:textId="77777777" w:rsidR="00B96ABD" w:rsidRDefault="001A680B" w:rsidP="00B96ABD">
            <w:pPr>
              <w:spacing w:before="20" w:after="20"/>
              <w:jc w:val="center"/>
              <w:rPr>
                <w:rFonts w:ascii="Arial" w:hAnsi="Arial" w:cs="Arial"/>
                <w:sz w:val="18"/>
                <w:szCs w:val="18"/>
              </w:rPr>
            </w:pPr>
            <w:r>
              <w:rPr>
                <w:rFonts w:ascii="Arial" w:hAnsi="Arial" w:cs="Arial"/>
                <w:sz w:val="18"/>
                <w:szCs w:val="18"/>
              </w:rPr>
              <w:t xml:space="preserve">previous NL </w:t>
            </w:r>
          </w:p>
          <w:p w14:paraId="5089FCA3" w14:textId="196C14A9" w:rsidR="001A680B" w:rsidRDefault="001A680B" w:rsidP="00B96ABD">
            <w:pPr>
              <w:spacing w:before="20" w:after="20"/>
              <w:jc w:val="center"/>
              <w:rPr>
                <w:rFonts w:ascii="Arial" w:hAnsi="Arial" w:cs="Arial"/>
                <w:sz w:val="18"/>
                <w:szCs w:val="18"/>
              </w:rPr>
            </w:pPr>
            <w:r>
              <w:rPr>
                <w:rFonts w:ascii="Arial" w:hAnsi="Arial" w:cs="Arial"/>
                <w:sz w:val="18"/>
                <w:szCs w:val="18"/>
              </w:rPr>
              <w:t>and 59 without NL)</w:t>
            </w:r>
          </w:p>
        </w:tc>
        <w:tc>
          <w:tcPr>
            <w:tcW w:w="542" w:type="pct"/>
            <w:tcBorders>
              <w:top w:val="nil"/>
              <w:left w:val="nil"/>
              <w:bottom w:val="single" w:sz="4" w:space="0" w:color="auto"/>
              <w:right w:val="nil"/>
            </w:tcBorders>
            <w:vAlign w:val="center"/>
            <w:hideMark/>
          </w:tcPr>
          <w:p w14:paraId="58ADD60D" w14:textId="77777777" w:rsidR="001A680B" w:rsidRDefault="001A680B" w:rsidP="00B96ABD">
            <w:pPr>
              <w:spacing w:before="20" w:after="20"/>
              <w:jc w:val="center"/>
              <w:rPr>
                <w:rFonts w:ascii="Arial" w:hAnsi="Arial" w:cs="Arial"/>
                <w:sz w:val="18"/>
                <w:szCs w:val="18"/>
              </w:rPr>
            </w:pPr>
            <w:r>
              <w:rPr>
                <w:rFonts w:ascii="Arial" w:hAnsi="Arial" w:cs="Arial"/>
                <w:sz w:val="18"/>
                <w:szCs w:val="18"/>
              </w:rPr>
              <w:t>32,1 vs. 34,1</w:t>
            </w:r>
          </w:p>
        </w:tc>
        <w:tc>
          <w:tcPr>
            <w:tcW w:w="1418" w:type="pct"/>
            <w:tcBorders>
              <w:top w:val="nil"/>
              <w:left w:val="nil"/>
              <w:bottom w:val="single" w:sz="4" w:space="0" w:color="auto"/>
              <w:right w:val="nil"/>
            </w:tcBorders>
            <w:vAlign w:val="center"/>
          </w:tcPr>
          <w:p w14:paraId="4393247E" w14:textId="0C1A8B8F" w:rsidR="001A680B" w:rsidRDefault="001A680B" w:rsidP="00377F9A">
            <w:pPr>
              <w:spacing w:before="20" w:after="20"/>
              <w:jc w:val="both"/>
              <w:rPr>
                <w:rFonts w:ascii="Arial" w:hAnsi="Arial" w:cs="Arial"/>
                <w:sz w:val="18"/>
                <w:szCs w:val="18"/>
              </w:rPr>
            </w:pPr>
            <w:r>
              <w:rPr>
                <w:rFonts w:ascii="Arial" w:hAnsi="Arial" w:cs="Arial"/>
                <w:sz w:val="18"/>
                <w:szCs w:val="18"/>
              </w:rPr>
              <w:t>The presence of proteinuria was associated with a 2.45-fold higher risk of preeclampsia, while serum creatinine &gt;1.2 mg/dL was linked to a 1.25-fold higher risk compared to patients with serum creatinine &lt;1.2 mg/dL. A six-month period of inactive disease was associated with better outcomes.</w:t>
            </w:r>
          </w:p>
          <w:p w14:paraId="7EEBD2FB" w14:textId="77777777" w:rsidR="001A680B" w:rsidRDefault="001A680B" w:rsidP="00377F9A">
            <w:pPr>
              <w:spacing w:before="20" w:after="20"/>
              <w:jc w:val="both"/>
              <w:rPr>
                <w:rFonts w:ascii="Arial" w:hAnsi="Arial" w:cs="Arial"/>
                <w:sz w:val="18"/>
                <w:szCs w:val="18"/>
              </w:rPr>
            </w:pPr>
            <w:r>
              <w:rPr>
                <w:rFonts w:ascii="Arial" w:hAnsi="Arial" w:cs="Arial"/>
                <w:sz w:val="18"/>
                <w:szCs w:val="18"/>
              </w:rPr>
              <w:t>An estimated glomerular filtration rate (eGFR) &lt;90 mL/min/1.73 m² resulted in an 18.73-fold higher risk of preeclampsia (OR 18.73, 95% CI 4.35–80.7).</w:t>
            </w:r>
          </w:p>
        </w:tc>
      </w:tr>
    </w:tbl>
    <w:p w14:paraId="162359DB" w14:textId="77777777" w:rsidR="001A680B" w:rsidRDefault="001A680B" w:rsidP="00CA4526">
      <w:pPr>
        <w:spacing w:before="20" w:after="20"/>
        <w:rPr>
          <w:rFonts w:ascii="Arial" w:hAnsi="Arial" w:cs="Arial"/>
          <w:b/>
          <w:bCs/>
        </w:rPr>
      </w:pPr>
    </w:p>
    <w:p w14:paraId="1EE23BE7" w14:textId="77777777" w:rsidR="001A680B" w:rsidRPr="00CA4526" w:rsidRDefault="001A680B" w:rsidP="00CA4526">
      <w:pPr>
        <w:spacing w:before="20" w:after="20"/>
        <w:rPr>
          <w:rFonts w:ascii="Arial" w:hAnsi="Arial" w:cs="Arial"/>
          <w:b/>
          <w:bCs/>
        </w:rPr>
      </w:pPr>
    </w:p>
    <w:p w14:paraId="5A9DC4DB" w14:textId="77E1A214" w:rsidR="00360A30" w:rsidRPr="00CA4526" w:rsidRDefault="00360A30" w:rsidP="00CA4526">
      <w:pPr>
        <w:spacing w:before="20" w:after="20"/>
        <w:jc w:val="both"/>
        <w:rPr>
          <w:rFonts w:ascii="Arial" w:hAnsi="Arial" w:cs="Arial"/>
          <w:b/>
          <w:bCs/>
        </w:rPr>
      </w:pPr>
      <w:r w:rsidRPr="00CA4526">
        <w:rPr>
          <w:rFonts w:ascii="Arial" w:hAnsi="Arial" w:cs="Arial"/>
          <w:b/>
          <w:bCs/>
        </w:rPr>
        <w:t>Tab</w:t>
      </w:r>
      <w:r w:rsidR="00CA4526" w:rsidRPr="00CA4526">
        <w:rPr>
          <w:rFonts w:ascii="Arial" w:hAnsi="Arial" w:cs="Arial"/>
          <w:b/>
          <w:bCs/>
        </w:rPr>
        <w:t>le</w:t>
      </w:r>
      <w:r w:rsidRPr="00CA4526">
        <w:rPr>
          <w:rFonts w:ascii="Arial" w:hAnsi="Arial" w:cs="Arial"/>
          <w:b/>
          <w:bCs/>
        </w:rPr>
        <w:t xml:space="preserve"> 3</w:t>
      </w:r>
      <w:r w:rsidR="00CA4526" w:rsidRPr="00CA4526">
        <w:rPr>
          <w:rFonts w:ascii="Arial" w:hAnsi="Arial" w:cs="Arial"/>
          <w:b/>
          <w:bCs/>
        </w:rPr>
        <w:t xml:space="preserve">. </w:t>
      </w:r>
      <w:r w:rsidRPr="00CA4526">
        <w:rPr>
          <w:rFonts w:ascii="Arial" w:hAnsi="Arial" w:cs="Arial"/>
          <w:b/>
          <w:bCs/>
        </w:rPr>
        <w:t> </w:t>
      </w:r>
      <w:r w:rsidR="00BD4190">
        <w:rPr>
          <w:rFonts w:ascii="Arial" w:hAnsi="Arial" w:cs="Arial"/>
          <w:b/>
          <w:bCs/>
        </w:rPr>
        <w:t>Prevalence of risk factors in studies</w:t>
      </w:r>
    </w:p>
    <w:p w14:paraId="4EE4AF33" w14:textId="77777777" w:rsidR="00360A30" w:rsidRPr="00CA4526" w:rsidRDefault="00360A30" w:rsidP="00441B6F">
      <w:pPr>
        <w:pStyle w:val="Body"/>
        <w:spacing w:after="0"/>
        <w:rPr>
          <w:rFonts w:ascii="Arial" w:hAnsi="Arial" w:cs="Arial"/>
        </w:rPr>
      </w:pPr>
    </w:p>
    <w:tbl>
      <w:tblPr>
        <w:tblStyle w:val="PlainTable2"/>
        <w:tblW w:w="5000" w:type="pct"/>
        <w:tblLook w:val="04A0" w:firstRow="1" w:lastRow="0" w:firstColumn="1" w:lastColumn="0" w:noHBand="0" w:noVBand="1"/>
      </w:tblPr>
      <w:tblGrid>
        <w:gridCol w:w="5172"/>
        <w:gridCol w:w="3252"/>
      </w:tblGrid>
      <w:tr w:rsidR="00360A30" w:rsidRPr="00CA4526" w14:paraId="5223EC8E" w14:textId="77777777" w:rsidTr="00CA45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hideMark/>
          </w:tcPr>
          <w:p w14:paraId="7800ABD0" w14:textId="480EFB55" w:rsidR="00360A30" w:rsidRPr="00CA4526" w:rsidRDefault="00360A30" w:rsidP="00CA4526">
            <w:pPr>
              <w:spacing w:before="20" w:after="20"/>
              <w:rPr>
                <w:rFonts w:ascii="Arial" w:hAnsi="Arial" w:cs="Arial"/>
              </w:rPr>
            </w:pPr>
            <w:r w:rsidRPr="00CA4526">
              <w:rPr>
                <w:rFonts w:ascii="Arial" w:hAnsi="Arial" w:cs="Arial"/>
              </w:rPr>
              <w:t>Risk factors</w:t>
            </w:r>
          </w:p>
        </w:tc>
        <w:tc>
          <w:tcPr>
            <w:tcW w:w="1930" w:type="pct"/>
            <w:hideMark/>
          </w:tcPr>
          <w:p w14:paraId="4CCC3BEE" w14:textId="01CCD169" w:rsidR="00360A30" w:rsidRPr="00CA4526" w:rsidRDefault="00360A30" w:rsidP="00CA4526">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Proportion of studies</w:t>
            </w:r>
          </w:p>
        </w:tc>
      </w:tr>
      <w:tr w:rsidR="00360A30" w:rsidRPr="00CA4526" w14:paraId="0297F1DC"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bottom w:val="nil"/>
            </w:tcBorders>
            <w:hideMark/>
          </w:tcPr>
          <w:p w14:paraId="4736EE49" w14:textId="64C83288" w:rsidR="00360A30" w:rsidRPr="00CA4526" w:rsidRDefault="00B96ABD" w:rsidP="00CA4526">
            <w:pPr>
              <w:spacing w:before="20" w:after="20"/>
              <w:rPr>
                <w:rFonts w:ascii="Arial" w:hAnsi="Arial" w:cs="Arial"/>
                <w:b w:val="0"/>
                <w:bCs w:val="0"/>
              </w:rPr>
            </w:pPr>
            <w:r>
              <w:rPr>
                <w:rFonts w:ascii="Arial" w:hAnsi="Arial" w:cs="Arial"/>
                <w:b w:val="0"/>
                <w:bCs w:val="0"/>
              </w:rPr>
              <w:t xml:space="preserve">Active SLE </w:t>
            </w:r>
          </w:p>
        </w:tc>
        <w:tc>
          <w:tcPr>
            <w:tcW w:w="1930" w:type="pct"/>
            <w:tcBorders>
              <w:bottom w:val="nil"/>
            </w:tcBorders>
            <w:hideMark/>
          </w:tcPr>
          <w:p w14:paraId="2160332C" w14:textId="3CC5294A"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0,33% (3/9)</w:t>
            </w:r>
          </w:p>
        </w:tc>
      </w:tr>
      <w:tr w:rsidR="00360A30" w:rsidRPr="00CA4526" w14:paraId="64B9E3DD"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1A26345B" w14:textId="2C163A93" w:rsidR="00360A30" w:rsidRPr="00CA4526" w:rsidRDefault="00CA4526" w:rsidP="00CA4526">
            <w:pPr>
              <w:spacing w:before="20" w:after="20"/>
              <w:rPr>
                <w:rFonts w:ascii="Arial" w:hAnsi="Arial" w:cs="Arial"/>
                <w:b w:val="0"/>
                <w:bCs w:val="0"/>
              </w:rPr>
            </w:pPr>
            <w:r w:rsidRPr="00CA4526">
              <w:rPr>
                <w:rFonts w:ascii="Arial" w:hAnsi="Arial" w:cs="Arial"/>
                <w:b w:val="0"/>
                <w:bCs w:val="0"/>
              </w:rPr>
              <w:t>Age</w:t>
            </w:r>
          </w:p>
        </w:tc>
        <w:tc>
          <w:tcPr>
            <w:tcW w:w="1930" w:type="pct"/>
            <w:tcBorders>
              <w:top w:val="nil"/>
              <w:bottom w:val="nil"/>
            </w:tcBorders>
            <w:hideMark/>
          </w:tcPr>
          <w:p w14:paraId="46B339B6" w14:textId="77777777"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0,22% (2/9)</w:t>
            </w:r>
          </w:p>
        </w:tc>
      </w:tr>
      <w:tr w:rsidR="00360A30" w:rsidRPr="00CA4526" w14:paraId="0E6F24BD"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A6792F1" w14:textId="4689F511" w:rsidR="00360A30" w:rsidRPr="00CA4526" w:rsidRDefault="00360A30" w:rsidP="00CA4526">
            <w:pPr>
              <w:spacing w:before="20" w:after="20"/>
              <w:rPr>
                <w:rFonts w:ascii="Arial" w:hAnsi="Arial" w:cs="Arial"/>
                <w:b w:val="0"/>
                <w:bCs w:val="0"/>
              </w:rPr>
            </w:pPr>
            <w:r w:rsidRPr="00CA4526">
              <w:rPr>
                <w:rFonts w:ascii="Arial" w:hAnsi="Arial" w:cs="Arial"/>
                <w:b w:val="0"/>
                <w:bCs w:val="0"/>
              </w:rPr>
              <w:t>Pari</w:t>
            </w:r>
            <w:r w:rsidR="00B96ABD">
              <w:rPr>
                <w:rFonts w:ascii="Arial" w:hAnsi="Arial" w:cs="Arial"/>
                <w:b w:val="0"/>
                <w:bCs w:val="0"/>
              </w:rPr>
              <w:t>ty</w:t>
            </w:r>
          </w:p>
        </w:tc>
        <w:tc>
          <w:tcPr>
            <w:tcW w:w="1930" w:type="pct"/>
            <w:tcBorders>
              <w:top w:val="nil"/>
              <w:bottom w:val="nil"/>
            </w:tcBorders>
            <w:hideMark/>
          </w:tcPr>
          <w:p w14:paraId="027CF27C" w14:textId="77777777"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0,22% (2/9)</w:t>
            </w:r>
          </w:p>
        </w:tc>
      </w:tr>
      <w:tr w:rsidR="00360A30" w:rsidRPr="00CA4526" w14:paraId="0EDCBB35"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58E12826" w14:textId="6EFFB7C3" w:rsidR="00360A30" w:rsidRPr="00CA4526" w:rsidRDefault="00B96ABD" w:rsidP="00CA4526">
            <w:pPr>
              <w:spacing w:before="20" w:after="20"/>
              <w:rPr>
                <w:rFonts w:ascii="Arial" w:hAnsi="Arial" w:cs="Arial"/>
                <w:b w:val="0"/>
                <w:bCs w:val="0"/>
              </w:rPr>
            </w:pPr>
            <w:r>
              <w:rPr>
                <w:rFonts w:ascii="Arial" w:hAnsi="Arial" w:cs="Arial"/>
                <w:b w:val="0"/>
                <w:bCs w:val="0"/>
              </w:rPr>
              <w:t>BMI</w:t>
            </w:r>
          </w:p>
        </w:tc>
        <w:tc>
          <w:tcPr>
            <w:tcW w:w="1930" w:type="pct"/>
            <w:tcBorders>
              <w:top w:val="nil"/>
              <w:bottom w:val="nil"/>
            </w:tcBorders>
            <w:hideMark/>
          </w:tcPr>
          <w:p w14:paraId="50CE2134" w14:textId="073EDD4E"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71520131"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506A8A2" w14:textId="53B8CF63" w:rsidR="00360A30" w:rsidRPr="00CA4526" w:rsidRDefault="00B96ABD" w:rsidP="00CA4526">
            <w:pPr>
              <w:spacing w:before="20" w:after="20"/>
              <w:rPr>
                <w:rFonts w:ascii="Arial" w:hAnsi="Arial" w:cs="Arial"/>
                <w:b w:val="0"/>
                <w:bCs w:val="0"/>
              </w:rPr>
            </w:pPr>
            <w:r>
              <w:rPr>
                <w:rFonts w:ascii="Arial" w:hAnsi="Arial" w:cs="Arial"/>
                <w:b w:val="0"/>
                <w:bCs w:val="0"/>
              </w:rPr>
              <w:t>Renal disease</w:t>
            </w:r>
          </w:p>
        </w:tc>
        <w:tc>
          <w:tcPr>
            <w:tcW w:w="1930" w:type="pct"/>
            <w:tcBorders>
              <w:top w:val="nil"/>
              <w:bottom w:val="nil"/>
            </w:tcBorders>
            <w:hideMark/>
          </w:tcPr>
          <w:p w14:paraId="2B803A86" w14:textId="0D75424A"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0,33% (3/9)</w:t>
            </w:r>
          </w:p>
        </w:tc>
      </w:tr>
      <w:tr w:rsidR="00360A30" w:rsidRPr="00CA4526" w14:paraId="647FD7F7"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2049ED2" w14:textId="11F8793F" w:rsidR="00360A30" w:rsidRPr="00CA4526" w:rsidRDefault="00360A30" w:rsidP="00CA4526">
            <w:pPr>
              <w:spacing w:before="20" w:after="20"/>
              <w:rPr>
                <w:rFonts w:ascii="Arial" w:hAnsi="Arial" w:cs="Arial"/>
                <w:b w:val="0"/>
                <w:bCs w:val="0"/>
              </w:rPr>
            </w:pPr>
            <w:r w:rsidRPr="00CA4526">
              <w:rPr>
                <w:rFonts w:ascii="Arial" w:hAnsi="Arial" w:cs="Arial"/>
                <w:b w:val="0"/>
                <w:bCs w:val="0"/>
              </w:rPr>
              <w:t>H</w:t>
            </w:r>
            <w:r w:rsidR="00B96ABD">
              <w:rPr>
                <w:rFonts w:ascii="Arial" w:hAnsi="Arial" w:cs="Arial"/>
                <w:b w:val="0"/>
                <w:bCs w:val="0"/>
              </w:rPr>
              <w:t>ypertension</w:t>
            </w:r>
          </w:p>
        </w:tc>
        <w:tc>
          <w:tcPr>
            <w:tcW w:w="1930" w:type="pct"/>
            <w:tcBorders>
              <w:top w:val="nil"/>
              <w:bottom w:val="nil"/>
            </w:tcBorders>
            <w:hideMark/>
          </w:tcPr>
          <w:p w14:paraId="364DDF64" w14:textId="5E712D78"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0,22% (2/9)</w:t>
            </w:r>
          </w:p>
        </w:tc>
      </w:tr>
      <w:tr w:rsidR="00360A30" w:rsidRPr="00CA4526" w14:paraId="7C020E31"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178D1A5D" w14:textId="49034AFD" w:rsidR="00360A30" w:rsidRPr="00CA4526" w:rsidRDefault="00B96ABD" w:rsidP="00CA4526">
            <w:pPr>
              <w:spacing w:before="20" w:after="20"/>
              <w:rPr>
                <w:rFonts w:ascii="Arial" w:hAnsi="Arial" w:cs="Arial"/>
                <w:b w:val="0"/>
                <w:bCs w:val="0"/>
              </w:rPr>
            </w:pPr>
            <w:r>
              <w:rPr>
                <w:rFonts w:ascii="Arial" w:hAnsi="Arial" w:cs="Arial"/>
                <w:b w:val="0"/>
                <w:bCs w:val="0"/>
              </w:rPr>
              <w:t xml:space="preserve">Hematologic disorders </w:t>
            </w:r>
          </w:p>
        </w:tc>
        <w:tc>
          <w:tcPr>
            <w:tcW w:w="1930" w:type="pct"/>
            <w:tcBorders>
              <w:top w:val="nil"/>
              <w:bottom w:val="nil"/>
            </w:tcBorders>
            <w:hideMark/>
          </w:tcPr>
          <w:p w14:paraId="1B393063" w14:textId="515A661E"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42D00AEB"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5E771E5" w14:textId="47FB7F26" w:rsidR="00360A30" w:rsidRPr="00CA4526" w:rsidRDefault="00B96ABD" w:rsidP="00CA4526">
            <w:pPr>
              <w:spacing w:before="20" w:after="20"/>
              <w:rPr>
                <w:rFonts w:ascii="Arial" w:hAnsi="Arial" w:cs="Arial"/>
                <w:b w:val="0"/>
                <w:bCs w:val="0"/>
              </w:rPr>
            </w:pPr>
            <w:r>
              <w:rPr>
                <w:rFonts w:ascii="Arial" w:hAnsi="Arial" w:cs="Arial"/>
                <w:b w:val="0"/>
                <w:bCs w:val="0"/>
              </w:rPr>
              <w:t xml:space="preserve">Serum albumin </w:t>
            </w:r>
            <w:r w:rsidR="00360A30" w:rsidRPr="00CA4526">
              <w:rPr>
                <w:rFonts w:ascii="Arial" w:hAnsi="Arial" w:cs="Arial"/>
                <w:b w:val="0"/>
                <w:bCs w:val="0"/>
              </w:rPr>
              <w:t>&lt; 31,5 g/L</w:t>
            </w:r>
          </w:p>
        </w:tc>
        <w:tc>
          <w:tcPr>
            <w:tcW w:w="1930" w:type="pct"/>
            <w:tcBorders>
              <w:top w:val="nil"/>
              <w:bottom w:val="nil"/>
            </w:tcBorders>
            <w:hideMark/>
          </w:tcPr>
          <w:p w14:paraId="4B096762" w14:textId="397541DA"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3DC646A3"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23FBDED" w14:textId="3EC44942" w:rsidR="00360A30" w:rsidRPr="00CA4526" w:rsidRDefault="00B96ABD" w:rsidP="00CA4526">
            <w:pPr>
              <w:spacing w:before="20" w:after="20"/>
              <w:rPr>
                <w:rFonts w:ascii="Arial" w:hAnsi="Arial" w:cs="Arial"/>
                <w:b w:val="0"/>
                <w:bCs w:val="0"/>
              </w:rPr>
            </w:pPr>
            <w:r>
              <w:rPr>
                <w:rFonts w:ascii="Arial" w:hAnsi="Arial" w:cs="Arial"/>
                <w:b w:val="0"/>
                <w:bCs w:val="0"/>
              </w:rPr>
              <w:t>Serum uric acid</w:t>
            </w:r>
            <w:r w:rsidR="00360A30" w:rsidRPr="00CA4526">
              <w:rPr>
                <w:rFonts w:ascii="Arial" w:hAnsi="Arial" w:cs="Arial"/>
                <w:b w:val="0"/>
                <w:bCs w:val="0"/>
              </w:rPr>
              <w:t xml:space="preserve"> </w:t>
            </w:r>
            <w:r w:rsidR="00360A30" w:rsidRPr="00CA4526">
              <w:rPr>
                <w:rFonts w:ascii="Arial" w:hAnsi="Arial" w:cs="Arial"/>
                <w:b w:val="0"/>
                <w:bCs w:val="0"/>
                <w:u w:val="single"/>
              </w:rPr>
              <w:t>&gt;</w:t>
            </w:r>
            <w:r w:rsidR="00360A30" w:rsidRPr="00CA4526">
              <w:rPr>
                <w:rFonts w:ascii="Arial" w:hAnsi="Arial" w:cs="Arial"/>
                <w:b w:val="0"/>
                <w:bCs w:val="0"/>
              </w:rPr>
              <w:t xml:space="preserve"> 303 </w:t>
            </w:r>
            <w:proofErr w:type="spellStart"/>
            <w:r w:rsidR="00360A30" w:rsidRPr="00CA4526">
              <w:rPr>
                <w:rFonts w:ascii="Arial" w:hAnsi="Arial" w:cs="Arial"/>
                <w:b w:val="0"/>
                <w:bCs w:val="0"/>
              </w:rPr>
              <w:t>μmol</w:t>
            </w:r>
            <w:proofErr w:type="spellEnd"/>
            <w:r w:rsidR="00360A30" w:rsidRPr="00CA4526">
              <w:rPr>
                <w:rFonts w:ascii="Arial" w:hAnsi="Arial" w:cs="Arial"/>
                <w:b w:val="0"/>
                <w:bCs w:val="0"/>
              </w:rPr>
              <w:t>/L</w:t>
            </w:r>
          </w:p>
        </w:tc>
        <w:tc>
          <w:tcPr>
            <w:tcW w:w="1930" w:type="pct"/>
            <w:tcBorders>
              <w:top w:val="nil"/>
              <w:bottom w:val="nil"/>
            </w:tcBorders>
            <w:hideMark/>
          </w:tcPr>
          <w:p w14:paraId="2265FDCC" w14:textId="68B04CF5"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6FC3E5C4"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A90B8A6" w14:textId="7AEAEBA5" w:rsidR="00360A30" w:rsidRPr="00CA4526" w:rsidRDefault="00B96ABD" w:rsidP="00CA4526">
            <w:pPr>
              <w:spacing w:before="20" w:after="20"/>
              <w:rPr>
                <w:rFonts w:ascii="Arial" w:hAnsi="Arial" w:cs="Arial"/>
                <w:b w:val="0"/>
                <w:bCs w:val="0"/>
              </w:rPr>
            </w:pPr>
            <w:r>
              <w:rPr>
                <w:rFonts w:ascii="Arial" w:hAnsi="Arial" w:cs="Arial"/>
                <w:b w:val="0"/>
                <w:bCs w:val="0"/>
              </w:rPr>
              <w:t xml:space="preserve">24-hour proteinuria </w:t>
            </w:r>
          </w:p>
        </w:tc>
        <w:tc>
          <w:tcPr>
            <w:tcW w:w="1930" w:type="pct"/>
            <w:tcBorders>
              <w:top w:val="nil"/>
              <w:bottom w:val="nil"/>
            </w:tcBorders>
            <w:hideMark/>
          </w:tcPr>
          <w:p w14:paraId="1D08A58D" w14:textId="69D08134"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0,22% (2/9)</w:t>
            </w:r>
          </w:p>
        </w:tc>
      </w:tr>
      <w:tr w:rsidR="00360A30" w:rsidRPr="00CA4526" w14:paraId="5198C69F"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9527E59" w14:textId="3A5C07BF" w:rsidR="00360A30" w:rsidRPr="00CA4526" w:rsidRDefault="00B96ABD" w:rsidP="00CA4526">
            <w:pPr>
              <w:spacing w:before="20" w:after="20"/>
              <w:rPr>
                <w:rFonts w:ascii="Arial" w:hAnsi="Arial" w:cs="Arial"/>
                <w:b w:val="0"/>
                <w:bCs w:val="0"/>
              </w:rPr>
            </w:pPr>
            <w:r>
              <w:rPr>
                <w:rFonts w:ascii="Arial" w:hAnsi="Arial" w:cs="Arial"/>
                <w:b w:val="0"/>
                <w:bCs w:val="0"/>
              </w:rPr>
              <w:t>Estimated glomerular filtration rate (eGFR)</w:t>
            </w:r>
          </w:p>
        </w:tc>
        <w:tc>
          <w:tcPr>
            <w:tcW w:w="1930" w:type="pct"/>
            <w:tcBorders>
              <w:top w:val="nil"/>
              <w:bottom w:val="nil"/>
            </w:tcBorders>
            <w:hideMark/>
          </w:tcPr>
          <w:p w14:paraId="7CC5F6C4" w14:textId="46CFDF23"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0,22% (2/9)</w:t>
            </w:r>
          </w:p>
        </w:tc>
      </w:tr>
      <w:tr w:rsidR="00360A30" w:rsidRPr="00CA4526" w14:paraId="31118B81"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6D08A0B2" w14:textId="6576C252" w:rsidR="00360A30" w:rsidRPr="00CA4526" w:rsidRDefault="00B96ABD" w:rsidP="00CA4526">
            <w:pPr>
              <w:spacing w:before="20" w:after="20"/>
              <w:rPr>
                <w:rFonts w:ascii="Arial" w:hAnsi="Arial" w:cs="Arial"/>
                <w:b w:val="0"/>
                <w:bCs w:val="0"/>
              </w:rPr>
            </w:pPr>
            <w:r>
              <w:rPr>
                <w:rFonts w:ascii="Arial" w:hAnsi="Arial" w:cs="Arial"/>
                <w:b w:val="0"/>
                <w:bCs w:val="0"/>
              </w:rPr>
              <w:t xml:space="preserve">Serum creatinine </w:t>
            </w:r>
          </w:p>
        </w:tc>
        <w:tc>
          <w:tcPr>
            <w:tcW w:w="1930" w:type="pct"/>
            <w:tcBorders>
              <w:top w:val="nil"/>
              <w:bottom w:val="nil"/>
            </w:tcBorders>
            <w:hideMark/>
          </w:tcPr>
          <w:p w14:paraId="7F09ABD2" w14:textId="1303DDEA"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2D4DEA83"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0921A337" w14:textId="440E62EB" w:rsidR="00360A30" w:rsidRPr="00CA4526" w:rsidRDefault="00B96ABD" w:rsidP="00CA4526">
            <w:pPr>
              <w:spacing w:before="20" w:after="20"/>
              <w:rPr>
                <w:rFonts w:ascii="Arial" w:hAnsi="Arial" w:cs="Arial"/>
                <w:b w:val="0"/>
                <w:bCs w:val="0"/>
              </w:rPr>
            </w:pPr>
            <w:r>
              <w:rPr>
                <w:rFonts w:ascii="Arial" w:hAnsi="Arial" w:cs="Arial"/>
                <w:b w:val="0"/>
                <w:bCs w:val="0"/>
              </w:rPr>
              <w:lastRenderedPageBreak/>
              <w:t>Anticardiolipin antibody</w:t>
            </w:r>
          </w:p>
        </w:tc>
        <w:tc>
          <w:tcPr>
            <w:tcW w:w="1930" w:type="pct"/>
            <w:tcBorders>
              <w:top w:val="nil"/>
              <w:bottom w:val="nil"/>
            </w:tcBorders>
            <w:hideMark/>
          </w:tcPr>
          <w:p w14:paraId="6A7F362A" w14:textId="4007C598"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39855DBF"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212A63BB" w14:textId="04C3FF36" w:rsidR="00360A30" w:rsidRPr="00CA4526" w:rsidRDefault="00B96ABD" w:rsidP="00CA4526">
            <w:pPr>
              <w:spacing w:before="20" w:after="20"/>
              <w:rPr>
                <w:rFonts w:ascii="Arial" w:hAnsi="Arial" w:cs="Arial"/>
                <w:b w:val="0"/>
                <w:bCs w:val="0"/>
              </w:rPr>
            </w:pPr>
            <w:r>
              <w:rPr>
                <w:rFonts w:ascii="Arial" w:hAnsi="Arial" w:cs="Arial"/>
                <w:b w:val="0"/>
                <w:bCs w:val="0"/>
              </w:rPr>
              <w:t>Use of prednisolone</w:t>
            </w:r>
          </w:p>
        </w:tc>
        <w:tc>
          <w:tcPr>
            <w:tcW w:w="1930" w:type="pct"/>
            <w:tcBorders>
              <w:top w:val="nil"/>
              <w:bottom w:val="nil"/>
            </w:tcBorders>
            <w:hideMark/>
          </w:tcPr>
          <w:p w14:paraId="7240C2FD" w14:textId="401AA7FB"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501C0AB6"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tcBorders>
            <w:hideMark/>
          </w:tcPr>
          <w:p w14:paraId="4C6A2959" w14:textId="6857C9DD" w:rsidR="00360A30" w:rsidRPr="00CA4526" w:rsidRDefault="00360A30" w:rsidP="00CA4526">
            <w:pPr>
              <w:spacing w:before="20" w:after="20"/>
              <w:rPr>
                <w:rFonts w:ascii="Arial" w:hAnsi="Arial" w:cs="Arial"/>
                <w:b w:val="0"/>
                <w:bCs w:val="0"/>
              </w:rPr>
            </w:pPr>
            <w:r w:rsidRPr="00CA4526">
              <w:rPr>
                <w:rFonts w:ascii="Arial" w:hAnsi="Arial" w:cs="Arial"/>
                <w:b w:val="0"/>
                <w:bCs w:val="0"/>
              </w:rPr>
              <w:t>Us</w:t>
            </w:r>
            <w:r w:rsidR="00B96ABD">
              <w:rPr>
                <w:rFonts w:ascii="Arial" w:hAnsi="Arial" w:cs="Arial"/>
                <w:b w:val="0"/>
                <w:bCs w:val="0"/>
              </w:rPr>
              <w:t>e of</w:t>
            </w:r>
            <w:r w:rsidRPr="00CA4526">
              <w:rPr>
                <w:rFonts w:ascii="Arial" w:hAnsi="Arial" w:cs="Arial"/>
                <w:b w:val="0"/>
                <w:bCs w:val="0"/>
              </w:rPr>
              <w:t xml:space="preserve"> antima</w:t>
            </w:r>
            <w:r w:rsidR="00B96ABD">
              <w:rPr>
                <w:rFonts w:ascii="Arial" w:hAnsi="Arial" w:cs="Arial"/>
                <w:b w:val="0"/>
                <w:bCs w:val="0"/>
              </w:rPr>
              <w:t>larial drugs</w:t>
            </w:r>
          </w:p>
        </w:tc>
        <w:tc>
          <w:tcPr>
            <w:tcW w:w="1930" w:type="pct"/>
            <w:tcBorders>
              <w:top w:val="nil"/>
            </w:tcBorders>
            <w:hideMark/>
          </w:tcPr>
          <w:p w14:paraId="1FC127AE" w14:textId="15C94BE8"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0,22% (2/9)</w:t>
            </w:r>
          </w:p>
        </w:tc>
      </w:tr>
    </w:tbl>
    <w:p w14:paraId="52C2032D" w14:textId="77777777" w:rsidR="00360A30" w:rsidRDefault="00360A30" w:rsidP="00441B6F">
      <w:pPr>
        <w:pStyle w:val="Body"/>
        <w:spacing w:after="0"/>
        <w:rPr>
          <w:rFonts w:ascii="Arial" w:hAnsi="Arial" w:cs="Arial"/>
        </w:rPr>
      </w:pPr>
    </w:p>
    <w:p w14:paraId="2981D301" w14:textId="77777777" w:rsidR="00360A30" w:rsidRDefault="00360A30" w:rsidP="00441B6F">
      <w:pPr>
        <w:pStyle w:val="Body"/>
        <w:spacing w:after="0"/>
        <w:rPr>
          <w:rFonts w:ascii="Arial" w:hAnsi="Arial" w:cs="Arial"/>
        </w:rPr>
      </w:pPr>
    </w:p>
    <w:p w14:paraId="5FCC14A1" w14:textId="77777777" w:rsidR="00CF5B2C" w:rsidRDefault="00CF5B2C" w:rsidP="00441B6F">
      <w:pPr>
        <w:pStyle w:val="Body"/>
        <w:spacing w:after="0"/>
        <w:rPr>
          <w:rFonts w:ascii="Arial" w:hAnsi="Arial" w:cs="Arial"/>
        </w:rPr>
      </w:pPr>
    </w:p>
    <w:p w14:paraId="425091F0" w14:textId="374528FD"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3.7 Ris</w:t>
      </w:r>
      <w:r>
        <w:rPr>
          <w:rFonts w:ascii="Arial" w:hAnsi="Arial" w:cs="Arial"/>
          <w:b/>
          <w:bCs/>
          <w:sz w:val="22"/>
          <w:szCs w:val="22"/>
        </w:rPr>
        <w:t>k of bias</w:t>
      </w:r>
    </w:p>
    <w:p w14:paraId="1D19E6AC" w14:textId="77777777" w:rsidR="00CF5B2C" w:rsidRDefault="00CF5B2C" w:rsidP="00441B6F">
      <w:pPr>
        <w:pStyle w:val="Body"/>
        <w:spacing w:after="0"/>
        <w:rPr>
          <w:rFonts w:ascii="Arial" w:hAnsi="Arial" w:cs="Arial"/>
        </w:rPr>
      </w:pPr>
    </w:p>
    <w:p w14:paraId="4A597865" w14:textId="77777777" w:rsidR="001A680B" w:rsidRPr="001A680B" w:rsidRDefault="001A680B" w:rsidP="001A680B">
      <w:pPr>
        <w:pStyle w:val="Body"/>
        <w:ind w:firstLine="720"/>
        <w:rPr>
          <w:rFonts w:ascii="Arial" w:hAnsi="Arial" w:cs="Arial"/>
        </w:rPr>
      </w:pPr>
      <w:r w:rsidRPr="001A680B">
        <w:rPr>
          <w:rFonts w:ascii="Arial" w:hAnsi="Arial" w:cs="Arial"/>
        </w:rPr>
        <w:t>Using the ROBINS-I tool, we systematically assessed the risk of bias in all included studies. Of the nine studies evaluated, seven were classified as having "some concerns" due to potential issues in the randomization process and missing outcome data, though they predominantly presented a low risk of bias across various domains. These studies exhibited low bias in areas such as participant selection, intervention classification, deviations from intended interventions, and selection of reported outcomes. This suggests a well-controlled methodology with a lower likelihood of significant bias.</w:t>
      </w:r>
      <w:r w:rsidRPr="001A680B">
        <w:rPr>
          <w:rFonts w:ascii="Arial" w:hAnsi="Arial" w:cs="Arial"/>
        </w:rPr>
        <w:tab/>
      </w:r>
    </w:p>
    <w:p w14:paraId="43029A7C" w14:textId="656C8551" w:rsidR="00CF5B2C" w:rsidRDefault="001A680B" w:rsidP="001A680B">
      <w:pPr>
        <w:pStyle w:val="Body"/>
        <w:spacing w:after="0"/>
        <w:ind w:firstLine="720"/>
        <w:rPr>
          <w:rFonts w:ascii="Arial" w:hAnsi="Arial" w:cs="Arial"/>
        </w:rPr>
      </w:pPr>
      <w:r w:rsidRPr="001A680B">
        <w:rPr>
          <w:rFonts w:ascii="Arial" w:hAnsi="Arial" w:cs="Arial"/>
        </w:rPr>
        <w:t>One study was considered to have a "low risk" of bias, indicating a robust methodology and reliable results. The remaining study was classified as having a "high risk" of bias, primarily due to issues in Domain 1 (confounding bias). Additionally, the overall risk for this study was deemed serious. This serious risk suggests that methodological issues could significantly affect the results and interpretation of this study, making it less reliable compared to the others. These classifications were essential in determining the weight and credibility of the synthesized evidence in this review, ensuring that our conclusions are based on high-quality and rigorously assessed research.</w:t>
      </w:r>
    </w:p>
    <w:p w14:paraId="7E9EC0EA" w14:textId="77777777" w:rsidR="00CF5B2C" w:rsidRDefault="00CF5B2C" w:rsidP="00441B6F">
      <w:pPr>
        <w:pStyle w:val="Body"/>
        <w:spacing w:after="0"/>
        <w:rPr>
          <w:rFonts w:ascii="Arial" w:hAnsi="Arial" w:cs="Arial"/>
        </w:rPr>
      </w:pPr>
    </w:p>
    <w:p w14:paraId="7D058FE5" w14:textId="47260696" w:rsidR="00CF5B2C" w:rsidRDefault="00CF5B2C" w:rsidP="00441B6F">
      <w:pPr>
        <w:pStyle w:val="Body"/>
        <w:spacing w:after="0"/>
        <w:rPr>
          <w:rFonts w:ascii="Arial" w:hAnsi="Arial" w:cs="Arial"/>
        </w:rPr>
      </w:pPr>
      <w:r>
        <w:rPr>
          <w:rFonts w:ascii="Arial" w:hAnsi="Arial" w:cs="Arial"/>
          <w:noProof/>
          <w:sz w:val="24"/>
          <w:szCs w:val="24"/>
          <w:lang w:eastAsia="pt-BR"/>
        </w:rPr>
        <w:drawing>
          <wp:inline distT="0" distB="0" distL="0" distR="0" wp14:anchorId="18D7791E" wp14:editId="1D4E3876">
            <wp:extent cx="4114800" cy="3334435"/>
            <wp:effectExtent l="0" t="0" r="0" b="0"/>
            <wp:docPr id="117660050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00501" name="Imagem 1176600501"/>
                    <pic:cNvPicPr/>
                  </pic:nvPicPr>
                  <pic:blipFill rotWithShape="1">
                    <a:blip r:embed="rId15" cstate="print">
                      <a:extLst>
                        <a:ext uri="{28A0092B-C50C-407E-A947-70E740481C1C}">
                          <a14:useLocalDpi xmlns:a14="http://schemas.microsoft.com/office/drawing/2010/main" val="0"/>
                        </a:ext>
                      </a:extLst>
                    </a:blip>
                    <a:srcRect b="7671"/>
                    <a:stretch/>
                  </pic:blipFill>
                  <pic:spPr bwMode="auto">
                    <a:xfrm>
                      <a:off x="0" y="0"/>
                      <a:ext cx="4133078" cy="3349246"/>
                    </a:xfrm>
                    <a:prstGeom prst="rect">
                      <a:avLst/>
                    </a:prstGeom>
                    <a:ln>
                      <a:noFill/>
                    </a:ln>
                    <a:extLst>
                      <a:ext uri="{53640926-AAD7-44D8-BBD7-CCE9431645EC}">
                        <a14:shadowObscured xmlns:a14="http://schemas.microsoft.com/office/drawing/2010/main"/>
                      </a:ext>
                    </a:extLst>
                  </pic:spPr>
                </pic:pic>
              </a:graphicData>
            </a:graphic>
          </wp:inline>
        </w:drawing>
      </w:r>
    </w:p>
    <w:p w14:paraId="04D1082A" w14:textId="77777777" w:rsidR="00CF5B2C" w:rsidRDefault="00CF5B2C" w:rsidP="00441B6F">
      <w:pPr>
        <w:pStyle w:val="Body"/>
        <w:spacing w:after="0"/>
        <w:rPr>
          <w:rFonts w:ascii="Arial" w:hAnsi="Arial" w:cs="Arial"/>
        </w:rPr>
      </w:pPr>
    </w:p>
    <w:p w14:paraId="751A95AE" w14:textId="4EF308DA" w:rsidR="00CF5B2C" w:rsidRDefault="00CF5B2C" w:rsidP="00441B6F">
      <w:pPr>
        <w:pStyle w:val="Body"/>
        <w:spacing w:after="0"/>
        <w:rPr>
          <w:rFonts w:ascii="Arial" w:hAnsi="Arial" w:cs="Arial"/>
          <w:b/>
          <w:bCs/>
        </w:rPr>
      </w:pPr>
      <w:r w:rsidRPr="00CA4526">
        <w:rPr>
          <w:rFonts w:ascii="Arial" w:hAnsi="Arial" w:cs="Arial"/>
          <w:b/>
          <w:bCs/>
        </w:rPr>
        <w:t>Fig. 2. Risk of bias</w:t>
      </w:r>
    </w:p>
    <w:p w14:paraId="1E062455" w14:textId="77777777" w:rsidR="00355640" w:rsidRPr="00355640" w:rsidRDefault="00355640" w:rsidP="00441B6F">
      <w:pPr>
        <w:pStyle w:val="Body"/>
        <w:spacing w:after="0"/>
        <w:rPr>
          <w:rFonts w:ascii="Arial" w:hAnsi="Arial" w:cs="Arial"/>
          <w:b/>
          <w:bCs/>
        </w:rPr>
      </w:pPr>
    </w:p>
    <w:p w14:paraId="35029B6C" w14:textId="77777777" w:rsidR="00360A30" w:rsidRDefault="00360A30" w:rsidP="00441B6F">
      <w:pPr>
        <w:pStyle w:val="Body"/>
        <w:spacing w:after="0"/>
        <w:rPr>
          <w:rFonts w:ascii="Arial" w:hAnsi="Arial" w:cs="Arial"/>
        </w:rPr>
      </w:pPr>
    </w:p>
    <w:p w14:paraId="61F53E58" w14:textId="2406A0C1" w:rsidR="00360A30" w:rsidRPr="009713DA" w:rsidRDefault="00360A30" w:rsidP="00441B6F">
      <w:pPr>
        <w:pStyle w:val="Body"/>
        <w:spacing w:after="0"/>
        <w:rPr>
          <w:rFonts w:ascii="Arial" w:hAnsi="Arial" w:cs="Arial"/>
          <w:b/>
          <w:bCs/>
          <w:sz w:val="22"/>
          <w:szCs w:val="22"/>
        </w:rPr>
      </w:pPr>
      <w:r w:rsidRPr="009713DA">
        <w:rPr>
          <w:rFonts w:ascii="Arial" w:hAnsi="Arial" w:cs="Arial"/>
          <w:b/>
          <w:bCs/>
          <w:sz w:val="22"/>
          <w:szCs w:val="22"/>
        </w:rPr>
        <w:lastRenderedPageBreak/>
        <w:t>4. D</w:t>
      </w:r>
      <w:r w:rsidR="009713DA">
        <w:rPr>
          <w:rFonts w:ascii="Arial" w:hAnsi="Arial" w:cs="Arial"/>
          <w:b/>
          <w:bCs/>
          <w:sz w:val="22"/>
          <w:szCs w:val="22"/>
        </w:rPr>
        <w:t>ISCUSSION</w:t>
      </w:r>
    </w:p>
    <w:p w14:paraId="1032F15C" w14:textId="77777777" w:rsidR="00360A30" w:rsidRDefault="00360A30" w:rsidP="00441B6F">
      <w:pPr>
        <w:pStyle w:val="Body"/>
        <w:spacing w:after="0"/>
        <w:rPr>
          <w:rFonts w:ascii="Arial" w:hAnsi="Arial" w:cs="Arial"/>
        </w:rPr>
      </w:pPr>
    </w:p>
    <w:p w14:paraId="7093A3B9" w14:textId="4587D7C3" w:rsidR="001A680B" w:rsidRPr="001A680B" w:rsidRDefault="001A680B" w:rsidP="001A680B">
      <w:pPr>
        <w:pStyle w:val="Body"/>
        <w:ind w:firstLine="720"/>
        <w:rPr>
          <w:rFonts w:ascii="Arial" w:hAnsi="Arial" w:cs="Arial"/>
        </w:rPr>
      </w:pPr>
      <w:r w:rsidRPr="001A680B">
        <w:rPr>
          <w:rFonts w:ascii="Arial" w:hAnsi="Arial" w:cs="Arial"/>
        </w:rPr>
        <w:t>This study evaluated factors associated with the development of preeclampsia (PE) in pregnant women with systemic lupus erythematosus (SLE). The obstetric outcomes of women with SLE have improved over the past decades, primarily due to advancements in treatment and more adequate pregestational counseling</w:t>
      </w:r>
      <w:r w:rsidR="00B724F1">
        <w:rPr>
          <w:rFonts w:ascii="Arial" w:hAnsi="Arial" w:cs="Arial"/>
        </w:rPr>
        <w:t xml:space="preserve"> (Lazzaroni </w:t>
      </w:r>
      <w:r w:rsidR="00377F9A" w:rsidRPr="00377F9A">
        <w:rPr>
          <w:rFonts w:ascii="Arial" w:hAnsi="Arial" w:cs="Arial"/>
          <w:i/>
        </w:rPr>
        <w:t>et al.</w:t>
      </w:r>
      <w:r w:rsidR="00B724F1">
        <w:rPr>
          <w:rFonts w:ascii="Arial" w:hAnsi="Arial" w:cs="Arial"/>
        </w:rPr>
        <w:t>, 2016)</w:t>
      </w:r>
      <w:r w:rsidRPr="001A680B">
        <w:rPr>
          <w:rFonts w:ascii="Arial" w:hAnsi="Arial" w:cs="Arial"/>
        </w:rPr>
        <w:t>.</w:t>
      </w:r>
      <w:r w:rsidR="00B724F1">
        <w:rPr>
          <w:rFonts w:ascii="Arial" w:hAnsi="Arial" w:cs="Arial"/>
        </w:rPr>
        <w:t xml:space="preserve"> </w:t>
      </w:r>
      <w:r w:rsidRPr="001A680B">
        <w:rPr>
          <w:rFonts w:ascii="Arial" w:hAnsi="Arial" w:cs="Arial"/>
        </w:rPr>
        <w:t>However, pregnancies in women with SLE still present higher risks of obstetric and fetal complications compared to pregnancies in women without the disease. For instance, PE occurs in approximately 5% of pregnancies in women without SLE, whereas the risk increases to 26% in women diagnosed with SLE within 0–2 years postpartum, 13% in those diagnosed within 2–5 years, and 16% in women with prevalent SLE</w:t>
      </w:r>
      <w:r w:rsidR="00CC6CBD">
        <w:rPr>
          <w:rFonts w:ascii="Arial" w:hAnsi="Arial" w:cs="Arial"/>
        </w:rPr>
        <w:t xml:space="preserve"> (Arkema </w:t>
      </w:r>
      <w:r w:rsidR="00377F9A" w:rsidRPr="00377F9A">
        <w:rPr>
          <w:rFonts w:ascii="Arial" w:hAnsi="Arial" w:cs="Arial"/>
          <w:i/>
        </w:rPr>
        <w:t>et al.</w:t>
      </w:r>
      <w:r w:rsidR="00CC6CBD">
        <w:rPr>
          <w:rFonts w:ascii="Arial" w:hAnsi="Arial" w:cs="Arial"/>
        </w:rPr>
        <w:t>, 2016)</w:t>
      </w:r>
      <w:r w:rsidRPr="001A680B">
        <w:rPr>
          <w:rFonts w:ascii="Arial" w:hAnsi="Arial" w:cs="Arial"/>
        </w:rPr>
        <w:t xml:space="preserve">.  </w:t>
      </w:r>
    </w:p>
    <w:p w14:paraId="6AFCEB29" w14:textId="0236611F" w:rsidR="001A680B" w:rsidRPr="001A680B" w:rsidRDefault="001A680B" w:rsidP="001A680B">
      <w:pPr>
        <w:pStyle w:val="Body"/>
        <w:ind w:firstLine="720"/>
        <w:rPr>
          <w:rFonts w:ascii="Arial" w:hAnsi="Arial" w:cs="Arial"/>
        </w:rPr>
      </w:pPr>
      <w:r w:rsidRPr="001A680B">
        <w:rPr>
          <w:rFonts w:ascii="Arial" w:hAnsi="Arial" w:cs="Arial"/>
        </w:rPr>
        <w:t>Systemic lupus erythematosus is a chronic autoimmune disease that can affect multiple organ systems, and pregnant women with SLE are at a higher risk of adverse obstetric outcomes compared to those without the disease. The status of SLE—whether the disease remains stable or is active—is closely linked to maternal and neonatal outcomes, as disease activity is associated with various obstetric complications, including PE, primarily due to its potential to cause systemic inflammation and endothelial dysfunction</w:t>
      </w:r>
      <w:r w:rsidR="00CC6CBD">
        <w:rPr>
          <w:rFonts w:ascii="Arial" w:hAnsi="Arial" w:cs="Arial"/>
        </w:rPr>
        <w:t xml:space="preserve"> (Li </w:t>
      </w:r>
      <w:r w:rsidR="00377F9A" w:rsidRPr="00377F9A">
        <w:rPr>
          <w:rFonts w:ascii="Arial" w:hAnsi="Arial" w:cs="Arial"/>
          <w:i/>
        </w:rPr>
        <w:t>et al.</w:t>
      </w:r>
      <w:r w:rsidR="00CC6CBD">
        <w:rPr>
          <w:rFonts w:ascii="Arial" w:hAnsi="Arial" w:cs="Arial"/>
        </w:rPr>
        <w:t>, 2022)</w:t>
      </w:r>
      <w:r w:rsidRPr="001A680B">
        <w:rPr>
          <w:rFonts w:ascii="Arial" w:hAnsi="Arial" w:cs="Arial"/>
        </w:rPr>
        <w:t xml:space="preserve">.  </w:t>
      </w:r>
    </w:p>
    <w:p w14:paraId="03D686F3" w14:textId="42F53AEF" w:rsidR="001A680B" w:rsidRPr="001A680B" w:rsidRDefault="001A680B" w:rsidP="001A680B">
      <w:pPr>
        <w:pStyle w:val="Body"/>
        <w:ind w:firstLine="720"/>
        <w:rPr>
          <w:rFonts w:ascii="Arial" w:hAnsi="Arial" w:cs="Arial"/>
        </w:rPr>
      </w:pPr>
      <w:r w:rsidRPr="001A680B">
        <w:rPr>
          <w:rFonts w:ascii="Arial" w:hAnsi="Arial" w:cs="Arial"/>
        </w:rPr>
        <w:t>The results demonstrated a significant association between lupus activity and the risk of PE, with an estimated threefold increase in risk for women with active lupus compared to those with inactive disease. These findings align with the literature, which also reports a high prevalence of PE in pregnant women with active lupus</w:t>
      </w:r>
      <w:r w:rsidR="00CC6CBD">
        <w:rPr>
          <w:rFonts w:ascii="Arial" w:hAnsi="Arial" w:cs="Arial"/>
        </w:rPr>
        <w:t xml:space="preserve"> (Miranda-Hernandez </w:t>
      </w:r>
      <w:r w:rsidR="00377F9A" w:rsidRPr="00377F9A">
        <w:rPr>
          <w:rFonts w:ascii="Arial" w:hAnsi="Arial" w:cs="Arial"/>
          <w:i/>
        </w:rPr>
        <w:t>et al.</w:t>
      </w:r>
      <w:r w:rsidR="00CC6CBD">
        <w:rPr>
          <w:rFonts w:ascii="Arial" w:hAnsi="Arial" w:cs="Arial"/>
        </w:rPr>
        <w:t>, 2020)</w:t>
      </w:r>
      <w:r w:rsidRPr="001A680B">
        <w:rPr>
          <w:rFonts w:ascii="Arial" w:hAnsi="Arial" w:cs="Arial"/>
        </w:rPr>
        <w:t>.</w:t>
      </w:r>
      <w:r w:rsidR="00CC6CBD">
        <w:rPr>
          <w:rFonts w:ascii="Arial" w:hAnsi="Arial" w:cs="Arial"/>
        </w:rPr>
        <w:t xml:space="preserve"> </w:t>
      </w:r>
      <w:r w:rsidRPr="001A680B">
        <w:rPr>
          <w:rFonts w:ascii="Arial" w:hAnsi="Arial" w:cs="Arial"/>
        </w:rPr>
        <w:t xml:space="preserve">Therefore, it is crucial for women with active lupus to be closely monitored during pregnancy to prevent disease exacerbations and to promptly manage potential complications. However, the use of different scoring systems to quantify lupus activity, such as the Lupus Activity Index in Pregnancy (LAI-P) or the Systemic Lupus Erythematosus Disease Activity Index (SLEDAI), may impact result consistency and comparability.  </w:t>
      </w:r>
    </w:p>
    <w:p w14:paraId="5803BFEA" w14:textId="7BF9E9D9" w:rsidR="001A680B" w:rsidRPr="001A680B" w:rsidRDefault="001A680B" w:rsidP="001A680B">
      <w:pPr>
        <w:pStyle w:val="Body"/>
        <w:ind w:firstLine="720"/>
        <w:rPr>
          <w:rFonts w:ascii="Arial" w:hAnsi="Arial" w:cs="Arial"/>
        </w:rPr>
      </w:pPr>
      <w:r w:rsidRPr="001A680B">
        <w:rPr>
          <w:rFonts w:ascii="Arial" w:hAnsi="Arial" w:cs="Arial"/>
        </w:rPr>
        <w:t>Increased body mass index (BMI) is associated with a higher risk of PE, as it contributes to increased systemic inflammation and oxidative stress, in addition to being linked to maternal hyperinsulinemia. Obesity leads to elevated leptin and insulin levels, which contribute to defective placental implantation, resulting in endothelial dysfunction and a predisposition to hypertensive disorders such as PE</w:t>
      </w:r>
      <w:r w:rsidR="00CC6CBD">
        <w:rPr>
          <w:rFonts w:ascii="Arial" w:hAnsi="Arial" w:cs="Arial"/>
        </w:rPr>
        <w:t xml:space="preserve"> (Wang </w:t>
      </w:r>
      <w:r w:rsidR="00377F9A" w:rsidRPr="00377F9A">
        <w:rPr>
          <w:rFonts w:ascii="Arial" w:hAnsi="Arial" w:cs="Arial"/>
          <w:i/>
        </w:rPr>
        <w:t>et al.</w:t>
      </w:r>
      <w:r w:rsidR="00CC6CBD">
        <w:rPr>
          <w:rFonts w:ascii="Arial" w:hAnsi="Arial" w:cs="Arial"/>
        </w:rPr>
        <w:t>, 2024)</w:t>
      </w:r>
      <w:r w:rsidRPr="001A680B">
        <w:rPr>
          <w:rFonts w:ascii="Arial" w:hAnsi="Arial" w:cs="Arial"/>
        </w:rPr>
        <w:t>. In this study, a high BMI was identified as an independent risk factor for PE, supporting findings from another study that also reported a significant association between elevated BMI and the occurrence of maternal complications, including PE</w:t>
      </w:r>
      <w:r w:rsidR="00CC6CBD">
        <w:rPr>
          <w:rFonts w:ascii="Arial" w:hAnsi="Arial" w:cs="Arial"/>
        </w:rPr>
        <w:t xml:space="preserve"> (Normand </w:t>
      </w:r>
      <w:r w:rsidR="00377F9A" w:rsidRPr="00377F9A">
        <w:rPr>
          <w:rFonts w:ascii="Arial" w:hAnsi="Arial" w:cs="Arial"/>
          <w:i/>
        </w:rPr>
        <w:t>et al.</w:t>
      </w:r>
      <w:r w:rsidR="00CC6CBD">
        <w:rPr>
          <w:rFonts w:ascii="Arial" w:hAnsi="Arial" w:cs="Arial"/>
        </w:rPr>
        <w:t>, 2019)</w:t>
      </w:r>
      <w:r w:rsidRPr="001A680B">
        <w:rPr>
          <w:rFonts w:ascii="Arial" w:hAnsi="Arial" w:cs="Arial"/>
        </w:rPr>
        <w:t xml:space="preserve">.  </w:t>
      </w:r>
    </w:p>
    <w:p w14:paraId="22E65139" w14:textId="5680F001" w:rsidR="001A680B" w:rsidRPr="001A680B" w:rsidRDefault="001A680B" w:rsidP="001A680B">
      <w:pPr>
        <w:pStyle w:val="Body"/>
        <w:ind w:firstLine="720"/>
        <w:rPr>
          <w:rFonts w:ascii="Arial" w:hAnsi="Arial" w:cs="Arial"/>
        </w:rPr>
      </w:pPr>
      <w:r w:rsidRPr="001A680B">
        <w:rPr>
          <w:rFonts w:ascii="Arial" w:hAnsi="Arial" w:cs="Arial"/>
        </w:rPr>
        <w:t>Pregnancy in women over 35 years of age is associated with an increased risk of obstetric complications, both due to ovarian aging and the higher prevalence of pre-existing chronic diseases</w:t>
      </w:r>
      <w:r w:rsidR="00CC6CBD">
        <w:rPr>
          <w:rFonts w:ascii="Arial" w:hAnsi="Arial" w:cs="Arial"/>
        </w:rPr>
        <w:t xml:space="preserve"> (Alves </w:t>
      </w:r>
      <w:r w:rsidR="00377F9A" w:rsidRPr="00377F9A">
        <w:rPr>
          <w:rFonts w:ascii="Arial" w:hAnsi="Arial" w:cs="Arial"/>
          <w:i/>
        </w:rPr>
        <w:t>et al.</w:t>
      </w:r>
      <w:r w:rsidR="00CC6CBD">
        <w:rPr>
          <w:rFonts w:ascii="Arial" w:hAnsi="Arial" w:cs="Arial"/>
        </w:rPr>
        <w:t>, 2018)</w:t>
      </w:r>
      <w:r w:rsidRPr="001A680B">
        <w:rPr>
          <w:rFonts w:ascii="Arial" w:hAnsi="Arial" w:cs="Arial"/>
        </w:rPr>
        <w:t>. It has been reported that the risk of PE increases by approximately 4% for each additional year of maternal age beyond 32 years</w:t>
      </w:r>
      <w:r w:rsidR="00CC6CBD">
        <w:rPr>
          <w:rFonts w:ascii="Arial" w:hAnsi="Arial" w:cs="Arial"/>
        </w:rPr>
        <w:t xml:space="preserve"> (Poon </w:t>
      </w:r>
      <w:r w:rsidR="00377F9A" w:rsidRPr="00377F9A">
        <w:rPr>
          <w:rFonts w:ascii="Arial" w:hAnsi="Arial" w:cs="Arial"/>
          <w:i/>
        </w:rPr>
        <w:t>et al.</w:t>
      </w:r>
      <w:r w:rsidR="00CC6CBD">
        <w:rPr>
          <w:rFonts w:ascii="Arial" w:hAnsi="Arial" w:cs="Arial"/>
        </w:rPr>
        <w:t>, 2019)</w:t>
      </w:r>
      <w:r w:rsidRPr="001A680B">
        <w:rPr>
          <w:rFonts w:ascii="Arial" w:hAnsi="Arial" w:cs="Arial"/>
        </w:rPr>
        <w:t>. However, in pregnancies complicated by PE in women with SLE, affected individuals tend to be younger, contradicting findings from studies that indicate an increased risk of PE with advancing maternal age</w:t>
      </w:r>
      <w:r w:rsidR="00CC6CBD">
        <w:rPr>
          <w:rFonts w:ascii="Arial" w:hAnsi="Arial" w:cs="Arial"/>
        </w:rPr>
        <w:t xml:space="preserve"> (Ferreira </w:t>
      </w:r>
      <w:r w:rsidR="00377F9A" w:rsidRPr="00377F9A">
        <w:rPr>
          <w:rFonts w:ascii="Arial" w:hAnsi="Arial" w:cs="Arial"/>
          <w:i/>
        </w:rPr>
        <w:t>et al.</w:t>
      </w:r>
      <w:r w:rsidR="00CC6CBD">
        <w:rPr>
          <w:rFonts w:ascii="Arial" w:hAnsi="Arial" w:cs="Arial"/>
        </w:rPr>
        <w:t>, 2019)</w:t>
      </w:r>
      <w:r w:rsidRPr="001A680B">
        <w:rPr>
          <w:rFonts w:ascii="Arial" w:hAnsi="Arial" w:cs="Arial"/>
        </w:rPr>
        <w:t>. This discrepancy may be explained by the heterogeneity of maternal ages in different studies. For example, in this review, the mean maternal age was 25.3 years in pregnancies complicated by PE and 29.9 years in those without PE. In contrast, other studies have reported mean maternal ages ranging from 35 to 40 years, demonstrating an increased prevalence of complications in older age groups.</w:t>
      </w:r>
    </w:p>
    <w:p w14:paraId="78C6A9AE" w14:textId="084B774D" w:rsidR="001A680B" w:rsidRPr="001A680B" w:rsidRDefault="001A680B" w:rsidP="001A680B">
      <w:pPr>
        <w:pStyle w:val="Body"/>
        <w:ind w:firstLine="720"/>
        <w:rPr>
          <w:rFonts w:ascii="Arial" w:hAnsi="Arial" w:cs="Arial"/>
        </w:rPr>
      </w:pPr>
      <w:r w:rsidRPr="001A680B">
        <w:rPr>
          <w:rFonts w:ascii="Arial" w:hAnsi="Arial" w:cs="Arial"/>
        </w:rPr>
        <w:t xml:space="preserve">Parity is also a relevant factor for the occurrence of complications, as multiparity has been significantly associated with a lower risk of preeclampsia. In contrast, nulliparous </w:t>
      </w:r>
      <w:r w:rsidRPr="001A680B">
        <w:rPr>
          <w:rFonts w:ascii="Arial" w:hAnsi="Arial" w:cs="Arial"/>
        </w:rPr>
        <w:lastRenderedPageBreak/>
        <w:t>women have an increased risk of PE, as described in the literature, with one study demonstrating an almost threefold higher risk of preeclampsia in primigravidae</w:t>
      </w:r>
      <w:r w:rsidR="00CC6CBD">
        <w:rPr>
          <w:rFonts w:ascii="Arial" w:hAnsi="Arial" w:cs="Arial"/>
        </w:rPr>
        <w:t xml:space="preserve"> (Grum </w:t>
      </w:r>
      <w:r w:rsidR="00377F9A" w:rsidRPr="00377F9A">
        <w:rPr>
          <w:rFonts w:ascii="Arial" w:hAnsi="Arial" w:cs="Arial"/>
          <w:i/>
        </w:rPr>
        <w:t>et al.</w:t>
      </w:r>
      <w:r w:rsidR="00CC6CBD">
        <w:rPr>
          <w:rFonts w:ascii="Arial" w:hAnsi="Arial" w:cs="Arial"/>
        </w:rPr>
        <w:t>, 2017)</w:t>
      </w:r>
      <w:r w:rsidRPr="001A680B">
        <w:rPr>
          <w:rFonts w:ascii="Arial" w:hAnsi="Arial" w:cs="Arial"/>
        </w:rPr>
        <w:t>. The reason why the first pregnancy predisposes to the development of PE is not yet fully elucidated, but one hypothesis suggests that the absence of maternal tolerance to paternal antigens may play a role in the pathogenesis of the disease</w:t>
      </w:r>
      <w:r w:rsidR="00CC6CBD">
        <w:rPr>
          <w:rFonts w:ascii="Arial" w:hAnsi="Arial" w:cs="Arial"/>
        </w:rPr>
        <w:t xml:space="preserve"> (</w:t>
      </w:r>
      <w:proofErr w:type="spellStart"/>
      <w:r w:rsidR="00CC6CBD">
        <w:rPr>
          <w:rFonts w:ascii="Arial" w:hAnsi="Arial" w:cs="Arial"/>
        </w:rPr>
        <w:t>Febrasgo</w:t>
      </w:r>
      <w:proofErr w:type="spellEnd"/>
      <w:r w:rsidR="00CC6CBD">
        <w:rPr>
          <w:rFonts w:ascii="Arial" w:hAnsi="Arial" w:cs="Arial"/>
        </w:rPr>
        <w:t>, 2019)</w:t>
      </w:r>
      <w:r w:rsidRPr="001A680B">
        <w:rPr>
          <w:rFonts w:ascii="Arial" w:hAnsi="Arial" w:cs="Arial"/>
        </w:rPr>
        <w:t>.</w:t>
      </w:r>
    </w:p>
    <w:p w14:paraId="78687E54" w14:textId="385313E9" w:rsidR="001A680B" w:rsidRPr="001A680B" w:rsidRDefault="001A680B" w:rsidP="001A680B">
      <w:pPr>
        <w:pStyle w:val="Body"/>
        <w:ind w:firstLine="720"/>
        <w:rPr>
          <w:rFonts w:ascii="Arial" w:hAnsi="Arial" w:cs="Arial"/>
        </w:rPr>
      </w:pPr>
      <w:r w:rsidRPr="001A680B">
        <w:rPr>
          <w:rFonts w:ascii="Arial" w:hAnsi="Arial" w:cs="Arial"/>
        </w:rPr>
        <w:t>Another important consideration is the comorbidities present in these women, such as renal disease, hypertension, and hematologic disorders. In lupus nephritis, there is a reduction in regulatory T cells (Tregs), which play a crucial role in the development and maintenance of immune tolerance by suppressing an aggressive allogeneic response against the fetus. This process contributes to the development of complications such as preeclampsia</w:t>
      </w:r>
      <w:r w:rsidR="00CC6CBD">
        <w:rPr>
          <w:rFonts w:ascii="Arial" w:hAnsi="Arial" w:cs="Arial"/>
        </w:rPr>
        <w:t xml:space="preserve"> (</w:t>
      </w:r>
      <w:proofErr w:type="spellStart"/>
      <w:r w:rsidR="00CC6CBD">
        <w:rPr>
          <w:rFonts w:ascii="Arial" w:hAnsi="Arial" w:cs="Arial"/>
        </w:rPr>
        <w:t>Gluhovschi</w:t>
      </w:r>
      <w:proofErr w:type="spellEnd"/>
      <w:r w:rsidR="00CC6CBD">
        <w:rPr>
          <w:rFonts w:ascii="Arial" w:hAnsi="Arial" w:cs="Arial"/>
        </w:rPr>
        <w:t xml:space="preserve"> </w:t>
      </w:r>
      <w:r w:rsidR="00377F9A" w:rsidRPr="00377F9A">
        <w:rPr>
          <w:rFonts w:ascii="Arial" w:hAnsi="Arial" w:cs="Arial"/>
          <w:i/>
        </w:rPr>
        <w:t>et al.</w:t>
      </w:r>
      <w:r w:rsidR="00CC6CBD">
        <w:rPr>
          <w:rFonts w:ascii="Arial" w:hAnsi="Arial" w:cs="Arial"/>
        </w:rPr>
        <w:t>, 2015)</w:t>
      </w:r>
      <w:r w:rsidRPr="001A680B">
        <w:rPr>
          <w:rFonts w:ascii="Arial" w:hAnsi="Arial" w:cs="Arial"/>
        </w:rPr>
        <w:t>. The results revealed that women with a prior history of lupus nephritis or active LN had a higher risk of developing preeclampsia compared to those with non-renal lupus. This finding aligns with the literature, which demonstrates a significant association between a previous diagnosis of lupus nephritis and the development of preeclampsia</w:t>
      </w:r>
      <w:r w:rsidR="00CC6CBD">
        <w:rPr>
          <w:rFonts w:ascii="Arial" w:hAnsi="Arial" w:cs="Arial"/>
        </w:rPr>
        <w:t xml:space="preserve"> (Braga </w:t>
      </w:r>
      <w:r w:rsidR="00377F9A" w:rsidRPr="00377F9A">
        <w:rPr>
          <w:rFonts w:ascii="Arial" w:hAnsi="Arial" w:cs="Arial"/>
          <w:i/>
        </w:rPr>
        <w:t>et al.</w:t>
      </w:r>
      <w:r w:rsidR="00CC6CBD">
        <w:rPr>
          <w:rFonts w:ascii="Arial" w:hAnsi="Arial" w:cs="Arial"/>
        </w:rPr>
        <w:t>, 2021)</w:t>
      </w:r>
      <w:r w:rsidRPr="001A680B">
        <w:rPr>
          <w:rFonts w:ascii="Arial" w:hAnsi="Arial" w:cs="Arial"/>
        </w:rPr>
        <w:t>.</w:t>
      </w:r>
    </w:p>
    <w:p w14:paraId="5BC3621D" w14:textId="4E931D0E" w:rsidR="001A680B" w:rsidRPr="001A680B" w:rsidRDefault="001A680B" w:rsidP="001A680B">
      <w:pPr>
        <w:pStyle w:val="Body"/>
        <w:ind w:firstLine="720"/>
        <w:rPr>
          <w:rFonts w:ascii="Arial" w:hAnsi="Arial" w:cs="Arial"/>
        </w:rPr>
      </w:pPr>
      <w:r w:rsidRPr="001A680B">
        <w:rPr>
          <w:rFonts w:ascii="Arial" w:hAnsi="Arial" w:cs="Arial"/>
        </w:rPr>
        <w:t>Furthermore, chronic arterial hypertension represents a significantly increased risk for the onset of PE, being approximately five times higher compared to women without this condition</w:t>
      </w:r>
      <w:r w:rsidR="00CC6CBD">
        <w:rPr>
          <w:rFonts w:ascii="Arial" w:hAnsi="Arial" w:cs="Arial"/>
        </w:rPr>
        <w:t xml:space="preserve"> (Bartsch </w:t>
      </w:r>
      <w:r w:rsidR="00377F9A" w:rsidRPr="00377F9A">
        <w:rPr>
          <w:rFonts w:ascii="Arial" w:hAnsi="Arial" w:cs="Arial"/>
          <w:i/>
        </w:rPr>
        <w:t>et al.</w:t>
      </w:r>
      <w:r w:rsidR="00CC6CBD">
        <w:rPr>
          <w:rFonts w:ascii="Arial" w:hAnsi="Arial" w:cs="Arial"/>
        </w:rPr>
        <w:t>, 2016)</w:t>
      </w:r>
      <w:r w:rsidRPr="001A680B">
        <w:rPr>
          <w:rFonts w:ascii="Arial" w:hAnsi="Arial" w:cs="Arial"/>
        </w:rPr>
        <w:t>. The results confirmed this association in pregnant women with SLE, showing that those with preexisting hypertension and a mean arterial pressure (MAP) greater than or equal to 96.5 mmHg had an increased risk of pregnancy complicated by preeclampsia.</w:t>
      </w:r>
    </w:p>
    <w:p w14:paraId="7197C747" w14:textId="767B2967" w:rsidR="001A680B" w:rsidRPr="001A680B" w:rsidRDefault="001A680B" w:rsidP="001A680B">
      <w:pPr>
        <w:pStyle w:val="Body"/>
        <w:ind w:firstLine="720"/>
        <w:rPr>
          <w:rFonts w:ascii="Arial" w:hAnsi="Arial" w:cs="Arial"/>
        </w:rPr>
      </w:pPr>
      <w:r w:rsidRPr="001A680B">
        <w:rPr>
          <w:rFonts w:ascii="Arial" w:hAnsi="Arial" w:cs="Arial"/>
        </w:rPr>
        <w:t xml:space="preserve">Hematologic disorders were also identified as independent risk factors for the development of preeclampsia in pregnant women with SLE. A similar finding was reported in a study demonstrating that the presence of </w:t>
      </w:r>
      <w:proofErr w:type="spellStart"/>
      <w:r w:rsidRPr="001A680B">
        <w:rPr>
          <w:rFonts w:ascii="Arial" w:hAnsi="Arial" w:cs="Arial"/>
        </w:rPr>
        <w:t>cytopenias</w:t>
      </w:r>
      <w:proofErr w:type="spellEnd"/>
      <w:r w:rsidRPr="001A680B">
        <w:rPr>
          <w:rFonts w:ascii="Arial" w:hAnsi="Arial" w:cs="Arial"/>
        </w:rPr>
        <w:t xml:space="preserve"> increased the risk of obstetric complications in women with lupus by approximately threefold</w:t>
      </w:r>
      <w:r w:rsidR="00CC6CBD">
        <w:rPr>
          <w:rFonts w:ascii="Arial" w:hAnsi="Arial" w:cs="Arial"/>
        </w:rPr>
        <w:t xml:space="preserve"> (Tedeschi </w:t>
      </w:r>
      <w:r w:rsidR="00377F9A" w:rsidRPr="00377F9A">
        <w:rPr>
          <w:rFonts w:ascii="Arial" w:hAnsi="Arial" w:cs="Arial"/>
          <w:i/>
        </w:rPr>
        <w:t>et al.</w:t>
      </w:r>
      <w:r w:rsidR="00CC6CBD">
        <w:rPr>
          <w:rFonts w:ascii="Arial" w:hAnsi="Arial" w:cs="Arial"/>
        </w:rPr>
        <w:t>, 2016)</w:t>
      </w:r>
      <w:r w:rsidRPr="001A680B">
        <w:rPr>
          <w:rFonts w:ascii="Arial" w:hAnsi="Arial" w:cs="Arial"/>
        </w:rPr>
        <w:t>. Platelet reduction impairs the ability to repair or form clots in response to endothelial injuries</w:t>
      </w:r>
      <w:r w:rsidR="00CC6CBD">
        <w:rPr>
          <w:rFonts w:ascii="Arial" w:hAnsi="Arial" w:cs="Arial"/>
        </w:rPr>
        <w:t xml:space="preserve"> (Robbins </w:t>
      </w:r>
      <w:r w:rsidR="00377F9A" w:rsidRPr="00377F9A">
        <w:rPr>
          <w:rFonts w:ascii="Arial" w:hAnsi="Arial" w:cs="Arial"/>
          <w:i/>
        </w:rPr>
        <w:t>et al.</w:t>
      </w:r>
      <w:r w:rsidR="00CC6CBD">
        <w:rPr>
          <w:rFonts w:ascii="Arial" w:hAnsi="Arial" w:cs="Arial"/>
        </w:rPr>
        <w:t>, 2015)</w:t>
      </w:r>
      <w:r w:rsidRPr="001A680B">
        <w:rPr>
          <w:rFonts w:ascii="Arial" w:hAnsi="Arial" w:cs="Arial"/>
        </w:rPr>
        <w:t>, contributing to endothelial dysfunction or increased vulnerability to damage. This, in turn, leads to a dysfunctional placenta, a fundamental factor in the pathogenesis of preeclampsia.</w:t>
      </w:r>
    </w:p>
    <w:p w14:paraId="66C4D957" w14:textId="1A92ED07" w:rsidR="001A680B" w:rsidRPr="001A680B" w:rsidRDefault="001A680B" w:rsidP="001A680B">
      <w:pPr>
        <w:pStyle w:val="Body"/>
        <w:ind w:firstLine="720"/>
        <w:rPr>
          <w:rFonts w:ascii="Arial" w:hAnsi="Arial" w:cs="Arial"/>
        </w:rPr>
      </w:pPr>
      <w:r w:rsidRPr="001A680B">
        <w:rPr>
          <w:rFonts w:ascii="Arial" w:hAnsi="Arial" w:cs="Arial"/>
        </w:rPr>
        <w:t>Beyond comorbidities, the presence of clinical biomarkers such as proteinuria can also be a relevant risk indicator. Proteinuria, along with changes in glomerular filtration rate (GFR) and serum creatinine levels, reflects potential glomerular dysfunction that can lead to renal function deterioration and be associated with the pathogenesis and prognosis of preeclampsia</w:t>
      </w:r>
      <w:r w:rsidR="00CC6CBD">
        <w:rPr>
          <w:rFonts w:ascii="Arial" w:hAnsi="Arial" w:cs="Arial"/>
        </w:rPr>
        <w:t xml:space="preserve"> (Facca </w:t>
      </w:r>
      <w:r w:rsidR="00377F9A" w:rsidRPr="00377F9A">
        <w:rPr>
          <w:rFonts w:ascii="Arial" w:hAnsi="Arial" w:cs="Arial"/>
          <w:i/>
        </w:rPr>
        <w:t>et al.</w:t>
      </w:r>
      <w:r w:rsidR="00CC6CBD">
        <w:rPr>
          <w:rFonts w:ascii="Arial" w:hAnsi="Arial" w:cs="Arial"/>
        </w:rPr>
        <w:t>, 2012)</w:t>
      </w:r>
      <w:r w:rsidRPr="001A680B">
        <w:rPr>
          <w:rFonts w:ascii="Arial" w:hAnsi="Arial" w:cs="Arial"/>
        </w:rPr>
        <w:t>. The results demonstrated that the presence of proteinuria, elevated serum creatinine and uric acid levels, decreased serum albumin levels, and a low estimated GFR were classified as independent risk factors for the development of PE. These findings are consistent with the literature, which identifies proteinuria as a risk factor for obstetric complications, including PE</w:t>
      </w:r>
      <w:r w:rsidR="00D861DF">
        <w:rPr>
          <w:rFonts w:ascii="Arial" w:hAnsi="Arial" w:cs="Arial"/>
        </w:rPr>
        <w:t xml:space="preserve"> (Kim </w:t>
      </w:r>
      <w:r w:rsidR="00377F9A" w:rsidRPr="00377F9A">
        <w:rPr>
          <w:rFonts w:ascii="Arial" w:hAnsi="Arial" w:cs="Arial"/>
          <w:i/>
        </w:rPr>
        <w:t>et al.</w:t>
      </w:r>
      <w:r w:rsidR="00D861DF">
        <w:rPr>
          <w:rFonts w:ascii="Arial" w:hAnsi="Arial" w:cs="Arial"/>
        </w:rPr>
        <w:t xml:space="preserve">, 2020; </w:t>
      </w:r>
      <w:proofErr w:type="spellStart"/>
      <w:r w:rsidR="00D861DF">
        <w:rPr>
          <w:rFonts w:ascii="Arial" w:hAnsi="Arial" w:cs="Arial"/>
        </w:rPr>
        <w:t>Vicoveanu</w:t>
      </w:r>
      <w:proofErr w:type="spellEnd"/>
      <w:r w:rsidR="00D861DF">
        <w:rPr>
          <w:rFonts w:ascii="Arial" w:hAnsi="Arial" w:cs="Arial"/>
        </w:rPr>
        <w:t xml:space="preserve"> </w:t>
      </w:r>
      <w:r w:rsidR="00377F9A" w:rsidRPr="00377F9A">
        <w:rPr>
          <w:rFonts w:ascii="Arial" w:hAnsi="Arial" w:cs="Arial"/>
          <w:i/>
        </w:rPr>
        <w:t>et al.</w:t>
      </w:r>
      <w:r w:rsidR="00D861DF">
        <w:rPr>
          <w:rFonts w:ascii="Arial" w:hAnsi="Arial" w:cs="Arial"/>
        </w:rPr>
        <w:t>, 2022)</w:t>
      </w:r>
      <w:r w:rsidRPr="001A680B">
        <w:rPr>
          <w:rFonts w:ascii="Arial" w:hAnsi="Arial" w:cs="Arial"/>
        </w:rPr>
        <w:t>.</w:t>
      </w:r>
    </w:p>
    <w:p w14:paraId="28D2C3D6" w14:textId="244B9632" w:rsidR="001A680B" w:rsidRPr="001A680B" w:rsidRDefault="001A680B" w:rsidP="001A680B">
      <w:pPr>
        <w:pStyle w:val="Body"/>
        <w:ind w:firstLine="720"/>
        <w:rPr>
          <w:rFonts w:ascii="Arial" w:hAnsi="Arial" w:cs="Arial"/>
        </w:rPr>
      </w:pPr>
      <w:r w:rsidRPr="001A680B">
        <w:rPr>
          <w:rFonts w:ascii="Arial" w:hAnsi="Arial" w:cs="Arial"/>
        </w:rPr>
        <w:t>Another finding was the increased risk of preeclampsia in women with positive anticardiolipin antibody (</w:t>
      </w:r>
      <w:proofErr w:type="spellStart"/>
      <w:r w:rsidRPr="001A680B">
        <w:rPr>
          <w:rFonts w:ascii="Arial" w:hAnsi="Arial" w:cs="Arial"/>
        </w:rPr>
        <w:t>aCL</w:t>
      </w:r>
      <w:proofErr w:type="spellEnd"/>
      <w:r w:rsidRPr="001A680B">
        <w:rPr>
          <w:rFonts w:ascii="Arial" w:hAnsi="Arial" w:cs="Arial"/>
        </w:rPr>
        <w:t>), in line with studies reporting anticardiolipin and lupus anticoagulant positivity as predictors of PE</w:t>
      </w:r>
      <w:r w:rsidR="00D861DF">
        <w:rPr>
          <w:rFonts w:ascii="Arial" w:hAnsi="Arial" w:cs="Arial"/>
        </w:rPr>
        <w:t xml:space="preserve"> (Ong and Ding, 2021)</w:t>
      </w:r>
      <w:r w:rsidRPr="001A680B">
        <w:rPr>
          <w:rFonts w:ascii="Arial" w:hAnsi="Arial" w:cs="Arial"/>
        </w:rPr>
        <w:t>. Antiphospholipid antibodies, including anticardiolipin, lupus anticoagulant, and anti-beta2-glycoprotein I (anti-B2GPI), are present in one-quarter to half of SLE patients and significantly increase the risk of adverse obstetric outcomes</w:t>
      </w:r>
      <w:r w:rsidR="00D861DF">
        <w:rPr>
          <w:rFonts w:ascii="Arial" w:hAnsi="Arial" w:cs="Arial"/>
        </w:rPr>
        <w:t xml:space="preserve"> (Lateef and Petri, 2017)</w:t>
      </w:r>
      <w:r w:rsidRPr="001A680B">
        <w:rPr>
          <w:rFonts w:ascii="Arial" w:hAnsi="Arial" w:cs="Arial"/>
        </w:rPr>
        <w:t>. These autoantibodies bind to platelets and endothelial cells, inducing a procoagulant state by activating them, as well as stimulating the complement system, leading to the recruitment of inflammatory cells, endothelial injury, and thrombosis</w:t>
      </w:r>
      <w:r w:rsidR="00D861DF">
        <w:rPr>
          <w:rFonts w:ascii="Arial" w:hAnsi="Arial" w:cs="Arial"/>
        </w:rPr>
        <w:t xml:space="preserve"> (Mayor </w:t>
      </w:r>
      <w:r w:rsidR="00377F9A" w:rsidRPr="00377F9A">
        <w:rPr>
          <w:rFonts w:ascii="Arial" w:hAnsi="Arial" w:cs="Arial"/>
          <w:i/>
        </w:rPr>
        <w:t>et al.</w:t>
      </w:r>
      <w:r w:rsidR="00D861DF">
        <w:rPr>
          <w:rFonts w:ascii="Arial" w:hAnsi="Arial" w:cs="Arial"/>
        </w:rPr>
        <w:t>, 2016)</w:t>
      </w:r>
      <w:r w:rsidRPr="001A680B">
        <w:rPr>
          <w:rFonts w:ascii="Arial" w:hAnsi="Arial" w:cs="Arial"/>
        </w:rPr>
        <w:t xml:space="preserve">.  </w:t>
      </w:r>
    </w:p>
    <w:p w14:paraId="38AFAB6E" w14:textId="06BE8FDA" w:rsidR="001A680B" w:rsidRPr="001A680B" w:rsidRDefault="001A680B" w:rsidP="001A680B">
      <w:pPr>
        <w:pStyle w:val="Body"/>
        <w:ind w:firstLine="720"/>
        <w:rPr>
          <w:rFonts w:ascii="Arial" w:hAnsi="Arial" w:cs="Arial"/>
        </w:rPr>
      </w:pPr>
      <w:r w:rsidRPr="001A680B">
        <w:rPr>
          <w:rFonts w:ascii="Arial" w:hAnsi="Arial" w:cs="Arial"/>
        </w:rPr>
        <w:lastRenderedPageBreak/>
        <w:t>Regarding pharmacological therapy, the antimalarial drug hydroxychloroquine (HCQ) is used in the treatment of SLE, both for managing cutaneous and musculoskeletal lesions and for preventing relapses and cardiovascular disease. According to the 2020 guidelines of the American College of Rheumatology (ACR), all women with lupus are recommended to use HCQ during pregnancy, and if they were not taking it before conception, they should initiate treatment as soon as possible</w:t>
      </w:r>
      <w:r w:rsidR="00D861DF">
        <w:rPr>
          <w:rFonts w:ascii="Arial" w:hAnsi="Arial" w:cs="Arial"/>
        </w:rPr>
        <w:t xml:space="preserve"> (ACOG, 2020)</w:t>
      </w:r>
      <w:r w:rsidRPr="001A680B">
        <w:rPr>
          <w:rFonts w:ascii="Arial" w:hAnsi="Arial" w:cs="Arial"/>
        </w:rPr>
        <w:t>. The results demonstrated that the use of antimalarial drugs was associated with a lower risk of developing preeclampsia, a finding consistent with studies showing a reduction in PE incidence in pregnant women with SLE treated with hydroxychloroquine</w:t>
      </w:r>
      <w:r w:rsidR="00D861DF">
        <w:rPr>
          <w:rFonts w:ascii="Arial" w:hAnsi="Arial" w:cs="Arial"/>
        </w:rPr>
        <w:t xml:space="preserve"> (Braga </w:t>
      </w:r>
      <w:r w:rsidR="00377F9A" w:rsidRPr="00377F9A">
        <w:rPr>
          <w:rFonts w:ascii="Arial" w:hAnsi="Arial" w:cs="Arial"/>
          <w:i/>
        </w:rPr>
        <w:t>et al.</w:t>
      </w:r>
      <w:r w:rsidR="00D861DF">
        <w:rPr>
          <w:rFonts w:ascii="Arial" w:hAnsi="Arial" w:cs="Arial"/>
        </w:rPr>
        <w:t xml:space="preserve">, 2021; Duan </w:t>
      </w:r>
      <w:r w:rsidR="00377F9A" w:rsidRPr="00377F9A">
        <w:rPr>
          <w:rFonts w:ascii="Arial" w:hAnsi="Arial" w:cs="Arial"/>
          <w:i/>
        </w:rPr>
        <w:t>et al.</w:t>
      </w:r>
      <w:r w:rsidR="00D861DF">
        <w:rPr>
          <w:rFonts w:ascii="Arial" w:hAnsi="Arial" w:cs="Arial"/>
        </w:rPr>
        <w:t>, 2021)</w:t>
      </w:r>
      <w:r w:rsidRPr="001A680B">
        <w:rPr>
          <w:rFonts w:ascii="Arial" w:hAnsi="Arial" w:cs="Arial"/>
        </w:rPr>
        <w:t xml:space="preserve">.  </w:t>
      </w:r>
    </w:p>
    <w:p w14:paraId="465067C3" w14:textId="1D1A2E4E" w:rsidR="001A680B" w:rsidRPr="001A680B" w:rsidRDefault="001A680B" w:rsidP="001A680B">
      <w:pPr>
        <w:pStyle w:val="Body"/>
        <w:ind w:firstLine="720"/>
        <w:rPr>
          <w:rFonts w:ascii="Arial" w:hAnsi="Arial" w:cs="Arial"/>
        </w:rPr>
      </w:pPr>
      <w:r w:rsidRPr="001A680B">
        <w:rPr>
          <w:rFonts w:ascii="Arial" w:hAnsi="Arial" w:cs="Arial"/>
        </w:rPr>
        <w:t>The literature also demonstrates an association between the development of preeclampsia and treatment with prednisolone</w:t>
      </w:r>
      <w:r w:rsidR="00D861DF">
        <w:rPr>
          <w:rFonts w:ascii="Arial" w:hAnsi="Arial" w:cs="Arial"/>
        </w:rPr>
        <w:t xml:space="preserve"> (Braga </w:t>
      </w:r>
      <w:r w:rsidR="00377F9A" w:rsidRPr="00377F9A">
        <w:rPr>
          <w:rFonts w:ascii="Arial" w:hAnsi="Arial" w:cs="Arial"/>
          <w:i/>
        </w:rPr>
        <w:t>et al.</w:t>
      </w:r>
      <w:r w:rsidR="00D861DF">
        <w:rPr>
          <w:rFonts w:ascii="Arial" w:hAnsi="Arial" w:cs="Arial"/>
        </w:rPr>
        <w:t>, 2021)</w:t>
      </w:r>
      <w:r w:rsidRPr="001A680B">
        <w:rPr>
          <w:rFonts w:ascii="Arial" w:hAnsi="Arial" w:cs="Arial"/>
        </w:rPr>
        <w:t>, a finding corroborated by the results, which indicated an approximately twofold increase in PE risk with corticosteroid use. Glucocorticoids, such as prednisolone, can interfere with placental angiogenesis by altering the expression of certain factors, resulting in improper endothelial cell formation and migration</w:t>
      </w:r>
      <w:r w:rsidR="00D861DF">
        <w:rPr>
          <w:rFonts w:ascii="Arial" w:hAnsi="Arial" w:cs="Arial"/>
        </w:rPr>
        <w:t xml:space="preserve"> (</w:t>
      </w:r>
      <w:proofErr w:type="spellStart"/>
      <w:r w:rsidR="00D861DF">
        <w:rPr>
          <w:rFonts w:ascii="Arial" w:hAnsi="Arial" w:cs="Arial"/>
        </w:rPr>
        <w:t>Ozmen</w:t>
      </w:r>
      <w:proofErr w:type="spellEnd"/>
      <w:r w:rsidR="00D861DF">
        <w:rPr>
          <w:rFonts w:ascii="Arial" w:hAnsi="Arial" w:cs="Arial"/>
        </w:rPr>
        <w:t xml:space="preserve"> </w:t>
      </w:r>
      <w:r w:rsidR="00377F9A" w:rsidRPr="00377F9A">
        <w:rPr>
          <w:rFonts w:ascii="Arial" w:hAnsi="Arial" w:cs="Arial"/>
          <w:i/>
        </w:rPr>
        <w:t>et al.</w:t>
      </w:r>
      <w:r w:rsidR="00D861DF">
        <w:rPr>
          <w:rFonts w:ascii="Arial" w:hAnsi="Arial" w:cs="Arial"/>
        </w:rPr>
        <w:t>, 2017)</w:t>
      </w:r>
      <w:r w:rsidRPr="001A680B">
        <w:rPr>
          <w:rFonts w:ascii="Arial" w:hAnsi="Arial" w:cs="Arial"/>
        </w:rPr>
        <w:t xml:space="preserve">. This may lead to a less efficient and possibly dysfunctional placenta, contributing to the development of preeclampsia. However, it is important to note that prednisolone is generally prescribed to treat lupus exacerbations in more severe cases, which may contribute to a higher risk of complications.  </w:t>
      </w:r>
    </w:p>
    <w:p w14:paraId="15A984A6" w14:textId="77777777" w:rsidR="001A680B" w:rsidRPr="001A680B" w:rsidRDefault="001A680B" w:rsidP="001A680B">
      <w:pPr>
        <w:pStyle w:val="Body"/>
        <w:ind w:firstLine="720"/>
        <w:rPr>
          <w:rFonts w:ascii="Arial" w:hAnsi="Arial" w:cs="Arial"/>
        </w:rPr>
      </w:pPr>
      <w:r w:rsidRPr="001A680B">
        <w:rPr>
          <w:rFonts w:ascii="Arial" w:hAnsi="Arial" w:cs="Arial"/>
        </w:rPr>
        <w:t xml:space="preserve">This review aimed to synthesize the risk factors associated with the development of preeclampsia in pregnant women with Systemic Lupus Erythematosus and to expand the understanding of the topic, although some limitations were identified.  </w:t>
      </w:r>
    </w:p>
    <w:p w14:paraId="2352A1DC" w14:textId="77777777" w:rsidR="001A680B" w:rsidRPr="001A680B" w:rsidRDefault="001A680B" w:rsidP="001A680B">
      <w:pPr>
        <w:pStyle w:val="Body"/>
        <w:ind w:firstLine="720"/>
        <w:rPr>
          <w:rFonts w:ascii="Arial" w:hAnsi="Arial" w:cs="Arial"/>
        </w:rPr>
      </w:pPr>
      <w:r w:rsidRPr="001A680B">
        <w:rPr>
          <w:rFonts w:ascii="Arial" w:hAnsi="Arial" w:cs="Arial"/>
        </w:rPr>
        <w:t xml:space="preserve">First, there was a high degree of heterogeneity among the patients in the included studies, with geographical variability due to the participation of multiple countries. Additionally, the limited number of studies that met the inclusion criteria may have influenced the results obtained. Finally, another important limitation is the risk of bias in some of the included studies, particularly due to issues with randomization and missing data. Seven studies were rated as having "some concerns," and one was classified as having a "high risk" of bias due to confounding, which may compromise the reliability and accuracy of the review's conclusions. This heterogeneity in the risk of bias reduces the overall credibility of the synthesized evidence, requiring caution in the interpretation of results.  </w:t>
      </w:r>
    </w:p>
    <w:p w14:paraId="37409239" w14:textId="34182853" w:rsidR="009713DA" w:rsidRDefault="001A680B" w:rsidP="001A680B">
      <w:pPr>
        <w:pStyle w:val="Body"/>
        <w:spacing w:after="0"/>
        <w:ind w:firstLine="720"/>
        <w:rPr>
          <w:rFonts w:ascii="Arial" w:hAnsi="Arial" w:cs="Arial"/>
        </w:rPr>
      </w:pPr>
      <w:r w:rsidRPr="001A680B">
        <w:rPr>
          <w:rFonts w:ascii="Arial" w:hAnsi="Arial" w:cs="Arial"/>
        </w:rPr>
        <w:t>Despite these limitations, the review process was conducted rigorously to ensure study quality, excluding articles that addressed multiple complications and focusing solely on the occurrence of preeclampsia. Furthermore, study selection, data extraction, and methodological quality assessment were performed independently by more than one author, reducing the risk of bias that could occur if these steps were conducted by a single individual.</w:t>
      </w:r>
    </w:p>
    <w:p w14:paraId="184A78E8" w14:textId="77777777" w:rsidR="009713DA" w:rsidRPr="00FB3A86" w:rsidRDefault="009713DA" w:rsidP="00441B6F">
      <w:pPr>
        <w:pStyle w:val="Body"/>
        <w:spacing w:after="0"/>
        <w:rPr>
          <w:rFonts w:ascii="Arial" w:hAnsi="Arial" w:cs="Arial"/>
        </w:rPr>
      </w:pPr>
    </w:p>
    <w:p w14:paraId="2EF238D0" w14:textId="35CFD27C" w:rsidR="00B01FCD" w:rsidRDefault="00360A30"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D7A6280" w14:textId="77777777" w:rsidR="00790ADA" w:rsidRPr="00FB3A86" w:rsidRDefault="00790ADA" w:rsidP="00441B6F">
      <w:pPr>
        <w:pStyle w:val="ConcHead"/>
        <w:spacing w:after="0"/>
        <w:jc w:val="both"/>
        <w:rPr>
          <w:rFonts w:ascii="Arial" w:hAnsi="Arial" w:cs="Arial"/>
        </w:rPr>
      </w:pPr>
    </w:p>
    <w:p w14:paraId="37E37367" w14:textId="3DD59202" w:rsidR="001A680B" w:rsidRPr="001A680B" w:rsidRDefault="001A680B" w:rsidP="001A680B">
      <w:pPr>
        <w:pStyle w:val="Body"/>
        <w:ind w:firstLine="720"/>
        <w:rPr>
          <w:rFonts w:ascii="Arial" w:hAnsi="Arial" w:cs="Arial"/>
        </w:rPr>
      </w:pPr>
      <w:r w:rsidRPr="001A680B">
        <w:rPr>
          <w:rFonts w:ascii="Arial" w:hAnsi="Arial" w:cs="Arial"/>
        </w:rPr>
        <w:t xml:space="preserve">Based on the studies included in this review, we identified that certain factors associated with women with Systemic Lupus Erythematosus (SLE) have a significant impact on their obstetric outcomes, increasing the risk of developing preeclampsia. Patient characteristics such as elevated BMI, age, and multiparity, as well as active SLE, comorbidities (renal disease, hypertension, hematologic disorders), biochemical alterations (decreased albumin and estimated glomerular filtration rate, increased uric acid, creatinine, and proteinuria), anticardiolipin antibody positivity, and the use of prednisolone were identified as independent risk factors for the development of PE. Additionally, the use of hydroxychloroquine was observed as a protective factor.  </w:t>
      </w:r>
    </w:p>
    <w:p w14:paraId="7B21814B" w14:textId="2BCEF68F" w:rsidR="00B01FCD" w:rsidRDefault="001A680B" w:rsidP="001A680B">
      <w:pPr>
        <w:pStyle w:val="Body"/>
        <w:spacing w:after="0"/>
        <w:ind w:firstLine="720"/>
        <w:rPr>
          <w:rFonts w:ascii="Arial" w:hAnsi="Arial" w:cs="Arial"/>
        </w:rPr>
      </w:pPr>
      <w:r w:rsidRPr="001A680B">
        <w:rPr>
          <w:rFonts w:ascii="Arial" w:hAnsi="Arial" w:cs="Arial"/>
        </w:rPr>
        <w:lastRenderedPageBreak/>
        <w:t>Early identification of these factors during preconception evaluation or prenatal care in women with SLE may enable a more targeted follow-up throughout pregnancy, allowing for the implementation of preventive measures and specific care strategies for these patients.</w:t>
      </w:r>
    </w:p>
    <w:p w14:paraId="4F6A0E4F" w14:textId="77777777" w:rsidR="00790ADA" w:rsidRDefault="00790ADA" w:rsidP="00441B6F">
      <w:pPr>
        <w:pStyle w:val="Body"/>
        <w:spacing w:after="0"/>
        <w:rPr>
          <w:rFonts w:ascii="Arial" w:hAnsi="Arial" w:cs="Arial"/>
        </w:rPr>
      </w:pPr>
    </w:p>
    <w:p w14:paraId="3327742B" w14:textId="77777777" w:rsidR="00355640" w:rsidRDefault="00355640" w:rsidP="00441B6F">
      <w:pPr>
        <w:pStyle w:val="Body"/>
        <w:spacing w:after="0"/>
        <w:rPr>
          <w:rFonts w:ascii="Arial" w:hAnsi="Arial" w:cs="Arial"/>
        </w:rPr>
      </w:pPr>
    </w:p>
    <w:p w14:paraId="0593E65C" w14:textId="1B638DC8" w:rsidR="002B685A" w:rsidRPr="002B685A" w:rsidRDefault="002B685A" w:rsidP="00441B6F">
      <w:pPr>
        <w:pStyle w:val="ReferHead"/>
        <w:spacing w:after="0"/>
        <w:jc w:val="both"/>
        <w:rPr>
          <w:rFonts w:ascii="Arial" w:hAnsi="Arial" w:cs="Arial"/>
          <w:bCs/>
        </w:rPr>
      </w:pPr>
      <w:bookmarkStart w:id="0" w:name="_GoBack"/>
      <w:bookmarkEnd w:id="0"/>
      <w:r w:rsidRPr="002B685A">
        <w:rPr>
          <w:rFonts w:ascii="Arial" w:hAnsi="Arial" w:cs="Arial"/>
          <w:bCs/>
        </w:rPr>
        <w:t>Consent</w:t>
      </w:r>
      <w:r>
        <w:rPr>
          <w:rFonts w:ascii="Arial" w:hAnsi="Arial" w:cs="Arial"/>
          <w:bCs/>
        </w:rPr>
        <w:t xml:space="preserve"> </w:t>
      </w:r>
      <w:r w:rsidR="00F72F15">
        <w:rPr>
          <w:rFonts w:ascii="Arial" w:hAnsi="Arial" w:cs="Arial"/>
          <w:bCs/>
        </w:rPr>
        <w:t xml:space="preserve">AND ETHICAL APPROVAL </w:t>
      </w:r>
    </w:p>
    <w:p w14:paraId="027F997A" w14:textId="77777777" w:rsidR="00C22389" w:rsidRDefault="00C22389" w:rsidP="00F72F15">
      <w:pPr>
        <w:pStyle w:val="ReferHead"/>
        <w:spacing w:after="0"/>
        <w:jc w:val="both"/>
        <w:rPr>
          <w:rFonts w:ascii="Arial" w:hAnsi="Arial" w:cs="Arial"/>
          <w:b w:val="0"/>
          <w:caps w:val="0"/>
          <w:sz w:val="20"/>
        </w:rPr>
      </w:pPr>
    </w:p>
    <w:p w14:paraId="49E90F15" w14:textId="5E16F9FF" w:rsidR="006E1B13" w:rsidRPr="00D87690" w:rsidRDefault="00F72F15"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It is not applicable. </w:t>
      </w:r>
    </w:p>
    <w:p w14:paraId="0BCA1794" w14:textId="77777777" w:rsidR="006E1B13" w:rsidRPr="001F6EDB" w:rsidRDefault="006E1B13" w:rsidP="00441B6F">
      <w:pPr>
        <w:pStyle w:val="ReferHead"/>
        <w:spacing w:after="0"/>
        <w:jc w:val="both"/>
        <w:rPr>
          <w:rFonts w:ascii="Arial" w:hAnsi="Arial" w:cs="Arial"/>
          <w:sz w:val="20"/>
          <w:szCs w:val="18"/>
        </w:rPr>
      </w:pPr>
    </w:p>
    <w:p w14:paraId="31612316" w14:textId="77777777" w:rsidR="006E1B13" w:rsidRDefault="006E1B13" w:rsidP="00441B6F">
      <w:pPr>
        <w:pStyle w:val="ReferHead"/>
        <w:spacing w:after="0"/>
        <w:jc w:val="both"/>
        <w:rPr>
          <w:rFonts w:ascii="Arial" w:hAnsi="Arial" w:cs="Arial"/>
        </w:rPr>
      </w:pPr>
      <w:r w:rsidRPr="00C22389">
        <w:rPr>
          <w:rFonts w:ascii="Arial" w:hAnsi="Arial" w:cs="Arial"/>
        </w:rPr>
        <w:t>DISCLAIMER (ARTIFICIAL INTELLIGENCE)</w:t>
      </w:r>
    </w:p>
    <w:p w14:paraId="7ABF63C6" w14:textId="77777777" w:rsidR="00C22389" w:rsidRPr="001F6EDB" w:rsidRDefault="00C22389" w:rsidP="00441B6F">
      <w:pPr>
        <w:pStyle w:val="ReferHead"/>
        <w:spacing w:after="0"/>
        <w:jc w:val="both"/>
        <w:rPr>
          <w:rFonts w:ascii="Arial" w:hAnsi="Arial" w:cs="Arial"/>
          <w:sz w:val="20"/>
          <w:szCs w:val="18"/>
        </w:rPr>
      </w:pPr>
    </w:p>
    <w:p w14:paraId="7D86F4F2" w14:textId="72CD07B3" w:rsidR="00335F3E" w:rsidRPr="001F6EDB" w:rsidRDefault="00C22389" w:rsidP="00441B6F">
      <w:pPr>
        <w:pStyle w:val="ReferHead"/>
        <w:spacing w:after="0"/>
        <w:jc w:val="both"/>
        <w:rPr>
          <w:rFonts w:ascii="Arial" w:hAnsi="Arial" w:cs="Arial"/>
          <w:b w:val="0"/>
          <w:bCs/>
          <w:sz w:val="20"/>
          <w:szCs w:val="18"/>
        </w:rPr>
      </w:pPr>
      <w:r w:rsidRPr="00C22389">
        <w:rPr>
          <w:rFonts w:ascii="Arial" w:hAnsi="Arial" w:cs="Arial"/>
          <w:b w:val="0"/>
          <w:bCs/>
          <w:caps w:val="0"/>
          <w:sz w:val="20"/>
          <w:szCs w:val="18"/>
        </w:rPr>
        <w:t xml:space="preserve">Authors hereby declare that no generative </w:t>
      </w:r>
      <w:r>
        <w:rPr>
          <w:rFonts w:ascii="Arial" w:hAnsi="Arial" w:cs="Arial"/>
          <w:b w:val="0"/>
          <w:bCs/>
          <w:caps w:val="0"/>
          <w:sz w:val="20"/>
          <w:szCs w:val="18"/>
        </w:rPr>
        <w:t>AI</w:t>
      </w:r>
      <w:r w:rsidRPr="00C22389">
        <w:rPr>
          <w:rFonts w:ascii="Arial" w:hAnsi="Arial" w:cs="Arial"/>
          <w:b w:val="0"/>
          <w:bCs/>
          <w:caps w:val="0"/>
          <w:sz w:val="20"/>
          <w:szCs w:val="18"/>
        </w:rPr>
        <w:t xml:space="preserve"> technologies such as large language models (</w:t>
      </w:r>
      <w:proofErr w:type="spellStart"/>
      <w:r w:rsidRPr="00C22389">
        <w:rPr>
          <w:rFonts w:ascii="Arial" w:hAnsi="Arial" w:cs="Arial"/>
          <w:b w:val="0"/>
          <w:bCs/>
          <w:caps w:val="0"/>
          <w:sz w:val="20"/>
          <w:szCs w:val="18"/>
        </w:rPr>
        <w:t>C</w:t>
      </w:r>
      <w:r w:rsidR="00D87690">
        <w:rPr>
          <w:rFonts w:ascii="Arial" w:hAnsi="Arial" w:cs="Arial"/>
          <w:b w:val="0"/>
          <w:bCs/>
          <w:caps w:val="0"/>
          <w:sz w:val="20"/>
          <w:szCs w:val="18"/>
        </w:rPr>
        <w:t>hat</w:t>
      </w:r>
      <w:r w:rsidRPr="00C22389">
        <w:rPr>
          <w:rFonts w:ascii="Arial" w:hAnsi="Arial" w:cs="Arial"/>
          <w:b w:val="0"/>
          <w:bCs/>
          <w:caps w:val="0"/>
          <w:sz w:val="20"/>
          <w:szCs w:val="18"/>
        </w:rPr>
        <w:t>GPT</w:t>
      </w:r>
      <w:proofErr w:type="spellEnd"/>
      <w:r w:rsidRPr="00C22389">
        <w:rPr>
          <w:rFonts w:ascii="Arial" w:hAnsi="Arial" w:cs="Arial"/>
          <w:b w:val="0"/>
          <w:bCs/>
          <w:caps w:val="0"/>
          <w:sz w:val="20"/>
          <w:szCs w:val="18"/>
        </w:rPr>
        <w:t xml:space="preserve">, COPILOT, </w:t>
      </w:r>
      <w:proofErr w:type="spellStart"/>
      <w:r w:rsidRPr="00C22389">
        <w:rPr>
          <w:rFonts w:ascii="Arial" w:hAnsi="Arial" w:cs="Arial"/>
          <w:b w:val="0"/>
          <w:bCs/>
          <w:caps w:val="0"/>
          <w:sz w:val="20"/>
          <w:szCs w:val="18"/>
        </w:rPr>
        <w:t>etc</w:t>
      </w:r>
      <w:proofErr w:type="spellEnd"/>
      <w:r w:rsidRPr="00C22389">
        <w:rPr>
          <w:rFonts w:ascii="Arial" w:hAnsi="Arial" w:cs="Arial"/>
          <w:b w:val="0"/>
          <w:bCs/>
          <w:caps w:val="0"/>
          <w:sz w:val="20"/>
          <w:szCs w:val="18"/>
        </w:rPr>
        <w:t xml:space="preserve">) and text-to-image generators have been used during writing or editing of this manuscript. </w:t>
      </w:r>
    </w:p>
    <w:p w14:paraId="624DC81C" w14:textId="77777777" w:rsidR="00846A1A" w:rsidRPr="001F6EDB" w:rsidRDefault="00846A1A" w:rsidP="00441B6F">
      <w:pPr>
        <w:pStyle w:val="ReferHead"/>
        <w:spacing w:after="0"/>
        <w:jc w:val="both"/>
        <w:rPr>
          <w:rFonts w:ascii="Arial" w:hAnsi="Arial" w:cs="Arial"/>
          <w:sz w:val="20"/>
          <w:szCs w:val="18"/>
        </w:rPr>
      </w:pPr>
    </w:p>
    <w:p w14:paraId="60052C09" w14:textId="77777777" w:rsidR="00846A1A" w:rsidRPr="001F6EDB" w:rsidRDefault="00846A1A" w:rsidP="00441B6F">
      <w:pPr>
        <w:pStyle w:val="ReferHead"/>
        <w:spacing w:after="0"/>
        <w:jc w:val="both"/>
        <w:rPr>
          <w:rFonts w:ascii="Arial" w:hAnsi="Arial" w:cs="Arial"/>
          <w:sz w:val="20"/>
          <w:szCs w:val="18"/>
        </w:rPr>
      </w:pPr>
    </w:p>
    <w:p w14:paraId="509F5E7A" w14:textId="0BA06C04" w:rsidR="003D2988" w:rsidRDefault="00B01FCD" w:rsidP="00355640">
      <w:pPr>
        <w:pStyle w:val="ReferHead"/>
        <w:spacing w:after="0"/>
        <w:jc w:val="both"/>
        <w:rPr>
          <w:rFonts w:ascii="Arial" w:hAnsi="Arial" w:cs="Arial"/>
        </w:rPr>
      </w:pPr>
      <w:r w:rsidRPr="00FB3A86">
        <w:rPr>
          <w:rFonts w:ascii="Arial" w:hAnsi="Arial" w:cs="Arial"/>
        </w:rPr>
        <w:t>References</w:t>
      </w:r>
    </w:p>
    <w:p w14:paraId="6202D103" w14:textId="77777777" w:rsidR="00E769F6" w:rsidRPr="002C57D2" w:rsidRDefault="00E769F6" w:rsidP="00D9389F">
      <w:pPr>
        <w:pStyle w:val="Body"/>
        <w:spacing w:after="0"/>
        <w:rPr>
          <w:rFonts w:ascii="Arial" w:hAnsi="Arial" w:cs="Arial"/>
        </w:rPr>
      </w:pPr>
    </w:p>
    <w:p w14:paraId="16DA30F9" w14:textId="662FF8E1" w:rsidR="003D2988" w:rsidRPr="003D2988" w:rsidRDefault="003D2988" w:rsidP="00D9389F">
      <w:pPr>
        <w:pStyle w:val="Body"/>
        <w:rPr>
          <w:rFonts w:ascii="Arial" w:hAnsi="Arial" w:cs="Arial"/>
        </w:rPr>
      </w:pPr>
      <w:r w:rsidRPr="003D2988">
        <w:rPr>
          <w:rFonts w:ascii="Arial" w:hAnsi="Arial" w:cs="Arial"/>
        </w:rPr>
        <w:t>1. Carvalho</w:t>
      </w:r>
      <w:r>
        <w:rPr>
          <w:rFonts w:ascii="Arial" w:hAnsi="Arial" w:cs="Arial"/>
        </w:rPr>
        <w:t xml:space="preserve">, </w:t>
      </w:r>
      <w:r w:rsidRPr="003D2988">
        <w:rPr>
          <w:rFonts w:ascii="Arial" w:hAnsi="Arial" w:cs="Arial"/>
        </w:rPr>
        <w:t>M</w:t>
      </w:r>
      <w:r>
        <w:rPr>
          <w:rFonts w:ascii="Arial" w:hAnsi="Arial" w:cs="Arial"/>
        </w:rPr>
        <w:t xml:space="preserve">. </w:t>
      </w:r>
      <w:r w:rsidRPr="003D2988">
        <w:rPr>
          <w:rFonts w:ascii="Arial" w:hAnsi="Arial" w:cs="Arial"/>
        </w:rPr>
        <w:t>A</w:t>
      </w:r>
      <w:r>
        <w:rPr>
          <w:rFonts w:ascii="Arial" w:hAnsi="Arial" w:cs="Arial"/>
        </w:rPr>
        <w:t xml:space="preserve">. </w:t>
      </w:r>
      <w:r w:rsidRPr="003D2988">
        <w:rPr>
          <w:rFonts w:ascii="Arial" w:hAnsi="Arial" w:cs="Arial"/>
        </w:rPr>
        <w:t>P</w:t>
      </w:r>
      <w:r>
        <w:rPr>
          <w:rFonts w:ascii="Arial" w:hAnsi="Arial" w:cs="Arial"/>
        </w:rPr>
        <w:t>.</w:t>
      </w:r>
      <w:r w:rsidRPr="003D2988">
        <w:rPr>
          <w:rFonts w:ascii="Arial" w:hAnsi="Arial" w:cs="Arial"/>
        </w:rPr>
        <w:t>, Lanna</w:t>
      </w:r>
      <w:r>
        <w:rPr>
          <w:rFonts w:ascii="Arial" w:hAnsi="Arial" w:cs="Arial"/>
        </w:rPr>
        <w:t>,</w:t>
      </w:r>
      <w:r w:rsidRPr="003D2988">
        <w:rPr>
          <w:rFonts w:ascii="Arial" w:hAnsi="Arial" w:cs="Arial"/>
        </w:rPr>
        <w:t xml:space="preserve"> C</w:t>
      </w:r>
      <w:r>
        <w:rPr>
          <w:rFonts w:ascii="Arial" w:hAnsi="Arial" w:cs="Arial"/>
        </w:rPr>
        <w:t xml:space="preserve">. </w:t>
      </w:r>
      <w:r w:rsidRPr="003D2988">
        <w:rPr>
          <w:rFonts w:ascii="Arial" w:hAnsi="Arial" w:cs="Arial"/>
        </w:rPr>
        <w:t>C</w:t>
      </w:r>
      <w:r>
        <w:rPr>
          <w:rFonts w:ascii="Arial" w:hAnsi="Arial" w:cs="Arial"/>
        </w:rPr>
        <w:t xml:space="preserve">. </w:t>
      </w:r>
      <w:r w:rsidRPr="003D2988">
        <w:rPr>
          <w:rFonts w:ascii="Arial" w:hAnsi="Arial" w:cs="Arial"/>
        </w:rPr>
        <w:t>D</w:t>
      </w:r>
      <w:r>
        <w:rPr>
          <w:rFonts w:ascii="Arial" w:hAnsi="Arial" w:cs="Arial"/>
        </w:rPr>
        <w:t>.</w:t>
      </w:r>
      <w:r w:rsidRPr="003D2988">
        <w:rPr>
          <w:rFonts w:ascii="Arial" w:hAnsi="Arial" w:cs="Arial"/>
        </w:rPr>
        <w:t>, Bertolo</w:t>
      </w:r>
      <w:r>
        <w:rPr>
          <w:rFonts w:ascii="Arial" w:hAnsi="Arial" w:cs="Arial"/>
        </w:rPr>
        <w:t>,</w:t>
      </w:r>
      <w:r w:rsidRPr="003D2988">
        <w:rPr>
          <w:rFonts w:ascii="Arial" w:hAnsi="Arial" w:cs="Arial"/>
        </w:rPr>
        <w:t xml:space="preserve"> M</w:t>
      </w:r>
      <w:r>
        <w:rPr>
          <w:rFonts w:ascii="Arial" w:hAnsi="Arial" w:cs="Arial"/>
        </w:rPr>
        <w:t xml:space="preserve">. </w:t>
      </w:r>
      <w:r w:rsidRPr="003D2988">
        <w:rPr>
          <w:rFonts w:ascii="Arial" w:hAnsi="Arial" w:cs="Arial"/>
        </w:rPr>
        <w:t>B</w:t>
      </w:r>
      <w:r>
        <w:rPr>
          <w:rFonts w:ascii="Arial" w:hAnsi="Arial" w:cs="Arial"/>
        </w:rPr>
        <w:t>. &amp;</w:t>
      </w:r>
      <w:r w:rsidRPr="003D2988">
        <w:rPr>
          <w:rFonts w:ascii="Arial" w:hAnsi="Arial" w:cs="Arial"/>
        </w:rPr>
        <w:t xml:space="preserve"> Ferreira</w:t>
      </w:r>
      <w:r>
        <w:rPr>
          <w:rFonts w:ascii="Arial" w:hAnsi="Arial" w:cs="Arial"/>
        </w:rPr>
        <w:t>,</w:t>
      </w:r>
      <w:r w:rsidRPr="003D2988">
        <w:rPr>
          <w:rFonts w:ascii="Arial" w:hAnsi="Arial" w:cs="Arial"/>
        </w:rPr>
        <w:t xml:space="preserve"> G</w:t>
      </w:r>
      <w:r>
        <w:rPr>
          <w:rFonts w:ascii="Arial" w:hAnsi="Arial" w:cs="Arial"/>
        </w:rPr>
        <w:t xml:space="preserve">. </w:t>
      </w:r>
      <w:r w:rsidRPr="003D2988">
        <w:rPr>
          <w:rFonts w:ascii="Arial" w:hAnsi="Arial" w:cs="Arial"/>
        </w:rPr>
        <w:t xml:space="preserve">A. </w:t>
      </w:r>
      <w:r>
        <w:rPr>
          <w:rFonts w:ascii="Arial" w:hAnsi="Arial" w:cs="Arial"/>
        </w:rPr>
        <w:t xml:space="preserve">(2019). </w:t>
      </w:r>
      <w:proofErr w:type="spellStart"/>
      <w:r w:rsidRPr="003D2988">
        <w:rPr>
          <w:rFonts w:ascii="Arial" w:hAnsi="Arial" w:cs="Arial"/>
        </w:rPr>
        <w:t>Reumatologia</w:t>
      </w:r>
      <w:proofErr w:type="spellEnd"/>
      <w:r w:rsidRPr="003D2988">
        <w:rPr>
          <w:rFonts w:ascii="Arial" w:hAnsi="Arial" w:cs="Arial"/>
        </w:rPr>
        <w:t xml:space="preserve">: </w:t>
      </w:r>
      <w:proofErr w:type="spellStart"/>
      <w:r w:rsidRPr="003D2988">
        <w:rPr>
          <w:rFonts w:ascii="Arial" w:hAnsi="Arial" w:cs="Arial"/>
        </w:rPr>
        <w:t>diagnóstico</w:t>
      </w:r>
      <w:proofErr w:type="spellEnd"/>
      <w:r w:rsidRPr="003D2988">
        <w:rPr>
          <w:rFonts w:ascii="Arial" w:hAnsi="Arial" w:cs="Arial"/>
        </w:rPr>
        <w:t xml:space="preserve"> e </w:t>
      </w:r>
      <w:proofErr w:type="spellStart"/>
      <w:r w:rsidRPr="003D2988">
        <w:rPr>
          <w:rFonts w:ascii="Arial" w:hAnsi="Arial" w:cs="Arial"/>
        </w:rPr>
        <w:t>tratamento</w:t>
      </w:r>
      <w:proofErr w:type="spellEnd"/>
      <w:r w:rsidRPr="003D2988">
        <w:rPr>
          <w:rFonts w:ascii="Arial" w:hAnsi="Arial" w:cs="Arial"/>
        </w:rPr>
        <w:t xml:space="preserve"> </w:t>
      </w:r>
      <w:r>
        <w:rPr>
          <w:rFonts w:ascii="Arial" w:hAnsi="Arial" w:cs="Arial"/>
        </w:rPr>
        <w:t>(</w:t>
      </w:r>
      <w:r w:rsidRPr="003D2988">
        <w:rPr>
          <w:rFonts w:ascii="Arial" w:hAnsi="Arial" w:cs="Arial"/>
        </w:rPr>
        <w:t>5 ed.</w:t>
      </w:r>
      <w:r>
        <w:rPr>
          <w:rFonts w:ascii="Arial" w:hAnsi="Arial" w:cs="Arial"/>
        </w:rPr>
        <w:t>).</w:t>
      </w:r>
      <w:r w:rsidRPr="003D2988">
        <w:rPr>
          <w:rFonts w:ascii="Arial" w:hAnsi="Arial" w:cs="Arial"/>
        </w:rPr>
        <w:t xml:space="preserve"> Rio de Janeiro. Guanabara Koogan.</w:t>
      </w:r>
    </w:p>
    <w:p w14:paraId="3EC9F24A" w14:textId="2E57644E" w:rsidR="003D2988" w:rsidRPr="003D2988" w:rsidRDefault="003D2988" w:rsidP="00D9389F">
      <w:pPr>
        <w:pStyle w:val="Body"/>
        <w:rPr>
          <w:rFonts w:ascii="Arial" w:hAnsi="Arial" w:cs="Arial"/>
        </w:rPr>
      </w:pPr>
      <w:r w:rsidRPr="003D2988">
        <w:rPr>
          <w:rFonts w:ascii="Arial" w:hAnsi="Arial" w:cs="Arial"/>
        </w:rPr>
        <w:t>2. Sawada</w:t>
      </w:r>
      <w:r>
        <w:rPr>
          <w:rFonts w:ascii="Arial" w:hAnsi="Arial" w:cs="Arial"/>
        </w:rPr>
        <w:t>,</w:t>
      </w:r>
      <w:r w:rsidRPr="003D2988">
        <w:rPr>
          <w:rFonts w:ascii="Arial" w:hAnsi="Arial" w:cs="Arial"/>
        </w:rPr>
        <w:t xml:space="preserve"> T</w:t>
      </w:r>
      <w:r>
        <w:rPr>
          <w:rFonts w:ascii="Arial" w:hAnsi="Arial" w:cs="Arial"/>
        </w:rPr>
        <w:t>.</w:t>
      </w:r>
      <w:r w:rsidRPr="003D2988">
        <w:rPr>
          <w:rFonts w:ascii="Arial" w:hAnsi="Arial" w:cs="Arial"/>
        </w:rPr>
        <w:t>, Fujimori</w:t>
      </w:r>
      <w:r>
        <w:rPr>
          <w:rFonts w:ascii="Arial" w:hAnsi="Arial" w:cs="Arial"/>
        </w:rPr>
        <w:t>,</w:t>
      </w:r>
      <w:r w:rsidRPr="003D2988">
        <w:rPr>
          <w:rFonts w:ascii="Arial" w:hAnsi="Arial" w:cs="Arial"/>
        </w:rPr>
        <w:t xml:space="preserve"> D</w:t>
      </w:r>
      <w:r>
        <w:rPr>
          <w:rFonts w:ascii="Arial" w:hAnsi="Arial" w:cs="Arial"/>
        </w:rPr>
        <w:t>. &amp;</w:t>
      </w:r>
      <w:r w:rsidRPr="003D2988">
        <w:rPr>
          <w:rFonts w:ascii="Arial" w:hAnsi="Arial" w:cs="Arial"/>
        </w:rPr>
        <w:t xml:space="preserve"> Yamamoto</w:t>
      </w:r>
      <w:r>
        <w:rPr>
          <w:rFonts w:ascii="Arial" w:hAnsi="Arial" w:cs="Arial"/>
        </w:rPr>
        <w:t>,</w:t>
      </w:r>
      <w:r w:rsidRPr="003D2988">
        <w:rPr>
          <w:rFonts w:ascii="Arial" w:hAnsi="Arial" w:cs="Arial"/>
        </w:rPr>
        <w:t xml:space="preserve"> Y. </w:t>
      </w:r>
      <w:r w:rsidR="00561F04">
        <w:rPr>
          <w:rFonts w:ascii="Arial" w:hAnsi="Arial" w:cs="Arial"/>
        </w:rPr>
        <w:t xml:space="preserve">(2019). </w:t>
      </w:r>
      <w:r w:rsidRPr="003D2988">
        <w:rPr>
          <w:rFonts w:ascii="Arial" w:hAnsi="Arial" w:cs="Arial"/>
        </w:rPr>
        <w:t>Systemic lupus erythematosus and immunodeficiency. Immunological Medicine</w:t>
      </w:r>
      <w:r w:rsidR="00561F04">
        <w:rPr>
          <w:rFonts w:ascii="Arial" w:hAnsi="Arial" w:cs="Arial"/>
        </w:rPr>
        <w:t xml:space="preserve">, </w:t>
      </w:r>
      <w:r w:rsidRPr="003D2988">
        <w:rPr>
          <w:rFonts w:ascii="Arial" w:hAnsi="Arial" w:cs="Arial"/>
        </w:rPr>
        <w:t>42(1)</w:t>
      </w:r>
      <w:r w:rsidR="00561F04">
        <w:rPr>
          <w:rFonts w:ascii="Arial" w:hAnsi="Arial" w:cs="Arial"/>
        </w:rPr>
        <w:t>,</w:t>
      </w:r>
      <w:r w:rsidRPr="003D2988">
        <w:rPr>
          <w:rFonts w:ascii="Arial" w:hAnsi="Arial" w:cs="Arial"/>
        </w:rPr>
        <w:t>1-9. https://doi.org/10.1080/25785826.2019.1628466.</w:t>
      </w:r>
    </w:p>
    <w:p w14:paraId="7462E97A" w14:textId="0AFD3142" w:rsidR="003D2988" w:rsidRPr="003D2988" w:rsidRDefault="003D2988" w:rsidP="00D9389F">
      <w:pPr>
        <w:pStyle w:val="Body"/>
        <w:rPr>
          <w:rFonts w:ascii="Arial" w:hAnsi="Arial" w:cs="Arial"/>
        </w:rPr>
      </w:pPr>
      <w:r w:rsidRPr="003D2988">
        <w:rPr>
          <w:rFonts w:ascii="Arial" w:hAnsi="Arial" w:cs="Arial"/>
        </w:rPr>
        <w:t>3. Fava</w:t>
      </w:r>
      <w:r w:rsidR="00561F04">
        <w:rPr>
          <w:rFonts w:ascii="Arial" w:hAnsi="Arial" w:cs="Arial"/>
        </w:rPr>
        <w:t>,</w:t>
      </w:r>
      <w:r w:rsidRPr="003D2988">
        <w:rPr>
          <w:rFonts w:ascii="Arial" w:hAnsi="Arial" w:cs="Arial"/>
        </w:rPr>
        <w:t xml:space="preserve"> A</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Petri</w:t>
      </w:r>
      <w:r w:rsidR="00561F04">
        <w:rPr>
          <w:rFonts w:ascii="Arial" w:hAnsi="Arial" w:cs="Arial"/>
        </w:rPr>
        <w:t>,</w:t>
      </w:r>
      <w:r w:rsidRPr="003D2988">
        <w:rPr>
          <w:rFonts w:ascii="Arial" w:hAnsi="Arial" w:cs="Arial"/>
        </w:rPr>
        <w:t xml:space="preserve"> M. </w:t>
      </w:r>
      <w:r w:rsidR="00561F04">
        <w:rPr>
          <w:rFonts w:ascii="Arial" w:hAnsi="Arial" w:cs="Arial"/>
        </w:rPr>
        <w:t xml:space="preserve">(2019). </w:t>
      </w:r>
      <w:r w:rsidRPr="003D2988">
        <w:rPr>
          <w:rFonts w:ascii="Arial" w:hAnsi="Arial" w:cs="Arial"/>
        </w:rPr>
        <w:t>Systemic lupus erythematosus: diagnosis and clinical management. Journal Of Autoimmunity</w:t>
      </w:r>
      <w:r w:rsidR="00561F04">
        <w:rPr>
          <w:rFonts w:ascii="Arial" w:hAnsi="Arial" w:cs="Arial"/>
        </w:rPr>
        <w:t xml:space="preserve">, </w:t>
      </w:r>
      <w:r w:rsidRPr="003D2988">
        <w:rPr>
          <w:rFonts w:ascii="Arial" w:hAnsi="Arial" w:cs="Arial"/>
        </w:rPr>
        <w:t>96</w:t>
      </w:r>
      <w:r w:rsidR="00561F04">
        <w:rPr>
          <w:rFonts w:ascii="Arial" w:hAnsi="Arial" w:cs="Arial"/>
        </w:rPr>
        <w:t xml:space="preserve">, </w:t>
      </w:r>
      <w:r w:rsidRPr="003D2988">
        <w:rPr>
          <w:rFonts w:ascii="Arial" w:hAnsi="Arial" w:cs="Arial"/>
        </w:rPr>
        <w:t>1-13. Elsevier BV. https://doi.org/10.1016/j.jaut.2018.11.001.</w:t>
      </w:r>
    </w:p>
    <w:p w14:paraId="582407B4" w14:textId="012BDE56" w:rsidR="003D2988" w:rsidRPr="003D2988" w:rsidRDefault="003D2988" w:rsidP="00D9389F">
      <w:pPr>
        <w:pStyle w:val="Body"/>
        <w:rPr>
          <w:rFonts w:ascii="Arial" w:hAnsi="Arial" w:cs="Arial"/>
        </w:rPr>
      </w:pPr>
      <w:r w:rsidRPr="003D2988">
        <w:rPr>
          <w:rFonts w:ascii="Arial" w:hAnsi="Arial" w:cs="Arial"/>
        </w:rPr>
        <w:t>4. Pons-Estel</w:t>
      </w:r>
      <w:r w:rsidR="00561F04">
        <w:rPr>
          <w:rFonts w:ascii="Arial" w:hAnsi="Arial" w:cs="Arial"/>
        </w:rPr>
        <w:t>,</w:t>
      </w:r>
      <w:r w:rsidRPr="003D2988">
        <w:rPr>
          <w:rFonts w:ascii="Arial" w:hAnsi="Arial" w:cs="Arial"/>
        </w:rPr>
        <w:t xml:space="preserve"> G</w:t>
      </w:r>
      <w:r w:rsidR="00561F04">
        <w:rPr>
          <w:rFonts w:ascii="Arial" w:hAnsi="Arial" w:cs="Arial"/>
        </w:rPr>
        <w:t xml:space="preserve">. </w:t>
      </w:r>
      <w:r w:rsidRPr="003D2988">
        <w:rPr>
          <w:rFonts w:ascii="Arial" w:hAnsi="Arial" w:cs="Arial"/>
        </w:rPr>
        <w:t>J</w:t>
      </w:r>
      <w:r w:rsidR="00561F04">
        <w:rPr>
          <w:rFonts w:ascii="Arial" w:hAnsi="Arial" w:cs="Arial"/>
        </w:rPr>
        <w:t>.</w:t>
      </w:r>
      <w:r w:rsidRPr="003D2988">
        <w:rPr>
          <w:rFonts w:ascii="Arial" w:hAnsi="Arial" w:cs="Arial"/>
        </w:rPr>
        <w:t>, Ugarte-Gil</w:t>
      </w:r>
      <w:r w:rsidR="00561F04">
        <w:rPr>
          <w:rFonts w:ascii="Arial" w:hAnsi="Arial" w:cs="Arial"/>
        </w:rPr>
        <w:t>,</w:t>
      </w:r>
      <w:r w:rsidRPr="003D2988">
        <w:rPr>
          <w:rFonts w:ascii="Arial" w:hAnsi="Arial" w:cs="Arial"/>
        </w:rPr>
        <w:t xml:space="preserve"> M</w:t>
      </w:r>
      <w:r w:rsidR="00561F04">
        <w:rPr>
          <w:rFonts w:ascii="Arial" w:hAnsi="Arial" w:cs="Arial"/>
        </w:rPr>
        <w:t xml:space="preserve">. </w:t>
      </w:r>
      <w:r w:rsidRPr="003D2988">
        <w:rPr>
          <w:rFonts w:ascii="Arial" w:hAnsi="Arial" w:cs="Arial"/>
        </w:rPr>
        <w:t>F</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Alarcón</w:t>
      </w:r>
      <w:r w:rsidR="00561F04">
        <w:rPr>
          <w:rFonts w:ascii="Arial" w:hAnsi="Arial" w:cs="Arial"/>
        </w:rPr>
        <w:t>,</w:t>
      </w:r>
      <w:r w:rsidRPr="003D2988">
        <w:rPr>
          <w:rFonts w:ascii="Arial" w:hAnsi="Arial" w:cs="Arial"/>
        </w:rPr>
        <w:t xml:space="preserve"> G</w:t>
      </w:r>
      <w:r w:rsidR="00561F04">
        <w:rPr>
          <w:rFonts w:ascii="Arial" w:hAnsi="Arial" w:cs="Arial"/>
        </w:rPr>
        <w:t xml:space="preserve">. </w:t>
      </w:r>
      <w:r w:rsidRPr="003D2988">
        <w:rPr>
          <w:rFonts w:ascii="Arial" w:hAnsi="Arial" w:cs="Arial"/>
        </w:rPr>
        <w:t xml:space="preserve">S. </w:t>
      </w:r>
      <w:r w:rsidR="00561F04">
        <w:rPr>
          <w:rFonts w:ascii="Arial" w:hAnsi="Arial" w:cs="Arial"/>
        </w:rPr>
        <w:t xml:space="preserve">(2017). </w:t>
      </w:r>
      <w:r w:rsidRPr="003D2988">
        <w:rPr>
          <w:rFonts w:ascii="Arial" w:hAnsi="Arial" w:cs="Arial"/>
        </w:rPr>
        <w:t xml:space="preserve">Epidemiology of systemic lupus erythematosus. Expert Review </w:t>
      </w:r>
      <w:proofErr w:type="gramStart"/>
      <w:r w:rsidRPr="003D2988">
        <w:rPr>
          <w:rFonts w:ascii="Arial" w:hAnsi="Arial" w:cs="Arial"/>
        </w:rPr>
        <w:t>Of</w:t>
      </w:r>
      <w:proofErr w:type="gramEnd"/>
      <w:r w:rsidRPr="003D2988">
        <w:rPr>
          <w:rFonts w:ascii="Arial" w:hAnsi="Arial" w:cs="Arial"/>
        </w:rPr>
        <w:t xml:space="preserve"> Clinical Immunology</w:t>
      </w:r>
      <w:r w:rsidR="00561F04">
        <w:rPr>
          <w:rFonts w:ascii="Arial" w:hAnsi="Arial" w:cs="Arial"/>
        </w:rPr>
        <w:t xml:space="preserve">, </w:t>
      </w:r>
      <w:r w:rsidRPr="003D2988">
        <w:rPr>
          <w:rFonts w:ascii="Arial" w:hAnsi="Arial" w:cs="Arial"/>
        </w:rPr>
        <w:t>13(8)</w:t>
      </w:r>
      <w:r w:rsidR="00561F04">
        <w:rPr>
          <w:rFonts w:ascii="Arial" w:hAnsi="Arial" w:cs="Arial"/>
        </w:rPr>
        <w:t xml:space="preserve">, </w:t>
      </w:r>
      <w:r w:rsidRPr="003D2988">
        <w:rPr>
          <w:rFonts w:ascii="Arial" w:hAnsi="Arial" w:cs="Arial"/>
        </w:rPr>
        <w:t xml:space="preserve">799-814. Informa UK Limited. </w:t>
      </w:r>
      <w:r w:rsidR="00F116DB" w:rsidRPr="00F116DB">
        <w:rPr>
          <w:rFonts w:ascii="Arial" w:hAnsi="Arial" w:cs="Arial"/>
        </w:rPr>
        <w:t>https://doi.org/</w:t>
      </w:r>
      <w:r w:rsidRPr="003D2988">
        <w:rPr>
          <w:rFonts w:ascii="Arial" w:hAnsi="Arial" w:cs="Arial"/>
        </w:rPr>
        <w:t>10.1080/1744666x.2017.1327352.</w:t>
      </w:r>
    </w:p>
    <w:p w14:paraId="6895EC21" w14:textId="4418A983" w:rsidR="003D2988" w:rsidRPr="003D2988" w:rsidRDefault="003D2988" w:rsidP="00D9389F">
      <w:pPr>
        <w:pStyle w:val="Body"/>
        <w:rPr>
          <w:rFonts w:ascii="Arial" w:hAnsi="Arial" w:cs="Arial"/>
        </w:rPr>
      </w:pPr>
      <w:r w:rsidRPr="003D2988">
        <w:rPr>
          <w:rFonts w:ascii="Arial" w:hAnsi="Arial" w:cs="Arial"/>
        </w:rPr>
        <w:t>5. Maynard</w:t>
      </w:r>
      <w:r w:rsidR="00561F04">
        <w:rPr>
          <w:rFonts w:ascii="Arial" w:hAnsi="Arial" w:cs="Arial"/>
        </w:rPr>
        <w:t>,</w:t>
      </w:r>
      <w:r w:rsidRPr="003D2988">
        <w:rPr>
          <w:rFonts w:ascii="Arial" w:hAnsi="Arial" w:cs="Arial"/>
        </w:rPr>
        <w:t xml:space="preserve"> S</w:t>
      </w:r>
      <w:r w:rsidR="00561F04">
        <w:rPr>
          <w:rFonts w:ascii="Arial" w:hAnsi="Arial" w:cs="Arial"/>
        </w:rPr>
        <w:t>.</w:t>
      </w:r>
      <w:r w:rsidRPr="003D2988">
        <w:rPr>
          <w:rFonts w:ascii="Arial" w:hAnsi="Arial" w:cs="Arial"/>
        </w:rPr>
        <w:t>, Guerrier</w:t>
      </w:r>
      <w:r w:rsidR="00561F04">
        <w:rPr>
          <w:rFonts w:ascii="Arial" w:hAnsi="Arial" w:cs="Arial"/>
        </w:rPr>
        <w:t>,</w:t>
      </w:r>
      <w:r w:rsidRPr="003D2988">
        <w:rPr>
          <w:rFonts w:ascii="Arial" w:hAnsi="Arial" w:cs="Arial"/>
        </w:rPr>
        <w:t xml:space="preserve"> G</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Duffy</w:t>
      </w:r>
      <w:r w:rsidR="00561F04">
        <w:rPr>
          <w:rFonts w:ascii="Arial" w:hAnsi="Arial" w:cs="Arial"/>
        </w:rPr>
        <w:t>,</w:t>
      </w:r>
      <w:r w:rsidRPr="003D2988">
        <w:rPr>
          <w:rFonts w:ascii="Arial" w:hAnsi="Arial" w:cs="Arial"/>
        </w:rPr>
        <w:t xml:space="preserve"> M. </w:t>
      </w:r>
      <w:r w:rsidR="00561F04">
        <w:rPr>
          <w:rFonts w:ascii="Arial" w:hAnsi="Arial" w:cs="Arial"/>
        </w:rPr>
        <w:t xml:space="preserve">(2019). </w:t>
      </w:r>
      <w:r w:rsidRPr="003D2988">
        <w:rPr>
          <w:rFonts w:ascii="Arial" w:hAnsi="Arial" w:cs="Arial"/>
        </w:rPr>
        <w:t xml:space="preserve">Pregnancy in Women </w:t>
      </w:r>
      <w:proofErr w:type="gramStart"/>
      <w:r w:rsidRPr="003D2988">
        <w:rPr>
          <w:rFonts w:ascii="Arial" w:hAnsi="Arial" w:cs="Arial"/>
        </w:rPr>
        <w:t>With</w:t>
      </w:r>
      <w:proofErr w:type="gramEnd"/>
      <w:r w:rsidRPr="003D2988">
        <w:rPr>
          <w:rFonts w:ascii="Arial" w:hAnsi="Arial" w:cs="Arial"/>
        </w:rPr>
        <w:t xml:space="preserve"> Systemic Lupus and Lupus Nephritis. Advances In Chronic Kidney Disease</w:t>
      </w:r>
      <w:r w:rsidR="00561F04">
        <w:rPr>
          <w:rFonts w:ascii="Arial" w:hAnsi="Arial" w:cs="Arial"/>
        </w:rPr>
        <w:t xml:space="preserve">, </w:t>
      </w:r>
      <w:r w:rsidRPr="003D2988">
        <w:rPr>
          <w:rFonts w:ascii="Arial" w:hAnsi="Arial" w:cs="Arial"/>
        </w:rPr>
        <w:t>26(5</w:t>
      </w:r>
      <w:r w:rsidR="00561F04">
        <w:rPr>
          <w:rFonts w:ascii="Arial" w:hAnsi="Arial" w:cs="Arial"/>
        </w:rPr>
        <w:t xml:space="preserve">), </w:t>
      </w:r>
      <w:r w:rsidRPr="003D2988">
        <w:rPr>
          <w:rFonts w:ascii="Arial" w:hAnsi="Arial" w:cs="Arial"/>
        </w:rPr>
        <w:t xml:space="preserve">330-337. Elsevier BV. </w:t>
      </w:r>
      <w:r w:rsidR="00F116DB" w:rsidRPr="00F116DB">
        <w:rPr>
          <w:rFonts w:ascii="Arial" w:hAnsi="Arial" w:cs="Arial"/>
        </w:rPr>
        <w:t>https://doi.org/</w:t>
      </w:r>
      <w:r w:rsidRPr="003D2988">
        <w:rPr>
          <w:rFonts w:ascii="Arial" w:hAnsi="Arial" w:cs="Arial"/>
        </w:rPr>
        <w:t>10.1053/j.ackd.2019.08.013.</w:t>
      </w:r>
    </w:p>
    <w:p w14:paraId="78B43F49" w14:textId="65067739" w:rsidR="003D2988" w:rsidRPr="003D2988" w:rsidRDefault="003D2988" w:rsidP="00D9389F">
      <w:pPr>
        <w:pStyle w:val="Body"/>
        <w:rPr>
          <w:rFonts w:ascii="Arial" w:hAnsi="Arial" w:cs="Arial"/>
        </w:rPr>
      </w:pPr>
      <w:r w:rsidRPr="003D2988">
        <w:rPr>
          <w:rFonts w:ascii="Arial" w:hAnsi="Arial" w:cs="Arial"/>
        </w:rPr>
        <w:t>6. Lateef</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Petri</w:t>
      </w:r>
      <w:r w:rsidR="005960EB">
        <w:rPr>
          <w:rFonts w:ascii="Arial" w:hAnsi="Arial" w:cs="Arial"/>
        </w:rPr>
        <w:t>,</w:t>
      </w:r>
      <w:r w:rsidRPr="003D2988">
        <w:rPr>
          <w:rFonts w:ascii="Arial" w:hAnsi="Arial" w:cs="Arial"/>
        </w:rPr>
        <w:t xml:space="preserve"> M. </w:t>
      </w:r>
      <w:r w:rsidR="005960EB">
        <w:rPr>
          <w:rFonts w:ascii="Arial" w:hAnsi="Arial" w:cs="Arial"/>
        </w:rPr>
        <w:t xml:space="preserve">(2017). </w:t>
      </w:r>
      <w:r w:rsidRPr="003D2988">
        <w:rPr>
          <w:rFonts w:ascii="Arial" w:hAnsi="Arial" w:cs="Arial"/>
        </w:rPr>
        <w:t xml:space="preserve">Systemic Lupus Erythematosus and Pregnancy. Rheumatic Disease Clinics </w:t>
      </w:r>
      <w:proofErr w:type="gramStart"/>
      <w:r w:rsidRPr="003D2988">
        <w:rPr>
          <w:rFonts w:ascii="Arial" w:hAnsi="Arial" w:cs="Arial"/>
        </w:rPr>
        <w:t>Of</w:t>
      </w:r>
      <w:proofErr w:type="gramEnd"/>
      <w:r w:rsidRPr="003D2988">
        <w:rPr>
          <w:rFonts w:ascii="Arial" w:hAnsi="Arial" w:cs="Arial"/>
        </w:rPr>
        <w:t xml:space="preserve"> North America</w:t>
      </w:r>
      <w:r w:rsidR="005960EB">
        <w:rPr>
          <w:rFonts w:ascii="Arial" w:hAnsi="Arial" w:cs="Arial"/>
        </w:rPr>
        <w:t xml:space="preserve">, </w:t>
      </w:r>
      <w:r w:rsidRPr="003D2988">
        <w:rPr>
          <w:rFonts w:ascii="Arial" w:hAnsi="Arial" w:cs="Arial"/>
        </w:rPr>
        <w:t>43(2)</w:t>
      </w:r>
      <w:r w:rsidR="005960EB">
        <w:rPr>
          <w:rFonts w:ascii="Arial" w:hAnsi="Arial" w:cs="Arial"/>
        </w:rPr>
        <w:t xml:space="preserve">, </w:t>
      </w:r>
      <w:r w:rsidRPr="003D2988">
        <w:rPr>
          <w:rFonts w:ascii="Arial" w:hAnsi="Arial" w:cs="Arial"/>
        </w:rPr>
        <w:t xml:space="preserve">215-226. Elsevier BV. </w:t>
      </w:r>
      <w:r w:rsidR="00F116DB" w:rsidRPr="00F116DB">
        <w:rPr>
          <w:rFonts w:ascii="Arial" w:hAnsi="Arial" w:cs="Arial"/>
        </w:rPr>
        <w:t>https://doi.org/</w:t>
      </w:r>
      <w:r w:rsidRPr="003D2988">
        <w:rPr>
          <w:rFonts w:ascii="Arial" w:hAnsi="Arial" w:cs="Arial"/>
        </w:rPr>
        <w:t>10.1016/j.rdc.2016.12.009.</w:t>
      </w:r>
    </w:p>
    <w:p w14:paraId="19027ACA" w14:textId="3B0E1E70" w:rsidR="00F116DB" w:rsidRPr="003D2988" w:rsidRDefault="003D2988" w:rsidP="00D9389F">
      <w:pPr>
        <w:pStyle w:val="Body"/>
        <w:rPr>
          <w:rFonts w:ascii="Arial" w:hAnsi="Arial" w:cs="Arial"/>
        </w:rPr>
      </w:pPr>
      <w:r w:rsidRPr="003D2988">
        <w:rPr>
          <w:rFonts w:ascii="Arial" w:hAnsi="Arial" w:cs="Arial"/>
        </w:rPr>
        <w:t xml:space="preserve">7. Gestational Hypertension and Preeclampsia: ACOG Practice Bulletin, Number 222. </w:t>
      </w:r>
      <w:r w:rsidR="00F116DB">
        <w:rPr>
          <w:rFonts w:ascii="Arial" w:hAnsi="Arial" w:cs="Arial"/>
        </w:rPr>
        <w:t xml:space="preserve">(2020). </w:t>
      </w:r>
      <w:r w:rsidRPr="003D2988">
        <w:rPr>
          <w:rFonts w:ascii="Arial" w:hAnsi="Arial" w:cs="Arial"/>
        </w:rPr>
        <w:t>Obstetrics and gynecology</w:t>
      </w:r>
      <w:r w:rsidR="00F116DB">
        <w:rPr>
          <w:rFonts w:ascii="Arial" w:hAnsi="Arial" w:cs="Arial"/>
        </w:rPr>
        <w:t>,</w:t>
      </w:r>
      <w:r w:rsidRPr="003D2988">
        <w:rPr>
          <w:rFonts w:ascii="Arial" w:hAnsi="Arial" w:cs="Arial"/>
        </w:rPr>
        <w:t xml:space="preserve"> 135(6), 237–260. </w:t>
      </w:r>
      <w:r w:rsidR="00F116DB" w:rsidRPr="00F116DB">
        <w:rPr>
          <w:rFonts w:ascii="Arial" w:hAnsi="Arial" w:cs="Arial"/>
        </w:rPr>
        <w:t>https://doi.org/</w:t>
      </w:r>
      <w:r w:rsidRPr="003D2988">
        <w:rPr>
          <w:rFonts w:ascii="Arial" w:hAnsi="Arial" w:cs="Arial"/>
        </w:rPr>
        <w:t>10.1097/AOG.0000000000003891.</w:t>
      </w:r>
    </w:p>
    <w:p w14:paraId="48638894" w14:textId="702277F6" w:rsidR="005960EB" w:rsidRDefault="003D2988" w:rsidP="00D9389F">
      <w:pPr>
        <w:pStyle w:val="Body"/>
        <w:rPr>
          <w:rFonts w:ascii="Arial" w:hAnsi="Arial" w:cs="Arial"/>
        </w:rPr>
      </w:pPr>
      <w:r w:rsidRPr="003D2988">
        <w:rPr>
          <w:rFonts w:ascii="Arial" w:hAnsi="Arial" w:cs="Arial"/>
        </w:rPr>
        <w:t>8. Opichka</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xml:space="preserve">, </w:t>
      </w:r>
      <w:proofErr w:type="spellStart"/>
      <w:r w:rsidRPr="003D2988">
        <w:rPr>
          <w:rFonts w:ascii="Arial" w:hAnsi="Arial" w:cs="Arial"/>
        </w:rPr>
        <w:t>Rappelt</w:t>
      </w:r>
      <w:proofErr w:type="spellEnd"/>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W</w:t>
      </w:r>
      <w:r w:rsidR="005960EB">
        <w:rPr>
          <w:rFonts w:ascii="Arial" w:hAnsi="Arial" w:cs="Arial"/>
        </w:rPr>
        <w:t>.</w:t>
      </w:r>
      <w:r w:rsidRPr="003D2988">
        <w:rPr>
          <w:rFonts w:ascii="Arial" w:hAnsi="Arial" w:cs="Arial"/>
        </w:rPr>
        <w:t>, Gutterman</w:t>
      </w:r>
      <w:r w:rsidR="005960EB">
        <w:rPr>
          <w:rFonts w:ascii="Arial" w:hAnsi="Arial" w:cs="Arial"/>
        </w:rPr>
        <w:t>,</w:t>
      </w:r>
      <w:r w:rsidRPr="003D2988">
        <w:rPr>
          <w:rFonts w:ascii="Arial" w:hAnsi="Arial" w:cs="Arial"/>
        </w:rPr>
        <w:t xml:space="preserve"> D</w:t>
      </w:r>
      <w:r w:rsidR="005960EB">
        <w:rPr>
          <w:rFonts w:ascii="Arial" w:hAnsi="Arial" w:cs="Arial"/>
        </w:rPr>
        <w:t xml:space="preserve">. </w:t>
      </w:r>
      <w:r w:rsidRPr="003D2988">
        <w:rPr>
          <w:rFonts w:ascii="Arial" w:hAnsi="Arial" w:cs="Arial"/>
        </w:rPr>
        <w:t>D</w:t>
      </w:r>
      <w:r w:rsidR="005960EB">
        <w:rPr>
          <w:rFonts w:ascii="Arial" w:hAnsi="Arial" w:cs="Arial"/>
        </w:rPr>
        <w:t>.</w:t>
      </w:r>
      <w:r w:rsidRPr="003D2988">
        <w:rPr>
          <w:rFonts w:ascii="Arial" w:hAnsi="Arial" w:cs="Arial"/>
        </w:rPr>
        <w:t>, Grobe</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L</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Mcintosh</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 xml:space="preserve">J. </w:t>
      </w:r>
      <w:r w:rsidR="005960EB">
        <w:rPr>
          <w:rFonts w:ascii="Arial" w:hAnsi="Arial" w:cs="Arial"/>
        </w:rPr>
        <w:t xml:space="preserve">(2021). </w:t>
      </w:r>
      <w:r w:rsidRPr="003D2988">
        <w:rPr>
          <w:rFonts w:ascii="Arial" w:hAnsi="Arial" w:cs="Arial"/>
        </w:rPr>
        <w:t>Vascular Dysfunction in Preeclampsia. Cells</w:t>
      </w:r>
      <w:r w:rsidR="005960EB">
        <w:rPr>
          <w:rFonts w:ascii="Arial" w:hAnsi="Arial" w:cs="Arial"/>
        </w:rPr>
        <w:t xml:space="preserve">, </w:t>
      </w:r>
      <w:r w:rsidRPr="003D2988">
        <w:rPr>
          <w:rFonts w:ascii="Arial" w:hAnsi="Arial" w:cs="Arial"/>
        </w:rPr>
        <w:t>10(11)</w:t>
      </w:r>
      <w:r w:rsidR="005960EB">
        <w:rPr>
          <w:rFonts w:ascii="Arial" w:hAnsi="Arial" w:cs="Arial"/>
        </w:rPr>
        <w:t xml:space="preserve">, </w:t>
      </w:r>
      <w:r w:rsidRPr="003D2988">
        <w:rPr>
          <w:rFonts w:ascii="Arial" w:hAnsi="Arial" w:cs="Arial"/>
        </w:rPr>
        <w:t>3055.</w:t>
      </w:r>
      <w:r w:rsidR="00F116DB">
        <w:rPr>
          <w:rFonts w:ascii="Arial" w:hAnsi="Arial" w:cs="Arial"/>
        </w:rPr>
        <w:t xml:space="preserve"> </w:t>
      </w:r>
      <w:r w:rsidRPr="003D2988">
        <w:rPr>
          <w:rFonts w:ascii="Arial" w:hAnsi="Arial" w:cs="Arial"/>
        </w:rPr>
        <w:t xml:space="preserve">MDPI AG. </w:t>
      </w:r>
      <w:r w:rsidR="00F116DB" w:rsidRPr="00F116DB">
        <w:rPr>
          <w:rFonts w:ascii="Arial" w:hAnsi="Arial" w:cs="Arial"/>
        </w:rPr>
        <w:t>https://doi.org/</w:t>
      </w:r>
      <w:r w:rsidRPr="003D2988">
        <w:rPr>
          <w:rFonts w:ascii="Arial" w:hAnsi="Arial" w:cs="Arial"/>
        </w:rPr>
        <w:t>10.3390/cells10113055.</w:t>
      </w:r>
    </w:p>
    <w:p w14:paraId="44A042B6" w14:textId="0EC7B88D" w:rsidR="003D2988" w:rsidRPr="003D2988" w:rsidRDefault="003D2988" w:rsidP="00D9389F">
      <w:pPr>
        <w:pStyle w:val="Body"/>
        <w:rPr>
          <w:rFonts w:ascii="Arial" w:hAnsi="Arial" w:cs="Arial"/>
        </w:rPr>
      </w:pPr>
      <w:r w:rsidRPr="003D2988">
        <w:rPr>
          <w:rFonts w:ascii="Arial" w:hAnsi="Arial" w:cs="Arial"/>
        </w:rPr>
        <w:t>9. Dalal</w:t>
      </w:r>
      <w:r w:rsidR="005960EB">
        <w:rPr>
          <w:rFonts w:ascii="Arial" w:hAnsi="Arial" w:cs="Arial"/>
        </w:rPr>
        <w:t>,</w:t>
      </w:r>
      <w:r w:rsidRPr="003D2988">
        <w:rPr>
          <w:rFonts w:ascii="Arial" w:hAnsi="Arial" w:cs="Arial"/>
        </w:rPr>
        <w:t xml:space="preserve"> D</w:t>
      </w:r>
      <w:r w:rsidR="005960EB">
        <w:rPr>
          <w:rFonts w:ascii="Arial" w:hAnsi="Arial" w:cs="Arial"/>
        </w:rPr>
        <w:t xml:space="preserve">. </w:t>
      </w:r>
      <w:r w:rsidRPr="003D2988">
        <w:rPr>
          <w:rFonts w:ascii="Arial" w:hAnsi="Arial" w:cs="Arial"/>
        </w:rPr>
        <w:t>S</w:t>
      </w:r>
      <w:r w:rsidR="005960EB">
        <w:rPr>
          <w:rFonts w:ascii="Arial" w:hAnsi="Arial" w:cs="Arial"/>
        </w:rPr>
        <w:t>.</w:t>
      </w:r>
      <w:r w:rsidRPr="003D2988">
        <w:rPr>
          <w:rFonts w:ascii="Arial" w:hAnsi="Arial" w:cs="Arial"/>
        </w:rPr>
        <w:t>, Patel</w:t>
      </w:r>
      <w:r w:rsidR="005960EB">
        <w:rPr>
          <w:rFonts w:ascii="Arial" w:hAnsi="Arial" w:cs="Arial"/>
        </w:rPr>
        <w:t>,</w:t>
      </w:r>
      <w:r w:rsidRPr="003D2988">
        <w:rPr>
          <w:rFonts w:ascii="Arial" w:hAnsi="Arial" w:cs="Arial"/>
        </w:rPr>
        <w:t xml:space="preserve"> K</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Patel</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 xml:space="preserve">A. </w:t>
      </w:r>
      <w:r w:rsidR="005960EB">
        <w:rPr>
          <w:rFonts w:ascii="Arial" w:hAnsi="Arial" w:cs="Arial"/>
        </w:rPr>
        <w:t xml:space="preserve">(2019). </w:t>
      </w:r>
      <w:r w:rsidRPr="003D2988">
        <w:rPr>
          <w:rFonts w:ascii="Arial" w:hAnsi="Arial" w:cs="Arial"/>
        </w:rPr>
        <w:t xml:space="preserve">Systemic Lupus Erythematosus and Pregnancy: A Brief Review. Journal of obstetrics and </w:t>
      </w:r>
      <w:proofErr w:type="spellStart"/>
      <w:r w:rsidRPr="003D2988">
        <w:rPr>
          <w:rFonts w:ascii="Arial" w:hAnsi="Arial" w:cs="Arial"/>
        </w:rPr>
        <w:t>gynaecology</w:t>
      </w:r>
      <w:proofErr w:type="spellEnd"/>
      <w:r w:rsidRPr="003D2988">
        <w:rPr>
          <w:rFonts w:ascii="Arial" w:hAnsi="Arial" w:cs="Arial"/>
        </w:rPr>
        <w:t xml:space="preserve"> of India</w:t>
      </w:r>
      <w:r w:rsidR="005960EB">
        <w:rPr>
          <w:rFonts w:ascii="Arial" w:hAnsi="Arial" w:cs="Arial"/>
        </w:rPr>
        <w:t xml:space="preserve">, </w:t>
      </w:r>
      <w:r w:rsidRPr="003D2988">
        <w:rPr>
          <w:rFonts w:ascii="Arial" w:hAnsi="Arial" w:cs="Arial"/>
        </w:rPr>
        <w:t>69(2)</w:t>
      </w:r>
      <w:r w:rsidR="005960EB">
        <w:rPr>
          <w:rFonts w:ascii="Arial" w:hAnsi="Arial" w:cs="Arial"/>
        </w:rPr>
        <w:t xml:space="preserve">, </w:t>
      </w:r>
      <w:r w:rsidRPr="003D2988">
        <w:rPr>
          <w:rFonts w:ascii="Arial" w:hAnsi="Arial" w:cs="Arial"/>
        </w:rPr>
        <w:t xml:space="preserve">104-109. </w:t>
      </w:r>
      <w:r w:rsidR="00F116DB" w:rsidRPr="00F116DB">
        <w:rPr>
          <w:rFonts w:ascii="Arial" w:hAnsi="Arial" w:cs="Arial"/>
        </w:rPr>
        <w:t>https://doi.org/</w:t>
      </w:r>
      <w:r w:rsidRPr="003D2988">
        <w:rPr>
          <w:rFonts w:ascii="Arial" w:hAnsi="Arial" w:cs="Arial"/>
        </w:rPr>
        <w:t>10.1007/s13224-019-01212-8.</w:t>
      </w:r>
    </w:p>
    <w:p w14:paraId="441D3A42" w14:textId="10F643DB" w:rsidR="001E2533" w:rsidRPr="003D2988" w:rsidRDefault="003D2988" w:rsidP="00D9389F">
      <w:pPr>
        <w:pStyle w:val="Body"/>
        <w:rPr>
          <w:rFonts w:ascii="Arial" w:hAnsi="Arial" w:cs="Arial"/>
        </w:rPr>
      </w:pPr>
      <w:r w:rsidRPr="003D2988">
        <w:rPr>
          <w:rFonts w:ascii="Arial" w:hAnsi="Arial" w:cs="Arial"/>
        </w:rPr>
        <w:lastRenderedPageBreak/>
        <w:t>10. Silva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B</w:t>
      </w:r>
      <w:r w:rsidR="001E2533">
        <w:rPr>
          <w:rFonts w:ascii="Arial" w:hAnsi="Arial" w:cs="Arial"/>
        </w:rPr>
        <w:t xml:space="preserve">. </w:t>
      </w:r>
      <w:r w:rsidRPr="003D2988">
        <w:rPr>
          <w:rFonts w:ascii="Arial" w:hAnsi="Arial" w:cs="Arial"/>
        </w:rPr>
        <w:t>G</w:t>
      </w:r>
      <w:r w:rsidR="001E2533">
        <w:rPr>
          <w:rFonts w:ascii="Arial" w:hAnsi="Arial" w:cs="Arial"/>
        </w:rPr>
        <w:t>.</w:t>
      </w:r>
      <w:r w:rsidRPr="003D2988">
        <w:rPr>
          <w:rFonts w:ascii="Arial" w:hAnsi="Arial" w:cs="Arial"/>
        </w:rPr>
        <w:t>, Alves</w:t>
      </w:r>
      <w:r w:rsidR="001E2533">
        <w:rPr>
          <w:rFonts w:ascii="Arial" w:hAnsi="Arial" w:cs="Arial"/>
        </w:rPr>
        <w:t>,</w:t>
      </w:r>
      <w:r w:rsidRPr="003D2988">
        <w:rPr>
          <w:rFonts w:ascii="Arial" w:hAnsi="Arial" w:cs="Arial"/>
        </w:rPr>
        <w:t xml:space="preserve"> N</w:t>
      </w:r>
      <w:r w:rsidR="001E2533">
        <w:rPr>
          <w:rFonts w:ascii="Arial" w:hAnsi="Arial" w:cs="Arial"/>
        </w:rPr>
        <w:t xml:space="preserve">. </w:t>
      </w:r>
      <w:r w:rsidRPr="003D2988">
        <w:rPr>
          <w:rFonts w:ascii="Arial" w:hAnsi="Arial" w:cs="Arial"/>
        </w:rPr>
        <w:t>F</w:t>
      </w:r>
      <w:r w:rsidR="001E2533">
        <w:rPr>
          <w:rFonts w:ascii="Arial" w:hAnsi="Arial" w:cs="Arial"/>
        </w:rPr>
        <w:t>.</w:t>
      </w:r>
      <w:r w:rsidRPr="003D2988">
        <w:rPr>
          <w:rFonts w:ascii="Arial" w:hAnsi="Arial" w:cs="Arial"/>
        </w:rPr>
        <w:t>, Vidal</w:t>
      </w:r>
      <w:r w:rsidR="001E2533">
        <w:rPr>
          <w:rFonts w:ascii="Arial" w:hAnsi="Arial" w:cs="Arial"/>
        </w:rPr>
        <w:t>,</w:t>
      </w:r>
      <w:r w:rsidRPr="003D2988">
        <w:rPr>
          <w:rFonts w:ascii="Arial" w:hAnsi="Arial" w:cs="Arial"/>
        </w:rPr>
        <w:t xml:space="preserve"> I</w:t>
      </w:r>
      <w:r w:rsidR="001E2533">
        <w:rPr>
          <w:rFonts w:ascii="Arial" w:hAnsi="Arial" w:cs="Arial"/>
        </w:rPr>
        <w:t xml:space="preserve">. </w:t>
      </w:r>
      <w:r w:rsidRPr="003D2988">
        <w:rPr>
          <w:rFonts w:ascii="Arial" w:hAnsi="Arial" w:cs="Arial"/>
        </w:rPr>
        <w:t>H</w:t>
      </w:r>
      <w:r w:rsidR="001E2533">
        <w:rPr>
          <w:rFonts w:ascii="Arial" w:hAnsi="Arial" w:cs="Arial"/>
        </w:rPr>
        <w:t>.</w:t>
      </w:r>
      <w:r w:rsidRPr="003D2988">
        <w:rPr>
          <w:rFonts w:ascii="Arial" w:hAnsi="Arial" w:cs="Arial"/>
        </w:rPr>
        <w:t>, Ramos</w:t>
      </w:r>
      <w:r w:rsidR="001E2533">
        <w:rPr>
          <w:rFonts w:ascii="Arial" w:hAnsi="Arial" w:cs="Arial"/>
        </w:rPr>
        <w:t>,</w:t>
      </w:r>
      <w:r w:rsidRPr="003D2988">
        <w:rPr>
          <w:rFonts w:ascii="Arial" w:hAnsi="Arial" w:cs="Arial"/>
        </w:rPr>
        <w:t xml:space="preserve"> S</w:t>
      </w:r>
      <w:r w:rsidR="001E2533">
        <w:rPr>
          <w:rFonts w:ascii="Arial" w:hAnsi="Arial" w:cs="Arial"/>
        </w:rPr>
        <w:t xml:space="preserve">. </w:t>
      </w:r>
      <w:r w:rsidRPr="003D2988">
        <w:rPr>
          <w:rFonts w:ascii="Arial" w:hAnsi="Arial" w:cs="Arial"/>
        </w:rPr>
        <w:t>S</w:t>
      </w:r>
      <w:r w:rsidR="001E2533">
        <w:rPr>
          <w:rFonts w:ascii="Arial" w:hAnsi="Arial" w:cs="Arial"/>
        </w:rPr>
        <w:t xml:space="preserve">. </w:t>
      </w:r>
      <w:r w:rsidRPr="003D2988">
        <w:rPr>
          <w:rFonts w:ascii="Arial" w:hAnsi="Arial" w:cs="Arial"/>
        </w:rPr>
        <w:t>R</w:t>
      </w:r>
      <w:r w:rsidR="001E2533">
        <w:rPr>
          <w:rFonts w:ascii="Arial" w:hAnsi="Arial" w:cs="Arial"/>
        </w:rPr>
        <w:t>.</w:t>
      </w:r>
      <w:r w:rsidRPr="003D2988">
        <w:rPr>
          <w:rFonts w:ascii="Arial" w:hAnsi="Arial" w:cs="Arial"/>
        </w:rPr>
        <w:t>, Oliveira</w:t>
      </w:r>
      <w:r w:rsidR="001E2533">
        <w:rPr>
          <w:rFonts w:ascii="Arial" w:hAnsi="Arial" w:cs="Arial"/>
        </w:rPr>
        <w:t xml:space="preserve">, </w:t>
      </w:r>
      <w:r w:rsidRPr="003D2988">
        <w:rPr>
          <w:rFonts w:ascii="Arial" w:hAnsi="Arial" w:cs="Arial"/>
        </w:rPr>
        <w:t>M</w:t>
      </w:r>
      <w:r w:rsidR="001E2533">
        <w:rPr>
          <w:rFonts w:ascii="Arial" w:hAnsi="Arial" w:cs="Arial"/>
        </w:rPr>
        <w:t xml:space="preserve">. </w:t>
      </w:r>
      <w:r w:rsidRPr="003D2988">
        <w:rPr>
          <w:rFonts w:ascii="Arial" w:hAnsi="Arial" w:cs="Arial"/>
        </w:rPr>
        <w:t>D</w:t>
      </w:r>
      <w:r w:rsidR="001E2533">
        <w:rPr>
          <w:rFonts w:ascii="Arial" w:hAnsi="Arial" w:cs="Arial"/>
        </w:rPr>
        <w:t xml:space="preserve">. </w:t>
      </w:r>
      <w:r w:rsidRPr="003D2988">
        <w:rPr>
          <w:rFonts w:ascii="Arial" w:hAnsi="Arial" w:cs="Arial"/>
        </w:rPr>
        <w:t>G</w:t>
      </w:r>
      <w:r w:rsidR="001E2533">
        <w:rPr>
          <w:rFonts w:ascii="Arial" w:hAnsi="Arial" w:cs="Arial"/>
        </w:rPr>
        <w:t>.</w:t>
      </w:r>
      <w:r w:rsidRPr="003D2988">
        <w:rPr>
          <w:rFonts w:ascii="Arial" w:hAnsi="Arial" w:cs="Arial"/>
        </w:rPr>
        <w:t>, Pereira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L</w:t>
      </w:r>
      <w:r w:rsidR="001E2533">
        <w:rPr>
          <w:rFonts w:ascii="Arial" w:hAnsi="Arial" w:cs="Arial"/>
        </w:rPr>
        <w:t xml:space="preserve">. </w:t>
      </w:r>
      <w:r w:rsidRPr="003D2988">
        <w:rPr>
          <w:rFonts w:ascii="Arial" w:hAnsi="Arial" w:cs="Arial"/>
        </w:rPr>
        <w:t>V</w:t>
      </w:r>
      <w:r w:rsidR="001E2533">
        <w:rPr>
          <w:rFonts w:ascii="Arial" w:hAnsi="Arial" w:cs="Arial"/>
        </w:rPr>
        <w:t xml:space="preserve">. </w:t>
      </w:r>
      <w:r w:rsidRPr="003D2988">
        <w:rPr>
          <w:rFonts w:ascii="Arial" w:hAnsi="Arial" w:cs="Arial"/>
        </w:rPr>
        <w:t>B</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1E2533">
        <w:rPr>
          <w:rFonts w:ascii="Arial" w:hAnsi="Arial" w:cs="Arial"/>
        </w:rPr>
        <w:t xml:space="preserve">(2021). </w:t>
      </w:r>
      <w:proofErr w:type="spellStart"/>
      <w:r w:rsidRPr="003D2988">
        <w:rPr>
          <w:rFonts w:ascii="Arial" w:hAnsi="Arial" w:cs="Arial"/>
        </w:rPr>
        <w:t>Atualizações</w:t>
      </w:r>
      <w:proofErr w:type="spellEnd"/>
      <w:r w:rsidRPr="003D2988">
        <w:rPr>
          <w:rFonts w:ascii="Arial" w:hAnsi="Arial" w:cs="Arial"/>
        </w:rPr>
        <w:t xml:space="preserve"> </w:t>
      </w:r>
      <w:proofErr w:type="spellStart"/>
      <w:r w:rsidRPr="003D2988">
        <w:rPr>
          <w:rFonts w:ascii="Arial" w:hAnsi="Arial" w:cs="Arial"/>
        </w:rPr>
        <w:t>sobre</w:t>
      </w:r>
      <w:proofErr w:type="spellEnd"/>
      <w:r w:rsidRPr="003D2988">
        <w:rPr>
          <w:rFonts w:ascii="Arial" w:hAnsi="Arial" w:cs="Arial"/>
        </w:rPr>
        <w:t xml:space="preserve"> </w:t>
      </w:r>
      <w:proofErr w:type="gramStart"/>
      <w:r w:rsidRPr="003D2988">
        <w:rPr>
          <w:rFonts w:ascii="Arial" w:hAnsi="Arial" w:cs="Arial"/>
        </w:rPr>
        <w:t>a</w:t>
      </w:r>
      <w:proofErr w:type="gramEnd"/>
      <w:r w:rsidRPr="003D2988">
        <w:rPr>
          <w:rFonts w:ascii="Arial" w:hAnsi="Arial" w:cs="Arial"/>
        </w:rPr>
        <w:t xml:space="preserve"> </w:t>
      </w:r>
      <w:proofErr w:type="spellStart"/>
      <w:r w:rsidRPr="003D2988">
        <w:rPr>
          <w:rFonts w:ascii="Arial" w:hAnsi="Arial" w:cs="Arial"/>
        </w:rPr>
        <w:t>abordagem</w:t>
      </w:r>
      <w:proofErr w:type="spellEnd"/>
      <w:r w:rsidRPr="003D2988">
        <w:rPr>
          <w:rFonts w:ascii="Arial" w:hAnsi="Arial" w:cs="Arial"/>
        </w:rPr>
        <w:t xml:space="preserve"> da </w:t>
      </w:r>
      <w:proofErr w:type="spellStart"/>
      <w:r w:rsidRPr="003D2988">
        <w:rPr>
          <w:rFonts w:ascii="Arial" w:hAnsi="Arial" w:cs="Arial"/>
        </w:rPr>
        <w:t>pré-eclâmpsia</w:t>
      </w:r>
      <w:proofErr w:type="spellEnd"/>
      <w:r w:rsidRPr="003D2988">
        <w:rPr>
          <w:rFonts w:ascii="Arial" w:hAnsi="Arial" w:cs="Arial"/>
        </w:rPr>
        <w:t xml:space="preserve"> e o </w:t>
      </w:r>
      <w:proofErr w:type="spellStart"/>
      <w:r w:rsidRPr="003D2988">
        <w:rPr>
          <w:rFonts w:ascii="Arial" w:hAnsi="Arial" w:cs="Arial"/>
        </w:rPr>
        <w:t>manejo</w:t>
      </w:r>
      <w:proofErr w:type="spellEnd"/>
      <w:r w:rsidRPr="003D2988">
        <w:rPr>
          <w:rFonts w:ascii="Arial" w:hAnsi="Arial" w:cs="Arial"/>
        </w:rPr>
        <w:t xml:space="preserve"> dessa </w:t>
      </w:r>
      <w:proofErr w:type="spellStart"/>
      <w:r w:rsidRPr="003D2988">
        <w:rPr>
          <w:rFonts w:ascii="Arial" w:hAnsi="Arial" w:cs="Arial"/>
        </w:rPr>
        <w:t>síndrome</w:t>
      </w:r>
      <w:proofErr w:type="spellEnd"/>
      <w:r w:rsidRPr="003D2988">
        <w:rPr>
          <w:rFonts w:ascii="Arial" w:hAnsi="Arial" w:cs="Arial"/>
        </w:rPr>
        <w:t xml:space="preserve">. Brazilian Journal </w:t>
      </w:r>
      <w:proofErr w:type="gramStart"/>
      <w:r w:rsidRPr="003D2988">
        <w:rPr>
          <w:rFonts w:ascii="Arial" w:hAnsi="Arial" w:cs="Arial"/>
        </w:rPr>
        <w:t>Of</w:t>
      </w:r>
      <w:proofErr w:type="gramEnd"/>
      <w:r w:rsidRPr="003D2988">
        <w:rPr>
          <w:rFonts w:ascii="Arial" w:hAnsi="Arial" w:cs="Arial"/>
        </w:rPr>
        <w:t xml:space="preserve"> Surgery And Clinical Research</w:t>
      </w:r>
      <w:r w:rsidR="001E2533">
        <w:rPr>
          <w:rFonts w:ascii="Arial" w:hAnsi="Arial" w:cs="Arial"/>
        </w:rPr>
        <w:t xml:space="preserve">, </w:t>
      </w:r>
      <w:r w:rsidRPr="003D2988">
        <w:rPr>
          <w:rFonts w:ascii="Arial" w:hAnsi="Arial" w:cs="Arial"/>
        </w:rPr>
        <w:t>37(1)</w:t>
      </w:r>
      <w:r w:rsidR="001E2533">
        <w:rPr>
          <w:rFonts w:ascii="Arial" w:hAnsi="Arial" w:cs="Arial"/>
        </w:rPr>
        <w:t xml:space="preserve">, </w:t>
      </w:r>
      <w:r w:rsidRPr="003D2988">
        <w:rPr>
          <w:rFonts w:ascii="Arial" w:hAnsi="Arial" w:cs="Arial"/>
        </w:rPr>
        <w:t>70-78.</w:t>
      </w:r>
    </w:p>
    <w:p w14:paraId="4DF36FD3" w14:textId="4B4588FA" w:rsidR="001E2533" w:rsidRPr="003D2988" w:rsidRDefault="003D2988" w:rsidP="00D9389F">
      <w:pPr>
        <w:pStyle w:val="Body"/>
        <w:rPr>
          <w:rFonts w:ascii="Arial" w:hAnsi="Arial" w:cs="Arial"/>
        </w:rPr>
      </w:pPr>
      <w:r w:rsidRPr="003D2988">
        <w:rPr>
          <w:rFonts w:ascii="Arial" w:hAnsi="Arial" w:cs="Arial"/>
        </w:rPr>
        <w:t xml:space="preserve">11. </w:t>
      </w:r>
      <w:proofErr w:type="spellStart"/>
      <w:r w:rsidRPr="003D2988">
        <w:rPr>
          <w:rFonts w:ascii="Arial" w:hAnsi="Arial" w:cs="Arial"/>
        </w:rPr>
        <w:t>Kahhale</w:t>
      </w:r>
      <w:proofErr w:type="spellEnd"/>
      <w:r w:rsidR="001E2533">
        <w:rPr>
          <w:rFonts w:ascii="Arial" w:hAnsi="Arial" w:cs="Arial"/>
        </w:rPr>
        <w:t>,</w:t>
      </w:r>
      <w:r w:rsidRPr="003D2988">
        <w:rPr>
          <w:rFonts w:ascii="Arial" w:hAnsi="Arial" w:cs="Arial"/>
        </w:rPr>
        <w:t xml:space="preserve"> S</w:t>
      </w:r>
      <w:r w:rsidR="001E2533">
        <w:rPr>
          <w:rFonts w:ascii="Arial" w:hAnsi="Arial" w:cs="Arial"/>
        </w:rPr>
        <w:t>.</w:t>
      </w:r>
      <w:r w:rsidRPr="003D2988">
        <w:rPr>
          <w:rFonts w:ascii="Arial" w:hAnsi="Arial" w:cs="Arial"/>
        </w:rPr>
        <w:t>, Francisco</w:t>
      </w:r>
      <w:r w:rsidR="001E2533">
        <w:rPr>
          <w:rFonts w:ascii="Arial" w:hAnsi="Arial" w:cs="Arial"/>
        </w:rPr>
        <w:t>,</w:t>
      </w:r>
      <w:r w:rsidRPr="003D2988">
        <w:rPr>
          <w:rFonts w:ascii="Arial" w:hAnsi="Arial" w:cs="Arial"/>
        </w:rPr>
        <w:t xml:space="preserve"> R</w:t>
      </w:r>
      <w:r w:rsidR="001E2533">
        <w:rPr>
          <w:rFonts w:ascii="Arial" w:hAnsi="Arial" w:cs="Arial"/>
        </w:rPr>
        <w:t xml:space="preserve">. </w:t>
      </w:r>
      <w:r w:rsidRPr="003D2988">
        <w:rPr>
          <w:rFonts w:ascii="Arial" w:hAnsi="Arial" w:cs="Arial"/>
        </w:rPr>
        <w:t>P</w:t>
      </w:r>
      <w:r w:rsidR="001E2533">
        <w:rPr>
          <w:rFonts w:ascii="Arial" w:hAnsi="Arial" w:cs="Arial"/>
        </w:rPr>
        <w:t xml:space="preserve">. </w:t>
      </w:r>
      <w:r w:rsidRPr="003D2988">
        <w:rPr>
          <w:rFonts w:ascii="Arial" w:hAnsi="Arial" w:cs="Arial"/>
        </w:rPr>
        <w:t>V</w:t>
      </w:r>
      <w:r w:rsidR="001E2533">
        <w:rPr>
          <w:rFonts w:ascii="Arial" w:hAnsi="Arial" w:cs="Arial"/>
        </w:rPr>
        <w:t>.</w:t>
      </w:r>
      <w:r w:rsidRPr="003D2988">
        <w:rPr>
          <w:rFonts w:ascii="Arial" w:hAnsi="Arial" w:cs="Arial"/>
        </w:rPr>
        <w:t xml:space="preserve">, </w:t>
      </w:r>
      <w:r w:rsidR="001E2533">
        <w:rPr>
          <w:rFonts w:ascii="Arial" w:hAnsi="Arial" w:cs="Arial"/>
        </w:rPr>
        <w:t xml:space="preserve">&amp; </w:t>
      </w:r>
      <w:proofErr w:type="spellStart"/>
      <w:r w:rsidRPr="003D2988">
        <w:rPr>
          <w:rFonts w:ascii="Arial" w:hAnsi="Arial" w:cs="Arial"/>
        </w:rPr>
        <w:t>Zugaib</w:t>
      </w:r>
      <w:proofErr w:type="spellEnd"/>
      <w:r w:rsidR="001E2533">
        <w:rPr>
          <w:rFonts w:ascii="Arial" w:hAnsi="Arial" w:cs="Arial"/>
        </w:rPr>
        <w:t>,</w:t>
      </w:r>
      <w:r w:rsidRPr="003D2988">
        <w:rPr>
          <w:rFonts w:ascii="Arial" w:hAnsi="Arial" w:cs="Arial"/>
        </w:rPr>
        <w:t xml:space="preserve"> M. </w:t>
      </w:r>
      <w:r w:rsidR="001E2533">
        <w:rPr>
          <w:rFonts w:ascii="Arial" w:hAnsi="Arial" w:cs="Arial"/>
        </w:rPr>
        <w:t xml:space="preserve">(2018). </w:t>
      </w:r>
      <w:proofErr w:type="spellStart"/>
      <w:r w:rsidRPr="003D2988">
        <w:rPr>
          <w:rFonts w:ascii="Arial" w:hAnsi="Arial" w:cs="Arial"/>
        </w:rPr>
        <w:t>Pré-</w:t>
      </w:r>
      <w:r w:rsidRPr="001E2533">
        <w:rPr>
          <w:rFonts w:ascii="Arial" w:hAnsi="Arial" w:cs="Arial"/>
        </w:rPr>
        <w:t>eclâmpsia</w:t>
      </w:r>
      <w:proofErr w:type="spellEnd"/>
      <w:r w:rsidRPr="001E2533">
        <w:rPr>
          <w:rFonts w:ascii="Arial" w:hAnsi="Arial" w:cs="Arial"/>
        </w:rPr>
        <w:t xml:space="preserve">. </w:t>
      </w:r>
      <w:proofErr w:type="spellStart"/>
      <w:r w:rsidRPr="001E2533">
        <w:rPr>
          <w:rFonts w:ascii="Arial" w:hAnsi="Arial" w:cs="Arial"/>
        </w:rPr>
        <w:t>Revista</w:t>
      </w:r>
      <w:proofErr w:type="spellEnd"/>
      <w:r w:rsidRPr="001E2533">
        <w:rPr>
          <w:rFonts w:ascii="Arial" w:hAnsi="Arial" w:cs="Arial"/>
        </w:rPr>
        <w:t xml:space="preserve"> de </w:t>
      </w:r>
      <w:proofErr w:type="spellStart"/>
      <w:r w:rsidRPr="001E2533">
        <w:rPr>
          <w:rFonts w:ascii="Arial" w:hAnsi="Arial" w:cs="Arial"/>
        </w:rPr>
        <w:t>Medicina</w:t>
      </w:r>
      <w:proofErr w:type="spellEnd"/>
      <w:r w:rsidR="001E2533" w:rsidRPr="001E2533">
        <w:rPr>
          <w:rFonts w:ascii="Arial" w:hAnsi="Arial" w:cs="Arial"/>
        </w:rPr>
        <w:t xml:space="preserve">, </w:t>
      </w:r>
      <w:r w:rsidRPr="001E2533">
        <w:rPr>
          <w:rFonts w:ascii="Arial" w:hAnsi="Arial" w:cs="Arial"/>
        </w:rPr>
        <w:t>97(2)</w:t>
      </w:r>
      <w:r w:rsidR="001E2533" w:rsidRPr="001E2533">
        <w:rPr>
          <w:rFonts w:ascii="Arial" w:hAnsi="Arial" w:cs="Arial"/>
        </w:rPr>
        <w:t xml:space="preserve">, </w:t>
      </w:r>
      <w:r w:rsidRPr="001E2533">
        <w:rPr>
          <w:rFonts w:ascii="Arial" w:hAnsi="Arial" w:cs="Arial"/>
        </w:rPr>
        <w:t xml:space="preserve">226. </w:t>
      </w:r>
      <w:proofErr w:type="spellStart"/>
      <w:r w:rsidRPr="001E2533">
        <w:rPr>
          <w:rFonts w:ascii="Arial" w:hAnsi="Arial" w:cs="Arial"/>
        </w:rPr>
        <w:t>Universidade</w:t>
      </w:r>
      <w:proofErr w:type="spellEnd"/>
      <w:r w:rsidRPr="001E2533">
        <w:rPr>
          <w:rFonts w:ascii="Arial" w:hAnsi="Arial" w:cs="Arial"/>
        </w:rPr>
        <w:t xml:space="preserve"> de São Paulo, </w:t>
      </w:r>
      <w:proofErr w:type="spellStart"/>
      <w:r w:rsidRPr="001E2533">
        <w:rPr>
          <w:rFonts w:ascii="Arial" w:hAnsi="Arial" w:cs="Arial"/>
        </w:rPr>
        <w:t>Agencia</w:t>
      </w:r>
      <w:proofErr w:type="spellEnd"/>
      <w:r w:rsidRPr="001E2533">
        <w:rPr>
          <w:rFonts w:ascii="Arial" w:hAnsi="Arial" w:cs="Arial"/>
        </w:rPr>
        <w:t xml:space="preserve"> USP de </w:t>
      </w:r>
      <w:proofErr w:type="spellStart"/>
      <w:r w:rsidRPr="001E2533">
        <w:rPr>
          <w:rFonts w:ascii="Arial" w:hAnsi="Arial" w:cs="Arial"/>
        </w:rPr>
        <w:t>Gestão</w:t>
      </w:r>
      <w:proofErr w:type="spellEnd"/>
      <w:r w:rsidRPr="001E2533">
        <w:rPr>
          <w:rFonts w:ascii="Arial" w:hAnsi="Arial" w:cs="Arial"/>
        </w:rPr>
        <w:t xml:space="preserve"> da </w:t>
      </w:r>
      <w:proofErr w:type="spellStart"/>
      <w:r w:rsidRPr="001E2533">
        <w:rPr>
          <w:rFonts w:ascii="Arial" w:hAnsi="Arial" w:cs="Arial"/>
        </w:rPr>
        <w:t>Informação</w:t>
      </w:r>
      <w:proofErr w:type="spellEnd"/>
      <w:r w:rsidRPr="001E2533">
        <w:rPr>
          <w:rFonts w:ascii="Arial" w:hAnsi="Arial" w:cs="Arial"/>
        </w:rPr>
        <w:t xml:space="preserve"> </w:t>
      </w:r>
      <w:proofErr w:type="spellStart"/>
      <w:r w:rsidRPr="001E2533">
        <w:rPr>
          <w:rFonts w:ascii="Arial" w:hAnsi="Arial" w:cs="Arial"/>
        </w:rPr>
        <w:t>Acadêmica</w:t>
      </w:r>
      <w:proofErr w:type="spellEnd"/>
      <w:r w:rsidRPr="001E2533">
        <w:rPr>
          <w:rFonts w:ascii="Arial" w:hAnsi="Arial" w:cs="Arial"/>
        </w:rPr>
        <w:t xml:space="preserve"> (AGUIA). </w:t>
      </w:r>
      <w:hyperlink r:id="rId16" w:history="1">
        <w:r w:rsidR="001E2533" w:rsidRPr="001E2533">
          <w:rPr>
            <w:rStyle w:val="Hyperlink"/>
            <w:rFonts w:ascii="Arial" w:hAnsi="Arial" w:cs="Arial"/>
            <w:color w:val="auto"/>
          </w:rPr>
          <w:t>https://doi.org/10.11606/issn.1679-9836.v97i2p226-234</w:t>
        </w:r>
      </w:hyperlink>
      <w:r w:rsidRPr="001E2533">
        <w:rPr>
          <w:rFonts w:ascii="Arial" w:hAnsi="Arial" w:cs="Arial"/>
        </w:rPr>
        <w:t>.</w:t>
      </w:r>
    </w:p>
    <w:p w14:paraId="516285C9" w14:textId="5D4ED299" w:rsidR="003D2988" w:rsidRPr="003D2988" w:rsidRDefault="003D2988" w:rsidP="00D9389F">
      <w:pPr>
        <w:pStyle w:val="Body"/>
        <w:rPr>
          <w:rFonts w:ascii="Arial" w:hAnsi="Arial" w:cs="Arial"/>
        </w:rPr>
      </w:pPr>
      <w:r w:rsidRPr="003D2988">
        <w:rPr>
          <w:rFonts w:ascii="Arial" w:hAnsi="Arial" w:cs="Arial"/>
        </w:rPr>
        <w:t>12. Skorpen</w:t>
      </w:r>
      <w:r w:rsidR="005960EB">
        <w:rPr>
          <w:rFonts w:ascii="Arial" w:hAnsi="Arial" w:cs="Arial"/>
        </w:rPr>
        <w:t>,</w:t>
      </w:r>
      <w:r w:rsidRPr="003D2988">
        <w:rPr>
          <w:rFonts w:ascii="Arial" w:hAnsi="Arial" w:cs="Arial"/>
        </w:rPr>
        <w:t xml:space="preserve"> C</w:t>
      </w:r>
      <w:r w:rsidR="005960EB">
        <w:rPr>
          <w:rFonts w:ascii="Arial" w:hAnsi="Arial" w:cs="Arial"/>
        </w:rPr>
        <w:t xml:space="preserve">. </w:t>
      </w:r>
      <w:r w:rsidRPr="003D2988">
        <w:rPr>
          <w:rFonts w:ascii="Arial" w:hAnsi="Arial" w:cs="Arial"/>
        </w:rPr>
        <w:t>G</w:t>
      </w:r>
      <w:r w:rsidR="005960EB">
        <w:rPr>
          <w:rFonts w:ascii="Arial" w:hAnsi="Arial" w:cs="Arial"/>
        </w:rPr>
        <w:t>.</w:t>
      </w:r>
      <w:r w:rsidRPr="003D2988">
        <w:rPr>
          <w:rFonts w:ascii="Arial" w:hAnsi="Arial" w:cs="Arial"/>
        </w:rPr>
        <w:t>, Lydersen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Gilboe</w:t>
      </w:r>
      <w:r w:rsidR="005960EB">
        <w:rPr>
          <w:rFonts w:ascii="Arial" w:hAnsi="Arial" w:cs="Arial"/>
        </w:rPr>
        <w:t>,</w:t>
      </w:r>
      <w:r w:rsidRPr="003D2988">
        <w:rPr>
          <w:rFonts w:ascii="Arial" w:hAnsi="Arial" w:cs="Arial"/>
        </w:rPr>
        <w:t xml:space="preserve"> I</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xml:space="preserve">, </w:t>
      </w:r>
      <w:proofErr w:type="spellStart"/>
      <w:r w:rsidRPr="003D2988">
        <w:rPr>
          <w:rFonts w:ascii="Arial" w:hAnsi="Arial" w:cs="Arial"/>
        </w:rPr>
        <w:t>Skomsvoll</w:t>
      </w:r>
      <w:proofErr w:type="spellEnd"/>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F</w:t>
      </w:r>
      <w:r w:rsidR="005960EB">
        <w:rPr>
          <w:rFonts w:ascii="Arial" w:hAnsi="Arial" w:cs="Arial"/>
        </w:rPr>
        <w:t>.</w:t>
      </w:r>
      <w:r w:rsidRPr="003D2988">
        <w:rPr>
          <w:rFonts w:ascii="Arial" w:hAnsi="Arial" w:cs="Arial"/>
        </w:rPr>
        <w:t>, Salvesen</w:t>
      </w:r>
      <w:r w:rsidR="005960EB">
        <w:rPr>
          <w:rFonts w:ascii="Arial" w:hAnsi="Arial" w:cs="Arial"/>
        </w:rPr>
        <w:t>,</w:t>
      </w:r>
      <w:r w:rsidRPr="003D2988">
        <w:rPr>
          <w:rFonts w:ascii="Arial" w:hAnsi="Arial" w:cs="Arial"/>
        </w:rPr>
        <w:t xml:space="preserve"> K</w:t>
      </w:r>
      <w:r w:rsidR="005960EB">
        <w:rPr>
          <w:rFonts w:ascii="Arial" w:hAnsi="Arial" w:cs="Arial"/>
        </w:rPr>
        <w:t xml:space="preserve">. </w:t>
      </w:r>
      <w:r w:rsidRPr="003D2988">
        <w:rPr>
          <w:rFonts w:ascii="Arial" w:hAnsi="Arial" w:cs="Arial"/>
        </w:rPr>
        <w:t>Å</w:t>
      </w:r>
      <w:r w:rsidR="005960EB">
        <w:rPr>
          <w:rFonts w:ascii="Arial" w:hAnsi="Arial" w:cs="Arial"/>
        </w:rPr>
        <w:t>.</w:t>
      </w:r>
      <w:r w:rsidRPr="003D2988">
        <w:rPr>
          <w:rFonts w:ascii="Arial" w:hAnsi="Arial" w:cs="Arial"/>
        </w:rPr>
        <w:t>, Palm</w:t>
      </w:r>
      <w:r w:rsidR="005960EB">
        <w:rPr>
          <w:rFonts w:ascii="Arial" w:hAnsi="Arial" w:cs="Arial"/>
        </w:rPr>
        <w:t>,</w:t>
      </w:r>
      <w:r w:rsidRPr="003D2988">
        <w:rPr>
          <w:rFonts w:ascii="Arial" w:hAnsi="Arial" w:cs="Arial"/>
        </w:rPr>
        <w:t xml:space="preserve"> Ø</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5960EB">
        <w:rPr>
          <w:rFonts w:ascii="Arial" w:hAnsi="Arial" w:cs="Arial"/>
        </w:rPr>
        <w:t xml:space="preserve">(2017). </w:t>
      </w:r>
      <w:r w:rsidRPr="003D2988">
        <w:rPr>
          <w:rFonts w:ascii="Arial" w:hAnsi="Arial" w:cs="Arial"/>
        </w:rPr>
        <w:t xml:space="preserve">Influence of disease activity and medications on offspring birth weight, pre-eclampsia and preterm birth in systemic lupus erythematosus: a population-based study. Annals </w:t>
      </w:r>
      <w:proofErr w:type="gramStart"/>
      <w:r w:rsidRPr="003D2988">
        <w:rPr>
          <w:rFonts w:ascii="Arial" w:hAnsi="Arial" w:cs="Arial"/>
        </w:rPr>
        <w:t>Of</w:t>
      </w:r>
      <w:proofErr w:type="gramEnd"/>
      <w:r w:rsidRPr="003D2988">
        <w:rPr>
          <w:rFonts w:ascii="Arial" w:hAnsi="Arial" w:cs="Arial"/>
        </w:rPr>
        <w:t xml:space="preserve"> The Rheumatic Diseases</w:t>
      </w:r>
      <w:r w:rsidR="005960EB">
        <w:rPr>
          <w:rFonts w:ascii="Arial" w:hAnsi="Arial" w:cs="Arial"/>
        </w:rPr>
        <w:t xml:space="preserve">, </w:t>
      </w:r>
      <w:r w:rsidRPr="003D2988">
        <w:rPr>
          <w:rFonts w:ascii="Arial" w:hAnsi="Arial" w:cs="Arial"/>
        </w:rPr>
        <w:t>77(2)</w:t>
      </w:r>
      <w:r w:rsidR="005960EB">
        <w:rPr>
          <w:rFonts w:ascii="Arial" w:hAnsi="Arial" w:cs="Arial"/>
        </w:rPr>
        <w:t xml:space="preserve">, </w:t>
      </w:r>
      <w:r w:rsidRPr="003D2988">
        <w:rPr>
          <w:rFonts w:ascii="Arial" w:hAnsi="Arial" w:cs="Arial"/>
        </w:rPr>
        <w:t xml:space="preserve">264-269. BMJ. </w:t>
      </w:r>
      <w:r w:rsidR="00F116DB" w:rsidRPr="00F116DB">
        <w:rPr>
          <w:rFonts w:ascii="Arial" w:hAnsi="Arial" w:cs="Arial"/>
        </w:rPr>
        <w:t>https://doi.org/</w:t>
      </w:r>
      <w:r w:rsidRPr="003D2988">
        <w:rPr>
          <w:rFonts w:ascii="Arial" w:hAnsi="Arial" w:cs="Arial"/>
        </w:rPr>
        <w:t>10.1136/annrheumdis-2017-211641.</w:t>
      </w:r>
    </w:p>
    <w:p w14:paraId="38534C86" w14:textId="6D3098C0" w:rsidR="003D2988" w:rsidRPr="003D2988" w:rsidRDefault="003D2988" w:rsidP="00D9389F">
      <w:pPr>
        <w:pStyle w:val="Body"/>
        <w:rPr>
          <w:rFonts w:ascii="Arial" w:hAnsi="Arial" w:cs="Arial"/>
        </w:rPr>
      </w:pPr>
      <w:r w:rsidRPr="003D2988">
        <w:rPr>
          <w:rFonts w:ascii="Arial" w:hAnsi="Arial" w:cs="Arial"/>
        </w:rPr>
        <w:t>13. Saavedra, M</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Miranda</w:t>
      </w:r>
      <w:r w:rsidRPr="003D2988">
        <w:rPr>
          <w:rFonts w:ascii="Cambria Math" w:hAnsi="Cambria Math" w:cs="Cambria Math"/>
        </w:rPr>
        <w:t>‐</w:t>
      </w:r>
      <w:r w:rsidRPr="003D2988">
        <w:rPr>
          <w:rFonts w:ascii="Arial" w:hAnsi="Arial" w:cs="Arial"/>
        </w:rPr>
        <w:t>Hernández</w:t>
      </w:r>
      <w:r w:rsidR="005960EB">
        <w:rPr>
          <w:rFonts w:ascii="Arial" w:hAnsi="Arial" w:cs="Arial"/>
        </w:rPr>
        <w:t>,</w:t>
      </w:r>
      <w:r w:rsidRPr="003D2988">
        <w:rPr>
          <w:rFonts w:ascii="Arial" w:hAnsi="Arial" w:cs="Arial"/>
        </w:rPr>
        <w:t xml:space="preserve"> D</w:t>
      </w:r>
      <w:r w:rsidR="005960EB">
        <w:rPr>
          <w:rFonts w:ascii="Arial" w:hAnsi="Arial" w:cs="Arial"/>
        </w:rPr>
        <w:t>.</w:t>
      </w:r>
      <w:r w:rsidRPr="003D2988">
        <w:rPr>
          <w:rFonts w:ascii="Arial" w:hAnsi="Arial" w:cs="Arial"/>
        </w:rPr>
        <w:t>, Lara</w:t>
      </w:r>
      <w:r w:rsidRPr="003D2988">
        <w:rPr>
          <w:rFonts w:ascii="Cambria Math" w:hAnsi="Cambria Math" w:cs="Cambria Math"/>
        </w:rPr>
        <w:t>‐</w:t>
      </w:r>
      <w:r w:rsidRPr="003D2988">
        <w:rPr>
          <w:rFonts w:ascii="Arial" w:hAnsi="Arial" w:cs="Arial"/>
        </w:rPr>
        <w:t>Mejía</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Sánchez</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Morales</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Cruz</w:t>
      </w:r>
      <w:r w:rsidRPr="003D2988">
        <w:rPr>
          <w:rFonts w:ascii="Cambria Math" w:hAnsi="Cambria Math" w:cs="Cambria Math"/>
        </w:rPr>
        <w:t>‐</w:t>
      </w:r>
      <w:r w:rsidRPr="003D2988">
        <w:rPr>
          <w:rFonts w:ascii="Arial" w:hAnsi="Arial" w:cs="Arial"/>
        </w:rPr>
        <w:t>Reyes</w:t>
      </w:r>
      <w:r w:rsidR="005960EB">
        <w:rPr>
          <w:rFonts w:ascii="Arial" w:hAnsi="Arial" w:cs="Arial"/>
        </w:rPr>
        <w:t>,</w:t>
      </w:r>
      <w:r w:rsidRPr="003D2988">
        <w:rPr>
          <w:rFonts w:ascii="Arial" w:hAnsi="Arial" w:cs="Arial"/>
        </w:rPr>
        <w:t xml:space="preserve"> C</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005960EB">
        <w:rPr>
          <w:rFonts w:ascii="Arial" w:hAnsi="Arial" w:cs="Arial"/>
        </w:rPr>
        <w:t xml:space="preserve"> (2020)</w:t>
      </w:r>
      <w:r w:rsidRPr="003D2988">
        <w:rPr>
          <w:rFonts w:ascii="Arial" w:hAnsi="Arial" w:cs="Arial"/>
        </w:rPr>
        <w:t xml:space="preserve">. Use of antimalarial drugs is associated with a lower risk of preeclampsia in lupus pregnancy: a prospective cohort study. International Journal </w:t>
      </w:r>
      <w:proofErr w:type="gramStart"/>
      <w:r w:rsidRPr="003D2988">
        <w:rPr>
          <w:rFonts w:ascii="Arial" w:hAnsi="Arial" w:cs="Arial"/>
        </w:rPr>
        <w:t>Of</w:t>
      </w:r>
      <w:proofErr w:type="gramEnd"/>
      <w:r w:rsidRPr="003D2988">
        <w:rPr>
          <w:rFonts w:ascii="Arial" w:hAnsi="Arial" w:cs="Arial"/>
        </w:rPr>
        <w:t xml:space="preserve"> Rheumatic Diseases</w:t>
      </w:r>
      <w:r w:rsidR="005960EB">
        <w:rPr>
          <w:rFonts w:ascii="Arial" w:hAnsi="Arial" w:cs="Arial"/>
        </w:rPr>
        <w:t xml:space="preserve">, </w:t>
      </w:r>
      <w:r w:rsidRPr="003D2988">
        <w:rPr>
          <w:rFonts w:ascii="Arial" w:hAnsi="Arial" w:cs="Arial"/>
        </w:rPr>
        <w:t>23(5)</w:t>
      </w:r>
      <w:r w:rsidR="005960EB">
        <w:rPr>
          <w:rFonts w:ascii="Arial" w:hAnsi="Arial" w:cs="Arial"/>
        </w:rPr>
        <w:t xml:space="preserve">, </w:t>
      </w:r>
      <w:r w:rsidRPr="003D2988">
        <w:rPr>
          <w:rFonts w:ascii="Arial" w:hAnsi="Arial" w:cs="Arial"/>
        </w:rPr>
        <w:t xml:space="preserve">633-640. Wiley. </w:t>
      </w:r>
      <w:r w:rsidR="00F116DB" w:rsidRPr="00F116DB">
        <w:rPr>
          <w:rFonts w:ascii="Arial" w:hAnsi="Arial" w:cs="Arial"/>
        </w:rPr>
        <w:t>https://doi.org/</w:t>
      </w:r>
      <w:r w:rsidRPr="003D2988">
        <w:rPr>
          <w:rFonts w:ascii="Arial" w:hAnsi="Arial" w:cs="Arial"/>
        </w:rPr>
        <w:t>10.1111/1756-185x.13830.</w:t>
      </w:r>
    </w:p>
    <w:p w14:paraId="477A9024" w14:textId="07B74196" w:rsidR="003D2988" w:rsidRPr="003D2988" w:rsidRDefault="003D2988" w:rsidP="00D9389F">
      <w:pPr>
        <w:pStyle w:val="Body"/>
        <w:rPr>
          <w:rFonts w:ascii="Arial" w:hAnsi="Arial" w:cs="Arial"/>
        </w:rPr>
      </w:pPr>
      <w:r w:rsidRPr="003D2988">
        <w:rPr>
          <w:rFonts w:ascii="Arial" w:hAnsi="Arial" w:cs="Arial"/>
        </w:rPr>
        <w:t>14. Maeda</w:t>
      </w:r>
      <w:r w:rsidR="005960EB">
        <w:rPr>
          <w:rFonts w:ascii="Arial" w:hAnsi="Arial" w:cs="Arial"/>
        </w:rPr>
        <w:t>,</w:t>
      </w:r>
      <w:r w:rsidRPr="003D2988">
        <w:rPr>
          <w:rFonts w:ascii="Arial" w:hAnsi="Arial" w:cs="Arial"/>
        </w:rPr>
        <w:t xml:space="preserve"> Y</w:t>
      </w:r>
      <w:r w:rsidR="005960EB">
        <w:rPr>
          <w:rFonts w:ascii="Arial" w:hAnsi="Arial" w:cs="Arial"/>
        </w:rPr>
        <w:t>.</w:t>
      </w:r>
      <w:r w:rsidRPr="003D2988">
        <w:rPr>
          <w:rFonts w:ascii="Arial" w:hAnsi="Arial" w:cs="Arial"/>
        </w:rPr>
        <w:t>, Kaneko</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Ogawa</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Sago</w:t>
      </w:r>
      <w:r w:rsidR="005960EB">
        <w:rPr>
          <w:rFonts w:ascii="Arial" w:hAnsi="Arial" w:cs="Arial"/>
        </w:rPr>
        <w:t>,</w:t>
      </w:r>
      <w:r w:rsidRPr="003D2988">
        <w:rPr>
          <w:rFonts w:ascii="Arial" w:hAnsi="Arial" w:cs="Arial"/>
        </w:rPr>
        <w:t xml:space="preserve"> H</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Murashima</w:t>
      </w:r>
      <w:r w:rsidR="005960EB">
        <w:rPr>
          <w:rFonts w:ascii="Arial" w:hAnsi="Arial" w:cs="Arial"/>
        </w:rPr>
        <w:t>,</w:t>
      </w:r>
      <w:r w:rsidRPr="003D2988">
        <w:rPr>
          <w:rFonts w:ascii="Arial" w:hAnsi="Arial" w:cs="Arial"/>
        </w:rPr>
        <w:t xml:space="preserve"> A. </w:t>
      </w:r>
      <w:r w:rsidR="005960EB">
        <w:rPr>
          <w:rFonts w:ascii="Arial" w:hAnsi="Arial" w:cs="Arial"/>
        </w:rPr>
        <w:t xml:space="preserve">(2020). </w:t>
      </w:r>
      <w:r w:rsidRPr="003D2988">
        <w:rPr>
          <w:rFonts w:ascii="Arial" w:hAnsi="Arial" w:cs="Arial"/>
        </w:rPr>
        <w:t>The effect of parity, history of preeclampsia, and pregnancy care on the incidence of subsequent preeclampsia in multiparous women with SLE. Modern Rheumatology</w:t>
      </w:r>
      <w:r w:rsidR="005960EB">
        <w:rPr>
          <w:rFonts w:ascii="Arial" w:hAnsi="Arial" w:cs="Arial"/>
        </w:rPr>
        <w:t xml:space="preserve">, </w:t>
      </w:r>
      <w:r w:rsidRPr="003D2988">
        <w:rPr>
          <w:rFonts w:ascii="Arial" w:hAnsi="Arial" w:cs="Arial"/>
        </w:rPr>
        <w:t>31(4)</w:t>
      </w:r>
      <w:r w:rsidR="005960EB">
        <w:rPr>
          <w:rFonts w:ascii="Arial" w:hAnsi="Arial" w:cs="Arial"/>
        </w:rPr>
        <w:t xml:space="preserve">, </w:t>
      </w:r>
      <w:r w:rsidRPr="003D2988">
        <w:rPr>
          <w:rFonts w:ascii="Arial" w:hAnsi="Arial" w:cs="Arial"/>
        </w:rPr>
        <w:t xml:space="preserve">843-848. Oxford University Press (OUP). </w:t>
      </w:r>
      <w:r w:rsidR="00F116DB" w:rsidRPr="00F116DB">
        <w:rPr>
          <w:rFonts w:ascii="Arial" w:hAnsi="Arial" w:cs="Arial"/>
        </w:rPr>
        <w:t>https://doi.org/</w:t>
      </w:r>
      <w:r w:rsidRPr="003D2988">
        <w:rPr>
          <w:rFonts w:ascii="Arial" w:hAnsi="Arial" w:cs="Arial"/>
        </w:rPr>
        <w:t>10.1080/14397595.2020.1830466.</w:t>
      </w:r>
    </w:p>
    <w:p w14:paraId="3281142E" w14:textId="2F0CB60C" w:rsidR="003D2988" w:rsidRPr="003D2988" w:rsidRDefault="003D2988" w:rsidP="00D9389F">
      <w:pPr>
        <w:pStyle w:val="Body"/>
        <w:rPr>
          <w:rFonts w:ascii="Arial" w:hAnsi="Arial" w:cs="Arial"/>
        </w:rPr>
      </w:pPr>
      <w:r w:rsidRPr="003D2988">
        <w:rPr>
          <w:rFonts w:ascii="Arial" w:hAnsi="Arial" w:cs="Arial"/>
        </w:rPr>
        <w:t>15. Seo</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R</w:t>
      </w:r>
      <w:r w:rsidR="005960EB">
        <w:rPr>
          <w:rFonts w:ascii="Arial" w:hAnsi="Arial" w:cs="Arial"/>
        </w:rPr>
        <w:t>.</w:t>
      </w:r>
      <w:r w:rsidRPr="003D2988">
        <w:rPr>
          <w:rFonts w:ascii="Arial" w:hAnsi="Arial" w:cs="Arial"/>
        </w:rPr>
        <w:t>, Chae</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Kim</w:t>
      </w:r>
      <w:r w:rsidR="005960EB">
        <w:rPr>
          <w:rFonts w:ascii="Arial" w:hAnsi="Arial" w:cs="Arial"/>
        </w:rPr>
        <w:t>,</w:t>
      </w:r>
      <w:r w:rsidRPr="003D2988">
        <w:rPr>
          <w:rFonts w:ascii="Arial" w:hAnsi="Arial" w:cs="Arial"/>
        </w:rPr>
        <w:t xml:space="preserve"> Y</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Cha</w:t>
      </w:r>
      <w:r w:rsidR="005960EB">
        <w:rPr>
          <w:rFonts w:ascii="Arial" w:hAnsi="Arial" w:cs="Arial"/>
        </w:rPr>
        <w:t>,</w:t>
      </w:r>
      <w:r w:rsidRPr="003D2988">
        <w:rPr>
          <w:rFonts w:ascii="Arial" w:hAnsi="Arial" w:cs="Arial"/>
        </w:rPr>
        <w:t xml:space="preserve"> H</w:t>
      </w:r>
      <w:r w:rsidR="005960EB">
        <w:rPr>
          <w:rFonts w:ascii="Arial" w:hAnsi="Arial" w:cs="Arial"/>
        </w:rPr>
        <w:t>.</w:t>
      </w:r>
      <w:r w:rsidRPr="003D2988">
        <w:rPr>
          <w:rFonts w:ascii="Arial" w:hAnsi="Arial" w:cs="Arial"/>
        </w:rPr>
        <w:t>, Choi</w:t>
      </w:r>
      <w:r w:rsidR="005960EB">
        <w:rPr>
          <w:rFonts w:ascii="Arial" w:hAnsi="Arial" w:cs="Arial"/>
        </w:rPr>
        <w:t>,</w:t>
      </w:r>
      <w:r w:rsidRPr="003D2988">
        <w:rPr>
          <w:rFonts w:ascii="Arial" w:hAnsi="Arial" w:cs="Arial"/>
        </w:rPr>
        <w:t xml:space="preserve"> S</w:t>
      </w:r>
      <w:r w:rsidR="005960EB">
        <w:rPr>
          <w:rFonts w:ascii="Arial" w:hAnsi="Arial" w:cs="Arial"/>
        </w:rPr>
        <w:t xml:space="preserve">. </w:t>
      </w:r>
      <w:r w:rsidRPr="003D2988">
        <w:rPr>
          <w:rFonts w:ascii="Arial" w:hAnsi="Arial" w:cs="Arial"/>
        </w:rPr>
        <w:t>J</w:t>
      </w:r>
      <w:r w:rsidR="005960EB">
        <w:rPr>
          <w:rFonts w:ascii="Arial" w:hAnsi="Arial" w:cs="Arial"/>
        </w:rPr>
        <w:t>.</w:t>
      </w:r>
      <w:r w:rsidRPr="003D2988">
        <w:rPr>
          <w:rFonts w:ascii="Arial" w:hAnsi="Arial" w:cs="Arial"/>
        </w:rPr>
        <w:t>, Oh</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5960EB">
        <w:rPr>
          <w:rFonts w:ascii="Arial" w:hAnsi="Arial" w:cs="Arial"/>
        </w:rPr>
        <w:t xml:space="preserve">(2019). </w:t>
      </w:r>
      <w:r w:rsidRPr="003D2988">
        <w:rPr>
          <w:rFonts w:ascii="Arial" w:hAnsi="Arial" w:cs="Arial"/>
        </w:rPr>
        <w:t>Hydroxychloroquine treatment during pregnancy in lupus patients is associated with lower risk of preeclampsia. Lupus</w:t>
      </w:r>
      <w:r w:rsidR="005960EB">
        <w:rPr>
          <w:rFonts w:ascii="Arial" w:hAnsi="Arial" w:cs="Arial"/>
        </w:rPr>
        <w:t xml:space="preserve">, </w:t>
      </w:r>
      <w:r w:rsidRPr="003D2988">
        <w:rPr>
          <w:rFonts w:ascii="Arial" w:hAnsi="Arial" w:cs="Arial"/>
        </w:rPr>
        <w:t>28(6)</w:t>
      </w:r>
      <w:r w:rsidR="005960EB">
        <w:rPr>
          <w:rFonts w:ascii="Arial" w:hAnsi="Arial" w:cs="Arial"/>
        </w:rPr>
        <w:t xml:space="preserve">, </w:t>
      </w:r>
      <w:r w:rsidRPr="003D2988">
        <w:rPr>
          <w:rFonts w:ascii="Arial" w:hAnsi="Arial" w:cs="Arial"/>
        </w:rPr>
        <w:t xml:space="preserve">722-730. SAGE Publications. </w:t>
      </w:r>
      <w:r w:rsidR="00F116DB" w:rsidRPr="00F116DB">
        <w:rPr>
          <w:rFonts w:ascii="Arial" w:hAnsi="Arial" w:cs="Arial"/>
        </w:rPr>
        <w:t>https://doi.org/</w:t>
      </w:r>
      <w:r w:rsidRPr="003D2988">
        <w:rPr>
          <w:rFonts w:ascii="Arial" w:hAnsi="Arial" w:cs="Arial"/>
        </w:rPr>
        <w:t>10.1177/0961203319843343.</w:t>
      </w:r>
    </w:p>
    <w:p w14:paraId="3E6AEF39" w14:textId="346B903D" w:rsidR="003D2988" w:rsidRPr="003D2988" w:rsidRDefault="003D2988" w:rsidP="00D9389F">
      <w:pPr>
        <w:pStyle w:val="Body"/>
        <w:rPr>
          <w:rFonts w:ascii="Arial" w:hAnsi="Arial" w:cs="Arial"/>
        </w:rPr>
      </w:pPr>
      <w:r w:rsidRPr="003D2988">
        <w:rPr>
          <w:rFonts w:ascii="Arial" w:hAnsi="Arial" w:cs="Arial"/>
        </w:rPr>
        <w:t>16. Chen</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Xiao</w:t>
      </w:r>
      <w:r w:rsidR="005960EB">
        <w:rPr>
          <w:rFonts w:ascii="Arial" w:hAnsi="Arial" w:cs="Arial"/>
        </w:rPr>
        <w:t>,</w:t>
      </w:r>
      <w:r w:rsidRPr="003D2988">
        <w:rPr>
          <w:rFonts w:ascii="Arial" w:hAnsi="Arial" w:cs="Arial"/>
        </w:rPr>
        <w:t xml:space="preserve"> Z</w:t>
      </w:r>
      <w:r w:rsidR="005960EB">
        <w:rPr>
          <w:rFonts w:ascii="Arial" w:hAnsi="Arial" w:cs="Arial"/>
        </w:rPr>
        <w:t xml:space="preserve">. </w:t>
      </w:r>
      <w:r w:rsidRPr="003D2988">
        <w:rPr>
          <w:rFonts w:ascii="Arial" w:hAnsi="Arial" w:cs="Arial"/>
        </w:rPr>
        <w:t>Z</w:t>
      </w:r>
      <w:r w:rsidR="005960EB">
        <w:rPr>
          <w:rFonts w:ascii="Arial" w:hAnsi="Arial" w:cs="Arial"/>
        </w:rPr>
        <w:t>.</w:t>
      </w:r>
      <w:r w:rsidRPr="003D2988">
        <w:rPr>
          <w:rFonts w:ascii="Arial" w:hAnsi="Arial" w:cs="Arial"/>
        </w:rPr>
        <w:t>, Shi</w:t>
      </w:r>
      <w:r w:rsidR="005960EB">
        <w:rPr>
          <w:rFonts w:ascii="Arial" w:hAnsi="Arial" w:cs="Arial"/>
        </w:rPr>
        <w:t>,</w:t>
      </w:r>
      <w:r w:rsidRPr="003D2988">
        <w:rPr>
          <w:rFonts w:ascii="Arial" w:hAnsi="Arial" w:cs="Arial"/>
        </w:rPr>
        <w:t xml:space="preserve"> Q</w:t>
      </w:r>
      <w:r w:rsidR="005960EB">
        <w:rPr>
          <w:rFonts w:ascii="Arial" w:hAnsi="Arial" w:cs="Arial"/>
        </w:rPr>
        <w:t>.</w:t>
      </w:r>
      <w:r w:rsidRPr="003D2988">
        <w:rPr>
          <w:rFonts w:ascii="Arial" w:hAnsi="Arial" w:cs="Arial"/>
        </w:rPr>
        <w:t>, Wang</w:t>
      </w:r>
      <w:r w:rsidR="005960EB">
        <w:rPr>
          <w:rFonts w:ascii="Arial" w:hAnsi="Arial" w:cs="Arial"/>
        </w:rPr>
        <w:t>,</w:t>
      </w:r>
      <w:r w:rsidRPr="003D2988">
        <w:rPr>
          <w:rFonts w:ascii="Arial" w:hAnsi="Arial" w:cs="Arial"/>
        </w:rPr>
        <w:t xml:space="preserve"> H</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He</w:t>
      </w:r>
      <w:r w:rsidR="005960EB">
        <w:rPr>
          <w:rFonts w:ascii="Arial" w:hAnsi="Arial" w:cs="Arial"/>
        </w:rPr>
        <w:t>,</w:t>
      </w:r>
      <w:r w:rsidRPr="003D2988">
        <w:rPr>
          <w:rFonts w:ascii="Arial" w:hAnsi="Arial" w:cs="Arial"/>
        </w:rPr>
        <w:t xml:space="preserve"> F</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Zhang</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 xml:space="preserve">Y. </w:t>
      </w:r>
      <w:r w:rsidR="005960EB">
        <w:rPr>
          <w:rFonts w:ascii="Arial" w:hAnsi="Arial" w:cs="Arial"/>
        </w:rPr>
        <w:t xml:space="preserve">(2021). </w:t>
      </w:r>
      <w:r w:rsidRPr="003D2988">
        <w:rPr>
          <w:rFonts w:ascii="Arial" w:hAnsi="Arial" w:cs="Arial"/>
        </w:rPr>
        <w:t>Risk factors associated with adverse pregnancy outcomes in patients with new-onset systemic lupus erythematosus during pregnancy. Lupus</w:t>
      </w:r>
      <w:r w:rsidR="005960EB">
        <w:rPr>
          <w:rFonts w:ascii="Arial" w:hAnsi="Arial" w:cs="Arial"/>
        </w:rPr>
        <w:t xml:space="preserve">, </w:t>
      </w:r>
      <w:r w:rsidRPr="003D2988">
        <w:rPr>
          <w:rFonts w:ascii="Arial" w:hAnsi="Arial" w:cs="Arial"/>
        </w:rPr>
        <w:t>30(3</w:t>
      </w:r>
      <w:r w:rsidR="005960EB">
        <w:rPr>
          <w:rFonts w:ascii="Arial" w:hAnsi="Arial" w:cs="Arial"/>
        </w:rPr>
        <w:t xml:space="preserve">), </w:t>
      </w:r>
      <w:r w:rsidRPr="003D2988">
        <w:rPr>
          <w:rFonts w:ascii="Arial" w:hAnsi="Arial" w:cs="Arial"/>
        </w:rPr>
        <w:t xml:space="preserve">393-402. SAGE Publications. </w:t>
      </w:r>
      <w:r w:rsidR="00F116DB" w:rsidRPr="00F116DB">
        <w:rPr>
          <w:rFonts w:ascii="Arial" w:hAnsi="Arial" w:cs="Arial"/>
        </w:rPr>
        <w:t>https://doi.org/</w:t>
      </w:r>
      <w:r w:rsidRPr="003D2988">
        <w:rPr>
          <w:rFonts w:ascii="Arial" w:hAnsi="Arial" w:cs="Arial"/>
        </w:rPr>
        <w:t>10.1177/0961203320980531.</w:t>
      </w:r>
    </w:p>
    <w:p w14:paraId="63B4CCB4" w14:textId="0DC436F8" w:rsidR="003D2988" w:rsidRPr="003D2988" w:rsidRDefault="003D2988" w:rsidP="00D9389F">
      <w:pPr>
        <w:pStyle w:val="Body"/>
        <w:rPr>
          <w:rFonts w:ascii="Arial" w:hAnsi="Arial" w:cs="Arial"/>
        </w:rPr>
      </w:pPr>
      <w:r w:rsidRPr="003D2988">
        <w:rPr>
          <w:rFonts w:ascii="Arial" w:hAnsi="Arial" w:cs="Arial"/>
        </w:rPr>
        <w:t>17. Reis</w:t>
      </w:r>
      <w:r w:rsidR="005960EB">
        <w:rPr>
          <w:rFonts w:ascii="Arial" w:hAnsi="Arial" w:cs="Arial"/>
        </w:rPr>
        <w:t>,</w:t>
      </w:r>
      <w:r w:rsidRPr="003D2988">
        <w:rPr>
          <w:rFonts w:ascii="Arial" w:hAnsi="Arial" w:cs="Arial"/>
        </w:rPr>
        <w:t xml:space="preserve"> C</w:t>
      </w:r>
      <w:r w:rsidR="005960EB">
        <w:rPr>
          <w:rFonts w:ascii="Arial" w:hAnsi="Arial" w:cs="Arial"/>
        </w:rPr>
        <w:t xml:space="preserve">. </w:t>
      </w:r>
      <w:r w:rsidRPr="003D2988">
        <w:rPr>
          <w:rFonts w:ascii="Arial" w:hAnsi="Arial" w:cs="Arial"/>
        </w:rPr>
        <w:t>R</w:t>
      </w:r>
      <w:r w:rsidR="005960EB">
        <w:rPr>
          <w:rFonts w:ascii="Arial" w:hAnsi="Arial" w:cs="Arial"/>
        </w:rPr>
        <w:t xml:space="preserve">. </w:t>
      </w:r>
      <w:r w:rsidRPr="003D2988">
        <w:rPr>
          <w:rFonts w:ascii="Arial" w:hAnsi="Arial" w:cs="Arial"/>
        </w:rPr>
        <w:t>P</w:t>
      </w:r>
      <w:r w:rsidR="005960EB">
        <w:rPr>
          <w:rFonts w:ascii="Arial" w:hAnsi="Arial" w:cs="Arial"/>
        </w:rPr>
        <w:t>.</w:t>
      </w:r>
      <w:r w:rsidRPr="003D2988">
        <w:rPr>
          <w:rFonts w:ascii="Arial" w:hAnsi="Arial" w:cs="Arial"/>
        </w:rPr>
        <w:t>, Cardoso</w:t>
      </w:r>
      <w:r w:rsidR="005960EB">
        <w:rPr>
          <w:rFonts w:ascii="Arial" w:hAnsi="Arial" w:cs="Arial"/>
        </w:rPr>
        <w:t>,</w:t>
      </w:r>
      <w:r w:rsidRPr="003D2988">
        <w:rPr>
          <w:rFonts w:ascii="Arial" w:hAnsi="Arial" w:cs="Arial"/>
        </w:rPr>
        <w:t xml:space="preserve"> G</w:t>
      </w:r>
      <w:r w:rsidR="005960EB">
        <w:rPr>
          <w:rFonts w:ascii="Arial" w:hAnsi="Arial" w:cs="Arial"/>
        </w:rPr>
        <w:t>.</w:t>
      </w:r>
      <w:r w:rsidRPr="003D2988">
        <w:rPr>
          <w:rFonts w:ascii="Arial" w:hAnsi="Arial" w:cs="Arial"/>
        </w:rPr>
        <w:t>, Carvalho</w:t>
      </w:r>
      <w:r w:rsidR="005960EB">
        <w:rPr>
          <w:rFonts w:ascii="Arial" w:hAnsi="Arial" w:cs="Arial"/>
        </w:rPr>
        <w:t>,</w:t>
      </w:r>
      <w:r w:rsidRPr="003D2988">
        <w:rPr>
          <w:rFonts w:ascii="Arial" w:hAnsi="Arial" w:cs="Arial"/>
        </w:rPr>
        <w:t xml:space="preserve"> C</w:t>
      </w:r>
      <w:r w:rsidR="005960EB">
        <w:rPr>
          <w:rFonts w:ascii="Arial" w:hAnsi="Arial" w:cs="Arial"/>
        </w:rPr>
        <w:t>.</w:t>
      </w:r>
      <w:r w:rsidRPr="003D2988">
        <w:rPr>
          <w:rFonts w:ascii="Arial" w:hAnsi="Arial" w:cs="Arial"/>
        </w:rPr>
        <w:t>, Nogueira</w:t>
      </w:r>
      <w:r w:rsidR="005960EB">
        <w:rPr>
          <w:rFonts w:ascii="Arial" w:hAnsi="Arial" w:cs="Arial"/>
        </w:rPr>
        <w:t>,</w:t>
      </w:r>
      <w:r w:rsidRPr="003D2988">
        <w:rPr>
          <w:rFonts w:ascii="Arial" w:hAnsi="Arial" w:cs="Arial"/>
        </w:rPr>
        <w:t xml:space="preserve"> I</w:t>
      </w:r>
      <w:r w:rsidR="005960EB">
        <w:rPr>
          <w:rFonts w:ascii="Arial" w:hAnsi="Arial" w:cs="Arial"/>
        </w:rPr>
        <w:t>.</w:t>
      </w:r>
      <w:r w:rsidRPr="003D2988">
        <w:rPr>
          <w:rFonts w:ascii="Arial" w:hAnsi="Arial" w:cs="Arial"/>
        </w:rPr>
        <w:t>, Borges</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Serrano</w:t>
      </w:r>
      <w:r w:rsidR="005960EB">
        <w:rPr>
          <w:rFonts w:ascii="Arial" w:hAnsi="Arial" w:cs="Arial"/>
        </w:rPr>
        <w:t>,</w:t>
      </w:r>
      <w:r w:rsidRPr="003D2988">
        <w:rPr>
          <w:rFonts w:ascii="Arial" w:hAnsi="Arial" w:cs="Arial"/>
        </w:rPr>
        <w:t xml:space="preserve"> F. </w:t>
      </w:r>
      <w:r w:rsidR="005960EB">
        <w:rPr>
          <w:rFonts w:ascii="Arial" w:hAnsi="Arial" w:cs="Arial"/>
        </w:rPr>
        <w:t xml:space="preserve">(2019). </w:t>
      </w:r>
      <w:r w:rsidRPr="003D2988">
        <w:rPr>
          <w:rFonts w:ascii="Arial" w:hAnsi="Arial" w:cs="Arial"/>
        </w:rPr>
        <w:t xml:space="preserve">Prediction of Adverse Pregnancy Outcomes in Women with Systemic Lupus Erythematosus. Clinical Reviews </w:t>
      </w:r>
      <w:proofErr w:type="gramStart"/>
      <w:r w:rsidRPr="003D2988">
        <w:rPr>
          <w:rFonts w:ascii="Arial" w:hAnsi="Arial" w:cs="Arial"/>
        </w:rPr>
        <w:t>In</w:t>
      </w:r>
      <w:proofErr w:type="gramEnd"/>
      <w:r w:rsidRPr="003D2988">
        <w:rPr>
          <w:rFonts w:ascii="Arial" w:hAnsi="Arial" w:cs="Arial"/>
        </w:rPr>
        <w:t xml:space="preserve"> Allergy &amp; Immunology</w:t>
      </w:r>
      <w:r w:rsidR="005960EB">
        <w:rPr>
          <w:rFonts w:ascii="Arial" w:hAnsi="Arial" w:cs="Arial"/>
        </w:rPr>
        <w:t xml:space="preserve">, </w:t>
      </w:r>
      <w:r w:rsidRPr="003D2988">
        <w:rPr>
          <w:rFonts w:ascii="Arial" w:hAnsi="Arial" w:cs="Arial"/>
        </w:rPr>
        <w:t>59(3)</w:t>
      </w:r>
      <w:r w:rsidR="005960EB">
        <w:rPr>
          <w:rFonts w:ascii="Arial" w:hAnsi="Arial" w:cs="Arial"/>
        </w:rPr>
        <w:t xml:space="preserve">, </w:t>
      </w:r>
      <w:r w:rsidRPr="003D2988">
        <w:rPr>
          <w:rFonts w:ascii="Arial" w:hAnsi="Arial" w:cs="Arial"/>
        </w:rPr>
        <w:t xml:space="preserve">287-294. Springer Science and Business Media LLC. </w:t>
      </w:r>
      <w:r w:rsidR="00F116DB" w:rsidRPr="00F116DB">
        <w:rPr>
          <w:rFonts w:ascii="Arial" w:hAnsi="Arial" w:cs="Arial"/>
        </w:rPr>
        <w:t>https://doi.org/</w:t>
      </w:r>
      <w:r w:rsidRPr="003D2988">
        <w:rPr>
          <w:rFonts w:ascii="Arial" w:hAnsi="Arial" w:cs="Arial"/>
        </w:rPr>
        <w:t>10.1007/s12016-019-08762-9.</w:t>
      </w:r>
    </w:p>
    <w:p w14:paraId="5B132939" w14:textId="379CB2A9" w:rsidR="003D2988" w:rsidRPr="003D2988" w:rsidRDefault="003D2988" w:rsidP="00D9389F">
      <w:pPr>
        <w:pStyle w:val="Body"/>
        <w:rPr>
          <w:rFonts w:ascii="Arial" w:hAnsi="Arial" w:cs="Arial"/>
        </w:rPr>
      </w:pPr>
      <w:r w:rsidRPr="003D2988">
        <w:rPr>
          <w:rFonts w:ascii="Arial" w:hAnsi="Arial" w:cs="Arial"/>
        </w:rPr>
        <w:t>18. Bremme</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Honkanen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Gunnarsson</w:t>
      </w:r>
      <w:r w:rsidR="005960EB">
        <w:rPr>
          <w:rFonts w:ascii="Arial" w:hAnsi="Arial" w:cs="Arial"/>
        </w:rPr>
        <w:t>,</w:t>
      </w:r>
      <w:r w:rsidRPr="003D2988">
        <w:rPr>
          <w:rFonts w:ascii="Arial" w:hAnsi="Arial" w:cs="Arial"/>
        </w:rPr>
        <w:t xml:space="preserve"> I</w:t>
      </w:r>
      <w:r w:rsidR="005960EB">
        <w:rPr>
          <w:rFonts w:ascii="Arial" w:hAnsi="Arial" w:cs="Arial"/>
        </w:rPr>
        <w:t>.</w:t>
      </w:r>
      <w:r w:rsidRPr="003D2988">
        <w:rPr>
          <w:rFonts w:ascii="Arial" w:hAnsi="Arial" w:cs="Arial"/>
        </w:rPr>
        <w:t xml:space="preserve">, </w:t>
      </w:r>
      <w:r w:rsidR="005960EB">
        <w:rPr>
          <w:rFonts w:ascii="Arial" w:hAnsi="Arial" w:cs="Arial"/>
        </w:rPr>
        <w:t xml:space="preserve">&amp; </w:t>
      </w:r>
      <w:proofErr w:type="spellStart"/>
      <w:r w:rsidRPr="003D2988">
        <w:rPr>
          <w:rFonts w:ascii="Arial" w:hAnsi="Arial" w:cs="Arial"/>
        </w:rPr>
        <w:t>Chaireti</w:t>
      </w:r>
      <w:proofErr w:type="spellEnd"/>
      <w:r w:rsidR="005960EB">
        <w:rPr>
          <w:rFonts w:ascii="Arial" w:hAnsi="Arial" w:cs="Arial"/>
        </w:rPr>
        <w:t>,</w:t>
      </w:r>
      <w:r w:rsidRPr="003D2988">
        <w:rPr>
          <w:rFonts w:ascii="Arial" w:hAnsi="Arial" w:cs="Arial"/>
        </w:rPr>
        <w:t xml:space="preserve"> R. </w:t>
      </w:r>
      <w:r w:rsidR="005960EB">
        <w:rPr>
          <w:rFonts w:ascii="Arial" w:hAnsi="Arial" w:cs="Arial"/>
        </w:rPr>
        <w:t xml:space="preserve">(2021). </w:t>
      </w:r>
      <w:r w:rsidRPr="003D2988">
        <w:rPr>
          <w:rFonts w:ascii="Arial" w:hAnsi="Arial" w:cs="Arial"/>
        </w:rPr>
        <w:t>The presence of lupus nephritis additionally increases the risk of preeclampsia among pregnant women with systemic lupus erythematosus. Lupus</w:t>
      </w:r>
      <w:r w:rsidR="005960EB">
        <w:rPr>
          <w:rFonts w:ascii="Arial" w:hAnsi="Arial" w:cs="Arial"/>
        </w:rPr>
        <w:t>,</w:t>
      </w:r>
      <w:r w:rsidRPr="003D2988">
        <w:rPr>
          <w:rFonts w:ascii="Arial" w:hAnsi="Arial" w:cs="Arial"/>
        </w:rPr>
        <w:t xml:space="preserve"> 30(7)</w:t>
      </w:r>
      <w:r w:rsidR="005960EB">
        <w:rPr>
          <w:rFonts w:ascii="Arial" w:hAnsi="Arial" w:cs="Arial"/>
        </w:rPr>
        <w:t xml:space="preserve">, </w:t>
      </w:r>
      <w:r w:rsidRPr="003D2988">
        <w:rPr>
          <w:rFonts w:ascii="Arial" w:hAnsi="Arial" w:cs="Arial"/>
        </w:rPr>
        <w:t xml:space="preserve">1031-1038. SAGE Publications. </w:t>
      </w:r>
      <w:r w:rsidR="00F116DB" w:rsidRPr="00F116DB">
        <w:rPr>
          <w:rFonts w:ascii="Arial" w:hAnsi="Arial" w:cs="Arial"/>
        </w:rPr>
        <w:t>https://doi.org/</w:t>
      </w:r>
      <w:r w:rsidRPr="003D2988">
        <w:rPr>
          <w:rFonts w:ascii="Arial" w:hAnsi="Arial" w:cs="Arial"/>
        </w:rPr>
        <w:t>10.1177/09612033211004716.</w:t>
      </w:r>
    </w:p>
    <w:p w14:paraId="5ECFBD5B" w14:textId="23BD8457" w:rsidR="003D2988" w:rsidRPr="003D2988" w:rsidRDefault="003D2988" w:rsidP="00D9389F">
      <w:pPr>
        <w:pStyle w:val="Body"/>
        <w:rPr>
          <w:rFonts w:ascii="Arial" w:hAnsi="Arial" w:cs="Arial"/>
        </w:rPr>
      </w:pPr>
      <w:r w:rsidRPr="003D2988">
        <w:rPr>
          <w:rFonts w:ascii="Arial" w:hAnsi="Arial" w:cs="Arial"/>
        </w:rPr>
        <w:t>19. Jiang</w:t>
      </w:r>
      <w:r w:rsidR="005960EB">
        <w:rPr>
          <w:rFonts w:ascii="Arial" w:hAnsi="Arial" w:cs="Arial"/>
        </w:rPr>
        <w:t>,</w:t>
      </w:r>
      <w:r w:rsidRPr="003D2988">
        <w:rPr>
          <w:rFonts w:ascii="Arial" w:hAnsi="Arial" w:cs="Arial"/>
        </w:rPr>
        <w:t xml:space="preserve"> M</w:t>
      </w:r>
      <w:r w:rsidR="005960EB">
        <w:rPr>
          <w:rFonts w:ascii="Arial" w:hAnsi="Arial" w:cs="Arial"/>
        </w:rPr>
        <w:t>.</w:t>
      </w:r>
      <w:r w:rsidRPr="003D2988">
        <w:rPr>
          <w:rFonts w:ascii="Arial" w:hAnsi="Arial" w:cs="Arial"/>
        </w:rPr>
        <w:t>, Wang</w:t>
      </w:r>
      <w:r w:rsidR="005960EB">
        <w:rPr>
          <w:rFonts w:ascii="Arial" w:hAnsi="Arial" w:cs="Arial"/>
        </w:rPr>
        <w:t>,</w:t>
      </w:r>
      <w:r w:rsidRPr="003D2988">
        <w:rPr>
          <w:rFonts w:ascii="Arial" w:hAnsi="Arial" w:cs="Arial"/>
        </w:rPr>
        <w:t xml:space="preserve"> Y</w:t>
      </w:r>
      <w:r w:rsidR="005960EB">
        <w:rPr>
          <w:rFonts w:ascii="Arial" w:hAnsi="Arial" w:cs="Arial"/>
        </w:rPr>
        <w:t>.</w:t>
      </w:r>
      <w:r w:rsidRPr="003D2988">
        <w:rPr>
          <w:rFonts w:ascii="Arial" w:hAnsi="Arial" w:cs="Arial"/>
        </w:rPr>
        <w:t>, Fu</w:t>
      </w:r>
      <w:r w:rsidR="005960EB">
        <w:rPr>
          <w:rFonts w:ascii="Arial" w:hAnsi="Arial" w:cs="Arial"/>
        </w:rPr>
        <w:t>,</w:t>
      </w:r>
      <w:r w:rsidRPr="003D2988">
        <w:rPr>
          <w:rFonts w:ascii="Arial" w:hAnsi="Arial" w:cs="Arial"/>
        </w:rPr>
        <w:t xml:space="preserve"> Q</w:t>
      </w:r>
      <w:r w:rsidR="005960EB">
        <w:rPr>
          <w:rFonts w:ascii="Arial" w:hAnsi="Arial" w:cs="Arial"/>
        </w:rPr>
        <w:t>.</w:t>
      </w:r>
      <w:r w:rsidRPr="003D2988">
        <w:rPr>
          <w:rFonts w:ascii="Arial" w:hAnsi="Arial" w:cs="Arial"/>
        </w:rPr>
        <w:t>, Lin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Wu</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Di</w:t>
      </w:r>
      <w:r w:rsidR="005960EB">
        <w:rPr>
          <w:rFonts w:ascii="Arial" w:hAnsi="Arial" w:cs="Arial"/>
        </w:rPr>
        <w:t>,</w:t>
      </w:r>
      <w:r w:rsidRPr="003D2988">
        <w:rPr>
          <w:rFonts w:ascii="Arial" w:hAnsi="Arial" w:cs="Arial"/>
        </w:rPr>
        <w:t xml:space="preserve"> W. </w:t>
      </w:r>
      <w:r w:rsidR="005960EB">
        <w:rPr>
          <w:rFonts w:ascii="Arial" w:hAnsi="Arial" w:cs="Arial"/>
        </w:rPr>
        <w:t xml:space="preserve">(2020). </w:t>
      </w:r>
      <w:r w:rsidRPr="003D2988">
        <w:rPr>
          <w:rFonts w:ascii="Arial" w:hAnsi="Arial" w:cs="Arial"/>
        </w:rPr>
        <w:t xml:space="preserve">Preeclampsia Risk Prediction Model for Chinese Pregnant Patients </w:t>
      </w:r>
      <w:proofErr w:type="gramStart"/>
      <w:r w:rsidRPr="003D2988">
        <w:rPr>
          <w:rFonts w:ascii="Arial" w:hAnsi="Arial" w:cs="Arial"/>
        </w:rPr>
        <w:t>With</w:t>
      </w:r>
      <w:proofErr w:type="gramEnd"/>
      <w:r w:rsidRPr="003D2988">
        <w:rPr>
          <w:rFonts w:ascii="Arial" w:hAnsi="Arial" w:cs="Arial"/>
        </w:rPr>
        <w:t xml:space="preserve"> Systemic Lupus Erythematosus. Arthritis Care &amp; Research</w:t>
      </w:r>
      <w:r w:rsidR="005960EB">
        <w:rPr>
          <w:rFonts w:ascii="Arial" w:hAnsi="Arial" w:cs="Arial"/>
        </w:rPr>
        <w:t xml:space="preserve">, </w:t>
      </w:r>
      <w:r w:rsidRPr="003D2988">
        <w:rPr>
          <w:rFonts w:ascii="Arial" w:hAnsi="Arial" w:cs="Arial"/>
        </w:rPr>
        <w:t>72(11)</w:t>
      </w:r>
      <w:r w:rsidR="005960EB">
        <w:rPr>
          <w:rFonts w:ascii="Arial" w:hAnsi="Arial" w:cs="Arial"/>
        </w:rPr>
        <w:t xml:space="preserve">, </w:t>
      </w:r>
      <w:r w:rsidRPr="003D2988">
        <w:rPr>
          <w:rFonts w:ascii="Arial" w:hAnsi="Arial" w:cs="Arial"/>
        </w:rPr>
        <w:t xml:space="preserve">1602-1610. Wiley. </w:t>
      </w:r>
      <w:r w:rsidR="00F116DB" w:rsidRPr="00F116DB">
        <w:rPr>
          <w:rFonts w:ascii="Arial" w:hAnsi="Arial" w:cs="Arial"/>
        </w:rPr>
        <w:t>https://doi.org/</w:t>
      </w:r>
      <w:r w:rsidRPr="003D2988">
        <w:rPr>
          <w:rFonts w:ascii="Arial" w:hAnsi="Arial" w:cs="Arial"/>
        </w:rPr>
        <w:t>10.1002/acr.24265.</w:t>
      </w:r>
    </w:p>
    <w:p w14:paraId="362DEAF8" w14:textId="38D9B068" w:rsidR="003D2988" w:rsidRPr="003D2988" w:rsidRDefault="003D2988" w:rsidP="00D9389F">
      <w:pPr>
        <w:pStyle w:val="Body"/>
        <w:rPr>
          <w:rFonts w:ascii="Arial" w:hAnsi="Arial" w:cs="Arial"/>
        </w:rPr>
      </w:pPr>
      <w:r w:rsidRPr="003D2988">
        <w:rPr>
          <w:rFonts w:ascii="Arial" w:hAnsi="Arial" w:cs="Arial"/>
        </w:rPr>
        <w:t xml:space="preserve">20. </w:t>
      </w:r>
      <w:proofErr w:type="spellStart"/>
      <w:r w:rsidRPr="003D2988">
        <w:rPr>
          <w:rFonts w:ascii="Arial" w:hAnsi="Arial" w:cs="Arial"/>
        </w:rPr>
        <w:t>Mecacci</w:t>
      </w:r>
      <w:proofErr w:type="spellEnd"/>
      <w:r w:rsidR="00A33DD4">
        <w:rPr>
          <w:rFonts w:ascii="Arial" w:hAnsi="Arial" w:cs="Arial"/>
        </w:rPr>
        <w:t>,</w:t>
      </w:r>
      <w:r w:rsidRPr="003D2988">
        <w:rPr>
          <w:rFonts w:ascii="Arial" w:hAnsi="Arial" w:cs="Arial"/>
        </w:rPr>
        <w:t xml:space="preserve"> F</w:t>
      </w:r>
      <w:r w:rsidR="00A33DD4">
        <w:rPr>
          <w:rFonts w:ascii="Arial" w:hAnsi="Arial" w:cs="Arial"/>
        </w:rPr>
        <w:t>.</w:t>
      </w:r>
      <w:r w:rsidRPr="003D2988">
        <w:rPr>
          <w:rFonts w:ascii="Arial" w:hAnsi="Arial" w:cs="Arial"/>
        </w:rPr>
        <w:t>, Simeone</w:t>
      </w:r>
      <w:r w:rsidR="00A33DD4">
        <w:rPr>
          <w:rFonts w:ascii="Arial" w:hAnsi="Arial" w:cs="Arial"/>
        </w:rPr>
        <w:t>,</w:t>
      </w:r>
      <w:r w:rsidRPr="003D2988">
        <w:rPr>
          <w:rFonts w:ascii="Arial" w:hAnsi="Arial" w:cs="Arial"/>
        </w:rPr>
        <w:t xml:space="preserve"> S</w:t>
      </w:r>
      <w:r w:rsidR="00A33DD4">
        <w:rPr>
          <w:rFonts w:ascii="Arial" w:hAnsi="Arial" w:cs="Arial"/>
        </w:rPr>
        <w:t>.</w:t>
      </w:r>
      <w:r w:rsidRPr="003D2988">
        <w:rPr>
          <w:rFonts w:ascii="Arial" w:hAnsi="Arial" w:cs="Arial"/>
        </w:rPr>
        <w:t xml:space="preserve">, </w:t>
      </w:r>
      <w:proofErr w:type="spellStart"/>
      <w:r w:rsidRPr="003D2988">
        <w:rPr>
          <w:rFonts w:ascii="Arial" w:hAnsi="Arial" w:cs="Arial"/>
        </w:rPr>
        <w:t>Cirami</w:t>
      </w:r>
      <w:proofErr w:type="spellEnd"/>
      <w:r w:rsidR="00A33DD4">
        <w:rPr>
          <w:rFonts w:ascii="Arial" w:hAnsi="Arial" w:cs="Arial"/>
        </w:rPr>
        <w:t>,</w:t>
      </w:r>
      <w:r w:rsidRPr="003D2988">
        <w:rPr>
          <w:rFonts w:ascii="Arial" w:hAnsi="Arial" w:cs="Arial"/>
        </w:rPr>
        <w:t xml:space="preserve"> C</w:t>
      </w:r>
      <w:r w:rsidR="00A33DD4">
        <w:rPr>
          <w:rFonts w:ascii="Arial" w:hAnsi="Arial" w:cs="Arial"/>
        </w:rPr>
        <w:t xml:space="preserve">. </w:t>
      </w:r>
      <w:r w:rsidRPr="003D2988">
        <w:rPr>
          <w:rFonts w:ascii="Arial" w:hAnsi="Arial" w:cs="Arial"/>
        </w:rPr>
        <w:t>L</w:t>
      </w:r>
      <w:r w:rsidR="00A33DD4">
        <w:rPr>
          <w:rFonts w:ascii="Arial" w:hAnsi="Arial" w:cs="Arial"/>
        </w:rPr>
        <w:t>.</w:t>
      </w:r>
      <w:r w:rsidRPr="003D2988">
        <w:rPr>
          <w:rFonts w:ascii="Arial" w:hAnsi="Arial" w:cs="Arial"/>
        </w:rPr>
        <w:t>, Cozzolino</w:t>
      </w:r>
      <w:r w:rsidR="00A33DD4">
        <w:rPr>
          <w:rFonts w:ascii="Arial" w:hAnsi="Arial" w:cs="Arial"/>
        </w:rPr>
        <w:t>,</w:t>
      </w:r>
      <w:r w:rsidRPr="003D2988">
        <w:rPr>
          <w:rFonts w:ascii="Arial" w:hAnsi="Arial" w:cs="Arial"/>
        </w:rPr>
        <w:t xml:space="preserve"> M</w:t>
      </w:r>
      <w:r w:rsidR="00A33DD4">
        <w:rPr>
          <w:rFonts w:ascii="Arial" w:hAnsi="Arial" w:cs="Arial"/>
        </w:rPr>
        <w:t>.</w:t>
      </w:r>
      <w:r w:rsidRPr="003D2988">
        <w:rPr>
          <w:rFonts w:ascii="Arial" w:hAnsi="Arial" w:cs="Arial"/>
        </w:rPr>
        <w:t>, Serena</w:t>
      </w:r>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xml:space="preserve">, </w:t>
      </w:r>
      <w:proofErr w:type="spellStart"/>
      <w:r w:rsidRPr="003D2988">
        <w:rPr>
          <w:rFonts w:ascii="Arial" w:hAnsi="Arial" w:cs="Arial"/>
        </w:rPr>
        <w:t>Rambaldi</w:t>
      </w:r>
      <w:proofErr w:type="spellEnd"/>
      <w:r w:rsidR="00A33DD4">
        <w:rPr>
          <w:rFonts w:ascii="Arial" w:hAnsi="Arial" w:cs="Arial"/>
        </w:rPr>
        <w:t>,</w:t>
      </w:r>
      <w:r w:rsidRPr="003D2988">
        <w:rPr>
          <w:rFonts w:ascii="Arial" w:hAnsi="Arial" w:cs="Arial"/>
        </w:rPr>
        <w:t xml:space="preserve"> M</w:t>
      </w:r>
      <w:r w:rsidR="00A33DD4">
        <w:rPr>
          <w:rFonts w:ascii="Arial" w:hAnsi="Arial" w:cs="Arial"/>
        </w:rPr>
        <w:t xml:space="preserve">. </w:t>
      </w:r>
      <w:r w:rsidRPr="003D2988">
        <w:rPr>
          <w:rFonts w:ascii="Arial" w:hAnsi="Arial" w:cs="Arial"/>
        </w:rPr>
        <w:t>P</w:t>
      </w:r>
      <w:r w:rsidR="00A33DD4">
        <w:rPr>
          <w:rFonts w:ascii="Arial" w:hAnsi="Arial" w:cs="Arial"/>
        </w:rPr>
        <w:t>.</w:t>
      </w:r>
      <w:r w:rsidRPr="003D2988">
        <w:rPr>
          <w:rFonts w:ascii="Arial" w:hAnsi="Arial" w:cs="Arial"/>
        </w:rPr>
        <w:t xml:space="preserve">, </w:t>
      </w:r>
      <w:r w:rsidR="00377F9A" w:rsidRPr="00377F9A">
        <w:rPr>
          <w:rFonts w:ascii="Arial" w:hAnsi="Arial" w:cs="Arial"/>
          <w:i/>
          <w:iCs/>
        </w:rPr>
        <w:t>et al.</w:t>
      </w:r>
      <w:r w:rsidR="00A33DD4">
        <w:rPr>
          <w:rFonts w:ascii="Arial" w:hAnsi="Arial" w:cs="Arial"/>
        </w:rPr>
        <w:t xml:space="preserve"> (2017). </w:t>
      </w:r>
      <w:r w:rsidRPr="003D2988">
        <w:rPr>
          <w:rFonts w:ascii="Arial" w:hAnsi="Arial" w:cs="Arial"/>
        </w:rPr>
        <w:t xml:space="preserve">Preeclampsia in pregnancies complicated by systemic lupus erythematosus (SLE) nephritis: prophylactic treatment with multidisciplinary approach are important keys to prevent adverse obstetric outcomes. The Journal </w:t>
      </w:r>
      <w:proofErr w:type="gramStart"/>
      <w:r w:rsidRPr="003D2988">
        <w:rPr>
          <w:rFonts w:ascii="Arial" w:hAnsi="Arial" w:cs="Arial"/>
        </w:rPr>
        <w:t>Of</w:t>
      </w:r>
      <w:proofErr w:type="gramEnd"/>
      <w:r w:rsidRPr="003D2988">
        <w:rPr>
          <w:rFonts w:ascii="Arial" w:hAnsi="Arial" w:cs="Arial"/>
        </w:rPr>
        <w:t xml:space="preserve"> Maternal-Fetal &amp; Neonatal Medicine</w:t>
      </w:r>
      <w:r w:rsidR="00A33DD4">
        <w:rPr>
          <w:rFonts w:ascii="Arial" w:hAnsi="Arial" w:cs="Arial"/>
        </w:rPr>
        <w:t xml:space="preserve">, </w:t>
      </w:r>
      <w:r w:rsidRPr="003D2988">
        <w:rPr>
          <w:rFonts w:ascii="Arial" w:hAnsi="Arial" w:cs="Arial"/>
        </w:rPr>
        <w:t>32(8)</w:t>
      </w:r>
      <w:r w:rsidR="00A33DD4">
        <w:rPr>
          <w:rFonts w:ascii="Arial" w:hAnsi="Arial" w:cs="Arial"/>
        </w:rPr>
        <w:t xml:space="preserve">, </w:t>
      </w:r>
      <w:r w:rsidRPr="003D2988">
        <w:rPr>
          <w:rFonts w:ascii="Arial" w:hAnsi="Arial" w:cs="Arial"/>
        </w:rPr>
        <w:t xml:space="preserve">1292-1298. Informa UK Limited. </w:t>
      </w:r>
      <w:r w:rsidR="00F116DB" w:rsidRPr="00F116DB">
        <w:rPr>
          <w:rFonts w:ascii="Arial" w:hAnsi="Arial" w:cs="Arial"/>
        </w:rPr>
        <w:t>https://doi.org/</w:t>
      </w:r>
      <w:r w:rsidRPr="003D2988">
        <w:rPr>
          <w:rFonts w:ascii="Arial" w:hAnsi="Arial" w:cs="Arial"/>
        </w:rPr>
        <w:t>10.1080/14767058.2017.1404570.</w:t>
      </w:r>
    </w:p>
    <w:p w14:paraId="6AA8A104" w14:textId="57A2DEDD" w:rsidR="003D2988" w:rsidRPr="003D2988" w:rsidRDefault="003D2988" w:rsidP="00D9389F">
      <w:pPr>
        <w:pStyle w:val="Body"/>
        <w:rPr>
          <w:rFonts w:ascii="Arial" w:hAnsi="Arial" w:cs="Arial"/>
        </w:rPr>
      </w:pPr>
      <w:r w:rsidRPr="003D2988">
        <w:rPr>
          <w:rFonts w:ascii="Arial" w:hAnsi="Arial" w:cs="Arial"/>
        </w:rPr>
        <w:lastRenderedPageBreak/>
        <w:t>21. Lazzaroni</w:t>
      </w:r>
      <w:r w:rsidR="00A33DD4">
        <w:rPr>
          <w:rFonts w:ascii="Arial" w:hAnsi="Arial" w:cs="Arial"/>
        </w:rPr>
        <w:t>,</w:t>
      </w:r>
      <w:r w:rsidRPr="003D2988">
        <w:rPr>
          <w:rFonts w:ascii="Arial" w:hAnsi="Arial" w:cs="Arial"/>
        </w:rPr>
        <w:t xml:space="preserve"> M</w:t>
      </w:r>
      <w:r w:rsidR="00A33DD4">
        <w:rPr>
          <w:rFonts w:ascii="Arial" w:hAnsi="Arial" w:cs="Arial"/>
        </w:rPr>
        <w:t xml:space="preserve">. </w:t>
      </w:r>
      <w:r w:rsidRPr="003D2988">
        <w:rPr>
          <w:rFonts w:ascii="Arial" w:hAnsi="Arial" w:cs="Arial"/>
        </w:rPr>
        <w:t>G</w:t>
      </w:r>
      <w:r w:rsidR="00A33DD4">
        <w:rPr>
          <w:rFonts w:ascii="Arial" w:hAnsi="Arial" w:cs="Arial"/>
        </w:rPr>
        <w:t>.</w:t>
      </w:r>
      <w:r w:rsidRPr="003D2988">
        <w:rPr>
          <w:rFonts w:ascii="Arial" w:hAnsi="Arial" w:cs="Arial"/>
        </w:rPr>
        <w:t xml:space="preserve">, </w:t>
      </w:r>
      <w:proofErr w:type="spellStart"/>
      <w:r w:rsidRPr="003D2988">
        <w:rPr>
          <w:rFonts w:ascii="Arial" w:hAnsi="Arial" w:cs="Arial"/>
        </w:rPr>
        <w:t>Dall’ara</w:t>
      </w:r>
      <w:proofErr w:type="spellEnd"/>
      <w:r w:rsidR="00A33DD4">
        <w:rPr>
          <w:rFonts w:ascii="Arial" w:hAnsi="Arial" w:cs="Arial"/>
        </w:rPr>
        <w:t>,</w:t>
      </w:r>
      <w:r w:rsidRPr="003D2988">
        <w:rPr>
          <w:rFonts w:ascii="Arial" w:hAnsi="Arial" w:cs="Arial"/>
        </w:rPr>
        <w:t xml:space="preserve"> F</w:t>
      </w:r>
      <w:r w:rsidR="00A33DD4">
        <w:rPr>
          <w:rFonts w:ascii="Arial" w:hAnsi="Arial" w:cs="Arial"/>
        </w:rPr>
        <w:t>.</w:t>
      </w:r>
      <w:r w:rsidRPr="003D2988">
        <w:rPr>
          <w:rFonts w:ascii="Arial" w:hAnsi="Arial" w:cs="Arial"/>
        </w:rPr>
        <w:t>, Fredi</w:t>
      </w:r>
      <w:r w:rsidR="00A33DD4">
        <w:rPr>
          <w:rFonts w:ascii="Arial" w:hAnsi="Arial" w:cs="Arial"/>
        </w:rPr>
        <w:t>,</w:t>
      </w:r>
      <w:r w:rsidRPr="003D2988">
        <w:rPr>
          <w:rFonts w:ascii="Arial" w:hAnsi="Arial" w:cs="Arial"/>
        </w:rPr>
        <w:t xml:space="preserve"> M</w:t>
      </w:r>
      <w:r w:rsidR="00A33DD4">
        <w:rPr>
          <w:rFonts w:ascii="Arial" w:hAnsi="Arial" w:cs="Arial"/>
        </w:rPr>
        <w:t>.</w:t>
      </w:r>
      <w:r w:rsidRPr="003D2988">
        <w:rPr>
          <w:rFonts w:ascii="Arial" w:hAnsi="Arial" w:cs="Arial"/>
        </w:rPr>
        <w:t>, Nalli</w:t>
      </w:r>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Reggia</w:t>
      </w:r>
      <w:r w:rsidR="00A33DD4">
        <w:rPr>
          <w:rFonts w:ascii="Arial" w:hAnsi="Arial" w:cs="Arial"/>
        </w:rPr>
        <w:t>,</w:t>
      </w:r>
      <w:r w:rsidRPr="003D2988">
        <w:rPr>
          <w:rFonts w:ascii="Arial" w:hAnsi="Arial" w:cs="Arial"/>
        </w:rPr>
        <w:t xml:space="preserve"> R</w:t>
      </w:r>
      <w:r w:rsidR="00A33DD4">
        <w:rPr>
          <w:rFonts w:ascii="Arial" w:hAnsi="Arial" w:cs="Arial"/>
        </w:rPr>
        <w:t>.</w:t>
      </w:r>
      <w:r w:rsidRPr="003D2988">
        <w:rPr>
          <w:rFonts w:ascii="Arial" w:hAnsi="Arial" w:cs="Arial"/>
        </w:rPr>
        <w:t>, Lojacono</w:t>
      </w:r>
      <w:r w:rsidR="00A33DD4">
        <w:rPr>
          <w:rFonts w:ascii="Arial" w:hAnsi="Arial" w:cs="Arial"/>
        </w:rPr>
        <w:t>,</w:t>
      </w:r>
      <w:r w:rsidRPr="003D2988">
        <w:rPr>
          <w:rFonts w:ascii="Arial" w:hAnsi="Arial" w:cs="Arial"/>
        </w:rPr>
        <w:t xml:space="preserve"> A</w:t>
      </w:r>
      <w:r w:rsidR="00A33DD4">
        <w:rPr>
          <w:rFonts w:ascii="Arial" w:hAnsi="Arial" w:cs="Arial"/>
        </w:rPr>
        <w:t>.</w:t>
      </w:r>
      <w:r w:rsidRPr="003D2988">
        <w:rPr>
          <w:rFonts w:ascii="Arial" w:hAnsi="Arial" w:cs="Arial"/>
        </w:rPr>
        <w:t xml:space="preserve">, </w:t>
      </w:r>
      <w:r w:rsidR="00377F9A" w:rsidRPr="00377F9A">
        <w:rPr>
          <w:rFonts w:ascii="Arial" w:hAnsi="Arial" w:cs="Arial"/>
          <w:i/>
          <w:iCs/>
        </w:rPr>
        <w:t>et al.</w:t>
      </w:r>
      <w:r w:rsidR="00A33DD4">
        <w:rPr>
          <w:rFonts w:ascii="Arial" w:hAnsi="Arial" w:cs="Arial"/>
        </w:rPr>
        <w:t xml:space="preserve"> (2016). </w:t>
      </w:r>
      <w:r w:rsidRPr="003D2988">
        <w:rPr>
          <w:rFonts w:ascii="Arial" w:hAnsi="Arial" w:cs="Arial"/>
        </w:rPr>
        <w:t>A comprehensive review of the clinical approach to pregnancy and systemic lupus erythematosus. Journal Of Autoimmunity</w:t>
      </w:r>
      <w:r w:rsidR="00A33DD4">
        <w:rPr>
          <w:rFonts w:ascii="Arial" w:hAnsi="Arial" w:cs="Arial"/>
        </w:rPr>
        <w:t xml:space="preserve">, </w:t>
      </w:r>
      <w:r w:rsidRPr="003D2988">
        <w:rPr>
          <w:rFonts w:ascii="Arial" w:hAnsi="Arial" w:cs="Arial"/>
        </w:rPr>
        <w:t>74</w:t>
      </w:r>
      <w:r w:rsidR="00A33DD4">
        <w:rPr>
          <w:rFonts w:ascii="Arial" w:hAnsi="Arial" w:cs="Arial"/>
        </w:rPr>
        <w:t xml:space="preserve">, </w:t>
      </w:r>
      <w:r w:rsidRPr="003D2988">
        <w:rPr>
          <w:rFonts w:ascii="Arial" w:hAnsi="Arial" w:cs="Arial"/>
        </w:rPr>
        <w:t xml:space="preserve">106-117. Elsevier BV. </w:t>
      </w:r>
      <w:r w:rsidR="00F116DB" w:rsidRPr="00F116DB">
        <w:rPr>
          <w:rFonts w:ascii="Arial" w:hAnsi="Arial" w:cs="Arial"/>
        </w:rPr>
        <w:t>https://doi.org/</w:t>
      </w:r>
      <w:r w:rsidRPr="003D2988">
        <w:rPr>
          <w:rFonts w:ascii="Arial" w:hAnsi="Arial" w:cs="Arial"/>
        </w:rPr>
        <w:t>10.1016/j.jaut.2016.06.016.</w:t>
      </w:r>
    </w:p>
    <w:p w14:paraId="4EEAC9E5" w14:textId="6C576ECB" w:rsidR="003D2988" w:rsidRPr="003D2988" w:rsidRDefault="003D2988" w:rsidP="00D9389F">
      <w:pPr>
        <w:pStyle w:val="Body"/>
        <w:rPr>
          <w:rFonts w:ascii="Arial" w:hAnsi="Arial" w:cs="Arial"/>
        </w:rPr>
      </w:pPr>
      <w:r w:rsidRPr="003D2988">
        <w:rPr>
          <w:rFonts w:ascii="Arial" w:hAnsi="Arial" w:cs="Arial"/>
        </w:rPr>
        <w:t>22. Arkema</w:t>
      </w:r>
      <w:r w:rsidR="00A33DD4">
        <w:rPr>
          <w:rFonts w:ascii="Arial" w:hAnsi="Arial" w:cs="Arial"/>
        </w:rPr>
        <w:t>,</w:t>
      </w:r>
      <w:r w:rsidRPr="003D2988">
        <w:rPr>
          <w:rFonts w:ascii="Arial" w:hAnsi="Arial" w:cs="Arial"/>
        </w:rPr>
        <w:t xml:space="preserve"> E</w:t>
      </w:r>
      <w:r w:rsidR="00A33DD4">
        <w:rPr>
          <w:rFonts w:ascii="Arial" w:hAnsi="Arial" w:cs="Arial"/>
        </w:rPr>
        <w:t xml:space="preserve">. </w:t>
      </w:r>
      <w:r w:rsidRPr="003D2988">
        <w:rPr>
          <w:rFonts w:ascii="Arial" w:hAnsi="Arial" w:cs="Arial"/>
        </w:rPr>
        <w:t>V</w:t>
      </w:r>
      <w:r w:rsidR="00A33DD4">
        <w:rPr>
          <w:rFonts w:ascii="Arial" w:hAnsi="Arial" w:cs="Arial"/>
        </w:rPr>
        <w:t>.</w:t>
      </w:r>
      <w:r w:rsidRPr="003D2988">
        <w:rPr>
          <w:rFonts w:ascii="Arial" w:hAnsi="Arial" w:cs="Arial"/>
        </w:rPr>
        <w:t xml:space="preserve">, </w:t>
      </w:r>
      <w:proofErr w:type="spellStart"/>
      <w:r w:rsidRPr="003D2988">
        <w:rPr>
          <w:rFonts w:ascii="Arial" w:hAnsi="Arial" w:cs="Arial"/>
        </w:rPr>
        <w:t>Palmsten</w:t>
      </w:r>
      <w:proofErr w:type="spellEnd"/>
      <w:r w:rsidR="00A33DD4">
        <w:rPr>
          <w:rFonts w:ascii="Arial" w:hAnsi="Arial" w:cs="Arial"/>
        </w:rPr>
        <w:t>,</w:t>
      </w:r>
      <w:r w:rsidRPr="003D2988">
        <w:rPr>
          <w:rFonts w:ascii="Arial" w:hAnsi="Arial" w:cs="Arial"/>
        </w:rPr>
        <w:t xml:space="preserve"> K</w:t>
      </w:r>
      <w:r w:rsidR="00A33DD4">
        <w:rPr>
          <w:rFonts w:ascii="Arial" w:hAnsi="Arial" w:cs="Arial"/>
        </w:rPr>
        <w:t>.</w:t>
      </w:r>
      <w:r w:rsidRPr="003D2988">
        <w:rPr>
          <w:rFonts w:ascii="Arial" w:hAnsi="Arial" w:cs="Arial"/>
        </w:rPr>
        <w:t xml:space="preserve">, </w:t>
      </w:r>
      <w:proofErr w:type="spellStart"/>
      <w:r w:rsidRPr="003D2988">
        <w:rPr>
          <w:rFonts w:ascii="Arial" w:hAnsi="Arial" w:cs="Arial"/>
        </w:rPr>
        <w:t>Sjöwall</w:t>
      </w:r>
      <w:proofErr w:type="spellEnd"/>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Svenungsson</w:t>
      </w:r>
      <w:r w:rsidR="00A33DD4">
        <w:rPr>
          <w:rFonts w:ascii="Arial" w:hAnsi="Arial" w:cs="Arial"/>
        </w:rPr>
        <w:t>,</w:t>
      </w:r>
      <w:r w:rsidRPr="003D2988">
        <w:rPr>
          <w:rFonts w:ascii="Arial" w:hAnsi="Arial" w:cs="Arial"/>
        </w:rPr>
        <w:t xml:space="preserve"> E</w:t>
      </w:r>
      <w:r w:rsidR="00A33DD4">
        <w:rPr>
          <w:rFonts w:ascii="Arial" w:hAnsi="Arial" w:cs="Arial"/>
        </w:rPr>
        <w:t>.</w:t>
      </w:r>
      <w:r w:rsidRPr="003D2988">
        <w:rPr>
          <w:rFonts w:ascii="Arial" w:hAnsi="Arial" w:cs="Arial"/>
        </w:rPr>
        <w:t>, Salmon</w:t>
      </w:r>
      <w:r w:rsidR="00A33DD4">
        <w:rPr>
          <w:rFonts w:ascii="Arial" w:hAnsi="Arial" w:cs="Arial"/>
        </w:rPr>
        <w:t>,</w:t>
      </w:r>
      <w:r w:rsidRPr="003D2988">
        <w:rPr>
          <w:rFonts w:ascii="Arial" w:hAnsi="Arial" w:cs="Arial"/>
        </w:rPr>
        <w:t xml:space="preserve"> J</w:t>
      </w:r>
      <w:r w:rsidR="00A33DD4">
        <w:rPr>
          <w:rFonts w:ascii="Arial" w:hAnsi="Arial" w:cs="Arial"/>
        </w:rPr>
        <w:t xml:space="preserve">. </w:t>
      </w:r>
      <w:r w:rsidRPr="003D2988">
        <w:rPr>
          <w:rFonts w:ascii="Arial" w:hAnsi="Arial" w:cs="Arial"/>
        </w:rPr>
        <w:t>E</w:t>
      </w:r>
      <w:r w:rsidR="00A33DD4">
        <w:rPr>
          <w:rFonts w:ascii="Arial" w:hAnsi="Arial" w:cs="Arial"/>
        </w:rPr>
        <w:t>.</w:t>
      </w:r>
      <w:r w:rsidRPr="003D2988">
        <w:rPr>
          <w:rFonts w:ascii="Arial" w:hAnsi="Arial" w:cs="Arial"/>
        </w:rPr>
        <w:t xml:space="preserve">, </w:t>
      </w:r>
      <w:r w:rsidR="00A33DD4">
        <w:rPr>
          <w:rFonts w:ascii="Arial" w:hAnsi="Arial" w:cs="Arial"/>
        </w:rPr>
        <w:t xml:space="preserve">&amp; </w:t>
      </w:r>
      <w:r w:rsidRPr="003D2988">
        <w:rPr>
          <w:rFonts w:ascii="Arial" w:hAnsi="Arial" w:cs="Arial"/>
        </w:rPr>
        <w:t>Simard</w:t>
      </w:r>
      <w:r w:rsidR="00A33DD4">
        <w:rPr>
          <w:rFonts w:ascii="Arial" w:hAnsi="Arial" w:cs="Arial"/>
        </w:rPr>
        <w:t>,</w:t>
      </w:r>
      <w:r w:rsidRPr="003D2988">
        <w:rPr>
          <w:rFonts w:ascii="Arial" w:hAnsi="Arial" w:cs="Arial"/>
        </w:rPr>
        <w:t xml:space="preserve"> J</w:t>
      </w:r>
      <w:r w:rsidR="00A33DD4">
        <w:rPr>
          <w:rFonts w:ascii="Arial" w:hAnsi="Arial" w:cs="Arial"/>
        </w:rPr>
        <w:t xml:space="preserve">. </w:t>
      </w:r>
      <w:r w:rsidRPr="003D2988">
        <w:rPr>
          <w:rFonts w:ascii="Arial" w:hAnsi="Arial" w:cs="Arial"/>
        </w:rPr>
        <w:t xml:space="preserve">F. </w:t>
      </w:r>
      <w:r w:rsidR="00A33DD4">
        <w:rPr>
          <w:rFonts w:ascii="Arial" w:hAnsi="Arial" w:cs="Arial"/>
        </w:rPr>
        <w:t xml:space="preserve">(2016). </w:t>
      </w:r>
      <w:r w:rsidRPr="003D2988">
        <w:rPr>
          <w:rFonts w:ascii="Arial" w:hAnsi="Arial" w:cs="Arial"/>
        </w:rPr>
        <w:t xml:space="preserve">What to Expect When Expecting </w:t>
      </w:r>
      <w:proofErr w:type="gramStart"/>
      <w:r w:rsidRPr="003D2988">
        <w:rPr>
          <w:rFonts w:ascii="Arial" w:hAnsi="Arial" w:cs="Arial"/>
        </w:rPr>
        <w:t>With</w:t>
      </w:r>
      <w:proofErr w:type="gramEnd"/>
      <w:r w:rsidRPr="003D2988">
        <w:rPr>
          <w:rFonts w:ascii="Arial" w:hAnsi="Arial" w:cs="Arial"/>
        </w:rPr>
        <w:t xml:space="preserve"> Systemic Lupus Erythematosus (SLE): a population-based study of maternal and fetal outcomes in </w:t>
      </w:r>
      <w:proofErr w:type="spellStart"/>
      <w:r w:rsidRPr="003D2988">
        <w:rPr>
          <w:rFonts w:ascii="Arial" w:hAnsi="Arial" w:cs="Arial"/>
        </w:rPr>
        <w:t>sle</w:t>
      </w:r>
      <w:proofErr w:type="spellEnd"/>
      <w:r w:rsidRPr="003D2988">
        <w:rPr>
          <w:rFonts w:ascii="Arial" w:hAnsi="Arial" w:cs="Arial"/>
        </w:rPr>
        <w:t xml:space="preserve"> and pre-</w:t>
      </w:r>
      <w:proofErr w:type="spellStart"/>
      <w:r w:rsidRPr="003D2988">
        <w:rPr>
          <w:rFonts w:ascii="Arial" w:hAnsi="Arial" w:cs="Arial"/>
        </w:rPr>
        <w:t>sle</w:t>
      </w:r>
      <w:proofErr w:type="spellEnd"/>
      <w:r w:rsidRPr="003D2988">
        <w:rPr>
          <w:rFonts w:ascii="Arial" w:hAnsi="Arial" w:cs="Arial"/>
        </w:rPr>
        <w:t>. Arthritis Care &amp; Research</w:t>
      </w:r>
      <w:r w:rsidR="00A33DD4">
        <w:rPr>
          <w:rFonts w:ascii="Arial" w:hAnsi="Arial" w:cs="Arial"/>
        </w:rPr>
        <w:t xml:space="preserve">, </w:t>
      </w:r>
      <w:r w:rsidRPr="003D2988">
        <w:rPr>
          <w:rFonts w:ascii="Arial" w:hAnsi="Arial" w:cs="Arial"/>
        </w:rPr>
        <w:t>68(7)</w:t>
      </w:r>
      <w:r w:rsidR="00A33DD4">
        <w:rPr>
          <w:rFonts w:ascii="Arial" w:hAnsi="Arial" w:cs="Arial"/>
        </w:rPr>
        <w:t xml:space="preserve">, </w:t>
      </w:r>
      <w:r w:rsidRPr="003D2988">
        <w:rPr>
          <w:rFonts w:ascii="Arial" w:hAnsi="Arial" w:cs="Arial"/>
        </w:rPr>
        <w:t xml:space="preserve">988-994. Wiley. </w:t>
      </w:r>
      <w:r w:rsidR="00F116DB" w:rsidRPr="00F116DB">
        <w:rPr>
          <w:rFonts w:ascii="Arial" w:hAnsi="Arial" w:cs="Arial"/>
        </w:rPr>
        <w:t>https://doi.org/</w:t>
      </w:r>
      <w:r w:rsidRPr="003D2988">
        <w:rPr>
          <w:rFonts w:ascii="Arial" w:hAnsi="Arial" w:cs="Arial"/>
        </w:rPr>
        <w:t>10.1002/acr.22791.</w:t>
      </w:r>
    </w:p>
    <w:p w14:paraId="3EFEF833" w14:textId="204E0721" w:rsidR="003D2988" w:rsidRPr="003D2988" w:rsidRDefault="003D2988" w:rsidP="00D9389F">
      <w:pPr>
        <w:pStyle w:val="Body"/>
        <w:rPr>
          <w:rFonts w:ascii="Arial" w:hAnsi="Arial" w:cs="Arial"/>
        </w:rPr>
      </w:pPr>
      <w:r w:rsidRPr="003D2988">
        <w:rPr>
          <w:rFonts w:ascii="Arial" w:hAnsi="Arial" w:cs="Arial"/>
        </w:rPr>
        <w:t>23. Li</w:t>
      </w:r>
      <w:r w:rsidR="00A33DD4">
        <w:rPr>
          <w:rFonts w:ascii="Arial" w:hAnsi="Arial" w:cs="Arial"/>
        </w:rPr>
        <w:t>,</w:t>
      </w:r>
      <w:r w:rsidRPr="003D2988">
        <w:rPr>
          <w:rFonts w:ascii="Arial" w:hAnsi="Arial" w:cs="Arial"/>
        </w:rPr>
        <w:t xml:space="preserve"> J</w:t>
      </w:r>
      <w:r w:rsidR="00A33DD4">
        <w:rPr>
          <w:rFonts w:ascii="Arial" w:hAnsi="Arial" w:cs="Arial"/>
        </w:rPr>
        <w:t>.</w:t>
      </w:r>
      <w:r w:rsidRPr="003D2988">
        <w:rPr>
          <w:rFonts w:ascii="Arial" w:hAnsi="Arial" w:cs="Arial"/>
        </w:rPr>
        <w:t>, Li</w:t>
      </w:r>
      <w:r w:rsidR="00A33DD4">
        <w:rPr>
          <w:rFonts w:ascii="Arial" w:hAnsi="Arial" w:cs="Arial"/>
        </w:rPr>
        <w:t>,</w:t>
      </w:r>
      <w:r w:rsidRPr="003D2988">
        <w:rPr>
          <w:rFonts w:ascii="Arial" w:hAnsi="Arial" w:cs="Arial"/>
        </w:rPr>
        <w:t xml:space="preserve"> Z</w:t>
      </w:r>
      <w:r w:rsidR="00A33DD4">
        <w:rPr>
          <w:rFonts w:ascii="Arial" w:hAnsi="Arial" w:cs="Arial"/>
        </w:rPr>
        <w:t>.</w:t>
      </w:r>
      <w:r w:rsidRPr="003D2988">
        <w:rPr>
          <w:rFonts w:ascii="Arial" w:hAnsi="Arial" w:cs="Arial"/>
        </w:rPr>
        <w:t>, Yu</w:t>
      </w:r>
      <w:r w:rsidR="00A33DD4">
        <w:rPr>
          <w:rFonts w:ascii="Arial" w:hAnsi="Arial" w:cs="Arial"/>
        </w:rPr>
        <w:t>,</w:t>
      </w:r>
      <w:r w:rsidRPr="003D2988">
        <w:rPr>
          <w:rFonts w:ascii="Arial" w:hAnsi="Arial" w:cs="Arial"/>
        </w:rPr>
        <w:t xml:space="preserve"> L</w:t>
      </w:r>
      <w:r w:rsidR="00A33DD4">
        <w:rPr>
          <w:rFonts w:ascii="Arial" w:hAnsi="Arial" w:cs="Arial"/>
        </w:rPr>
        <w:t>.</w:t>
      </w:r>
      <w:r w:rsidRPr="003D2988">
        <w:rPr>
          <w:rFonts w:ascii="Arial" w:hAnsi="Arial" w:cs="Arial"/>
        </w:rPr>
        <w:t xml:space="preserve">, </w:t>
      </w:r>
      <w:r w:rsidR="00A33DD4">
        <w:rPr>
          <w:rFonts w:ascii="Arial" w:hAnsi="Arial" w:cs="Arial"/>
        </w:rPr>
        <w:t xml:space="preserve">&amp; </w:t>
      </w:r>
      <w:r w:rsidRPr="003D2988">
        <w:rPr>
          <w:rFonts w:ascii="Arial" w:hAnsi="Arial" w:cs="Arial"/>
        </w:rPr>
        <w:t>Su</w:t>
      </w:r>
      <w:r w:rsidR="00A33DD4">
        <w:rPr>
          <w:rFonts w:ascii="Arial" w:hAnsi="Arial" w:cs="Arial"/>
        </w:rPr>
        <w:t>,</w:t>
      </w:r>
      <w:r w:rsidRPr="003D2988">
        <w:rPr>
          <w:rFonts w:ascii="Arial" w:hAnsi="Arial" w:cs="Arial"/>
        </w:rPr>
        <w:t xml:space="preserve"> J. </w:t>
      </w:r>
      <w:r w:rsidR="00A33DD4">
        <w:rPr>
          <w:rFonts w:ascii="Arial" w:hAnsi="Arial" w:cs="Arial"/>
        </w:rPr>
        <w:t xml:space="preserve">(2022). </w:t>
      </w:r>
      <w:r w:rsidRPr="003D2988">
        <w:rPr>
          <w:rFonts w:ascii="Arial" w:hAnsi="Arial" w:cs="Arial"/>
        </w:rPr>
        <w:t xml:space="preserve">Maternal and neonatal outcomes of pregnancy complicated with Systemic Lupus Erythematosus. Food Science </w:t>
      </w:r>
      <w:proofErr w:type="gramStart"/>
      <w:r w:rsidRPr="003D2988">
        <w:rPr>
          <w:rFonts w:ascii="Arial" w:hAnsi="Arial" w:cs="Arial"/>
        </w:rPr>
        <w:t>And</w:t>
      </w:r>
      <w:proofErr w:type="gramEnd"/>
      <w:r w:rsidRPr="003D2988">
        <w:rPr>
          <w:rFonts w:ascii="Arial" w:hAnsi="Arial" w:cs="Arial"/>
        </w:rPr>
        <w:t xml:space="preserve"> Technology</w:t>
      </w:r>
      <w:r w:rsidR="00A33DD4">
        <w:rPr>
          <w:rFonts w:ascii="Arial" w:hAnsi="Arial" w:cs="Arial"/>
        </w:rPr>
        <w:t xml:space="preserve">, </w:t>
      </w:r>
      <w:r w:rsidRPr="003D2988">
        <w:rPr>
          <w:rFonts w:ascii="Arial" w:hAnsi="Arial" w:cs="Arial"/>
        </w:rPr>
        <w:t>42</w:t>
      </w:r>
      <w:r w:rsidR="00A33DD4">
        <w:rPr>
          <w:rFonts w:ascii="Arial" w:hAnsi="Arial" w:cs="Arial"/>
        </w:rPr>
        <w:t xml:space="preserve">, </w:t>
      </w:r>
      <w:r w:rsidRPr="003D2988">
        <w:rPr>
          <w:rFonts w:ascii="Arial" w:hAnsi="Arial" w:cs="Arial"/>
        </w:rPr>
        <w:t xml:space="preserve">1-6.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10.1590/fst.56921.</w:t>
      </w:r>
    </w:p>
    <w:p w14:paraId="6B0FDD48" w14:textId="7C9480B5" w:rsidR="00923DB6" w:rsidRDefault="003D2988" w:rsidP="00D9389F">
      <w:pPr>
        <w:pStyle w:val="Body"/>
        <w:rPr>
          <w:rFonts w:ascii="Arial" w:hAnsi="Arial" w:cs="Arial"/>
        </w:rPr>
      </w:pPr>
      <w:r w:rsidRPr="003D2988">
        <w:rPr>
          <w:rFonts w:ascii="Arial" w:hAnsi="Arial" w:cs="Arial"/>
        </w:rPr>
        <w:t>24. Miranda-Hernández</w:t>
      </w:r>
      <w:r w:rsidR="00A33DD4">
        <w:rPr>
          <w:rFonts w:ascii="Arial" w:hAnsi="Arial" w:cs="Arial"/>
        </w:rPr>
        <w:t>,</w:t>
      </w:r>
      <w:r w:rsidRPr="003D2988">
        <w:rPr>
          <w:rFonts w:ascii="Arial" w:hAnsi="Arial" w:cs="Arial"/>
        </w:rPr>
        <w:t xml:space="preserve"> D</w:t>
      </w:r>
      <w:r w:rsidR="00A33DD4">
        <w:rPr>
          <w:rFonts w:ascii="Arial" w:hAnsi="Arial" w:cs="Arial"/>
        </w:rPr>
        <w:t>.</w:t>
      </w:r>
      <w:r w:rsidRPr="003D2988">
        <w:rPr>
          <w:rFonts w:ascii="Arial" w:hAnsi="Arial" w:cs="Arial"/>
        </w:rPr>
        <w:t>, Sánchez</w:t>
      </w:r>
      <w:r w:rsidR="00A33DD4">
        <w:rPr>
          <w:rFonts w:ascii="Arial" w:hAnsi="Arial" w:cs="Arial"/>
        </w:rPr>
        <w:t>,</w:t>
      </w:r>
      <w:r w:rsidRPr="003D2988">
        <w:rPr>
          <w:rFonts w:ascii="Arial" w:hAnsi="Arial" w:cs="Arial"/>
        </w:rPr>
        <w:t xml:space="preserve"> A</w:t>
      </w:r>
      <w:r w:rsidR="00A33DD4">
        <w:rPr>
          <w:rFonts w:ascii="Arial" w:hAnsi="Arial" w:cs="Arial"/>
        </w:rPr>
        <w:t>.</w:t>
      </w:r>
      <w:r w:rsidRPr="003D2988">
        <w:rPr>
          <w:rFonts w:ascii="Arial" w:hAnsi="Arial" w:cs="Arial"/>
        </w:rPr>
        <w:t>, Sánchez-Briones</w:t>
      </w:r>
      <w:r w:rsidR="00A33DD4">
        <w:rPr>
          <w:rFonts w:ascii="Arial" w:hAnsi="Arial" w:cs="Arial"/>
        </w:rPr>
        <w:t>,</w:t>
      </w:r>
      <w:r w:rsidRPr="003D2988">
        <w:rPr>
          <w:rFonts w:ascii="Arial" w:hAnsi="Arial" w:cs="Arial"/>
        </w:rPr>
        <w:t xml:space="preserve"> R</w:t>
      </w:r>
      <w:r w:rsidR="00A33DD4">
        <w:rPr>
          <w:rFonts w:ascii="Arial" w:hAnsi="Arial" w:cs="Arial"/>
        </w:rPr>
        <w:t xml:space="preserve">. </w:t>
      </w:r>
      <w:r w:rsidRPr="003D2988">
        <w:rPr>
          <w:rFonts w:ascii="Arial" w:hAnsi="Arial" w:cs="Arial"/>
        </w:rPr>
        <w:t>E</w:t>
      </w:r>
      <w:r w:rsidR="00A33DD4">
        <w:rPr>
          <w:rFonts w:ascii="Arial" w:hAnsi="Arial" w:cs="Arial"/>
        </w:rPr>
        <w:t>.</w:t>
      </w:r>
      <w:r w:rsidRPr="003D2988">
        <w:rPr>
          <w:rFonts w:ascii="Arial" w:hAnsi="Arial" w:cs="Arial"/>
        </w:rPr>
        <w:t>, Rivas-Ruiz</w:t>
      </w:r>
      <w:r w:rsidR="00A33DD4">
        <w:rPr>
          <w:rFonts w:ascii="Arial" w:hAnsi="Arial" w:cs="Arial"/>
        </w:rPr>
        <w:t>,</w:t>
      </w:r>
      <w:r w:rsidRPr="003D2988">
        <w:rPr>
          <w:rFonts w:ascii="Arial" w:hAnsi="Arial" w:cs="Arial"/>
        </w:rPr>
        <w:t xml:space="preserve"> R</w:t>
      </w:r>
      <w:r w:rsidR="00A33DD4">
        <w:rPr>
          <w:rFonts w:ascii="Arial" w:hAnsi="Arial" w:cs="Arial"/>
        </w:rPr>
        <w:t>.</w:t>
      </w:r>
      <w:r w:rsidRPr="003D2988">
        <w:rPr>
          <w:rFonts w:ascii="Arial" w:hAnsi="Arial" w:cs="Arial"/>
        </w:rPr>
        <w:t>, Cruz-Reynoso</w:t>
      </w:r>
      <w:r w:rsidR="00A33DD4">
        <w:rPr>
          <w:rFonts w:ascii="Arial" w:hAnsi="Arial" w:cs="Arial"/>
        </w:rPr>
        <w:t>,</w:t>
      </w:r>
      <w:r w:rsidRPr="003D2988">
        <w:rPr>
          <w:rFonts w:ascii="Arial" w:hAnsi="Arial" w:cs="Arial"/>
        </w:rPr>
        <w:t xml:space="preserve"> L</w:t>
      </w:r>
      <w:r w:rsidR="00A33DD4">
        <w:rPr>
          <w:rFonts w:ascii="Arial" w:hAnsi="Arial" w:cs="Arial"/>
        </w:rPr>
        <w:t>.</w:t>
      </w:r>
      <w:r w:rsidRPr="003D2988">
        <w:rPr>
          <w:rFonts w:ascii="Arial" w:hAnsi="Arial" w:cs="Arial"/>
        </w:rPr>
        <w:t>, Cruz-Domínguez</w:t>
      </w:r>
      <w:r w:rsidR="00A33DD4">
        <w:rPr>
          <w:rFonts w:ascii="Arial" w:hAnsi="Arial" w:cs="Arial"/>
        </w:rPr>
        <w:t>,</w:t>
      </w:r>
      <w:r w:rsidRPr="003D2988">
        <w:rPr>
          <w:rFonts w:ascii="Arial" w:hAnsi="Arial" w:cs="Arial"/>
        </w:rPr>
        <w:t xml:space="preserve"> P</w:t>
      </w:r>
      <w:r w:rsidR="00A33DD4">
        <w:rPr>
          <w:rFonts w:ascii="Arial" w:hAnsi="Arial" w:cs="Arial"/>
        </w:rPr>
        <w:t xml:space="preserve">., </w:t>
      </w:r>
      <w:r w:rsidR="00377F9A" w:rsidRPr="00377F9A">
        <w:rPr>
          <w:rFonts w:ascii="Arial" w:hAnsi="Arial" w:cs="Arial"/>
          <w:i/>
          <w:iCs/>
        </w:rPr>
        <w:t>et al.</w:t>
      </w:r>
      <w:r w:rsidR="00A33DD4">
        <w:rPr>
          <w:rFonts w:ascii="Arial" w:hAnsi="Arial" w:cs="Arial"/>
        </w:rPr>
        <w:t xml:space="preserve"> (2020)</w:t>
      </w:r>
      <w:r w:rsidRPr="003D2988">
        <w:rPr>
          <w:rFonts w:ascii="Arial" w:hAnsi="Arial" w:cs="Arial"/>
        </w:rPr>
        <w:t>. Impact of Systemic Lupus Erythematosus on Pregnancy. Journal of Clinical Rheumatology</w:t>
      </w:r>
      <w:r w:rsidR="00A33DD4">
        <w:rPr>
          <w:rFonts w:ascii="Arial" w:hAnsi="Arial" w:cs="Arial"/>
        </w:rPr>
        <w:t xml:space="preserve">, </w:t>
      </w:r>
      <w:r w:rsidRPr="003D2988">
        <w:rPr>
          <w:rFonts w:ascii="Arial" w:hAnsi="Arial" w:cs="Arial"/>
        </w:rPr>
        <w:t>27(6)</w:t>
      </w:r>
      <w:r w:rsidR="00A33DD4">
        <w:rPr>
          <w:rFonts w:ascii="Arial" w:hAnsi="Arial" w:cs="Arial"/>
        </w:rPr>
        <w:t xml:space="preserve">, </w:t>
      </w:r>
      <w:r w:rsidRPr="003D2988">
        <w:rPr>
          <w:rFonts w:ascii="Arial" w:hAnsi="Arial" w:cs="Arial"/>
        </w:rPr>
        <w:t xml:space="preserve">217-223. Ovid Technologies (Wolters Kluwer Health). </w:t>
      </w:r>
      <w:r w:rsidR="00F116DB" w:rsidRPr="00F116DB">
        <w:rPr>
          <w:rFonts w:ascii="Arial" w:hAnsi="Arial" w:cs="Arial"/>
        </w:rPr>
        <w:t>https://doi.org/</w:t>
      </w:r>
      <w:r w:rsidRPr="003D2988">
        <w:rPr>
          <w:rFonts w:ascii="Arial" w:hAnsi="Arial" w:cs="Arial"/>
        </w:rPr>
        <w:t>10.1097/rhu.0000000000001626.</w:t>
      </w:r>
    </w:p>
    <w:p w14:paraId="6D1EFB07" w14:textId="576B9278" w:rsidR="003D2988" w:rsidRPr="003D2988" w:rsidRDefault="003D2988" w:rsidP="00D9389F">
      <w:pPr>
        <w:pStyle w:val="Body"/>
        <w:rPr>
          <w:rFonts w:ascii="Arial" w:hAnsi="Arial" w:cs="Arial"/>
        </w:rPr>
      </w:pPr>
      <w:r w:rsidRPr="003D2988">
        <w:rPr>
          <w:rFonts w:ascii="Arial" w:hAnsi="Arial" w:cs="Arial"/>
        </w:rPr>
        <w:t>25. Wang</w:t>
      </w:r>
      <w:r w:rsidR="009713DA">
        <w:rPr>
          <w:rFonts w:ascii="Arial" w:hAnsi="Arial" w:cs="Arial"/>
        </w:rPr>
        <w:t>,</w:t>
      </w:r>
      <w:r w:rsidRPr="003D2988">
        <w:rPr>
          <w:rFonts w:ascii="Arial" w:hAnsi="Arial" w:cs="Arial"/>
        </w:rPr>
        <w:t xml:space="preserve"> Y</w:t>
      </w:r>
      <w:r w:rsidR="009713DA">
        <w:rPr>
          <w:rFonts w:ascii="Arial" w:hAnsi="Arial" w:cs="Arial"/>
        </w:rPr>
        <w:t>.</w:t>
      </w:r>
      <w:r w:rsidRPr="003D2988">
        <w:rPr>
          <w:rFonts w:ascii="Arial" w:hAnsi="Arial" w:cs="Arial"/>
        </w:rPr>
        <w:t xml:space="preserve">, </w:t>
      </w:r>
      <w:proofErr w:type="spellStart"/>
      <w:r w:rsidRPr="003D2988">
        <w:rPr>
          <w:rFonts w:ascii="Arial" w:hAnsi="Arial" w:cs="Arial"/>
        </w:rPr>
        <w:t>Ssengonzi</w:t>
      </w:r>
      <w:proofErr w:type="spellEnd"/>
      <w:r w:rsidR="009713DA">
        <w:rPr>
          <w:rFonts w:ascii="Arial" w:hAnsi="Arial" w:cs="Arial"/>
        </w:rPr>
        <w:t>,</w:t>
      </w:r>
      <w:r w:rsidRPr="003D2988">
        <w:rPr>
          <w:rFonts w:ascii="Arial" w:hAnsi="Arial" w:cs="Arial"/>
        </w:rPr>
        <w:t xml:space="preserve"> R</w:t>
      </w:r>
      <w:r w:rsidR="009713DA">
        <w:rPr>
          <w:rFonts w:ascii="Arial" w:hAnsi="Arial" w:cs="Arial"/>
        </w:rPr>
        <w:t>.</w:t>
      </w:r>
      <w:r w:rsidRPr="003D2988">
        <w:rPr>
          <w:rFonts w:ascii="Arial" w:hAnsi="Arial" w:cs="Arial"/>
        </w:rPr>
        <w:t>, Townley-Tilson</w:t>
      </w:r>
      <w:r w:rsidR="009713DA">
        <w:rPr>
          <w:rFonts w:ascii="Arial" w:hAnsi="Arial" w:cs="Arial"/>
        </w:rPr>
        <w:t>,</w:t>
      </w:r>
      <w:r w:rsidRPr="003D2988">
        <w:rPr>
          <w:rFonts w:ascii="Arial" w:hAnsi="Arial" w:cs="Arial"/>
        </w:rPr>
        <w:t xml:space="preserve"> W</w:t>
      </w:r>
      <w:r w:rsidR="009713DA">
        <w:rPr>
          <w:rFonts w:ascii="Arial" w:hAnsi="Arial" w:cs="Arial"/>
        </w:rPr>
        <w:t xml:space="preserve">. </w:t>
      </w:r>
      <w:r w:rsidRPr="003D2988">
        <w:rPr>
          <w:rFonts w:ascii="Arial" w:hAnsi="Arial" w:cs="Arial"/>
        </w:rPr>
        <w:t>H</w:t>
      </w:r>
      <w:r w:rsidR="009713DA">
        <w:rPr>
          <w:rFonts w:ascii="Arial" w:hAnsi="Arial" w:cs="Arial"/>
        </w:rPr>
        <w:t xml:space="preserve">. </w:t>
      </w:r>
      <w:r w:rsidRPr="003D2988">
        <w:rPr>
          <w:rFonts w:ascii="Arial" w:hAnsi="Arial" w:cs="Arial"/>
        </w:rPr>
        <w:t>D</w:t>
      </w:r>
      <w:r w:rsidR="009713DA">
        <w:rPr>
          <w:rFonts w:ascii="Arial" w:hAnsi="Arial" w:cs="Arial"/>
        </w:rPr>
        <w:t>.</w:t>
      </w:r>
      <w:r w:rsidRPr="003D2988">
        <w:rPr>
          <w:rFonts w:ascii="Arial" w:hAnsi="Arial" w:cs="Arial"/>
        </w:rPr>
        <w:t xml:space="preserve">, </w:t>
      </w:r>
      <w:proofErr w:type="spellStart"/>
      <w:r w:rsidRPr="003D2988">
        <w:rPr>
          <w:rFonts w:ascii="Arial" w:hAnsi="Arial" w:cs="Arial"/>
        </w:rPr>
        <w:t>Kayashima</w:t>
      </w:r>
      <w:proofErr w:type="spellEnd"/>
      <w:r w:rsidR="009713DA">
        <w:rPr>
          <w:rFonts w:ascii="Arial" w:hAnsi="Arial" w:cs="Arial"/>
        </w:rPr>
        <w:t>,</w:t>
      </w:r>
      <w:r w:rsidRPr="003D2988">
        <w:rPr>
          <w:rFonts w:ascii="Arial" w:hAnsi="Arial" w:cs="Arial"/>
        </w:rPr>
        <w:t xml:space="preserve"> Y</w:t>
      </w:r>
      <w:r w:rsidR="009713DA">
        <w:rPr>
          <w:rFonts w:ascii="Arial" w:hAnsi="Arial" w:cs="Arial"/>
        </w:rPr>
        <w:t>.</w:t>
      </w:r>
      <w:r w:rsidRPr="003D2988">
        <w:rPr>
          <w:rFonts w:ascii="Arial" w:hAnsi="Arial" w:cs="Arial"/>
        </w:rPr>
        <w:t>, Maeda-Smithies</w:t>
      </w:r>
      <w:r w:rsidR="009713DA">
        <w:rPr>
          <w:rFonts w:ascii="Arial" w:hAnsi="Arial" w:cs="Arial"/>
        </w:rPr>
        <w:t>,</w:t>
      </w:r>
      <w:r w:rsidRPr="003D2988">
        <w:rPr>
          <w:rFonts w:ascii="Arial" w:hAnsi="Arial" w:cs="Arial"/>
        </w:rPr>
        <w:t xml:space="preserve"> N</w:t>
      </w:r>
      <w:r w:rsidR="009713DA">
        <w:rPr>
          <w:rFonts w:ascii="Arial" w:hAnsi="Arial" w:cs="Arial"/>
        </w:rPr>
        <w:t>.</w:t>
      </w:r>
      <w:r w:rsidRPr="003D2988">
        <w:rPr>
          <w:rFonts w:ascii="Arial" w:hAnsi="Arial" w:cs="Arial"/>
        </w:rPr>
        <w:t>,</w:t>
      </w:r>
      <w:r w:rsidR="009713DA">
        <w:rPr>
          <w:rFonts w:ascii="Arial" w:hAnsi="Arial" w:cs="Arial"/>
        </w:rPr>
        <w:t xml:space="preserve"> &amp;</w:t>
      </w:r>
      <w:r w:rsidRPr="003D2988">
        <w:rPr>
          <w:rFonts w:ascii="Arial" w:hAnsi="Arial" w:cs="Arial"/>
        </w:rPr>
        <w:t xml:space="preserve"> Li</w:t>
      </w:r>
      <w:r w:rsidR="009713DA">
        <w:rPr>
          <w:rFonts w:ascii="Arial" w:hAnsi="Arial" w:cs="Arial"/>
        </w:rPr>
        <w:t>,</w:t>
      </w:r>
      <w:r w:rsidRPr="003D2988">
        <w:rPr>
          <w:rFonts w:ascii="Arial" w:hAnsi="Arial" w:cs="Arial"/>
        </w:rPr>
        <w:t xml:space="preserve"> F. </w:t>
      </w:r>
      <w:r w:rsidR="009713DA">
        <w:rPr>
          <w:rFonts w:ascii="Arial" w:hAnsi="Arial" w:cs="Arial"/>
        </w:rPr>
        <w:t xml:space="preserve">(2024). </w:t>
      </w:r>
      <w:r w:rsidRPr="003D2988">
        <w:rPr>
          <w:rFonts w:ascii="Arial" w:hAnsi="Arial" w:cs="Arial"/>
        </w:rPr>
        <w:t xml:space="preserve">The Roles of Obesity and ASB4 in Preeclampsia Pathogenesis. International Journal </w:t>
      </w:r>
      <w:proofErr w:type="gramStart"/>
      <w:r w:rsidRPr="003D2988">
        <w:rPr>
          <w:rFonts w:ascii="Arial" w:hAnsi="Arial" w:cs="Arial"/>
        </w:rPr>
        <w:t>Of</w:t>
      </w:r>
      <w:proofErr w:type="gramEnd"/>
      <w:r w:rsidRPr="003D2988">
        <w:rPr>
          <w:rFonts w:ascii="Arial" w:hAnsi="Arial" w:cs="Arial"/>
        </w:rPr>
        <w:t xml:space="preserve"> Molecular Sciences</w:t>
      </w:r>
      <w:r w:rsidR="009713DA">
        <w:rPr>
          <w:rFonts w:ascii="Arial" w:hAnsi="Arial" w:cs="Arial"/>
        </w:rPr>
        <w:t xml:space="preserve">, </w:t>
      </w:r>
      <w:r w:rsidRPr="003D2988">
        <w:rPr>
          <w:rFonts w:ascii="Arial" w:hAnsi="Arial" w:cs="Arial"/>
        </w:rPr>
        <w:t>25(16)</w:t>
      </w:r>
      <w:r w:rsidR="009713DA">
        <w:rPr>
          <w:rFonts w:ascii="Arial" w:hAnsi="Arial" w:cs="Arial"/>
        </w:rPr>
        <w:t xml:space="preserve">, </w:t>
      </w:r>
      <w:r w:rsidRPr="003D2988">
        <w:rPr>
          <w:rFonts w:ascii="Arial" w:hAnsi="Arial" w:cs="Arial"/>
        </w:rPr>
        <w:t xml:space="preserve">9017. MDPI AG. </w:t>
      </w:r>
      <w:r w:rsidR="00F116DB" w:rsidRPr="00F116DB">
        <w:rPr>
          <w:rFonts w:ascii="Arial" w:hAnsi="Arial" w:cs="Arial"/>
        </w:rPr>
        <w:t>https://doi.org/</w:t>
      </w:r>
      <w:r w:rsidRPr="003D2988">
        <w:rPr>
          <w:rFonts w:ascii="Arial" w:hAnsi="Arial" w:cs="Arial"/>
        </w:rPr>
        <w:t>10.3390/ijms25169017.</w:t>
      </w:r>
    </w:p>
    <w:p w14:paraId="559FAC4A" w14:textId="5F8B965B" w:rsidR="003D2988" w:rsidRPr="003D2988" w:rsidRDefault="003D2988" w:rsidP="00D9389F">
      <w:pPr>
        <w:pStyle w:val="Body"/>
        <w:rPr>
          <w:rFonts w:ascii="Arial" w:hAnsi="Arial" w:cs="Arial"/>
        </w:rPr>
      </w:pPr>
      <w:r w:rsidRPr="003D2988">
        <w:rPr>
          <w:rFonts w:ascii="Arial" w:hAnsi="Arial" w:cs="Arial"/>
        </w:rPr>
        <w:t>26. Normand</w:t>
      </w:r>
      <w:r w:rsidR="009713DA">
        <w:rPr>
          <w:rFonts w:ascii="Arial" w:hAnsi="Arial" w:cs="Arial"/>
        </w:rPr>
        <w:t>,</w:t>
      </w:r>
      <w:r w:rsidRPr="003D2988">
        <w:rPr>
          <w:rFonts w:ascii="Arial" w:hAnsi="Arial" w:cs="Arial"/>
        </w:rPr>
        <w:t xml:space="preserve"> G</w:t>
      </w:r>
      <w:r w:rsidR="009713DA">
        <w:rPr>
          <w:rFonts w:ascii="Arial" w:hAnsi="Arial" w:cs="Arial"/>
        </w:rPr>
        <w:t>.</w:t>
      </w:r>
      <w:r w:rsidRPr="003D2988">
        <w:rPr>
          <w:rFonts w:ascii="Arial" w:hAnsi="Arial" w:cs="Arial"/>
        </w:rPr>
        <w:t>, Sens</w:t>
      </w:r>
      <w:r w:rsidR="009713DA">
        <w:rPr>
          <w:rFonts w:ascii="Arial" w:hAnsi="Arial" w:cs="Arial"/>
        </w:rPr>
        <w:t>,</w:t>
      </w:r>
      <w:r w:rsidRPr="003D2988">
        <w:rPr>
          <w:rFonts w:ascii="Arial" w:hAnsi="Arial" w:cs="Arial"/>
        </w:rPr>
        <w:t xml:space="preserve"> F</w:t>
      </w:r>
      <w:r w:rsidR="009713DA">
        <w:rPr>
          <w:rFonts w:ascii="Arial" w:hAnsi="Arial" w:cs="Arial"/>
        </w:rPr>
        <w:t>.</w:t>
      </w:r>
      <w:r w:rsidRPr="003D2988">
        <w:rPr>
          <w:rFonts w:ascii="Arial" w:hAnsi="Arial" w:cs="Arial"/>
        </w:rPr>
        <w:t xml:space="preserve">, </w:t>
      </w:r>
      <w:proofErr w:type="spellStart"/>
      <w:r w:rsidRPr="003D2988">
        <w:rPr>
          <w:rFonts w:ascii="Arial" w:hAnsi="Arial" w:cs="Arial"/>
        </w:rPr>
        <w:t>Puthet</w:t>
      </w:r>
      <w:proofErr w:type="spellEnd"/>
      <w:r w:rsidR="009713DA">
        <w:rPr>
          <w:rFonts w:ascii="Arial" w:hAnsi="Arial" w:cs="Arial"/>
        </w:rPr>
        <w:t>,</w:t>
      </w:r>
      <w:r w:rsidRPr="003D2988">
        <w:rPr>
          <w:rFonts w:ascii="Arial" w:hAnsi="Arial" w:cs="Arial"/>
        </w:rPr>
        <w:t xml:space="preserve"> J</w:t>
      </w:r>
      <w:r w:rsidR="009713DA">
        <w:rPr>
          <w:rFonts w:ascii="Arial" w:hAnsi="Arial" w:cs="Arial"/>
        </w:rPr>
        <w:t>.</w:t>
      </w:r>
      <w:r w:rsidRPr="003D2988">
        <w:rPr>
          <w:rFonts w:ascii="Arial" w:hAnsi="Arial" w:cs="Arial"/>
        </w:rPr>
        <w:t xml:space="preserve">, </w:t>
      </w:r>
      <w:proofErr w:type="spellStart"/>
      <w:r w:rsidRPr="003D2988">
        <w:rPr>
          <w:rFonts w:ascii="Arial" w:hAnsi="Arial" w:cs="Arial"/>
        </w:rPr>
        <w:t>Jourde-Chiche</w:t>
      </w:r>
      <w:proofErr w:type="spellEnd"/>
      <w:r w:rsidR="009713DA">
        <w:rPr>
          <w:rFonts w:ascii="Arial" w:hAnsi="Arial" w:cs="Arial"/>
        </w:rPr>
        <w:t>,</w:t>
      </w:r>
      <w:r w:rsidRPr="003D2988">
        <w:rPr>
          <w:rFonts w:ascii="Arial" w:hAnsi="Arial" w:cs="Arial"/>
        </w:rPr>
        <w:t xml:space="preserve"> N</w:t>
      </w:r>
      <w:r w:rsidR="009713DA">
        <w:rPr>
          <w:rFonts w:ascii="Arial" w:hAnsi="Arial" w:cs="Arial"/>
        </w:rPr>
        <w:t>.</w:t>
      </w:r>
      <w:r w:rsidRPr="003D2988">
        <w:rPr>
          <w:rFonts w:ascii="Arial" w:hAnsi="Arial" w:cs="Arial"/>
        </w:rPr>
        <w:t>, Lemoine</w:t>
      </w:r>
      <w:r w:rsidR="009713DA">
        <w:rPr>
          <w:rFonts w:ascii="Arial" w:hAnsi="Arial" w:cs="Arial"/>
        </w:rPr>
        <w:t>,</w:t>
      </w:r>
      <w:r w:rsidRPr="003D2988">
        <w:rPr>
          <w:rFonts w:ascii="Arial" w:hAnsi="Arial" w:cs="Arial"/>
        </w:rPr>
        <w:t xml:space="preserve"> S</w:t>
      </w:r>
      <w:r w:rsidR="009713DA">
        <w:rPr>
          <w:rFonts w:ascii="Arial" w:hAnsi="Arial" w:cs="Arial"/>
        </w:rPr>
        <w:t>.</w:t>
      </w:r>
      <w:r w:rsidRPr="003D2988">
        <w:rPr>
          <w:rFonts w:ascii="Arial" w:hAnsi="Arial" w:cs="Arial"/>
        </w:rPr>
        <w:t>, Chauveau</w:t>
      </w:r>
      <w:r w:rsidR="009713DA">
        <w:rPr>
          <w:rFonts w:ascii="Arial" w:hAnsi="Arial" w:cs="Arial"/>
        </w:rPr>
        <w:t>,</w:t>
      </w:r>
      <w:r w:rsidRPr="003D2988">
        <w:rPr>
          <w:rFonts w:ascii="Arial" w:hAnsi="Arial" w:cs="Arial"/>
        </w:rPr>
        <w:t xml:space="preserve"> D</w:t>
      </w:r>
      <w:r w:rsidR="009713DA">
        <w:rPr>
          <w:rFonts w:ascii="Arial" w:hAnsi="Arial" w:cs="Arial"/>
        </w:rPr>
        <w:t>.</w:t>
      </w:r>
      <w:r w:rsidRPr="003D2988">
        <w:rPr>
          <w:rFonts w:ascii="Arial" w:hAnsi="Arial" w:cs="Arial"/>
        </w:rPr>
        <w:t xml:space="preserve">, </w:t>
      </w:r>
      <w:r w:rsidR="00377F9A" w:rsidRPr="00377F9A">
        <w:rPr>
          <w:rFonts w:ascii="Arial" w:hAnsi="Arial" w:cs="Arial"/>
          <w:i/>
          <w:iCs/>
        </w:rPr>
        <w:t>et al.</w:t>
      </w:r>
      <w:r w:rsidR="009713DA">
        <w:rPr>
          <w:rFonts w:ascii="Arial" w:hAnsi="Arial" w:cs="Arial"/>
        </w:rPr>
        <w:t xml:space="preserve"> (2019).</w:t>
      </w:r>
      <w:r w:rsidRPr="003D2988">
        <w:rPr>
          <w:rFonts w:ascii="Arial" w:hAnsi="Arial" w:cs="Arial"/>
        </w:rPr>
        <w:t xml:space="preserve"> Not only disease activity but also chronic hypertension and overweight are determinants of pregnancy outcomes in patients with systemic lupus erythematosus. Lupus</w:t>
      </w:r>
      <w:r w:rsidR="009713DA">
        <w:rPr>
          <w:rFonts w:ascii="Arial" w:hAnsi="Arial" w:cs="Arial"/>
        </w:rPr>
        <w:t xml:space="preserve">, </w:t>
      </w:r>
      <w:r w:rsidRPr="003D2988">
        <w:rPr>
          <w:rFonts w:ascii="Arial" w:hAnsi="Arial" w:cs="Arial"/>
        </w:rPr>
        <w:t>28(4)</w:t>
      </w:r>
      <w:r w:rsidR="009713DA">
        <w:rPr>
          <w:rFonts w:ascii="Arial" w:hAnsi="Arial" w:cs="Arial"/>
        </w:rPr>
        <w:t xml:space="preserve">, </w:t>
      </w:r>
      <w:r w:rsidRPr="003D2988">
        <w:rPr>
          <w:rFonts w:ascii="Arial" w:hAnsi="Arial" w:cs="Arial"/>
        </w:rPr>
        <w:t xml:space="preserve">529-537. SAGE Publications. </w:t>
      </w:r>
      <w:r w:rsidR="00F116DB" w:rsidRPr="00F116DB">
        <w:rPr>
          <w:rFonts w:ascii="Arial" w:hAnsi="Arial" w:cs="Arial"/>
        </w:rPr>
        <w:t>https://doi.org/</w:t>
      </w:r>
      <w:r w:rsidRPr="003D2988">
        <w:rPr>
          <w:rFonts w:ascii="Arial" w:hAnsi="Arial" w:cs="Arial"/>
        </w:rPr>
        <w:t>10.1177/0961203319832097.</w:t>
      </w:r>
    </w:p>
    <w:p w14:paraId="2F5AA2A9" w14:textId="4FF62D0F" w:rsidR="001E2533" w:rsidRPr="003D2988" w:rsidRDefault="003D2988" w:rsidP="00D9389F">
      <w:pPr>
        <w:pStyle w:val="Body"/>
        <w:rPr>
          <w:rFonts w:ascii="Arial" w:hAnsi="Arial" w:cs="Arial"/>
        </w:rPr>
      </w:pPr>
      <w:r w:rsidRPr="003D2988">
        <w:rPr>
          <w:rFonts w:ascii="Arial" w:hAnsi="Arial" w:cs="Arial"/>
        </w:rPr>
        <w:t>27. Alves</w:t>
      </w:r>
      <w:r w:rsidR="001E2533">
        <w:rPr>
          <w:rFonts w:ascii="Arial" w:hAnsi="Arial" w:cs="Arial"/>
        </w:rPr>
        <w:t>,</w:t>
      </w:r>
      <w:r w:rsidRPr="003D2988">
        <w:rPr>
          <w:rFonts w:ascii="Arial" w:hAnsi="Arial" w:cs="Arial"/>
        </w:rPr>
        <w:t xml:space="preserve"> N</w:t>
      </w:r>
      <w:r w:rsidR="001E2533">
        <w:rPr>
          <w:rFonts w:ascii="Arial" w:hAnsi="Arial" w:cs="Arial"/>
        </w:rPr>
        <w:t xml:space="preserve">. </w:t>
      </w:r>
      <w:r w:rsidRPr="003D2988">
        <w:rPr>
          <w:rFonts w:ascii="Arial" w:hAnsi="Arial" w:cs="Arial"/>
        </w:rPr>
        <w:t>C</w:t>
      </w:r>
      <w:r w:rsidR="001E2533">
        <w:rPr>
          <w:rFonts w:ascii="Arial" w:hAnsi="Arial" w:cs="Arial"/>
        </w:rPr>
        <w:t xml:space="preserve">. </w:t>
      </w:r>
      <w:r w:rsidRPr="003D2988">
        <w:rPr>
          <w:rFonts w:ascii="Arial" w:hAnsi="Arial" w:cs="Arial"/>
        </w:rPr>
        <w:t>C</w:t>
      </w:r>
      <w:r w:rsidR="001E2533">
        <w:rPr>
          <w:rFonts w:ascii="Arial" w:hAnsi="Arial" w:cs="Arial"/>
        </w:rPr>
        <w:t>.</w:t>
      </w:r>
      <w:r w:rsidRPr="003D2988">
        <w:rPr>
          <w:rFonts w:ascii="Arial" w:hAnsi="Arial" w:cs="Arial"/>
        </w:rPr>
        <w:t>, Feitosa</w:t>
      </w:r>
      <w:r w:rsidR="001E2533">
        <w:rPr>
          <w:rFonts w:ascii="Arial" w:hAnsi="Arial" w:cs="Arial"/>
        </w:rPr>
        <w:t>,</w:t>
      </w:r>
      <w:r w:rsidRPr="003D2988">
        <w:rPr>
          <w:rFonts w:ascii="Arial" w:hAnsi="Arial" w:cs="Arial"/>
        </w:rPr>
        <w:t xml:space="preserve"> K</w:t>
      </w:r>
      <w:r w:rsidR="001E2533">
        <w:rPr>
          <w:rFonts w:ascii="Arial" w:hAnsi="Arial" w:cs="Arial"/>
        </w:rPr>
        <w:t xml:space="preserve">. </w:t>
      </w:r>
      <w:r w:rsidRPr="003D2988">
        <w:rPr>
          <w:rFonts w:ascii="Arial" w:hAnsi="Arial" w:cs="Arial"/>
        </w:rPr>
        <w:t>M</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Mendes</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E</w:t>
      </w:r>
      <w:r w:rsidR="001E2533">
        <w:rPr>
          <w:rFonts w:ascii="Arial" w:hAnsi="Arial" w:cs="Arial"/>
        </w:rPr>
        <w:t xml:space="preserve">. </w:t>
      </w:r>
      <w:r w:rsidRPr="003D2988">
        <w:rPr>
          <w:rFonts w:ascii="Arial" w:hAnsi="Arial" w:cs="Arial"/>
        </w:rPr>
        <w:t>S</w:t>
      </w:r>
      <w:r w:rsidR="001E2533">
        <w:rPr>
          <w:rFonts w:ascii="Arial" w:hAnsi="Arial" w:cs="Arial"/>
        </w:rPr>
        <w:t>.</w:t>
      </w:r>
      <w:r w:rsidRPr="003D2988">
        <w:rPr>
          <w:rFonts w:ascii="Arial" w:hAnsi="Arial" w:cs="Arial"/>
        </w:rPr>
        <w:t xml:space="preserve">, </w:t>
      </w:r>
      <w:r w:rsidR="001E2533">
        <w:rPr>
          <w:rFonts w:ascii="Arial" w:hAnsi="Arial" w:cs="Arial"/>
        </w:rPr>
        <w:t xml:space="preserve">&amp; </w:t>
      </w:r>
      <w:r w:rsidRPr="003D2988">
        <w:rPr>
          <w:rFonts w:ascii="Arial" w:hAnsi="Arial" w:cs="Arial"/>
        </w:rPr>
        <w:t>Caminha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 xml:space="preserve">F. </w:t>
      </w:r>
      <w:r w:rsidR="001E2533">
        <w:rPr>
          <w:rFonts w:ascii="Arial" w:hAnsi="Arial" w:cs="Arial"/>
        </w:rPr>
        <w:t xml:space="preserve">(2018). </w:t>
      </w:r>
      <w:proofErr w:type="spellStart"/>
      <w:r w:rsidRPr="003D2988">
        <w:rPr>
          <w:rFonts w:ascii="Arial" w:hAnsi="Arial" w:cs="Arial"/>
        </w:rPr>
        <w:t>Complicações</w:t>
      </w:r>
      <w:proofErr w:type="spellEnd"/>
      <w:r w:rsidRPr="003D2988">
        <w:rPr>
          <w:rFonts w:ascii="Arial" w:hAnsi="Arial" w:cs="Arial"/>
        </w:rPr>
        <w:t xml:space="preserve"> </w:t>
      </w:r>
      <w:proofErr w:type="spellStart"/>
      <w:r w:rsidRPr="003D2988">
        <w:rPr>
          <w:rFonts w:ascii="Arial" w:hAnsi="Arial" w:cs="Arial"/>
        </w:rPr>
        <w:t>na</w:t>
      </w:r>
      <w:proofErr w:type="spellEnd"/>
      <w:r w:rsidRPr="003D2988">
        <w:rPr>
          <w:rFonts w:ascii="Arial" w:hAnsi="Arial" w:cs="Arial"/>
        </w:rPr>
        <w:t xml:space="preserve"> </w:t>
      </w:r>
      <w:proofErr w:type="spellStart"/>
      <w:r w:rsidRPr="003D2988">
        <w:rPr>
          <w:rFonts w:ascii="Arial" w:hAnsi="Arial" w:cs="Arial"/>
        </w:rPr>
        <w:t>gestação</w:t>
      </w:r>
      <w:proofErr w:type="spellEnd"/>
      <w:r w:rsidRPr="003D2988">
        <w:rPr>
          <w:rFonts w:ascii="Arial" w:hAnsi="Arial" w:cs="Arial"/>
        </w:rPr>
        <w:t xml:space="preserve"> </w:t>
      </w:r>
      <w:proofErr w:type="spellStart"/>
      <w:r w:rsidRPr="003D2988">
        <w:rPr>
          <w:rFonts w:ascii="Arial" w:hAnsi="Arial" w:cs="Arial"/>
        </w:rPr>
        <w:t>em</w:t>
      </w:r>
      <w:proofErr w:type="spellEnd"/>
      <w:r w:rsidRPr="003D2988">
        <w:rPr>
          <w:rFonts w:ascii="Arial" w:hAnsi="Arial" w:cs="Arial"/>
        </w:rPr>
        <w:t xml:space="preserve"> </w:t>
      </w:r>
      <w:proofErr w:type="spellStart"/>
      <w:r w:rsidRPr="003D2988">
        <w:rPr>
          <w:rFonts w:ascii="Arial" w:hAnsi="Arial" w:cs="Arial"/>
        </w:rPr>
        <w:t>mulheres</w:t>
      </w:r>
      <w:proofErr w:type="spellEnd"/>
      <w:r w:rsidRPr="003D2988">
        <w:rPr>
          <w:rFonts w:ascii="Arial" w:hAnsi="Arial" w:cs="Arial"/>
        </w:rPr>
        <w:t xml:space="preserve"> com </w:t>
      </w:r>
      <w:proofErr w:type="spellStart"/>
      <w:r w:rsidRPr="003D2988">
        <w:rPr>
          <w:rFonts w:ascii="Arial" w:hAnsi="Arial" w:cs="Arial"/>
        </w:rPr>
        <w:t>idade</w:t>
      </w:r>
      <w:proofErr w:type="spellEnd"/>
      <w:r w:rsidRPr="003D2988">
        <w:rPr>
          <w:rFonts w:ascii="Arial" w:hAnsi="Arial" w:cs="Arial"/>
        </w:rPr>
        <w:t xml:space="preserve"> </w:t>
      </w:r>
      <w:proofErr w:type="spellStart"/>
      <w:r w:rsidRPr="003D2988">
        <w:rPr>
          <w:rFonts w:ascii="Arial" w:hAnsi="Arial" w:cs="Arial"/>
        </w:rPr>
        <w:t>maior</w:t>
      </w:r>
      <w:proofErr w:type="spellEnd"/>
      <w:r w:rsidRPr="003D2988">
        <w:rPr>
          <w:rFonts w:ascii="Arial" w:hAnsi="Arial" w:cs="Arial"/>
        </w:rPr>
        <w:t xml:space="preserve"> </w:t>
      </w:r>
      <w:proofErr w:type="spellStart"/>
      <w:r w:rsidRPr="003D2988">
        <w:rPr>
          <w:rFonts w:ascii="Arial" w:hAnsi="Arial" w:cs="Arial"/>
        </w:rPr>
        <w:t>ou</w:t>
      </w:r>
      <w:proofErr w:type="spellEnd"/>
      <w:r w:rsidRPr="003D2988">
        <w:rPr>
          <w:rFonts w:ascii="Arial" w:hAnsi="Arial" w:cs="Arial"/>
        </w:rPr>
        <w:t xml:space="preserve"> </w:t>
      </w:r>
      <w:proofErr w:type="spellStart"/>
      <w:r w:rsidRPr="003D2988">
        <w:rPr>
          <w:rFonts w:ascii="Arial" w:hAnsi="Arial" w:cs="Arial"/>
        </w:rPr>
        <w:t>igual</w:t>
      </w:r>
      <w:proofErr w:type="spellEnd"/>
      <w:r w:rsidRPr="003D2988">
        <w:rPr>
          <w:rFonts w:ascii="Arial" w:hAnsi="Arial" w:cs="Arial"/>
        </w:rPr>
        <w:t xml:space="preserve"> a 35 </w:t>
      </w:r>
      <w:proofErr w:type="spellStart"/>
      <w:r w:rsidRPr="003D2988">
        <w:rPr>
          <w:rFonts w:ascii="Arial" w:hAnsi="Arial" w:cs="Arial"/>
        </w:rPr>
        <w:t>anos</w:t>
      </w:r>
      <w:proofErr w:type="spellEnd"/>
      <w:r w:rsidRPr="003D2988">
        <w:rPr>
          <w:rFonts w:ascii="Arial" w:hAnsi="Arial" w:cs="Arial"/>
        </w:rPr>
        <w:t xml:space="preserve">. </w:t>
      </w:r>
      <w:proofErr w:type="spellStart"/>
      <w:r w:rsidRPr="003D2988">
        <w:rPr>
          <w:rFonts w:ascii="Arial" w:hAnsi="Arial" w:cs="Arial"/>
        </w:rPr>
        <w:t>Revista</w:t>
      </w:r>
      <w:proofErr w:type="spellEnd"/>
      <w:r w:rsidRPr="003D2988">
        <w:rPr>
          <w:rFonts w:ascii="Arial" w:hAnsi="Arial" w:cs="Arial"/>
        </w:rPr>
        <w:t xml:space="preserve"> </w:t>
      </w:r>
      <w:proofErr w:type="spellStart"/>
      <w:r w:rsidRPr="003D2988">
        <w:rPr>
          <w:rFonts w:ascii="Arial" w:hAnsi="Arial" w:cs="Arial"/>
        </w:rPr>
        <w:t>Gaúcha</w:t>
      </w:r>
      <w:proofErr w:type="spellEnd"/>
      <w:r w:rsidRPr="003D2988">
        <w:rPr>
          <w:rFonts w:ascii="Arial" w:hAnsi="Arial" w:cs="Arial"/>
        </w:rPr>
        <w:t xml:space="preserve"> de </w:t>
      </w:r>
      <w:proofErr w:type="spellStart"/>
      <w:r w:rsidRPr="003D2988">
        <w:rPr>
          <w:rFonts w:ascii="Arial" w:hAnsi="Arial" w:cs="Arial"/>
        </w:rPr>
        <w:t>Enfermagem</w:t>
      </w:r>
      <w:proofErr w:type="spellEnd"/>
      <w:r w:rsidR="001E2533">
        <w:rPr>
          <w:rFonts w:ascii="Arial" w:hAnsi="Arial" w:cs="Arial"/>
        </w:rPr>
        <w:t xml:space="preserve">, </w:t>
      </w:r>
      <w:r w:rsidRPr="003D2988">
        <w:rPr>
          <w:rFonts w:ascii="Arial" w:hAnsi="Arial" w:cs="Arial"/>
        </w:rPr>
        <w:t>38(4)</w:t>
      </w:r>
      <w:r w:rsidR="001E2533">
        <w:rPr>
          <w:rFonts w:ascii="Arial" w:hAnsi="Arial" w:cs="Arial"/>
        </w:rPr>
        <w:t xml:space="preserve">, </w:t>
      </w:r>
      <w:r w:rsidRPr="003D2988">
        <w:rPr>
          <w:rFonts w:ascii="Arial" w:hAnsi="Arial" w:cs="Arial"/>
        </w:rPr>
        <w:t xml:space="preserve">1-8.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10.1590/1983-1447.2017.04.2017-0042.</w:t>
      </w:r>
    </w:p>
    <w:p w14:paraId="0F96CF25" w14:textId="5E6D7CA6" w:rsidR="003D2988" w:rsidRPr="003D2988" w:rsidRDefault="003D2988" w:rsidP="00D9389F">
      <w:pPr>
        <w:pStyle w:val="Body"/>
        <w:rPr>
          <w:rFonts w:ascii="Arial" w:hAnsi="Arial" w:cs="Arial"/>
        </w:rPr>
      </w:pPr>
      <w:r w:rsidRPr="003D2988">
        <w:rPr>
          <w:rFonts w:ascii="Arial" w:hAnsi="Arial" w:cs="Arial"/>
        </w:rPr>
        <w:t>28. Poon</w:t>
      </w:r>
      <w:r w:rsidR="009713DA">
        <w:rPr>
          <w:rFonts w:ascii="Arial" w:hAnsi="Arial" w:cs="Arial"/>
        </w:rPr>
        <w:t>,</w:t>
      </w:r>
      <w:r w:rsidRPr="003D2988">
        <w:rPr>
          <w:rFonts w:ascii="Arial" w:hAnsi="Arial" w:cs="Arial"/>
        </w:rPr>
        <w:t xml:space="preserve"> L</w:t>
      </w:r>
      <w:r w:rsidR="009713DA">
        <w:rPr>
          <w:rFonts w:ascii="Arial" w:hAnsi="Arial" w:cs="Arial"/>
        </w:rPr>
        <w:t xml:space="preserve">. </w:t>
      </w:r>
      <w:r w:rsidRPr="003D2988">
        <w:rPr>
          <w:rFonts w:ascii="Arial" w:hAnsi="Arial" w:cs="Arial"/>
        </w:rPr>
        <w:t>C</w:t>
      </w:r>
      <w:r w:rsidR="009713DA">
        <w:rPr>
          <w:rFonts w:ascii="Arial" w:hAnsi="Arial" w:cs="Arial"/>
        </w:rPr>
        <w:t>.</w:t>
      </w:r>
      <w:r w:rsidRPr="003D2988">
        <w:rPr>
          <w:rFonts w:ascii="Arial" w:hAnsi="Arial" w:cs="Arial"/>
        </w:rPr>
        <w:t>, Shennan</w:t>
      </w:r>
      <w:r w:rsidR="009713DA">
        <w:rPr>
          <w:rFonts w:ascii="Arial" w:hAnsi="Arial" w:cs="Arial"/>
        </w:rPr>
        <w:t>,</w:t>
      </w:r>
      <w:r w:rsidRPr="003D2988">
        <w:rPr>
          <w:rFonts w:ascii="Arial" w:hAnsi="Arial" w:cs="Arial"/>
        </w:rPr>
        <w:t xml:space="preserve"> A</w:t>
      </w:r>
      <w:r w:rsidR="009713DA">
        <w:rPr>
          <w:rFonts w:ascii="Arial" w:hAnsi="Arial" w:cs="Arial"/>
        </w:rPr>
        <w:t>.</w:t>
      </w:r>
      <w:r w:rsidRPr="003D2988">
        <w:rPr>
          <w:rFonts w:ascii="Arial" w:hAnsi="Arial" w:cs="Arial"/>
        </w:rPr>
        <w:t>, Hyett</w:t>
      </w:r>
      <w:r w:rsidR="009713DA">
        <w:rPr>
          <w:rFonts w:ascii="Arial" w:hAnsi="Arial" w:cs="Arial"/>
        </w:rPr>
        <w:t>,</w:t>
      </w:r>
      <w:r w:rsidRPr="003D2988">
        <w:rPr>
          <w:rFonts w:ascii="Arial" w:hAnsi="Arial" w:cs="Arial"/>
        </w:rPr>
        <w:t xml:space="preserve"> J</w:t>
      </w:r>
      <w:r w:rsidR="009713DA">
        <w:rPr>
          <w:rFonts w:ascii="Arial" w:hAnsi="Arial" w:cs="Arial"/>
        </w:rPr>
        <w:t xml:space="preserve">. </w:t>
      </w:r>
      <w:r w:rsidRPr="003D2988">
        <w:rPr>
          <w:rFonts w:ascii="Arial" w:hAnsi="Arial" w:cs="Arial"/>
        </w:rPr>
        <w:t>A</w:t>
      </w:r>
      <w:r w:rsidR="009713DA">
        <w:rPr>
          <w:rFonts w:ascii="Arial" w:hAnsi="Arial" w:cs="Arial"/>
        </w:rPr>
        <w:t>.</w:t>
      </w:r>
      <w:r w:rsidRPr="003D2988">
        <w:rPr>
          <w:rFonts w:ascii="Arial" w:hAnsi="Arial" w:cs="Arial"/>
        </w:rPr>
        <w:t>, Kapur</w:t>
      </w:r>
      <w:r w:rsidR="009713DA">
        <w:rPr>
          <w:rFonts w:ascii="Arial" w:hAnsi="Arial" w:cs="Arial"/>
        </w:rPr>
        <w:t>,</w:t>
      </w:r>
      <w:r w:rsidRPr="003D2988">
        <w:rPr>
          <w:rFonts w:ascii="Arial" w:hAnsi="Arial" w:cs="Arial"/>
        </w:rPr>
        <w:t xml:space="preserve"> A</w:t>
      </w:r>
      <w:r w:rsidR="009713DA">
        <w:rPr>
          <w:rFonts w:ascii="Arial" w:hAnsi="Arial" w:cs="Arial"/>
        </w:rPr>
        <w:t>.</w:t>
      </w:r>
      <w:r w:rsidRPr="003D2988">
        <w:rPr>
          <w:rFonts w:ascii="Arial" w:hAnsi="Arial" w:cs="Arial"/>
        </w:rPr>
        <w:t>, Hadar</w:t>
      </w:r>
      <w:r w:rsidR="009713DA">
        <w:rPr>
          <w:rFonts w:ascii="Arial" w:hAnsi="Arial" w:cs="Arial"/>
        </w:rPr>
        <w:t>,</w:t>
      </w:r>
      <w:r w:rsidRPr="003D2988">
        <w:rPr>
          <w:rFonts w:ascii="Arial" w:hAnsi="Arial" w:cs="Arial"/>
        </w:rPr>
        <w:t xml:space="preserve"> E</w:t>
      </w:r>
      <w:r w:rsidR="009713DA">
        <w:rPr>
          <w:rFonts w:ascii="Arial" w:hAnsi="Arial" w:cs="Arial"/>
        </w:rPr>
        <w:t>.</w:t>
      </w:r>
      <w:r w:rsidRPr="003D2988">
        <w:rPr>
          <w:rFonts w:ascii="Arial" w:hAnsi="Arial" w:cs="Arial"/>
        </w:rPr>
        <w:t>, Divakar</w:t>
      </w:r>
      <w:r w:rsidR="009713DA">
        <w:rPr>
          <w:rFonts w:ascii="Arial" w:hAnsi="Arial" w:cs="Arial"/>
        </w:rPr>
        <w:t>,</w:t>
      </w:r>
      <w:r w:rsidRPr="003D2988">
        <w:rPr>
          <w:rFonts w:ascii="Arial" w:hAnsi="Arial" w:cs="Arial"/>
        </w:rPr>
        <w:t xml:space="preserve"> H</w:t>
      </w:r>
      <w:r w:rsidR="009713DA">
        <w:rPr>
          <w:rFonts w:ascii="Arial" w:hAnsi="Arial" w:cs="Arial"/>
        </w:rPr>
        <w:t>.</w:t>
      </w:r>
      <w:r w:rsidRPr="003D2988">
        <w:rPr>
          <w:rFonts w:ascii="Arial" w:hAnsi="Arial" w:cs="Arial"/>
        </w:rPr>
        <w:t>,</w:t>
      </w:r>
      <w:r w:rsidR="009713DA">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9713DA">
        <w:rPr>
          <w:rFonts w:ascii="Arial" w:hAnsi="Arial" w:cs="Arial"/>
        </w:rPr>
        <w:t xml:space="preserve">(2019). </w:t>
      </w:r>
      <w:r w:rsidRPr="003D2988">
        <w:rPr>
          <w:rFonts w:ascii="Arial" w:hAnsi="Arial" w:cs="Arial"/>
        </w:rPr>
        <w:t>The International Federation of Gynecology and Obstetrics (FIGO) initiative on pre</w:t>
      </w:r>
      <w:r w:rsidRPr="003D2988">
        <w:rPr>
          <w:rFonts w:ascii="Cambria Math" w:hAnsi="Cambria Math" w:cs="Cambria Math"/>
        </w:rPr>
        <w:t>‐</w:t>
      </w:r>
      <w:r w:rsidRPr="003D2988">
        <w:rPr>
          <w:rFonts w:ascii="Arial" w:hAnsi="Arial" w:cs="Arial"/>
        </w:rPr>
        <w:t xml:space="preserve">eclampsia: a pragmatic guide for first-trimester screening and prevention. International Journal </w:t>
      </w:r>
      <w:proofErr w:type="gramStart"/>
      <w:r w:rsidRPr="003D2988">
        <w:rPr>
          <w:rFonts w:ascii="Arial" w:hAnsi="Arial" w:cs="Arial"/>
        </w:rPr>
        <w:t>Of</w:t>
      </w:r>
      <w:proofErr w:type="gramEnd"/>
      <w:r w:rsidRPr="003D2988">
        <w:rPr>
          <w:rFonts w:ascii="Arial" w:hAnsi="Arial" w:cs="Arial"/>
        </w:rPr>
        <w:t xml:space="preserve"> Gynecology &amp; Obstetrics</w:t>
      </w:r>
      <w:r w:rsidR="009713DA">
        <w:rPr>
          <w:rFonts w:ascii="Arial" w:hAnsi="Arial" w:cs="Arial"/>
        </w:rPr>
        <w:t xml:space="preserve">, </w:t>
      </w:r>
      <w:r w:rsidRPr="003D2988">
        <w:rPr>
          <w:rFonts w:ascii="Arial" w:hAnsi="Arial" w:cs="Arial"/>
        </w:rPr>
        <w:t>145(1)</w:t>
      </w:r>
      <w:r w:rsidR="009713DA">
        <w:rPr>
          <w:rFonts w:ascii="Arial" w:hAnsi="Arial" w:cs="Arial"/>
        </w:rPr>
        <w:t xml:space="preserve">, </w:t>
      </w:r>
      <w:r w:rsidRPr="003D2988">
        <w:rPr>
          <w:rFonts w:ascii="Arial" w:hAnsi="Arial" w:cs="Arial"/>
        </w:rPr>
        <w:t xml:space="preserve">1-33. Wiley. </w:t>
      </w:r>
      <w:r w:rsidR="00F116DB" w:rsidRPr="00F116DB">
        <w:rPr>
          <w:rFonts w:ascii="Arial" w:hAnsi="Arial" w:cs="Arial"/>
        </w:rPr>
        <w:t>https://doi.org/</w:t>
      </w:r>
      <w:r w:rsidRPr="003D2988">
        <w:rPr>
          <w:rFonts w:ascii="Arial" w:hAnsi="Arial" w:cs="Arial"/>
        </w:rPr>
        <w:t>10.1002/ijgo.12802.</w:t>
      </w:r>
    </w:p>
    <w:p w14:paraId="2DAA1A3D" w14:textId="101D9B2C" w:rsidR="003D2988" w:rsidRPr="003D2988" w:rsidRDefault="003D2988" w:rsidP="00D9389F">
      <w:pPr>
        <w:pStyle w:val="Body"/>
        <w:rPr>
          <w:rFonts w:ascii="Arial" w:hAnsi="Arial" w:cs="Arial"/>
        </w:rPr>
      </w:pPr>
      <w:r w:rsidRPr="003D2988">
        <w:rPr>
          <w:rFonts w:ascii="Arial" w:hAnsi="Arial" w:cs="Arial"/>
        </w:rPr>
        <w:t>29. Ferreira</w:t>
      </w:r>
      <w:r w:rsidR="009713DA">
        <w:rPr>
          <w:rFonts w:ascii="Arial" w:hAnsi="Arial" w:cs="Arial"/>
        </w:rPr>
        <w:t>,</w:t>
      </w:r>
      <w:r w:rsidRPr="003D2988">
        <w:rPr>
          <w:rFonts w:ascii="Arial" w:hAnsi="Arial" w:cs="Arial"/>
        </w:rPr>
        <w:t xml:space="preserve"> E</w:t>
      </w:r>
      <w:r w:rsidR="009713DA">
        <w:rPr>
          <w:rFonts w:ascii="Arial" w:hAnsi="Arial" w:cs="Arial"/>
        </w:rPr>
        <w:t xml:space="preserve">. </w:t>
      </w:r>
      <w:r w:rsidRPr="003D2988">
        <w:rPr>
          <w:rFonts w:ascii="Arial" w:hAnsi="Arial" w:cs="Arial"/>
        </w:rPr>
        <w:t>T</w:t>
      </w:r>
      <w:r w:rsidR="009713DA">
        <w:rPr>
          <w:rFonts w:ascii="Arial" w:hAnsi="Arial" w:cs="Arial"/>
        </w:rPr>
        <w:t xml:space="preserve">. </w:t>
      </w:r>
      <w:r w:rsidRPr="003D2988">
        <w:rPr>
          <w:rFonts w:ascii="Arial" w:hAnsi="Arial" w:cs="Arial"/>
        </w:rPr>
        <w:t>M</w:t>
      </w:r>
      <w:r w:rsidR="009713DA">
        <w:rPr>
          <w:rFonts w:ascii="Arial" w:hAnsi="Arial" w:cs="Arial"/>
        </w:rPr>
        <w:t>.</w:t>
      </w:r>
      <w:r w:rsidRPr="003D2988">
        <w:rPr>
          <w:rFonts w:ascii="Arial" w:hAnsi="Arial" w:cs="Arial"/>
        </w:rPr>
        <w:t>, Moura</w:t>
      </w:r>
      <w:r w:rsidR="009713DA">
        <w:rPr>
          <w:rFonts w:ascii="Arial" w:hAnsi="Arial" w:cs="Arial"/>
        </w:rPr>
        <w:t>,</w:t>
      </w:r>
      <w:r w:rsidRPr="003D2988">
        <w:rPr>
          <w:rFonts w:ascii="Arial" w:hAnsi="Arial" w:cs="Arial"/>
        </w:rPr>
        <w:t xml:space="preserve"> N</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Gomes</w:t>
      </w:r>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L</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Silva</w:t>
      </w:r>
      <w:r w:rsidR="009713DA">
        <w:rPr>
          <w:rFonts w:ascii="Arial" w:hAnsi="Arial" w:cs="Arial"/>
        </w:rPr>
        <w:t>,</w:t>
      </w:r>
      <w:r w:rsidRPr="003D2988">
        <w:rPr>
          <w:rFonts w:ascii="Arial" w:hAnsi="Arial" w:cs="Arial"/>
        </w:rPr>
        <w:t xml:space="preserve"> E</w:t>
      </w:r>
      <w:r w:rsidR="009713DA">
        <w:rPr>
          <w:rFonts w:ascii="Arial" w:hAnsi="Arial" w:cs="Arial"/>
        </w:rPr>
        <w:t xml:space="preserve">. </w:t>
      </w:r>
      <w:r w:rsidRPr="003D2988">
        <w:rPr>
          <w:rFonts w:ascii="Arial" w:hAnsi="Arial" w:cs="Arial"/>
        </w:rPr>
        <w:t>G</w:t>
      </w:r>
      <w:r w:rsidR="009713DA">
        <w:rPr>
          <w:rFonts w:ascii="Arial" w:hAnsi="Arial" w:cs="Arial"/>
        </w:rPr>
        <w:t>.</w:t>
      </w:r>
      <w:r w:rsidRPr="003D2988">
        <w:rPr>
          <w:rFonts w:ascii="Arial" w:hAnsi="Arial" w:cs="Arial"/>
        </w:rPr>
        <w:t>, Guerreiro</w:t>
      </w:r>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G</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xml:space="preserve">, </w:t>
      </w:r>
      <w:r w:rsidR="009713DA">
        <w:rPr>
          <w:rFonts w:ascii="Arial" w:hAnsi="Arial" w:cs="Arial"/>
        </w:rPr>
        <w:t xml:space="preserve">&amp; </w:t>
      </w:r>
      <w:proofErr w:type="spellStart"/>
      <w:r w:rsidRPr="003D2988">
        <w:rPr>
          <w:rFonts w:ascii="Arial" w:hAnsi="Arial" w:cs="Arial"/>
        </w:rPr>
        <w:t>Oriá</w:t>
      </w:r>
      <w:proofErr w:type="spellEnd"/>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O</w:t>
      </w:r>
      <w:r w:rsidR="009713DA">
        <w:rPr>
          <w:rFonts w:ascii="Arial" w:hAnsi="Arial" w:cs="Arial"/>
        </w:rPr>
        <w:t xml:space="preserve">. </w:t>
      </w:r>
      <w:r w:rsidRPr="003D2988">
        <w:rPr>
          <w:rFonts w:ascii="Arial" w:hAnsi="Arial" w:cs="Arial"/>
        </w:rPr>
        <w:t xml:space="preserve">B. </w:t>
      </w:r>
      <w:r w:rsidR="009713DA">
        <w:rPr>
          <w:rFonts w:ascii="Arial" w:hAnsi="Arial" w:cs="Arial"/>
        </w:rPr>
        <w:t xml:space="preserve">(2019). </w:t>
      </w:r>
      <w:r w:rsidRPr="003D2988">
        <w:rPr>
          <w:rFonts w:ascii="Arial" w:hAnsi="Arial" w:cs="Arial"/>
        </w:rPr>
        <w:t>Maternal characteristics and risk factors for preeclampsia in pregnant women. Rev Rene</w:t>
      </w:r>
      <w:r w:rsidR="009713DA">
        <w:rPr>
          <w:rFonts w:ascii="Arial" w:hAnsi="Arial" w:cs="Arial"/>
        </w:rPr>
        <w:t xml:space="preserve">, </w:t>
      </w:r>
      <w:r w:rsidRPr="003D2988">
        <w:rPr>
          <w:rFonts w:ascii="Arial" w:hAnsi="Arial" w:cs="Arial"/>
        </w:rPr>
        <w:t>20</w:t>
      </w:r>
      <w:r w:rsidR="009713DA">
        <w:rPr>
          <w:rFonts w:ascii="Arial" w:hAnsi="Arial" w:cs="Arial"/>
        </w:rPr>
        <w:t xml:space="preserve">, </w:t>
      </w:r>
      <w:r w:rsidRPr="003D2988">
        <w:rPr>
          <w:rFonts w:ascii="Arial" w:hAnsi="Arial" w:cs="Arial"/>
        </w:rPr>
        <w:t xml:space="preserve">1-7. Rev Rene - </w:t>
      </w:r>
      <w:proofErr w:type="spellStart"/>
      <w:r w:rsidRPr="003D2988">
        <w:rPr>
          <w:rFonts w:ascii="Arial" w:hAnsi="Arial" w:cs="Arial"/>
        </w:rPr>
        <w:t>Revista</w:t>
      </w:r>
      <w:proofErr w:type="spellEnd"/>
      <w:r w:rsidRPr="003D2988">
        <w:rPr>
          <w:rFonts w:ascii="Arial" w:hAnsi="Arial" w:cs="Arial"/>
        </w:rPr>
        <w:t xml:space="preserve"> da Rede de Enfermagem de Nordeste. </w:t>
      </w:r>
      <w:r w:rsidR="00F116DB" w:rsidRPr="00F116DB">
        <w:rPr>
          <w:rFonts w:ascii="Arial" w:hAnsi="Arial" w:cs="Arial"/>
        </w:rPr>
        <w:t>https://doi.org/</w:t>
      </w:r>
      <w:r w:rsidRPr="003D2988">
        <w:rPr>
          <w:rFonts w:ascii="Arial" w:hAnsi="Arial" w:cs="Arial"/>
        </w:rPr>
        <w:t>10.15253/2175-6783.20192040327.</w:t>
      </w:r>
    </w:p>
    <w:p w14:paraId="0AE068CA" w14:textId="01A181BE" w:rsidR="003D2988" w:rsidRPr="003D2988" w:rsidRDefault="003D2988" w:rsidP="00D9389F">
      <w:pPr>
        <w:pStyle w:val="Body"/>
        <w:rPr>
          <w:rFonts w:ascii="Arial" w:hAnsi="Arial" w:cs="Arial"/>
        </w:rPr>
      </w:pPr>
      <w:r w:rsidRPr="003D2988">
        <w:rPr>
          <w:rFonts w:ascii="Arial" w:hAnsi="Arial" w:cs="Arial"/>
        </w:rPr>
        <w:t>30. Grum</w:t>
      </w:r>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Seifu</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Abay</w:t>
      </w:r>
      <w:r w:rsidR="00D9389F">
        <w:rPr>
          <w:rFonts w:ascii="Arial" w:hAnsi="Arial" w:cs="Arial"/>
        </w:rPr>
        <w:t>,</w:t>
      </w:r>
      <w:r w:rsidRPr="003D2988">
        <w:rPr>
          <w:rFonts w:ascii="Arial" w:hAnsi="Arial" w:cs="Arial"/>
        </w:rPr>
        <w:t xml:space="preserve"> M</w:t>
      </w:r>
      <w:r w:rsidR="00D9389F">
        <w:rPr>
          <w:rFonts w:ascii="Arial" w:hAnsi="Arial" w:cs="Arial"/>
        </w:rPr>
        <w:t>.</w:t>
      </w:r>
      <w:r w:rsidRPr="003D2988">
        <w:rPr>
          <w:rFonts w:ascii="Arial" w:hAnsi="Arial" w:cs="Arial"/>
        </w:rPr>
        <w:t xml:space="preserve">, </w:t>
      </w:r>
      <w:proofErr w:type="spellStart"/>
      <w:r w:rsidRPr="003D2988">
        <w:rPr>
          <w:rFonts w:ascii="Arial" w:hAnsi="Arial" w:cs="Arial"/>
        </w:rPr>
        <w:t>Angesom</w:t>
      </w:r>
      <w:proofErr w:type="spellEnd"/>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Tsegay</w:t>
      </w:r>
      <w:r w:rsidR="00D9389F">
        <w:rPr>
          <w:rFonts w:ascii="Arial" w:hAnsi="Arial" w:cs="Arial"/>
        </w:rPr>
        <w:t>,</w:t>
      </w:r>
      <w:r w:rsidRPr="003D2988">
        <w:rPr>
          <w:rFonts w:ascii="Arial" w:hAnsi="Arial" w:cs="Arial"/>
        </w:rPr>
        <w:t xml:space="preserve"> L. </w:t>
      </w:r>
      <w:r w:rsidR="00D9389F">
        <w:rPr>
          <w:rFonts w:ascii="Arial" w:hAnsi="Arial" w:cs="Arial"/>
        </w:rPr>
        <w:t xml:space="preserve">(2017). </w:t>
      </w:r>
      <w:r w:rsidRPr="003D2988">
        <w:rPr>
          <w:rFonts w:ascii="Arial" w:hAnsi="Arial" w:cs="Arial"/>
        </w:rPr>
        <w:t xml:space="preserve">Determinants of pre-eclampsia/Eclampsia among women attending delivery Services in Selected Public Hospitals of Addis Ababa, Ethiopia: a case control study. </w:t>
      </w:r>
      <w:proofErr w:type="spellStart"/>
      <w:r w:rsidRPr="003D2988">
        <w:rPr>
          <w:rFonts w:ascii="Arial" w:hAnsi="Arial" w:cs="Arial"/>
        </w:rPr>
        <w:t>Bmc</w:t>
      </w:r>
      <w:proofErr w:type="spellEnd"/>
      <w:r w:rsidRPr="003D2988">
        <w:rPr>
          <w:rFonts w:ascii="Arial" w:hAnsi="Arial" w:cs="Arial"/>
        </w:rPr>
        <w:t xml:space="preserve"> Pregnancy </w:t>
      </w:r>
      <w:proofErr w:type="gramStart"/>
      <w:r w:rsidRPr="003D2988">
        <w:rPr>
          <w:rFonts w:ascii="Arial" w:hAnsi="Arial" w:cs="Arial"/>
        </w:rPr>
        <w:t>And</w:t>
      </w:r>
      <w:proofErr w:type="gramEnd"/>
      <w:r w:rsidRPr="003D2988">
        <w:rPr>
          <w:rFonts w:ascii="Arial" w:hAnsi="Arial" w:cs="Arial"/>
        </w:rPr>
        <w:t xml:space="preserve"> Childbirth</w:t>
      </w:r>
      <w:r w:rsidR="00D9389F">
        <w:rPr>
          <w:rFonts w:ascii="Arial" w:hAnsi="Arial" w:cs="Arial"/>
        </w:rPr>
        <w:t xml:space="preserve">, </w:t>
      </w:r>
      <w:r w:rsidRPr="003D2988">
        <w:rPr>
          <w:rFonts w:ascii="Arial" w:hAnsi="Arial" w:cs="Arial"/>
        </w:rPr>
        <w:t>17(1)</w:t>
      </w:r>
      <w:r w:rsidR="00D9389F">
        <w:rPr>
          <w:rFonts w:ascii="Arial" w:hAnsi="Arial" w:cs="Arial"/>
        </w:rPr>
        <w:t xml:space="preserve">, </w:t>
      </w:r>
      <w:r w:rsidRPr="003D2988">
        <w:rPr>
          <w:rFonts w:ascii="Arial" w:hAnsi="Arial" w:cs="Arial"/>
        </w:rPr>
        <w:t xml:space="preserve">1-7. Springer Science and Business Media LLC. </w:t>
      </w:r>
      <w:r w:rsidR="00F116DB" w:rsidRPr="00F116DB">
        <w:rPr>
          <w:rFonts w:ascii="Arial" w:hAnsi="Arial" w:cs="Arial"/>
        </w:rPr>
        <w:t>https://doi.org/</w:t>
      </w:r>
      <w:r w:rsidRPr="003D2988">
        <w:rPr>
          <w:rFonts w:ascii="Arial" w:hAnsi="Arial" w:cs="Arial"/>
        </w:rPr>
        <w:t>10.1186/s12884-017-1507-1.</w:t>
      </w:r>
    </w:p>
    <w:p w14:paraId="28FE1052" w14:textId="2BFB048E" w:rsidR="003D2988" w:rsidRPr="003D2988" w:rsidRDefault="003D2988" w:rsidP="00D9389F">
      <w:pPr>
        <w:pStyle w:val="Body"/>
        <w:rPr>
          <w:rFonts w:ascii="Arial" w:hAnsi="Arial" w:cs="Arial"/>
        </w:rPr>
      </w:pPr>
      <w:r w:rsidRPr="003D2988">
        <w:rPr>
          <w:rFonts w:ascii="Arial" w:hAnsi="Arial" w:cs="Arial"/>
        </w:rPr>
        <w:t xml:space="preserve">31. Fernandes, </w:t>
      </w:r>
      <w:r w:rsidR="00F116DB">
        <w:rPr>
          <w:rFonts w:ascii="Arial" w:hAnsi="Arial" w:cs="Arial"/>
        </w:rPr>
        <w:t xml:space="preserve">C. E., &amp; Sá, </w:t>
      </w:r>
      <w:r w:rsidRPr="003D2988">
        <w:rPr>
          <w:rFonts w:ascii="Arial" w:hAnsi="Arial" w:cs="Arial"/>
        </w:rPr>
        <w:t>M</w:t>
      </w:r>
      <w:r w:rsidR="00F116DB">
        <w:rPr>
          <w:rFonts w:ascii="Arial" w:hAnsi="Arial" w:cs="Arial"/>
        </w:rPr>
        <w:t>.</w:t>
      </w:r>
      <w:r w:rsidRPr="003D2988">
        <w:rPr>
          <w:rFonts w:ascii="Arial" w:hAnsi="Arial" w:cs="Arial"/>
        </w:rPr>
        <w:t xml:space="preserve"> F</w:t>
      </w:r>
      <w:r w:rsidR="00F116DB">
        <w:rPr>
          <w:rFonts w:ascii="Arial" w:hAnsi="Arial" w:cs="Arial"/>
        </w:rPr>
        <w:t>.</w:t>
      </w:r>
      <w:r w:rsidRPr="003D2988">
        <w:rPr>
          <w:rFonts w:ascii="Arial" w:hAnsi="Arial" w:cs="Arial"/>
        </w:rPr>
        <w:t xml:space="preserve"> S</w:t>
      </w:r>
      <w:r w:rsidR="00F116DB">
        <w:rPr>
          <w:rFonts w:ascii="Arial" w:hAnsi="Arial" w:cs="Arial"/>
        </w:rPr>
        <w:t>.</w:t>
      </w:r>
      <w:r w:rsidRPr="003D2988">
        <w:rPr>
          <w:rFonts w:ascii="Arial" w:hAnsi="Arial" w:cs="Arial"/>
        </w:rPr>
        <w:t xml:space="preserve"> </w:t>
      </w:r>
      <w:r w:rsidR="00F116DB">
        <w:rPr>
          <w:rFonts w:ascii="Arial" w:hAnsi="Arial" w:cs="Arial"/>
        </w:rPr>
        <w:t>(Eds.)</w:t>
      </w:r>
      <w:r w:rsidRPr="003D2988">
        <w:rPr>
          <w:rFonts w:ascii="Arial" w:hAnsi="Arial" w:cs="Arial"/>
        </w:rPr>
        <w:t xml:space="preserve">. </w:t>
      </w:r>
      <w:r w:rsidR="00F116DB">
        <w:rPr>
          <w:rFonts w:ascii="Arial" w:hAnsi="Arial" w:cs="Arial"/>
        </w:rPr>
        <w:t xml:space="preserve">(2019). </w:t>
      </w:r>
      <w:proofErr w:type="spellStart"/>
      <w:r w:rsidR="00F116DB">
        <w:rPr>
          <w:rFonts w:ascii="Arial" w:hAnsi="Arial" w:cs="Arial"/>
        </w:rPr>
        <w:t>Tratado</w:t>
      </w:r>
      <w:proofErr w:type="spellEnd"/>
      <w:r w:rsidR="00F116DB">
        <w:rPr>
          <w:rFonts w:ascii="Arial" w:hAnsi="Arial" w:cs="Arial"/>
        </w:rPr>
        <w:t xml:space="preserve"> de </w:t>
      </w:r>
      <w:proofErr w:type="spellStart"/>
      <w:r w:rsidR="00F116DB">
        <w:rPr>
          <w:rFonts w:ascii="Arial" w:hAnsi="Arial" w:cs="Arial"/>
        </w:rPr>
        <w:t>Obstetrícia</w:t>
      </w:r>
      <w:proofErr w:type="spellEnd"/>
      <w:r w:rsidR="00F116DB">
        <w:rPr>
          <w:rFonts w:ascii="Arial" w:hAnsi="Arial" w:cs="Arial"/>
        </w:rPr>
        <w:t xml:space="preserve"> FEBRASGO (1</w:t>
      </w:r>
      <w:r w:rsidR="00F116DB" w:rsidRPr="00F116DB">
        <w:rPr>
          <w:rFonts w:ascii="Arial" w:hAnsi="Arial" w:cs="Arial"/>
          <w:vertAlign w:val="superscript"/>
        </w:rPr>
        <w:t>st</w:t>
      </w:r>
      <w:r w:rsidR="00F116DB">
        <w:rPr>
          <w:rFonts w:ascii="Arial" w:hAnsi="Arial" w:cs="Arial"/>
        </w:rPr>
        <w:t xml:space="preserve"> ed.). </w:t>
      </w:r>
      <w:r w:rsidRPr="003D2988">
        <w:rPr>
          <w:rFonts w:ascii="Arial" w:hAnsi="Arial" w:cs="Arial"/>
        </w:rPr>
        <w:t>Elsevier.</w:t>
      </w:r>
    </w:p>
    <w:p w14:paraId="5D50955A" w14:textId="046BA46E" w:rsidR="003D2988" w:rsidRPr="003D2988" w:rsidRDefault="003D2988" w:rsidP="00D9389F">
      <w:pPr>
        <w:pStyle w:val="Body"/>
        <w:rPr>
          <w:rFonts w:ascii="Arial" w:hAnsi="Arial" w:cs="Arial"/>
        </w:rPr>
      </w:pPr>
      <w:r w:rsidRPr="003D2988">
        <w:rPr>
          <w:rFonts w:ascii="Arial" w:hAnsi="Arial" w:cs="Arial"/>
        </w:rPr>
        <w:lastRenderedPageBreak/>
        <w:t xml:space="preserve">32. </w:t>
      </w: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C</w:t>
      </w:r>
      <w:r w:rsidR="00D9389F">
        <w:rPr>
          <w:rFonts w:ascii="Arial" w:hAnsi="Arial" w:cs="Arial"/>
        </w:rPr>
        <w:t>.</w:t>
      </w:r>
      <w:r w:rsidRPr="003D2988">
        <w:rPr>
          <w:rFonts w:ascii="Arial" w:hAnsi="Arial" w:cs="Arial"/>
        </w:rPr>
        <w:t xml:space="preserve">, </w:t>
      </w: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Petrica</w:t>
      </w:r>
      <w:r w:rsidR="00D9389F">
        <w:rPr>
          <w:rFonts w:ascii="Arial" w:hAnsi="Arial" w:cs="Arial"/>
        </w:rPr>
        <w:t>,</w:t>
      </w:r>
      <w:r w:rsidRPr="003D2988">
        <w:rPr>
          <w:rFonts w:ascii="Arial" w:hAnsi="Arial" w:cs="Arial"/>
        </w:rPr>
        <w:t xml:space="preserve"> L</w:t>
      </w:r>
      <w:r w:rsidR="00D9389F">
        <w:rPr>
          <w:rFonts w:ascii="Arial" w:hAnsi="Arial" w:cs="Arial"/>
        </w:rPr>
        <w:t>.</w:t>
      </w:r>
      <w:r w:rsidRPr="003D2988">
        <w:rPr>
          <w:rFonts w:ascii="Arial" w:hAnsi="Arial" w:cs="Arial"/>
        </w:rPr>
        <w:t xml:space="preserve">, </w:t>
      </w:r>
      <w:proofErr w:type="spellStart"/>
      <w:r w:rsidRPr="003D2988">
        <w:rPr>
          <w:rFonts w:ascii="Arial" w:hAnsi="Arial" w:cs="Arial"/>
        </w:rPr>
        <w:t>Velciov</w:t>
      </w:r>
      <w:proofErr w:type="spellEnd"/>
      <w:r w:rsidR="00D9389F">
        <w:rPr>
          <w:rFonts w:ascii="Arial" w:hAnsi="Arial" w:cs="Arial"/>
        </w:rPr>
        <w:t>,</w:t>
      </w:r>
      <w:r w:rsidRPr="003D2988">
        <w:rPr>
          <w:rFonts w:ascii="Arial" w:hAnsi="Arial" w:cs="Arial"/>
        </w:rPr>
        <w:t xml:space="preserve"> S</w:t>
      </w:r>
      <w:r w:rsidR="00D9389F">
        <w:rPr>
          <w:rFonts w:ascii="Arial" w:hAnsi="Arial" w:cs="Arial"/>
        </w:rPr>
        <w:t>.</w:t>
      </w:r>
      <w:r w:rsidRPr="003D2988">
        <w:rPr>
          <w:rFonts w:ascii="Arial" w:hAnsi="Arial" w:cs="Arial"/>
        </w:rPr>
        <w:t xml:space="preserve">, </w:t>
      </w:r>
      <w:r w:rsidR="00D9389F">
        <w:rPr>
          <w:rFonts w:ascii="Arial" w:hAnsi="Arial" w:cs="Arial"/>
        </w:rPr>
        <w:t xml:space="preserve">&amp; </w:t>
      </w: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w:t>
      </w:r>
      <w:r w:rsidR="00D9389F">
        <w:rPr>
          <w:rFonts w:ascii="Arial" w:hAnsi="Arial" w:cs="Arial"/>
        </w:rPr>
        <w:t xml:space="preserve">(2015). </w:t>
      </w:r>
      <w:r w:rsidRPr="003D2988">
        <w:rPr>
          <w:rFonts w:ascii="Arial" w:hAnsi="Arial" w:cs="Arial"/>
        </w:rPr>
        <w:t xml:space="preserve">A Pregnancy Associated with Systemic Lupus Erythematosus: immune tolerance in pregnancy and its deficiency in systemic lupus </w:t>
      </w:r>
      <w:proofErr w:type="spellStart"/>
      <w:r w:rsidRPr="003D2988">
        <w:rPr>
          <w:rFonts w:ascii="Arial" w:hAnsi="Arial" w:cs="Arial"/>
        </w:rPr>
        <w:t>erythematosus</w:t>
      </w:r>
      <w:r w:rsidRPr="003D2988">
        <w:rPr>
          <w:rFonts w:ascii="Segoe UI Symbol" w:hAnsi="Segoe UI Symbol" w:cs="Segoe UI Symbol"/>
        </w:rPr>
        <w:t>⠴</w:t>
      </w:r>
      <w:r w:rsidRPr="003D2988">
        <w:rPr>
          <w:rFonts w:ascii="Arial" w:hAnsi="Arial" w:cs="Arial"/>
        </w:rPr>
        <w:t>an</w:t>
      </w:r>
      <w:proofErr w:type="spellEnd"/>
      <w:r w:rsidRPr="003D2988">
        <w:rPr>
          <w:rFonts w:ascii="Arial" w:hAnsi="Arial" w:cs="Arial"/>
        </w:rPr>
        <w:t xml:space="preserve"> immunological dilemma. Journal Of Immunology Research</w:t>
      </w:r>
      <w:r w:rsidR="00D9389F">
        <w:rPr>
          <w:rFonts w:ascii="Arial" w:hAnsi="Arial" w:cs="Arial"/>
        </w:rPr>
        <w:t xml:space="preserve">, </w:t>
      </w:r>
      <w:r w:rsidRPr="003D2988">
        <w:rPr>
          <w:rFonts w:ascii="Arial" w:hAnsi="Arial" w:cs="Arial"/>
        </w:rPr>
        <w:t>2015</w:t>
      </w:r>
      <w:r w:rsidR="00D9389F">
        <w:rPr>
          <w:rFonts w:ascii="Arial" w:hAnsi="Arial" w:cs="Arial"/>
        </w:rPr>
        <w:t xml:space="preserve">, </w:t>
      </w:r>
      <w:r w:rsidRPr="003D2988">
        <w:rPr>
          <w:rFonts w:ascii="Arial" w:hAnsi="Arial" w:cs="Arial"/>
        </w:rPr>
        <w:t xml:space="preserve">1-11. </w:t>
      </w:r>
      <w:proofErr w:type="spellStart"/>
      <w:r w:rsidRPr="003D2988">
        <w:rPr>
          <w:rFonts w:ascii="Arial" w:hAnsi="Arial" w:cs="Arial"/>
        </w:rPr>
        <w:t>Hindawi</w:t>
      </w:r>
      <w:proofErr w:type="spellEnd"/>
      <w:r w:rsidRPr="003D2988">
        <w:rPr>
          <w:rFonts w:ascii="Arial" w:hAnsi="Arial" w:cs="Arial"/>
        </w:rPr>
        <w:t xml:space="preserve"> Limited. </w:t>
      </w:r>
      <w:r w:rsidR="00F116DB" w:rsidRPr="00F116DB">
        <w:rPr>
          <w:rFonts w:ascii="Arial" w:hAnsi="Arial" w:cs="Arial"/>
        </w:rPr>
        <w:t>https://doi.org/</w:t>
      </w:r>
      <w:r w:rsidRPr="003D2988">
        <w:rPr>
          <w:rFonts w:ascii="Arial" w:hAnsi="Arial" w:cs="Arial"/>
        </w:rPr>
        <w:t>10.1155/2015/241547.</w:t>
      </w:r>
    </w:p>
    <w:p w14:paraId="4C12798B" w14:textId="0EDF5FDD" w:rsidR="003D2988" w:rsidRPr="003D2988" w:rsidRDefault="003D2988" w:rsidP="00D9389F">
      <w:pPr>
        <w:pStyle w:val="Body"/>
        <w:rPr>
          <w:rFonts w:ascii="Arial" w:hAnsi="Arial" w:cs="Arial"/>
        </w:rPr>
      </w:pPr>
      <w:r w:rsidRPr="003D2988">
        <w:rPr>
          <w:rFonts w:ascii="Arial" w:hAnsi="Arial" w:cs="Arial"/>
        </w:rPr>
        <w:t>33. Braga</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Barros</w:t>
      </w:r>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Faria</w:t>
      </w:r>
      <w:r w:rsidR="00D9389F">
        <w:rPr>
          <w:rFonts w:ascii="Arial" w:hAnsi="Arial" w:cs="Arial"/>
        </w:rPr>
        <w:t>,</w:t>
      </w:r>
      <w:r w:rsidRPr="003D2988">
        <w:rPr>
          <w:rFonts w:ascii="Arial" w:hAnsi="Arial" w:cs="Arial"/>
        </w:rPr>
        <w:t xml:space="preserve"> R</w:t>
      </w:r>
      <w:r w:rsidR="00D9389F">
        <w:rPr>
          <w:rFonts w:ascii="Arial" w:hAnsi="Arial" w:cs="Arial"/>
        </w:rPr>
        <w:t>.</w:t>
      </w:r>
      <w:r w:rsidRPr="003D2988">
        <w:rPr>
          <w:rFonts w:ascii="Arial" w:hAnsi="Arial" w:cs="Arial"/>
        </w:rPr>
        <w:t>, Marinho</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Carvalheira</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Rocha</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377F9A" w:rsidRPr="00377F9A">
        <w:rPr>
          <w:rFonts w:ascii="Arial" w:hAnsi="Arial" w:cs="Arial"/>
          <w:i/>
          <w:iCs/>
        </w:rPr>
        <w:t>et al.</w:t>
      </w:r>
      <w:r w:rsidR="00D9389F">
        <w:rPr>
          <w:rFonts w:ascii="Arial" w:hAnsi="Arial" w:cs="Arial"/>
        </w:rPr>
        <w:t xml:space="preserve"> (2021)</w:t>
      </w:r>
      <w:r w:rsidRPr="003D2988">
        <w:rPr>
          <w:rFonts w:ascii="Arial" w:hAnsi="Arial" w:cs="Arial"/>
        </w:rPr>
        <w:t xml:space="preserve">. Systemic lupus erythematosus and pregnancy: a retrospective single-center study of 215 pregnancies from </w:t>
      </w:r>
      <w:proofErr w:type="spellStart"/>
      <w:r w:rsidRPr="003D2988">
        <w:rPr>
          <w:rFonts w:ascii="Arial" w:hAnsi="Arial" w:cs="Arial"/>
        </w:rPr>
        <w:t>portugal</w:t>
      </w:r>
      <w:proofErr w:type="spellEnd"/>
      <w:r w:rsidRPr="003D2988">
        <w:rPr>
          <w:rFonts w:ascii="Arial" w:hAnsi="Arial" w:cs="Arial"/>
        </w:rPr>
        <w:t>. Lupus</w:t>
      </w:r>
      <w:r w:rsidR="00D9389F">
        <w:rPr>
          <w:rFonts w:ascii="Arial" w:hAnsi="Arial" w:cs="Arial"/>
        </w:rPr>
        <w:t xml:space="preserve">, </w:t>
      </w:r>
      <w:r w:rsidRPr="003D2988">
        <w:rPr>
          <w:rFonts w:ascii="Arial" w:hAnsi="Arial" w:cs="Arial"/>
        </w:rPr>
        <w:t>30(13)</w:t>
      </w:r>
      <w:r w:rsidR="00D9389F">
        <w:rPr>
          <w:rFonts w:ascii="Arial" w:hAnsi="Arial" w:cs="Arial"/>
        </w:rPr>
        <w:t xml:space="preserve">, </w:t>
      </w:r>
      <w:r w:rsidRPr="003D2988">
        <w:rPr>
          <w:rFonts w:ascii="Arial" w:hAnsi="Arial" w:cs="Arial"/>
        </w:rPr>
        <w:t xml:space="preserve">2165-2175. SAGE Publications. </w:t>
      </w:r>
      <w:r w:rsidR="00F116DB" w:rsidRPr="00F116DB">
        <w:rPr>
          <w:rFonts w:ascii="Arial" w:hAnsi="Arial" w:cs="Arial"/>
        </w:rPr>
        <w:t>https://doi.org/</w:t>
      </w:r>
      <w:r w:rsidRPr="003D2988">
        <w:rPr>
          <w:rFonts w:ascii="Arial" w:hAnsi="Arial" w:cs="Arial"/>
        </w:rPr>
        <w:t>10.1177/09612033211050340.</w:t>
      </w:r>
    </w:p>
    <w:p w14:paraId="18FA8332" w14:textId="2C8A542C" w:rsidR="003D2988" w:rsidRPr="003D2988" w:rsidRDefault="003D2988" w:rsidP="00D9389F">
      <w:pPr>
        <w:pStyle w:val="Body"/>
        <w:rPr>
          <w:rFonts w:ascii="Arial" w:hAnsi="Arial" w:cs="Arial"/>
        </w:rPr>
      </w:pPr>
      <w:r w:rsidRPr="003D2988">
        <w:rPr>
          <w:rFonts w:ascii="Arial" w:hAnsi="Arial" w:cs="Arial"/>
        </w:rPr>
        <w:t>34. Bartsch</w:t>
      </w:r>
      <w:r w:rsidR="00D9389F">
        <w:rPr>
          <w:rFonts w:ascii="Arial" w:hAnsi="Arial" w:cs="Arial"/>
        </w:rPr>
        <w:t>,</w:t>
      </w:r>
      <w:r w:rsidRPr="003D2988">
        <w:rPr>
          <w:rFonts w:ascii="Arial" w:hAnsi="Arial" w:cs="Arial"/>
        </w:rPr>
        <w:t xml:space="preserve"> E</w:t>
      </w:r>
      <w:r w:rsidR="00D9389F">
        <w:rPr>
          <w:rFonts w:ascii="Arial" w:hAnsi="Arial" w:cs="Arial"/>
        </w:rPr>
        <w:t>.</w:t>
      </w:r>
      <w:r w:rsidRPr="003D2988">
        <w:rPr>
          <w:rFonts w:ascii="Arial" w:hAnsi="Arial" w:cs="Arial"/>
        </w:rPr>
        <w:t>, Medcalf</w:t>
      </w:r>
      <w:r w:rsidR="00D9389F">
        <w:rPr>
          <w:rFonts w:ascii="Arial" w:hAnsi="Arial" w:cs="Arial"/>
        </w:rPr>
        <w:t>,</w:t>
      </w:r>
      <w:r w:rsidRPr="003D2988">
        <w:rPr>
          <w:rFonts w:ascii="Arial" w:hAnsi="Arial" w:cs="Arial"/>
        </w:rPr>
        <w:t xml:space="preserve"> K</w:t>
      </w:r>
      <w:r w:rsidR="00D9389F">
        <w:rPr>
          <w:rFonts w:ascii="Arial" w:hAnsi="Arial" w:cs="Arial"/>
        </w:rPr>
        <w:t xml:space="preserve">. </w:t>
      </w:r>
      <w:r w:rsidRPr="003D2988">
        <w:rPr>
          <w:rFonts w:ascii="Arial" w:hAnsi="Arial" w:cs="Arial"/>
        </w:rPr>
        <w:t>E</w:t>
      </w:r>
      <w:r w:rsidR="00D9389F">
        <w:rPr>
          <w:rFonts w:ascii="Arial" w:hAnsi="Arial" w:cs="Arial"/>
        </w:rPr>
        <w:t>.</w:t>
      </w:r>
      <w:r w:rsidRPr="003D2988">
        <w:rPr>
          <w:rFonts w:ascii="Arial" w:hAnsi="Arial" w:cs="Arial"/>
        </w:rPr>
        <w:t>, Park</w:t>
      </w:r>
      <w:r w:rsidR="00D9389F">
        <w:rPr>
          <w:rFonts w:ascii="Arial" w:hAnsi="Arial" w:cs="Arial"/>
        </w:rPr>
        <w:t>,</w:t>
      </w:r>
      <w:r w:rsidRPr="003D2988">
        <w:rPr>
          <w:rFonts w:ascii="Arial" w:hAnsi="Arial" w:cs="Arial"/>
        </w:rPr>
        <w:t xml:space="preserve"> A</w:t>
      </w:r>
      <w:r w:rsidR="00D9389F">
        <w:rPr>
          <w:rFonts w:ascii="Arial" w:hAnsi="Arial" w:cs="Arial"/>
        </w:rPr>
        <w:t xml:space="preserve">. </w:t>
      </w:r>
      <w:r w:rsidRPr="003D2988">
        <w:rPr>
          <w:rFonts w:ascii="Arial" w:hAnsi="Arial" w:cs="Arial"/>
        </w:rPr>
        <w:t>L</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Ray</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 xml:space="preserve">G. </w:t>
      </w:r>
      <w:r w:rsidR="00D9389F">
        <w:rPr>
          <w:rFonts w:ascii="Arial" w:hAnsi="Arial" w:cs="Arial"/>
        </w:rPr>
        <w:t xml:space="preserve">(2016). </w:t>
      </w:r>
      <w:r w:rsidRPr="003D2988">
        <w:rPr>
          <w:rFonts w:ascii="Arial" w:hAnsi="Arial" w:cs="Arial"/>
        </w:rPr>
        <w:t>Clinical risk factors for pre-eclampsia determined in early pregnancy: systematic review and meta-analysis of large cohort studies. BMJ</w:t>
      </w:r>
      <w:r w:rsidR="00D9389F">
        <w:rPr>
          <w:rFonts w:ascii="Arial" w:hAnsi="Arial" w:cs="Arial"/>
        </w:rPr>
        <w:t xml:space="preserve">, </w:t>
      </w:r>
      <w:r w:rsidRPr="003D2988">
        <w:rPr>
          <w:rFonts w:ascii="Arial" w:hAnsi="Arial" w:cs="Arial"/>
        </w:rPr>
        <w:t>353</w:t>
      </w:r>
      <w:r w:rsidR="00D9389F">
        <w:rPr>
          <w:rFonts w:ascii="Arial" w:hAnsi="Arial" w:cs="Arial"/>
        </w:rPr>
        <w:t xml:space="preserve">, </w:t>
      </w:r>
      <w:r w:rsidRPr="003D2988">
        <w:rPr>
          <w:rFonts w:ascii="Arial" w:hAnsi="Arial" w:cs="Arial"/>
        </w:rPr>
        <w:t xml:space="preserve">1-10. </w:t>
      </w:r>
      <w:r w:rsidR="00F116DB" w:rsidRPr="00F116DB">
        <w:rPr>
          <w:rFonts w:ascii="Arial" w:hAnsi="Arial" w:cs="Arial"/>
        </w:rPr>
        <w:t>https://doi.org/</w:t>
      </w:r>
      <w:r w:rsidRPr="003D2988">
        <w:rPr>
          <w:rFonts w:ascii="Arial" w:hAnsi="Arial" w:cs="Arial"/>
        </w:rPr>
        <w:t>10.1136/bmj.i1753.</w:t>
      </w:r>
    </w:p>
    <w:p w14:paraId="3F0BF786" w14:textId="0BE4A610" w:rsidR="003D2988" w:rsidRPr="003D2988" w:rsidRDefault="003D2988" w:rsidP="00D9389F">
      <w:pPr>
        <w:pStyle w:val="Body"/>
        <w:rPr>
          <w:rFonts w:ascii="Arial" w:hAnsi="Arial" w:cs="Arial"/>
        </w:rPr>
      </w:pPr>
      <w:r w:rsidRPr="003D2988">
        <w:rPr>
          <w:rFonts w:ascii="Arial" w:hAnsi="Arial" w:cs="Arial"/>
        </w:rPr>
        <w:t>35. Tedeschi</w:t>
      </w:r>
      <w:r w:rsidR="00D9389F">
        <w:rPr>
          <w:rFonts w:ascii="Arial" w:hAnsi="Arial" w:cs="Arial"/>
        </w:rPr>
        <w:t>,</w:t>
      </w:r>
      <w:r w:rsidRPr="003D2988">
        <w:rPr>
          <w:rFonts w:ascii="Arial" w:hAnsi="Arial" w:cs="Arial"/>
        </w:rPr>
        <w:t xml:space="preserve"> S</w:t>
      </w:r>
      <w:r w:rsidR="00D9389F">
        <w:rPr>
          <w:rFonts w:ascii="Arial" w:hAnsi="Arial" w:cs="Arial"/>
        </w:rPr>
        <w:t xml:space="preserve">. </w:t>
      </w:r>
      <w:r w:rsidRPr="003D2988">
        <w:rPr>
          <w:rFonts w:ascii="Arial" w:hAnsi="Arial" w:cs="Arial"/>
        </w:rPr>
        <w:t>K</w:t>
      </w:r>
      <w:r w:rsidR="00D9389F">
        <w:rPr>
          <w:rFonts w:ascii="Arial" w:hAnsi="Arial" w:cs="Arial"/>
        </w:rPr>
        <w:t>.</w:t>
      </w:r>
      <w:r w:rsidRPr="003D2988">
        <w:rPr>
          <w:rFonts w:ascii="Arial" w:hAnsi="Arial" w:cs="Arial"/>
        </w:rPr>
        <w:t>, Guan</w:t>
      </w:r>
      <w:r w:rsidR="00D9389F">
        <w:rPr>
          <w:rFonts w:ascii="Arial" w:hAnsi="Arial" w:cs="Arial"/>
        </w:rPr>
        <w:t>,</w:t>
      </w:r>
      <w:r w:rsidRPr="003D2988">
        <w:rPr>
          <w:rFonts w:ascii="Arial" w:hAnsi="Arial" w:cs="Arial"/>
        </w:rPr>
        <w:t xml:space="preserve"> H</w:t>
      </w:r>
      <w:r w:rsidR="00D9389F">
        <w:rPr>
          <w:rFonts w:ascii="Arial" w:hAnsi="Arial" w:cs="Arial"/>
        </w:rPr>
        <w:t>.</w:t>
      </w:r>
      <w:r w:rsidRPr="003D2988">
        <w:rPr>
          <w:rFonts w:ascii="Arial" w:hAnsi="Arial" w:cs="Arial"/>
        </w:rPr>
        <w:t>, Fine</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Costenbader</w:t>
      </w:r>
      <w:r w:rsidR="00D9389F">
        <w:rPr>
          <w:rFonts w:ascii="Arial" w:hAnsi="Arial" w:cs="Arial"/>
        </w:rPr>
        <w:t>,</w:t>
      </w:r>
      <w:r w:rsidRPr="003D2988">
        <w:rPr>
          <w:rFonts w:ascii="Arial" w:hAnsi="Arial" w:cs="Arial"/>
        </w:rPr>
        <w:t xml:space="preserve"> K</w:t>
      </w:r>
      <w:r w:rsidR="00D9389F">
        <w:rPr>
          <w:rFonts w:ascii="Arial" w:hAnsi="Arial" w:cs="Arial"/>
        </w:rPr>
        <w:t xml:space="preserve">. </w:t>
      </w:r>
      <w:r w:rsidRPr="003D2988">
        <w:rPr>
          <w:rFonts w:ascii="Arial" w:hAnsi="Arial" w:cs="Arial"/>
        </w:rPr>
        <w:t>H</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Bermas</w:t>
      </w:r>
      <w:r w:rsidR="00D9389F">
        <w:rPr>
          <w:rFonts w:ascii="Arial" w:hAnsi="Arial" w:cs="Arial"/>
        </w:rPr>
        <w:t>,</w:t>
      </w:r>
      <w:r w:rsidRPr="003D2988">
        <w:rPr>
          <w:rFonts w:ascii="Arial" w:hAnsi="Arial" w:cs="Arial"/>
        </w:rPr>
        <w:t xml:space="preserve"> B. </w:t>
      </w:r>
      <w:r w:rsidR="00D9389F">
        <w:rPr>
          <w:rFonts w:ascii="Arial" w:hAnsi="Arial" w:cs="Arial"/>
        </w:rPr>
        <w:t xml:space="preserve">(2016). </w:t>
      </w:r>
      <w:r w:rsidRPr="003D2988">
        <w:rPr>
          <w:rFonts w:ascii="Arial" w:hAnsi="Arial" w:cs="Arial"/>
        </w:rPr>
        <w:t>Organ-specific systemic lupus erythematosus activity during pregnancy is associated with adverse pregnancy outcomes. Clinical Rheumatology</w:t>
      </w:r>
      <w:r w:rsidR="00D9389F">
        <w:rPr>
          <w:rFonts w:ascii="Arial" w:hAnsi="Arial" w:cs="Arial"/>
        </w:rPr>
        <w:t xml:space="preserve">, </w:t>
      </w:r>
      <w:r w:rsidRPr="003D2988">
        <w:rPr>
          <w:rFonts w:ascii="Arial" w:hAnsi="Arial" w:cs="Arial"/>
        </w:rPr>
        <w:t>35(7)</w:t>
      </w:r>
      <w:r w:rsidR="00D9389F">
        <w:rPr>
          <w:rFonts w:ascii="Arial" w:hAnsi="Arial" w:cs="Arial"/>
        </w:rPr>
        <w:t xml:space="preserve">, </w:t>
      </w:r>
      <w:r w:rsidRPr="003D2988">
        <w:rPr>
          <w:rFonts w:ascii="Arial" w:hAnsi="Arial" w:cs="Arial"/>
        </w:rPr>
        <w:t xml:space="preserve">1725-1732. Springer Science and Business Media LLC. </w:t>
      </w:r>
      <w:r w:rsidR="00F116DB" w:rsidRPr="00F116DB">
        <w:rPr>
          <w:rFonts w:ascii="Arial" w:hAnsi="Arial" w:cs="Arial"/>
        </w:rPr>
        <w:t>https://doi.org/</w:t>
      </w:r>
      <w:r w:rsidRPr="003D2988">
        <w:rPr>
          <w:rFonts w:ascii="Arial" w:hAnsi="Arial" w:cs="Arial"/>
        </w:rPr>
        <w:t>10.1007/s10067-016-3270-5.</w:t>
      </w:r>
    </w:p>
    <w:p w14:paraId="55920C53" w14:textId="2C1C3688" w:rsidR="00F116DB" w:rsidRPr="003D2988" w:rsidRDefault="003D2988" w:rsidP="00D9389F">
      <w:pPr>
        <w:pStyle w:val="Body"/>
        <w:rPr>
          <w:rFonts w:ascii="Arial" w:hAnsi="Arial" w:cs="Arial"/>
        </w:rPr>
      </w:pPr>
      <w:r w:rsidRPr="003D2988">
        <w:rPr>
          <w:rFonts w:ascii="Arial" w:hAnsi="Arial" w:cs="Arial"/>
        </w:rPr>
        <w:t>36. R</w:t>
      </w:r>
      <w:r w:rsidR="00F116DB" w:rsidRPr="003D2988">
        <w:rPr>
          <w:rFonts w:ascii="Arial" w:hAnsi="Arial" w:cs="Arial"/>
        </w:rPr>
        <w:t>obbins</w:t>
      </w:r>
      <w:r w:rsidR="00F116DB">
        <w:rPr>
          <w:rFonts w:ascii="Arial" w:hAnsi="Arial" w:cs="Arial"/>
        </w:rPr>
        <w:t>,</w:t>
      </w:r>
      <w:r w:rsidRPr="003D2988">
        <w:rPr>
          <w:rFonts w:ascii="Arial" w:hAnsi="Arial" w:cs="Arial"/>
        </w:rPr>
        <w:t xml:space="preserve"> S</w:t>
      </w:r>
      <w:r w:rsidR="00F116DB">
        <w:rPr>
          <w:rFonts w:ascii="Arial" w:hAnsi="Arial" w:cs="Arial"/>
        </w:rPr>
        <w:t xml:space="preserve">. </w:t>
      </w:r>
      <w:r w:rsidRPr="003D2988">
        <w:rPr>
          <w:rFonts w:ascii="Arial" w:hAnsi="Arial" w:cs="Arial"/>
        </w:rPr>
        <w:t>L</w:t>
      </w:r>
      <w:r w:rsidR="00F116DB">
        <w:rPr>
          <w:rFonts w:ascii="Arial" w:hAnsi="Arial" w:cs="Arial"/>
        </w:rPr>
        <w:t>.</w:t>
      </w:r>
      <w:r w:rsidRPr="003D2988">
        <w:rPr>
          <w:rFonts w:ascii="Arial" w:hAnsi="Arial" w:cs="Arial"/>
        </w:rPr>
        <w:t xml:space="preserve">, </w:t>
      </w:r>
      <w:proofErr w:type="spellStart"/>
      <w:r w:rsidR="001E2533">
        <w:rPr>
          <w:rFonts w:ascii="Arial" w:hAnsi="Arial" w:cs="Arial"/>
        </w:rPr>
        <w:t>C</w:t>
      </w:r>
      <w:r w:rsidR="001E2533" w:rsidRPr="003D2988">
        <w:rPr>
          <w:rFonts w:ascii="Arial" w:hAnsi="Arial" w:cs="Arial"/>
        </w:rPr>
        <w:t>otran</w:t>
      </w:r>
      <w:proofErr w:type="spellEnd"/>
      <w:r w:rsidR="00F116DB">
        <w:rPr>
          <w:rFonts w:ascii="Arial" w:hAnsi="Arial" w:cs="Arial"/>
        </w:rPr>
        <w:t>,</w:t>
      </w:r>
      <w:r w:rsidRPr="003D2988">
        <w:rPr>
          <w:rFonts w:ascii="Arial" w:hAnsi="Arial" w:cs="Arial"/>
        </w:rPr>
        <w:t xml:space="preserve"> R</w:t>
      </w:r>
      <w:r w:rsidR="00F116DB">
        <w:rPr>
          <w:rFonts w:ascii="Arial" w:hAnsi="Arial" w:cs="Arial"/>
        </w:rPr>
        <w:t xml:space="preserve">. </w:t>
      </w:r>
      <w:r w:rsidRPr="003D2988">
        <w:rPr>
          <w:rFonts w:ascii="Arial" w:hAnsi="Arial" w:cs="Arial"/>
        </w:rPr>
        <w:t>S</w:t>
      </w:r>
      <w:r w:rsidR="00F116DB">
        <w:rPr>
          <w:rFonts w:ascii="Arial" w:hAnsi="Arial" w:cs="Arial"/>
        </w:rPr>
        <w:t>.</w:t>
      </w:r>
      <w:r w:rsidRPr="003D2988">
        <w:rPr>
          <w:rFonts w:ascii="Arial" w:hAnsi="Arial" w:cs="Arial"/>
        </w:rPr>
        <w:t>,</w:t>
      </w:r>
      <w:r w:rsidR="00F116DB">
        <w:rPr>
          <w:rFonts w:ascii="Arial" w:hAnsi="Arial" w:cs="Arial"/>
        </w:rPr>
        <w:t xml:space="preserve"> &amp;</w:t>
      </w:r>
      <w:r w:rsidRPr="003D2988">
        <w:rPr>
          <w:rFonts w:ascii="Arial" w:hAnsi="Arial" w:cs="Arial"/>
        </w:rPr>
        <w:t xml:space="preserve"> K</w:t>
      </w:r>
      <w:r w:rsidR="001E2533">
        <w:rPr>
          <w:rFonts w:ascii="Arial" w:hAnsi="Arial" w:cs="Arial"/>
        </w:rPr>
        <w:t>umar</w:t>
      </w:r>
      <w:r w:rsidRPr="003D2988">
        <w:rPr>
          <w:rFonts w:ascii="Arial" w:hAnsi="Arial" w:cs="Arial"/>
        </w:rPr>
        <w:t xml:space="preserve">, V. </w:t>
      </w:r>
      <w:r w:rsidR="001E2533">
        <w:rPr>
          <w:rFonts w:ascii="Arial" w:hAnsi="Arial" w:cs="Arial"/>
        </w:rPr>
        <w:t xml:space="preserve">(2015). </w:t>
      </w:r>
      <w:r w:rsidRPr="003D2988">
        <w:rPr>
          <w:rFonts w:ascii="Arial" w:hAnsi="Arial" w:cs="Arial"/>
        </w:rPr>
        <w:t xml:space="preserve">Robbins and </w:t>
      </w:r>
      <w:proofErr w:type="spellStart"/>
      <w:r w:rsidRPr="003D2988">
        <w:rPr>
          <w:rFonts w:ascii="Arial" w:hAnsi="Arial" w:cs="Arial"/>
        </w:rPr>
        <w:t>Cotran</w:t>
      </w:r>
      <w:proofErr w:type="spellEnd"/>
      <w:r w:rsidRPr="003D2988">
        <w:rPr>
          <w:rFonts w:ascii="Arial" w:hAnsi="Arial" w:cs="Arial"/>
        </w:rPr>
        <w:t xml:space="preserve"> pathologic basis of disease </w:t>
      </w:r>
      <w:r w:rsidR="001E2533">
        <w:rPr>
          <w:rFonts w:ascii="Arial" w:hAnsi="Arial" w:cs="Arial"/>
        </w:rPr>
        <w:t>(</w:t>
      </w:r>
      <w:r w:rsidRPr="003D2988">
        <w:rPr>
          <w:rFonts w:ascii="Arial" w:hAnsi="Arial" w:cs="Arial"/>
        </w:rPr>
        <w:t>9</w:t>
      </w:r>
      <w:r w:rsidR="001E2533">
        <w:rPr>
          <w:rFonts w:ascii="Arial" w:hAnsi="Arial" w:cs="Arial"/>
        </w:rPr>
        <w:t>th</w:t>
      </w:r>
      <w:r w:rsidRPr="003D2988">
        <w:rPr>
          <w:rFonts w:ascii="Arial" w:hAnsi="Arial" w:cs="Arial"/>
        </w:rPr>
        <w:t xml:space="preserve"> ed</w:t>
      </w:r>
      <w:r w:rsidR="001E2533">
        <w:rPr>
          <w:rFonts w:ascii="Arial" w:hAnsi="Arial" w:cs="Arial"/>
        </w:rPr>
        <w:t>)</w:t>
      </w:r>
      <w:r w:rsidRPr="003D2988">
        <w:rPr>
          <w:rFonts w:ascii="Arial" w:hAnsi="Arial" w:cs="Arial"/>
        </w:rPr>
        <w:t>. Elsevier.</w:t>
      </w:r>
    </w:p>
    <w:p w14:paraId="25D499BD" w14:textId="5164C47D" w:rsidR="001E2533" w:rsidRPr="003D2988" w:rsidRDefault="003D2988" w:rsidP="00D9389F">
      <w:pPr>
        <w:pStyle w:val="Body"/>
        <w:rPr>
          <w:rFonts w:ascii="Arial" w:hAnsi="Arial" w:cs="Arial"/>
        </w:rPr>
      </w:pPr>
      <w:r w:rsidRPr="003D2988">
        <w:rPr>
          <w:rFonts w:ascii="Arial" w:hAnsi="Arial" w:cs="Arial"/>
        </w:rPr>
        <w:t>37. Facca</w:t>
      </w:r>
      <w:r w:rsidR="001E2533">
        <w:rPr>
          <w:rFonts w:ascii="Arial" w:hAnsi="Arial" w:cs="Arial"/>
        </w:rPr>
        <w:t>,</w:t>
      </w:r>
      <w:r w:rsidRPr="003D2988">
        <w:rPr>
          <w:rFonts w:ascii="Arial" w:hAnsi="Arial" w:cs="Arial"/>
        </w:rPr>
        <w:t xml:space="preserve"> T</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Kirsztajn</w:t>
      </w:r>
      <w:r w:rsidR="001E2533">
        <w:rPr>
          <w:rFonts w:ascii="Arial" w:hAnsi="Arial" w:cs="Arial"/>
        </w:rPr>
        <w:t>,</w:t>
      </w:r>
      <w:r w:rsidRPr="003D2988">
        <w:rPr>
          <w:rFonts w:ascii="Arial" w:hAnsi="Arial" w:cs="Arial"/>
        </w:rPr>
        <w:t xml:space="preserve"> G</w:t>
      </w:r>
      <w:r w:rsidR="001E2533">
        <w:rPr>
          <w:rFonts w:ascii="Arial" w:hAnsi="Arial" w:cs="Arial"/>
        </w:rPr>
        <w:t xml:space="preserve">. </w:t>
      </w:r>
      <w:r w:rsidRPr="003D2988">
        <w:rPr>
          <w:rFonts w:ascii="Arial" w:hAnsi="Arial" w:cs="Arial"/>
        </w:rPr>
        <w:t>M</w:t>
      </w:r>
      <w:r w:rsidR="001E2533">
        <w:rPr>
          <w:rFonts w:ascii="Arial" w:hAnsi="Arial" w:cs="Arial"/>
        </w:rPr>
        <w:t>.</w:t>
      </w:r>
      <w:r w:rsidRPr="003D2988">
        <w:rPr>
          <w:rFonts w:ascii="Arial" w:hAnsi="Arial" w:cs="Arial"/>
        </w:rPr>
        <w:t xml:space="preserve">, </w:t>
      </w:r>
      <w:r w:rsidR="001E2533">
        <w:rPr>
          <w:rFonts w:ascii="Arial" w:hAnsi="Arial" w:cs="Arial"/>
        </w:rPr>
        <w:t xml:space="preserve">&amp; </w:t>
      </w:r>
      <w:r w:rsidRPr="003D2988">
        <w:rPr>
          <w:rFonts w:ascii="Arial" w:hAnsi="Arial" w:cs="Arial"/>
        </w:rPr>
        <w:t>Sass</w:t>
      </w:r>
      <w:r w:rsidR="001E2533">
        <w:rPr>
          <w:rFonts w:ascii="Arial" w:hAnsi="Arial" w:cs="Arial"/>
        </w:rPr>
        <w:t>,</w:t>
      </w:r>
      <w:r w:rsidRPr="003D2988">
        <w:rPr>
          <w:rFonts w:ascii="Arial" w:hAnsi="Arial" w:cs="Arial"/>
        </w:rPr>
        <w:t xml:space="preserve"> N. </w:t>
      </w:r>
      <w:proofErr w:type="spellStart"/>
      <w:r w:rsidRPr="003D2988">
        <w:rPr>
          <w:rFonts w:ascii="Arial" w:hAnsi="Arial" w:cs="Arial"/>
        </w:rPr>
        <w:t>Pré-eclâmpsia</w:t>
      </w:r>
      <w:proofErr w:type="spellEnd"/>
      <w:r w:rsidRPr="003D2988">
        <w:rPr>
          <w:rFonts w:ascii="Arial" w:hAnsi="Arial" w:cs="Arial"/>
        </w:rPr>
        <w:t xml:space="preserve"> (</w:t>
      </w:r>
      <w:proofErr w:type="spellStart"/>
      <w:r w:rsidRPr="003D2988">
        <w:rPr>
          <w:rFonts w:ascii="Arial" w:hAnsi="Arial" w:cs="Arial"/>
        </w:rPr>
        <w:t>indicador</w:t>
      </w:r>
      <w:proofErr w:type="spellEnd"/>
      <w:r w:rsidRPr="003D2988">
        <w:rPr>
          <w:rFonts w:ascii="Arial" w:hAnsi="Arial" w:cs="Arial"/>
        </w:rPr>
        <w:t xml:space="preserve"> de </w:t>
      </w:r>
      <w:proofErr w:type="spellStart"/>
      <w:r w:rsidRPr="003D2988">
        <w:rPr>
          <w:rFonts w:ascii="Arial" w:hAnsi="Arial" w:cs="Arial"/>
        </w:rPr>
        <w:t>doença</w:t>
      </w:r>
      <w:proofErr w:type="spellEnd"/>
      <w:r w:rsidRPr="003D2988">
        <w:rPr>
          <w:rFonts w:ascii="Arial" w:hAnsi="Arial" w:cs="Arial"/>
        </w:rPr>
        <w:t xml:space="preserve"> renal </w:t>
      </w:r>
      <w:proofErr w:type="spellStart"/>
      <w:r w:rsidRPr="003D2988">
        <w:rPr>
          <w:rFonts w:ascii="Arial" w:hAnsi="Arial" w:cs="Arial"/>
        </w:rPr>
        <w:t>crônica</w:t>
      </w:r>
      <w:proofErr w:type="spellEnd"/>
      <w:r w:rsidRPr="003D2988">
        <w:rPr>
          <w:rFonts w:ascii="Arial" w:hAnsi="Arial" w:cs="Arial"/>
        </w:rPr>
        <w:t xml:space="preserve">): da </w:t>
      </w:r>
      <w:proofErr w:type="spellStart"/>
      <w:r w:rsidRPr="003D2988">
        <w:rPr>
          <w:rFonts w:ascii="Arial" w:hAnsi="Arial" w:cs="Arial"/>
        </w:rPr>
        <w:t>gênese</w:t>
      </w:r>
      <w:proofErr w:type="spellEnd"/>
      <w:r w:rsidRPr="003D2988">
        <w:rPr>
          <w:rFonts w:ascii="Arial" w:hAnsi="Arial" w:cs="Arial"/>
        </w:rPr>
        <w:t xml:space="preserve"> </w:t>
      </w:r>
      <w:proofErr w:type="spellStart"/>
      <w:r w:rsidRPr="003D2988">
        <w:rPr>
          <w:rFonts w:ascii="Arial" w:hAnsi="Arial" w:cs="Arial"/>
        </w:rPr>
        <w:t>aos</w:t>
      </w:r>
      <w:proofErr w:type="spellEnd"/>
      <w:r w:rsidRPr="003D2988">
        <w:rPr>
          <w:rFonts w:ascii="Arial" w:hAnsi="Arial" w:cs="Arial"/>
        </w:rPr>
        <w:t xml:space="preserve"> </w:t>
      </w:r>
      <w:proofErr w:type="spellStart"/>
      <w:r w:rsidRPr="003D2988">
        <w:rPr>
          <w:rFonts w:ascii="Arial" w:hAnsi="Arial" w:cs="Arial"/>
        </w:rPr>
        <w:t>riscos</w:t>
      </w:r>
      <w:proofErr w:type="spellEnd"/>
      <w:r w:rsidRPr="003D2988">
        <w:rPr>
          <w:rFonts w:ascii="Arial" w:hAnsi="Arial" w:cs="Arial"/>
        </w:rPr>
        <w:t xml:space="preserve"> </w:t>
      </w:r>
      <w:proofErr w:type="spellStart"/>
      <w:r w:rsidRPr="003D2988">
        <w:rPr>
          <w:rFonts w:ascii="Arial" w:hAnsi="Arial" w:cs="Arial"/>
        </w:rPr>
        <w:t>futuros</w:t>
      </w:r>
      <w:proofErr w:type="spellEnd"/>
      <w:r w:rsidRPr="003D2988">
        <w:rPr>
          <w:rFonts w:ascii="Arial" w:hAnsi="Arial" w:cs="Arial"/>
        </w:rPr>
        <w:t xml:space="preserve">. </w:t>
      </w:r>
      <w:r w:rsidR="001E2533">
        <w:rPr>
          <w:rFonts w:ascii="Arial" w:hAnsi="Arial" w:cs="Arial"/>
        </w:rPr>
        <w:t xml:space="preserve">(2012). </w:t>
      </w:r>
      <w:proofErr w:type="spellStart"/>
      <w:r w:rsidRPr="003D2988">
        <w:rPr>
          <w:rFonts w:ascii="Arial" w:hAnsi="Arial" w:cs="Arial"/>
        </w:rPr>
        <w:t>Jornal</w:t>
      </w:r>
      <w:proofErr w:type="spellEnd"/>
      <w:r w:rsidRPr="003D2988">
        <w:rPr>
          <w:rFonts w:ascii="Arial" w:hAnsi="Arial" w:cs="Arial"/>
        </w:rPr>
        <w:t xml:space="preserve"> </w:t>
      </w:r>
      <w:proofErr w:type="spellStart"/>
      <w:r w:rsidRPr="003D2988">
        <w:rPr>
          <w:rFonts w:ascii="Arial" w:hAnsi="Arial" w:cs="Arial"/>
        </w:rPr>
        <w:t>Brasileiro</w:t>
      </w:r>
      <w:proofErr w:type="spellEnd"/>
      <w:r w:rsidRPr="003D2988">
        <w:rPr>
          <w:rFonts w:ascii="Arial" w:hAnsi="Arial" w:cs="Arial"/>
        </w:rPr>
        <w:t xml:space="preserve"> de </w:t>
      </w:r>
      <w:proofErr w:type="spellStart"/>
      <w:r w:rsidRPr="003D2988">
        <w:rPr>
          <w:rFonts w:ascii="Arial" w:hAnsi="Arial" w:cs="Arial"/>
        </w:rPr>
        <w:t>Nefrologia</w:t>
      </w:r>
      <w:proofErr w:type="spellEnd"/>
      <w:r w:rsidR="001E2533">
        <w:rPr>
          <w:rFonts w:ascii="Arial" w:hAnsi="Arial" w:cs="Arial"/>
        </w:rPr>
        <w:t xml:space="preserve">, </w:t>
      </w:r>
      <w:r w:rsidRPr="003D2988">
        <w:rPr>
          <w:rFonts w:ascii="Arial" w:hAnsi="Arial" w:cs="Arial"/>
        </w:rPr>
        <w:t>34(1)</w:t>
      </w:r>
      <w:r w:rsidR="001E2533">
        <w:rPr>
          <w:rFonts w:ascii="Arial" w:hAnsi="Arial" w:cs="Arial"/>
        </w:rPr>
        <w:t xml:space="preserve">, </w:t>
      </w:r>
      <w:r w:rsidRPr="003D2988">
        <w:rPr>
          <w:rFonts w:ascii="Arial" w:hAnsi="Arial" w:cs="Arial"/>
        </w:rPr>
        <w:t xml:space="preserve">87-93.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10.1590/s0101-28002012000100015.</w:t>
      </w:r>
    </w:p>
    <w:p w14:paraId="338E23D5" w14:textId="32AF9CFD" w:rsidR="003D2988" w:rsidRPr="003D2988" w:rsidRDefault="003D2988" w:rsidP="00D9389F">
      <w:pPr>
        <w:pStyle w:val="Body"/>
        <w:rPr>
          <w:rFonts w:ascii="Arial" w:hAnsi="Arial" w:cs="Arial"/>
        </w:rPr>
      </w:pPr>
      <w:r w:rsidRPr="003D2988">
        <w:rPr>
          <w:rFonts w:ascii="Arial" w:hAnsi="Arial" w:cs="Arial"/>
        </w:rPr>
        <w:t>38. Kim</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W</w:t>
      </w:r>
      <w:r w:rsidR="00D9389F">
        <w:rPr>
          <w:rFonts w:ascii="Arial" w:hAnsi="Arial" w:cs="Arial"/>
        </w:rPr>
        <w:t>.</w:t>
      </w:r>
      <w:r w:rsidRPr="003D2988">
        <w:rPr>
          <w:rFonts w:ascii="Arial" w:hAnsi="Arial" w:cs="Arial"/>
        </w:rPr>
        <w:t>, Jung</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Y</w:t>
      </w:r>
      <w:r w:rsidR="00D9389F">
        <w:rPr>
          <w:rFonts w:ascii="Arial" w:hAnsi="Arial" w:cs="Arial"/>
        </w:rPr>
        <w:t>.</w:t>
      </w:r>
      <w:r w:rsidRPr="003D2988">
        <w:rPr>
          <w:rFonts w:ascii="Arial" w:hAnsi="Arial" w:cs="Arial"/>
        </w:rPr>
        <w:t>, Kim</w:t>
      </w:r>
      <w:r w:rsidR="00D9389F">
        <w:rPr>
          <w:rFonts w:ascii="Arial" w:hAnsi="Arial" w:cs="Arial"/>
        </w:rPr>
        <w:t>,</w:t>
      </w:r>
      <w:r w:rsidRPr="003D2988">
        <w:rPr>
          <w:rFonts w:ascii="Arial" w:hAnsi="Arial" w:cs="Arial"/>
        </w:rPr>
        <w:t xml:space="preserve"> H</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Yang</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I</w:t>
      </w:r>
      <w:r w:rsidR="00D9389F">
        <w:rPr>
          <w:rFonts w:ascii="Arial" w:hAnsi="Arial" w:cs="Arial"/>
        </w:rPr>
        <w:t>.</w:t>
      </w:r>
      <w:r w:rsidRPr="003D2988">
        <w:rPr>
          <w:rFonts w:ascii="Arial" w:hAnsi="Arial" w:cs="Arial"/>
        </w:rPr>
        <w:t>, Kwak</w:t>
      </w:r>
      <w:r w:rsidR="00D9389F">
        <w:rPr>
          <w:rFonts w:ascii="Arial" w:hAnsi="Arial" w:cs="Arial"/>
        </w:rPr>
        <w:t>,</w:t>
      </w:r>
      <w:r w:rsidRPr="003D2988">
        <w:rPr>
          <w:rFonts w:ascii="Arial" w:hAnsi="Arial" w:cs="Arial"/>
        </w:rPr>
        <w:t xml:space="preserve"> D</w:t>
      </w:r>
      <w:r w:rsidR="00D9389F">
        <w:rPr>
          <w:rFonts w:ascii="Arial" w:hAnsi="Arial" w:cs="Arial"/>
        </w:rPr>
        <w:t xml:space="preserve">. </w:t>
      </w:r>
      <w:r w:rsidRPr="003D2988">
        <w:rPr>
          <w:rFonts w:ascii="Arial" w:hAnsi="Arial" w:cs="Arial"/>
        </w:rPr>
        <w:t>W</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Suh</w:t>
      </w:r>
      <w:r w:rsidR="00D9389F">
        <w:rPr>
          <w:rFonts w:ascii="Arial" w:hAnsi="Arial" w:cs="Arial"/>
        </w:rPr>
        <w:t>,</w:t>
      </w:r>
      <w:r w:rsidRPr="003D2988">
        <w:rPr>
          <w:rFonts w:ascii="Arial" w:hAnsi="Arial" w:cs="Arial"/>
        </w:rPr>
        <w:t xml:space="preserve"> C</w:t>
      </w:r>
      <w:r w:rsidR="00D9389F">
        <w:rPr>
          <w:rFonts w:ascii="Arial" w:hAnsi="Arial" w:cs="Arial"/>
        </w:rPr>
        <w:t xml:space="preserve">. </w:t>
      </w:r>
      <w:r w:rsidRPr="003D2988">
        <w:rPr>
          <w:rFonts w:ascii="Arial" w:hAnsi="Arial" w:cs="Arial"/>
        </w:rPr>
        <w:t xml:space="preserve">H. </w:t>
      </w:r>
      <w:r w:rsidR="00D9389F">
        <w:rPr>
          <w:rFonts w:ascii="Arial" w:hAnsi="Arial" w:cs="Arial"/>
        </w:rPr>
        <w:t xml:space="preserve">(2020). </w:t>
      </w:r>
      <w:r w:rsidRPr="003D2988">
        <w:rPr>
          <w:rFonts w:ascii="Arial" w:hAnsi="Arial" w:cs="Arial"/>
        </w:rPr>
        <w:t xml:space="preserve">Lupus Low Disease Activity State Achievement Is Important for Reducing Adverse Outcomes in Pregnant Patients </w:t>
      </w:r>
      <w:proofErr w:type="gramStart"/>
      <w:r w:rsidRPr="003D2988">
        <w:rPr>
          <w:rFonts w:ascii="Arial" w:hAnsi="Arial" w:cs="Arial"/>
        </w:rPr>
        <w:t>With</w:t>
      </w:r>
      <w:proofErr w:type="gramEnd"/>
      <w:r w:rsidRPr="003D2988">
        <w:rPr>
          <w:rFonts w:ascii="Arial" w:hAnsi="Arial" w:cs="Arial"/>
        </w:rPr>
        <w:t xml:space="preserve"> Systemic Lupus Erythematosus. The Journal </w:t>
      </w:r>
      <w:proofErr w:type="gramStart"/>
      <w:r w:rsidRPr="003D2988">
        <w:rPr>
          <w:rFonts w:ascii="Arial" w:hAnsi="Arial" w:cs="Arial"/>
        </w:rPr>
        <w:t>Of</w:t>
      </w:r>
      <w:proofErr w:type="gramEnd"/>
      <w:r w:rsidRPr="003D2988">
        <w:rPr>
          <w:rFonts w:ascii="Arial" w:hAnsi="Arial" w:cs="Arial"/>
        </w:rPr>
        <w:t xml:space="preserve"> Rheumatology</w:t>
      </w:r>
      <w:r w:rsidR="00D9389F">
        <w:rPr>
          <w:rFonts w:ascii="Arial" w:hAnsi="Arial" w:cs="Arial"/>
        </w:rPr>
        <w:t xml:space="preserve">, </w:t>
      </w:r>
      <w:r w:rsidRPr="003D2988">
        <w:rPr>
          <w:rFonts w:ascii="Arial" w:hAnsi="Arial" w:cs="Arial"/>
        </w:rPr>
        <w:t>48(5)</w:t>
      </w:r>
      <w:r w:rsidR="00D9389F">
        <w:rPr>
          <w:rFonts w:ascii="Arial" w:hAnsi="Arial" w:cs="Arial"/>
        </w:rPr>
        <w:t xml:space="preserve">, </w:t>
      </w:r>
      <w:r w:rsidRPr="003D2988">
        <w:rPr>
          <w:rFonts w:ascii="Arial" w:hAnsi="Arial" w:cs="Arial"/>
        </w:rPr>
        <w:t xml:space="preserve">707-716. The Journal of Rheumatology. </w:t>
      </w:r>
      <w:r w:rsidR="00F116DB" w:rsidRPr="00F116DB">
        <w:rPr>
          <w:rFonts w:ascii="Arial" w:hAnsi="Arial" w:cs="Arial"/>
        </w:rPr>
        <w:t>https://doi.org/</w:t>
      </w:r>
      <w:r w:rsidRPr="003D2988">
        <w:rPr>
          <w:rFonts w:ascii="Arial" w:hAnsi="Arial" w:cs="Arial"/>
        </w:rPr>
        <w:t>10.3899/jrheum.200802.</w:t>
      </w:r>
    </w:p>
    <w:p w14:paraId="2577B3FE" w14:textId="430B43F7" w:rsidR="003D2988" w:rsidRPr="003D2988" w:rsidRDefault="003D2988" w:rsidP="00D9389F">
      <w:pPr>
        <w:pStyle w:val="Body"/>
        <w:rPr>
          <w:rFonts w:ascii="Arial" w:hAnsi="Arial" w:cs="Arial"/>
        </w:rPr>
      </w:pPr>
      <w:r w:rsidRPr="003D2988">
        <w:rPr>
          <w:rFonts w:ascii="Arial" w:hAnsi="Arial" w:cs="Arial"/>
        </w:rPr>
        <w:t xml:space="preserve">39. </w:t>
      </w:r>
      <w:proofErr w:type="spellStart"/>
      <w:r w:rsidRPr="003D2988">
        <w:rPr>
          <w:rFonts w:ascii="Arial" w:hAnsi="Arial" w:cs="Arial"/>
        </w:rPr>
        <w:t>Vicoveanu</w:t>
      </w:r>
      <w:proofErr w:type="spellEnd"/>
      <w:r w:rsidR="00D9389F">
        <w:rPr>
          <w:rFonts w:ascii="Arial" w:hAnsi="Arial" w:cs="Arial"/>
        </w:rPr>
        <w:t>,</w:t>
      </w:r>
      <w:r w:rsidRPr="003D2988">
        <w:rPr>
          <w:rFonts w:ascii="Arial" w:hAnsi="Arial" w:cs="Arial"/>
        </w:rPr>
        <w:t xml:space="preserve"> P</w:t>
      </w:r>
      <w:r w:rsidR="00D9389F">
        <w:rPr>
          <w:rFonts w:ascii="Arial" w:hAnsi="Arial" w:cs="Arial"/>
        </w:rPr>
        <w:t>.</w:t>
      </w:r>
      <w:r w:rsidRPr="003D2988">
        <w:rPr>
          <w:rFonts w:ascii="Arial" w:hAnsi="Arial" w:cs="Arial"/>
        </w:rPr>
        <w:t>, Vasilache</w:t>
      </w:r>
      <w:r w:rsidR="00D9389F">
        <w:rPr>
          <w:rFonts w:ascii="Arial" w:hAnsi="Arial" w:cs="Arial"/>
        </w:rPr>
        <w:t>,</w:t>
      </w:r>
      <w:r w:rsidRPr="003D2988">
        <w:rPr>
          <w:rFonts w:ascii="Arial" w:hAnsi="Arial" w:cs="Arial"/>
        </w:rPr>
        <w:t xml:space="preserve"> I</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Nemescu</w:t>
      </w:r>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 xml:space="preserve">, </w:t>
      </w:r>
      <w:proofErr w:type="spellStart"/>
      <w:r w:rsidRPr="003D2988">
        <w:rPr>
          <w:rFonts w:ascii="Arial" w:hAnsi="Arial" w:cs="Arial"/>
        </w:rPr>
        <w:t>Carauleanu</w:t>
      </w:r>
      <w:proofErr w:type="spellEnd"/>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xml:space="preserve">, </w:t>
      </w:r>
      <w:proofErr w:type="spellStart"/>
      <w:r w:rsidRPr="003D2988">
        <w:rPr>
          <w:rFonts w:ascii="Arial" w:hAnsi="Arial" w:cs="Arial"/>
        </w:rPr>
        <w:t>Scripcariu</w:t>
      </w:r>
      <w:proofErr w:type="spellEnd"/>
      <w:r w:rsidR="00D9389F">
        <w:rPr>
          <w:rFonts w:ascii="Arial" w:hAnsi="Arial" w:cs="Arial"/>
        </w:rPr>
        <w:t>,</w:t>
      </w:r>
      <w:r w:rsidRPr="003D2988">
        <w:rPr>
          <w:rFonts w:ascii="Arial" w:hAnsi="Arial" w:cs="Arial"/>
        </w:rPr>
        <w:t xml:space="preserve"> I</w:t>
      </w:r>
      <w:r w:rsidR="00D9389F">
        <w:rPr>
          <w:rFonts w:ascii="Arial" w:hAnsi="Arial" w:cs="Arial"/>
        </w:rPr>
        <w:t xml:space="preserve">. </w:t>
      </w:r>
      <w:r w:rsidRPr="003D2988">
        <w:rPr>
          <w:rFonts w:ascii="Arial" w:hAnsi="Arial" w:cs="Arial"/>
        </w:rPr>
        <w:t>S</w:t>
      </w:r>
      <w:r w:rsidR="00D9389F">
        <w:rPr>
          <w:rFonts w:ascii="Arial" w:hAnsi="Arial" w:cs="Arial"/>
        </w:rPr>
        <w:t>.</w:t>
      </w:r>
      <w:r w:rsidRPr="003D2988">
        <w:rPr>
          <w:rFonts w:ascii="Arial" w:hAnsi="Arial" w:cs="Arial"/>
        </w:rPr>
        <w:t xml:space="preserve">, </w:t>
      </w:r>
      <w:proofErr w:type="spellStart"/>
      <w:r w:rsidRPr="003D2988">
        <w:rPr>
          <w:rFonts w:ascii="Arial" w:hAnsi="Arial" w:cs="Arial"/>
        </w:rPr>
        <w:t>Rudisteanu</w:t>
      </w:r>
      <w:proofErr w:type="spellEnd"/>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w:t>
      </w:r>
      <w:r w:rsidR="00D9389F">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D9389F">
        <w:rPr>
          <w:rFonts w:ascii="Arial" w:hAnsi="Arial" w:cs="Arial"/>
        </w:rPr>
        <w:t xml:space="preserve">(2022). </w:t>
      </w:r>
      <w:r w:rsidRPr="003D2988">
        <w:rPr>
          <w:rFonts w:ascii="Arial" w:hAnsi="Arial" w:cs="Arial"/>
        </w:rPr>
        <w:t>Predictors Associated with Adverse Pregnancy Outcomes in a Cohort of Women with Systematic Lupus Erythematosus from Romania—An Observational Study (Stage 2). Journal Of Clinical Medicine</w:t>
      </w:r>
      <w:r w:rsidR="00D9389F">
        <w:rPr>
          <w:rFonts w:ascii="Arial" w:hAnsi="Arial" w:cs="Arial"/>
        </w:rPr>
        <w:t xml:space="preserve">, </w:t>
      </w:r>
      <w:r w:rsidRPr="003D2988">
        <w:rPr>
          <w:rFonts w:ascii="Arial" w:hAnsi="Arial" w:cs="Arial"/>
        </w:rPr>
        <w:t>11(7)</w:t>
      </w:r>
      <w:r w:rsidR="00D9389F">
        <w:rPr>
          <w:rFonts w:ascii="Arial" w:hAnsi="Arial" w:cs="Arial"/>
        </w:rPr>
        <w:t xml:space="preserve">, </w:t>
      </w:r>
      <w:r w:rsidRPr="003D2988">
        <w:rPr>
          <w:rFonts w:ascii="Arial" w:hAnsi="Arial" w:cs="Arial"/>
        </w:rPr>
        <w:t xml:space="preserve">1964. MDPI AG. </w:t>
      </w:r>
      <w:r w:rsidR="00F116DB" w:rsidRPr="00F116DB">
        <w:rPr>
          <w:rFonts w:ascii="Arial" w:hAnsi="Arial" w:cs="Arial"/>
        </w:rPr>
        <w:t>https://doi.org/</w:t>
      </w:r>
      <w:r w:rsidRPr="003D2988">
        <w:rPr>
          <w:rFonts w:ascii="Arial" w:hAnsi="Arial" w:cs="Arial"/>
        </w:rPr>
        <w:t>10.3390/jcm11071964.</w:t>
      </w:r>
    </w:p>
    <w:p w14:paraId="61FBBC61" w14:textId="7D71EED1" w:rsidR="003D2988" w:rsidRPr="003D2988" w:rsidRDefault="003D2988" w:rsidP="00D9389F">
      <w:pPr>
        <w:pStyle w:val="Body"/>
        <w:rPr>
          <w:rFonts w:ascii="Arial" w:hAnsi="Arial" w:cs="Arial"/>
        </w:rPr>
      </w:pPr>
      <w:r w:rsidRPr="003D2988">
        <w:rPr>
          <w:rFonts w:ascii="Arial" w:hAnsi="Arial" w:cs="Arial"/>
        </w:rPr>
        <w:t>40. Ong</w:t>
      </w:r>
      <w:r w:rsidR="00D9389F">
        <w:rPr>
          <w:rFonts w:ascii="Arial" w:hAnsi="Arial" w:cs="Arial"/>
        </w:rPr>
        <w:t>,</w:t>
      </w:r>
      <w:r w:rsidRPr="003D2988">
        <w:rPr>
          <w:rFonts w:ascii="Arial" w:hAnsi="Arial" w:cs="Arial"/>
        </w:rPr>
        <w:t xml:space="preserve"> S</w:t>
      </w:r>
      <w:r w:rsidR="00D9389F">
        <w:rPr>
          <w:rFonts w:ascii="Arial" w:hAnsi="Arial" w:cs="Arial"/>
        </w:rPr>
        <w:t xml:space="preserve">. </w:t>
      </w:r>
      <w:r w:rsidRPr="003D2988">
        <w:rPr>
          <w:rFonts w:ascii="Arial" w:hAnsi="Arial" w:cs="Arial"/>
        </w:rPr>
        <w:t>G</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Ding</w:t>
      </w:r>
      <w:r w:rsidR="00D9389F">
        <w:rPr>
          <w:rFonts w:ascii="Arial" w:hAnsi="Arial" w:cs="Arial"/>
        </w:rPr>
        <w:t>,</w:t>
      </w:r>
      <w:r w:rsidRPr="003D2988">
        <w:rPr>
          <w:rFonts w:ascii="Arial" w:hAnsi="Arial" w:cs="Arial"/>
        </w:rPr>
        <w:t xml:space="preserve"> H</w:t>
      </w:r>
      <w:r w:rsidR="00D9389F">
        <w:rPr>
          <w:rFonts w:ascii="Arial" w:hAnsi="Arial" w:cs="Arial"/>
        </w:rPr>
        <w:t xml:space="preserve">. </w:t>
      </w:r>
      <w:r w:rsidRPr="003D2988">
        <w:rPr>
          <w:rFonts w:ascii="Arial" w:hAnsi="Arial" w:cs="Arial"/>
        </w:rPr>
        <w:t xml:space="preserve">J. </w:t>
      </w:r>
      <w:r w:rsidR="00D9389F">
        <w:rPr>
          <w:rFonts w:ascii="Arial" w:hAnsi="Arial" w:cs="Arial"/>
        </w:rPr>
        <w:t xml:space="preserve">(2021). </w:t>
      </w:r>
      <w:r w:rsidRPr="003D2988">
        <w:rPr>
          <w:rFonts w:ascii="Arial" w:hAnsi="Arial" w:cs="Arial"/>
        </w:rPr>
        <w:t>Predictors of adverse pregnancy outcome in a cohort of women with systemic lupus erythematosus in Malaysia. Med J Malaysia</w:t>
      </w:r>
      <w:r w:rsidR="00D9389F">
        <w:rPr>
          <w:rFonts w:ascii="Arial" w:hAnsi="Arial" w:cs="Arial"/>
        </w:rPr>
        <w:t xml:space="preserve">, </w:t>
      </w:r>
      <w:r w:rsidRPr="003D2988">
        <w:rPr>
          <w:rFonts w:ascii="Arial" w:hAnsi="Arial" w:cs="Arial"/>
        </w:rPr>
        <w:t>76(4)</w:t>
      </w:r>
      <w:r w:rsidR="00D9389F">
        <w:rPr>
          <w:rFonts w:ascii="Arial" w:hAnsi="Arial" w:cs="Arial"/>
        </w:rPr>
        <w:t xml:space="preserve">, </w:t>
      </w:r>
      <w:r w:rsidRPr="003D2988">
        <w:rPr>
          <w:rFonts w:ascii="Arial" w:hAnsi="Arial" w:cs="Arial"/>
        </w:rPr>
        <w:t>466-473.</w:t>
      </w:r>
    </w:p>
    <w:p w14:paraId="12D0D0CD" w14:textId="2E7AA3C3" w:rsidR="003D2988" w:rsidRPr="003D2988" w:rsidRDefault="003D2988" w:rsidP="00D9389F">
      <w:pPr>
        <w:pStyle w:val="Body"/>
        <w:rPr>
          <w:rFonts w:ascii="Arial" w:hAnsi="Arial" w:cs="Arial"/>
        </w:rPr>
      </w:pPr>
      <w:r w:rsidRPr="003D2988">
        <w:rPr>
          <w:rFonts w:ascii="Arial" w:hAnsi="Arial" w:cs="Arial"/>
        </w:rPr>
        <w:t>41. Mayor</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S</w:t>
      </w:r>
      <w:r w:rsidR="00D9389F">
        <w:rPr>
          <w:rFonts w:ascii="Arial" w:hAnsi="Arial" w:cs="Arial"/>
        </w:rPr>
        <w:t>.</w:t>
      </w:r>
      <w:r w:rsidRPr="003D2988">
        <w:rPr>
          <w:rFonts w:ascii="Arial" w:hAnsi="Arial" w:cs="Arial"/>
        </w:rPr>
        <w:t>, Robalo</w:t>
      </w:r>
      <w:r w:rsidR="00D9389F">
        <w:rPr>
          <w:rFonts w:ascii="Arial" w:hAnsi="Arial" w:cs="Arial"/>
        </w:rPr>
        <w:t>,</w:t>
      </w:r>
      <w:r w:rsidRPr="003D2988">
        <w:rPr>
          <w:rFonts w:ascii="Arial" w:hAnsi="Arial" w:cs="Arial"/>
        </w:rPr>
        <w:t xml:space="preserve"> M</w:t>
      </w:r>
      <w:r w:rsidR="00D9389F">
        <w:rPr>
          <w:rFonts w:ascii="Arial" w:hAnsi="Arial" w:cs="Arial"/>
        </w:rPr>
        <w:t>.</w:t>
      </w:r>
      <w:r w:rsidRPr="003D2988">
        <w:rPr>
          <w:rFonts w:ascii="Arial" w:hAnsi="Arial" w:cs="Arial"/>
        </w:rPr>
        <w:t>, Pacheco</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Esperança</w:t>
      </w:r>
      <w:r w:rsidR="00D9389F">
        <w:rPr>
          <w:rFonts w:ascii="Arial" w:hAnsi="Arial" w:cs="Arial"/>
        </w:rPr>
        <w:t>,</w:t>
      </w:r>
      <w:r w:rsidRPr="003D2988">
        <w:rPr>
          <w:rFonts w:ascii="Arial" w:hAnsi="Arial" w:cs="Arial"/>
        </w:rPr>
        <w:t xml:space="preserve"> S</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Capela</w:t>
      </w:r>
      <w:r w:rsidR="00D9389F">
        <w:rPr>
          <w:rFonts w:ascii="Arial" w:hAnsi="Arial" w:cs="Arial"/>
        </w:rPr>
        <w:t>,</w:t>
      </w:r>
      <w:r w:rsidRPr="003D2988">
        <w:rPr>
          <w:rFonts w:ascii="Arial" w:hAnsi="Arial" w:cs="Arial"/>
        </w:rPr>
        <w:t xml:space="preserve"> C. </w:t>
      </w:r>
      <w:r w:rsidR="00D9389F">
        <w:rPr>
          <w:rFonts w:ascii="Arial" w:hAnsi="Arial" w:cs="Arial"/>
        </w:rPr>
        <w:t xml:space="preserve">(2016). </w:t>
      </w:r>
      <w:r w:rsidRPr="003D2988">
        <w:rPr>
          <w:rFonts w:ascii="Arial" w:hAnsi="Arial" w:cs="Arial"/>
        </w:rPr>
        <w:t xml:space="preserve">Antiphospholipid Syndrome: Report of Three Cases and Review of the Literature. Gazeta </w:t>
      </w:r>
      <w:proofErr w:type="spellStart"/>
      <w:r w:rsidRPr="003D2988">
        <w:rPr>
          <w:rFonts w:ascii="Arial" w:hAnsi="Arial" w:cs="Arial"/>
        </w:rPr>
        <w:t>Médica</w:t>
      </w:r>
      <w:proofErr w:type="spellEnd"/>
      <w:r w:rsidR="00D9389F">
        <w:rPr>
          <w:rFonts w:ascii="Arial" w:hAnsi="Arial" w:cs="Arial"/>
        </w:rPr>
        <w:t xml:space="preserve">, </w:t>
      </w:r>
      <w:r w:rsidRPr="003D2988">
        <w:rPr>
          <w:rFonts w:ascii="Arial" w:hAnsi="Arial" w:cs="Arial"/>
        </w:rPr>
        <w:t>3(3)</w:t>
      </w:r>
      <w:r w:rsidR="00D9389F">
        <w:rPr>
          <w:rFonts w:ascii="Arial" w:hAnsi="Arial" w:cs="Arial"/>
        </w:rPr>
        <w:t xml:space="preserve">, </w:t>
      </w:r>
      <w:r w:rsidRPr="003D2988">
        <w:rPr>
          <w:rFonts w:ascii="Arial" w:hAnsi="Arial" w:cs="Arial"/>
        </w:rPr>
        <w:t xml:space="preserve">122-127. </w:t>
      </w:r>
    </w:p>
    <w:p w14:paraId="0BE0A501" w14:textId="52544E1E" w:rsidR="003D2988" w:rsidRPr="003D2988" w:rsidRDefault="003D2988" w:rsidP="00D9389F">
      <w:pPr>
        <w:pStyle w:val="Body"/>
        <w:rPr>
          <w:rFonts w:ascii="Arial" w:hAnsi="Arial" w:cs="Arial"/>
        </w:rPr>
      </w:pPr>
      <w:r w:rsidRPr="003D2988">
        <w:rPr>
          <w:rFonts w:ascii="Arial" w:hAnsi="Arial" w:cs="Arial"/>
        </w:rPr>
        <w:t>42. Duan</w:t>
      </w:r>
      <w:r w:rsidR="00D9389F">
        <w:rPr>
          <w:rFonts w:ascii="Arial" w:hAnsi="Arial" w:cs="Arial"/>
        </w:rPr>
        <w:t>,</w:t>
      </w:r>
      <w:r w:rsidRPr="003D2988">
        <w:rPr>
          <w:rFonts w:ascii="Arial" w:hAnsi="Arial" w:cs="Arial"/>
        </w:rPr>
        <w:t xml:space="preserve"> J</w:t>
      </w:r>
      <w:r w:rsidR="00D9389F">
        <w:rPr>
          <w:rFonts w:ascii="Arial" w:hAnsi="Arial" w:cs="Arial"/>
        </w:rPr>
        <w:t>.</w:t>
      </w:r>
      <w:r w:rsidRPr="003D2988">
        <w:rPr>
          <w:rFonts w:ascii="Arial" w:hAnsi="Arial" w:cs="Arial"/>
        </w:rPr>
        <w:t>, Ma</w:t>
      </w:r>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 Wen</w:t>
      </w:r>
      <w:r w:rsidR="00D9389F">
        <w:rPr>
          <w:rFonts w:ascii="Arial" w:hAnsi="Arial" w:cs="Arial"/>
        </w:rPr>
        <w:t>,</w:t>
      </w:r>
      <w:r w:rsidRPr="003D2988">
        <w:rPr>
          <w:rFonts w:ascii="Arial" w:hAnsi="Arial" w:cs="Arial"/>
        </w:rPr>
        <w:t xml:space="preserve"> X</w:t>
      </w:r>
      <w:r w:rsidR="00D9389F">
        <w:rPr>
          <w:rFonts w:ascii="Arial" w:hAnsi="Arial" w:cs="Arial"/>
        </w:rPr>
        <w:t>.</w:t>
      </w:r>
      <w:r w:rsidRPr="003D2988">
        <w:rPr>
          <w:rFonts w:ascii="Arial" w:hAnsi="Arial" w:cs="Arial"/>
        </w:rPr>
        <w:t>, Guo</w:t>
      </w:r>
      <w:r w:rsidR="00D9389F">
        <w:rPr>
          <w:rFonts w:ascii="Arial" w:hAnsi="Arial" w:cs="Arial"/>
        </w:rPr>
        <w:t>,</w:t>
      </w:r>
      <w:r w:rsidRPr="003D2988">
        <w:rPr>
          <w:rFonts w:ascii="Arial" w:hAnsi="Arial" w:cs="Arial"/>
        </w:rPr>
        <w:t xml:space="preserve"> Q</w:t>
      </w:r>
      <w:r w:rsidR="00D9389F">
        <w:rPr>
          <w:rFonts w:ascii="Arial" w:hAnsi="Arial" w:cs="Arial"/>
        </w:rPr>
        <w:t>.</w:t>
      </w:r>
      <w:r w:rsidRPr="003D2988">
        <w:rPr>
          <w:rFonts w:ascii="Arial" w:hAnsi="Arial" w:cs="Arial"/>
        </w:rPr>
        <w:t>, Gao</w:t>
      </w:r>
      <w:r w:rsidR="00D9389F">
        <w:rPr>
          <w:rFonts w:ascii="Arial" w:hAnsi="Arial" w:cs="Arial"/>
        </w:rPr>
        <w:t>,</w:t>
      </w:r>
      <w:r w:rsidRPr="003D2988">
        <w:rPr>
          <w:rFonts w:ascii="Arial" w:hAnsi="Arial" w:cs="Arial"/>
        </w:rPr>
        <w:t xml:space="preserve"> J</w:t>
      </w:r>
      <w:r w:rsidR="00D9389F">
        <w:rPr>
          <w:rFonts w:ascii="Arial" w:hAnsi="Arial" w:cs="Arial"/>
        </w:rPr>
        <w:t>.</w:t>
      </w:r>
      <w:r w:rsidRPr="003D2988">
        <w:rPr>
          <w:rFonts w:ascii="Arial" w:hAnsi="Arial" w:cs="Arial"/>
        </w:rPr>
        <w:t>, Zhang</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377F9A" w:rsidRPr="00377F9A">
        <w:rPr>
          <w:rFonts w:ascii="Arial" w:hAnsi="Arial" w:cs="Arial"/>
          <w:i/>
          <w:iCs/>
        </w:rPr>
        <w:t>et al.</w:t>
      </w:r>
      <w:r w:rsidR="00D9389F">
        <w:rPr>
          <w:rFonts w:ascii="Arial" w:hAnsi="Arial" w:cs="Arial"/>
        </w:rPr>
        <w:t xml:space="preserve"> (2021)</w:t>
      </w:r>
      <w:r w:rsidRPr="003D2988">
        <w:rPr>
          <w:rFonts w:ascii="Arial" w:hAnsi="Arial" w:cs="Arial"/>
        </w:rPr>
        <w:t>. Hydroxychloroquine prophylaxis for preeclampsia, hypertension and prematurity in pregnant patients with systemic lupus erythematosus: a meta-analysis. Lupus</w:t>
      </w:r>
      <w:r w:rsidR="00D9389F">
        <w:rPr>
          <w:rFonts w:ascii="Arial" w:hAnsi="Arial" w:cs="Arial"/>
        </w:rPr>
        <w:t xml:space="preserve">, </w:t>
      </w:r>
      <w:r w:rsidRPr="003D2988">
        <w:rPr>
          <w:rFonts w:ascii="Arial" w:hAnsi="Arial" w:cs="Arial"/>
        </w:rPr>
        <w:t>30(7)</w:t>
      </w:r>
      <w:r w:rsidR="00D9389F">
        <w:rPr>
          <w:rFonts w:ascii="Arial" w:hAnsi="Arial" w:cs="Arial"/>
        </w:rPr>
        <w:t xml:space="preserve">, </w:t>
      </w:r>
      <w:r w:rsidRPr="003D2988">
        <w:rPr>
          <w:rFonts w:ascii="Arial" w:hAnsi="Arial" w:cs="Arial"/>
        </w:rPr>
        <w:t xml:space="preserve">1163-1174. SAGE Publications. </w:t>
      </w:r>
      <w:r w:rsidR="00F116DB" w:rsidRPr="00F116DB">
        <w:rPr>
          <w:rFonts w:ascii="Arial" w:hAnsi="Arial" w:cs="Arial"/>
        </w:rPr>
        <w:t>https://doi.org/</w:t>
      </w:r>
      <w:r w:rsidRPr="003D2988">
        <w:rPr>
          <w:rFonts w:ascii="Arial" w:hAnsi="Arial" w:cs="Arial"/>
        </w:rPr>
        <w:t>10.1177/09612033211007199.</w:t>
      </w:r>
    </w:p>
    <w:p w14:paraId="1F8568AD" w14:textId="196B7F12" w:rsidR="003D2988" w:rsidRPr="003D2988" w:rsidRDefault="003D2988" w:rsidP="00D9389F">
      <w:pPr>
        <w:pStyle w:val="Body"/>
        <w:rPr>
          <w:rFonts w:ascii="Arial" w:hAnsi="Arial" w:cs="Arial"/>
        </w:rPr>
      </w:pPr>
      <w:r w:rsidRPr="003D2988">
        <w:rPr>
          <w:rFonts w:ascii="Arial" w:hAnsi="Arial" w:cs="Arial"/>
        </w:rPr>
        <w:t xml:space="preserve">43. </w:t>
      </w:r>
      <w:proofErr w:type="spellStart"/>
      <w:r w:rsidRPr="003D2988">
        <w:rPr>
          <w:rFonts w:ascii="Arial" w:hAnsi="Arial" w:cs="Arial"/>
        </w:rPr>
        <w:t>Ozmen</w:t>
      </w:r>
      <w:proofErr w:type="spellEnd"/>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xml:space="preserve">, </w:t>
      </w:r>
      <w:proofErr w:type="spellStart"/>
      <w:r w:rsidRPr="003D2988">
        <w:rPr>
          <w:rFonts w:ascii="Arial" w:hAnsi="Arial" w:cs="Arial"/>
        </w:rPr>
        <w:t>Unek</w:t>
      </w:r>
      <w:proofErr w:type="spellEnd"/>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D9389F">
        <w:rPr>
          <w:rFonts w:ascii="Arial" w:hAnsi="Arial" w:cs="Arial"/>
        </w:rPr>
        <w:t xml:space="preserve">&amp; </w:t>
      </w:r>
      <w:proofErr w:type="spellStart"/>
      <w:r w:rsidRPr="003D2988">
        <w:rPr>
          <w:rFonts w:ascii="Arial" w:hAnsi="Arial" w:cs="Arial"/>
        </w:rPr>
        <w:t>Korgun</w:t>
      </w:r>
      <w:proofErr w:type="spellEnd"/>
      <w:r w:rsidR="00D9389F">
        <w:rPr>
          <w:rFonts w:ascii="Arial" w:hAnsi="Arial" w:cs="Arial"/>
        </w:rPr>
        <w:t>,</w:t>
      </w:r>
      <w:r w:rsidRPr="003D2988">
        <w:rPr>
          <w:rFonts w:ascii="Arial" w:hAnsi="Arial" w:cs="Arial"/>
        </w:rPr>
        <w:t xml:space="preserve"> E</w:t>
      </w:r>
      <w:r w:rsidR="00D9389F">
        <w:rPr>
          <w:rFonts w:ascii="Arial" w:hAnsi="Arial" w:cs="Arial"/>
        </w:rPr>
        <w:t xml:space="preserve">. </w:t>
      </w:r>
      <w:r w:rsidRPr="003D2988">
        <w:rPr>
          <w:rFonts w:ascii="Arial" w:hAnsi="Arial" w:cs="Arial"/>
        </w:rPr>
        <w:t xml:space="preserve">T. </w:t>
      </w:r>
      <w:r w:rsidR="00D9389F">
        <w:rPr>
          <w:rFonts w:ascii="Arial" w:hAnsi="Arial" w:cs="Arial"/>
        </w:rPr>
        <w:t xml:space="preserve">(2017). </w:t>
      </w:r>
      <w:r w:rsidRPr="003D2988">
        <w:rPr>
          <w:rFonts w:ascii="Arial" w:hAnsi="Arial" w:cs="Arial"/>
        </w:rPr>
        <w:t>Effect of glucocorticoids on mechanisms of placental angiogenesis. Placenta</w:t>
      </w:r>
      <w:r w:rsidR="00D9389F">
        <w:rPr>
          <w:rFonts w:ascii="Arial" w:hAnsi="Arial" w:cs="Arial"/>
        </w:rPr>
        <w:t xml:space="preserve">, </w:t>
      </w:r>
      <w:r w:rsidRPr="003D2988">
        <w:rPr>
          <w:rFonts w:ascii="Arial" w:hAnsi="Arial" w:cs="Arial"/>
        </w:rPr>
        <w:t>52</w:t>
      </w:r>
      <w:r w:rsidR="00D9389F">
        <w:rPr>
          <w:rFonts w:ascii="Arial" w:hAnsi="Arial" w:cs="Arial"/>
        </w:rPr>
        <w:t xml:space="preserve">, </w:t>
      </w:r>
      <w:r w:rsidRPr="003D2988">
        <w:rPr>
          <w:rFonts w:ascii="Arial" w:hAnsi="Arial" w:cs="Arial"/>
        </w:rPr>
        <w:t xml:space="preserve">41-48. Elsevier BV. </w:t>
      </w:r>
      <w:r w:rsidR="00F116DB" w:rsidRPr="00F116DB">
        <w:rPr>
          <w:rFonts w:ascii="Arial" w:hAnsi="Arial" w:cs="Arial"/>
        </w:rPr>
        <w:t>https://doi.org/</w:t>
      </w:r>
      <w:r w:rsidRPr="003D2988">
        <w:rPr>
          <w:rFonts w:ascii="Arial" w:hAnsi="Arial" w:cs="Arial"/>
        </w:rPr>
        <w:t>10.1016/j.placenta.2017.02.015.</w:t>
      </w:r>
    </w:p>
    <w:p w14:paraId="2C562DB6" w14:textId="35487219" w:rsidR="00790ADA" w:rsidRPr="002C57D2" w:rsidRDefault="003D2988" w:rsidP="00D9389F">
      <w:pPr>
        <w:pStyle w:val="Body"/>
        <w:spacing w:after="0"/>
        <w:rPr>
          <w:rFonts w:ascii="Arial" w:hAnsi="Arial" w:cs="Arial"/>
        </w:rPr>
      </w:pPr>
      <w:r w:rsidRPr="003D2988">
        <w:rPr>
          <w:rFonts w:ascii="Arial" w:hAnsi="Arial" w:cs="Arial"/>
        </w:rPr>
        <w:lastRenderedPageBreak/>
        <w:t xml:space="preserve">44. </w:t>
      </w:r>
      <w:proofErr w:type="spellStart"/>
      <w:r w:rsidRPr="003D2988">
        <w:rPr>
          <w:rFonts w:ascii="Arial" w:hAnsi="Arial" w:cs="Arial"/>
        </w:rPr>
        <w:t>Mcguinness</w:t>
      </w:r>
      <w:proofErr w:type="spellEnd"/>
      <w:r w:rsidR="00D9389F">
        <w:rPr>
          <w:rFonts w:ascii="Arial" w:hAnsi="Arial" w:cs="Arial"/>
        </w:rPr>
        <w:t>,</w:t>
      </w:r>
      <w:r w:rsidRPr="003D2988">
        <w:rPr>
          <w:rFonts w:ascii="Arial" w:hAnsi="Arial" w:cs="Arial"/>
        </w:rPr>
        <w:t xml:space="preserve"> L</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Higgins</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P</w:t>
      </w:r>
      <w:r w:rsidR="00D9389F">
        <w:rPr>
          <w:rFonts w:ascii="Arial" w:hAnsi="Arial" w:cs="Arial"/>
        </w:rPr>
        <w:t xml:space="preserve">. </w:t>
      </w:r>
      <w:r w:rsidRPr="003D2988">
        <w:rPr>
          <w:rFonts w:ascii="Arial" w:hAnsi="Arial" w:cs="Arial"/>
        </w:rPr>
        <w:t xml:space="preserve">T. </w:t>
      </w:r>
      <w:r w:rsidR="00D9389F">
        <w:rPr>
          <w:rFonts w:ascii="Arial" w:hAnsi="Arial" w:cs="Arial"/>
        </w:rPr>
        <w:t xml:space="preserve">(2020). </w:t>
      </w:r>
      <w:r w:rsidRPr="003D2988">
        <w:rPr>
          <w:rFonts w:ascii="Arial" w:hAnsi="Arial" w:cs="Arial"/>
        </w:rPr>
        <w:t>Risk</w:t>
      </w:r>
      <w:r w:rsidRPr="003D2988">
        <w:rPr>
          <w:rFonts w:ascii="Cambria Math" w:hAnsi="Cambria Math" w:cs="Cambria Math"/>
        </w:rPr>
        <w:t>‐</w:t>
      </w:r>
      <w:r w:rsidRPr="003D2988">
        <w:rPr>
          <w:rFonts w:ascii="Arial" w:hAnsi="Arial" w:cs="Arial"/>
        </w:rPr>
        <w:t>of</w:t>
      </w:r>
      <w:r w:rsidRPr="003D2988">
        <w:rPr>
          <w:rFonts w:ascii="Cambria Math" w:hAnsi="Cambria Math" w:cs="Cambria Math"/>
        </w:rPr>
        <w:t>‐</w:t>
      </w:r>
      <w:r w:rsidRPr="003D2988">
        <w:rPr>
          <w:rFonts w:ascii="Arial" w:hAnsi="Arial" w:cs="Arial"/>
        </w:rPr>
        <w:t xml:space="preserve">bias </w:t>
      </w:r>
      <w:proofErr w:type="spellStart"/>
      <w:r w:rsidRPr="003D2988">
        <w:rPr>
          <w:rFonts w:ascii="Arial" w:hAnsi="Arial" w:cs="Arial"/>
        </w:rPr>
        <w:t>VISualization</w:t>
      </w:r>
      <w:proofErr w:type="spellEnd"/>
      <w:r w:rsidRPr="003D2988">
        <w:rPr>
          <w:rFonts w:ascii="Arial" w:hAnsi="Arial" w:cs="Arial"/>
        </w:rPr>
        <w:t xml:space="preserve"> (</w:t>
      </w:r>
      <w:proofErr w:type="spellStart"/>
      <w:r w:rsidRPr="003D2988">
        <w:rPr>
          <w:rFonts w:ascii="Arial" w:hAnsi="Arial" w:cs="Arial"/>
        </w:rPr>
        <w:t>robvis</w:t>
      </w:r>
      <w:proofErr w:type="spellEnd"/>
      <w:r w:rsidRPr="003D2988">
        <w:rPr>
          <w:rFonts w:ascii="Arial" w:hAnsi="Arial" w:cs="Arial"/>
        </w:rPr>
        <w:t xml:space="preserve">): </w:t>
      </w:r>
      <w:r w:rsidR="001E2533">
        <w:rPr>
          <w:rFonts w:ascii="Arial" w:hAnsi="Arial" w:cs="Arial"/>
        </w:rPr>
        <w:t>A</w:t>
      </w:r>
      <w:r w:rsidRPr="003D2988">
        <w:rPr>
          <w:rFonts w:ascii="Arial" w:hAnsi="Arial" w:cs="Arial"/>
        </w:rPr>
        <w:t xml:space="preserve">n r package and shiny web app for visualizing </w:t>
      </w:r>
      <w:proofErr w:type="spellStart"/>
      <w:r w:rsidRPr="003D2988">
        <w:rPr>
          <w:rFonts w:ascii="Arial" w:hAnsi="Arial" w:cs="Arial"/>
        </w:rPr>
        <w:t>ris</w:t>
      </w:r>
      <w:proofErr w:type="spellEnd"/>
      <w:r w:rsidRPr="003D2988">
        <w:rPr>
          <w:rFonts w:ascii="Arial" w:hAnsi="Arial" w:cs="Arial"/>
        </w:rPr>
        <w:t>-of-bias assessments. Research Synthesis Methods</w:t>
      </w:r>
      <w:r w:rsidR="00D9389F">
        <w:rPr>
          <w:rFonts w:ascii="Arial" w:hAnsi="Arial" w:cs="Arial"/>
        </w:rPr>
        <w:t xml:space="preserve">, </w:t>
      </w:r>
      <w:r w:rsidRPr="003D2988">
        <w:rPr>
          <w:rFonts w:ascii="Arial" w:hAnsi="Arial" w:cs="Arial"/>
        </w:rPr>
        <w:t>12(1)</w:t>
      </w:r>
      <w:r w:rsidR="00D9389F">
        <w:rPr>
          <w:rFonts w:ascii="Arial" w:hAnsi="Arial" w:cs="Arial"/>
        </w:rPr>
        <w:t xml:space="preserve">, </w:t>
      </w:r>
      <w:r w:rsidRPr="003D2988">
        <w:rPr>
          <w:rFonts w:ascii="Arial" w:hAnsi="Arial" w:cs="Arial"/>
        </w:rPr>
        <w:t xml:space="preserve">1-7. </w:t>
      </w:r>
      <w:r w:rsidR="00F116DB" w:rsidRPr="00F116DB">
        <w:rPr>
          <w:rFonts w:ascii="Arial" w:hAnsi="Arial" w:cs="Arial"/>
        </w:rPr>
        <w:t>https://doi.org/</w:t>
      </w:r>
      <w:r w:rsidRPr="003D2988">
        <w:rPr>
          <w:rFonts w:ascii="Arial" w:hAnsi="Arial" w:cs="Arial"/>
        </w:rPr>
        <w:t>10.1002/jrsm.1411.</w:t>
      </w:r>
    </w:p>
    <w:p w14:paraId="01246D32" w14:textId="77777777" w:rsidR="008B459E" w:rsidRPr="002C57D2" w:rsidRDefault="008B459E" w:rsidP="00D9389F">
      <w:pPr>
        <w:pStyle w:val="Body"/>
        <w:spacing w:after="0"/>
        <w:rPr>
          <w:rFonts w:ascii="Arial" w:hAnsi="Arial" w:cs="Arial"/>
        </w:rPr>
      </w:pPr>
    </w:p>
    <w:p w14:paraId="0F607568" w14:textId="77777777" w:rsidR="00790ADA" w:rsidRDefault="00790ADA" w:rsidP="00D9389F">
      <w:pPr>
        <w:pStyle w:val="Body"/>
        <w:spacing w:after="0"/>
        <w:rPr>
          <w:rFonts w:ascii="Arial" w:hAnsi="Arial" w:cs="Arial"/>
        </w:rPr>
      </w:pPr>
    </w:p>
    <w:p w14:paraId="3899B7CA" w14:textId="6CE4AE00" w:rsidR="004D4277" w:rsidRPr="00690662" w:rsidRDefault="004D4277" w:rsidP="00690662">
      <w:pPr>
        <w:pStyle w:val="DefAcrHead"/>
        <w:spacing w:after="0"/>
        <w:jc w:val="both"/>
        <w:rPr>
          <w:rFonts w:ascii="Arial" w:hAnsi="Arial" w:cs="Arial"/>
        </w:rPr>
        <w:sectPr w:rsidR="004D4277" w:rsidRPr="00690662" w:rsidSect="00F36A94">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7C2CA2C3" w14:textId="77777777" w:rsidR="00B01FCD" w:rsidRPr="00FB3A86" w:rsidRDefault="00B01FCD" w:rsidP="00441B6F">
      <w:pPr>
        <w:pStyle w:val="Appendix"/>
        <w:spacing w:after="0"/>
        <w:jc w:val="both"/>
        <w:rPr>
          <w:rFonts w:ascii="Arial" w:hAnsi="Arial" w:cs="Arial"/>
          <w:b w:val="0"/>
        </w:rPr>
      </w:pPr>
    </w:p>
    <w:sectPr w:rsidR="00B01FCD" w:rsidRPr="00FB3A86" w:rsidSect="00F36A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306B" w14:textId="77777777" w:rsidR="00494553" w:rsidRDefault="00494553" w:rsidP="00C37E61">
      <w:r>
        <w:separator/>
      </w:r>
    </w:p>
  </w:endnote>
  <w:endnote w:type="continuationSeparator" w:id="0">
    <w:p w14:paraId="018503FE" w14:textId="77777777" w:rsidR="00494553" w:rsidRDefault="004945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EA94" w14:textId="77777777" w:rsidR="007808CD" w:rsidRDefault="0078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819C" w14:textId="77777777" w:rsidR="007808CD" w:rsidRDefault="00780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4E30" w14:textId="77777777" w:rsidR="009E048A" w:rsidRDefault="009E048A">
    <w:pPr>
      <w:pStyle w:val="Footer"/>
      <w:rPr>
        <w:rFonts w:ascii="Arial" w:hAnsi="Arial" w:cs="Arial"/>
        <w:sz w:val="16"/>
      </w:rPr>
    </w:pPr>
  </w:p>
  <w:p w14:paraId="1E7658E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3CC0F3" w14:textId="77777777" w:rsidR="009E048A" w:rsidRDefault="009E048A">
    <w:pPr>
      <w:pStyle w:val="Footer"/>
      <w:rPr>
        <w:rFonts w:ascii="Arial" w:hAnsi="Arial" w:cs="Arial"/>
        <w:sz w:val="16"/>
      </w:rPr>
    </w:pPr>
  </w:p>
  <w:p w14:paraId="5EC304D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115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82DC" w14:textId="77777777" w:rsidR="00494553" w:rsidRDefault="00494553" w:rsidP="00C37E61">
      <w:r>
        <w:separator/>
      </w:r>
    </w:p>
  </w:footnote>
  <w:footnote w:type="continuationSeparator" w:id="0">
    <w:p w14:paraId="12BAB270" w14:textId="77777777" w:rsidR="00494553" w:rsidRDefault="0049455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B70F" w14:textId="6BE66885" w:rsidR="007808CD" w:rsidRDefault="007808CD">
    <w:pPr>
      <w:pStyle w:val="Header"/>
    </w:pPr>
    <w:r>
      <w:rPr>
        <w:noProof/>
      </w:rPr>
      <w:pict w14:anchorId="63631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5447" w14:textId="77283F12" w:rsidR="007808CD" w:rsidRDefault="007808CD">
    <w:pPr>
      <w:pStyle w:val="Header"/>
    </w:pPr>
    <w:r>
      <w:rPr>
        <w:noProof/>
      </w:rPr>
      <w:pict w14:anchorId="38CEF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3750" w14:textId="0CB3BA9C" w:rsidR="00296529" w:rsidRPr="00296529" w:rsidRDefault="007808CD" w:rsidP="00296529">
    <w:pPr>
      <w:ind w:left="2160"/>
      <w:jc w:val="center"/>
      <w:rPr>
        <w:rFonts w:ascii="Times New Roman" w:eastAsia="Calibri" w:hAnsi="Times New Roman"/>
        <w:i/>
        <w:sz w:val="18"/>
        <w:szCs w:val="22"/>
      </w:rPr>
    </w:pPr>
    <w:r>
      <w:rPr>
        <w:noProof/>
      </w:rPr>
      <w:pict w14:anchorId="7B05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DFED7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AA726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F293B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186D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1A7D5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46E1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5E54" w14:textId="3B9897D8" w:rsidR="007808CD" w:rsidRDefault="007808CD">
    <w:pPr>
      <w:pStyle w:val="Header"/>
    </w:pPr>
    <w:r>
      <w:rPr>
        <w:noProof/>
      </w:rPr>
      <w:pict w14:anchorId="39603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A20D" w14:textId="68A0EF37" w:rsidR="007808CD" w:rsidRDefault="007808CD">
    <w:pPr>
      <w:pStyle w:val="Header"/>
    </w:pPr>
    <w:r>
      <w:rPr>
        <w:noProof/>
      </w:rPr>
      <w:pict w14:anchorId="0EFF0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5E84" w14:textId="68C6A898" w:rsidR="007808CD" w:rsidRDefault="007808CD">
    <w:pPr>
      <w:pStyle w:val="Header"/>
    </w:pPr>
    <w:r>
      <w:rPr>
        <w:noProof/>
      </w:rPr>
      <w:pict w14:anchorId="53F13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9A9"/>
    <w:rsid w:val="0004579C"/>
    <w:rsid w:val="000530CB"/>
    <w:rsid w:val="00090445"/>
    <w:rsid w:val="00093D83"/>
    <w:rsid w:val="000A2204"/>
    <w:rsid w:val="000A47FA"/>
    <w:rsid w:val="000A65D3"/>
    <w:rsid w:val="000B1E33"/>
    <w:rsid w:val="000D689F"/>
    <w:rsid w:val="000E7B7B"/>
    <w:rsid w:val="000E7D62"/>
    <w:rsid w:val="00103357"/>
    <w:rsid w:val="00123C9F"/>
    <w:rsid w:val="00126190"/>
    <w:rsid w:val="0012793D"/>
    <w:rsid w:val="00130F17"/>
    <w:rsid w:val="001320BF"/>
    <w:rsid w:val="00163BC4"/>
    <w:rsid w:val="00191062"/>
    <w:rsid w:val="00192B72"/>
    <w:rsid w:val="001A29D8"/>
    <w:rsid w:val="001A5CAA"/>
    <w:rsid w:val="001A680B"/>
    <w:rsid w:val="001B0427"/>
    <w:rsid w:val="001D3A51"/>
    <w:rsid w:val="001E10D2"/>
    <w:rsid w:val="001E2533"/>
    <w:rsid w:val="001E25B4"/>
    <w:rsid w:val="001E44FE"/>
    <w:rsid w:val="001F6EDB"/>
    <w:rsid w:val="00200595"/>
    <w:rsid w:val="00204835"/>
    <w:rsid w:val="00231920"/>
    <w:rsid w:val="0023195C"/>
    <w:rsid w:val="0024282C"/>
    <w:rsid w:val="002460DC"/>
    <w:rsid w:val="00250985"/>
    <w:rsid w:val="002556F6"/>
    <w:rsid w:val="00283105"/>
    <w:rsid w:val="00284C4C"/>
    <w:rsid w:val="00287E68"/>
    <w:rsid w:val="00292378"/>
    <w:rsid w:val="00296529"/>
    <w:rsid w:val="002B066A"/>
    <w:rsid w:val="002B27FB"/>
    <w:rsid w:val="002B685A"/>
    <w:rsid w:val="002C57D2"/>
    <w:rsid w:val="002C7E96"/>
    <w:rsid w:val="002E0D56"/>
    <w:rsid w:val="00315186"/>
    <w:rsid w:val="0033343E"/>
    <w:rsid w:val="00335F3E"/>
    <w:rsid w:val="003370A4"/>
    <w:rsid w:val="003512C2"/>
    <w:rsid w:val="00355640"/>
    <w:rsid w:val="00360A30"/>
    <w:rsid w:val="00371FB6"/>
    <w:rsid w:val="003763C1"/>
    <w:rsid w:val="00376BBE"/>
    <w:rsid w:val="00377F9A"/>
    <w:rsid w:val="0039224F"/>
    <w:rsid w:val="003A43A4"/>
    <w:rsid w:val="003A7E18"/>
    <w:rsid w:val="003C4C86"/>
    <w:rsid w:val="003C6258"/>
    <w:rsid w:val="003D2988"/>
    <w:rsid w:val="003E2904"/>
    <w:rsid w:val="00401927"/>
    <w:rsid w:val="0041027F"/>
    <w:rsid w:val="00412475"/>
    <w:rsid w:val="00423789"/>
    <w:rsid w:val="00440F43"/>
    <w:rsid w:val="00441B6F"/>
    <w:rsid w:val="00446221"/>
    <w:rsid w:val="00450E62"/>
    <w:rsid w:val="004539DB"/>
    <w:rsid w:val="00471A80"/>
    <w:rsid w:val="0049401E"/>
    <w:rsid w:val="00494553"/>
    <w:rsid w:val="004D305E"/>
    <w:rsid w:val="004D4277"/>
    <w:rsid w:val="00502516"/>
    <w:rsid w:val="00505F06"/>
    <w:rsid w:val="00506828"/>
    <w:rsid w:val="0053056E"/>
    <w:rsid w:val="00531C5C"/>
    <w:rsid w:val="00552577"/>
    <w:rsid w:val="00554FDA"/>
    <w:rsid w:val="00561F04"/>
    <w:rsid w:val="005960EB"/>
    <w:rsid w:val="005C784C"/>
    <w:rsid w:val="005D17F6"/>
    <w:rsid w:val="005E4967"/>
    <w:rsid w:val="005E5539"/>
    <w:rsid w:val="00602BF5"/>
    <w:rsid w:val="00615448"/>
    <w:rsid w:val="00617FDD"/>
    <w:rsid w:val="00633614"/>
    <w:rsid w:val="00633F68"/>
    <w:rsid w:val="00636EB2"/>
    <w:rsid w:val="006375B8"/>
    <w:rsid w:val="006519AC"/>
    <w:rsid w:val="0066510A"/>
    <w:rsid w:val="00670712"/>
    <w:rsid w:val="00673F9F"/>
    <w:rsid w:val="00686953"/>
    <w:rsid w:val="00687DEA"/>
    <w:rsid w:val="00687E67"/>
    <w:rsid w:val="00690662"/>
    <w:rsid w:val="006967F7"/>
    <w:rsid w:val="006A250C"/>
    <w:rsid w:val="006A39AB"/>
    <w:rsid w:val="006B21D3"/>
    <w:rsid w:val="006B57D0"/>
    <w:rsid w:val="006C032F"/>
    <w:rsid w:val="006D30FF"/>
    <w:rsid w:val="006D6940"/>
    <w:rsid w:val="006E1B13"/>
    <w:rsid w:val="006E6CF0"/>
    <w:rsid w:val="006F11EC"/>
    <w:rsid w:val="0070082C"/>
    <w:rsid w:val="00725C90"/>
    <w:rsid w:val="007369E6"/>
    <w:rsid w:val="00746E59"/>
    <w:rsid w:val="00746FFB"/>
    <w:rsid w:val="00754C9A"/>
    <w:rsid w:val="0075599A"/>
    <w:rsid w:val="00761D52"/>
    <w:rsid w:val="0077749E"/>
    <w:rsid w:val="007808CD"/>
    <w:rsid w:val="00790ADA"/>
    <w:rsid w:val="007D2288"/>
    <w:rsid w:val="007E088F"/>
    <w:rsid w:val="007E5F37"/>
    <w:rsid w:val="007F7B32"/>
    <w:rsid w:val="00804BC2"/>
    <w:rsid w:val="0081431A"/>
    <w:rsid w:val="0083216F"/>
    <w:rsid w:val="00843410"/>
    <w:rsid w:val="00846A1A"/>
    <w:rsid w:val="00853D1E"/>
    <w:rsid w:val="00860000"/>
    <w:rsid w:val="00863BD3"/>
    <w:rsid w:val="008641ED"/>
    <w:rsid w:val="00866D66"/>
    <w:rsid w:val="008671C6"/>
    <w:rsid w:val="00875803"/>
    <w:rsid w:val="008A61D8"/>
    <w:rsid w:val="008B459E"/>
    <w:rsid w:val="008E13AE"/>
    <w:rsid w:val="008E1506"/>
    <w:rsid w:val="008E710C"/>
    <w:rsid w:val="008F69D6"/>
    <w:rsid w:val="00902823"/>
    <w:rsid w:val="00915CA6"/>
    <w:rsid w:val="00923DB6"/>
    <w:rsid w:val="00927834"/>
    <w:rsid w:val="0093140A"/>
    <w:rsid w:val="00941B11"/>
    <w:rsid w:val="009500A6"/>
    <w:rsid w:val="00957C18"/>
    <w:rsid w:val="009659BA"/>
    <w:rsid w:val="009713DA"/>
    <w:rsid w:val="00983040"/>
    <w:rsid w:val="009A4D80"/>
    <w:rsid w:val="009B1D6F"/>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DD4"/>
    <w:rsid w:val="00A347C0"/>
    <w:rsid w:val="00A51431"/>
    <w:rsid w:val="00A539AD"/>
    <w:rsid w:val="00A94063"/>
    <w:rsid w:val="00AA6219"/>
    <w:rsid w:val="00AA74E0"/>
    <w:rsid w:val="00AB703F"/>
    <w:rsid w:val="00AC6BB8"/>
    <w:rsid w:val="00AC70AE"/>
    <w:rsid w:val="00AE008F"/>
    <w:rsid w:val="00AE6376"/>
    <w:rsid w:val="00B01FCD"/>
    <w:rsid w:val="00B1776C"/>
    <w:rsid w:val="00B21F25"/>
    <w:rsid w:val="00B52583"/>
    <w:rsid w:val="00B52896"/>
    <w:rsid w:val="00B724F1"/>
    <w:rsid w:val="00B808E5"/>
    <w:rsid w:val="00B95236"/>
    <w:rsid w:val="00B96ABD"/>
    <w:rsid w:val="00B96BD9"/>
    <w:rsid w:val="00BA1B01"/>
    <w:rsid w:val="00BA2641"/>
    <w:rsid w:val="00BB37AA"/>
    <w:rsid w:val="00BC53A0"/>
    <w:rsid w:val="00BD1A0D"/>
    <w:rsid w:val="00BD4190"/>
    <w:rsid w:val="00BE62AD"/>
    <w:rsid w:val="00BF121F"/>
    <w:rsid w:val="00BF1F80"/>
    <w:rsid w:val="00C166EF"/>
    <w:rsid w:val="00C17EB0"/>
    <w:rsid w:val="00C22389"/>
    <w:rsid w:val="00C27F5F"/>
    <w:rsid w:val="00C30A0F"/>
    <w:rsid w:val="00C37E61"/>
    <w:rsid w:val="00C70F1B"/>
    <w:rsid w:val="00C71A47"/>
    <w:rsid w:val="00C7464C"/>
    <w:rsid w:val="00C85588"/>
    <w:rsid w:val="00CA0D8B"/>
    <w:rsid w:val="00CA4526"/>
    <w:rsid w:val="00CC6879"/>
    <w:rsid w:val="00CC6CBD"/>
    <w:rsid w:val="00CD6755"/>
    <w:rsid w:val="00CD6856"/>
    <w:rsid w:val="00CE0089"/>
    <w:rsid w:val="00CE793C"/>
    <w:rsid w:val="00CF193C"/>
    <w:rsid w:val="00CF5B2C"/>
    <w:rsid w:val="00D173F1"/>
    <w:rsid w:val="00D57098"/>
    <w:rsid w:val="00D74CB0"/>
    <w:rsid w:val="00D819E4"/>
    <w:rsid w:val="00D8295D"/>
    <w:rsid w:val="00D861DF"/>
    <w:rsid w:val="00D87421"/>
    <w:rsid w:val="00D87690"/>
    <w:rsid w:val="00D9389F"/>
    <w:rsid w:val="00DC2A65"/>
    <w:rsid w:val="00DD33A8"/>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07CD"/>
    <w:rsid w:val="00EF581D"/>
    <w:rsid w:val="00EF7FD8"/>
    <w:rsid w:val="00F009F0"/>
    <w:rsid w:val="00F06F59"/>
    <w:rsid w:val="00F116DB"/>
    <w:rsid w:val="00F17988"/>
    <w:rsid w:val="00F36A94"/>
    <w:rsid w:val="00F469F0"/>
    <w:rsid w:val="00F53273"/>
    <w:rsid w:val="00F72F15"/>
    <w:rsid w:val="00F755E4"/>
    <w:rsid w:val="00F77D02"/>
    <w:rsid w:val="00FA664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DEE60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elacomgrade1">
    <w:name w:val="Tabela com grade1"/>
    <w:basedOn w:val="TableNormal"/>
    <w:next w:val="TableGrid"/>
    <w:uiPriority w:val="39"/>
    <w:rsid w:val="009B1D6F"/>
    <w:rPr>
      <w:rFonts w:ascii="Calibri" w:eastAsia="Calibri" w:hAnsi="Calibri"/>
      <w:kern w:val="2"/>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A45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7485749">
      <w:bodyDiv w:val="1"/>
      <w:marLeft w:val="0"/>
      <w:marRight w:val="0"/>
      <w:marTop w:val="0"/>
      <w:marBottom w:val="0"/>
      <w:divBdr>
        <w:top w:val="none" w:sz="0" w:space="0" w:color="auto"/>
        <w:left w:val="none" w:sz="0" w:space="0" w:color="auto"/>
        <w:bottom w:val="none" w:sz="0" w:space="0" w:color="auto"/>
        <w:right w:val="none" w:sz="0" w:space="0" w:color="auto"/>
      </w:divBdr>
    </w:div>
    <w:div w:id="513231969">
      <w:bodyDiv w:val="1"/>
      <w:marLeft w:val="0"/>
      <w:marRight w:val="0"/>
      <w:marTop w:val="0"/>
      <w:marBottom w:val="0"/>
      <w:divBdr>
        <w:top w:val="none" w:sz="0" w:space="0" w:color="auto"/>
        <w:left w:val="none" w:sz="0" w:space="0" w:color="auto"/>
        <w:bottom w:val="none" w:sz="0" w:space="0" w:color="auto"/>
        <w:right w:val="none" w:sz="0" w:space="0" w:color="auto"/>
      </w:divBdr>
    </w:div>
    <w:div w:id="5206252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923266">
      <w:bodyDiv w:val="1"/>
      <w:marLeft w:val="0"/>
      <w:marRight w:val="0"/>
      <w:marTop w:val="0"/>
      <w:marBottom w:val="0"/>
      <w:divBdr>
        <w:top w:val="none" w:sz="0" w:space="0" w:color="auto"/>
        <w:left w:val="none" w:sz="0" w:space="0" w:color="auto"/>
        <w:bottom w:val="none" w:sz="0" w:space="0" w:color="auto"/>
        <w:right w:val="none" w:sz="0" w:space="0" w:color="auto"/>
      </w:divBdr>
    </w:div>
    <w:div w:id="7635023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01650">
      <w:bodyDiv w:val="1"/>
      <w:marLeft w:val="0"/>
      <w:marRight w:val="0"/>
      <w:marTop w:val="0"/>
      <w:marBottom w:val="0"/>
      <w:divBdr>
        <w:top w:val="none" w:sz="0" w:space="0" w:color="auto"/>
        <w:left w:val="none" w:sz="0" w:space="0" w:color="auto"/>
        <w:bottom w:val="none" w:sz="0" w:space="0" w:color="auto"/>
        <w:right w:val="none" w:sz="0" w:space="0" w:color="auto"/>
      </w:divBdr>
    </w:div>
    <w:div w:id="1233663539">
      <w:bodyDiv w:val="1"/>
      <w:marLeft w:val="0"/>
      <w:marRight w:val="0"/>
      <w:marTop w:val="0"/>
      <w:marBottom w:val="0"/>
      <w:divBdr>
        <w:top w:val="none" w:sz="0" w:space="0" w:color="auto"/>
        <w:left w:val="none" w:sz="0" w:space="0" w:color="auto"/>
        <w:bottom w:val="none" w:sz="0" w:space="0" w:color="auto"/>
        <w:right w:val="none" w:sz="0" w:space="0" w:color="auto"/>
      </w:divBdr>
    </w:div>
    <w:div w:id="17311507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3216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606/issn.1679-9836.v97i2p226-23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036B-E337-4539-B6AF-3FC0E5E9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518</TotalTime>
  <Pages>18</Pages>
  <Words>7090</Words>
  <Characters>40419</Characters>
  <Application>Microsoft Office Word</Application>
  <DocSecurity>0</DocSecurity>
  <Lines>336</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47415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36</cp:revision>
  <cp:lastPrinted>1999-07-06T11:00:00Z</cp:lastPrinted>
  <dcterms:created xsi:type="dcterms:W3CDTF">2014-10-25T14:34:00Z</dcterms:created>
  <dcterms:modified xsi:type="dcterms:W3CDTF">2025-02-24T11:28:00Z</dcterms:modified>
</cp:coreProperties>
</file>