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6F552" w14:textId="77777777" w:rsidR="00EC7088" w:rsidRPr="006204D0" w:rsidRDefault="00EC7088" w:rsidP="00B518FA">
      <w:pPr>
        <w:jc w:val="center"/>
        <w:rPr>
          <w:rFonts w:ascii="Arial" w:hAnsi="Arial" w:cs="Arial"/>
          <w:b/>
          <w:bCs/>
          <w:szCs w:val="24"/>
        </w:rPr>
      </w:pPr>
      <w:r w:rsidRPr="006204D0">
        <w:rPr>
          <w:rFonts w:ascii="Arial" w:hAnsi="Arial" w:cs="Arial"/>
          <w:b/>
          <w:bCs/>
          <w:szCs w:val="24"/>
        </w:rPr>
        <w:t>COMPARATIVE EVALUATION OF MUPIROCIN AND FUSIDIC ACID AS A TOPICAL THERAPY ON STAPHYLOCOCCAL PODODERMATITIS</w:t>
      </w:r>
    </w:p>
    <w:p w14:paraId="64EC0E81" w14:textId="77777777" w:rsidR="00C343EE" w:rsidRDefault="00C343EE" w:rsidP="00847DDB">
      <w:pPr>
        <w:jc w:val="both"/>
        <w:rPr>
          <w:rFonts w:ascii="Arial" w:hAnsi="Arial" w:cs="Arial"/>
          <w:b/>
          <w:bCs/>
          <w:szCs w:val="24"/>
        </w:rPr>
      </w:pPr>
    </w:p>
    <w:p w14:paraId="004AD976" w14:textId="7F5E6F98" w:rsidR="00847DDB" w:rsidRPr="006204D0" w:rsidRDefault="00B518FA" w:rsidP="00847DDB">
      <w:pPr>
        <w:jc w:val="both"/>
        <w:rPr>
          <w:rFonts w:ascii="Arial" w:hAnsi="Arial" w:cs="Arial"/>
          <w:szCs w:val="24"/>
        </w:rPr>
      </w:pPr>
      <w:bookmarkStart w:id="0" w:name="_GoBack"/>
      <w:bookmarkEnd w:id="0"/>
      <w:r w:rsidRPr="006204D0">
        <w:rPr>
          <w:rFonts w:ascii="Arial" w:hAnsi="Arial" w:cs="Arial"/>
          <w:b/>
          <w:bCs/>
          <w:szCs w:val="24"/>
        </w:rPr>
        <w:t>Abstract:</w:t>
      </w:r>
      <w:r w:rsidRPr="006204D0">
        <w:rPr>
          <w:rFonts w:ascii="Arial" w:hAnsi="Arial" w:cs="Arial"/>
          <w:szCs w:val="24"/>
        </w:rPr>
        <w:t xml:space="preserve"> Topical therapy has gained more focus as it reduces the side effects and duration of the systemic drugs and provide a much more effective results by targeting affected areas. This study was conducted to evaluate comparative therapeutic efficacy of mupirocin and fusidic acid against Staphylococcal pododermatitis in dogs. During the study period, dogs presented to VCC, College of Veterinary Science and Animal Husbandry, Jabalpur (M.P.) were screened over six months period from May to October 2024. 12 confirmed cases were assigned in two different treatment groups with 6 dogs each along with one control group. The two treatment groups were administered with mupirocin and fusidic acid. A significant decrease was seen by </w:t>
      </w:r>
      <w:r w:rsidR="00847DDB" w:rsidRPr="006204D0">
        <w:rPr>
          <w:rFonts w:ascii="Arial" w:hAnsi="Arial" w:cs="Arial"/>
          <w:szCs w:val="24"/>
        </w:rPr>
        <w:t>week 4</w:t>
      </w:r>
      <w:r w:rsidRPr="006204D0">
        <w:rPr>
          <w:rFonts w:ascii="Arial" w:hAnsi="Arial" w:cs="Arial"/>
          <w:szCs w:val="24"/>
        </w:rPr>
        <w:t xml:space="preserve"> in both </w:t>
      </w:r>
      <w:r w:rsidR="00847DDB" w:rsidRPr="006204D0">
        <w:rPr>
          <w:rFonts w:ascii="Arial" w:hAnsi="Arial" w:cs="Arial"/>
          <w:szCs w:val="24"/>
        </w:rPr>
        <w:t>groups although the mean time-to-resolution of lesions was comparatively less in the group with mupirocin as the topical treatment.</w:t>
      </w:r>
    </w:p>
    <w:p w14:paraId="3E280F9F" w14:textId="4F183B1F" w:rsidR="00847DDB" w:rsidRPr="006204D0" w:rsidRDefault="00847DDB" w:rsidP="00847DDB">
      <w:pPr>
        <w:jc w:val="both"/>
        <w:rPr>
          <w:rFonts w:ascii="Arial" w:hAnsi="Arial" w:cs="Arial"/>
          <w:szCs w:val="24"/>
        </w:rPr>
      </w:pPr>
      <w:r w:rsidRPr="00847DDB">
        <w:rPr>
          <w:rFonts w:ascii="Arial" w:hAnsi="Arial" w:cs="Arial"/>
          <w:b/>
          <w:bCs/>
          <w:szCs w:val="24"/>
        </w:rPr>
        <w:t>Keywords:</w:t>
      </w:r>
      <w:r w:rsidRPr="006204D0">
        <w:rPr>
          <w:rFonts w:ascii="Arial" w:hAnsi="Arial" w:cs="Arial"/>
          <w:szCs w:val="24"/>
        </w:rPr>
        <w:t xml:space="preserve"> Pododermatitis</w:t>
      </w:r>
      <w:r w:rsidRPr="00847DDB">
        <w:rPr>
          <w:rFonts w:ascii="Arial" w:hAnsi="Arial" w:cs="Arial"/>
          <w:szCs w:val="24"/>
        </w:rPr>
        <w:t xml:space="preserve">, Dogs, </w:t>
      </w:r>
      <w:r w:rsidRPr="006204D0">
        <w:rPr>
          <w:rFonts w:ascii="Arial" w:hAnsi="Arial" w:cs="Arial"/>
          <w:szCs w:val="24"/>
        </w:rPr>
        <w:t>Mupirocin, Fusidic acid</w:t>
      </w:r>
    </w:p>
    <w:p w14:paraId="0EF1A98E" w14:textId="5D8007F5" w:rsidR="00847DDB" w:rsidRPr="006204D0" w:rsidRDefault="00847DDB" w:rsidP="00847DDB">
      <w:pPr>
        <w:jc w:val="both"/>
        <w:rPr>
          <w:rFonts w:ascii="Arial" w:hAnsi="Arial" w:cs="Arial"/>
          <w:b/>
          <w:bCs/>
          <w:szCs w:val="24"/>
        </w:rPr>
      </w:pPr>
      <w:r w:rsidRPr="006204D0">
        <w:rPr>
          <w:rFonts w:ascii="Arial" w:hAnsi="Arial" w:cs="Arial"/>
          <w:b/>
          <w:bCs/>
          <w:szCs w:val="24"/>
        </w:rPr>
        <w:t>Introduction:</w:t>
      </w:r>
    </w:p>
    <w:p w14:paraId="656492B0" w14:textId="77777777" w:rsidR="00847DDB" w:rsidRPr="006204D0" w:rsidRDefault="00847DDB" w:rsidP="00847DDB">
      <w:pPr>
        <w:ind w:firstLine="720"/>
        <w:jc w:val="both"/>
        <w:rPr>
          <w:rFonts w:ascii="Arial" w:hAnsi="Arial" w:cs="Arial"/>
          <w:szCs w:val="24"/>
        </w:rPr>
      </w:pPr>
      <w:r w:rsidRPr="006204D0">
        <w:rPr>
          <w:rFonts w:ascii="Arial" w:hAnsi="Arial" w:cs="Arial"/>
          <w:szCs w:val="24"/>
        </w:rPr>
        <w:t xml:space="preserve">The skin is the largest organ of the body comprising of the 12-24% body weight and has haired and hairless portions. It is formed of epidermis, dermis, subcutis and adnexa (hair follicles and glands like sebaceous and sweat). The histological structure differs according to the anatomical site and the species of the animal. The dorsal aspect of the body along with the lateral part of the limbs have densely haired area and thicker as compared to the ventral part mainly the abdomen and medial aspect of the thighs (Zachary, 2021). The integument refers to the outermost protective layer of the animal’s body </w:t>
      </w:r>
      <w:r w:rsidRPr="007B36FA">
        <w:rPr>
          <w:rFonts w:ascii="Arial" w:hAnsi="Arial" w:cs="Arial"/>
          <w:i/>
          <w:iCs/>
          <w:szCs w:val="24"/>
        </w:rPr>
        <w:t>i.e.,</w:t>
      </w:r>
      <w:r w:rsidRPr="006204D0">
        <w:rPr>
          <w:rFonts w:ascii="Arial" w:hAnsi="Arial" w:cs="Arial"/>
          <w:szCs w:val="24"/>
        </w:rPr>
        <w:t xml:space="preserve"> skin. It provides protection by maintaining the boundary between the body and environment. In addition, it also has functions like regulating temperature, immune protection, providing pigments and sensory perception (Aiello and Moses, 2016). </w:t>
      </w:r>
    </w:p>
    <w:p w14:paraId="5E5C6677" w14:textId="77777777" w:rsidR="00847DDB" w:rsidRPr="006204D0" w:rsidRDefault="00847DDB" w:rsidP="00847DDB">
      <w:pPr>
        <w:ind w:firstLine="720"/>
        <w:jc w:val="both"/>
        <w:rPr>
          <w:rFonts w:ascii="Arial" w:hAnsi="Arial" w:cs="Arial"/>
          <w:szCs w:val="24"/>
        </w:rPr>
      </w:pPr>
      <w:r w:rsidRPr="006204D0">
        <w:rPr>
          <w:rFonts w:ascii="Arial" w:hAnsi="Arial" w:cs="Arial"/>
          <w:szCs w:val="24"/>
        </w:rPr>
        <w:t>Due to its surface area, it encounters many factors which can influence the healthy integument. The factors include exogenous factors (nutritional, microbial, chemical, physical, parasitic, actinic and allergic) and endogenous factors (immunologic, congenital, hereditary, hormonal, emotional, emotional, metabolic, age and internal disease) (Maxie, 2016). Due to the obvious nature of the lesions, skin disorders are one of the most apparent reasons for veterinarian appointment. The anamnesis, age of onset, progression of the condition, pruritic score and prevalent systemic disease must be considered to establish definitive diagnosis and differential diagnosis.</w:t>
      </w:r>
    </w:p>
    <w:p w14:paraId="0204FF34" w14:textId="6AA3B994" w:rsidR="00847DDB" w:rsidRPr="006204D0" w:rsidRDefault="00847DDB" w:rsidP="00847DDB">
      <w:pPr>
        <w:ind w:firstLine="720"/>
        <w:jc w:val="both"/>
        <w:rPr>
          <w:rFonts w:ascii="Arial" w:hAnsi="Arial" w:cs="Arial"/>
          <w:szCs w:val="24"/>
        </w:rPr>
      </w:pPr>
      <w:r w:rsidRPr="006204D0">
        <w:rPr>
          <w:rFonts w:ascii="Arial" w:hAnsi="Arial" w:cs="Arial"/>
          <w:szCs w:val="24"/>
        </w:rPr>
        <w:t xml:space="preserve">Dermatological complications are one of the most encountered and resolving them can be highly rewarding or frustrating for the veterinarian (Miller </w:t>
      </w:r>
      <w:r w:rsidRPr="008F569C">
        <w:rPr>
          <w:rFonts w:ascii="Arial" w:hAnsi="Arial" w:cs="Arial"/>
          <w:i/>
          <w:iCs/>
          <w:szCs w:val="24"/>
        </w:rPr>
        <w:t>et al.,</w:t>
      </w:r>
      <w:r w:rsidRPr="006204D0">
        <w:rPr>
          <w:rFonts w:ascii="Arial" w:hAnsi="Arial" w:cs="Arial"/>
          <w:szCs w:val="24"/>
        </w:rPr>
        <w:t xml:space="preserve"> 2012). They are reported for 12 to 75 percent of the complaints in companion animal hospitals (Feijo </w:t>
      </w:r>
      <w:r w:rsidRPr="008F569C">
        <w:rPr>
          <w:rFonts w:ascii="Arial" w:hAnsi="Arial" w:cs="Arial"/>
          <w:i/>
          <w:iCs/>
          <w:szCs w:val="24"/>
        </w:rPr>
        <w:t>et al.,</w:t>
      </w:r>
      <w:r w:rsidRPr="006204D0">
        <w:rPr>
          <w:rFonts w:ascii="Arial" w:hAnsi="Arial" w:cs="Arial"/>
          <w:szCs w:val="24"/>
        </w:rPr>
        <w:t xml:space="preserve"> 1998). The disorders of the skin may vary from acute, self-limiting issues to chronic or long-term problems requiring life-long treatment. It was observed that the condition of the skin worsens in hot and humid climate making them harder to manage (Thapa and Sarkar, 2018). Interdigital erythema, pustules, papules, nodules, </w:t>
      </w:r>
      <w:r w:rsidRPr="006204D0">
        <w:rPr>
          <w:rFonts w:ascii="Arial" w:hAnsi="Arial" w:cs="Arial"/>
          <w:szCs w:val="24"/>
        </w:rPr>
        <w:lastRenderedPageBreak/>
        <w:t xml:space="preserve">hemorrhagic bullae, fistulae, ulcers, alopecia, or swelling may appear in one or more paws. </w:t>
      </w:r>
    </w:p>
    <w:p w14:paraId="4EC96F5B" w14:textId="77777777" w:rsidR="000F1752" w:rsidRPr="006204D0" w:rsidRDefault="000F1752" w:rsidP="006204D0">
      <w:pPr>
        <w:ind w:firstLine="720"/>
        <w:jc w:val="both"/>
        <w:rPr>
          <w:rFonts w:ascii="Arial" w:hAnsi="Arial" w:cs="Arial"/>
          <w:szCs w:val="24"/>
        </w:rPr>
      </w:pPr>
      <w:r w:rsidRPr="006204D0">
        <w:rPr>
          <w:rFonts w:ascii="Arial" w:hAnsi="Arial" w:cs="Arial"/>
          <w:szCs w:val="24"/>
        </w:rPr>
        <w:t>The anatomical positioning of the paws, coupled with constant contact with environmental factors, predisposes them to secondary infections, rendering pododermatitis a particularly challenging and complex condition in veterinary dermatology. Additionally, the ongoing exposure to environmental elements contributes to the resistance of the infection to standard treatment protocols. The difficulty in restricting the animal's movement further exacerbates the condition, often leading to its chronicity and increased pain. Consequently, the management of most cases necessitates comprehensive therapeutic approaches to effectively address pododermatitis.</w:t>
      </w:r>
    </w:p>
    <w:p w14:paraId="20C1D093" w14:textId="77777777" w:rsidR="000F1752" w:rsidRPr="006204D0" w:rsidRDefault="000F1752" w:rsidP="000F1752">
      <w:pPr>
        <w:jc w:val="both"/>
        <w:rPr>
          <w:rFonts w:ascii="Arial" w:hAnsi="Arial" w:cs="Arial"/>
          <w:b/>
          <w:bCs/>
          <w:szCs w:val="24"/>
        </w:rPr>
      </w:pPr>
      <w:r w:rsidRPr="006204D0">
        <w:rPr>
          <w:rFonts w:ascii="Arial" w:hAnsi="Arial" w:cs="Arial"/>
          <w:b/>
          <w:bCs/>
          <w:szCs w:val="24"/>
        </w:rPr>
        <w:t xml:space="preserve">Materials and Methods: </w:t>
      </w:r>
    </w:p>
    <w:p w14:paraId="6311225F" w14:textId="7F46DECE" w:rsidR="000F1752" w:rsidRPr="006204D0" w:rsidRDefault="000F1752" w:rsidP="000F1752">
      <w:pPr>
        <w:ind w:firstLine="720"/>
        <w:jc w:val="both"/>
        <w:rPr>
          <w:rFonts w:ascii="Arial" w:hAnsi="Arial" w:cs="Arial"/>
          <w:szCs w:val="24"/>
        </w:rPr>
      </w:pPr>
      <w:r w:rsidRPr="006204D0">
        <w:rPr>
          <w:rFonts w:ascii="Arial" w:hAnsi="Arial" w:cs="Arial"/>
          <w:szCs w:val="24"/>
        </w:rPr>
        <w:t xml:space="preserve">A screening was conducted on the basis of history and presence of clinical signs indicative of canine pododermatitis on all dogs presented to the Veterinary Clinical Centre (VCC) at the College of Veterinary Science and Animal Husbandry, Jabalpur (M.P.), from May 2024 to October 2024. Therapeutic study was performed on twelve positive cases of Staphylococcal pododermatitis. </w:t>
      </w:r>
      <w:r w:rsidR="00E5314C" w:rsidRPr="006204D0">
        <w:rPr>
          <w:rFonts w:ascii="Arial" w:hAnsi="Arial" w:cs="Arial"/>
          <w:szCs w:val="24"/>
        </w:rPr>
        <w:t>Group A was treated with Ointment Fusidic acid 2% while Group B was treated with Ointment Mupirocin 2%, both applied topically twice a day for 28 days.</w:t>
      </w:r>
    </w:p>
    <w:p w14:paraId="27ADB1DA" w14:textId="12451517" w:rsidR="00B518FA" w:rsidRPr="006204D0" w:rsidRDefault="000F1752" w:rsidP="000F1752">
      <w:pPr>
        <w:ind w:firstLine="720"/>
        <w:jc w:val="both"/>
        <w:rPr>
          <w:rFonts w:ascii="Arial" w:hAnsi="Arial" w:cs="Arial"/>
          <w:szCs w:val="24"/>
        </w:rPr>
      </w:pPr>
      <w:r w:rsidRPr="006204D0">
        <w:rPr>
          <w:rFonts w:ascii="Arial" w:hAnsi="Arial" w:cs="Arial"/>
          <w:szCs w:val="24"/>
        </w:rPr>
        <w:t xml:space="preserve">The clinical response scoring (CRS) was assigned to all dogs in the treatment group by subsequent follow up examinations on day ‘0’ (pre-treatment), day ‘14’ and day ‘28’ (post-treatment). </w:t>
      </w:r>
    </w:p>
    <w:p w14:paraId="0DDB8FAE" w14:textId="617E0EE5" w:rsidR="000F1752" w:rsidRPr="006204D0" w:rsidRDefault="000F1752" w:rsidP="000F1752">
      <w:pPr>
        <w:jc w:val="both"/>
        <w:rPr>
          <w:rFonts w:ascii="Arial" w:hAnsi="Arial" w:cs="Arial"/>
          <w:b/>
          <w:bCs/>
          <w:szCs w:val="24"/>
          <w:lang w:val="en-US"/>
        </w:rPr>
      </w:pPr>
      <w:r w:rsidRPr="000F1752">
        <w:rPr>
          <w:rFonts w:ascii="Arial" w:hAnsi="Arial" w:cs="Arial"/>
          <w:b/>
          <w:bCs/>
          <w:szCs w:val="24"/>
          <w:lang w:val="en-US"/>
        </w:rPr>
        <w:t xml:space="preserve">Table no. </w:t>
      </w:r>
      <w:r w:rsidRPr="006204D0">
        <w:rPr>
          <w:rFonts w:ascii="Arial" w:hAnsi="Arial" w:cs="Arial"/>
          <w:b/>
          <w:bCs/>
          <w:szCs w:val="24"/>
          <w:lang w:val="en-US"/>
        </w:rPr>
        <w:t>1</w:t>
      </w:r>
      <w:r w:rsidRPr="000F1752">
        <w:rPr>
          <w:rFonts w:ascii="Arial" w:hAnsi="Arial" w:cs="Arial"/>
          <w:b/>
          <w:bCs/>
          <w:szCs w:val="24"/>
          <w:lang w:val="en-US"/>
        </w:rPr>
        <w:t xml:space="preserve">: Scoring system for lesion assessment  </w:t>
      </w:r>
    </w:p>
    <w:p w14:paraId="4B5FC3FF" w14:textId="77777777" w:rsidR="000F1752" w:rsidRPr="000F1752" w:rsidRDefault="000F1752" w:rsidP="000F1752">
      <w:pPr>
        <w:ind w:firstLine="720"/>
        <w:jc w:val="both"/>
        <w:rPr>
          <w:rFonts w:ascii="Arial" w:hAnsi="Arial" w:cs="Arial"/>
          <w:b/>
          <w:bCs/>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2135"/>
        <w:gridCol w:w="2573"/>
        <w:gridCol w:w="2672"/>
      </w:tblGrid>
      <w:tr w:rsidR="000F1752" w:rsidRPr="000F1752" w14:paraId="41709A7A" w14:textId="77777777" w:rsidTr="008F569C">
        <w:trPr>
          <w:trHeight w:val="14"/>
          <w:jc w:val="center"/>
        </w:trPr>
        <w:tc>
          <w:tcPr>
            <w:tcW w:w="2076" w:type="dxa"/>
            <w:shd w:val="clear" w:color="auto" w:fill="auto"/>
            <w:vAlign w:val="center"/>
          </w:tcPr>
          <w:p w14:paraId="3B23B0C5" w14:textId="77777777" w:rsidR="000F1752" w:rsidRPr="000F1752" w:rsidRDefault="000F1752" w:rsidP="008F569C">
            <w:pPr>
              <w:jc w:val="center"/>
              <w:rPr>
                <w:rFonts w:ascii="Arial" w:hAnsi="Arial" w:cs="Arial"/>
                <w:bCs/>
                <w:szCs w:val="24"/>
                <w:lang w:val="en-US"/>
              </w:rPr>
            </w:pPr>
            <w:r w:rsidRPr="000F1752">
              <w:rPr>
                <w:rFonts w:ascii="Arial" w:hAnsi="Arial" w:cs="Arial"/>
                <w:bCs/>
                <w:szCs w:val="24"/>
                <w:lang w:val="en-US"/>
              </w:rPr>
              <w:t>Score</w:t>
            </w:r>
          </w:p>
        </w:tc>
        <w:tc>
          <w:tcPr>
            <w:tcW w:w="2625" w:type="dxa"/>
            <w:shd w:val="clear" w:color="auto" w:fill="auto"/>
            <w:vAlign w:val="center"/>
          </w:tcPr>
          <w:p w14:paraId="634155FF" w14:textId="77777777" w:rsidR="000F1752" w:rsidRPr="000F1752" w:rsidRDefault="000F1752" w:rsidP="008F569C">
            <w:pPr>
              <w:ind w:firstLine="23"/>
              <w:jc w:val="center"/>
              <w:rPr>
                <w:rFonts w:ascii="Arial" w:hAnsi="Arial" w:cs="Arial"/>
                <w:bCs/>
                <w:szCs w:val="24"/>
                <w:lang w:val="en-US"/>
              </w:rPr>
            </w:pPr>
            <w:r w:rsidRPr="000F1752">
              <w:rPr>
                <w:rFonts w:ascii="Arial" w:hAnsi="Arial" w:cs="Arial"/>
                <w:bCs/>
                <w:szCs w:val="24"/>
                <w:lang w:val="en-US"/>
              </w:rPr>
              <w:t>Pruritis</w:t>
            </w:r>
          </w:p>
        </w:tc>
        <w:tc>
          <w:tcPr>
            <w:tcW w:w="2933" w:type="dxa"/>
            <w:shd w:val="clear" w:color="auto" w:fill="auto"/>
            <w:vAlign w:val="center"/>
          </w:tcPr>
          <w:p w14:paraId="5C8D0F12" w14:textId="77777777" w:rsidR="000F1752" w:rsidRPr="000F1752" w:rsidRDefault="000F1752" w:rsidP="008F569C">
            <w:pPr>
              <w:jc w:val="center"/>
              <w:rPr>
                <w:rFonts w:ascii="Arial" w:hAnsi="Arial" w:cs="Arial"/>
                <w:bCs/>
                <w:szCs w:val="24"/>
                <w:lang w:val="en-US"/>
              </w:rPr>
            </w:pPr>
            <w:r w:rsidRPr="000F1752">
              <w:rPr>
                <w:rFonts w:ascii="Arial" w:hAnsi="Arial" w:cs="Arial"/>
                <w:bCs/>
                <w:szCs w:val="24"/>
                <w:lang w:val="en-US"/>
              </w:rPr>
              <w:t>Pustule/nodules</w:t>
            </w:r>
          </w:p>
        </w:tc>
        <w:tc>
          <w:tcPr>
            <w:tcW w:w="3213" w:type="dxa"/>
            <w:shd w:val="clear" w:color="auto" w:fill="auto"/>
            <w:vAlign w:val="center"/>
          </w:tcPr>
          <w:p w14:paraId="2A8813E9" w14:textId="77777777" w:rsidR="000F1752" w:rsidRPr="000F1752" w:rsidRDefault="000F1752" w:rsidP="008F569C">
            <w:pPr>
              <w:jc w:val="center"/>
              <w:rPr>
                <w:rFonts w:ascii="Arial" w:hAnsi="Arial" w:cs="Arial"/>
                <w:bCs/>
                <w:szCs w:val="24"/>
                <w:lang w:val="en-US"/>
              </w:rPr>
            </w:pPr>
            <w:r w:rsidRPr="000F1752">
              <w:rPr>
                <w:rFonts w:ascii="Arial" w:hAnsi="Arial" w:cs="Arial"/>
                <w:bCs/>
                <w:szCs w:val="24"/>
                <w:lang w:val="en-US"/>
              </w:rPr>
              <w:t>Crust/papules</w:t>
            </w:r>
          </w:p>
        </w:tc>
      </w:tr>
      <w:tr w:rsidR="000F1752" w:rsidRPr="000F1752" w14:paraId="083752EA" w14:textId="77777777" w:rsidTr="008F569C">
        <w:trPr>
          <w:trHeight w:val="14"/>
          <w:jc w:val="center"/>
        </w:trPr>
        <w:tc>
          <w:tcPr>
            <w:tcW w:w="2076" w:type="dxa"/>
            <w:shd w:val="clear" w:color="auto" w:fill="auto"/>
            <w:vAlign w:val="center"/>
          </w:tcPr>
          <w:p w14:paraId="17E30314" w14:textId="77777777" w:rsidR="000F1752" w:rsidRPr="000F1752" w:rsidRDefault="000F1752" w:rsidP="008F569C">
            <w:pPr>
              <w:jc w:val="center"/>
              <w:rPr>
                <w:rFonts w:ascii="Arial" w:hAnsi="Arial" w:cs="Arial"/>
                <w:szCs w:val="24"/>
                <w:lang w:val="en-US"/>
              </w:rPr>
            </w:pPr>
            <w:r w:rsidRPr="000F1752">
              <w:rPr>
                <w:rFonts w:ascii="Arial" w:hAnsi="Arial" w:cs="Arial"/>
                <w:szCs w:val="24"/>
                <w:lang w:val="en-US"/>
              </w:rPr>
              <w:t>0</w:t>
            </w:r>
          </w:p>
        </w:tc>
        <w:tc>
          <w:tcPr>
            <w:tcW w:w="2625" w:type="dxa"/>
            <w:shd w:val="clear" w:color="auto" w:fill="auto"/>
            <w:vAlign w:val="center"/>
          </w:tcPr>
          <w:p w14:paraId="7AF9D80D" w14:textId="77777777" w:rsidR="000F1752" w:rsidRPr="000F1752" w:rsidRDefault="000F1752" w:rsidP="008F569C">
            <w:pPr>
              <w:ind w:firstLine="23"/>
              <w:jc w:val="center"/>
              <w:rPr>
                <w:rFonts w:ascii="Arial" w:hAnsi="Arial" w:cs="Arial"/>
                <w:szCs w:val="24"/>
                <w:lang w:val="en-US"/>
              </w:rPr>
            </w:pPr>
            <w:r w:rsidRPr="000F1752">
              <w:rPr>
                <w:rFonts w:ascii="Arial" w:hAnsi="Arial" w:cs="Arial"/>
                <w:szCs w:val="24"/>
                <w:lang w:val="en-US"/>
              </w:rPr>
              <w:t>Absent</w:t>
            </w:r>
          </w:p>
        </w:tc>
        <w:tc>
          <w:tcPr>
            <w:tcW w:w="2933" w:type="dxa"/>
            <w:shd w:val="clear" w:color="auto" w:fill="auto"/>
            <w:vAlign w:val="center"/>
          </w:tcPr>
          <w:p w14:paraId="5DE256FE" w14:textId="0F72FC3A" w:rsidR="000F1752" w:rsidRPr="000F1752" w:rsidRDefault="000F1752" w:rsidP="008F569C">
            <w:pPr>
              <w:jc w:val="center"/>
              <w:rPr>
                <w:rFonts w:ascii="Arial" w:hAnsi="Arial" w:cs="Arial"/>
                <w:szCs w:val="24"/>
                <w:lang w:val="en-US"/>
              </w:rPr>
            </w:pPr>
            <w:r w:rsidRPr="000F1752">
              <w:rPr>
                <w:rFonts w:ascii="Arial" w:hAnsi="Arial" w:cs="Arial"/>
                <w:szCs w:val="24"/>
                <w:lang w:val="en-US"/>
              </w:rPr>
              <w:t>Absent</w:t>
            </w:r>
          </w:p>
        </w:tc>
        <w:tc>
          <w:tcPr>
            <w:tcW w:w="3213" w:type="dxa"/>
            <w:shd w:val="clear" w:color="auto" w:fill="auto"/>
            <w:vAlign w:val="center"/>
          </w:tcPr>
          <w:p w14:paraId="4F303A3F" w14:textId="77777777" w:rsidR="000F1752" w:rsidRPr="000F1752" w:rsidRDefault="000F1752" w:rsidP="008F569C">
            <w:pPr>
              <w:ind w:hanging="44"/>
              <w:jc w:val="center"/>
              <w:rPr>
                <w:rFonts w:ascii="Arial" w:hAnsi="Arial" w:cs="Arial"/>
                <w:szCs w:val="24"/>
                <w:lang w:val="en-US"/>
              </w:rPr>
            </w:pPr>
            <w:r w:rsidRPr="000F1752">
              <w:rPr>
                <w:rFonts w:ascii="Arial" w:hAnsi="Arial" w:cs="Arial"/>
                <w:szCs w:val="24"/>
                <w:lang w:val="en-US"/>
              </w:rPr>
              <w:t>Absent</w:t>
            </w:r>
          </w:p>
        </w:tc>
      </w:tr>
      <w:tr w:rsidR="000F1752" w:rsidRPr="000F1752" w14:paraId="54CD2875" w14:textId="77777777" w:rsidTr="008F569C">
        <w:trPr>
          <w:trHeight w:val="14"/>
          <w:jc w:val="center"/>
        </w:trPr>
        <w:tc>
          <w:tcPr>
            <w:tcW w:w="2076" w:type="dxa"/>
            <w:shd w:val="clear" w:color="auto" w:fill="auto"/>
            <w:vAlign w:val="center"/>
          </w:tcPr>
          <w:p w14:paraId="4D748E2F" w14:textId="77777777" w:rsidR="000F1752" w:rsidRPr="000F1752" w:rsidRDefault="000F1752" w:rsidP="008F569C">
            <w:pPr>
              <w:jc w:val="center"/>
              <w:rPr>
                <w:rFonts w:ascii="Arial" w:hAnsi="Arial" w:cs="Arial"/>
                <w:szCs w:val="24"/>
                <w:lang w:val="en-US"/>
              </w:rPr>
            </w:pPr>
            <w:r w:rsidRPr="000F1752">
              <w:rPr>
                <w:rFonts w:ascii="Arial" w:hAnsi="Arial" w:cs="Arial"/>
                <w:szCs w:val="24"/>
                <w:lang w:val="en-US"/>
              </w:rPr>
              <w:t>1</w:t>
            </w:r>
          </w:p>
        </w:tc>
        <w:tc>
          <w:tcPr>
            <w:tcW w:w="2625" w:type="dxa"/>
            <w:shd w:val="clear" w:color="auto" w:fill="auto"/>
            <w:vAlign w:val="center"/>
          </w:tcPr>
          <w:p w14:paraId="0B7F7D3D" w14:textId="77777777" w:rsidR="000F1752" w:rsidRPr="000F1752" w:rsidRDefault="000F1752" w:rsidP="008F569C">
            <w:pPr>
              <w:ind w:firstLine="23"/>
              <w:jc w:val="center"/>
              <w:rPr>
                <w:rFonts w:ascii="Arial" w:hAnsi="Arial" w:cs="Arial"/>
                <w:szCs w:val="24"/>
                <w:lang w:val="en-US"/>
              </w:rPr>
            </w:pPr>
            <w:r w:rsidRPr="000F1752">
              <w:rPr>
                <w:rFonts w:ascii="Arial" w:hAnsi="Arial" w:cs="Arial"/>
                <w:szCs w:val="24"/>
                <w:lang w:val="en-US"/>
              </w:rPr>
              <w:t>Minimal</w:t>
            </w:r>
          </w:p>
        </w:tc>
        <w:tc>
          <w:tcPr>
            <w:tcW w:w="2933" w:type="dxa"/>
            <w:shd w:val="clear" w:color="auto" w:fill="auto"/>
            <w:vAlign w:val="center"/>
          </w:tcPr>
          <w:p w14:paraId="34F450AC" w14:textId="77777777" w:rsidR="000F1752" w:rsidRPr="000F1752" w:rsidRDefault="000F1752" w:rsidP="008F569C">
            <w:pPr>
              <w:jc w:val="center"/>
              <w:rPr>
                <w:rFonts w:ascii="Arial" w:hAnsi="Arial" w:cs="Arial"/>
                <w:szCs w:val="24"/>
                <w:lang w:val="en-US"/>
              </w:rPr>
            </w:pPr>
            <w:r w:rsidRPr="000F1752">
              <w:rPr>
                <w:rFonts w:ascii="Arial" w:hAnsi="Arial" w:cs="Arial"/>
                <w:szCs w:val="24"/>
                <w:lang w:val="en-US"/>
              </w:rPr>
              <w:t>Healing lesion</w:t>
            </w:r>
          </w:p>
        </w:tc>
        <w:tc>
          <w:tcPr>
            <w:tcW w:w="3213" w:type="dxa"/>
            <w:shd w:val="clear" w:color="auto" w:fill="auto"/>
            <w:vAlign w:val="center"/>
          </w:tcPr>
          <w:p w14:paraId="1BC7A337" w14:textId="77777777" w:rsidR="000F1752" w:rsidRPr="000F1752" w:rsidRDefault="000F1752" w:rsidP="008F569C">
            <w:pPr>
              <w:ind w:hanging="44"/>
              <w:jc w:val="center"/>
              <w:rPr>
                <w:rFonts w:ascii="Arial" w:hAnsi="Arial" w:cs="Arial"/>
                <w:szCs w:val="24"/>
                <w:lang w:val="en-US"/>
              </w:rPr>
            </w:pPr>
            <w:r w:rsidRPr="000F1752">
              <w:rPr>
                <w:rFonts w:ascii="Arial" w:hAnsi="Arial" w:cs="Arial"/>
                <w:szCs w:val="24"/>
                <w:lang w:val="en-US"/>
              </w:rPr>
              <w:t>1 small area</w:t>
            </w:r>
          </w:p>
        </w:tc>
      </w:tr>
      <w:tr w:rsidR="000F1752" w:rsidRPr="000F1752" w14:paraId="3D865552" w14:textId="77777777" w:rsidTr="008F569C">
        <w:trPr>
          <w:trHeight w:val="14"/>
          <w:jc w:val="center"/>
        </w:trPr>
        <w:tc>
          <w:tcPr>
            <w:tcW w:w="2076" w:type="dxa"/>
            <w:shd w:val="clear" w:color="auto" w:fill="auto"/>
            <w:vAlign w:val="center"/>
          </w:tcPr>
          <w:p w14:paraId="5D95E22D" w14:textId="77777777" w:rsidR="000F1752" w:rsidRPr="000F1752" w:rsidRDefault="000F1752" w:rsidP="008F569C">
            <w:pPr>
              <w:jc w:val="center"/>
              <w:rPr>
                <w:rFonts w:ascii="Arial" w:hAnsi="Arial" w:cs="Arial"/>
                <w:szCs w:val="24"/>
                <w:lang w:val="en-US"/>
              </w:rPr>
            </w:pPr>
            <w:r w:rsidRPr="000F1752">
              <w:rPr>
                <w:rFonts w:ascii="Arial" w:hAnsi="Arial" w:cs="Arial"/>
                <w:szCs w:val="24"/>
                <w:lang w:val="en-US"/>
              </w:rPr>
              <w:t>2</w:t>
            </w:r>
          </w:p>
        </w:tc>
        <w:tc>
          <w:tcPr>
            <w:tcW w:w="2625" w:type="dxa"/>
            <w:shd w:val="clear" w:color="auto" w:fill="auto"/>
            <w:vAlign w:val="center"/>
          </w:tcPr>
          <w:p w14:paraId="5A12B1BC" w14:textId="77777777" w:rsidR="000F1752" w:rsidRPr="000F1752" w:rsidRDefault="000F1752" w:rsidP="008F569C">
            <w:pPr>
              <w:ind w:firstLine="23"/>
              <w:jc w:val="center"/>
              <w:rPr>
                <w:rFonts w:ascii="Arial" w:hAnsi="Arial" w:cs="Arial"/>
                <w:szCs w:val="24"/>
                <w:lang w:val="en-US"/>
              </w:rPr>
            </w:pPr>
            <w:r w:rsidRPr="000F1752">
              <w:rPr>
                <w:rFonts w:ascii="Arial" w:hAnsi="Arial" w:cs="Arial"/>
                <w:szCs w:val="24"/>
                <w:lang w:val="en-US"/>
              </w:rPr>
              <w:t>Mild</w:t>
            </w:r>
          </w:p>
        </w:tc>
        <w:tc>
          <w:tcPr>
            <w:tcW w:w="2933" w:type="dxa"/>
            <w:shd w:val="clear" w:color="auto" w:fill="auto"/>
            <w:vAlign w:val="center"/>
          </w:tcPr>
          <w:p w14:paraId="1A396DE3" w14:textId="77777777" w:rsidR="000F1752" w:rsidRPr="000F1752" w:rsidRDefault="000F1752" w:rsidP="008F569C">
            <w:pPr>
              <w:jc w:val="center"/>
              <w:rPr>
                <w:rFonts w:ascii="Arial" w:hAnsi="Arial" w:cs="Arial"/>
                <w:szCs w:val="24"/>
                <w:lang w:val="en-US"/>
              </w:rPr>
            </w:pPr>
            <w:r w:rsidRPr="000F1752">
              <w:rPr>
                <w:rFonts w:ascii="Arial" w:hAnsi="Arial" w:cs="Arial"/>
                <w:szCs w:val="24"/>
                <w:lang w:val="en-US"/>
              </w:rPr>
              <w:t>1–2 primary lesions</w:t>
            </w:r>
          </w:p>
        </w:tc>
        <w:tc>
          <w:tcPr>
            <w:tcW w:w="3213" w:type="dxa"/>
            <w:shd w:val="clear" w:color="auto" w:fill="auto"/>
            <w:vAlign w:val="center"/>
          </w:tcPr>
          <w:p w14:paraId="28396938" w14:textId="77777777" w:rsidR="000F1752" w:rsidRPr="000F1752" w:rsidRDefault="000F1752" w:rsidP="008F569C">
            <w:pPr>
              <w:ind w:hanging="44"/>
              <w:jc w:val="center"/>
              <w:rPr>
                <w:rFonts w:ascii="Arial" w:hAnsi="Arial" w:cs="Arial"/>
                <w:szCs w:val="24"/>
                <w:lang w:val="en-US"/>
              </w:rPr>
            </w:pPr>
            <w:r w:rsidRPr="000F1752">
              <w:rPr>
                <w:rFonts w:ascii="Arial" w:hAnsi="Arial" w:cs="Arial"/>
                <w:szCs w:val="24"/>
                <w:lang w:val="en-US"/>
              </w:rPr>
              <w:t>2 small areas</w:t>
            </w:r>
          </w:p>
        </w:tc>
      </w:tr>
      <w:tr w:rsidR="000F1752" w:rsidRPr="000F1752" w14:paraId="0AA7F1D4" w14:textId="77777777" w:rsidTr="008F569C">
        <w:trPr>
          <w:trHeight w:val="14"/>
          <w:jc w:val="center"/>
        </w:trPr>
        <w:tc>
          <w:tcPr>
            <w:tcW w:w="2076" w:type="dxa"/>
            <w:shd w:val="clear" w:color="auto" w:fill="auto"/>
            <w:vAlign w:val="center"/>
          </w:tcPr>
          <w:p w14:paraId="65840BAB" w14:textId="77777777" w:rsidR="000F1752" w:rsidRPr="000F1752" w:rsidRDefault="000F1752" w:rsidP="008F569C">
            <w:pPr>
              <w:jc w:val="center"/>
              <w:rPr>
                <w:rFonts w:ascii="Arial" w:hAnsi="Arial" w:cs="Arial"/>
                <w:szCs w:val="24"/>
                <w:lang w:val="en-US"/>
              </w:rPr>
            </w:pPr>
            <w:r w:rsidRPr="000F1752">
              <w:rPr>
                <w:rFonts w:ascii="Arial" w:hAnsi="Arial" w:cs="Arial"/>
                <w:szCs w:val="24"/>
                <w:lang w:val="en-US"/>
              </w:rPr>
              <w:t>3</w:t>
            </w:r>
          </w:p>
        </w:tc>
        <w:tc>
          <w:tcPr>
            <w:tcW w:w="2625" w:type="dxa"/>
            <w:shd w:val="clear" w:color="auto" w:fill="auto"/>
            <w:vAlign w:val="center"/>
          </w:tcPr>
          <w:p w14:paraId="15C09A02" w14:textId="77777777" w:rsidR="000F1752" w:rsidRPr="000F1752" w:rsidRDefault="000F1752" w:rsidP="008F569C">
            <w:pPr>
              <w:ind w:firstLine="23"/>
              <w:jc w:val="center"/>
              <w:rPr>
                <w:rFonts w:ascii="Arial" w:hAnsi="Arial" w:cs="Arial"/>
                <w:szCs w:val="24"/>
                <w:lang w:val="en-US"/>
              </w:rPr>
            </w:pPr>
            <w:r w:rsidRPr="000F1752">
              <w:rPr>
                <w:rFonts w:ascii="Arial" w:hAnsi="Arial" w:cs="Arial"/>
                <w:szCs w:val="24"/>
                <w:lang w:val="en-US"/>
              </w:rPr>
              <w:t>Moderate</w:t>
            </w:r>
          </w:p>
        </w:tc>
        <w:tc>
          <w:tcPr>
            <w:tcW w:w="2933" w:type="dxa"/>
            <w:shd w:val="clear" w:color="auto" w:fill="auto"/>
            <w:vAlign w:val="center"/>
          </w:tcPr>
          <w:p w14:paraId="18E0EE02" w14:textId="77777777" w:rsidR="000F1752" w:rsidRPr="000F1752" w:rsidRDefault="000F1752" w:rsidP="008F569C">
            <w:pPr>
              <w:jc w:val="center"/>
              <w:rPr>
                <w:rFonts w:ascii="Arial" w:hAnsi="Arial" w:cs="Arial"/>
                <w:szCs w:val="24"/>
                <w:lang w:val="en-US"/>
              </w:rPr>
            </w:pPr>
            <w:r w:rsidRPr="000F1752">
              <w:rPr>
                <w:rFonts w:ascii="Arial" w:hAnsi="Arial" w:cs="Arial"/>
                <w:szCs w:val="24"/>
                <w:lang w:val="en-US"/>
              </w:rPr>
              <w:t>3–4 primary lesions</w:t>
            </w:r>
          </w:p>
        </w:tc>
        <w:tc>
          <w:tcPr>
            <w:tcW w:w="3213" w:type="dxa"/>
            <w:shd w:val="clear" w:color="auto" w:fill="auto"/>
            <w:vAlign w:val="center"/>
          </w:tcPr>
          <w:p w14:paraId="08178DCF" w14:textId="77777777" w:rsidR="000F1752" w:rsidRPr="000F1752" w:rsidRDefault="000F1752" w:rsidP="008F569C">
            <w:pPr>
              <w:ind w:hanging="44"/>
              <w:jc w:val="center"/>
              <w:rPr>
                <w:rFonts w:ascii="Arial" w:hAnsi="Arial" w:cs="Arial"/>
                <w:szCs w:val="24"/>
                <w:lang w:val="en-US"/>
              </w:rPr>
            </w:pPr>
            <w:r w:rsidRPr="000F1752">
              <w:rPr>
                <w:rFonts w:ascii="Arial" w:hAnsi="Arial" w:cs="Arial"/>
                <w:szCs w:val="24"/>
                <w:lang w:val="en-US"/>
              </w:rPr>
              <w:t>3–4 more extensive areas</w:t>
            </w:r>
          </w:p>
        </w:tc>
      </w:tr>
      <w:tr w:rsidR="000F1752" w:rsidRPr="000F1752" w14:paraId="51B443FA" w14:textId="77777777" w:rsidTr="008F569C">
        <w:trPr>
          <w:trHeight w:val="14"/>
          <w:jc w:val="center"/>
        </w:trPr>
        <w:tc>
          <w:tcPr>
            <w:tcW w:w="2076" w:type="dxa"/>
            <w:shd w:val="clear" w:color="auto" w:fill="auto"/>
            <w:vAlign w:val="center"/>
          </w:tcPr>
          <w:p w14:paraId="67F50B42" w14:textId="77777777" w:rsidR="000F1752" w:rsidRPr="000F1752" w:rsidRDefault="000F1752" w:rsidP="008F569C">
            <w:pPr>
              <w:jc w:val="center"/>
              <w:rPr>
                <w:rFonts w:ascii="Arial" w:hAnsi="Arial" w:cs="Arial"/>
                <w:szCs w:val="24"/>
                <w:lang w:val="en-US"/>
              </w:rPr>
            </w:pPr>
            <w:r w:rsidRPr="000F1752">
              <w:rPr>
                <w:rFonts w:ascii="Arial" w:hAnsi="Arial" w:cs="Arial"/>
                <w:szCs w:val="24"/>
                <w:lang w:val="en-US"/>
              </w:rPr>
              <w:t>4</w:t>
            </w:r>
          </w:p>
        </w:tc>
        <w:tc>
          <w:tcPr>
            <w:tcW w:w="2625" w:type="dxa"/>
            <w:shd w:val="clear" w:color="auto" w:fill="auto"/>
            <w:vAlign w:val="center"/>
          </w:tcPr>
          <w:p w14:paraId="3EBDDA7D" w14:textId="4942FE2F" w:rsidR="000F1752" w:rsidRPr="000F1752" w:rsidRDefault="000F1752" w:rsidP="008F569C">
            <w:pPr>
              <w:ind w:firstLine="23"/>
              <w:jc w:val="center"/>
              <w:rPr>
                <w:rFonts w:ascii="Arial" w:hAnsi="Arial" w:cs="Arial"/>
                <w:szCs w:val="24"/>
                <w:lang w:val="en-US"/>
              </w:rPr>
            </w:pPr>
            <w:r w:rsidRPr="000F1752">
              <w:rPr>
                <w:rFonts w:ascii="Arial" w:hAnsi="Arial" w:cs="Arial"/>
                <w:szCs w:val="24"/>
                <w:lang w:val="en-US"/>
              </w:rPr>
              <w:t>Severe</w:t>
            </w:r>
          </w:p>
        </w:tc>
        <w:tc>
          <w:tcPr>
            <w:tcW w:w="2933" w:type="dxa"/>
            <w:shd w:val="clear" w:color="auto" w:fill="auto"/>
            <w:vAlign w:val="center"/>
          </w:tcPr>
          <w:p w14:paraId="1473BC63" w14:textId="77777777" w:rsidR="000F1752" w:rsidRPr="000F1752" w:rsidRDefault="000F1752" w:rsidP="008F569C">
            <w:pPr>
              <w:jc w:val="center"/>
              <w:rPr>
                <w:rFonts w:ascii="Arial" w:hAnsi="Arial" w:cs="Arial"/>
                <w:szCs w:val="24"/>
                <w:lang w:val="en-US"/>
              </w:rPr>
            </w:pPr>
            <w:r w:rsidRPr="000F1752">
              <w:rPr>
                <w:rFonts w:ascii="Arial" w:hAnsi="Arial" w:cs="Arial"/>
                <w:szCs w:val="24"/>
                <w:lang w:val="en-US"/>
              </w:rPr>
              <w:t>≥5 primary lesions</w:t>
            </w:r>
          </w:p>
        </w:tc>
        <w:tc>
          <w:tcPr>
            <w:tcW w:w="3213" w:type="dxa"/>
            <w:shd w:val="clear" w:color="auto" w:fill="auto"/>
            <w:vAlign w:val="center"/>
          </w:tcPr>
          <w:p w14:paraId="370EE6AD" w14:textId="77777777" w:rsidR="000F1752" w:rsidRPr="000F1752" w:rsidRDefault="000F1752" w:rsidP="008F569C">
            <w:pPr>
              <w:ind w:hanging="44"/>
              <w:jc w:val="center"/>
              <w:rPr>
                <w:rFonts w:ascii="Arial" w:hAnsi="Arial" w:cs="Arial"/>
                <w:szCs w:val="24"/>
                <w:lang w:val="en-US"/>
              </w:rPr>
            </w:pPr>
            <w:r w:rsidRPr="000F1752">
              <w:rPr>
                <w:rFonts w:ascii="Arial" w:hAnsi="Arial" w:cs="Arial"/>
                <w:szCs w:val="24"/>
                <w:lang w:val="en-US"/>
              </w:rPr>
              <w:t>≥5 extensive areas</w:t>
            </w:r>
          </w:p>
        </w:tc>
      </w:tr>
    </w:tbl>
    <w:p w14:paraId="2EEABD72" w14:textId="77777777" w:rsidR="000F1752" w:rsidRPr="006204D0" w:rsidRDefault="000F1752" w:rsidP="000F1752">
      <w:pPr>
        <w:jc w:val="both"/>
        <w:rPr>
          <w:rFonts w:ascii="Arial" w:hAnsi="Arial" w:cs="Arial"/>
          <w:szCs w:val="24"/>
          <w:lang w:val="en-US"/>
        </w:rPr>
      </w:pPr>
      <w:r w:rsidRPr="000F1752">
        <w:rPr>
          <w:rFonts w:ascii="Arial" w:hAnsi="Arial" w:cs="Arial"/>
          <w:b/>
          <w:bCs/>
          <w:szCs w:val="24"/>
          <w:lang w:val="en-US"/>
        </w:rPr>
        <w:t xml:space="preserve">Note: </w:t>
      </w:r>
      <w:r w:rsidRPr="000F1752">
        <w:rPr>
          <w:rFonts w:ascii="Arial" w:hAnsi="Arial" w:cs="Arial"/>
          <w:szCs w:val="24"/>
          <w:lang w:val="en-US"/>
        </w:rPr>
        <w:t>Small defined as ≤1 cm in diameter. Extensive lesions defined as &gt;1 cm in diameter. The scoring of pruritis will be done as follows: Absent – no itching, Minimal – occasional episodes (slightly more itchy than normal), Mild – more frequent (itchy only when idle), Moderate – regular episodes.</w:t>
      </w:r>
    </w:p>
    <w:p w14:paraId="663F32B3" w14:textId="77777777" w:rsidR="000F1752" w:rsidRPr="000F1752" w:rsidRDefault="000F1752" w:rsidP="000F1752">
      <w:pPr>
        <w:jc w:val="both"/>
        <w:rPr>
          <w:rFonts w:ascii="Arial" w:hAnsi="Arial" w:cs="Arial"/>
          <w:b/>
          <w:szCs w:val="24"/>
          <w:lang w:val="en-US"/>
        </w:rPr>
      </w:pPr>
      <w:r w:rsidRPr="000F1752">
        <w:rPr>
          <w:rFonts w:ascii="Arial" w:hAnsi="Arial" w:cs="Arial"/>
          <w:b/>
          <w:szCs w:val="24"/>
          <w:lang w:val="en-US"/>
        </w:rPr>
        <w:t xml:space="preserve">Therapeutic response evaluation </w:t>
      </w:r>
    </w:p>
    <w:p w14:paraId="2188F54A" w14:textId="77777777" w:rsidR="000F1752" w:rsidRPr="006204D0" w:rsidRDefault="000F1752" w:rsidP="000F1752">
      <w:pPr>
        <w:jc w:val="both"/>
        <w:rPr>
          <w:rFonts w:ascii="Arial" w:hAnsi="Arial" w:cs="Arial"/>
          <w:szCs w:val="24"/>
          <w:lang w:val="en-US"/>
        </w:rPr>
      </w:pPr>
      <w:r w:rsidRPr="000F1752">
        <w:rPr>
          <w:rFonts w:ascii="Arial" w:hAnsi="Arial" w:cs="Arial"/>
          <w:bCs/>
          <w:szCs w:val="24"/>
          <w:lang w:val="en-US"/>
        </w:rPr>
        <w:t xml:space="preserve">The response of therapy will be evaluated on the basis of clinical response to the treatment. </w:t>
      </w:r>
      <w:r w:rsidRPr="000F1752">
        <w:rPr>
          <w:rFonts w:ascii="Arial" w:hAnsi="Arial" w:cs="Arial"/>
          <w:szCs w:val="24"/>
          <w:lang w:val="en-US"/>
        </w:rPr>
        <w:t xml:space="preserve">On the basis of gross dermatological score </w:t>
      </w:r>
      <w:r w:rsidRPr="000F1752">
        <w:rPr>
          <w:rFonts w:ascii="Arial" w:hAnsi="Arial" w:cs="Arial"/>
          <w:i/>
          <w:iCs/>
          <w:szCs w:val="24"/>
          <w:lang w:val="en-US"/>
        </w:rPr>
        <w:t xml:space="preserve">i.e., </w:t>
      </w:r>
      <w:r w:rsidRPr="000F1752">
        <w:rPr>
          <w:rFonts w:ascii="Arial" w:hAnsi="Arial" w:cs="Arial"/>
          <w:szCs w:val="24"/>
          <w:lang w:val="en-US"/>
        </w:rPr>
        <w:t xml:space="preserve">sum of pruritus, pustules or </w:t>
      </w:r>
      <w:r w:rsidRPr="000F1752">
        <w:rPr>
          <w:rFonts w:ascii="Arial" w:hAnsi="Arial" w:cs="Arial"/>
          <w:szCs w:val="24"/>
          <w:lang w:val="en-US"/>
        </w:rPr>
        <w:lastRenderedPageBreak/>
        <w:t xml:space="preserve">nodules and crust or papules, an overall response to treatment will be assessed on a scale of 1 to 12. </w:t>
      </w:r>
    </w:p>
    <w:p w14:paraId="384A9BD5" w14:textId="09E88FC3" w:rsidR="000F1752" w:rsidRPr="000F1752" w:rsidRDefault="000F1752" w:rsidP="000F1752">
      <w:pPr>
        <w:jc w:val="both"/>
        <w:rPr>
          <w:rFonts w:ascii="Arial" w:hAnsi="Arial" w:cs="Arial"/>
          <w:b/>
          <w:bCs/>
          <w:szCs w:val="24"/>
          <w:lang w:val="en-US"/>
        </w:rPr>
      </w:pPr>
      <w:r w:rsidRPr="006204D0">
        <w:rPr>
          <w:rFonts w:ascii="Arial" w:hAnsi="Arial" w:cs="Arial"/>
          <w:b/>
          <w:bCs/>
          <w:szCs w:val="24"/>
          <w:lang w:val="en-US"/>
        </w:rPr>
        <w:t xml:space="preserve">Table no. </w:t>
      </w:r>
      <w:r w:rsidR="00E5314C" w:rsidRPr="006204D0">
        <w:rPr>
          <w:rFonts w:ascii="Arial" w:hAnsi="Arial" w:cs="Arial"/>
          <w:b/>
          <w:bCs/>
          <w:szCs w:val="24"/>
          <w:lang w:val="en-US"/>
        </w:rPr>
        <w:t>2</w:t>
      </w:r>
      <w:r w:rsidRPr="006204D0">
        <w:rPr>
          <w:rFonts w:ascii="Arial" w:hAnsi="Arial" w:cs="Arial"/>
          <w:b/>
          <w:bCs/>
          <w:szCs w:val="24"/>
          <w:lang w:val="en-US"/>
        </w:rPr>
        <w:t xml:space="preserve">: </w:t>
      </w:r>
      <w:r w:rsidR="00E5314C" w:rsidRPr="006204D0">
        <w:rPr>
          <w:rFonts w:ascii="Arial" w:hAnsi="Arial" w:cs="Arial"/>
          <w:b/>
          <w:bCs/>
          <w:szCs w:val="24"/>
          <w:lang w:val="en-US"/>
        </w:rPr>
        <w:t>Therapeutic response evaluation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5"/>
        <w:gridCol w:w="6821"/>
      </w:tblGrid>
      <w:tr w:rsidR="000F1752" w:rsidRPr="000F1752" w14:paraId="21B81043" w14:textId="77777777" w:rsidTr="00F84ACC">
        <w:trPr>
          <w:trHeight w:val="285"/>
          <w:jc w:val="center"/>
        </w:trPr>
        <w:tc>
          <w:tcPr>
            <w:tcW w:w="2528" w:type="dxa"/>
            <w:shd w:val="clear" w:color="auto" w:fill="auto"/>
          </w:tcPr>
          <w:p w14:paraId="1E36DFD1" w14:textId="77777777" w:rsidR="000F1752" w:rsidRPr="000F1752" w:rsidRDefault="000F1752" w:rsidP="000F1752">
            <w:pPr>
              <w:jc w:val="both"/>
              <w:rPr>
                <w:rFonts w:ascii="Arial" w:hAnsi="Arial" w:cs="Arial"/>
                <w:szCs w:val="24"/>
                <w:lang w:val="en-US"/>
              </w:rPr>
            </w:pPr>
            <w:r w:rsidRPr="000F1752">
              <w:rPr>
                <w:rFonts w:ascii="Arial" w:hAnsi="Arial" w:cs="Arial"/>
                <w:szCs w:val="24"/>
                <w:lang w:val="en-US"/>
              </w:rPr>
              <w:t>Gross Score</w:t>
            </w:r>
          </w:p>
        </w:tc>
        <w:tc>
          <w:tcPr>
            <w:tcW w:w="8199" w:type="dxa"/>
            <w:shd w:val="clear" w:color="auto" w:fill="auto"/>
          </w:tcPr>
          <w:p w14:paraId="3A3516CA" w14:textId="77777777" w:rsidR="000F1752" w:rsidRPr="000F1752" w:rsidRDefault="000F1752" w:rsidP="000F1752">
            <w:pPr>
              <w:jc w:val="both"/>
              <w:rPr>
                <w:rFonts w:ascii="Arial" w:hAnsi="Arial" w:cs="Arial"/>
                <w:szCs w:val="24"/>
                <w:lang w:val="en-US"/>
              </w:rPr>
            </w:pPr>
            <w:r w:rsidRPr="000F1752">
              <w:rPr>
                <w:rFonts w:ascii="Arial" w:hAnsi="Arial" w:cs="Arial"/>
                <w:szCs w:val="24"/>
                <w:lang w:val="en-US"/>
              </w:rPr>
              <w:t>Response to treatment</w:t>
            </w:r>
          </w:p>
        </w:tc>
      </w:tr>
      <w:tr w:rsidR="000F1752" w:rsidRPr="000F1752" w14:paraId="5D0322A2" w14:textId="77777777" w:rsidTr="00F84ACC">
        <w:trPr>
          <w:trHeight w:val="271"/>
          <w:jc w:val="center"/>
        </w:trPr>
        <w:tc>
          <w:tcPr>
            <w:tcW w:w="2528" w:type="dxa"/>
            <w:shd w:val="clear" w:color="auto" w:fill="auto"/>
          </w:tcPr>
          <w:p w14:paraId="2D549BC1" w14:textId="77777777" w:rsidR="000F1752" w:rsidRPr="000F1752" w:rsidRDefault="000F1752" w:rsidP="000F1752">
            <w:pPr>
              <w:jc w:val="both"/>
              <w:rPr>
                <w:rFonts w:ascii="Arial" w:hAnsi="Arial" w:cs="Arial"/>
                <w:szCs w:val="24"/>
                <w:lang w:val="en-US"/>
              </w:rPr>
            </w:pPr>
            <w:r w:rsidRPr="000F1752">
              <w:rPr>
                <w:rFonts w:ascii="Arial" w:hAnsi="Arial" w:cs="Arial"/>
                <w:szCs w:val="24"/>
                <w:lang w:val="en-US"/>
              </w:rPr>
              <w:t>0-4</w:t>
            </w:r>
          </w:p>
        </w:tc>
        <w:tc>
          <w:tcPr>
            <w:tcW w:w="8199" w:type="dxa"/>
            <w:shd w:val="clear" w:color="auto" w:fill="auto"/>
          </w:tcPr>
          <w:p w14:paraId="21E8048C" w14:textId="77777777" w:rsidR="000F1752" w:rsidRPr="000F1752" w:rsidRDefault="000F1752" w:rsidP="000F1752">
            <w:pPr>
              <w:jc w:val="both"/>
              <w:rPr>
                <w:rFonts w:ascii="Arial" w:hAnsi="Arial" w:cs="Arial"/>
                <w:szCs w:val="24"/>
                <w:lang w:val="en-US"/>
              </w:rPr>
            </w:pPr>
            <w:r w:rsidRPr="000F1752">
              <w:rPr>
                <w:rFonts w:ascii="Arial" w:hAnsi="Arial" w:cs="Arial"/>
                <w:szCs w:val="24"/>
                <w:lang w:val="en-US"/>
              </w:rPr>
              <w:t>Excellent</w:t>
            </w:r>
          </w:p>
        </w:tc>
      </w:tr>
      <w:tr w:rsidR="000F1752" w:rsidRPr="000F1752" w14:paraId="7C235816" w14:textId="77777777" w:rsidTr="00F84ACC">
        <w:trPr>
          <w:trHeight w:val="285"/>
          <w:jc w:val="center"/>
        </w:trPr>
        <w:tc>
          <w:tcPr>
            <w:tcW w:w="2528" w:type="dxa"/>
            <w:shd w:val="clear" w:color="auto" w:fill="auto"/>
          </w:tcPr>
          <w:p w14:paraId="5C548E65" w14:textId="77777777" w:rsidR="000F1752" w:rsidRPr="000F1752" w:rsidRDefault="000F1752" w:rsidP="000F1752">
            <w:pPr>
              <w:jc w:val="both"/>
              <w:rPr>
                <w:rFonts w:ascii="Arial" w:hAnsi="Arial" w:cs="Arial"/>
                <w:szCs w:val="24"/>
                <w:lang w:val="en-US"/>
              </w:rPr>
            </w:pPr>
            <w:r w:rsidRPr="000F1752">
              <w:rPr>
                <w:rFonts w:ascii="Arial" w:hAnsi="Arial" w:cs="Arial"/>
                <w:szCs w:val="24"/>
                <w:lang w:val="en-US"/>
              </w:rPr>
              <w:t>5-8</w:t>
            </w:r>
          </w:p>
        </w:tc>
        <w:tc>
          <w:tcPr>
            <w:tcW w:w="8199" w:type="dxa"/>
            <w:shd w:val="clear" w:color="auto" w:fill="auto"/>
          </w:tcPr>
          <w:p w14:paraId="32E7A7F6" w14:textId="77777777" w:rsidR="000F1752" w:rsidRPr="000F1752" w:rsidRDefault="000F1752" w:rsidP="000F1752">
            <w:pPr>
              <w:jc w:val="both"/>
              <w:rPr>
                <w:rFonts w:ascii="Arial" w:hAnsi="Arial" w:cs="Arial"/>
                <w:szCs w:val="24"/>
                <w:lang w:val="en-US"/>
              </w:rPr>
            </w:pPr>
            <w:r w:rsidRPr="000F1752">
              <w:rPr>
                <w:rFonts w:ascii="Arial" w:hAnsi="Arial" w:cs="Arial"/>
                <w:szCs w:val="24"/>
                <w:lang w:val="en-US"/>
              </w:rPr>
              <w:t>Moderate</w:t>
            </w:r>
          </w:p>
        </w:tc>
      </w:tr>
      <w:tr w:rsidR="000F1752" w:rsidRPr="000F1752" w14:paraId="180B2336" w14:textId="77777777" w:rsidTr="00F84ACC">
        <w:trPr>
          <w:trHeight w:val="285"/>
          <w:jc w:val="center"/>
        </w:trPr>
        <w:tc>
          <w:tcPr>
            <w:tcW w:w="2528" w:type="dxa"/>
            <w:shd w:val="clear" w:color="auto" w:fill="auto"/>
          </w:tcPr>
          <w:p w14:paraId="72F74E62" w14:textId="77777777" w:rsidR="000F1752" w:rsidRPr="000F1752" w:rsidRDefault="000F1752" w:rsidP="000F1752">
            <w:pPr>
              <w:jc w:val="both"/>
              <w:rPr>
                <w:rFonts w:ascii="Arial" w:hAnsi="Arial" w:cs="Arial"/>
                <w:szCs w:val="24"/>
                <w:lang w:val="en-US"/>
              </w:rPr>
            </w:pPr>
            <w:r w:rsidRPr="000F1752">
              <w:rPr>
                <w:rFonts w:ascii="Arial" w:hAnsi="Arial" w:cs="Arial"/>
                <w:szCs w:val="24"/>
                <w:lang w:val="en-US"/>
              </w:rPr>
              <w:t>9-12</w:t>
            </w:r>
          </w:p>
        </w:tc>
        <w:tc>
          <w:tcPr>
            <w:tcW w:w="8199" w:type="dxa"/>
            <w:shd w:val="clear" w:color="auto" w:fill="auto"/>
          </w:tcPr>
          <w:p w14:paraId="1486F253" w14:textId="77777777" w:rsidR="000F1752" w:rsidRPr="000F1752" w:rsidRDefault="000F1752" w:rsidP="000F1752">
            <w:pPr>
              <w:jc w:val="both"/>
              <w:rPr>
                <w:rFonts w:ascii="Arial" w:hAnsi="Arial" w:cs="Arial"/>
                <w:szCs w:val="24"/>
                <w:lang w:val="en-US"/>
              </w:rPr>
            </w:pPr>
            <w:r w:rsidRPr="000F1752">
              <w:rPr>
                <w:rFonts w:ascii="Arial" w:hAnsi="Arial" w:cs="Arial"/>
                <w:szCs w:val="24"/>
                <w:lang w:val="en-US"/>
              </w:rPr>
              <w:t>Mild</w:t>
            </w:r>
          </w:p>
        </w:tc>
      </w:tr>
    </w:tbl>
    <w:p w14:paraId="6AD70890" w14:textId="442125E1" w:rsidR="000F1752" w:rsidRPr="006204D0" w:rsidRDefault="00FD73BA" w:rsidP="00E5314C">
      <w:pPr>
        <w:jc w:val="both"/>
        <w:rPr>
          <w:rFonts w:ascii="Arial" w:hAnsi="Arial" w:cs="Arial"/>
          <w:szCs w:val="24"/>
        </w:rPr>
      </w:pPr>
      <w:r w:rsidRPr="006204D0">
        <w:rPr>
          <w:rFonts w:ascii="Arial" w:hAnsi="Arial" w:cs="Arial"/>
          <w:szCs w:val="24"/>
        </w:rPr>
        <w:t xml:space="preserve"> </w:t>
      </w:r>
    </w:p>
    <w:p w14:paraId="73AEB32C" w14:textId="7A8455C7" w:rsidR="00FD73BA" w:rsidRPr="006204D0" w:rsidRDefault="00FD73BA" w:rsidP="00E5314C">
      <w:pPr>
        <w:jc w:val="both"/>
        <w:rPr>
          <w:rFonts w:ascii="Arial" w:hAnsi="Arial" w:cs="Arial"/>
          <w:b/>
          <w:bCs/>
          <w:szCs w:val="24"/>
        </w:rPr>
      </w:pPr>
      <w:r w:rsidRPr="006204D0">
        <w:rPr>
          <w:rFonts w:ascii="Arial" w:hAnsi="Arial" w:cs="Arial"/>
          <w:b/>
          <w:bCs/>
          <w:szCs w:val="24"/>
        </w:rPr>
        <w:t>Statistical analysis</w:t>
      </w:r>
    </w:p>
    <w:p w14:paraId="221D9C82" w14:textId="48713C94" w:rsidR="00FD73BA" w:rsidRPr="006204D0" w:rsidRDefault="00FD73BA" w:rsidP="00E5314C">
      <w:pPr>
        <w:jc w:val="both"/>
        <w:rPr>
          <w:rFonts w:ascii="Arial" w:hAnsi="Arial" w:cs="Arial"/>
          <w:szCs w:val="24"/>
        </w:rPr>
      </w:pPr>
      <w:r w:rsidRPr="006204D0">
        <w:rPr>
          <w:rFonts w:ascii="Arial" w:hAnsi="Arial" w:cs="Arial"/>
          <w:szCs w:val="24"/>
        </w:rPr>
        <w:t>The therapeutic response evaluation scores of each group were statistically analysed by Kruskal-Wallis test for between days and Mann-Whitney U test for between groups as per the standard procedure IBM SPSS computer software version 25.0.</w:t>
      </w:r>
    </w:p>
    <w:p w14:paraId="3A08FDD2" w14:textId="151A559F" w:rsidR="00E5314C" w:rsidRPr="006204D0" w:rsidRDefault="000F1752" w:rsidP="000F1752">
      <w:pPr>
        <w:jc w:val="both"/>
        <w:rPr>
          <w:rFonts w:ascii="Arial" w:hAnsi="Arial" w:cs="Arial"/>
          <w:b/>
          <w:bCs/>
          <w:szCs w:val="24"/>
        </w:rPr>
      </w:pPr>
      <w:r w:rsidRPr="006204D0">
        <w:rPr>
          <w:rFonts w:ascii="Arial" w:hAnsi="Arial" w:cs="Arial"/>
          <w:b/>
          <w:bCs/>
          <w:szCs w:val="24"/>
        </w:rPr>
        <w:t xml:space="preserve">Results and Discussion: </w:t>
      </w:r>
    </w:p>
    <w:p w14:paraId="5349DB9B" w14:textId="244FACC5" w:rsidR="00FD73BA" w:rsidRPr="006204D0" w:rsidRDefault="00E5314C" w:rsidP="008F569C">
      <w:pPr>
        <w:ind w:firstLine="720"/>
        <w:jc w:val="both"/>
        <w:rPr>
          <w:rFonts w:ascii="Arial" w:hAnsi="Arial" w:cs="Arial"/>
          <w:szCs w:val="24"/>
        </w:rPr>
      </w:pPr>
      <w:r w:rsidRPr="006204D0">
        <w:rPr>
          <w:rFonts w:ascii="Arial" w:hAnsi="Arial" w:cs="Arial"/>
          <w:szCs w:val="24"/>
        </w:rPr>
        <w:t xml:space="preserve">The total of 12 dogs which were taken into the study were randomly divided into two groups, Group A and Group B. All the dogs had similar clinical scoring on day ‘0’ were only considered. Upon detailed history taking, no significant </w:t>
      </w:r>
      <w:r w:rsidR="00FD73BA" w:rsidRPr="006204D0">
        <w:rPr>
          <w:rFonts w:ascii="Arial" w:hAnsi="Arial" w:cs="Arial"/>
          <w:szCs w:val="24"/>
        </w:rPr>
        <w:t xml:space="preserve">difference in sex, age, breed was observed. </w:t>
      </w:r>
      <w:r w:rsidR="00FD73BA" w:rsidRPr="006204D0">
        <w:rPr>
          <w:rFonts w:ascii="Arial" w:hAnsi="Arial" w:cs="Arial"/>
          <w:i/>
          <w:iCs/>
          <w:szCs w:val="24"/>
        </w:rPr>
        <w:t>Staphylococcus</w:t>
      </w:r>
      <w:r w:rsidR="00FD73BA" w:rsidRPr="006204D0">
        <w:rPr>
          <w:rFonts w:ascii="Arial" w:hAnsi="Arial" w:cs="Arial"/>
          <w:szCs w:val="24"/>
        </w:rPr>
        <w:t xml:space="preserve"> spp. was isolated as the primary bacterial isolate in all cases. </w:t>
      </w:r>
    </w:p>
    <w:p w14:paraId="6B925D0C" w14:textId="6D48F0B4" w:rsidR="00FD73BA" w:rsidRPr="006204D0" w:rsidRDefault="00FD73BA" w:rsidP="006204D0">
      <w:pPr>
        <w:ind w:firstLine="720"/>
        <w:jc w:val="both"/>
        <w:rPr>
          <w:rFonts w:ascii="Arial" w:hAnsi="Arial" w:cs="Arial"/>
          <w:szCs w:val="24"/>
        </w:rPr>
      </w:pPr>
      <w:r w:rsidRPr="006204D0">
        <w:rPr>
          <w:rFonts w:ascii="Arial" w:hAnsi="Arial" w:cs="Arial"/>
          <w:szCs w:val="24"/>
        </w:rPr>
        <w:t xml:space="preserve">From the start of the study period, statistically significant different improvement was observed between days in both the groups. The time required for clinical resolution was 2.3 weeks in Group B and 3.8 weeks in Group A. The </w:t>
      </w:r>
      <w:r w:rsidR="006204D0" w:rsidRPr="006204D0">
        <w:rPr>
          <w:rFonts w:ascii="Arial" w:hAnsi="Arial" w:cs="Arial"/>
          <w:szCs w:val="24"/>
        </w:rPr>
        <w:t>mean rank of the gross dermatological score of the therapeutic response was evaluated in different treatment groups, Group A and Group B are depicted in (table 3 and 4). The mean rank of gross score was significantly different on day 0, day 14 and day 28 within group. However, the mean rank between group did not vary significantly on day 0 and day 14, but significant difference was observed on day 28 between group. The statistical analysis revealed that there was significant decrease on day 0, day 14 and day 28.</w:t>
      </w:r>
    </w:p>
    <w:p w14:paraId="3222C93C" w14:textId="5BE78B59" w:rsidR="006204D0" w:rsidRPr="006204D0" w:rsidRDefault="006204D0" w:rsidP="006204D0">
      <w:pPr>
        <w:ind w:firstLine="720"/>
        <w:jc w:val="both"/>
        <w:rPr>
          <w:rFonts w:ascii="Arial" w:hAnsi="Arial" w:cs="Arial"/>
          <w:szCs w:val="24"/>
        </w:rPr>
      </w:pPr>
      <w:r w:rsidRPr="006204D0">
        <w:rPr>
          <w:rFonts w:ascii="Arial" w:hAnsi="Arial" w:cs="Arial"/>
          <w:szCs w:val="24"/>
        </w:rPr>
        <w:t xml:space="preserve">In treatment Group B which was treated with Ointment Mupirocin 2% topically, the mean rank of the gross dermatological score on day 28 was 4.50 and all the dogs taken into this group showed excellent response to the treatment. Mupirocin is also known as </w:t>
      </w:r>
      <w:proofErr w:type="spellStart"/>
      <w:r w:rsidRPr="006204D0">
        <w:rPr>
          <w:rFonts w:ascii="Arial" w:hAnsi="Arial" w:cs="Arial"/>
          <w:szCs w:val="24"/>
        </w:rPr>
        <w:t>pseudomonic</w:t>
      </w:r>
      <w:proofErr w:type="spellEnd"/>
      <w:r w:rsidRPr="006204D0">
        <w:rPr>
          <w:rFonts w:ascii="Arial" w:hAnsi="Arial" w:cs="Arial"/>
          <w:szCs w:val="24"/>
        </w:rPr>
        <w:t xml:space="preserve"> acid A, is a short-chain fatty acid and the primary fermentation metabolite of Pseudomonas fluorescent. Mupirocin is thought to exert its antimicrobial effect by inhibiting </w:t>
      </w:r>
      <w:proofErr w:type="spellStart"/>
      <w:r w:rsidRPr="006204D0">
        <w:rPr>
          <w:rFonts w:ascii="Arial" w:hAnsi="Arial" w:cs="Arial"/>
          <w:szCs w:val="24"/>
        </w:rPr>
        <w:t>isoleucyl</w:t>
      </w:r>
      <w:proofErr w:type="spellEnd"/>
      <w:r w:rsidRPr="006204D0">
        <w:rPr>
          <w:rFonts w:ascii="Arial" w:hAnsi="Arial" w:cs="Arial"/>
          <w:szCs w:val="24"/>
        </w:rPr>
        <w:t xml:space="preserve">-tRNA synthetase, which disrupts bacterial protein synthesis and leads to cell death. This mechanism occurs because mupirocin's protein side chain resembles the bacterial </w:t>
      </w:r>
      <w:proofErr w:type="spellStart"/>
      <w:r w:rsidRPr="006204D0">
        <w:rPr>
          <w:rFonts w:ascii="Arial" w:hAnsi="Arial" w:cs="Arial"/>
          <w:szCs w:val="24"/>
        </w:rPr>
        <w:t>isoleucyl</w:t>
      </w:r>
      <w:proofErr w:type="spellEnd"/>
      <w:r w:rsidRPr="006204D0">
        <w:rPr>
          <w:rFonts w:ascii="Arial" w:hAnsi="Arial" w:cs="Arial"/>
          <w:szCs w:val="24"/>
        </w:rPr>
        <w:t xml:space="preserve">-tRNA binding site, allowing mupirocin to bind there. This disrupts bacterial </w:t>
      </w:r>
      <w:proofErr w:type="spellStart"/>
      <w:r w:rsidRPr="006204D0">
        <w:rPr>
          <w:rFonts w:ascii="Arial" w:hAnsi="Arial" w:cs="Arial"/>
          <w:szCs w:val="24"/>
        </w:rPr>
        <w:t>isoleucyl</w:t>
      </w:r>
      <w:proofErr w:type="spellEnd"/>
      <w:r w:rsidRPr="006204D0">
        <w:rPr>
          <w:rFonts w:ascii="Arial" w:hAnsi="Arial" w:cs="Arial"/>
          <w:szCs w:val="24"/>
        </w:rPr>
        <w:t xml:space="preserve">-tRNA, depleting cellular levels of charged tRNA and halting protein and RNA synthesis, ultimately leading to bacterial cell death, especially at higher mupirocin concentrations. Mupirocin showed bacteriostatic activity against gram-positive bacteria like Staphylococcus and MRSA strains and may </w:t>
      </w:r>
      <w:r w:rsidRPr="006204D0">
        <w:rPr>
          <w:rFonts w:ascii="Arial" w:hAnsi="Arial" w:cs="Arial"/>
          <w:szCs w:val="24"/>
        </w:rPr>
        <w:lastRenderedPageBreak/>
        <w:t xml:space="preserve">become bactericidal in higher concentration (Werner and Russell, 1996). The present study corroborates with </w:t>
      </w:r>
      <w:proofErr w:type="spellStart"/>
      <w:r w:rsidRPr="006204D0">
        <w:rPr>
          <w:rFonts w:ascii="Arial" w:hAnsi="Arial" w:cs="Arial"/>
          <w:szCs w:val="24"/>
        </w:rPr>
        <w:t>Guaguere</w:t>
      </w:r>
      <w:proofErr w:type="spellEnd"/>
      <w:r w:rsidRPr="006204D0">
        <w:rPr>
          <w:rFonts w:ascii="Arial" w:hAnsi="Arial" w:cs="Arial"/>
          <w:szCs w:val="24"/>
        </w:rPr>
        <w:t xml:space="preserve"> (1996) who stated that 2% mupirocin acts as bactericidal within 24-48 hours after application. It mainly acts against Staphylococcus aureus. They also reported that mupirocin requires 10 minutes contact for activation and works best when applied twice daily.</w:t>
      </w:r>
    </w:p>
    <w:p w14:paraId="301848E4" w14:textId="25EB67CF" w:rsidR="006204D0" w:rsidRPr="006204D0" w:rsidRDefault="006204D0" w:rsidP="006204D0">
      <w:pPr>
        <w:ind w:firstLine="720"/>
        <w:jc w:val="both"/>
        <w:rPr>
          <w:rFonts w:ascii="Arial" w:hAnsi="Arial" w:cs="Arial"/>
          <w:szCs w:val="24"/>
        </w:rPr>
      </w:pPr>
      <w:r w:rsidRPr="006204D0">
        <w:rPr>
          <w:rFonts w:ascii="Arial" w:hAnsi="Arial" w:cs="Arial"/>
          <w:szCs w:val="24"/>
        </w:rPr>
        <w:t xml:space="preserve">In Group A, the mean rank observed was 8.50 and the response to treatment of 5 dogs was excellent and moderate in 1 dog. Fusidic acid is a bacteriostatic antimicrobial agent derived from the fungus </w:t>
      </w:r>
      <w:proofErr w:type="spellStart"/>
      <w:r w:rsidRPr="006204D0">
        <w:rPr>
          <w:rFonts w:ascii="Arial" w:hAnsi="Arial" w:cs="Arial"/>
          <w:szCs w:val="24"/>
        </w:rPr>
        <w:t>Fusidium</w:t>
      </w:r>
      <w:proofErr w:type="spellEnd"/>
      <w:r w:rsidRPr="006204D0">
        <w:rPr>
          <w:rFonts w:ascii="Arial" w:hAnsi="Arial" w:cs="Arial"/>
          <w:szCs w:val="24"/>
        </w:rPr>
        <w:t xml:space="preserve"> </w:t>
      </w:r>
      <w:proofErr w:type="spellStart"/>
      <w:r w:rsidRPr="006204D0">
        <w:rPr>
          <w:rFonts w:ascii="Arial" w:hAnsi="Arial" w:cs="Arial"/>
          <w:szCs w:val="24"/>
        </w:rPr>
        <w:t>coccineum</w:t>
      </w:r>
      <w:proofErr w:type="spellEnd"/>
      <w:r w:rsidRPr="006204D0">
        <w:rPr>
          <w:rFonts w:ascii="Arial" w:hAnsi="Arial" w:cs="Arial"/>
          <w:szCs w:val="24"/>
        </w:rPr>
        <w:t xml:space="preserve">. It has a steroid-like structure which has demonstrated efficacy against coagulase-positive Staphylococci. Fusidic acid inhibits protein synthesis by binding to elongation factor G (EF-G) involved in translocation of polypeptide units and elongation, preventing its release from the ribosome (Nicolson and Gould, 2022). This present study was in favour with the findings of </w:t>
      </w:r>
      <w:proofErr w:type="spellStart"/>
      <w:r w:rsidRPr="006204D0">
        <w:rPr>
          <w:rFonts w:ascii="Arial" w:hAnsi="Arial" w:cs="Arial"/>
          <w:szCs w:val="24"/>
        </w:rPr>
        <w:t>Frosini</w:t>
      </w:r>
      <w:proofErr w:type="spellEnd"/>
      <w:r w:rsidRPr="006204D0">
        <w:rPr>
          <w:rFonts w:ascii="Arial" w:hAnsi="Arial" w:cs="Arial"/>
          <w:szCs w:val="24"/>
        </w:rPr>
        <w:t xml:space="preserve"> </w:t>
      </w:r>
      <w:r w:rsidRPr="008F569C">
        <w:rPr>
          <w:rFonts w:ascii="Arial" w:hAnsi="Arial" w:cs="Arial"/>
          <w:i/>
          <w:iCs/>
          <w:szCs w:val="24"/>
        </w:rPr>
        <w:t>et al.</w:t>
      </w:r>
      <w:r w:rsidRPr="006204D0">
        <w:rPr>
          <w:rFonts w:ascii="Arial" w:hAnsi="Arial" w:cs="Arial"/>
          <w:szCs w:val="24"/>
        </w:rPr>
        <w:t xml:space="preserve"> (2017) who reported that fusidic acid must be used for the treatment of canine surface and superficial pyoderma caused by bacteria susceptible to fusidic acid, but not deep pyoderma. Werner and Russell (1999) noted that therapeutic levels of fusidic acid were achieved in the epidermis within a few hours of application and are maintained with twice-daily dosing.</w:t>
      </w:r>
    </w:p>
    <w:p w14:paraId="1F5B5AA9" w14:textId="7B8ECB40" w:rsidR="006204D0" w:rsidRPr="006204D0" w:rsidRDefault="006204D0" w:rsidP="006204D0">
      <w:pPr>
        <w:ind w:firstLine="720"/>
        <w:jc w:val="both"/>
        <w:rPr>
          <w:rFonts w:ascii="Arial" w:hAnsi="Arial" w:cs="Arial"/>
          <w:szCs w:val="24"/>
        </w:rPr>
      </w:pPr>
      <w:r w:rsidRPr="006204D0">
        <w:rPr>
          <w:rFonts w:ascii="Arial" w:hAnsi="Arial" w:cs="Arial"/>
          <w:szCs w:val="24"/>
        </w:rPr>
        <w:t xml:space="preserve">The observations of the present study correlates to the research done by Loeffler </w:t>
      </w:r>
      <w:r w:rsidRPr="006204D0">
        <w:rPr>
          <w:rFonts w:ascii="Arial" w:hAnsi="Arial" w:cs="Arial"/>
          <w:i/>
          <w:iCs/>
          <w:szCs w:val="24"/>
        </w:rPr>
        <w:t>et al.</w:t>
      </w:r>
      <w:r w:rsidRPr="006204D0">
        <w:rPr>
          <w:rFonts w:ascii="Arial" w:hAnsi="Arial" w:cs="Arial"/>
          <w:szCs w:val="24"/>
        </w:rPr>
        <w:t xml:space="preserve"> (2008) who reported that mupirocin and fusidic acid were effective 94.11% and 86.21% for </w:t>
      </w:r>
      <w:r w:rsidRPr="008F569C">
        <w:rPr>
          <w:rFonts w:ascii="Arial" w:hAnsi="Arial" w:cs="Arial"/>
          <w:i/>
          <w:iCs/>
          <w:szCs w:val="24"/>
        </w:rPr>
        <w:t>Staphylococcus aureus</w:t>
      </w:r>
      <w:r w:rsidRPr="006204D0">
        <w:rPr>
          <w:rFonts w:ascii="Arial" w:hAnsi="Arial" w:cs="Arial"/>
          <w:szCs w:val="24"/>
        </w:rPr>
        <w:t xml:space="preserve"> respectively.</w:t>
      </w:r>
    </w:p>
    <w:p w14:paraId="26E82880" w14:textId="4B9F4FB7" w:rsidR="006204D0" w:rsidRPr="006204D0" w:rsidRDefault="006204D0" w:rsidP="006204D0">
      <w:pPr>
        <w:jc w:val="both"/>
        <w:rPr>
          <w:rFonts w:ascii="Arial" w:hAnsi="Arial" w:cs="Arial"/>
          <w:b/>
          <w:bCs/>
          <w:szCs w:val="24"/>
          <w:lang w:val="en-US"/>
        </w:rPr>
      </w:pPr>
      <w:r w:rsidRPr="006204D0">
        <w:rPr>
          <w:rFonts w:ascii="Arial" w:hAnsi="Arial" w:cs="Arial"/>
          <w:b/>
          <w:bCs/>
          <w:szCs w:val="24"/>
        </w:rPr>
        <w:t xml:space="preserve">Table 3: Mean rank of gross score between days </w:t>
      </w:r>
      <w:r w:rsidRPr="006204D0">
        <w:rPr>
          <w:rFonts w:ascii="Arial" w:hAnsi="Arial" w:cs="Arial"/>
          <w:b/>
          <w:bCs/>
          <w:szCs w:val="24"/>
          <w:lang w:val="en-US"/>
        </w:rPr>
        <w:t>of dogs affected with Staphylococcal pododermatitis</w:t>
      </w:r>
    </w:p>
    <w:tbl>
      <w:tblPr>
        <w:tblStyle w:val="TableGrid"/>
        <w:tblW w:w="0" w:type="auto"/>
        <w:jc w:val="center"/>
        <w:tblLook w:val="04A0" w:firstRow="1" w:lastRow="0" w:firstColumn="1" w:lastColumn="0" w:noHBand="0" w:noVBand="1"/>
      </w:tblPr>
      <w:tblGrid>
        <w:gridCol w:w="1502"/>
        <w:gridCol w:w="1502"/>
        <w:gridCol w:w="1503"/>
        <w:gridCol w:w="1503"/>
        <w:gridCol w:w="1503"/>
        <w:gridCol w:w="1503"/>
      </w:tblGrid>
      <w:tr w:rsidR="006204D0" w:rsidRPr="006204D0" w14:paraId="4F75BC49" w14:textId="77777777" w:rsidTr="00F84ACC">
        <w:trPr>
          <w:jc w:val="center"/>
        </w:trPr>
        <w:tc>
          <w:tcPr>
            <w:tcW w:w="1502" w:type="dxa"/>
            <w:vMerge w:val="restart"/>
            <w:vAlign w:val="center"/>
          </w:tcPr>
          <w:p w14:paraId="33668F24"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Groups</w:t>
            </w:r>
          </w:p>
        </w:tc>
        <w:tc>
          <w:tcPr>
            <w:tcW w:w="4508" w:type="dxa"/>
            <w:gridSpan w:val="3"/>
            <w:vAlign w:val="center"/>
          </w:tcPr>
          <w:p w14:paraId="008E2D5A"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Interval</w:t>
            </w:r>
          </w:p>
        </w:tc>
        <w:tc>
          <w:tcPr>
            <w:tcW w:w="1503" w:type="dxa"/>
            <w:vMerge w:val="restart"/>
            <w:vAlign w:val="center"/>
          </w:tcPr>
          <w:p w14:paraId="696E7DEE"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H value</w:t>
            </w:r>
          </w:p>
        </w:tc>
        <w:tc>
          <w:tcPr>
            <w:tcW w:w="1503" w:type="dxa"/>
            <w:vMerge w:val="restart"/>
            <w:vAlign w:val="center"/>
          </w:tcPr>
          <w:p w14:paraId="4EE2020E"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p value</w:t>
            </w:r>
          </w:p>
        </w:tc>
      </w:tr>
      <w:tr w:rsidR="006204D0" w:rsidRPr="006204D0" w14:paraId="434687B1" w14:textId="77777777" w:rsidTr="00F84ACC">
        <w:trPr>
          <w:jc w:val="center"/>
        </w:trPr>
        <w:tc>
          <w:tcPr>
            <w:tcW w:w="1502" w:type="dxa"/>
            <w:vMerge/>
            <w:vAlign w:val="center"/>
          </w:tcPr>
          <w:p w14:paraId="72C51741" w14:textId="77777777" w:rsidR="006204D0" w:rsidRPr="006204D0" w:rsidRDefault="006204D0" w:rsidP="006204D0">
            <w:pPr>
              <w:spacing w:after="160" w:line="259" w:lineRule="auto"/>
              <w:jc w:val="both"/>
              <w:rPr>
                <w:rFonts w:ascii="Arial" w:hAnsi="Arial" w:cs="Arial"/>
                <w:szCs w:val="24"/>
              </w:rPr>
            </w:pPr>
          </w:p>
        </w:tc>
        <w:tc>
          <w:tcPr>
            <w:tcW w:w="1502" w:type="dxa"/>
            <w:vAlign w:val="center"/>
          </w:tcPr>
          <w:p w14:paraId="0E1A178C"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Day 0</w:t>
            </w:r>
          </w:p>
        </w:tc>
        <w:tc>
          <w:tcPr>
            <w:tcW w:w="1503" w:type="dxa"/>
            <w:vAlign w:val="center"/>
          </w:tcPr>
          <w:p w14:paraId="1A05FDF3"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Day 14</w:t>
            </w:r>
          </w:p>
        </w:tc>
        <w:tc>
          <w:tcPr>
            <w:tcW w:w="1503" w:type="dxa"/>
            <w:vAlign w:val="center"/>
          </w:tcPr>
          <w:p w14:paraId="72EC0D92"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Day 28</w:t>
            </w:r>
          </w:p>
        </w:tc>
        <w:tc>
          <w:tcPr>
            <w:tcW w:w="1503" w:type="dxa"/>
            <w:vMerge/>
            <w:vAlign w:val="center"/>
          </w:tcPr>
          <w:p w14:paraId="64D18004" w14:textId="77777777" w:rsidR="006204D0" w:rsidRPr="006204D0" w:rsidRDefault="006204D0" w:rsidP="006204D0">
            <w:pPr>
              <w:spacing w:after="160" w:line="259" w:lineRule="auto"/>
              <w:jc w:val="both"/>
              <w:rPr>
                <w:rFonts w:ascii="Arial" w:hAnsi="Arial" w:cs="Arial"/>
                <w:szCs w:val="24"/>
              </w:rPr>
            </w:pPr>
          </w:p>
        </w:tc>
        <w:tc>
          <w:tcPr>
            <w:tcW w:w="1503" w:type="dxa"/>
            <w:vMerge/>
            <w:vAlign w:val="center"/>
          </w:tcPr>
          <w:p w14:paraId="5428FB89" w14:textId="77777777" w:rsidR="006204D0" w:rsidRPr="006204D0" w:rsidRDefault="006204D0" w:rsidP="006204D0">
            <w:pPr>
              <w:spacing w:after="160" w:line="259" w:lineRule="auto"/>
              <w:jc w:val="both"/>
              <w:rPr>
                <w:rFonts w:ascii="Arial" w:hAnsi="Arial" w:cs="Arial"/>
                <w:szCs w:val="24"/>
              </w:rPr>
            </w:pPr>
          </w:p>
        </w:tc>
      </w:tr>
      <w:tr w:rsidR="006204D0" w:rsidRPr="006204D0" w14:paraId="0E5D1C8F" w14:textId="77777777" w:rsidTr="00F84ACC">
        <w:trPr>
          <w:jc w:val="center"/>
        </w:trPr>
        <w:tc>
          <w:tcPr>
            <w:tcW w:w="1502" w:type="dxa"/>
            <w:vAlign w:val="center"/>
          </w:tcPr>
          <w:p w14:paraId="03D071BD" w14:textId="2E22F1E1"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Group A</w:t>
            </w:r>
          </w:p>
        </w:tc>
        <w:tc>
          <w:tcPr>
            <w:tcW w:w="1502" w:type="dxa"/>
          </w:tcPr>
          <w:p w14:paraId="6EA80A5E" w14:textId="77777777" w:rsidR="006204D0" w:rsidRPr="006204D0" w:rsidRDefault="006204D0" w:rsidP="006204D0">
            <w:pPr>
              <w:spacing w:after="160" w:line="259" w:lineRule="auto"/>
              <w:jc w:val="both"/>
              <w:rPr>
                <w:rFonts w:ascii="Arial" w:hAnsi="Arial" w:cs="Arial"/>
                <w:b/>
                <w:bCs/>
                <w:szCs w:val="24"/>
              </w:rPr>
            </w:pPr>
            <w:r w:rsidRPr="006204D0">
              <w:rPr>
                <w:rFonts w:ascii="Arial" w:hAnsi="Arial" w:cs="Arial"/>
                <w:szCs w:val="24"/>
              </w:rPr>
              <w:t>15.08</w:t>
            </w:r>
          </w:p>
        </w:tc>
        <w:tc>
          <w:tcPr>
            <w:tcW w:w="1503" w:type="dxa"/>
          </w:tcPr>
          <w:p w14:paraId="3FA2A685" w14:textId="77777777" w:rsidR="006204D0" w:rsidRPr="006204D0" w:rsidRDefault="006204D0" w:rsidP="006204D0">
            <w:pPr>
              <w:spacing w:after="160" w:line="259" w:lineRule="auto"/>
              <w:jc w:val="both"/>
              <w:rPr>
                <w:rFonts w:ascii="Arial" w:hAnsi="Arial" w:cs="Arial"/>
                <w:b/>
                <w:bCs/>
                <w:szCs w:val="24"/>
              </w:rPr>
            </w:pPr>
            <w:r w:rsidRPr="006204D0">
              <w:rPr>
                <w:rFonts w:ascii="Arial" w:hAnsi="Arial" w:cs="Arial"/>
                <w:szCs w:val="24"/>
              </w:rPr>
              <w:t>8.59</w:t>
            </w:r>
          </w:p>
        </w:tc>
        <w:tc>
          <w:tcPr>
            <w:tcW w:w="1503" w:type="dxa"/>
          </w:tcPr>
          <w:p w14:paraId="5DDB0538" w14:textId="77777777" w:rsidR="006204D0" w:rsidRPr="006204D0" w:rsidRDefault="006204D0" w:rsidP="006204D0">
            <w:pPr>
              <w:spacing w:after="160" w:line="259" w:lineRule="auto"/>
              <w:jc w:val="both"/>
              <w:rPr>
                <w:rFonts w:ascii="Arial" w:hAnsi="Arial" w:cs="Arial"/>
                <w:b/>
                <w:bCs/>
                <w:szCs w:val="24"/>
              </w:rPr>
            </w:pPr>
            <w:r w:rsidRPr="006204D0">
              <w:rPr>
                <w:rFonts w:ascii="Arial" w:hAnsi="Arial" w:cs="Arial"/>
                <w:szCs w:val="24"/>
              </w:rPr>
              <w:t>4.92</w:t>
            </w:r>
          </w:p>
        </w:tc>
        <w:tc>
          <w:tcPr>
            <w:tcW w:w="1503" w:type="dxa"/>
          </w:tcPr>
          <w:p w14:paraId="36642B6F" w14:textId="77777777" w:rsidR="006204D0" w:rsidRPr="006204D0" w:rsidRDefault="006204D0" w:rsidP="006204D0">
            <w:pPr>
              <w:spacing w:after="160" w:line="259" w:lineRule="auto"/>
              <w:jc w:val="both"/>
              <w:rPr>
                <w:rFonts w:ascii="Arial" w:hAnsi="Arial" w:cs="Arial"/>
                <w:b/>
                <w:bCs/>
                <w:szCs w:val="24"/>
              </w:rPr>
            </w:pPr>
            <w:r w:rsidRPr="006204D0">
              <w:rPr>
                <w:rFonts w:ascii="Arial" w:hAnsi="Arial" w:cs="Arial"/>
                <w:szCs w:val="24"/>
              </w:rPr>
              <w:t>11.396*</w:t>
            </w:r>
          </w:p>
        </w:tc>
        <w:tc>
          <w:tcPr>
            <w:tcW w:w="1503" w:type="dxa"/>
          </w:tcPr>
          <w:p w14:paraId="3BE2FEFE" w14:textId="77777777" w:rsidR="006204D0" w:rsidRPr="006204D0" w:rsidRDefault="006204D0" w:rsidP="006204D0">
            <w:pPr>
              <w:spacing w:after="160" w:line="259" w:lineRule="auto"/>
              <w:jc w:val="both"/>
              <w:rPr>
                <w:rFonts w:ascii="Arial" w:hAnsi="Arial" w:cs="Arial"/>
                <w:b/>
                <w:bCs/>
                <w:szCs w:val="24"/>
              </w:rPr>
            </w:pPr>
            <w:r w:rsidRPr="006204D0">
              <w:rPr>
                <w:rFonts w:ascii="Arial" w:hAnsi="Arial" w:cs="Arial"/>
                <w:szCs w:val="24"/>
              </w:rPr>
              <w:t>0.003</w:t>
            </w:r>
          </w:p>
        </w:tc>
      </w:tr>
      <w:tr w:rsidR="006204D0" w:rsidRPr="006204D0" w14:paraId="793F160E" w14:textId="77777777" w:rsidTr="00F84ACC">
        <w:trPr>
          <w:jc w:val="center"/>
        </w:trPr>
        <w:tc>
          <w:tcPr>
            <w:tcW w:w="1502" w:type="dxa"/>
            <w:vAlign w:val="center"/>
          </w:tcPr>
          <w:p w14:paraId="251D5BF7" w14:textId="4A4DFF45"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Group B</w:t>
            </w:r>
          </w:p>
        </w:tc>
        <w:tc>
          <w:tcPr>
            <w:tcW w:w="1502" w:type="dxa"/>
          </w:tcPr>
          <w:p w14:paraId="725DC72D" w14:textId="77777777" w:rsidR="006204D0" w:rsidRPr="006204D0" w:rsidRDefault="006204D0" w:rsidP="006204D0">
            <w:pPr>
              <w:spacing w:after="160" w:line="259" w:lineRule="auto"/>
              <w:jc w:val="both"/>
              <w:rPr>
                <w:rFonts w:ascii="Arial" w:hAnsi="Arial" w:cs="Arial"/>
                <w:b/>
                <w:bCs/>
                <w:szCs w:val="24"/>
              </w:rPr>
            </w:pPr>
            <w:r w:rsidRPr="006204D0">
              <w:rPr>
                <w:rFonts w:ascii="Arial" w:hAnsi="Arial" w:cs="Arial"/>
                <w:szCs w:val="24"/>
              </w:rPr>
              <w:t>15.5</w:t>
            </w:r>
          </w:p>
        </w:tc>
        <w:tc>
          <w:tcPr>
            <w:tcW w:w="1503" w:type="dxa"/>
          </w:tcPr>
          <w:p w14:paraId="12AF0F3F" w14:textId="77777777" w:rsidR="006204D0" w:rsidRPr="006204D0" w:rsidRDefault="006204D0" w:rsidP="006204D0">
            <w:pPr>
              <w:spacing w:after="160" w:line="259" w:lineRule="auto"/>
              <w:jc w:val="both"/>
              <w:rPr>
                <w:rFonts w:ascii="Arial" w:hAnsi="Arial" w:cs="Arial"/>
                <w:b/>
                <w:bCs/>
                <w:szCs w:val="24"/>
              </w:rPr>
            </w:pPr>
            <w:r w:rsidRPr="006204D0">
              <w:rPr>
                <w:rFonts w:ascii="Arial" w:hAnsi="Arial" w:cs="Arial"/>
                <w:szCs w:val="24"/>
              </w:rPr>
              <w:t>8.5</w:t>
            </w:r>
          </w:p>
        </w:tc>
        <w:tc>
          <w:tcPr>
            <w:tcW w:w="1503" w:type="dxa"/>
          </w:tcPr>
          <w:p w14:paraId="60E8AE24" w14:textId="77777777" w:rsidR="006204D0" w:rsidRPr="006204D0" w:rsidRDefault="006204D0" w:rsidP="006204D0">
            <w:pPr>
              <w:spacing w:after="160" w:line="259" w:lineRule="auto"/>
              <w:jc w:val="both"/>
              <w:rPr>
                <w:rFonts w:ascii="Arial" w:hAnsi="Arial" w:cs="Arial"/>
                <w:b/>
                <w:bCs/>
                <w:szCs w:val="24"/>
              </w:rPr>
            </w:pPr>
            <w:r w:rsidRPr="006204D0">
              <w:rPr>
                <w:rFonts w:ascii="Arial" w:hAnsi="Arial" w:cs="Arial"/>
                <w:szCs w:val="24"/>
              </w:rPr>
              <w:t>4.42</w:t>
            </w:r>
          </w:p>
        </w:tc>
        <w:tc>
          <w:tcPr>
            <w:tcW w:w="1503" w:type="dxa"/>
          </w:tcPr>
          <w:p w14:paraId="596D7524" w14:textId="77777777" w:rsidR="006204D0" w:rsidRPr="006204D0" w:rsidRDefault="006204D0" w:rsidP="006204D0">
            <w:pPr>
              <w:spacing w:after="160" w:line="259" w:lineRule="auto"/>
              <w:jc w:val="both"/>
              <w:rPr>
                <w:rFonts w:ascii="Arial" w:hAnsi="Arial" w:cs="Arial"/>
                <w:b/>
                <w:bCs/>
                <w:szCs w:val="24"/>
              </w:rPr>
            </w:pPr>
            <w:r w:rsidRPr="006204D0">
              <w:rPr>
                <w:rFonts w:ascii="Arial" w:hAnsi="Arial" w:cs="Arial"/>
                <w:szCs w:val="24"/>
              </w:rPr>
              <w:t>13.517*</w:t>
            </w:r>
          </w:p>
        </w:tc>
        <w:tc>
          <w:tcPr>
            <w:tcW w:w="1503" w:type="dxa"/>
          </w:tcPr>
          <w:p w14:paraId="5733CCA7" w14:textId="77777777" w:rsidR="006204D0" w:rsidRPr="006204D0" w:rsidRDefault="006204D0" w:rsidP="006204D0">
            <w:pPr>
              <w:spacing w:after="160" w:line="259" w:lineRule="auto"/>
              <w:jc w:val="both"/>
              <w:rPr>
                <w:rFonts w:ascii="Arial" w:hAnsi="Arial" w:cs="Arial"/>
                <w:b/>
                <w:bCs/>
                <w:szCs w:val="24"/>
              </w:rPr>
            </w:pPr>
            <w:r w:rsidRPr="006204D0">
              <w:rPr>
                <w:rFonts w:ascii="Arial" w:hAnsi="Arial" w:cs="Arial"/>
                <w:szCs w:val="24"/>
              </w:rPr>
              <w:t>0.001</w:t>
            </w:r>
          </w:p>
        </w:tc>
      </w:tr>
    </w:tbl>
    <w:p w14:paraId="043E0CCD" w14:textId="77777777" w:rsidR="006204D0" w:rsidRPr="006204D0" w:rsidRDefault="006204D0" w:rsidP="006204D0">
      <w:pPr>
        <w:jc w:val="both"/>
        <w:rPr>
          <w:rFonts w:ascii="Arial" w:hAnsi="Arial" w:cs="Arial"/>
          <w:szCs w:val="24"/>
        </w:rPr>
      </w:pPr>
      <w:r w:rsidRPr="006204D0">
        <w:rPr>
          <w:rFonts w:ascii="Arial" w:hAnsi="Arial" w:cs="Arial"/>
          <w:szCs w:val="24"/>
        </w:rPr>
        <w:t xml:space="preserve">* - </w:t>
      </w:r>
      <w:r w:rsidRPr="006204D0">
        <w:rPr>
          <w:rFonts w:ascii="Arial" w:hAnsi="Arial" w:cs="Arial"/>
          <w:sz w:val="20"/>
          <w:szCs w:val="20"/>
        </w:rPr>
        <w:t>Significant at p&lt;0.05</w:t>
      </w:r>
    </w:p>
    <w:p w14:paraId="5B7DD5BC" w14:textId="609655E3" w:rsidR="006204D0" w:rsidRPr="006204D0" w:rsidRDefault="006204D0" w:rsidP="006204D0">
      <w:pPr>
        <w:jc w:val="both"/>
        <w:rPr>
          <w:rFonts w:ascii="Arial" w:hAnsi="Arial" w:cs="Arial"/>
          <w:b/>
          <w:bCs/>
          <w:szCs w:val="24"/>
          <w:lang w:val="en-US"/>
        </w:rPr>
      </w:pPr>
      <w:r w:rsidRPr="006204D0">
        <w:rPr>
          <w:rFonts w:ascii="Arial" w:hAnsi="Arial" w:cs="Arial"/>
          <w:b/>
          <w:bCs/>
          <w:szCs w:val="24"/>
        </w:rPr>
        <w:t xml:space="preserve">Table 4: Mean rank of gross score between group </w:t>
      </w:r>
      <w:r w:rsidRPr="006204D0">
        <w:rPr>
          <w:rFonts w:ascii="Arial" w:hAnsi="Arial" w:cs="Arial"/>
          <w:b/>
          <w:bCs/>
          <w:szCs w:val="24"/>
          <w:lang w:val="en-US"/>
        </w:rPr>
        <w:t>of dogs affected with Staphylococcal pododermatitis</w:t>
      </w:r>
    </w:p>
    <w:tbl>
      <w:tblPr>
        <w:tblStyle w:val="TableGrid"/>
        <w:tblW w:w="0" w:type="auto"/>
        <w:tblLook w:val="04A0" w:firstRow="1" w:lastRow="0" w:firstColumn="1" w:lastColumn="0" w:noHBand="0" w:noVBand="1"/>
      </w:tblPr>
      <w:tblGrid>
        <w:gridCol w:w="2254"/>
        <w:gridCol w:w="2254"/>
        <w:gridCol w:w="2254"/>
        <w:gridCol w:w="2254"/>
      </w:tblGrid>
      <w:tr w:rsidR="006204D0" w:rsidRPr="006204D0" w14:paraId="73FAA0A7" w14:textId="77777777" w:rsidTr="00F84ACC">
        <w:tc>
          <w:tcPr>
            <w:tcW w:w="2254" w:type="dxa"/>
            <w:vMerge w:val="restart"/>
            <w:vAlign w:val="center"/>
          </w:tcPr>
          <w:p w14:paraId="057D6F28"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Groups</w:t>
            </w:r>
          </w:p>
        </w:tc>
        <w:tc>
          <w:tcPr>
            <w:tcW w:w="6762" w:type="dxa"/>
            <w:gridSpan w:val="3"/>
            <w:vAlign w:val="center"/>
          </w:tcPr>
          <w:p w14:paraId="381E0D8D"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Interval</w:t>
            </w:r>
          </w:p>
        </w:tc>
      </w:tr>
      <w:tr w:rsidR="006204D0" w:rsidRPr="006204D0" w14:paraId="7DAD7124" w14:textId="77777777" w:rsidTr="00F84ACC">
        <w:tc>
          <w:tcPr>
            <w:tcW w:w="2254" w:type="dxa"/>
            <w:vMerge/>
            <w:vAlign w:val="center"/>
          </w:tcPr>
          <w:p w14:paraId="70F21CFA" w14:textId="77777777" w:rsidR="006204D0" w:rsidRPr="006204D0" w:rsidRDefault="006204D0" w:rsidP="006204D0">
            <w:pPr>
              <w:spacing w:after="160" w:line="259" w:lineRule="auto"/>
              <w:jc w:val="both"/>
              <w:rPr>
                <w:rFonts w:ascii="Arial" w:hAnsi="Arial" w:cs="Arial"/>
                <w:szCs w:val="24"/>
              </w:rPr>
            </w:pPr>
          </w:p>
        </w:tc>
        <w:tc>
          <w:tcPr>
            <w:tcW w:w="2254" w:type="dxa"/>
            <w:vAlign w:val="center"/>
          </w:tcPr>
          <w:p w14:paraId="134E9BD5"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Day 0</w:t>
            </w:r>
          </w:p>
        </w:tc>
        <w:tc>
          <w:tcPr>
            <w:tcW w:w="2254" w:type="dxa"/>
            <w:vAlign w:val="center"/>
          </w:tcPr>
          <w:p w14:paraId="49BCFB57"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Day 14</w:t>
            </w:r>
          </w:p>
        </w:tc>
        <w:tc>
          <w:tcPr>
            <w:tcW w:w="2254" w:type="dxa"/>
            <w:vAlign w:val="center"/>
          </w:tcPr>
          <w:p w14:paraId="720324F3"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Day 28</w:t>
            </w:r>
          </w:p>
        </w:tc>
      </w:tr>
      <w:tr w:rsidR="006204D0" w:rsidRPr="006204D0" w14:paraId="08BB7B8D" w14:textId="77777777" w:rsidTr="00F84ACC">
        <w:tc>
          <w:tcPr>
            <w:tcW w:w="2254" w:type="dxa"/>
            <w:vAlign w:val="center"/>
          </w:tcPr>
          <w:p w14:paraId="01DA5D74" w14:textId="00A61FD6"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Group A</w:t>
            </w:r>
          </w:p>
        </w:tc>
        <w:tc>
          <w:tcPr>
            <w:tcW w:w="2254" w:type="dxa"/>
            <w:vAlign w:val="bottom"/>
          </w:tcPr>
          <w:p w14:paraId="313FE9DB"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6.42</w:t>
            </w:r>
          </w:p>
        </w:tc>
        <w:tc>
          <w:tcPr>
            <w:tcW w:w="2254" w:type="dxa"/>
            <w:vAlign w:val="bottom"/>
          </w:tcPr>
          <w:p w14:paraId="7BFB51AC"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7.67</w:t>
            </w:r>
          </w:p>
        </w:tc>
        <w:tc>
          <w:tcPr>
            <w:tcW w:w="2254" w:type="dxa"/>
            <w:vAlign w:val="bottom"/>
          </w:tcPr>
          <w:p w14:paraId="73791F87"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8.5</w:t>
            </w:r>
          </w:p>
        </w:tc>
      </w:tr>
      <w:tr w:rsidR="006204D0" w:rsidRPr="006204D0" w14:paraId="49B78811" w14:textId="77777777" w:rsidTr="00F84ACC">
        <w:tc>
          <w:tcPr>
            <w:tcW w:w="2254" w:type="dxa"/>
            <w:vAlign w:val="center"/>
          </w:tcPr>
          <w:p w14:paraId="1B7F8D4B" w14:textId="290E3031"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Group B</w:t>
            </w:r>
          </w:p>
        </w:tc>
        <w:tc>
          <w:tcPr>
            <w:tcW w:w="2254" w:type="dxa"/>
            <w:vAlign w:val="bottom"/>
          </w:tcPr>
          <w:p w14:paraId="075C2B26"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6.58</w:t>
            </w:r>
          </w:p>
        </w:tc>
        <w:tc>
          <w:tcPr>
            <w:tcW w:w="2254" w:type="dxa"/>
            <w:vAlign w:val="bottom"/>
          </w:tcPr>
          <w:p w14:paraId="75F00D6B"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5.33</w:t>
            </w:r>
          </w:p>
        </w:tc>
        <w:tc>
          <w:tcPr>
            <w:tcW w:w="2254" w:type="dxa"/>
            <w:vAlign w:val="bottom"/>
          </w:tcPr>
          <w:p w14:paraId="153FC00E"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4.5</w:t>
            </w:r>
          </w:p>
        </w:tc>
      </w:tr>
      <w:tr w:rsidR="006204D0" w:rsidRPr="006204D0" w14:paraId="096B27EF" w14:textId="77777777" w:rsidTr="00F84ACC">
        <w:tc>
          <w:tcPr>
            <w:tcW w:w="2254" w:type="dxa"/>
            <w:vAlign w:val="center"/>
          </w:tcPr>
          <w:p w14:paraId="20EBC9BF"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U value</w:t>
            </w:r>
          </w:p>
        </w:tc>
        <w:tc>
          <w:tcPr>
            <w:tcW w:w="2254" w:type="dxa"/>
            <w:vAlign w:val="bottom"/>
          </w:tcPr>
          <w:p w14:paraId="10A76880"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17.50</w:t>
            </w:r>
            <w:r w:rsidRPr="006204D0">
              <w:rPr>
                <w:rFonts w:ascii="Arial" w:hAnsi="Arial" w:cs="Arial"/>
                <w:szCs w:val="24"/>
                <w:vertAlign w:val="superscript"/>
              </w:rPr>
              <w:t>NS</w:t>
            </w:r>
          </w:p>
        </w:tc>
        <w:tc>
          <w:tcPr>
            <w:tcW w:w="2254" w:type="dxa"/>
            <w:vAlign w:val="bottom"/>
          </w:tcPr>
          <w:p w14:paraId="0160AE40"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11.00</w:t>
            </w:r>
            <w:r w:rsidRPr="006204D0">
              <w:rPr>
                <w:rFonts w:ascii="Arial" w:hAnsi="Arial" w:cs="Arial"/>
                <w:szCs w:val="24"/>
                <w:vertAlign w:val="superscript"/>
              </w:rPr>
              <w:t>NS</w:t>
            </w:r>
          </w:p>
        </w:tc>
        <w:tc>
          <w:tcPr>
            <w:tcW w:w="2254" w:type="dxa"/>
            <w:vAlign w:val="bottom"/>
          </w:tcPr>
          <w:p w14:paraId="7509861E"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6.00*</w:t>
            </w:r>
          </w:p>
        </w:tc>
      </w:tr>
      <w:tr w:rsidR="006204D0" w:rsidRPr="006204D0" w14:paraId="621E2823" w14:textId="77777777" w:rsidTr="00F84ACC">
        <w:tc>
          <w:tcPr>
            <w:tcW w:w="2254" w:type="dxa"/>
            <w:vAlign w:val="center"/>
          </w:tcPr>
          <w:p w14:paraId="6EE7C494"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p value</w:t>
            </w:r>
          </w:p>
        </w:tc>
        <w:tc>
          <w:tcPr>
            <w:tcW w:w="2254" w:type="dxa"/>
            <w:vAlign w:val="bottom"/>
          </w:tcPr>
          <w:p w14:paraId="4C6D49EA"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1.935</w:t>
            </w:r>
          </w:p>
        </w:tc>
        <w:tc>
          <w:tcPr>
            <w:tcW w:w="2254" w:type="dxa"/>
            <w:vAlign w:val="bottom"/>
          </w:tcPr>
          <w:p w14:paraId="17B9826F"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0.254</w:t>
            </w:r>
          </w:p>
        </w:tc>
        <w:tc>
          <w:tcPr>
            <w:tcW w:w="2254" w:type="dxa"/>
            <w:vAlign w:val="bottom"/>
          </w:tcPr>
          <w:p w14:paraId="42CD896E"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0.032</w:t>
            </w:r>
          </w:p>
        </w:tc>
      </w:tr>
    </w:tbl>
    <w:p w14:paraId="39F6A520" w14:textId="77777777" w:rsidR="006204D0" w:rsidRPr="006204D0" w:rsidRDefault="006204D0" w:rsidP="006204D0">
      <w:pPr>
        <w:jc w:val="both"/>
        <w:rPr>
          <w:rFonts w:ascii="Arial" w:hAnsi="Arial" w:cs="Arial"/>
          <w:sz w:val="20"/>
          <w:szCs w:val="20"/>
        </w:rPr>
      </w:pPr>
      <w:r w:rsidRPr="006204D0">
        <w:rPr>
          <w:rFonts w:ascii="Arial" w:hAnsi="Arial" w:cs="Arial"/>
          <w:szCs w:val="24"/>
        </w:rPr>
        <w:t xml:space="preserve">* - </w:t>
      </w:r>
      <w:r w:rsidRPr="006204D0">
        <w:rPr>
          <w:rFonts w:ascii="Arial" w:hAnsi="Arial" w:cs="Arial"/>
          <w:sz w:val="20"/>
          <w:szCs w:val="20"/>
        </w:rPr>
        <w:t>Significant at p&lt;0.05, NS – Non significant</w:t>
      </w:r>
    </w:p>
    <w:p w14:paraId="5A2E3320" w14:textId="33A7B440" w:rsidR="00E5314C" w:rsidRDefault="006204D0" w:rsidP="000F1752">
      <w:pPr>
        <w:jc w:val="both"/>
        <w:rPr>
          <w:rFonts w:ascii="Arial" w:hAnsi="Arial" w:cs="Arial"/>
          <w:b/>
          <w:bCs/>
          <w:szCs w:val="24"/>
        </w:rPr>
      </w:pPr>
      <w:r>
        <w:rPr>
          <w:rFonts w:ascii="Arial" w:hAnsi="Arial" w:cs="Arial"/>
          <w:b/>
          <w:bCs/>
          <w:szCs w:val="24"/>
        </w:rPr>
        <w:t>Conclusion:</w:t>
      </w:r>
    </w:p>
    <w:p w14:paraId="6F09C1FE" w14:textId="45C7E5CB" w:rsidR="006204D0" w:rsidRDefault="007B5B15" w:rsidP="0055356E">
      <w:pPr>
        <w:ind w:firstLine="720"/>
        <w:jc w:val="both"/>
        <w:rPr>
          <w:rFonts w:ascii="Arial" w:hAnsi="Arial" w:cs="Arial"/>
          <w:szCs w:val="24"/>
        </w:rPr>
      </w:pPr>
      <w:r w:rsidRPr="007B5B15">
        <w:rPr>
          <w:rFonts w:ascii="Arial" w:hAnsi="Arial" w:cs="Arial"/>
          <w:szCs w:val="24"/>
        </w:rPr>
        <w:lastRenderedPageBreak/>
        <w:t>The present study clearly shows that both mupirocin as well as fusidic acid are indeed effective topical therapies especially for the management of Staphylococcal pododermatitis in dogs. However, mupirocin 2% ointment exhibited superior clinical efficacy. Mupirocin accomplished a faster resolution of lesions and a greater improvement in dermatological scores by the conclusion of the 28-day treatment period in comparison to fusidic acid. Based on the data, mupirocin's special mechanism of action, which involves disrupting bacterial protein production, may result in faster and more complete improvement from Staph infections on dog's feet, potentially promoting better well-being and shorter periods of care.</w:t>
      </w:r>
      <w:r>
        <w:rPr>
          <w:rFonts w:ascii="Arial" w:hAnsi="Arial" w:cs="Arial"/>
          <w:szCs w:val="24"/>
        </w:rPr>
        <w:t xml:space="preserve"> </w:t>
      </w:r>
      <w:r w:rsidRPr="007B5B15">
        <w:rPr>
          <w:rFonts w:ascii="Arial" w:hAnsi="Arial" w:cs="Arial"/>
          <w:szCs w:val="24"/>
        </w:rPr>
        <w:t>Hence, mupirocin 2% ointment might be regarded as a favo</w:t>
      </w:r>
      <w:r>
        <w:rPr>
          <w:rFonts w:ascii="Arial" w:hAnsi="Arial" w:cs="Arial"/>
          <w:szCs w:val="24"/>
        </w:rPr>
        <w:t>u</w:t>
      </w:r>
      <w:r w:rsidRPr="007B5B15">
        <w:rPr>
          <w:rFonts w:ascii="Arial" w:hAnsi="Arial" w:cs="Arial"/>
          <w:szCs w:val="24"/>
        </w:rPr>
        <w:t xml:space="preserve">red option for the topical handling of canine Staphylococcal pododermatitis. </w:t>
      </w:r>
    </w:p>
    <w:p w14:paraId="1787137C" w14:textId="77777777" w:rsidR="00476493" w:rsidRPr="003A29C6" w:rsidRDefault="00476493" w:rsidP="00476493">
      <w:pPr>
        <w:jc w:val="both"/>
        <w:outlineLvl w:val="0"/>
        <w:rPr>
          <w:rFonts w:ascii="Arial" w:hAnsi="Arial" w:cs="Arial"/>
        </w:rPr>
      </w:pPr>
      <w:r w:rsidRPr="003A29C6">
        <w:rPr>
          <w:rFonts w:ascii="Arial" w:hAnsi="Arial" w:cs="Arial"/>
          <w:b/>
          <w:bCs/>
        </w:rPr>
        <w:t>COMPETING INTERESTS DISCLAIMER:</w:t>
      </w:r>
    </w:p>
    <w:p w14:paraId="3403343F" w14:textId="77777777" w:rsidR="00476493" w:rsidRDefault="00476493" w:rsidP="00476493">
      <w:r w:rsidRPr="00A10EDE">
        <w:t>Authors have declared that they have no known competing financial interests OR non-financial interests OR personal relationships that could have appeared to influence the work reported in this paper.</w:t>
      </w:r>
    </w:p>
    <w:p w14:paraId="1EE0CCE2" w14:textId="77777777" w:rsidR="007B5B15" w:rsidRDefault="007B5B15" w:rsidP="007B5B15">
      <w:pPr>
        <w:jc w:val="both"/>
        <w:rPr>
          <w:rFonts w:ascii="Arial" w:hAnsi="Arial" w:cs="Arial"/>
          <w:szCs w:val="24"/>
        </w:rPr>
      </w:pPr>
    </w:p>
    <w:p w14:paraId="4F172845" w14:textId="6C4CA295" w:rsidR="007B5B15" w:rsidRDefault="007B5B15" w:rsidP="007B5B15">
      <w:pPr>
        <w:jc w:val="both"/>
        <w:rPr>
          <w:rFonts w:ascii="Arial" w:hAnsi="Arial" w:cs="Arial"/>
          <w:b/>
          <w:bCs/>
          <w:szCs w:val="24"/>
        </w:rPr>
      </w:pPr>
      <w:r>
        <w:rPr>
          <w:rFonts w:ascii="Arial" w:hAnsi="Arial" w:cs="Arial"/>
          <w:b/>
          <w:bCs/>
          <w:szCs w:val="24"/>
        </w:rPr>
        <w:t>References:</w:t>
      </w:r>
    </w:p>
    <w:p w14:paraId="4F460389" w14:textId="77777777" w:rsidR="008F569C" w:rsidRPr="008F569C" w:rsidRDefault="008F569C" w:rsidP="008F569C">
      <w:pPr>
        <w:pStyle w:val="ListParagraph"/>
        <w:numPr>
          <w:ilvl w:val="0"/>
          <w:numId w:val="2"/>
        </w:numPr>
        <w:jc w:val="both"/>
        <w:rPr>
          <w:rFonts w:ascii="Arial" w:hAnsi="Arial" w:cs="Arial"/>
          <w:szCs w:val="24"/>
        </w:rPr>
      </w:pPr>
      <w:r w:rsidRPr="008F569C">
        <w:rPr>
          <w:rFonts w:ascii="Arial" w:hAnsi="Arial" w:cs="Arial"/>
          <w:szCs w:val="24"/>
        </w:rPr>
        <w:t xml:space="preserve">Aiello, S.E. and Moses, M.A. (2016). The Merck Veterinary Manual, 11th </w:t>
      </w:r>
      <w:proofErr w:type="spellStart"/>
      <w:r w:rsidRPr="008F569C">
        <w:rPr>
          <w:rFonts w:ascii="Arial" w:hAnsi="Arial" w:cs="Arial"/>
          <w:szCs w:val="24"/>
        </w:rPr>
        <w:t>Edn</w:t>
      </w:r>
      <w:proofErr w:type="spellEnd"/>
      <w:r w:rsidRPr="008F569C">
        <w:rPr>
          <w:rFonts w:ascii="Arial" w:hAnsi="Arial" w:cs="Arial"/>
          <w:szCs w:val="24"/>
        </w:rPr>
        <w:t>., Merck and Co., Inc., New Jersey, USA, 837 p.</w:t>
      </w:r>
    </w:p>
    <w:p w14:paraId="4C028233" w14:textId="77777777" w:rsidR="008F569C" w:rsidRPr="008F569C" w:rsidRDefault="008F569C" w:rsidP="008F569C">
      <w:pPr>
        <w:pStyle w:val="ListParagraph"/>
        <w:numPr>
          <w:ilvl w:val="0"/>
          <w:numId w:val="2"/>
        </w:numPr>
        <w:jc w:val="both"/>
        <w:rPr>
          <w:rFonts w:ascii="Arial" w:hAnsi="Arial" w:cs="Arial"/>
          <w:szCs w:val="24"/>
        </w:rPr>
      </w:pPr>
      <w:r w:rsidRPr="008F569C">
        <w:rPr>
          <w:rFonts w:ascii="Arial" w:hAnsi="Arial" w:cs="Arial"/>
          <w:szCs w:val="24"/>
        </w:rPr>
        <w:t xml:space="preserve">Feijo, F.M.C., Souza, N.D. and </w:t>
      </w:r>
      <w:proofErr w:type="spellStart"/>
      <w:r w:rsidRPr="008F569C">
        <w:rPr>
          <w:rFonts w:ascii="Arial" w:hAnsi="Arial" w:cs="Arial"/>
          <w:szCs w:val="24"/>
        </w:rPr>
        <w:t>Ramadinha</w:t>
      </w:r>
      <w:proofErr w:type="spellEnd"/>
      <w:r w:rsidRPr="008F569C">
        <w:rPr>
          <w:rFonts w:ascii="Arial" w:hAnsi="Arial" w:cs="Arial"/>
          <w:szCs w:val="24"/>
        </w:rPr>
        <w:t xml:space="preserve">, R.H.R. (1998). A study of the yeast Malassezia </w:t>
      </w:r>
      <w:proofErr w:type="spellStart"/>
      <w:r w:rsidRPr="008F569C">
        <w:rPr>
          <w:rFonts w:ascii="Arial" w:hAnsi="Arial" w:cs="Arial"/>
          <w:szCs w:val="24"/>
        </w:rPr>
        <w:t>pachydermatis</w:t>
      </w:r>
      <w:proofErr w:type="spellEnd"/>
      <w:r w:rsidRPr="008F569C">
        <w:rPr>
          <w:rFonts w:ascii="Arial" w:hAnsi="Arial" w:cs="Arial"/>
          <w:szCs w:val="24"/>
        </w:rPr>
        <w:t xml:space="preserve"> by examination of skin cytology in the dog. Brazilian Journal of Veterinary Medicine, 20(2): 66-68.</w:t>
      </w:r>
    </w:p>
    <w:p w14:paraId="1749B9CB" w14:textId="77777777" w:rsidR="008F569C" w:rsidRPr="008F569C" w:rsidRDefault="008F569C" w:rsidP="008F569C">
      <w:pPr>
        <w:pStyle w:val="ListParagraph"/>
        <w:numPr>
          <w:ilvl w:val="0"/>
          <w:numId w:val="2"/>
        </w:numPr>
        <w:jc w:val="both"/>
        <w:rPr>
          <w:rFonts w:ascii="Arial" w:hAnsi="Arial" w:cs="Arial"/>
          <w:szCs w:val="24"/>
        </w:rPr>
      </w:pPr>
      <w:proofErr w:type="spellStart"/>
      <w:r w:rsidRPr="008F569C">
        <w:rPr>
          <w:rFonts w:ascii="Arial" w:hAnsi="Arial" w:cs="Arial"/>
          <w:szCs w:val="24"/>
        </w:rPr>
        <w:t>Frosini</w:t>
      </w:r>
      <w:proofErr w:type="spellEnd"/>
      <w:r w:rsidRPr="008F569C">
        <w:rPr>
          <w:rFonts w:ascii="Arial" w:hAnsi="Arial" w:cs="Arial"/>
          <w:szCs w:val="24"/>
        </w:rPr>
        <w:t>, S.M., Bond, R., Loeffler, A. and Larner, J. (2017). Opportunities for topical antimicrobial therapy: permeation of canine skin by fusidic acid. BMC Veterinary Research, 13(345): 1-8.</w:t>
      </w:r>
    </w:p>
    <w:p w14:paraId="02695D5E" w14:textId="77777777" w:rsidR="008F569C" w:rsidRPr="008F569C" w:rsidRDefault="008F569C" w:rsidP="008F569C">
      <w:pPr>
        <w:pStyle w:val="ListParagraph"/>
        <w:numPr>
          <w:ilvl w:val="0"/>
          <w:numId w:val="2"/>
        </w:numPr>
        <w:jc w:val="both"/>
        <w:rPr>
          <w:rFonts w:ascii="Arial" w:hAnsi="Arial" w:cs="Arial"/>
          <w:szCs w:val="24"/>
        </w:rPr>
      </w:pPr>
      <w:proofErr w:type="spellStart"/>
      <w:r w:rsidRPr="008F569C">
        <w:rPr>
          <w:rFonts w:ascii="Arial" w:hAnsi="Arial" w:cs="Arial"/>
          <w:szCs w:val="24"/>
        </w:rPr>
        <w:t>Guaguere</w:t>
      </w:r>
      <w:proofErr w:type="spellEnd"/>
      <w:r w:rsidRPr="008F569C">
        <w:rPr>
          <w:rFonts w:ascii="Arial" w:hAnsi="Arial" w:cs="Arial"/>
          <w:szCs w:val="24"/>
        </w:rPr>
        <w:t>, E. (1996). Topical treatment of canine and feline pyoderma. Veterinary Dermatology, 7(3): 145-151.</w:t>
      </w:r>
    </w:p>
    <w:p w14:paraId="1F2F909A" w14:textId="77777777" w:rsidR="008F569C" w:rsidRPr="008F569C" w:rsidRDefault="008F569C" w:rsidP="008F569C">
      <w:pPr>
        <w:pStyle w:val="ListParagraph"/>
        <w:numPr>
          <w:ilvl w:val="0"/>
          <w:numId w:val="2"/>
        </w:numPr>
        <w:jc w:val="both"/>
        <w:rPr>
          <w:rFonts w:ascii="Arial" w:hAnsi="Arial" w:cs="Arial"/>
          <w:szCs w:val="24"/>
        </w:rPr>
      </w:pPr>
      <w:r w:rsidRPr="008F569C">
        <w:rPr>
          <w:rFonts w:ascii="Arial" w:hAnsi="Arial" w:cs="Arial"/>
          <w:szCs w:val="24"/>
        </w:rPr>
        <w:t xml:space="preserve">Loeffler, A., Baines, S.J., </w:t>
      </w:r>
      <w:proofErr w:type="spellStart"/>
      <w:r w:rsidRPr="008F569C">
        <w:rPr>
          <w:rFonts w:ascii="Arial" w:hAnsi="Arial" w:cs="Arial"/>
          <w:szCs w:val="24"/>
        </w:rPr>
        <w:t>Toleman</w:t>
      </w:r>
      <w:proofErr w:type="spellEnd"/>
      <w:r w:rsidRPr="008F569C">
        <w:rPr>
          <w:rFonts w:ascii="Arial" w:hAnsi="Arial" w:cs="Arial"/>
          <w:szCs w:val="24"/>
        </w:rPr>
        <w:t xml:space="preserve">, M.S., </w:t>
      </w:r>
      <w:proofErr w:type="spellStart"/>
      <w:r w:rsidRPr="008F569C">
        <w:rPr>
          <w:rFonts w:ascii="Arial" w:hAnsi="Arial" w:cs="Arial"/>
          <w:szCs w:val="24"/>
        </w:rPr>
        <w:t>Felmingham</w:t>
      </w:r>
      <w:proofErr w:type="spellEnd"/>
      <w:r w:rsidRPr="008F569C">
        <w:rPr>
          <w:rFonts w:ascii="Arial" w:hAnsi="Arial" w:cs="Arial"/>
          <w:szCs w:val="24"/>
        </w:rPr>
        <w:t>, D., Milsom, S. K., Edwards, E.A. and Lloyd, D.H. (2008). In vitro activity of fusidic acid and mupirocin against coagulase-positive staphylococci from pets. Journal of Antimicrobial Chemotherapy, 62(6): 1301-1304.</w:t>
      </w:r>
    </w:p>
    <w:p w14:paraId="7ECB394A" w14:textId="77777777" w:rsidR="008F569C" w:rsidRPr="008F569C" w:rsidRDefault="008F569C" w:rsidP="008F569C">
      <w:pPr>
        <w:pStyle w:val="ListParagraph"/>
        <w:numPr>
          <w:ilvl w:val="0"/>
          <w:numId w:val="2"/>
        </w:numPr>
        <w:jc w:val="both"/>
        <w:rPr>
          <w:rFonts w:ascii="Arial" w:hAnsi="Arial" w:cs="Arial"/>
          <w:szCs w:val="24"/>
        </w:rPr>
      </w:pPr>
      <w:r w:rsidRPr="008F569C">
        <w:rPr>
          <w:rFonts w:ascii="Arial" w:hAnsi="Arial" w:cs="Arial"/>
          <w:szCs w:val="24"/>
        </w:rPr>
        <w:t xml:space="preserve">Maxie, M.G. (2016). Jubb, Kennedy and Palmer’s Pathology of Domestic Animals, 6th </w:t>
      </w:r>
      <w:proofErr w:type="spellStart"/>
      <w:r w:rsidRPr="008F569C">
        <w:rPr>
          <w:rFonts w:ascii="Arial" w:hAnsi="Arial" w:cs="Arial"/>
          <w:szCs w:val="24"/>
        </w:rPr>
        <w:t>Edn</w:t>
      </w:r>
      <w:proofErr w:type="spellEnd"/>
      <w:r w:rsidRPr="008F569C">
        <w:rPr>
          <w:rFonts w:ascii="Arial" w:hAnsi="Arial" w:cs="Arial"/>
          <w:szCs w:val="24"/>
        </w:rPr>
        <w:t>., Elsevier, St. Louis, Missouri,509 p.</w:t>
      </w:r>
    </w:p>
    <w:p w14:paraId="5561B874" w14:textId="77777777" w:rsidR="008F569C" w:rsidRPr="008F569C" w:rsidRDefault="008F569C" w:rsidP="008F569C">
      <w:pPr>
        <w:pStyle w:val="ListParagraph"/>
        <w:numPr>
          <w:ilvl w:val="0"/>
          <w:numId w:val="2"/>
        </w:numPr>
        <w:jc w:val="both"/>
        <w:rPr>
          <w:rFonts w:ascii="Arial" w:hAnsi="Arial" w:cs="Arial"/>
          <w:szCs w:val="24"/>
        </w:rPr>
      </w:pPr>
      <w:r w:rsidRPr="008F569C">
        <w:rPr>
          <w:rFonts w:ascii="Arial" w:hAnsi="Arial" w:cs="Arial"/>
          <w:szCs w:val="24"/>
        </w:rPr>
        <w:t xml:space="preserve">Miller, W.H., Griffin, C.E. and Campbell, K.L. (2012). Muller and Kirk's Small Animal Dermatology, 7th </w:t>
      </w:r>
      <w:proofErr w:type="spellStart"/>
      <w:r w:rsidRPr="008F569C">
        <w:rPr>
          <w:rFonts w:ascii="Arial" w:hAnsi="Arial" w:cs="Arial"/>
          <w:szCs w:val="24"/>
        </w:rPr>
        <w:t>Edn</w:t>
      </w:r>
      <w:proofErr w:type="spellEnd"/>
      <w:r w:rsidRPr="008F569C">
        <w:rPr>
          <w:rFonts w:ascii="Arial" w:hAnsi="Arial" w:cs="Arial"/>
          <w:szCs w:val="24"/>
        </w:rPr>
        <w:t>., Elsevier., St. Louis, Missouri, 185 p.</w:t>
      </w:r>
    </w:p>
    <w:p w14:paraId="20EE1BA0" w14:textId="77777777" w:rsidR="008F569C" w:rsidRPr="008F569C" w:rsidRDefault="008F569C" w:rsidP="008F569C">
      <w:pPr>
        <w:pStyle w:val="ListParagraph"/>
        <w:numPr>
          <w:ilvl w:val="0"/>
          <w:numId w:val="2"/>
        </w:numPr>
        <w:jc w:val="both"/>
        <w:rPr>
          <w:rFonts w:ascii="Arial" w:hAnsi="Arial" w:cs="Arial"/>
          <w:szCs w:val="24"/>
        </w:rPr>
      </w:pPr>
      <w:r w:rsidRPr="008F569C">
        <w:rPr>
          <w:rFonts w:ascii="Arial" w:hAnsi="Arial" w:cs="Arial"/>
          <w:szCs w:val="24"/>
        </w:rPr>
        <w:t>Nicolson, A.T. and Gould, I.M. (2022). Fusidic Acid.</w:t>
      </w:r>
    </w:p>
    <w:p w14:paraId="69A688A9" w14:textId="77777777" w:rsidR="008F569C" w:rsidRPr="008F569C" w:rsidRDefault="008F569C" w:rsidP="008F569C">
      <w:pPr>
        <w:pStyle w:val="ListParagraph"/>
        <w:numPr>
          <w:ilvl w:val="0"/>
          <w:numId w:val="2"/>
        </w:numPr>
        <w:jc w:val="both"/>
        <w:rPr>
          <w:rFonts w:ascii="Arial" w:hAnsi="Arial" w:cs="Arial"/>
          <w:szCs w:val="24"/>
        </w:rPr>
      </w:pPr>
      <w:r w:rsidRPr="008F569C">
        <w:rPr>
          <w:rFonts w:ascii="Arial" w:hAnsi="Arial" w:cs="Arial"/>
          <w:szCs w:val="24"/>
        </w:rPr>
        <w:t>Thapa, G. and S. Sarkar (2018) Occurrence of canine skin disorder and its haemato-biochemical alterations. International Journal of Current Microbiology and Applied Sciences, 7(12): 15-16.</w:t>
      </w:r>
    </w:p>
    <w:p w14:paraId="34D5BCCC" w14:textId="77777777" w:rsidR="008F569C" w:rsidRPr="008F569C" w:rsidRDefault="008F569C" w:rsidP="008F569C">
      <w:pPr>
        <w:pStyle w:val="ListParagraph"/>
        <w:numPr>
          <w:ilvl w:val="0"/>
          <w:numId w:val="2"/>
        </w:numPr>
        <w:jc w:val="both"/>
        <w:rPr>
          <w:rFonts w:ascii="Arial" w:hAnsi="Arial" w:cs="Arial"/>
          <w:szCs w:val="24"/>
        </w:rPr>
      </w:pPr>
      <w:r w:rsidRPr="008F569C">
        <w:rPr>
          <w:rFonts w:ascii="Arial" w:hAnsi="Arial" w:cs="Arial"/>
          <w:szCs w:val="24"/>
        </w:rPr>
        <w:t>Werner, A.H. and Russell, A.D. (1999). Mupirocin, fusidic acid and bacitracin: activity, action and clinical uses of three topical antibiotics. Veterinary Dermatology, 10(3): 225-240.</w:t>
      </w:r>
    </w:p>
    <w:p w14:paraId="06B8AC30" w14:textId="77777777" w:rsidR="008F569C" w:rsidRPr="008F569C" w:rsidRDefault="008F569C" w:rsidP="008F569C">
      <w:pPr>
        <w:pStyle w:val="ListParagraph"/>
        <w:numPr>
          <w:ilvl w:val="0"/>
          <w:numId w:val="2"/>
        </w:numPr>
        <w:jc w:val="both"/>
        <w:rPr>
          <w:rFonts w:ascii="Arial" w:hAnsi="Arial" w:cs="Arial"/>
          <w:szCs w:val="24"/>
        </w:rPr>
      </w:pPr>
      <w:r w:rsidRPr="008F569C">
        <w:rPr>
          <w:rFonts w:ascii="Arial" w:hAnsi="Arial" w:cs="Arial"/>
          <w:szCs w:val="24"/>
        </w:rPr>
        <w:t xml:space="preserve">Zachary, J.F. (2021). Pathologic Basis of Veterinary Disease, 7th </w:t>
      </w:r>
      <w:proofErr w:type="spellStart"/>
      <w:r w:rsidRPr="008F569C">
        <w:rPr>
          <w:rFonts w:ascii="Arial" w:hAnsi="Arial" w:cs="Arial"/>
          <w:szCs w:val="24"/>
        </w:rPr>
        <w:t>Edn</w:t>
      </w:r>
      <w:proofErr w:type="spellEnd"/>
      <w:r w:rsidRPr="008F569C">
        <w:rPr>
          <w:rFonts w:ascii="Arial" w:hAnsi="Arial" w:cs="Arial"/>
          <w:szCs w:val="24"/>
        </w:rPr>
        <w:t>., Elsevier, St. Louis, Missouri, 1009 p.</w:t>
      </w:r>
    </w:p>
    <w:p w14:paraId="2B4C9152" w14:textId="77777777" w:rsidR="007B5B15" w:rsidRPr="007B5B15" w:rsidRDefault="007B5B15" w:rsidP="007B5B15">
      <w:pPr>
        <w:jc w:val="both"/>
        <w:rPr>
          <w:rFonts w:ascii="Arial" w:hAnsi="Arial" w:cs="Arial"/>
          <w:b/>
          <w:bCs/>
          <w:szCs w:val="24"/>
        </w:rPr>
      </w:pPr>
    </w:p>
    <w:sectPr w:rsidR="007B5B15" w:rsidRPr="007B5B1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C998C" w14:textId="77777777" w:rsidR="00483AF2" w:rsidRDefault="00483AF2" w:rsidP="00C343EE">
      <w:pPr>
        <w:spacing w:after="0" w:line="240" w:lineRule="auto"/>
      </w:pPr>
      <w:r>
        <w:separator/>
      </w:r>
    </w:p>
  </w:endnote>
  <w:endnote w:type="continuationSeparator" w:id="0">
    <w:p w14:paraId="4166DD7B" w14:textId="77777777" w:rsidR="00483AF2" w:rsidRDefault="00483AF2" w:rsidP="00C3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03976" w14:textId="77777777" w:rsidR="00C343EE" w:rsidRDefault="00C34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A4D20" w14:textId="77777777" w:rsidR="00C343EE" w:rsidRDefault="00C343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32EA7" w14:textId="77777777" w:rsidR="00C343EE" w:rsidRDefault="00C34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E9B2E" w14:textId="77777777" w:rsidR="00483AF2" w:rsidRDefault="00483AF2" w:rsidP="00C343EE">
      <w:pPr>
        <w:spacing w:after="0" w:line="240" w:lineRule="auto"/>
      </w:pPr>
      <w:r>
        <w:separator/>
      </w:r>
    </w:p>
  </w:footnote>
  <w:footnote w:type="continuationSeparator" w:id="0">
    <w:p w14:paraId="01621EE9" w14:textId="77777777" w:rsidR="00483AF2" w:rsidRDefault="00483AF2" w:rsidP="00C34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C3D8A" w14:textId="5477A5C1" w:rsidR="00C343EE" w:rsidRDefault="00C343EE">
    <w:pPr>
      <w:pStyle w:val="Header"/>
    </w:pPr>
    <w:r>
      <w:rPr>
        <w:noProof/>
      </w:rPr>
      <w:pict w14:anchorId="5ECC0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0E470" w14:textId="40D37241" w:rsidR="00C343EE" w:rsidRDefault="00C343EE">
    <w:pPr>
      <w:pStyle w:val="Header"/>
    </w:pPr>
    <w:r>
      <w:rPr>
        <w:noProof/>
      </w:rPr>
      <w:pict w14:anchorId="403B5F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AC865" w14:textId="4CCB019B" w:rsidR="00C343EE" w:rsidRDefault="00C343EE">
    <w:pPr>
      <w:pStyle w:val="Header"/>
    </w:pPr>
    <w:r>
      <w:rPr>
        <w:noProof/>
      </w:rPr>
      <w:pict w14:anchorId="50684F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74733"/>
    <w:multiLevelType w:val="hybridMultilevel"/>
    <w:tmpl w:val="E8C8DAEE"/>
    <w:lvl w:ilvl="0" w:tplc="5D7027CA">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0E722D7"/>
    <w:multiLevelType w:val="hybridMultilevel"/>
    <w:tmpl w:val="877AE5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088"/>
    <w:rsid w:val="000F1752"/>
    <w:rsid w:val="0012571C"/>
    <w:rsid w:val="001911AE"/>
    <w:rsid w:val="001A5560"/>
    <w:rsid w:val="001D7C12"/>
    <w:rsid w:val="001E3635"/>
    <w:rsid w:val="002F3994"/>
    <w:rsid w:val="003B7A33"/>
    <w:rsid w:val="00476493"/>
    <w:rsid w:val="00483AF2"/>
    <w:rsid w:val="004C1860"/>
    <w:rsid w:val="0055356E"/>
    <w:rsid w:val="005A08AC"/>
    <w:rsid w:val="005B77F0"/>
    <w:rsid w:val="006204D0"/>
    <w:rsid w:val="006541F6"/>
    <w:rsid w:val="006B36F9"/>
    <w:rsid w:val="006C38FF"/>
    <w:rsid w:val="007B36FA"/>
    <w:rsid w:val="007B5B15"/>
    <w:rsid w:val="007F4446"/>
    <w:rsid w:val="00847DDB"/>
    <w:rsid w:val="008F569C"/>
    <w:rsid w:val="0096561F"/>
    <w:rsid w:val="00B02A81"/>
    <w:rsid w:val="00B518FA"/>
    <w:rsid w:val="00C343EE"/>
    <w:rsid w:val="00CA3C84"/>
    <w:rsid w:val="00CC3A77"/>
    <w:rsid w:val="00D45AF9"/>
    <w:rsid w:val="00E235A0"/>
    <w:rsid w:val="00E26931"/>
    <w:rsid w:val="00E42CF5"/>
    <w:rsid w:val="00E5314C"/>
    <w:rsid w:val="00E75E3D"/>
    <w:rsid w:val="00EC7088"/>
    <w:rsid w:val="00FD73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7162DA"/>
  <w15:chartTrackingRefBased/>
  <w15:docId w15:val="{CBDD09C4-9A27-4269-B680-7F63CF25F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4"/>
        <w:szCs w:val="3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635"/>
    <w:pPr>
      <w:ind w:left="720"/>
      <w:contextualSpacing/>
    </w:pPr>
  </w:style>
  <w:style w:type="character" w:styleId="Hyperlink">
    <w:name w:val="Hyperlink"/>
    <w:basedOn w:val="DefaultParagraphFont"/>
    <w:uiPriority w:val="99"/>
    <w:unhideWhenUsed/>
    <w:rsid w:val="0096561F"/>
    <w:rPr>
      <w:color w:val="0563C1" w:themeColor="hyperlink"/>
      <w:u w:val="single"/>
    </w:rPr>
  </w:style>
  <w:style w:type="character" w:styleId="UnresolvedMention">
    <w:name w:val="Unresolved Mention"/>
    <w:basedOn w:val="DefaultParagraphFont"/>
    <w:uiPriority w:val="99"/>
    <w:semiHidden/>
    <w:unhideWhenUsed/>
    <w:rsid w:val="0096561F"/>
    <w:rPr>
      <w:color w:val="605E5C"/>
      <w:shd w:val="clear" w:color="auto" w:fill="E1DFDD"/>
    </w:rPr>
  </w:style>
  <w:style w:type="table" w:styleId="TableGrid">
    <w:name w:val="Table Grid"/>
    <w:basedOn w:val="TableNormal"/>
    <w:uiPriority w:val="39"/>
    <w:rsid w:val="00620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4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3EE"/>
  </w:style>
  <w:style w:type="paragraph" w:styleId="Footer">
    <w:name w:val="footer"/>
    <w:basedOn w:val="Normal"/>
    <w:link w:val="FooterChar"/>
    <w:uiPriority w:val="99"/>
    <w:unhideWhenUsed/>
    <w:rsid w:val="00C34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585678">
      <w:bodyDiv w:val="1"/>
      <w:marLeft w:val="0"/>
      <w:marRight w:val="0"/>
      <w:marTop w:val="0"/>
      <w:marBottom w:val="0"/>
      <w:divBdr>
        <w:top w:val="none" w:sz="0" w:space="0" w:color="auto"/>
        <w:left w:val="none" w:sz="0" w:space="0" w:color="auto"/>
        <w:bottom w:val="none" w:sz="0" w:space="0" w:color="auto"/>
        <w:right w:val="none" w:sz="0" w:space="0" w:color="auto"/>
      </w:divBdr>
      <w:divsChild>
        <w:div w:id="972173520">
          <w:marLeft w:val="0"/>
          <w:marRight w:val="0"/>
          <w:marTop w:val="0"/>
          <w:marBottom w:val="0"/>
          <w:divBdr>
            <w:top w:val="none" w:sz="0" w:space="0" w:color="auto"/>
            <w:left w:val="none" w:sz="0" w:space="0" w:color="auto"/>
            <w:bottom w:val="none" w:sz="0" w:space="0" w:color="auto"/>
            <w:right w:val="none" w:sz="0" w:space="0" w:color="auto"/>
          </w:divBdr>
          <w:divsChild>
            <w:div w:id="164321745">
              <w:marLeft w:val="0"/>
              <w:marRight w:val="0"/>
              <w:marTop w:val="0"/>
              <w:marBottom w:val="0"/>
              <w:divBdr>
                <w:top w:val="none" w:sz="0" w:space="0" w:color="auto"/>
                <w:left w:val="none" w:sz="0" w:space="0" w:color="auto"/>
                <w:bottom w:val="none" w:sz="0" w:space="0" w:color="auto"/>
                <w:right w:val="none" w:sz="0" w:space="0" w:color="auto"/>
              </w:divBdr>
              <w:divsChild>
                <w:div w:id="569269959">
                  <w:marLeft w:val="0"/>
                  <w:marRight w:val="0"/>
                  <w:marTop w:val="0"/>
                  <w:marBottom w:val="0"/>
                  <w:divBdr>
                    <w:top w:val="none" w:sz="0" w:space="0" w:color="auto"/>
                    <w:left w:val="none" w:sz="0" w:space="0" w:color="auto"/>
                    <w:bottom w:val="none" w:sz="0" w:space="0" w:color="auto"/>
                    <w:right w:val="none" w:sz="0" w:space="0" w:color="auto"/>
                  </w:divBdr>
                  <w:divsChild>
                    <w:div w:id="1368532292">
                      <w:marLeft w:val="0"/>
                      <w:marRight w:val="0"/>
                      <w:marTop w:val="0"/>
                      <w:marBottom w:val="0"/>
                      <w:divBdr>
                        <w:top w:val="none" w:sz="0" w:space="0" w:color="auto"/>
                        <w:left w:val="none" w:sz="0" w:space="0" w:color="auto"/>
                        <w:bottom w:val="none" w:sz="0" w:space="0" w:color="auto"/>
                        <w:right w:val="none" w:sz="0" w:space="0" w:color="auto"/>
                      </w:divBdr>
                      <w:divsChild>
                        <w:div w:id="234096969">
                          <w:marLeft w:val="0"/>
                          <w:marRight w:val="0"/>
                          <w:marTop w:val="0"/>
                          <w:marBottom w:val="0"/>
                          <w:divBdr>
                            <w:top w:val="none" w:sz="0" w:space="0" w:color="auto"/>
                            <w:left w:val="none" w:sz="0" w:space="0" w:color="auto"/>
                            <w:bottom w:val="none" w:sz="0" w:space="0" w:color="auto"/>
                            <w:right w:val="none" w:sz="0" w:space="0" w:color="auto"/>
                          </w:divBdr>
                          <w:divsChild>
                            <w:div w:id="113712934">
                              <w:marLeft w:val="0"/>
                              <w:marRight w:val="0"/>
                              <w:marTop w:val="0"/>
                              <w:marBottom w:val="0"/>
                              <w:divBdr>
                                <w:top w:val="none" w:sz="0" w:space="0" w:color="auto"/>
                                <w:left w:val="none" w:sz="0" w:space="0" w:color="auto"/>
                                <w:bottom w:val="none" w:sz="0" w:space="0" w:color="auto"/>
                                <w:right w:val="none" w:sz="0" w:space="0" w:color="auto"/>
                              </w:divBdr>
                              <w:divsChild>
                                <w:div w:id="1145005503">
                                  <w:marLeft w:val="0"/>
                                  <w:marRight w:val="0"/>
                                  <w:marTop w:val="0"/>
                                  <w:marBottom w:val="0"/>
                                  <w:divBdr>
                                    <w:top w:val="none" w:sz="0" w:space="0" w:color="auto"/>
                                    <w:left w:val="none" w:sz="0" w:space="0" w:color="auto"/>
                                    <w:bottom w:val="none" w:sz="0" w:space="0" w:color="auto"/>
                                    <w:right w:val="none" w:sz="0" w:space="0" w:color="auto"/>
                                  </w:divBdr>
                                  <w:divsChild>
                                    <w:div w:id="4489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679520">
      <w:bodyDiv w:val="1"/>
      <w:marLeft w:val="0"/>
      <w:marRight w:val="0"/>
      <w:marTop w:val="0"/>
      <w:marBottom w:val="0"/>
      <w:divBdr>
        <w:top w:val="none" w:sz="0" w:space="0" w:color="auto"/>
        <w:left w:val="none" w:sz="0" w:space="0" w:color="auto"/>
        <w:bottom w:val="none" w:sz="0" w:space="0" w:color="auto"/>
        <w:right w:val="none" w:sz="0" w:space="0" w:color="auto"/>
      </w:divBdr>
      <w:divsChild>
        <w:div w:id="2085950264">
          <w:marLeft w:val="0"/>
          <w:marRight w:val="0"/>
          <w:marTop w:val="0"/>
          <w:marBottom w:val="0"/>
          <w:divBdr>
            <w:top w:val="none" w:sz="0" w:space="0" w:color="auto"/>
            <w:left w:val="none" w:sz="0" w:space="0" w:color="auto"/>
            <w:bottom w:val="none" w:sz="0" w:space="0" w:color="auto"/>
            <w:right w:val="none" w:sz="0" w:space="0" w:color="auto"/>
          </w:divBdr>
          <w:divsChild>
            <w:div w:id="175005332">
              <w:marLeft w:val="0"/>
              <w:marRight w:val="0"/>
              <w:marTop w:val="0"/>
              <w:marBottom w:val="0"/>
              <w:divBdr>
                <w:top w:val="none" w:sz="0" w:space="0" w:color="auto"/>
                <w:left w:val="none" w:sz="0" w:space="0" w:color="auto"/>
                <w:bottom w:val="none" w:sz="0" w:space="0" w:color="auto"/>
                <w:right w:val="none" w:sz="0" w:space="0" w:color="auto"/>
              </w:divBdr>
              <w:divsChild>
                <w:div w:id="21515857">
                  <w:marLeft w:val="0"/>
                  <w:marRight w:val="0"/>
                  <w:marTop w:val="0"/>
                  <w:marBottom w:val="0"/>
                  <w:divBdr>
                    <w:top w:val="none" w:sz="0" w:space="0" w:color="auto"/>
                    <w:left w:val="none" w:sz="0" w:space="0" w:color="auto"/>
                    <w:bottom w:val="none" w:sz="0" w:space="0" w:color="auto"/>
                    <w:right w:val="none" w:sz="0" w:space="0" w:color="auto"/>
                  </w:divBdr>
                  <w:divsChild>
                    <w:div w:id="304045056">
                      <w:marLeft w:val="0"/>
                      <w:marRight w:val="0"/>
                      <w:marTop w:val="0"/>
                      <w:marBottom w:val="0"/>
                      <w:divBdr>
                        <w:top w:val="none" w:sz="0" w:space="0" w:color="auto"/>
                        <w:left w:val="none" w:sz="0" w:space="0" w:color="auto"/>
                        <w:bottom w:val="none" w:sz="0" w:space="0" w:color="auto"/>
                        <w:right w:val="none" w:sz="0" w:space="0" w:color="auto"/>
                      </w:divBdr>
                      <w:divsChild>
                        <w:div w:id="792596708">
                          <w:marLeft w:val="0"/>
                          <w:marRight w:val="0"/>
                          <w:marTop w:val="0"/>
                          <w:marBottom w:val="0"/>
                          <w:divBdr>
                            <w:top w:val="none" w:sz="0" w:space="0" w:color="auto"/>
                            <w:left w:val="none" w:sz="0" w:space="0" w:color="auto"/>
                            <w:bottom w:val="none" w:sz="0" w:space="0" w:color="auto"/>
                            <w:right w:val="none" w:sz="0" w:space="0" w:color="auto"/>
                          </w:divBdr>
                          <w:divsChild>
                            <w:div w:id="1203514002">
                              <w:marLeft w:val="0"/>
                              <w:marRight w:val="0"/>
                              <w:marTop w:val="0"/>
                              <w:marBottom w:val="0"/>
                              <w:divBdr>
                                <w:top w:val="none" w:sz="0" w:space="0" w:color="auto"/>
                                <w:left w:val="none" w:sz="0" w:space="0" w:color="auto"/>
                                <w:bottom w:val="none" w:sz="0" w:space="0" w:color="auto"/>
                                <w:right w:val="none" w:sz="0" w:space="0" w:color="auto"/>
                              </w:divBdr>
                              <w:divsChild>
                                <w:div w:id="65734488">
                                  <w:marLeft w:val="0"/>
                                  <w:marRight w:val="0"/>
                                  <w:marTop w:val="0"/>
                                  <w:marBottom w:val="0"/>
                                  <w:divBdr>
                                    <w:top w:val="none" w:sz="0" w:space="0" w:color="auto"/>
                                    <w:left w:val="none" w:sz="0" w:space="0" w:color="auto"/>
                                    <w:bottom w:val="none" w:sz="0" w:space="0" w:color="auto"/>
                                    <w:right w:val="none" w:sz="0" w:space="0" w:color="auto"/>
                                  </w:divBdr>
                                  <w:divsChild>
                                    <w:div w:id="55116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43554</TotalTime>
  <Pages>6</Pages>
  <Words>1944</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Ankita Patil</dc:creator>
  <cp:keywords/>
  <dc:description/>
  <cp:lastModifiedBy>SDI 1084</cp:lastModifiedBy>
  <cp:revision>14</cp:revision>
  <dcterms:created xsi:type="dcterms:W3CDTF">2025-01-01T12:24:00Z</dcterms:created>
  <dcterms:modified xsi:type="dcterms:W3CDTF">2025-03-12T13:19:00Z</dcterms:modified>
</cp:coreProperties>
</file>