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5B092" w14:textId="77777777" w:rsidR="00275F11" w:rsidRPr="00D54C2D" w:rsidRDefault="00275F11" w:rsidP="00A16A7A">
      <w:pPr>
        <w:spacing w:line="240" w:lineRule="auto"/>
        <w:rPr>
          <w:rFonts w:ascii="Arial" w:hAnsi="Arial" w:cs="Arial"/>
          <w:b/>
          <w:bCs/>
          <w:sz w:val="24"/>
          <w:szCs w:val="24"/>
        </w:rPr>
      </w:pPr>
    </w:p>
    <w:p w14:paraId="15F10D76" w14:textId="77777777" w:rsidR="006A2ECD" w:rsidRPr="006A2ECD" w:rsidRDefault="006A2ECD" w:rsidP="006A2ECD">
      <w:pPr>
        <w:spacing w:line="240" w:lineRule="auto"/>
        <w:ind w:left="450" w:right="540"/>
        <w:jc w:val="both"/>
        <w:rPr>
          <w:rFonts w:ascii="Arial" w:hAnsi="Arial" w:cs="Arial"/>
          <w:b/>
          <w:bCs/>
          <w:i/>
          <w:iCs/>
          <w:sz w:val="36"/>
          <w:szCs w:val="36"/>
          <w:u w:val="single"/>
        </w:rPr>
      </w:pPr>
      <w:r w:rsidRPr="006A2ECD">
        <w:rPr>
          <w:rFonts w:ascii="Arial" w:hAnsi="Arial" w:cs="Arial"/>
          <w:b/>
          <w:bCs/>
          <w:i/>
          <w:iCs/>
          <w:sz w:val="36"/>
          <w:szCs w:val="36"/>
          <w:u w:val="single"/>
        </w:rPr>
        <w:t>Original Research Article</w:t>
      </w:r>
    </w:p>
    <w:p w14:paraId="72E411EF" w14:textId="26760B95" w:rsidR="005E639A" w:rsidRPr="00D54C2D" w:rsidRDefault="005E639A" w:rsidP="00A16A7A">
      <w:pPr>
        <w:spacing w:line="240" w:lineRule="auto"/>
        <w:ind w:left="450" w:right="540"/>
        <w:jc w:val="both"/>
        <w:rPr>
          <w:rFonts w:ascii="Arial" w:hAnsi="Arial" w:cs="Arial"/>
          <w:b/>
          <w:bCs/>
          <w:sz w:val="36"/>
          <w:szCs w:val="36"/>
        </w:rPr>
      </w:pPr>
      <w:r w:rsidRPr="00D54C2D">
        <w:rPr>
          <w:rFonts w:ascii="Arial" w:hAnsi="Arial" w:cs="Arial"/>
          <w:b/>
          <w:bCs/>
          <w:sz w:val="36"/>
          <w:szCs w:val="36"/>
        </w:rPr>
        <w:t>TO ASSESS THE IMPACT OF PHARMACIST’S</w:t>
      </w:r>
      <w:r w:rsidR="002D5B0A" w:rsidRPr="00D54C2D">
        <w:rPr>
          <w:rFonts w:ascii="Arial" w:hAnsi="Arial" w:cs="Arial"/>
          <w:b/>
          <w:bCs/>
          <w:sz w:val="36"/>
          <w:szCs w:val="36"/>
        </w:rPr>
        <w:t xml:space="preserve"> </w:t>
      </w:r>
      <w:r w:rsidRPr="00D54C2D">
        <w:rPr>
          <w:rFonts w:ascii="Arial" w:hAnsi="Arial" w:cs="Arial"/>
          <w:b/>
          <w:bCs/>
          <w:sz w:val="36"/>
          <w:szCs w:val="36"/>
        </w:rPr>
        <w:t>INTERVENTION ON KNOWLEDGE OF ADOLESCENT GIRLS REGARDING POLYCYSTIC OVARIAN SYNDROME AT DIFFERENT SCHOOLS OF KALABURAGI CITY</w:t>
      </w:r>
    </w:p>
    <w:p w14:paraId="5070DEF7" w14:textId="09DB4835" w:rsidR="006A2ECD" w:rsidRDefault="006A2ECD" w:rsidP="00A16A7A">
      <w:pPr>
        <w:spacing w:line="240" w:lineRule="auto"/>
        <w:ind w:left="450" w:right="540"/>
        <w:rPr>
          <w:rStyle w:val="Hyperlink"/>
          <w:rFonts w:ascii="Arial" w:hAnsi="Arial" w:cs="Arial"/>
          <w:sz w:val="20"/>
          <w:szCs w:val="20"/>
        </w:rPr>
      </w:pPr>
    </w:p>
    <w:p w14:paraId="3C6DC011" w14:textId="77777777" w:rsidR="004A20B1" w:rsidRPr="00D54C2D" w:rsidRDefault="004A20B1" w:rsidP="00A16A7A">
      <w:pPr>
        <w:spacing w:line="240" w:lineRule="auto"/>
        <w:ind w:left="450" w:right="540"/>
        <w:rPr>
          <w:rStyle w:val="Hyperlink"/>
          <w:rFonts w:ascii="Arial" w:hAnsi="Arial" w:cs="Arial"/>
          <w:sz w:val="20"/>
          <w:szCs w:val="20"/>
        </w:rPr>
      </w:pPr>
    </w:p>
    <w:p w14:paraId="72B056C3" w14:textId="77777777" w:rsidR="0034243B" w:rsidRPr="00D54C2D" w:rsidRDefault="0034243B" w:rsidP="00A16A7A">
      <w:pPr>
        <w:tabs>
          <w:tab w:val="left" w:pos="180"/>
        </w:tabs>
        <w:spacing w:line="240" w:lineRule="auto"/>
        <w:ind w:right="630"/>
        <w:jc w:val="both"/>
        <w:rPr>
          <w:rFonts w:ascii="Arial" w:hAnsi="Arial" w:cs="Arial"/>
          <w:b/>
          <w:bCs/>
          <w:sz w:val="24"/>
          <w:szCs w:val="24"/>
        </w:rPr>
      </w:pPr>
    </w:p>
    <w:p w14:paraId="3DEBFC9B" w14:textId="2BF3B511" w:rsidR="00AD3F42" w:rsidRPr="00D54C2D" w:rsidRDefault="00AD3F42" w:rsidP="00514466">
      <w:pPr>
        <w:tabs>
          <w:tab w:val="left" w:pos="180"/>
        </w:tabs>
        <w:spacing w:line="240" w:lineRule="auto"/>
        <w:ind w:right="630"/>
        <w:jc w:val="both"/>
        <w:rPr>
          <w:rFonts w:ascii="Arial" w:hAnsi="Arial" w:cs="Arial"/>
          <w:b/>
          <w:bCs/>
        </w:rPr>
      </w:pPr>
      <w:r w:rsidRPr="00D54C2D">
        <w:rPr>
          <w:rFonts w:ascii="Arial" w:hAnsi="Arial" w:cs="Arial"/>
          <w:b/>
          <w:bCs/>
        </w:rPr>
        <w:t xml:space="preserve">Abstract: </w:t>
      </w:r>
    </w:p>
    <w:p w14:paraId="14D4FEE1" w14:textId="47CBF5CB" w:rsidR="00514466" w:rsidRPr="00D54C2D" w:rsidRDefault="00514466" w:rsidP="00514466">
      <w:pPr>
        <w:spacing w:line="240" w:lineRule="auto"/>
        <w:jc w:val="both"/>
        <w:rPr>
          <w:rFonts w:ascii="Arial" w:hAnsi="Arial" w:cs="Arial"/>
          <w:sz w:val="20"/>
          <w:szCs w:val="20"/>
        </w:rPr>
      </w:pPr>
      <w:r w:rsidRPr="00D54C2D">
        <w:rPr>
          <w:rFonts w:ascii="Arial" w:hAnsi="Arial" w:cs="Arial"/>
          <w:b/>
          <w:bCs/>
          <w:sz w:val="20"/>
          <w:szCs w:val="20"/>
        </w:rPr>
        <w:t>Aims:</w:t>
      </w:r>
      <w:r w:rsidRPr="00D54C2D">
        <w:rPr>
          <w:rFonts w:ascii="Arial" w:hAnsi="Arial" w:cs="Arial"/>
          <w:sz w:val="20"/>
          <w:szCs w:val="20"/>
        </w:rPr>
        <w:t xml:space="preserve"> Polycystic ovarian syndrome (PCOS) is a common endocrinopathy affecting 116 million women globally (3.4%). In India, one in 10 women is affected. Often mistaken for a pubertal issue, PCOS leads to gynecological problems and is a leading cause of infertility. Health education, particularly for adolescent girls, is crucial for awareness, early detection, and prevention. </w:t>
      </w:r>
      <w:r w:rsidRPr="00D54C2D">
        <w:rPr>
          <w:rFonts w:ascii="Arial" w:hAnsi="Arial" w:cs="Arial"/>
          <w:b/>
          <w:bCs/>
          <w:sz w:val="20"/>
          <w:szCs w:val="20"/>
        </w:rPr>
        <w:t>Objective:</w:t>
      </w:r>
      <w:r w:rsidRPr="00D54C2D">
        <w:rPr>
          <w:rFonts w:ascii="Arial" w:hAnsi="Arial" w:cs="Arial"/>
          <w:sz w:val="20"/>
          <w:szCs w:val="20"/>
        </w:rPr>
        <w:t xml:space="preserve"> This study aimed to assess knowledge and evaluate the impact of an educational intervention on PCOS awareness among adolescent girls. </w:t>
      </w:r>
      <w:r w:rsidRPr="00D54C2D">
        <w:rPr>
          <w:rFonts w:ascii="Arial" w:hAnsi="Arial" w:cs="Arial"/>
          <w:b/>
          <w:bCs/>
          <w:sz w:val="20"/>
          <w:szCs w:val="20"/>
        </w:rPr>
        <w:t>Study Design:</w:t>
      </w:r>
      <w:r w:rsidRPr="00D54C2D">
        <w:rPr>
          <w:rFonts w:ascii="Arial" w:hAnsi="Arial" w:cs="Arial"/>
          <w:sz w:val="20"/>
          <w:szCs w:val="20"/>
        </w:rPr>
        <w:t xml:space="preserve"> A pre-post prospective educational interventional study was conducted among 862 adolescent girls (12–16 years) from high schools in Kalaburagi city. A pre-test was conducted, followed by a two-week educational intervention on PCOS. After 14 days, a post-test using the same questionnaire was administered. Data were collected using a structured form and analyzed with IBM SPSS 20.0. A P-value &lt; 0.05 was considered significant. </w:t>
      </w:r>
      <w:r w:rsidRPr="00D54C2D">
        <w:rPr>
          <w:rFonts w:ascii="Arial" w:hAnsi="Arial" w:cs="Arial"/>
          <w:b/>
          <w:bCs/>
          <w:sz w:val="20"/>
          <w:szCs w:val="20"/>
        </w:rPr>
        <w:t>Results:</w:t>
      </w:r>
      <w:r w:rsidRPr="00D54C2D">
        <w:rPr>
          <w:rFonts w:ascii="Arial" w:hAnsi="Arial" w:cs="Arial"/>
          <w:sz w:val="20"/>
          <w:szCs w:val="20"/>
        </w:rPr>
        <w:t xml:space="preserve"> Among 862 participants, 314 (36.4%) were 15 years old, and 744 (86.3%) were from urban areas. 755 (87.6%) had no prior knowledge of PCOS. Among the 107 informed participants, 58 (54.2%) learned from family, 27 (25.2%) from doctors, 23 (21.5%) from the internet, and 14 (13.1%) from friends. A statistically significant improvement (P &lt; 0.001) in knowledge was observed, with a mean increase of 51.06% post-intervention. </w:t>
      </w:r>
    </w:p>
    <w:p w14:paraId="385AA908" w14:textId="0774545C" w:rsidR="00374DB2" w:rsidRPr="00D54C2D" w:rsidRDefault="00514466" w:rsidP="00514466">
      <w:pPr>
        <w:spacing w:line="240" w:lineRule="auto"/>
        <w:jc w:val="both"/>
        <w:rPr>
          <w:rFonts w:ascii="Arial" w:hAnsi="Arial" w:cs="Arial"/>
          <w:sz w:val="20"/>
          <w:szCs w:val="20"/>
        </w:rPr>
      </w:pPr>
      <w:r w:rsidRPr="00D54C2D">
        <w:rPr>
          <w:rFonts w:ascii="Arial" w:hAnsi="Arial" w:cs="Arial"/>
          <w:b/>
          <w:bCs/>
          <w:sz w:val="20"/>
          <w:szCs w:val="20"/>
        </w:rPr>
        <w:t>Conclusion:</w:t>
      </w:r>
      <w:r w:rsidRPr="00D54C2D">
        <w:rPr>
          <w:rFonts w:ascii="Arial" w:hAnsi="Arial" w:cs="Arial"/>
          <w:sz w:val="20"/>
          <w:szCs w:val="20"/>
        </w:rPr>
        <w:t xml:space="preserve"> Our study highlights a significant lack of PCOS awareness among adolescent girls. However, the educational intervention effectively improved knowledge, underscoring the importance of structured health education programs, empowering young individuals with essential health information is vital for their well-being.</w:t>
      </w:r>
      <w:r w:rsidRPr="00D54C2D">
        <w:rPr>
          <w:rFonts w:ascii="Arial" w:hAnsi="Arial" w:cs="Arial"/>
          <w:b/>
          <w:bCs/>
          <w:sz w:val="20"/>
          <w:szCs w:val="20"/>
        </w:rPr>
        <w:t xml:space="preserve"> </w:t>
      </w:r>
      <w:r w:rsidR="00374DB2" w:rsidRPr="00D54C2D">
        <w:rPr>
          <w:rFonts w:ascii="Arial" w:hAnsi="Arial" w:cs="Arial"/>
          <w:sz w:val="20"/>
          <w:szCs w:val="20"/>
        </w:rPr>
        <w:t>Keywords: PCOS, PCOD, endocrinopathy, gynecological, adolescents, infertility</w:t>
      </w:r>
      <w:r w:rsidR="00040443" w:rsidRPr="00D54C2D">
        <w:rPr>
          <w:rFonts w:ascii="Arial" w:hAnsi="Arial" w:cs="Arial"/>
          <w:sz w:val="20"/>
          <w:szCs w:val="20"/>
        </w:rPr>
        <w:t xml:space="preserve"> Obstetrics and gynecology</w:t>
      </w:r>
      <w:r w:rsidR="00374DB2" w:rsidRPr="00D54C2D">
        <w:rPr>
          <w:rFonts w:ascii="Arial" w:hAnsi="Arial" w:cs="Arial"/>
          <w:sz w:val="20"/>
          <w:szCs w:val="20"/>
        </w:rPr>
        <w:t>.</w:t>
      </w:r>
    </w:p>
    <w:p w14:paraId="31FB3D8F" w14:textId="77777777" w:rsidR="005759B8" w:rsidRDefault="00514466" w:rsidP="005759B8">
      <w:pPr>
        <w:spacing w:line="480" w:lineRule="auto"/>
        <w:jc w:val="center"/>
        <w:rPr>
          <w:rFonts w:ascii="Arial" w:hAnsi="Arial" w:cs="Arial"/>
          <w:sz w:val="20"/>
          <w:szCs w:val="20"/>
        </w:rPr>
      </w:pPr>
      <w:r w:rsidRPr="00D54C2D">
        <w:rPr>
          <w:rFonts w:ascii="Arial" w:hAnsi="Arial" w:cs="Arial"/>
          <w:sz w:val="20"/>
          <w:szCs w:val="20"/>
        </w:rPr>
        <w:t xml:space="preserve">Keywords: PCOS, PCOD, endocrinopathy, </w:t>
      </w:r>
      <w:r w:rsidR="005411B3">
        <w:rPr>
          <w:rFonts w:ascii="Arial" w:hAnsi="Arial" w:cs="Arial"/>
          <w:sz w:val="20"/>
          <w:szCs w:val="20"/>
        </w:rPr>
        <w:t>menstrual cycle</w:t>
      </w:r>
      <w:r w:rsidRPr="00D54C2D">
        <w:rPr>
          <w:rFonts w:ascii="Arial" w:hAnsi="Arial" w:cs="Arial"/>
          <w:sz w:val="20"/>
          <w:szCs w:val="20"/>
        </w:rPr>
        <w:t>, adolescents, infertility, Obstetrics and gynecology.</w:t>
      </w:r>
    </w:p>
    <w:p w14:paraId="6786341D" w14:textId="1C20D0E9" w:rsidR="00CF42F1" w:rsidRPr="00D54C2D" w:rsidRDefault="00CF42F1" w:rsidP="005759B8">
      <w:pPr>
        <w:spacing w:line="480" w:lineRule="auto"/>
        <w:jc w:val="center"/>
        <w:rPr>
          <w:rFonts w:ascii="Arial" w:hAnsi="Arial" w:cs="Arial"/>
          <w:b/>
          <w:bCs/>
          <w:sz w:val="24"/>
          <w:szCs w:val="24"/>
        </w:rPr>
      </w:pPr>
      <w:r w:rsidRPr="00D54C2D">
        <w:rPr>
          <w:rFonts w:ascii="Arial" w:hAnsi="Arial" w:cs="Arial"/>
          <w:b/>
          <w:bCs/>
          <w:sz w:val="24"/>
          <w:szCs w:val="24"/>
        </w:rPr>
        <w:t>Introduction:</w:t>
      </w:r>
    </w:p>
    <w:p w14:paraId="6C5C8263" w14:textId="7500E4E0" w:rsidR="00CF42F1" w:rsidRPr="00D54C2D" w:rsidRDefault="000B6B2E" w:rsidP="00A16A7A">
      <w:pPr>
        <w:spacing w:line="240" w:lineRule="auto"/>
        <w:jc w:val="both"/>
        <w:rPr>
          <w:rFonts w:ascii="Arial" w:hAnsi="Arial" w:cs="Arial"/>
          <w:b/>
          <w:bCs/>
          <w:sz w:val="20"/>
          <w:szCs w:val="20"/>
        </w:rPr>
      </w:pPr>
      <w:r w:rsidRPr="00D54C2D">
        <w:rPr>
          <w:rFonts w:ascii="Arial" w:hAnsi="Arial" w:cs="Arial"/>
          <w:sz w:val="20"/>
          <w:szCs w:val="20"/>
        </w:rPr>
        <w:t xml:space="preserve">Polycystic ovarian syndrome (PCOS) was first described by Hippocrates in 377–460 BC as “women whose menstruation is less than 3 days or meager are robust, with a healthy complexion and a masculine appearance; yet they are not concerned about bearing children nor do they become pregnant”.[1] PCOS is a heterogeneous, multisystem endocrinopathy in women of reproductive age with the ovarian expression of various metabolic disturbances and a wide spectrum of clinical features such as obesity, menstrual abnormalities, and hyperandrogenism.[2] It was originally described in 1935 by Stein and Leventhal as a syndrome.[3] The etiology of PCOS remains incompletely understood.[4] the current concept of the pathogenesis of PCOS is the unbalanced release of FSH and LH by the pituitary and insulin resistance.[5]  Girls with low birth weight as well as a family history of diabetes mellitus, premature birth, cardiovascular disease, hypertension, hormonal imbalance, genetic problem, endocrine disease, weakened immune system, environmental factors, and toxin effect are at risk for developing PCOS.[6] For the diagnosis of PCOS, the Rotterdam criteria are widely used worldwide, and its use is also recommended by the Endocrine Society in 2013, the American Academy of Family Physicians (AAFP) Guidelines in 2016, and the International Evidence-based Guideline for the assessment and management of polycystic ovary syndrome 2018.[7] PCOS is a never-ending hyperandrogenic condition that has so many vital short-period and long-period complications.[8] The short-term complications of PCOS include menstrual irregularities, hyperandrogenism, insulin resistance, hyperinsulinemia, obstructive sleep apnea, dyslipidemia, </w:t>
      </w:r>
      <w:proofErr w:type="spellStart"/>
      <w:r w:rsidRPr="00D54C2D">
        <w:rPr>
          <w:rFonts w:ascii="Arial" w:hAnsi="Arial" w:cs="Arial"/>
          <w:sz w:val="20"/>
          <w:szCs w:val="20"/>
        </w:rPr>
        <w:t>oligoovulation</w:t>
      </w:r>
      <w:proofErr w:type="spellEnd"/>
      <w:r w:rsidRPr="00D54C2D">
        <w:rPr>
          <w:rFonts w:ascii="Arial" w:hAnsi="Arial" w:cs="Arial"/>
          <w:sz w:val="20"/>
          <w:szCs w:val="20"/>
        </w:rPr>
        <w:t xml:space="preserve">, and anovulation.[9] Long-term complications include heart disease, diabetes, and metabolic syndrome. Moreover, women with PCOS have a threefold </w:t>
      </w:r>
      <w:r w:rsidRPr="00D54C2D">
        <w:rPr>
          <w:rFonts w:ascii="Arial" w:hAnsi="Arial" w:cs="Arial"/>
          <w:sz w:val="20"/>
          <w:szCs w:val="20"/>
        </w:rPr>
        <w:lastRenderedPageBreak/>
        <w:t xml:space="preserve">increase in the risk of developing endometrial cancer compared to women without PCOS.[10] This syndrome is a leading cause of infertility, accounting for about 20% of cases and a higher miscarriage rate compared to other sub-fertile women.[2] In addition to the </w:t>
      </w:r>
      <w:proofErr w:type="spellStart"/>
      <w:r w:rsidRPr="00D54C2D">
        <w:rPr>
          <w:rFonts w:ascii="Arial" w:hAnsi="Arial" w:cs="Arial"/>
          <w:sz w:val="20"/>
          <w:szCs w:val="20"/>
        </w:rPr>
        <w:t>gynaecological</w:t>
      </w:r>
      <w:proofErr w:type="spellEnd"/>
      <w:r w:rsidRPr="00D54C2D">
        <w:rPr>
          <w:rFonts w:ascii="Arial" w:hAnsi="Arial" w:cs="Arial"/>
          <w:sz w:val="20"/>
          <w:szCs w:val="20"/>
        </w:rPr>
        <w:t>, endocrine, and metabolic features of PCOS many mental complications are also associated with this condition.[11] A Brazilian research study concluded that 58% of women with PCOS exhibited at least one psychiatric disorder.[12] Thus, women with PCOS should be diagnosed early, treated correctly, and followed up carefully to avoid these detrimental effects.[1]</w:t>
      </w:r>
    </w:p>
    <w:p w14:paraId="5C1EB2B9" w14:textId="77777777" w:rsidR="00AA4086" w:rsidRDefault="00AA4086" w:rsidP="00A16A7A">
      <w:pPr>
        <w:spacing w:line="240" w:lineRule="auto"/>
        <w:jc w:val="center"/>
        <w:rPr>
          <w:rFonts w:ascii="Arial" w:hAnsi="Arial" w:cs="Arial"/>
          <w:b/>
          <w:bCs/>
          <w:sz w:val="24"/>
          <w:szCs w:val="24"/>
        </w:rPr>
      </w:pPr>
    </w:p>
    <w:p w14:paraId="2D23FAFA" w14:textId="08A27993" w:rsidR="00CF42F1" w:rsidRPr="00D54C2D" w:rsidRDefault="00CF42F1" w:rsidP="00A16A7A">
      <w:pPr>
        <w:spacing w:line="240" w:lineRule="auto"/>
        <w:jc w:val="center"/>
        <w:rPr>
          <w:rFonts w:ascii="Arial" w:hAnsi="Arial" w:cs="Arial"/>
          <w:b/>
          <w:bCs/>
          <w:sz w:val="24"/>
          <w:szCs w:val="24"/>
        </w:rPr>
      </w:pPr>
      <w:r w:rsidRPr="00D54C2D">
        <w:rPr>
          <w:rFonts w:ascii="Arial" w:hAnsi="Arial" w:cs="Arial"/>
          <w:b/>
          <w:bCs/>
          <w:sz w:val="24"/>
          <w:szCs w:val="24"/>
        </w:rPr>
        <w:t>Need for study</w:t>
      </w:r>
    </w:p>
    <w:p w14:paraId="43AB197B" w14:textId="749A5B0A" w:rsidR="00CF42F1" w:rsidRPr="00D54C2D" w:rsidRDefault="000B6B2E" w:rsidP="00A16A7A">
      <w:pPr>
        <w:spacing w:line="240" w:lineRule="auto"/>
        <w:jc w:val="both"/>
        <w:rPr>
          <w:rFonts w:ascii="Arial" w:hAnsi="Arial" w:cs="Arial"/>
          <w:sz w:val="20"/>
          <w:szCs w:val="20"/>
        </w:rPr>
      </w:pPr>
      <w:r w:rsidRPr="00D54C2D">
        <w:rPr>
          <w:rFonts w:ascii="Arial" w:hAnsi="Arial" w:cs="Arial"/>
          <w:sz w:val="20"/>
          <w:szCs w:val="20"/>
        </w:rPr>
        <w:t>PCOS is a leading endocrinological disorder.[13] Over 7 million individuals suffer from PCOS. That figure exceeds the combined totals for breast cancer, osteoarthritis, neurological disorders, and lupus.[14] It is one of the most common disorders, yet most neglected, conditions affecting one in 15 women worldwide.[15] According to a study by PCOS Society, one in every 10 women in India has PCOS. And out of every 10 women diagnosed with PCOS, six are teenage girls.[6] Some females reach menarche as early as 8-9 years. Due to lack of awareness, many menstrual problems including PCOS remain unidentified and untreated, especially among the rural population.[16] Thus, adolescents are more prone to health risks due to hormonal imbalances, lifestyle changes, and lack of knowledge.[17] The disease can be overlooked until severe complications arise, most commonly infertility, the point at which most patients seek medical attention secondary to difficulty conceiving.[18] This makes them humiliated and lowers their self-confidence, as a result, their social and interpersonal relationships are hampered.[11] Late diagnosis and no timely measures increase the risk of many gynecological cancers such as endometrial, ovarian, and breast cancers.[19] The lifetime risk of endometrial cancer that has been estimated in these women is 2.7 times more than that in women without this syndrome.[20] The societal taboos that prevent free discussion of the subject, particularly among the young group, are the main reason why research on teenagers' reproductive concerns remains limited.[21] Improving awareness and understanding of PCOS is regarded as a crucial first step in the management of the syndrome.</w:t>
      </w:r>
      <w:r w:rsidR="00CF42F1" w:rsidRPr="00D54C2D">
        <w:rPr>
          <w:rFonts w:ascii="Arial" w:hAnsi="Arial" w:cs="Arial"/>
          <w:sz w:val="20"/>
          <w:szCs w:val="20"/>
        </w:rPr>
        <w:br w:type="page"/>
      </w:r>
    </w:p>
    <w:p w14:paraId="539DD615" w14:textId="77777777" w:rsidR="004B4C50" w:rsidRPr="00D54C2D" w:rsidRDefault="004B4C50" w:rsidP="00A16A7A">
      <w:pPr>
        <w:spacing w:line="240" w:lineRule="auto"/>
        <w:rPr>
          <w:rFonts w:ascii="Arial" w:hAnsi="Arial" w:cs="Arial"/>
          <w:b/>
          <w:bCs/>
        </w:rPr>
      </w:pPr>
      <w:r w:rsidRPr="00D54C2D">
        <w:rPr>
          <w:rFonts w:ascii="Arial" w:hAnsi="Arial" w:cs="Arial"/>
          <w:b/>
          <w:bCs/>
        </w:rPr>
        <w:lastRenderedPageBreak/>
        <w:t xml:space="preserve">AIM OF THE STUDY AIM &amp; OBJECTIVES </w:t>
      </w:r>
    </w:p>
    <w:p w14:paraId="6C7E772A" w14:textId="692ABF7D" w:rsidR="004B4C50" w:rsidRPr="00D54C2D" w:rsidRDefault="004B4C50" w:rsidP="00A16A7A">
      <w:pPr>
        <w:spacing w:line="240" w:lineRule="auto"/>
        <w:rPr>
          <w:rFonts w:ascii="Arial" w:hAnsi="Arial" w:cs="Arial"/>
          <w:sz w:val="20"/>
          <w:szCs w:val="20"/>
        </w:rPr>
      </w:pPr>
      <w:r w:rsidRPr="00D54C2D">
        <w:rPr>
          <w:rFonts w:ascii="Arial" w:hAnsi="Arial" w:cs="Arial"/>
          <w:sz w:val="20"/>
          <w:szCs w:val="20"/>
        </w:rPr>
        <w:t xml:space="preserve">• To assess the knowledge and determine the effect of educational intervention among adolescent girls regarding PCOS </w:t>
      </w:r>
    </w:p>
    <w:p w14:paraId="677A4B60" w14:textId="77777777" w:rsidR="004B4C50" w:rsidRPr="00D54C2D" w:rsidRDefault="004B4C50" w:rsidP="00A16A7A">
      <w:pPr>
        <w:spacing w:line="240" w:lineRule="auto"/>
        <w:rPr>
          <w:rFonts w:ascii="Arial" w:hAnsi="Arial" w:cs="Arial"/>
          <w:b/>
          <w:bCs/>
        </w:rPr>
      </w:pPr>
      <w:r w:rsidRPr="00D54C2D">
        <w:rPr>
          <w:rFonts w:ascii="Arial" w:hAnsi="Arial" w:cs="Arial"/>
          <w:b/>
          <w:bCs/>
        </w:rPr>
        <w:t>OBJECTIVES</w:t>
      </w:r>
    </w:p>
    <w:p w14:paraId="6410A172" w14:textId="59AA7EA3" w:rsidR="004B4C50" w:rsidRPr="00D54C2D" w:rsidRDefault="004B4C50" w:rsidP="00A16A7A">
      <w:pPr>
        <w:spacing w:line="240" w:lineRule="auto"/>
        <w:rPr>
          <w:rFonts w:ascii="Arial" w:hAnsi="Arial" w:cs="Arial"/>
          <w:sz w:val="20"/>
          <w:szCs w:val="20"/>
        </w:rPr>
      </w:pPr>
      <w:r w:rsidRPr="00D54C2D">
        <w:rPr>
          <w:rFonts w:ascii="Arial" w:hAnsi="Arial" w:cs="Arial"/>
          <w:sz w:val="20"/>
          <w:szCs w:val="20"/>
        </w:rPr>
        <w:t xml:space="preserve">• To assess the level of awareness and knowledge regarding PCOS among high school students. </w:t>
      </w:r>
    </w:p>
    <w:p w14:paraId="60FF2162" w14:textId="77777777" w:rsidR="004B4C50" w:rsidRPr="00D54C2D" w:rsidRDefault="004B4C50" w:rsidP="00A16A7A">
      <w:pPr>
        <w:spacing w:line="240" w:lineRule="auto"/>
        <w:rPr>
          <w:rFonts w:ascii="Arial" w:hAnsi="Arial" w:cs="Arial"/>
          <w:sz w:val="20"/>
          <w:szCs w:val="20"/>
        </w:rPr>
      </w:pPr>
      <w:r w:rsidRPr="00D54C2D">
        <w:rPr>
          <w:rFonts w:ascii="Arial" w:hAnsi="Arial" w:cs="Arial"/>
          <w:sz w:val="20"/>
          <w:szCs w:val="20"/>
        </w:rPr>
        <w:t xml:space="preserve">• To improve the knowledge about PCOS among high school students. </w:t>
      </w:r>
    </w:p>
    <w:p w14:paraId="2E36624F" w14:textId="77777777" w:rsidR="004B4C50" w:rsidRPr="00D54C2D" w:rsidRDefault="004B4C50" w:rsidP="00A16A7A">
      <w:pPr>
        <w:spacing w:line="240" w:lineRule="auto"/>
        <w:rPr>
          <w:rFonts w:ascii="Arial" w:hAnsi="Arial" w:cs="Arial"/>
          <w:sz w:val="20"/>
          <w:szCs w:val="20"/>
        </w:rPr>
      </w:pPr>
      <w:r w:rsidRPr="00D54C2D">
        <w:rPr>
          <w:rFonts w:ascii="Arial" w:hAnsi="Arial" w:cs="Arial"/>
          <w:sz w:val="20"/>
          <w:szCs w:val="20"/>
        </w:rPr>
        <w:t xml:space="preserve">• To enhance PCOS awareness and knowledge among high school students </w:t>
      </w:r>
    </w:p>
    <w:p w14:paraId="3403066D" w14:textId="36B08DA2" w:rsidR="00CF42F1" w:rsidRPr="00D54C2D" w:rsidRDefault="004B4C50" w:rsidP="00A16A7A">
      <w:pPr>
        <w:spacing w:line="240" w:lineRule="auto"/>
        <w:rPr>
          <w:rFonts w:ascii="Arial" w:hAnsi="Arial" w:cs="Arial"/>
          <w:sz w:val="20"/>
          <w:szCs w:val="20"/>
        </w:rPr>
      </w:pPr>
      <w:r w:rsidRPr="00D54C2D">
        <w:rPr>
          <w:rFonts w:ascii="Arial" w:hAnsi="Arial" w:cs="Arial"/>
          <w:sz w:val="20"/>
          <w:szCs w:val="20"/>
        </w:rPr>
        <w:t>• To find out the association between pre-test knowledge regarding PCOS and selected demographic variables</w:t>
      </w:r>
    </w:p>
    <w:p w14:paraId="568217B8" w14:textId="77777777" w:rsidR="00CF42F1" w:rsidRPr="00D54C2D" w:rsidRDefault="00CF42F1" w:rsidP="00A16A7A">
      <w:pPr>
        <w:spacing w:line="240" w:lineRule="auto"/>
        <w:rPr>
          <w:rFonts w:ascii="Arial" w:hAnsi="Arial" w:cs="Arial"/>
          <w:b/>
          <w:bCs/>
          <w:sz w:val="28"/>
          <w:szCs w:val="28"/>
        </w:rPr>
      </w:pPr>
    </w:p>
    <w:p w14:paraId="0E2CF189" w14:textId="72FE0CB5" w:rsidR="00864A7A" w:rsidRPr="00D54C2D" w:rsidRDefault="00040443" w:rsidP="00D54C2D">
      <w:pPr>
        <w:spacing w:line="240" w:lineRule="auto"/>
        <w:rPr>
          <w:rFonts w:ascii="Arial" w:hAnsi="Arial" w:cs="Arial"/>
          <w:b/>
          <w:bCs/>
          <w:sz w:val="24"/>
          <w:szCs w:val="24"/>
        </w:rPr>
      </w:pPr>
      <w:r w:rsidRPr="00D54C2D">
        <w:rPr>
          <w:rFonts w:ascii="Arial" w:hAnsi="Arial" w:cs="Arial"/>
          <w:b/>
          <w:bCs/>
        </w:rPr>
        <w:t>MATERIALS AND METHODS</w:t>
      </w:r>
    </w:p>
    <w:p w14:paraId="6D3AD13C" w14:textId="77777777" w:rsidR="00864A7A" w:rsidRPr="00D54C2D" w:rsidRDefault="00864A7A" w:rsidP="00D54C2D">
      <w:pPr>
        <w:spacing w:line="240" w:lineRule="auto"/>
        <w:rPr>
          <w:rFonts w:ascii="Arial" w:hAnsi="Arial" w:cs="Arial"/>
          <w:sz w:val="20"/>
          <w:szCs w:val="20"/>
        </w:rPr>
      </w:pPr>
      <w:r w:rsidRPr="00D54C2D">
        <w:rPr>
          <w:rFonts w:ascii="Arial" w:hAnsi="Arial" w:cs="Arial"/>
          <w:sz w:val="20"/>
          <w:szCs w:val="20"/>
        </w:rPr>
        <w:t>Study Procedure: -</w:t>
      </w:r>
    </w:p>
    <w:p w14:paraId="51D4EC5E" w14:textId="3DEBBD63" w:rsidR="00864A7A" w:rsidRPr="00D54C2D" w:rsidRDefault="00844384" w:rsidP="00A16A7A">
      <w:pPr>
        <w:spacing w:line="240" w:lineRule="auto"/>
        <w:jc w:val="both"/>
        <w:rPr>
          <w:rFonts w:ascii="Arial" w:hAnsi="Arial" w:cs="Arial"/>
          <w:sz w:val="18"/>
          <w:szCs w:val="18"/>
        </w:rPr>
      </w:pPr>
      <w:r w:rsidRPr="00D54C2D">
        <w:rPr>
          <w:rFonts w:ascii="Arial" w:hAnsi="Arial" w:cs="Arial"/>
          <w:sz w:val="20"/>
          <w:szCs w:val="20"/>
        </w:rPr>
        <w:t>The present educational interventional study was conducted among adolescent girls of higher secondary schools in Kalaburagi city to determine the knowledge and assess the effectiveness of structured teaching programs regarding PCOS using Questionnaires. The study was initiated after the approval from Institutional Review Board (IRB). Students were given an assent form which was explained by their class teacher regarding the importance of study. A questionnaire was prepared from previously published articles, textbooks, and various guidelines and was validated by IRB. For the study we considered different medium high schools of Kalaburagi city and the questionnaire was made available in two languages, English and Kannada as medium instructions by the schools. The questionnaire was divided into two parts: the first part of the questionnaire consists of information seeking demographic data which includes name, age, standard, school, and information regarding attainment of menarche and whether they previously heard about PCOS/PCOD with the source of information. The second part contains 20 knowledge-based questions in a multiple-choice pattern regarding PCOS. Each correct answer was awarded a score of ‘1’ and ‘0’ if wrong or unanswered respectively. The maximum score was 20. After the data collection, a pre-test was conducted by administering the questionnaires regarding PCOS. After the pre-test, the students were educated by using ppt presentation, one-to-one interaction, and distribution of PCOS information leaflets. After 14 days, the post-test was conducted on the same subjects by using the same structured knowledge questionnaire. Finally, the collected data from different schools was compiled and analyzed by using Microsoft Excel, SPSS-20 and subjected to the relevant statistical test for additional analysis. A parametric test, often known as the student-paired t-test, was employed to assess knowledge. After the data had been evaluated, thesis writing began.</w:t>
      </w:r>
    </w:p>
    <w:p w14:paraId="0970A7D9" w14:textId="77777777" w:rsidR="00CF42F1" w:rsidRPr="00D54C2D" w:rsidRDefault="00CF42F1" w:rsidP="00A16A7A">
      <w:pPr>
        <w:spacing w:line="240" w:lineRule="auto"/>
        <w:rPr>
          <w:rFonts w:ascii="Arial" w:hAnsi="Arial" w:cs="Arial"/>
        </w:rPr>
      </w:pPr>
    </w:p>
    <w:p w14:paraId="1AD4C10A" w14:textId="77777777" w:rsidR="00CF42F1" w:rsidRPr="00D54C2D" w:rsidRDefault="00CF42F1" w:rsidP="00A16A7A">
      <w:pPr>
        <w:spacing w:line="240" w:lineRule="auto"/>
        <w:rPr>
          <w:rFonts w:ascii="Arial" w:hAnsi="Arial" w:cs="Arial"/>
        </w:rPr>
      </w:pPr>
    </w:p>
    <w:p w14:paraId="6EFE5E58" w14:textId="77777777" w:rsidR="00CF42F1" w:rsidRPr="00D54C2D" w:rsidRDefault="00CF42F1" w:rsidP="00A16A7A">
      <w:pPr>
        <w:spacing w:line="240" w:lineRule="auto"/>
        <w:rPr>
          <w:rFonts w:ascii="Arial" w:hAnsi="Arial" w:cs="Arial"/>
        </w:rPr>
      </w:pPr>
    </w:p>
    <w:p w14:paraId="29759C69" w14:textId="77777777" w:rsidR="00AD3F42" w:rsidRPr="00D54C2D" w:rsidRDefault="00AD3F42" w:rsidP="00A16A7A">
      <w:pPr>
        <w:spacing w:line="240" w:lineRule="auto"/>
        <w:rPr>
          <w:rFonts w:ascii="Arial" w:hAnsi="Arial" w:cs="Arial"/>
        </w:rPr>
      </w:pPr>
    </w:p>
    <w:p w14:paraId="0FB3247B" w14:textId="77777777" w:rsidR="00514466" w:rsidRPr="00D54C2D" w:rsidRDefault="00514466" w:rsidP="00A16A7A">
      <w:pPr>
        <w:spacing w:line="240" w:lineRule="auto"/>
        <w:rPr>
          <w:rFonts w:ascii="Arial" w:hAnsi="Arial" w:cs="Arial"/>
        </w:rPr>
      </w:pPr>
    </w:p>
    <w:p w14:paraId="46994CD4" w14:textId="77777777" w:rsidR="00514466" w:rsidRPr="00D54C2D" w:rsidRDefault="00514466" w:rsidP="00A16A7A">
      <w:pPr>
        <w:spacing w:line="240" w:lineRule="auto"/>
        <w:rPr>
          <w:rFonts w:ascii="Arial" w:hAnsi="Arial" w:cs="Arial"/>
        </w:rPr>
      </w:pPr>
    </w:p>
    <w:p w14:paraId="7B5DA516" w14:textId="77777777" w:rsidR="00514466" w:rsidRPr="00D54C2D" w:rsidRDefault="00514466" w:rsidP="00A16A7A">
      <w:pPr>
        <w:spacing w:line="240" w:lineRule="auto"/>
        <w:rPr>
          <w:rFonts w:ascii="Arial" w:hAnsi="Arial" w:cs="Arial"/>
        </w:rPr>
      </w:pPr>
    </w:p>
    <w:p w14:paraId="1AF1D403" w14:textId="77777777" w:rsidR="00514466" w:rsidRPr="00D54C2D" w:rsidRDefault="00514466" w:rsidP="00A16A7A">
      <w:pPr>
        <w:spacing w:line="240" w:lineRule="auto"/>
        <w:rPr>
          <w:rFonts w:ascii="Arial" w:hAnsi="Arial" w:cs="Arial"/>
        </w:rPr>
      </w:pPr>
    </w:p>
    <w:p w14:paraId="472001EF" w14:textId="77777777" w:rsidR="00514466" w:rsidRPr="00D54C2D" w:rsidRDefault="00514466" w:rsidP="00A16A7A">
      <w:pPr>
        <w:spacing w:line="240" w:lineRule="auto"/>
        <w:rPr>
          <w:rFonts w:ascii="Arial" w:hAnsi="Arial" w:cs="Arial"/>
        </w:rPr>
      </w:pPr>
    </w:p>
    <w:p w14:paraId="7603379A" w14:textId="77777777" w:rsidR="00514466" w:rsidRPr="00D54C2D" w:rsidRDefault="00514466" w:rsidP="00A16A7A">
      <w:pPr>
        <w:spacing w:line="240" w:lineRule="auto"/>
        <w:rPr>
          <w:rFonts w:ascii="Arial" w:hAnsi="Arial" w:cs="Arial"/>
        </w:rPr>
      </w:pPr>
    </w:p>
    <w:p w14:paraId="6E605FE0" w14:textId="77777777" w:rsidR="00514466" w:rsidRDefault="00514466" w:rsidP="00A16A7A">
      <w:pPr>
        <w:spacing w:line="240" w:lineRule="auto"/>
        <w:rPr>
          <w:rFonts w:ascii="Arial" w:hAnsi="Arial" w:cs="Arial"/>
        </w:rPr>
      </w:pPr>
    </w:p>
    <w:p w14:paraId="43C3F109" w14:textId="77777777" w:rsidR="00AA4086" w:rsidRDefault="00AA4086" w:rsidP="00A16A7A">
      <w:pPr>
        <w:spacing w:line="240" w:lineRule="auto"/>
        <w:rPr>
          <w:rFonts w:ascii="Arial" w:hAnsi="Arial" w:cs="Arial"/>
        </w:rPr>
      </w:pPr>
    </w:p>
    <w:p w14:paraId="4511069E" w14:textId="77777777" w:rsidR="00AA4086" w:rsidRPr="00D54C2D" w:rsidRDefault="00AA4086" w:rsidP="00A16A7A">
      <w:pPr>
        <w:spacing w:line="240" w:lineRule="auto"/>
        <w:rPr>
          <w:rFonts w:ascii="Arial" w:hAnsi="Arial" w:cs="Arial"/>
        </w:rPr>
      </w:pPr>
    </w:p>
    <w:p w14:paraId="5BC37A88" w14:textId="77777777" w:rsidR="00514466" w:rsidRPr="00D54C2D" w:rsidRDefault="00514466" w:rsidP="00A16A7A">
      <w:pPr>
        <w:spacing w:line="240" w:lineRule="auto"/>
        <w:rPr>
          <w:rFonts w:ascii="Arial" w:hAnsi="Arial" w:cs="Arial"/>
        </w:rPr>
      </w:pPr>
    </w:p>
    <w:p w14:paraId="3BA03B51" w14:textId="77777777" w:rsidR="00D363DB" w:rsidRPr="00D54C2D" w:rsidRDefault="00D363DB" w:rsidP="00A16A7A">
      <w:pPr>
        <w:spacing w:line="240" w:lineRule="auto"/>
        <w:jc w:val="both"/>
        <w:rPr>
          <w:rFonts w:ascii="Arial" w:hAnsi="Arial" w:cs="Arial"/>
          <w:b/>
          <w:bCs/>
          <w:sz w:val="24"/>
          <w:szCs w:val="24"/>
        </w:rPr>
      </w:pPr>
      <w:r w:rsidRPr="00D54C2D">
        <w:rPr>
          <w:rFonts w:ascii="Arial" w:hAnsi="Arial" w:cs="Arial"/>
          <w:b/>
          <w:bCs/>
          <w:sz w:val="24"/>
          <w:szCs w:val="24"/>
        </w:rPr>
        <w:t>RESULTS</w:t>
      </w:r>
    </w:p>
    <w:p w14:paraId="44E5B1D4" w14:textId="0358E7AA" w:rsidR="005411B3" w:rsidRPr="005411B3" w:rsidRDefault="005411B3" w:rsidP="005411B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C454EE">
        <w:rPr>
          <w:rFonts w:ascii="Arial" w:eastAsia="Calibri" w:hAnsi="Arial" w:cs="Arial"/>
          <w:bCs/>
          <w:sz w:val="24"/>
          <w:szCs w:val="24"/>
        </w:rPr>
        <w:t xml:space="preserve">The study assessed the impact of pharmacist intervention on adolescent </w:t>
      </w:r>
      <w:proofErr w:type="gramStart"/>
      <w:r w:rsidRPr="00C454EE">
        <w:rPr>
          <w:rFonts w:ascii="Arial" w:eastAsia="Calibri" w:hAnsi="Arial" w:cs="Arial"/>
          <w:bCs/>
          <w:sz w:val="24"/>
          <w:szCs w:val="24"/>
        </w:rPr>
        <w:t>girls</w:t>
      </w:r>
      <w:proofErr w:type="gramEnd"/>
      <w:r w:rsidRPr="00C454EE">
        <w:rPr>
          <w:rFonts w:ascii="Arial" w:eastAsia="Calibri" w:hAnsi="Arial" w:cs="Arial"/>
          <w:bCs/>
          <w:sz w:val="24"/>
          <w:szCs w:val="24"/>
        </w:rPr>
        <w:t xml:space="preserve"> knowledge regarding Polycystic</w:t>
      </w:r>
      <w:r>
        <w:rPr>
          <w:rFonts w:ascii="Arial" w:eastAsia="Calibri" w:hAnsi="Arial" w:cs="Arial"/>
          <w:bCs/>
          <w:sz w:val="24"/>
          <w:szCs w:val="24"/>
        </w:rPr>
        <w:t xml:space="preserve"> </w:t>
      </w:r>
      <w:r w:rsidRPr="00C454EE">
        <w:rPr>
          <w:rFonts w:ascii="Arial" w:eastAsia="Calibri" w:hAnsi="Arial" w:cs="Arial"/>
          <w:bCs/>
          <w:sz w:val="24"/>
          <w:szCs w:val="24"/>
        </w:rPr>
        <w:t>Ovarian Syndrome (PCOS) across 13 different schools in Kalaburagi city.</w:t>
      </w:r>
      <w:r>
        <w:rPr>
          <w:rFonts w:ascii="Arial" w:eastAsia="Calibri" w:hAnsi="Arial" w:cs="Arial"/>
          <w:bCs/>
          <w:sz w:val="24"/>
          <w:szCs w:val="24"/>
        </w:rPr>
        <w:t xml:space="preserve"> </w:t>
      </w:r>
      <w:r w:rsidR="00161DDE" w:rsidRPr="00D54C2D">
        <w:rPr>
          <w:rFonts w:ascii="Arial" w:hAnsi="Arial" w:cs="Arial"/>
          <w:sz w:val="24"/>
          <w:szCs w:val="24"/>
        </w:rPr>
        <w:t>A total of 949 adolescent girls participated in the pre-test phase. However, 87 participants were absent on the post-test day, leaving 862 girls for the final analysis.</w:t>
      </w:r>
      <w:bookmarkStart w:id="0" w:name="_Hlk186674918"/>
    </w:p>
    <w:p w14:paraId="79FBB915" w14:textId="46FFA427" w:rsidR="00A50CF0" w:rsidRPr="00D54C2D" w:rsidRDefault="00514466"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bookmarkStart w:id="1" w:name="_Hlk186667283"/>
      <w:bookmarkEnd w:id="0"/>
      <w:r w:rsidRPr="00D54C2D">
        <w:rPr>
          <w:rFonts w:ascii="Arial" w:hAnsi="Arial" w:cs="Arial"/>
          <w:b/>
          <w:bCs/>
          <w:sz w:val="24"/>
          <w:szCs w:val="24"/>
        </w:rPr>
        <w:t>Table No.1: Depicting the details of age, medium of school, class, area of residence, attainment of menarche, prior source of information regarding PCOS</w:t>
      </w:r>
    </w:p>
    <w:tbl>
      <w:tblPr>
        <w:tblStyle w:val="TableGrid"/>
        <w:tblW w:w="0" w:type="auto"/>
        <w:tblLook w:val="04A0" w:firstRow="1" w:lastRow="0" w:firstColumn="1" w:lastColumn="0" w:noHBand="0" w:noVBand="1"/>
      </w:tblPr>
      <w:tblGrid>
        <w:gridCol w:w="2007"/>
        <w:gridCol w:w="2504"/>
        <w:gridCol w:w="2594"/>
        <w:gridCol w:w="2245"/>
      </w:tblGrid>
      <w:tr w:rsidR="00514466" w:rsidRPr="00D54C2D" w14:paraId="3C71306C" w14:textId="77777777" w:rsidTr="001D2BD3">
        <w:tc>
          <w:tcPr>
            <w:tcW w:w="2007" w:type="dxa"/>
          </w:tcPr>
          <w:p w14:paraId="25C13BB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Demographic details</w:t>
            </w:r>
          </w:p>
        </w:tc>
        <w:tc>
          <w:tcPr>
            <w:tcW w:w="2504" w:type="dxa"/>
          </w:tcPr>
          <w:p w14:paraId="011DBED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rPr>
                <w:rFonts w:ascii="Times New Roman" w:eastAsia="Calibri" w:hAnsi="Times New Roman" w:cs="Times New Roman"/>
                <w:b/>
                <w:sz w:val="24"/>
                <w:szCs w:val="24"/>
              </w:rPr>
            </w:pPr>
          </w:p>
        </w:tc>
        <w:tc>
          <w:tcPr>
            <w:tcW w:w="2594" w:type="dxa"/>
          </w:tcPr>
          <w:p w14:paraId="6D30122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lang w:val="en-US"/>
              </w:rPr>
              <w:t>Number of adolescent girls</w:t>
            </w:r>
          </w:p>
        </w:tc>
        <w:tc>
          <w:tcPr>
            <w:tcW w:w="2245" w:type="dxa"/>
          </w:tcPr>
          <w:p w14:paraId="683460C4"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lang w:val="en-US"/>
              </w:rPr>
              <w:t>Percentage</w:t>
            </w:r>
          </w:p>
        </w:tc>
      </w:tr>
      <w:tr w:rsidR="00514466" w:rsidRPr="00D54C2D" w14:paraId="6ACF0C1C" w14:textId="77777777" w:rsidTr="001D2BD3">
        <w:trPr>
          <w:trHeight w:val="2933"/>
        </w:trPr>
        <w:tc>
          <w:tcPr>
            <w:tcW w:w="2007" w:type="dxa"/>
            <w:vMerge w:val="restart"/>
          </w:tcPr>
          <w:p w14:paraId="5D5B645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lang w:val="en-US"/>
              </w:rPr>
              <w:t>Age in years</w:t>
            </w:r>
          </w:p>
        </w:tc>
        <w:tc>
          <w:tcPr>
            <w:tcW w:w="2504" w:type="dxa"/>
          </w:tcPr>
          <w:p w14:paraId="1624636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Age interval</w:t>
            </w:r>
          </w:p>
          <w:p w14:paraId="0D06101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12 years</w:t>
            </w:r>
          </w:p>
          <w:p w14:paraId="3CA3A8C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13 years</w:t>
            </w:r>
          </w:p>
          <w:p w14:paraId="6D8FC2F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14 years</w:t>
            </w:r>
          </w:p>
          <w:p w14:paraId="3F389A8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15 years </w:t>
            </w:r>
          </w:p>
          <w:p w14:paraId="798C606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16 years</w:t>
            </w:r>
          </w:p>
          <w:p w14:paraId="195ABD2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Total</w:t>
            </w:r>
          </w:p>
        </w:tc>
        <w:tc>
          <w:tcPr>
            <w:tcW w:w="2594" w:type="dxa"/>
          </w:tcPr>
          <w:p w14:paraId="4916B544"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p>
          <w:p w14:paraId="0734CB7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15</w:t>
            </w:r>
          </w:p>
          <w:p w14:paraId="0F6E854D"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168</w:t>
            </w:r>
          </w:p>
          <w:p w14:paraId="1DFC921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280</w:t>
            </w:r>
          </w:p>
          <w:p w14:paraId="7D7E7D1C"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314</w:t>
            </w:r>
          </w:p>
          <w:p w14:paraId="789290C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85</w:t>
            </w:r>
          </w:p>
          <w:p w14:paraId="29CA35E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862</w:t>
            </w:r>
          </w:p>
        </w:tc>
        <w:tc>
          <w:tcPr>
            <w:tcW w:w="2245" w:type="dxa"/>
          </w:tcPr>
          <w:p w14:paraId="4D83D87B"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p>
          <w:p w14:paraId="5614CB8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1.7</w:t>
            </w:r>
          </w:p>
          <w:p w14:paraId="76D1335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19.5</w:t>
            </w:r>
          </w:p>
          <w:p w14:paraId="52AB720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32.5</w:t>
            </w:r>
          </w:p>
          <w:p w14:paraId="1641BC07"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36.4</w:t>
            </w:r>
          </w:p>
          <w:p w14:paraId="72D7115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9.9</w:t>
            </w:r>
          </w:p>
          <w:p w14:paraId="3FC1044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100.0</w:t>
            </w:r>
          </w:p>
        </w:tc>
      </w:tr>
      <w:tr w:rsidR="00514466" w:rsidRPr="00D54C2D" w14:paraId="0B88ED44" w14:textId="77777777" w:rsidTr="001D2BD3">
        <w:trPr>
          <w:trHeight w:val="557"/>
        </w:trPr>
        <w:tc>
          <w:tcPr>
            <w:tcW w:w="2007" w:type="dxa"/>
            <w:vMerge/>
          </w:tcPr>
          <w:p w14:paraId="24107DF8"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tc>
        <w:tc>
          <w:tcPr>
            <w:tcW w:w="2504" w:type="dxa"/>
          </w:tcPr>
          <w:p w14:paraId="27BD46D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Total</w:t>
            </w:r>
          </w:p>
        </w:tc>
        <w:tc>
          <w:tcPr>
            <w:tcW w:w="2594" w:type="dxa"/>
          </w:tcPr>
          <w:p w14:paraId="2354A032"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862</w:t>
            </w:r>
          </w:p>
        </w:tc>
        <w:tc>
          <w:tcPr>
            <w:tcW w:w="2245" w:type="dxa"/>
          </w:tcPr>
          <w:p w14:paraId="0092671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100.0</w:t>
            </w:r>
          </w:p>
        </w:tc>
      </w:tr>
      <w:tr w:rsidR="00514466" w:rsidRPr="00D54C2D" w14:paraId="68A12140" w14:textId="77777777" w:rsidTr="001D2BD3">
        <w:trPr>
          <w:trHeight w:val="557"/>
        </w:trPr>
        <w:tc>
          <w:tcPr>
            <w:tcW w:w="2007" w:type="dxa"/>
            <w:vMerge w:val="restart"/>
          </w:tcPr>
          <w:p w14:paraId="1F03075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Medium of School</w:t>
            </w:r>
          </w:p>
        </w:tc>
        <w:tc>
          <w:tcPr>
            <w:tcW w:w="2504" w:type="dxa"/>
          </w:tcPr>
          <w:p w14:paraId="523E994C"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English</w:t>
            </w:r>
          </w:p>
          <w:p w14:paraId="468BC94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Kannada</w:t>
            </w:r>
          </w:p>
          <w:p w14:paraId="7BB5375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Urdu</w:t>
            </w:r>
          </w:p>
        </w:tc>
        <w:tc>
          <w:tcPr>
            <w:tcW w:w="2594" w:type="dxa"/>
          </w:tcPr>
          <w:p w14:paraId="7218747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546</w:t>
            </w:r>
          </w:p>
          <w:p w14:paraId="2F3A0407"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171</w:t>
            </w:r>
          </w:p>
          <w:p w14:paraId="5FB95CE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145</w:t>
            </w:r>
          </w:p>
        </w:tc>
        <w:tc>
          <w:tcPr>
            <w:tcW w:w="2245" w:type="dxa"/>
          </w:tcPr>
          <w:p w14:paraId="652EEEE0"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63.4</w:t>
            </w:r>
          </w:p>
          <w:p w14:paraId="548EEE1A"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19.8</w:t>
            </w:r>
          </w:p>
          <w:p w14:paraId="0A51366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16.8</w:t>
            </w:r>
          </w:p>
        </w:tc>
      </w:tr>
      <w:tr w:rsidR="00514466" w:rsidRPr="00D54C2D" w14:paraId="3A30CEB1" w14:textId="77777777" w:rsidTr="001D2BD3">
        <w:trPr>
          <w:trHeight w:val="557"/>
        </w:trPr>
        <w:tc>
          <w:tcPr>
            <w:tcW w:w="2007" w:type="dxa"/>
            <w:vMerge/>
          </w:tcPr>
          <w:p w14:paraId="08857C8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tc>
        <w:tc>
          <w:tcPr>
            <w:tcW w:w="2504" w:type="dxa"/>
          </w:tcPr>
          <w:p w14:paraId="04080112"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Total</w:t>
            </w:r>
          </w:p>
        </w:tc>
        <w:tc>
          <w:tcPr>
            <w:tcW w:w="2594" w:type="dxa"/>
          </w:tcPr>
          <w:p w14:paraId="421DCCD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862</w:t>
            </w:r>
          </w:p>
        </w:tc>
        <w:tc>
          <w:tcPr>
            <w:tcW w:w="2245" w:type="dxa"/>
          </w:tcPr>
          <w:p w14:paraId="0C47D130"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100.0</w:t>
            </w:r>
          </w:p>
        </w:tc>
      </w:tr>
      <w:tr w:rsidR="00514466" w:rsidRPr="00D54C2D" w14:paraId="433556A0" w14:textId="77777777" w:rsidTr="001D2BD3">
        <w:trPr>
          <w:trHeight w:val="557"/>
        </w:trPr>
        <w:tc>
          <w:tcPr>
            <w:tcW w:w="2007" w:type="dxa"/>
            <w:vMerge w:val="restart"/>
          </w:tcPr>
          <w:p w14:paraId="7D76353D"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Class</w:t>
            </w:r>
          </w:p>
        </w:tc>
        <w:tc>
          <w:tcPr>
            <w:tcW w:w="2504" w:type="dxa"/>
          </w:tcPr>
          <w:p w14:paraId="3AE5564D"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8</w:t>
            </w:r>
            <w:r w:rsidRPr="00D54C2D">
              <w:rPr>
                <w:rFonts w:ascii="Times New Roman" w:eastAsia="Calibri" w:hAnsi="Times New Roman" w:cs="Times New Roman"/>
                <w:b/>
                <w:sz w:val="24"/>
                <w:szCs w:val="24"/>
                <w:vertAlign w:val="superscript"/>
              </w:rPr>
              <w:t>th</w:t>
            </w:r>
          </w:p>
          <w:p w14:paraId="0B2CAC9B"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9</w:t>
            </w:r>
            <w:r w:rsidRPr="00D54C2D">
              <w:rPr>
                <w:rFonts w:ascii="Times New Roman" w:eastAsia="Calibri" w:hAnsi="Times New Roman" w:cs="Times New Roman"/>
                <w:b/>
                <w:sz w:val="24"/>
                <w:szCs w:val="24"/>
                <w:vertAlign w:val="superscript"/>
              </w:rPr>
              <w:t>th</w:t>
            </w:r>
          </w:p>
          <w:p w14:paraId="4BE6679C"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10</w:t>
            </w:r>
            <w:r w:rsidRPr="00D54C2D">
              <w:rPr>
                <w:rFonts w:ascii="Times New Roman" w:eastAsia="Calibri" w:hAnsi="Times New Roman" w:cs="Times New Roman"/>
                <w:b/>
                <w:sz w:val="24"/>
                <w:szCs w:val="24"/>
                <w:vertAlign w:val="superscript"/>
              </w:rPr>
              <w:t>th</w:t>
            </w:r>
          </w:p>
        </w:tc>
        <w:tc>
          <w:tcPr>
            <w:tcW w:w="2594" w:type="dxa"/>
          </w:tcPr>
          <w:p w14:paraId="6121B97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215</w:t>
            </w:r>
          </w:p>
          <w:p w14:paraId="65D401DC"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296</w:t>
            </w:r>
          </w:p>
          <w:p w14:paraId="11583EA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351</w:t>
            </w:r>
          </w:p>
        </w:tc>
        <w:tc>
          <w:tcPr>
            <w:tcW w:w="2245" w:type="dxa"/>
          </w:tcPr>
          <w:p w14:paraId="0168251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24.9</w:t>
            </w:r>
          </w:p>
          <w:p w14:paraId="1363EBC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34.4</w:t>
            </w:r>
          </w:p>
          <w:p w14:paraId="7B59E86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40.7</w:t>
            </w:r>
          </w:p>
        </w:tc>
      </w:tr>
      <w:tr w:rsidR="00514466" w:rsidRPr="00D54C2D" w14:paraId="03667BA8" w14:textId="77777777" w:rsidTr="001D2BD3">
        <w:trPr>
          <w:trHeight w:val="557"/>
        </w:trPr>
        <w:tc>
          <w:tcPr>
            <w:tcW w:w="2007" w:type="dxa"/>
            <w:vMerge/>
          </w:tcPr>
          <w:p w14:paraId="704917F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tc>
        <w:tc>
          <w:tcPr>
            <w:tcW w:w="2504" w:type="dxa"/>
          </w:tcPr>
          <w:p w14:paraId="3F28F80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Total</w:t>
            </w:r>
          </w:p>
        </w:tc>
        <w:tc>
          <w:tcPr>
            <w:tcW w:w="2594" w:type="dxa"/>
          </w:tcPr>
          <w:p w14:paraId="21C11A3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862</w:t>
            </w:r>
          </w:p>
        </w:tc>
        <w:tc>
          <w:tcPr>
            <w:tcW w:w="2245" w:type="dxa"/>
          </w:tcPr>
          <w:p w14:paraId="08175D64"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100.0</w:t>
            </w:r>
          </w:p>
        </w:tc>
      </w:tr>
      <w:tr w:rsidR="00514466" w:rsidRPr="00D54C2D" w14:paraId="16D58A3F" w14:textId="77777777" w:rsidTr="001D2BD3">
        <w:trPr>
          <w:trHeight w:val="557"/>
        </w:trPr>
        <w:tc>
          <w:tcPr>
            <w:tcW w:w="2007" w:type="dxa"/>
            <w:vMerge w:val="restart"/>
          </w:tcPr>
          <w:p w14:paraId="0DA2839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Area of residence</w:t>
            </w:r>
          </w:p>
        </w:tc>
        <w:tc>
          <w:tcPr>
            <w:tcW w:w="2504" w:type="dxa"/>
          </w:tcPr>
          <w:p w14:paraId="2E9F347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Urban</w:t>
            </w:r>
          </w:p>
          <w:p w14:paraId="2CAC6F5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lastRenderedPageBreak/>
              <w:t>Rural</w:t>
            </w:r>
          </w:p>
        </w:tc>
        <w:tc>
          <w:tcPr>
            <w:tcW w:w="2594" w:type="dxa"/>
          </w:tcPr>
          <w:p w14:paraId="6E37C8E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lastRenderedPageBreak/>
              <w:t>744</w:t>
            </w:r>
          </w:p>
          <w:p w14:paraId="6D230228"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lastRenderedPageBreak/>
              <w:t>118</w:t>
            </w:r>
          </w:p>
        </w:tc>
        <w:tc>
          <w:tcPr>
            <w:tcW w:w="2245" w:type="dxa"/>
          </w:tcPr>
          <w:p w14:paraId="7316BA3B"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lastRenderedPageBreak/>
              <w:t>86.3</w:t>
            </w:r>
          </w:p>
          <w:p w14:paraId="49F3537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lastRenderedPageBreak/>
              <w:t>13.7</w:t>
            </w:r>
          </w:p>
        </w:tc>
      </w:tr>
      <w:tr w:rsidR="00514466" w:rsidRPr="00D54C2D" w14:paraId="6883DE59" w14:textId="77777777" w:rsidTr="001D2BD3">
        <w:trPr>
          <w:trHeight w:val="557"/>
        </w:trPr>
        <w:tc>
          <w:tcPr>
            <w:tcW w:w="2007" w:type="dxa"/>
            <w:vMerge/>
          </w:tcPr>
          <w:p w14:paraId="19254517"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tc>
        <w:tc>
          <w:tcPr>
            <w:tcW w:w="2504" w:type="dxa"/>
          </w:tcPr>
          <w:p w14:paraId="45D851A8"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Total</w:t>
            </w:r>
          </w:p>
        </w:tc>
        <w:tc>
          <w:tcPr>
            <w:tcW w:w="2594" w:type="dxa"/>
          </w:tcPr>
          <w:p w14:paraId="16C16CC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862</w:t>
            </w:r>
          </w:p>
        </w:tc>
        <w:tc>
          <w:tcPr>
            <w:tcW w:w="2245" w:type="dxa"/>
          </w:tcPr>
          <w:p w14:paraId="1575EFF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100.0</w:t>
            </w:r>
          </w:p>
        </w:tc>
      </w:tr>
      <w:tr w:rsidR="00514466" w:rsidRPr="00D54C2D" w14:paraId="7D9AEE2E" w14:textId="77777777" w:rsidTr="001D2BD3">
        <w:trPr>
          <w:trHeight w:val="557"/>
        </w:trPr>
        <w:tc>
          <w:tcPr>
            <w:tcW w:w="2007" w:type="dxa"/>
            <w:vMerge w:val="restart"/>
          </w:tcPr>
          <w:p w14:paraId="25F5F3B2"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Attainment of menarche</w:t>
            </w:r>
          </w:p>
          <w:p w14:paraId="6792B4B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p w14:paraId="022B2A5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p w14:paraId="4D043A5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p w14:paraId="363F5402"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rPr>
                <w:rFonts w:ascii="Times New Roman" w:eastAsia="Calibri" w:hAnsi="Times New Roman" w:cs="Times New Roman"/>
                <w:b/>
                <w:sz w:val="24"/>
                <w:szCs w:val="24"/>
              </w:rPr>
            </w:pPr>
          </w:p>
          <w:p w14:paraId="36869BE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rPr>
                <w:rFonts w:ascii="Times New Roman" w:eastAsia="Calibri" w:hAnsi="Times New Roman" w:cs="Times New Roman"/>
                <w:b/>
                <w:sz w:val="24"/>
                <w:szCs w:val="24"/>
              </w:rPr>
            </w:pPr>
          </w:p>
        </w:tc>
        <w:tc>
          <w:tcPr>
            <w:tcW w:w="2504" w:type="dxa"/>
          </w:tcPr>
          <w:p w14:paraId="6516E7B2"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Yes</w:t>
            </w:r>
          </w:p>
        </w:tc>
        <w:tc>
          <w:tcPr>
            <w:tcW w:w="2594" w:type="dxa"/>
            <w:vMerge w:val="restart"/>
          </w:tcPr>
          <w:p w14:paraId="3AC37327"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p>
          <w:p w14:paraId="772570B0"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92</w:t>
            </w:r>
          </w:p>
          <w:p w14:paraId="726101C0"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551</w:t>
            </w:r>
          </w:p>
          <w:p w14:paraId="0E8D1FA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121</w:t>
            </w:r>
          </w:p>
        </w:tc>
        <w:tc>
          <w:tcPr>
            <w:tcW w:w="2245" w:type="dxa"/>
            <w:vMerge w:val="restart"/>
          </w:tcPr>
          <w:p w14:paraId="57044214"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p>
          <w:p w14:paraId="5967CF22"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10.6</w:t>
            </w:r>
          </w:p>
          <w:p w14:paraId="7E822B5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63.9</w:t>
            </w:r>
          </w:p>
          <w:p w14:paraId="62C54FD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14.0</w:t>
            </w:r>
          </w:p>
          <w:p w14:paraId="4695D86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p>
        </w:tc>
      </w:tr>
      <w:tr w:rsidR="00514466" w:rsidRPr="00D54C2D" w14:paraId="3C42D46B" w14:textId="77777777" w:rsidTr="001D2BD3">
        <w:trPr>
          <w:trHeight w:val="557"/>
        </w:trPr>
        <w:tc>
          <w:tcPr>
            <w:tcW w:w="2007" w:type="dxa"/>
            <w:vMerge/>
          </w:tcPr>
          <w:p w14:paraId="3BB05EF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tc>
        <w:tc>
          <w:tcPr>
            <w:tcW w:w="2504" w:type="dxa"/>
          </w:tcPr>
          <w:p w14:paraId="7837CDC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10 – 11</w:t>
            </w:r>
          </w:p>
          <w:p w14:paraId="0FDDE692"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12 – 13</w:t>
            </w:r>
          </w:p>
          <w:p w14:paraId="4EE3270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rPr>
              <w:t>14 – 15</w:t>
            </w:r>
          </w:p>
        </w:tc>
        <w:tc>
          <w:tcPr>
            <w:tcW w:w="2594" w:type="dxa"/>
            <w:vMerge/>
          </w:tcPr>
          <w:p w14:paraId="7B5C6BDD"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p>
        </w:tc>
        <w:tc>
          <w:tcPr>
            <w:tcW w:w="2245" w:type="dxa"/>
            <w:vMerge/>
          </w:tcPr>
          <w:p w14:paraId="23A2EBF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p>
        </w:tc>
      </w:tr>
      <w:tr w:rsidR="00514466" w:rsidRPr="00D54C2D" w14:paraId="1859621C" w14:textId="77777777" w:rsidTr="001D2BD3">
        <w:trPr>
          <w:trHeight w:val="557"/>
        </w:trPr>
        <w:tc>
          <w:tcPr>
            <w:tcW w:w="2007" w:type="dxa"/>
            <w:vMerge/>
          </w:tcPr>
          <w:p w14:paraId="6ADBF27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tc>
        <w:tc>
          <w:tcPr>
            <w:tcW w:w="2504" w:type="dxa"/>
          </w:tcPr>
          <w:p w14:paraId="12F1F17D"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No</w:t>
            </w:r>
          </w:p>
        </w:tc>
        <w:tc>
          <w:tcPr>
            <w:tcW w:w="2594" w:type="dxa"/>
          </w:tcPr>
          <w:p w14:paraId="66CA00A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98</w:t>
            </w:r>
          </w:p>
        </w:tc>
        <w:tc>
          <w:tcPr>
            <w:tcW w:w="2245" w:type="dxa"/>
          </w:tcPr>
          <w:p w14:paraId="6E88FCDB"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11.3</w:t>
            </w:r>
          </w:p>
        </w:tc>
      </w:tr>
      <w:tr w:rsidR="00514466" w:rsidRPr="00D54C2D" w14:paraId="3448F67A" w14:textId="77777777" w:rsidTr="001D2BD3">
        <w:trPr>
          <w:trHeight w:val="557"/>
        </w:trPr>
        <w:tc>
          <w:tcPr>
            <w:tcW w:w="2007" w:type="dxa"/>
            <w:vMerge/>
          </w:tcPr>
          <w:p w14:paraId="38158C1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tc>
        <w:tc>
          <w:tcPr>
            <w:tcW w:w="2504" w:type="dxa"/>
          </w:tcPr>
          <w:p w14:paraId="2DABFF8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Total</w:t>
            </w:r>
          </w:p>
        </w:tc>
        <w:tc>
          <w:tcPr>
            <w:tcW w:w="2594" w:type="dxa"/>
          </w:tcPr>
          <w:p w14:paraId="3A75FE0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862</w:t>
            </w:r>
          </w:p>
        </w:tc>
        <w:tc>
          <w:tcPr>
            <w:tcW w:w="2245" w:type="dxa"/>
          </w:tcPr>
          <w:p w14:paraId="5BA06B80"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100.0</w:t>
            </w:r>
          </w:p>
        </w:tc>
      </w:tr>
      <w:tr w:rsidR="00514466" w:rsidRPr="00D54C2D" w14:paraId="19A14A58" w14:textId="77777777" w:rsidTr="001D2BD3">
        <w:trPr>
          <w:trHeight w:val="476"/>
        </w:trPr>
        <w:tc>
          <w:tcPr>
            <w:tcW w:w="2007" w:type="dxa"/>
            <w:vMerge w:val="restart"/>
          </w:tcPr>
          <w:p w14:paraId="6E246C27"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Prior information</w:t>
            </w:r>
          </w:p>
        </w:tc>
        <w:tc>
          <w:tcPr>
            <w:tcW w:w="2504" w:type="dxa"/>
          </w:tcPr>
          <w:p w14:paraId="0655F91A"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Yes</w:t>
            </w:r>
          </w:p>
        </w:tc>
        <w:tc>
          <w:tcPr>
            <w:tcW w:w="2594" w:type="dxa"/>
            <w:vMerge w:val="restart"/>
          </w:tcPr>
          <w:p w14:paraId="2B42015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p>
          <w:p w14:paraId="1E39FE2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58</w:t>
            </w:r>
          </w:p>
          <w:p w14:paraId="31D7398A"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27</w:t>
            </w:r>
          </w:p>
          <w:p w14:paraId="28C73F2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23</w:t>
            </w:r>
          </w:p>
          <w:p w14:paraId="7ECE4A60"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14</w:t>
            </w:r>
          </w:p>
        </w:tc>
        <w:tc>
          <w:tcPr>
            <w:tcW w:w="2245" w:type="dxa"/>
            <w:vMerge w:val="restart"/>
          </w:tcPr>
          <w:p w14:paraId="4B08403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p>
          <w:p w14:paraId="16940A7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54.2</w:t>
            </w:r>
          </w:p>
          <w:p w14:paraId="48636A6D"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25.2</w:t>
            </w:r>
          </w:p>
          <w:p w14:paraId="28F6AB98"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21.5</w:t>
            </w:r>
          </w:p>
          <w:p w14:paraId="1A21B17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13.1</w:t>
            </w:r>
          </w:p>
        </w:tc>
      </w:tr>
      <w:tr w:rsidR="00514466" w:rsidRPr="00D54C2D" w14:paraId="5066937F" w14:textId="77777777" w:rsidTr="001D2BD3">
        <w:trPr>
          <w:trHeight w:val="557"/>
        </w:trPr>
        <w:tc>
          <w:tcPr>
            <w:tcW w:w="2007" w:type="dxa"/>
            <w:vMerge/>
          </w:tcPr>
          <w:p w14:paraId="5BADC2F8"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tc>
        <w:tc>
          <w:tcPr>
            <w:tcW w:w="2504" w:type="dxa"/>
          </w:tcPr>
          <w:p w14:paraId="341D9C5B"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Family members</w:t>
            </w:r>
          </w:p>
          <w:p w14:paraId="6F0416FD"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Doctors</w:t>
            </w:r>
          </w:p>
          <w:p w14:paraId="0AF2D024"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Internet/mass media</w:t>
            </w:r>
          </w:p>
          <w:p w14:paraId="20279BAB"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Friends</w:t>
            </w:r>
          </w:p>
        </w:tc>
        <w:tc>
          <w:tcPr>
            <w:tcW w:w="2594" w:type="dxa"/>
            <w:vMerge/>
          </w:tcPr>
          <w:p w14:paraId="2A8BB78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p>
        </w:tc>
        <w:tc>
          <w:tcPr>
            <w:tcW w:w="2245" w:type="dxa"/>
            <w:vMerge/>
          </w:tcPr>
          <w:p w14:paraId="4D0B952C"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p>
        </w:tc>
      </w:tr>
      <w:tr w:rsidR="00514466" w:rsidRPr="00D54C2D" w14:paraId="0A273082" w14:textId="77777777" w:rsidTr="001D2BD3">
        <w:trPr>
          <w:trHeight w:val="557"/>
        </w:trPr>
        <w:tc>
          <w:tcPr>
            <w:tcW w:w="2007" w:type="dxa"/>
            <w:vMerge/>
          </w:tcPr>
          <w:p w14:paraId="0A35592A"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p>
        </w:tc>
        <w:tc>
          <w:tcPr>
            <w:tcW w:w="2504" w:type="dxa"/>
          </w:tcPr>
          <w:p w14:paraId="3BAA548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rPr>
            </w:pPr>
            <w:r w:rsidRPr="00D54C2D">
              <w:rPr>
                <w:rFonts w:ascii="Times New Roman" w:eastAsia="Calibri" w:hAnsi="Times New Roman" w:cs="Times New Roman"/>
                <w:b/>
                <w:sz w:val="24"/>
                <w:szCs w:val="24"/>
              </w:rPr>
              <w:t>No</w:t>
            </w:r>
          </w:p>
        </w:tc>
        <w:tc>
          <w:tcPr>
            <w:tcW w:w="2594" w:type="dxa"/>
          </w:tcPr>
          <w:p w14:paraId="107AC38D"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755</w:t>
            </w:r>
          </w:p>
        </w:tc>
        <w:tc>
          <w:tcPr>
            <w:tcW w:w="2245" w:type="dxa"/>
          </w:tcPr>
          <w:p w14:paraId="50ACA448"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rPr>
            </w:pPr>
            <w:r w:rsidRPr="00D54C2D">
              <w:rPr>
                <w:rFonts w:ascii="Times New Roman" w:eastAsia="Calibri" w:hAnsi="Times New Roman" w:cs="Times New Roman"/>
                <w:sz w:val="24"/>
                <w:szCs w:val="24"/>
              </w:rPr>
              <w:t>87.6</w:t>
            </w:r>
          </w:p>
        </w:tc>
      </w:tr>
    </w:tbl>
    <w:p w14:paraId="349CB212" w14:textId="77777777" w:rsidR="00A50CF0" w:rsidRPr="00D54C2D" w:rsidRDefault="00A50CF0"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0AB0295D" w14:textId="77777777" w:rsidR="00C454EE" w:rsidRPr="00C454EE" w:rsidRDefault="00C454EE" w:rsidP="00C454EE">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C454EE">
        <w:rPr>
          <w:rFonts w:ascii="Arial" w:eastAsia="Calibri" w:hAnsi="Arial" w:cs="Arial"/>
          <w:bCs/>
          <w:sz w:val="24"/>
          <w:szCs w:val="24"/>
        </w:rPr>
        <w:t>The age distribution of participants showed that the majority (36.4%) were 15 years old, followed by 32.5% aged 14 years, 19.5% aged 13 years, 9.9% aged 16 years, and only 1.7% aged 12 years.</w:t>
      </w:r>
    </w:p>
    <w:p w14:paraId="232F803F" w14:textId="77777777" w:rsidR="00C454EE" w:rsidRPr="00C454EE" w:rsidRDefault="00C454EE" w:rsidP="00C454EE">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C454EE">
        <w:rPr>
          <w:rFonts w:ascii="Arial" w:eastAsia="Calibri" w:hAnsi="Arial" w:cs="Arial"/>
          <w:bCs/>
          <w:sz w:val="24"/>
          <w:szCs w:val="24"/>
        </w:rPr>
        <w:t>Regarding the medium of instruction, most adolescent girls (63.4%) belonged to English-medium schools, while 19.8% were from Kannada-medium schools, and 16.8% were from Urdu-medium schools.</w:t>
      </w:r>
    </w:p>
    <w:p w14:paraId="7057B1D9" w14:textId="77777777" w:rsidR="00C454EE" w:rsidRPr="00C454EE" w:rsidRDefault="00C454EE" w:rsidP="00C454EE">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C454EE">
        <w:rPr>
          <w:rFonts w:ascii="Arial" w:eastAsia="Calibri" w:hAnsi="Arial" w:cs="Arial"/>
          <w:bCs/>
          <w:sz w:val="24"/>
          <w:szCs w:val="24"/>
        </w:rPr>
        <w:t>The academic level of participants indicated that 40.7% were studying in the 10th standard, followed by 34.4% in the 9th standard and 24.9% in the 8th standard.</w:t>
      </w:r>
    </w:p>
    <w:p w14:paraId="6F4EBE2D" w14:textId="77777777" w:rsidR="00C454EE" w:rsidRPr="00C454EE" w:rsidRDefault="00C454EE" w:rsidP="00C454EE">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C454EE">
        <w:rPr>
          <w:rFonts w:ascii="Arial" w:eastAsia="Calibri" w:hAnsi="Arial" w:cs="Arial"/>
          <w:bCs/>
          <w:sz w:val="24"/>
          <w:szCs w:val="24"/>
        </w:rPr>
        <w:t>In terms of residential background, the majority (86.3%) of participants resided in urban areas, while 13.7% belonged to rural areas.</w:t>
      </w:r>
    </w:p>
    <w:p w14:paraId="3AE2B75D" w14:textId="77777777" w:rsidR="00C454EE" w:rsidRPr="00C454EE" w:rsidRDefault="00C454EE" w:rsidP="00C454EE">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C454EE">
        <w:rPr>
          <w:rFonts w:ascii="Arial" w:eastAsia="Calibri" w:hAnsi="Arial" w:cs="Arial"/>
          <w:bCs/>
          <w:sz w:val="24"/>
          <w:szCs w:val="24"/>
        </w:rPr>
        <w:t>Menstrual history analysis revealed that 88.6% of the adolescent girls had attained menarche, with the majority (72.1%) experiencing it between the ages of 12 and 13 years.</w:t>
      </w:r>
    </w:p>
    <w:p w14:paraId="26A13DBC" w14:textId="77777777" w:rsidR="00C454EE" w:rsidRPr="00C454EE" w:rsidRDefault="00C454EE" w:rsidP="00C454EE">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C454EE">
        <w:rPr>
          <w:rFonts w:ascii="Arial" w:eastAsia="Calibri" w:hAnsi="Arial" w:cs="Arial"/>
          <w:bCs/>
          <w:sz w:val="24"/>
          <w:szCs w:val="24"/>
        </w:rPr>
        <w:t xml:space="preserve">Awareness about PCOS/PCOD was found to be significantly low among participants. Out of 862 adolescent girls, 87.6% had no prior knowledge about PCOS, while only 12.4% had some </w:t>
      </w:r>
      <w:r w:rsidRPr="00C454EE">
        <w:rPr>
          <w:rFonts w:ascii="Arial" w:eastAsia="Calibri" w:hAnsi="Arial" w:cs="Arial"/>
          <w:bCs/>
          <w:sz w:val="24"/>
          <w:szCs w:val="24"/>
        </w:rPr>
        <w:lastRenderedPageBreak/>
        <w:t>awareness. Among those who were aware, the primary source of information was family members (54.2%), followed by doctors (25.2%), internet/mass media (21.5%), and friends (13.1%).</w:t>
      </w:r>
    </w:p>
    <w:p w14:paraId="71761883" w14:textId="77777777" w:rsidR="00A50CF0" w:rsidRDefault="00A50CF0"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2DB01FF0" w14:textId="6DDBA7B8" w:rsidR="00952B4B"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r w:rsidRPr="00952B4B">
        <w:rPr>
          <w:rFonts w:ascii="Arial" w:eastAsia="Calibri" w:hAnsi="Arial" w:cs="Arial"/>
          <w:b/>
          <w:sz w:val="24"/>
          <w:szCs w:val="24"/>
        </w:rPr>
        <w:t>Table No.</w:t>
      </w:r>
      <w:r w:rsidR="005411B3">
        <w:rPr>
          <w:rFonts w:ascii="Arial" w:eastAsia="Calibri" w:hAnsi="Arial" w:cs="Arial"/>
          <w:b/>
          <w:sz w:val="24"/>
          <w:szCs w:val="24"/>
        </w:rPr>
        <w:t>2</w:t>
      </w:r>
      <w:r w:rsidRPr="00952B4B">
        <w:rPr>
          <w:rFonts w:ascii="Arial" w:eastAsia="Calibri" w:hAnsi="Arial" w:cs="Arial"/>
          <w:b/>
          <w:sz w:val="24"/>
          <w:szCs w:val="24"/>
        </w:rPr>
        <w:t>: Comparison of knowledge score with demographical profile of adolescent girls</w:t>
      </w:r>
    </w:p>
    <w:p w14:paraId="48755884" w14:textId="77777777" w:rsidR="00952B4B"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tbl>
      <w:tblPr>
        <w:tblStyle w:val="TableGrid"/>
        <w:tblW w:w="0" w:type="auto"/>
        <w:tblLook w:val="04A0" w:firstRow="1" w:lastRow="0" w:firstColumn="1" w:lastColumn="0" w:noHBand="0" w:noVBand="1"/>
      </w:tblPr>
      <w:tblGrid>
        <w:gridCol w:w="1725"/>
        <w:gridCol w:w="1927"/>
        <w:gridCol w:w="1188"/>
        <w:gridCol w:w="1462"/>
        <w:gridCol w:w="1470"/>
        <w:gridCol w:w="1470"/>
      </w:tblGrid>
      <w:tr w:rsidR="00952B4B" w:rsidRPr="00207D4B" w14:paraId="245A8E33" w14:textId="77777777" w:rsidTr="00AF16DB">
        <w:tc>
          <w:tcPr>
            <w:tcW w:w="1725" w:type="dxa"/>
          </w:tcPr>
          <w:p w14:paraId="4E871918" w14:textId="77777777" w:rsidR="00952B4B" w:rsidRPr="00207D4B" w:rsidRDefault="00952B4B" w:rsidP="00AF16DB">
            <w:pPr>
              <w:jc w:val="center"/>
              <w:rPr>
                <w:rFonts w:eastAsia="Times New Roman" w:cstheme="minorHAnsi"/>
                <w:b/>
                <w:color w:val="222222"/>
                <w:sz w:val="24"/>
                <w:szCs w:val="24"/>
                <w:lang w:eastAsia="en-IN"/>
              </w:rPr>
            </w:pPr>
            <w:r w:rsidRPr="00207D4B">
              <w:rPr>
                <w:rFonts w:eastAsia="Times New Roman" w:cstheme="minorHAnsi"/>
                <w:b/>
                <w:color w:val="222222"/>
                <w:sz w:val="24"/>
                <w:szCs w:val="24"/>
                <w:lang w:eastAsia="en-IN"/>
              </w:rPr>
              <w:t>Demographical</w:t>
            </w:r>
          </w:p>
          <w:p w14:paraId="2FDA9A37" w14:textId="77777777" w:rsidR="00952B4B" w:rsidRPr="00207D4B" w:rsidRDefault="00952B4B" w:rsidP="00AF16DB">
            <w:pPr>
              <w:jc w:val="center"/>
              <w:rPr>
                <w:rFonts w:eastAsia="Times New Roman" w:cstheme="minorHAnsi"/>
                <w:b/>
                <w:color w:val="222222"/>
                <w:sz w:val="24"/>
                <w:szCs w:val="24"/>
                <w:lang w:eastAsia="en-IN"/>
              </w:rPr>
            </w:pPr>
            <w:r w:rsidRPr="00207D4B">
              <w:rPr>
                <w:rFonts w:eastAsia="Times New Roman" w:cstheme="minorHAnsi"/>
                <w:b/>
                <w:color w:val="222222"/>
                <w:sz w:val="24"/>
                <w:szCs w:val="24"/>
                <w:lang w:eastAsia="en-IN"/>
              </w:rPr>
              <w:t xml:space="preserve">Profile  </w:t>
            </w:r>
          </w:p>
        </w:tc>
        <w:tc>
          <w:tcPr>
            <w:tcW w:w="1927" w:type="dxa"/>
          </w:tcPr>
          <w:p w14:paraId="705B0A6B" w14:textId="77777777" w:rsidR="00952B4B" w:rsidRPr="00207D4B" w:rsidRDefault="00952B4B" w:rsidP="00AF16DB">
            <w:pPr>
              <w:jc w:val="center"/>
              <w:rPr>
                <w:rFonts w:eastAsia="Times New Roman" w:cstheme="minorHAnsi"/>
                <w:b/>
                <w:color w:val="222222"/>
                <w:sz w:val="24"/>
                <w:szCs w:val="24"/>
                <w:lang w:eastAsia="en-IN"/>
              </w:rPr>
            </w:pPr>
            <w:r w:rsidRPr="00207D4B">
              <w:rPr>
                <w:rFonts w:eastAsia="Times New Roman" w:cstheme="minorHAnsi"/>
                <w:b/>
                <w:color w:val="222222"/>
                <w:sz w:val="24"/>
                <w:szCs w:val="24"/>
                <w:lang w:eastAsia="en-IN"/>
              </w:rPr>
              <w:t xml:space="preserve">Categories </w:t>
            </w:r>
          </w:p>
        </w:tc>
        <w:tc>
          <w:tcPr>
            <w:tcW w:w="1188" w:type="dxa"/>
          </w:tcPr>
          <w:p w14:paraId="6FAB8DEC" w14:textId="77777777" w:rsidR="00952B4B" w:rsidRPr="00471F36"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jc w:val="center"/>
              <w:rPr>
                <w:rFonts w:eastAsia="Calibri" w:cstheme="minorHAnsi"/>
                <w:b/>
                <w:sz w:val="24"/>
                <w:lang w:val="en-US"/>
              </w:rPr>
            </w:pPr>
            <w:r>
              <w:rPr>
                <w:rFonts w:eastAsia="Calibri" w:cstheme="minorHAnsi"/>
                <w:b/>
                <w:sz w:val="24"/>
                <w:lang w:val="en-US"/>
              </w:rPr>
              <w:t xml:space="preserve">Number of girls </w:t>
            </w:r>
          </w:p>
        </w:tc>
        <w:tc>
          <w:tcPr>
            <w:tcW w:w="1462" w:type="dxa"/>
          </w:tcPr>
          <w:p w14:paraId="23709C09" w14:textId="77777777" w:rsidR="00952B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jc w:val="center"/>
              <w:rPr>
                <w:rFonts w:eastAsia="Calibri" w:cstheme="minorHAnsi"/>
                <w:b/>
                <w:sz w:val="24"/>
                <w:lang w:val="en-US"/>
              </w:rPr>
            </w:pPr>
            <w:r>
              <w:rPr>
                <w:rFonts w:eastAsia="Calibri" w:cstheme="minorHAnsi"/>
                <w:b/>
                <w:sz w:val="24"/>
                <w:lang w:val="en-US"/>
              </w:rPr>
              <w:t>Pre-Test</w:t>
            </w:r>
          </w:p>
          <w:p w14:paraId="321EBE24" w14:textId="77777777" w:rsidR="00952B4B" w:rsidRPr="00471F36"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jc w:val="center"/>
              <w:rPr>
                <w:rFonts w:eastAsia="Calibri" w:cstheme="minorHAnsi"/>
                <w:b/>
                <w:sz w:val="24"/>
                <w:lang w:val="en-US"/>
              </w:rPr>
            </w:pPr>
            <w:r>
              <w:rPr>
                <w:rFonts w:eastAsia="Calibri" w:cstheme="minorHAnsi"/>
                <w:b/>
                <w:sz w:val="24"/>
                <w:lang w:val="en-US"/>
              </w:rPr>
              <w:t>Mean ± SD</w:t>
            </w:r>
          </w:p>
        </w:tc>
        <w:tc>
          <w:tcPr>
            <w:tcW w:w="1470" w:type="dxa"/>
          </w:tcPr>
          <w:p w14:paraId="60713FBF" w14:textId="77777777" w:rsidR="00952B4B" w:rsidRPr="00471F36"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jc w:val="center"/>
              <w:rPr>
                <w:rFonts w:eastAsia="Calibri" w:cstheme="minorHAnsi"/>
                <w:b/>
                <w:sz w:val="24"/>
                <w:lang w:val="en-US"/>
              </w:rPr>
            </w:pPr>
            <w:r>
              <w:rPr>
                <w:rFonts w:eastAsia="Calibri" w:cstheme="minorHAnsi"/>
                <w:b/>
                <w:sz w:val="24"/>
                <w:lang w:val="en-US"/>
              </w:rPr>
              <w:t>Mean %</w:t>
            </w:r>
          </w:p>
        </w:tc>
        <w:tc>
          <w:tcPr>
            <w:tcW w:w="1470" w:type="dxa"/>
          </w:tcPr>
          <w:p w14:paraId="73A765F7" w14:textId="77777777" w:rsidR="00952B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jc w:val="center"/>
              <w:rPr>
                <w:rFonts w:eastAsia="Calibri" w:cstheme="minorHAnsi"/>
                <w:b/>
                <w:sz w:val="24"/>
                <w:lang w:val="en-US"/>
              </w:rPr>
            </w:pPr>
            <w:r>
              <w:rPr>
                <w:rFonts w:eastAsia="Calibri" w:cstheme="minorHAnsi"/>
                <w:b/>
                <w:sz w:val="24"/>
                <w:lang w:val="en-US"/>
              </w:rPr>
              <w:t xml:space="preserve"> Test- values</w:t>
            </w:r>
          </w:p>
          <w:p w14:paraId="77FF9DED" w14:textId="77777777" w:rsidR="00952B4B" w:rsidRPr="00471F36"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jc w:val="center"/>
              <w:rPr>
                <w:rFonts w:eastAsia="Calibri" w:cstheme="minorHAnsi"/>
                <w:b/>
                <w:sz w:val="24"/>
                <w:lang w:val="en-US"/>
              </w:rPr>
            </w:pPr>
            <w:r>
              <w:rPr>
                <w:rFonts w:eastAsia="Calibri" w:cstheme="minorHAnsi"/>
                <w:b/>
                <w:sz w:val="24"/>
                <w:lang w:val="en-US"/>
              </w:rPr>
              <w:t>P-value</w:t>
            </w:r>
            <w:r w:rsidRPr="00471F36">
              <w:rPr>
                <w:rFonts w:eastAsia="Calibri" w:cstheme="minorHAnsi"/>
                <w:b/>
                <w:sz w:val="24"/>
                <w:lang w:val="en-US"/>
              </w:rPr>
              <w:t xml:space="preserve"> </w:t>
            </w:r>
          </w:p>
        </w:tc>
      </w:tr>
      <w:tr w:rsidR="00952B4B" w:rsidRPr="00207D4B" w14:paraId="6043C9DC" w14:textId="77777777" w:rsidTr="00AF16DB">
        <w:tc>
          <w:tcPr>
            <w:tcW w:w="1725" w:type="dxa"/>
            <w:vMerge w:val="restart"/>
          </w:tcPr>
          <w:p w14:paraId="410E132B" w14:textId="77777777" w:rsidR="00952B4B" w:rsidRDefault="00952B4B" w:rsidP="00AF16DB">
            <w:pPr>
              <w:jc w:val="center"/>
              <w:rPr>
                <w:rFonts w:eastAsia="Times New Roman" w:cstheme="minorHAnsi"/>
                <w:b/>
                <w:color w:val="222222"/>
                <w:sz w:val="24"/>
                <w:szCs w:val="24"/>
                <w:lang w:eastAsia="en-IN"/>
              </w:rPr>
            </w:pPr>
          </w:p>
          <w:p w14:paraId="54022DE3" w14:textId="77777777" w:rsidR="00952B4B" w:rsidRPr="00207D4B" w:rsidRDefault="00952B4B" w:rsidP="00AF16DB">
            <w:pPr>
              <w:jc w:val="center"/>
              <w:rPr>
                <w:rFonts w:eastAsia="Times New Roman" w:cstheme="minorHAnsi"/>
                <w:b/>
                <w:color w:val="222222"/>
                <w:sz w:val="24"/>
                <w:szCs w:val="24"/>
                <w:lang w:eastAsia="en-IN"/>
              </w:rPr>
            </w:pPr>
            <w:r w:rsidRPr="00207D4B">
              <w:rPr>
                <w:rFonts w:eastAsia="Times New Roman" w:cstheme="minorHAnsi"/>
                <w:b/>
                <w:color w:val="222222"/>
                <w:sz w:val="24"/>
                <w:szCs w:val="24"/>
                <w:lang w:eastAsia="en-IN"/>
              </w:rPr>
              <w:t xml:space="preserve">Age </w:t>
            </w:r>
          </w:p>
        </w:tc>
        <w:tc>
          <w:tcPr>
            <w:tcW w:w="1927" w:type="dxa"/>
          </w:tcPr>
          <w:p w14:paraId="72A7526D" w14:textId="77777777" w:rsidR="00952B4B" w:rsidRPr="00207D4B" w:rsidRDefault="00952B4B" w:rsidP="00AF16DB">
            <w:pPr>
              <w:spacing w:line="360" w:lineRule="auto"/>
              <w:jc w:val="center"/>
              <w:rPr>
                <w:rFonts w:eastAsia="Times New Roman" w:cstheme="minorHAnsi"/>
                <w:color w:val="222222"/>
                <w:sz w:val="24"/>
                <w:szCs w:val="24"/>
                <w:lang w:eastAsia="en-IN"/>
              </w:rPr>
            </w:pPr>
            <w:r w:rsidRPr="00207D4B">
              <w:rPr>
                <w:rFonts w:eastAsia="Times New Roman" w:cstheme="minorHAnsi"/>
                <w:color w:val="222222"/>
                <w:sz w:val="24"/>
                <w:szCs w:val="24"/>
                <w:lang w:eastAsia="en-IN"/>
              </w:rPr>
              <w:t>12</w:t>
            </w:r>
          </w:p>
        </w:tc>
        <w:tc>
          <w:tcPr>
            <w:tcW w:w="1188" w:type="dxa"/>
          </w:tcPr>
          <w:p w14:paraId="18120E32"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207D4B">
              <w:rPr>
                <w:rFonts w:eastAsia="Calibri" w:cstheme="minorHAnsi"/>
                <w:sz w:val="24"/>
                <w:szCs w:val="24"/>
                <w:lang w:val="en-US"/>
              </w:rPr>
              <w:t>15</w:t>
            </w:r>
          </w:p>
        </w:tc>
        <w:tc>
          <w:tcPr>
            <w:tcW w:w="1462" w:type="dxa"/>
          </w:tcPr>
          <w:p w14:paraId="07B74B8A" w14:textId="77777777" w:rsidR="00952B4B" w:rsidRPr="00AF5BBA"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AF5BBA">
              <w:rPr>
                <w:rFonts w:eastAsia="Calibri" w:cstheme="minorHAnsi"/>
                <w:sz w:val="24"/>
                <w:szCs w:val="24"/>
                <w:lang w:val="en-US"/>
              </w:rPr>
              <w:t>6.67 ± 2.74</w:t>
            </w:r>
          </w:p>
        </w:tc>
        <w:tc>
          <w:tcPr>
            <w:tcW w:w="1470" w:type="dxa"/>
          </w:tcPr>
          <w:p w14:paraId="1DD9A987" w14:textId="77777777" w:rsidR="00952B4B" w:rsidRPr="00AF5BBA"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AF5BBA">
              <w:rPr>
                <w:rFonts w:eastAsia="Calibri" w:cstheme="minorHAnsi"/>
                <w:sz w:val="24"/>
                <w:szCs w:val="24"/>
                <w:lang w:val="en-US"/>
              </w:rPr>
              <w:t>33.35%</w:t>
            </w:r>
          </w:p>
        </w:tc>
        <w:tc>
          <w:tcPr>
            <w:tcW w:w="1470" w:type="dxa"/>
            <w:vMerge w:val="restart"/>
          </w:tcPr>
          <w:p w14:paraId="424962F4" w14:textId="77777777" w:rsidR="00952B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76" w:lineRule="auto"/>
              <w:jc w:val="center"/>
              <w:rPr>
                <w:rFonts w:eastAsia="Calibri" w:cstheme="minorHAnsi"/>
                <w:b/>
                <w:sz w:val="24"/>
                <w:lang w:val="en-US"/>
              </w:rPr>
            </w:pPr>
          </w:p>
          <w:p w14:paraId="14660C5A" w14:textId="77777777" w:rsidR="00952B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76" w:lineRule="auto"/>
              <w:jc w:val="center"/>
              <w:rPr>
                <w:rFonts w:eastAsia="Calibri" w:cstheme="minorHAnsi"/>
                <w:b/>
                <w:sz w:val="24"/>
                <w:lang w:val="en-US"/>
              </w:rPr>
            </w:pPr>
            <w:r>
              <w:rPr>
                <w:rFonts w:eastAsia="Calibri" w:cstheme="minorHAnsi"/>
                <w:b/>
                <w:sz w:val="24"/>
                <w:lang w:val="en-US"/>
              </w:rPr>
              <w:t>F = 4.501</w:t>
            </w:r>
          </w:p>
          <w:p w14:paraId="29F486C7" w14:textId="77777777" w:rsidR="00952B4B" w:rsidRDefault="00952B4B" w:rsidP="00AF16DB">
            <w:pPr>
              <w:spacing w:line="360" w:lineRule="auto"/>
              <w:jc w:val="center"/>
              <w:rPr>
                <w:rFonts w:eastAsia="Times New Roman" w:cstheme="minorHAnsi"/>
                <w:color w:val="222222"/>
                <w:sz w:val="24"/>
                <w:szCs w:val="24"/>
                <w:lang w:eastAsia="en-IN"/>
              </w:rPr>
            </w:pPr>
            <w:r>
              <w:rPr>
                <w:rFonts w:eastAsia="Calibri" w:cstheme="minorHAnsi"/>
                <w:b/>
                <w:sz w:val="24"/>
                <w:lang w:val="en-US"/>
              </w:rPr>
              <w:t>P =0.</w:t>
            </w:r>
            <w:proofErr w:type="gramStart"/>
            <w:r>
              <w:rPr>
                <w:rFonts w:eastAsia="Calibri" w:cstheme="minorHAnsi"/>
                <w:b/>
                <w:sz w:val="24"/>
                <w:lang w:val="en-US"/>
              </w:rPr>
              <w:t>001,  HS</w:t>
            </w:r>
            <w:proofErr w:type="gramEnd"/>
          </w:p>
          <w:p w14:paraId="24E34EF8" w14:textId="77777777" w:rsidR="00952B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b/>
                <w:sz w:val="24"/>
                <w:szCs w:val="24"/>
                <w:lang w:val="en-US"/>
              </w:rPr>
            </w:pPr>
          </w:p>
          <w:p w14:paraId="3F594F4B"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b/>
                <w:sz w:val="24"/>
                <w:szCs w:val="24"/>
                <w:lang w:val="en-US"/>
              </w:rPr>
            </w:pPr>
          </w:p>
        </w:tc>
      </w:tr>
      <w:tr w:rsidR="00952B4B" w:rsidRPr="00207D4B" w14:paraId="5AAD8471" w14:textId="77777777" w:rsidTr="00AF16DB">
        <w:tc>
          <w:tcPr>
            <w:tcW w:w="1725" w:type="dxa"/>
            <w:vMerge/>
          </w:tcPr>
          <w:p w14:paraId="23A3E00E" w14:textId="77777777" w:rsidR="00952B4B" w:rsidRPr="00207D4B" w:rsidRDefault="00952B4B" w:rsidP="00AF16DB">
            <w:pPr>
              <w:jc w:val="center"/>
              <w:rPr>
                <w:rFonts w:eastAsia="Times New Roman" w:cstheme="minorHAnsi"/>
                <w:b/>
                <w:color w:val="222222"/>
                <w:sz w:val="24"/>
                <w:szCs w:val="24"/>
                <w:lang w:eastAsia="en-IN"/>
              </w:rPr>
            </w:pPr>
          </w:p>
        </w:tc>
        <w:tc>
          <w:tcPr>
            <w:tcW w:w="1927" w:type="dxa"/>
          </w:tcPr>
          <w:p w14:paraId="60D73879" w14:textId="77777777" w:rsidR="00952B4B" w:rsidRPr="00207D4B" w:rsidRDefault="00952B4B" w:rsidP="00AF16DB">
            <w:pPr>
              <w:spacing w:line="360" w:lineRule="auto"/>
              <w:jc w:val="center"/>
              <w:rPr>
                <w:rFonts w:eastAsia="Times New Roman" w:cstheme="minorHAnsi"/>
                <w:color w:val="222222"/>
                <w:sz w:val="24"/>
                <w:szCs w:val="24"/>
                <w:lang w:eastAsia="en-IN"/>
              </w:rPr>
            </w:pPr>
            <w:r w:rsidRPr="00207D4B">
              <w:rPr>
                <w:rFonts w:eastAsia="Times New Roman" w:cstheme="minorHAnsi"/>
                <w:color w:val="222222"/>
                <w:sz w:val="24"/>
                <w:szCs w:val="24"/>
                <w:lang w:eastAsia="en-IN"/>
              </w:rPr>
              <w:t>13</w:t>
            </w:r>
          </w:p>
        </w:tc>
        <w:tc>
          <w:tcPr>
            <w:tcW w:w="1188" w:type="dxa"/>
          </w:tcPr>
          <w:p w14:paraId="3B9E6D6C"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207D4B">
              <w:rPr>
                <w:rFonts w:eastAsia="Calibri" w:cstheme="minorHAnsi"/>
                <w:sz w:val="24"/>
                <w:szCs w:val="24"/>
                <w:lang w:val="en-US"/>
              </w:rPr>
              <w:t>168</w:t>
            </w:r>
          </w:p>
        </w:tc>
        <w:tc>
          <w:tcPr>
            <w:tcW w:w="1462" w:type="dxa"/>
          </w:tcPr>
          <w:p w14:paraId="47D89E8D" w14:textId="77777777" w:rsidR="00952B4B" w:rsidRPr="00AF5BBA"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6.33 ± 2.52</w:t>
            </w:r>
          </w:p>
        </w:tc>
        <w:tc>
          <w:tcPr>
            <w:tcW w:w="1470" w:type="dxa"/>
          </w:tcPr>
          <w:p w14:paraId="5C476AA7"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31.65%</w:t>
            </w:r>
          </w:p>
        </w:tc>
        <w:tc>
          <w:tcPr>
            <w:tcW w:w="1470" w:type="dxa"/>
            <w:vMerge/>
          </w:tcPr>
          <w:p w14:paraId="3AD363EE"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0276E03C" w14:textId="77777777" w:rsidTr="00AF16DB">
        <w:tc>
          <w:tcPr>
            <w:tcW w:w="1725" w:type="dxa"/>
            <w:vMerge/>
          </w:tcPr>
          <w:p w14:paraId="4DBEBADE" w14:textId="77777777" w:rsidR="00952B4B" w:rsidRPr="00207D4B" w:rsidRDefault="00952B4B" w:rsidP="00AF16DB">
            <w:pPr>
              <w:jc w:val="center"/>
              <w:rPr>
                <w:rFonts w:eastAsia="Times New Roman" w:cstheme="minorHAnsi"/>
                <w:b/>
                <w:color w:val="222222"/>
                <w:sz w:val="24"/>
                <w:szCs w:val="24"/>
                <w:lang w:eastAsia="en-IN"/>
              </w:rPr>
            </w:pPr>
          </w:p>
        </w:tc>
        <w:tc>
          <w:tcPr>
            <w:tcW w:w="1927" w:type="dxa"/>
          </w:tcPr>
          <w:p w14:paraId="2913ABFE" w14:textId="77777777" w:rsidR="00952B4B" w:rsidRPr="00207D4B" w:rsidRDefault="00952B4B" w:rsidP="00AF16DB">
            <w:pPr>
              <w:spacing w:line="360" w:lineRule="auto"/>
              <w:jc w:val="center"/>
              <w:rPr>
                <w:rFonts w:eastAsia="Times New Roman" w:cstheme="minorHAnsi"/>
                <w:color w:val="222222"/>
                <w:sz w:val="24"/>
                <w:szCs w:val="24"/>
                <w:lang w:eastAsia="en-IN"/>
              </w:rPr>
            </w:pPr>
            <w:r w:rsidRPr="00207D4B">
              <w:rPr>
                <w:rFonts w:eastAsia="Times New Roman" w:cstheme="minorHAnsi"/>
                <w:color w:val="222222"/>
                <w:sz w:val="24"/>
                <w:szCs w:val="24"/>
                <w:lang w:eastAsia="en-IN"/>
              </w:rPr>
              <w:t>14</w:t>
            </w:r>
          </w:p>
        </w:tc>
        <w:tc>
          <w:tcPr>
            <w:tcW w:w="1188" w:type="dxa"/>
          </w:tcPr>
          <w:p w14:paraId="72BA04D7"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207D4B">
              <w:rPr>
                <w:rFonts w:eastAsia="Calibri" w:cstheme="minorHAnsi"/>
                <w:sz w:val="24"/>
                <w:szCs w:val="24"/>
                <w:lang w:val="en-US"/>
              </w:rPr>
              <w:t>280</w:t>
            </w:r>
          </w:p>
        </w:tc>
        <w:tc>
          <w:tcPr>
            <w:tcW w:w="1462" w:type="dxa"/>
          </w:tcPr>
          <w:p w14:paraId="65589694" w14:textId="77777777" w:rsidR="00952B4B" w:rsidRPr="00AF5BBA"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7.32 ± 3.00</w:t>
            </w:r>
          </w:p>
        </w:tc>
        <w:tc>
          <w:tcPr>
            <w:tcW w:w="1470" w:type="dxa"/>
          </w:tcPr>
          <w:p w14:paraId="129589F4"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36.60%</w:t>
            </w:r>
          </w:p>
        </w:tc>
        <w:tc>
          <w:tcPr>
            <w:tcW w:w="1470" w:type="dxa"/>
            <w:vMerge/>
          </w:tcPr>
          <w:p w14:paraId="0DDA157C"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019EED50" w14:textId="77777777" w:rsidTr="00AF16DB">
        <w:tc>
          <w:tcPr>
            <w:tcW w:w="1725" w:type="dxa"/>
            <w:vMerge/>
          </w:tcPr>
          <w:p w14:paraId="25851B64" w14:textId="77777777" w:rsidR="00952B4B" w:rsidRPr="00207D4B" w:rsidRDefault="00952B4B" w:rsidP="00AF16DB">
            <w:pPr>
              <w:jc w:val="center"/>
              <w:rPr>
                <w:rFonts w:eastAsia="Times New Roman" w:cstheme="minorHAnsi"/>
                <w:b/>
                <w:color w:val="222222"/>
                <w:sz w:val="24"/>
                <w:szCs w:val="24"/>
                <w:lang w:eastAsia="en-IN"/>
              </w:rPr>
            </w:pPr>
          </w:p>
        </w:tc>
        <w:tc>
          <w:tcPr>
            <w:tcW w:w="1927" w:type="dxa"/>
          </w:tcPr>
          <w:p w14:paraId="7E788AA4" w14:textId="77777777" w:rsidR="00952B4B" w:rsidRPr="00207D4B" w:rsidRDefault="00952B4B" w:rsidP="00AF16DB">
            <w:pPr>
              <w:spacing w:line="360" w:lineRule="auto"/>
              <w:jc w:val="center"/>
              <w:rPr>
                <w:rFonts w:eastAsia="Times New Roman" w:cstheme="minorHAnsi"/>
                <w:color w:val="222222"/>
                <w:sz w:val="24"/>
                <w:szCs w:val="24"/>
                <w:lang w:eastAsia="en-IN"/>
              </w:rPr>
            </w:pPr>
            <w:r w:rsidRPr="00207D4B">
              <w:rPr>
                <w:rFonts w:eastAsia="Times New Roman" w:cstheme="minorHAnsi"/>
                <w:color w:val="222222"/>
                <w:sz w:val="24"/>
                <w:szCs w:val="24"/>
                <w:lang w:eastAsia="en-IN"/>
              </w:rPr>
              <w:t>15</w:t>
            </w:r>
          </w:p>
        </w:tc>
        <w:tc>
          <w:tcPr>
            <w:tcW w:w="1188" w:type="dxa"/>
          </w:tcPr>
          <w:p w14:paraId="716BB913"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207D4B">
              <w:rPr>
                <w:rFonts w:eastAsia="Calibri" w:cstheme="minorHAnsi"/>
                <w:sz w:val="24"/>
                <w:szCs w:val="24"/>
                <w:lang w:val="en-US"/>
              </w:rPr>
              <w:t>314</w:t>
            </w:r>
          </w:p>
        </w:tc>
        <w:tc>
          <w:tcPr>
            <w:tcW w:w="1462" w:type="dxa"/>
          </w:tcPr>
          <w:p w14:paraId="4CA805B6" w14:textId="77777777" w:rsidR="00952B4B" w:rsidRPr="00AF5BBA"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7.43 ± 3.06</w:t>
            </w:r>
          </w:p>
        </w:tc>
        <w:tc>
          <w:tcPr>
            <w:tcW w:w="1470" w:type="dxa"/>
          </w:tcPr>
          <w:p w14:paraId="64F0020A"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37.15</w:t>
            </w:r>
          </w:p>
        </w:tc>
        <w:tc>
          <w:tcPr>
            <w:tcW w:w="1470" w:type="dxa"/>
            <w:vMerge/>
          </w:tcPr>
          <w:p w14:paraId="668B1B30"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500F1BEF" w14:textId="77777777" w:rsidTr="00AF16DB">
        <w:tc>
          <w:tcPr>
            <w:tcW w:w="1725" w:type="dxa"/>
            <w:vMerge/>
          </w:tcPr>
          <w:p w14:paraId="4902C69E" w14:textId="77777777" w:rsidR="00952B4B" w:rsidRPr="00207D4B" w:rsidRDefault="00952B4B" w:rsidP="00AF16DB">
            <w:pPr>
              <w:jc w:val="center"/>
              <w:rPr>
                <w:rFonts w:eastAsia="Times New Roman" w:cstheme="minorHAnsi"/>
                <w:b/>
                <w:color w:val="222222"/>
                <w:sz w:val="24"/>
                <w:szCs w:val="24"/>
                <w:lang w:eastAsia="en-IN"/>
              </w:rPr>
            </w:pPr>
          </w:p>
        </w:tc>
        <w:tc>
          <w:tcPr>
            <w:tcW w:w="1927" w:type="dxa"/>
          </w:tcPr>
          <w:p w14:paraId="0A8A69DA" w14:textId="77777777" w:rsidR="00952B4B" w:rsidRPr="00207D4B" w:rsidRDefault="00952B4B" w:rsidP="00AF16DB">
            <w:pPr>
              <w:spacing w:line="360" w:lineRule="auto"/>
              <w:jc w:val="center"/>
              <w:rPr>
                <w:rFonts w:eastAsia="Times New Roman" w:cstheme="minorHAnsi"/>
                <w:color w:val="222222"/>
                <w:sz w:val="24"/>
                <w:szCs w:val="24"/>
                <w:lang w:eastAsia="en-IN"/>
              </w:rPr>
            </w:pPr>
            <w:r w:rsidRPr="00207D4B">
              <w:rPr>
                <w:rFonts w:eastAsia="Times New Roman" w:cstheme="minorHAnsi"/>
                <w:color w:val="222222"/>
                <w:sz w:val="24"/>
                <w:szCs w:val="24"/>
                <w:lang w:eastAsia="en-IN"/>
              </w:rPr>
              <w:t>16</w:t>
            </w:r>
          </w:p>
        </w:tc>
        <w:tc>
          <w:tcPr>
            <w:tcW w:w="1188" w:type="dxa"/>
          </w:tcPr>
          <w:p w14:paraId="7B0B95F3"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207D4B">
              <w:rPr>
                <w:rFonts w:eastAsia="Calibri" w:cstheme="minorHAnsi"/>
                <w:sz w:val="24"/>
                <w:szCs w:val="24"/>
                <w:lang w:val="en-US"/>
              </w:rPr>
              <w:t>85</w:t>
            </w:r>
          </w:p>
        </w:tc>
        <w:tc>
          <w:tcPr>
            <w:tcW w:w="1462" w:type="dxa"/>
          </w:tcPr>
          <w:p w14:paraId="06848F9B" w14:textId="77777777" w:rsidR="00952B4B" w:rsidRPr="00AF5BBA"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7.42 ± 2.99</w:t>
            </w:r>
          </w:p>
        </w:tc>
        <w:tc>
          <w:tcPr>
            <w:tcW w:w="1470" w:type="dxa"/>
          </w:tcPr>
          <w:p w14:paraId="2685D865"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37.10</w:t>
            </w:r>
          </w:p>
        </w:tc>
        <w:tc>
          <w:tcPr>
            <w:tcW w:w="1470" w:type="dxa"/>
            <w:vMerge/>
          </w:tcPr>
          <w:p w14:paraId="77CB5F2C"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3ACDCDE0" w14:textId="77777777" w:rsidTr="00AF16DB">
        <w:tc>
          <w:tcPr>
            <w:tcW w:w="1725" w:type="dxa"/>
            <w:vMerge w:val="restart"/>
          </w:tcPr>
          <w:p w14:paraId="6EAF90E3" w14:textId="77777777" w:rsidR="00952B4B" w:rsidRDefault="00952B4B" w:rsidP="00AF16DB">
            <w:pPr>
              <w:jc w:val="center"/>
              <w:rPr>
                <w:rFonts w:eastAsia="Times New Roman" w:cstheme="minorHAnsi"/>
                <w:b/>
                <w:color w:val="222222"/>
                <w:sz w:val="24"/>
                <w:szCs w:val="24"/>
                <w:lang w:eastAsia="en-IN"/>
              </w:rPr>
            </w:pPr>
          </w:p>
          <w:p w14:paraId="60565856" w14:textId="77777777" w:rsidR="00952B4B" w:rsidRPr="00207D4B" w:rsidRDefault="00952B4B" w:rsidP="00AF16DB">
            <w:pPr>
              <w:jc w:val="center"/>
              <w:rPr>
                <w:rFonts w:eastAsia="Times New Roman" w:cstheme="minorHAnsi"/>
                <w:b/>
                <w:color w:val="222222"/>
                <w:sz w:val="24"/>
                <w:szCs w:val="24"/>
                <w:lang w:eastAsia="en-IN"/>
              </w:rPr>
            </w:pPr>
            <w:r w:rsidRPr="00207D4B">
              <w:rPr>
                <w:rFonts w:eastAsia="Times New Roman" w:cstheme="minorHAnsi"/>
                <w:b/>
                <w:color w:val="222222"/>
                <w:sz w:val="24"/>
                <w:szCs w:val="24"/>
                <w:lang w:eastAsia="en-IN"/>
              </w:rPr>
              <w:t xml:space="preserve">Study class </w:t>
            </w:r>
          </w:p>
        </w:tc>
        <w:tc>
          <w:tcPr>
            <w:tcW w:w="1927" w:type="dxa"/>
          </w:tcPr>
          <w:p w14:paraId="6B87CF74" w14:textId="77777777" w:rsidR="00952B4B" w:rsidRPr="00207D4B" w:rsidRDefault="00952B4B" w:rsidP="00AF16DB">
            <w:pPr>
              <w:spacing w:line="360" w:lineRule="auto"/>
              <w:jc w:val="center"/>
              <w:rPr>
                <w:rFonts w:eastAsia="Times New Roman" w:cstheme="minorHAnsi"/>
                <w:color w:val="222222"/>
                <w:sz w:val="24"/>
                <w:szCs w:val="24"/>
                <w:lang w:eastAsia="en-IN"/>
              </w:rPr>
            </w:pPr>
            <w:r w:rsidRPr="00207D4B">
              <w:rPr>
                <w:rFonts w:eastAsia="Times New Roman" w:cstheme="minorHAnsi"/>
                <w:color w:val="222222"/>
                <w:sz w:val="24"/>
                <w:szCs w:val="24"/>
                <w:lang w:eastAsia="en-IN"/>
              </w:rPr>
              <w:t>8</w:t>
            </w:r>
            <w:r w:rsidRPr="00207D4B">
              <w:rPr>
                <w:rFonts w:eastAsia="Times New Roman" w:cstheme="minorHAnsi"/>
                <w:color w:val="222222"/>
                <w:sz w:val="24"/>
                <w:szCs w:val="24"/>
                <w:vertAlign w:val="superscript"/>
                <w:lang w:eastAsia="en-IN"/>
              </w:rPr>
              <w:t>th</w:t>
            </w:r>
            <w:r w:rsidRPr="00207D4B">
              <w:rPr>
                <w:rFonts w:eastAsia="Times New Roman" w:cstheme="minorHAnsi"/>
                <w:color w:val="222222"/>
                <w:sz w:val="24"/>
                <w:szCs w:val="24"/>
                <w:lang w:eastAsia="en-IN"/>
              </w:rPr>
              <w:t xml:space="preserve"> std.</w:t>
            </w:r>
          </w:p>
        </w:tc>
        <w:tc>
          <w:tcPr>
            <w:tcW w:w="1188" w:type="dxa"/>
          </w:tcPr>
          <w:p w14:paraId="542E8AC7"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207D4B">
              <w:rPr>
                <w:rFonts w:eastAsia="Calibri" w:cstheme="minorHAnsi"/>
                <w:sz w:val="24"/>
                <w:szCs w:val="24"/>
                <w:lang w:val="en-US"/>
              </w:rPr>
              <w:t>215</w:t>
            </w:r>
          </w:p>
        </w:tc>
        <w:tc>
          <w:tcPr>
            <w:tcW w:w="1462" w:type="dxa"/>
          </w:tcPr>
          <w:p w14:paraId="188ED507"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6.49 ± 2.59</w:t>
            </w:r>
          </w:p>
        </w:tc>
        <w:tc>
          <w:tcPr>
            <w:tcW w:w="1470" w:type="dxa"/>
          </w:tcPr>
          <w:p w14:paraId="3A8F3420"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32.45%</w:t>
            </w:r>
          </w:p>
        </w:tc>
        <w:tc>
          <w:tcPr>
            <w:tcW w:w="1470" w:type="dxa"/>
            <w:vMerge w:val="restart"/>
          </w:tcPr>
          <w:p w14:paraId="22CF8D83" w14:textId="77777777" w:rsidR="00952B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76" w:lineRule="auto"/>
              <w:jc w:val="center"/>
              <w:rPr>
                <w:rFonts w:eastAsia="Calibri" w:cstheme="minorHAnsi"/>
                <w:b/>
                <w:sz w:val="24"/>
                <w:lang w:val="en-US"/>
              </w:rPr>
            </w:pPr>
            <w:r>
              <w:rPr>
                <w:rFonts w:eastAsia="Calibri" w:cstheme="minorHAnsi"/>
                <w:b/>
                <w:sz w:val="24"/>
                <w:lang w:val="en-US"/>
              </w:rPr>
              <w:t>F = 13.797</w:t>
            </w:r>
          </w:p>
          <w:p w14:paraId="0F74A4EC" w14:textId="77777777" w:rsidR="00952B4B" w:rsidRDefault="00952B4B" w:rsidP="00AF16DB">
            <w:pPr>
              <w:spacing w:line="360" w:lineRule="auto"/>
              <w:jc w:val="center"/>
              <w:rPr>
                <w:rFonts w:eastAsia="Times New Roman" w:cstheme="minorHAnsi"/>
                <w:color w:val="222222"/>
                <w:sz w:val="24"/>
                <w:szCs w:val="24"/>
                <w:lang w:eastAsia="en-IN"/>
              </w:rPr>
            </w:pPr>
            <w:r>
              <w:rPr>
                <w:rFonts w:eastAsia="Calibri" w:cstheme="minorHAnsi"/>
                <w:b/>
                <w:sz w:val="24"/>
                <w:lang w:val="en-US"/>
              </w:rPr>
              <w:t>P =0.</w:t>
            </w:r>
            <w:proofErr w:type="gramStart"/>
            <w:r>
              <w:rPr>
                <w:rFonts w:eastAsia="Calibri" w:cstheme="minorHAnsi"/>
                <w:b/>
                <w:sz w:val="24"/>
                <w:lang w:val="en-US"/>
              </w:rPr>
              <w:t>000,  HS</w:t>
            </w:r>
            <w:proofErr w:type="gramEnd"/>
          </w:p>
          <w:p w14:paraId="08E7AC68"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1B07B82F" w14:textId="77777777" w:rsidTr="00AF16DB">
        <w:tc>
          <w:tcPr>
            <w:tcW w:w="1725" w:type="dxa"/>
            <w:vMerge/>
          </w:tcPr>
          <w:p w14:paraId="045FD7C8" w14:textId="77777777" w:rsidR="00952B4B" w:rsidRPr="00207D4B" w:rsidRDefault="00952B4B" w:rsidP="00AF16DB">
            <w:pPr>
              <w:jc w:val="center"/>
              <w:rPr>
                <w:rFonts w:eastAsia="Times New Roman" w:cstheme="minorHAnsi"/>
                <w:b/>
                <w:color w:val="222222"/>
                <w:sz w:val="24"/>
                <w:szCs w:val="24"/>
                <w:lang w:eastAsia="en-IN"/>
              </w:rPr>
            </w:pPr>
          </w:p>
        </w:tc>
        <w:tc>
          <w:tcPr>
            <w:tcW w:w="1927" w:type="dxa"/>
          </w:tcPr>
          <w:p w14:paraId="6BE5B91E" w14:textId="77777777" w:rsidR="00952B4B" w:rsidRPr="00207D4B" w:rsidRDefault="00952B4B" w:rsidP="00AF16DB">
            <w:pPr>
              <w:spacing w:line="360" w:lineRule="auto"/>
              <w:jc w:val="center"/>
              <w:rPr>
                <w:rFonts w:eastAsia="Times New Roman" w:cstheme="minorHAnsi"/>
                <w:color w:val="222222"/>
                <w:sz w:val="24"/>
                <w:szCs w:val="24"/>
                <w:lang w:eastAsia="en-IN"/>
              </w:rPr>
            </w:pPr>
            <w:r w:rsidRPr="00207D4B">
              <w:rPr>
                <w:rFonts w:eastAsia="Times New Roman" w:cstheme="minorHAnsi"/>
                <w:color w:val="222222"/>
                <w:sz w:val="24"/>
                <w:szCs w:val="24"/>
                <w:lang w:eastAsia="en-IN"/>
              </w:rPr>
              <w:t>9</w:t>
            </w:r>
            <w:r w:rsidRPr="00207D4B">
              <w:rPr>
                <w:rFonts w:eastAsia="Times New Roman" w:cstheme="minorHAnsi"/>
                <w:color w:val="222222"/>
                <w:sz w:val="24"/>
                <w:szCs w:val="24"/>
                <w:vertAlign w:val="superscript"/>
                <w:lang w:eastAsia="en-IN"/>
              </w:rPr>
              <w:t>th</w:t>
            </w:r>
            <w:r w:rsidRPr="00207D4B">
              <w:rPr>
                <w:rFonts w:eastAsia="Times New Roman" w:cstheme="minorHAnsi"/>
                <w:color w:val="222222"/>
                <w:sz w:val="24"/>
                <w:szCs w:val="24"/>
                <w:lang w:eastAsia="en-IN"/>
              </w:rPr>
              <w:t xml:space="preserve"> std.</w:t>
            </w:r>
          </w:p>
        </w:tc>
        <w:tc>
          <w:tcPr>
            <w:tcW w:w="1188" w:type="dxa"/>
          </w:tcPr>
          <w:p w14:paraId="66FBAD35"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207D4B">
              <w:rPr>
                <w:rFonts w:eastAsia="Calibri" w:cstheme="minorHAnsi"/>
                <w:sz w:val="24"/>
                <w:szCs w:val="24"/>
                <w:lang w:val="en-US"/>
              </w:rPr>
              <w:t>296</w:t>
            </w:r>
          </w:p>
        </w:tc>
        <w:tc>
          <w:tcPr>
            <w:tcW w:w="1462" w:type="dxa"/>
          </w:tcPr>
          <w:p w14:paraId="6030A717"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7.62 ± 2.94</w:t>
            </w:r>
          </w:p>
        </w:tc>
        <w:tc>
          <w:tcPr>
            <w:tcW w:w="1470" w:type="dxa"/>
          </w:tcPr>
          <w:p w14:paraId="4586F938"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38.10%</w:t>
            </w:r>
          </w:p>
        </w:tc>
        <w:tc>
          <w:tcPr>
            <w:tcW w:w="1470" w:type="dxa"/>
            <w:vMerge/>
          </w:tcPr>
          <w:p w14:paraId="6613A758"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329F48ED" w14:textId="77777777" w:rsidTr="00AF16DB">
        <w:tc>
          <w:tcPr>
            <w:tcW w:w="1725" w:type="dxa"/>
            <w:vMerge/>
          </w:tcPr>
          <w:p w14:paraId="1231950E" w14:textId="77777777" w:rsidR="00952B4B" w:rsidRPr="00207D4B" w:rsidRDefault="00952B4B" w:rsidP="00AF16DB">
            <w:pPr>
              <w:jc w:val="center"/>
              <w:rPr>
                <w:rFonts w:eastAsia="Times New Roman" w:cstheme="minorHAnsi"/>
                <w:b/>
                <w:color w:val="222222"/>
                <w:sz w:val="24"/>
                <w:szCs w:val="24"/>
                <w:lang w:eastAsia="en-IN"/>
              </w:rPr>
            </w:pPr>
          </w:p>
        </w:tc>
        <w:tc>
          <w:tcPr>
            <w:tcW w:w="1927" w:type="dxa"/>
          </w:tcPr>
          <w:p w14:paraId="132FF37C" w14:textId="77777777" w:rsidR="00952B4B" w:rsidRPr="00207D4B" w:rsidRDefault="00952B4B" w:rsidP="00AF16DB">
            <w:pPr>
              <w:spacing w:line="360" w:lineRule="auto"/>
              <w:jc w:val="center"/>
              <w:rPr>
                <w:rFonts w:eastAsia="Times New Roman" w:cstheme="minorHAnsi"/>
                <w:color w:val="222222"/>
                <w:sz w:val="24"/>
                <w:szCs w:val="24"/>
                <w:lang w:eastAsia="en-IN"/>
              </w:rPr>
            </w:pPr>
            <w:r w:rsidRPr="00207D4B">
              <w:rPr>
                <w:rFonts w:eastAsia="Times New Roman" w:cstheme="minorHAnsi"/>
                <w:color w:val="222222"/>
                <w:sz w:val="24"/>
                <w:szCs w:val="24"/>
                <w:lang w:eastAsia="en-IN"/>
              </w:rPr>
              <w:t>10</w:t>
            </w:r>
            <w:r w:rsidRPr="00207D4B">
              <w:rPr>
                <w:rFonts w:eastAsia="Times New Roman" w:cstheme="minorHAnsi"/>
                <w:color w:val="222222"/>
                <w:sz w:val="24"/>
                <w:szCs w:val="24"/>
                <w:vertAlign w:val="superscript"/>
                <w:lang w:eastAsia="en-IN"/>
              </w:rPr>
              <w:t>th</w:t>
            </w:r>
            <w:r w:rsidRPr="00207D4B">
              <w:rPr>
                <w:rFonts w:eastAsia="Times New Roman" w:cstheme="minorHAnsi"/>
                <w:color w:val="222222"/>
                <w:sz w:val="24"/>
                <w:szCs w:val="24"/>
                <w:lang w:eastAsia="en-IN"/>
              </w:rPr>
              <w:t xml:space="preserve"> std.</w:t>
            </w:r>
          </w:p>
        </w:tc>
        <w:tc>
          <w:tcPr>
            <w:tcW w:w="1188" w:type="dxa"/>
          </w:tcPr>
          <w:p w14:paraId="319C94C5"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207D4B">
              <w:rPr>
                <w:rFonts w:eastAsia="Calibri" w:cstheme="minorHAnsi"/>
                <w:sz w:val="24"/>
                <w:szCs w:val="24"/>
                <w:lang w:val="en-US"/>
              </w:rPr>
              <w:t>351</w:t>
            </w:r>
          </w:p>
        </w:tc>
        <w:tc>
          <w:tcPr>
            <w:tcW w:w="1462" w:type="dxa"/>
          </w:tcPr>
          <w:p w14:paraId="5F04104C"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7.54 ± 3.16</w:t>
            </w:r>
          </w:p>
        </w:tc>
        <w:tc>
          <w:tcPr>
            <w:tcW w:w="1470" w:type="dxa"/>
          </w:tcPr>
          <w:p w14:paraId="39F21F6F"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37.7%</w:t>
            </w:r>
          </w:p>
        </w:tc>
        <w:tc>
          <w:tcPr>
            <w:tcW w:w="1470" w:type="dxa"/>
            <w:vMerge/>
          </w:tcPr>
          <w:p w14:paraId="18ACA76A"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5866B9AE" w14:textId="77777777" w:rsidTr="00AF16DB">
        <w:tc>
          <w:tcPr>
            <w:tcW w:w="1725" w:type="dxa"/>
            <w:vMerge w:val="restart"/>
          </w:tcPr>
          <w:p w14:paraId="23BD8783" w14:textId="77777777" w:rsidR="00952B4B" w:rsidRPr="00207D4B" w:rsidRDefault="00952B4B" w:rsidP="00AF16DB">
            <w:pPr>
              <w:jc w:val="center"/>
              <w:rPr>
                <w:rFonts w:eastAsia="Times New Roman" w:cstheme="minorHAnsi"/>
                <w:b/>
                <w:color w:val="222222"/>
                <w:sz w:val="24"/>
                <w:szCs w:val="24"/>
                <w:lang w:eastAsia="en-IN"/>
              </w:rPr>
            </w:pPr>
            <w:r w:rsidRPr="00207D4B">
              <w:rPr>
                <w:rFonts w:eastAsia="Times New Roman" w:cstheme="minorHAnsi"/>
                <w:b/>
                <w:color w:val="222222"/>
                <w:sz w:val="24"/>
                <w:szCs w:val="24"/>
                <w:lang w:eastAsia="en-IN"/>
              </w:rPr>
              <w:t xml:space="preserve">Residential area </w:t>
            </w:r>
          </w:p>
        </w:tc>
        <w:tc>
          <w:tcPr>
            <w:tcW w:w="1927" w:type="dxa"/>
          </w:tcPr>
          <w:p w14:paraId="39047725" w14:textId="77777777" w:rsidR="00952B4B" w:rsidRPr="00207D4B" w:rsidRDefault="00952B4B" w:rsidP="00AF16DB">
            <w:pPr>
              <w:spacing w:line="360" w:lineRule="auto"/>
              <w:jc w:val="center"/>
              <w:rPr>
                <w:rFonts w:eastAsia="Times New Roman" w:cstheme="minorHAnsi"/>
                <w:color w:val="222222"/>
                <w:sz w:val="24"/>
                <w:szCs w:val="24"/>
                <w:lang w:eastAsia="en-IN"/>
              </w:rPr>
            </w:pPr>
            <w:r w:rsidRPr="00207D4B">
              <w:rPr>
                <w:rFonts w:eastAsia="Times New Roman" w:cstheme="minorHAnsi"/>
                <w:color w:val="222222"/>
                <w:sz w:val="24"/>
                <w:szCs w:val="24"/>
                <w:lang w:eastAsia="en-IN"/>
              </w:rPr>
              <w:t xml:space="preserve">Urban </w:t>
            </w:r>
          </w:p>
        </w:tc>
        <w:tc>
          <w:tcPr>
            <w:tcW w:w="1188" w:type="dxa"/>
          </w:tcPr>
          <w:p w14:paraId="7B5B9603"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207D4B">
              <w:rPr>
                <w:rFonts w:eastAsia="Calibri" w:cstheme="minorHAnsi"/>
                <w:sz w:val="24"/>
                <w:szCs w:val="24"/>
                <w:lang w:val="en-US"/>
              </w:rPr>
              <w:t>744</w:t>
            </w:r>
          </w:p>
        </w:tc>
        <w:tc>
          <w:tcPr>
            <w:tcW w:w="1462" w:type="dxa"/>
          </w:tcPr>
          <w:p w14:paraId="0396ED8D" w14:textId="0E0D3FF7" w:rsidR="00952B4B" w:rsidRPr="00207D4B" w:rsidRDefault="00C41F98" w:rsidP="00C41F98">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7.68 ± 2.86</w:t>
            </w:r>
          </w:p>
        </w:tc>
        <w:tc>
          <w:tcPr>
            <w:tcW w:w="1470" w:type="dxa"/>
          </w:tcPr>
          <w:p w14:paraId="5023E275" w14:textId="4D77305A" w:rsidR="00952B4B" w:rsidRPr="00207D4B" w:rsidRDefault="00C41F98"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38.40%</w:t>
            </w:r>
          </w:p>
        </w:tc>
        <w:tc>
          <w:tcPr>
            <w:tcW w:w="1470" w:type="dxa"/>
            <w:vMerge w:val="restart"/>
          </w:tcPr>
          <w:p w14:paraId="0BB3911A" w14:textId="77777777" w:rsidR="00952B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76" w:lineRule="auto"/>
              <w:jc w:val="center"/>
              <w:rPr>
                <w:rFonts w:eastAsia="Calibri" w:cstheme="minorHAnsi"/>
                <w:b/>
                <w:sz w:val="24"/>
                <w:lang w:val="en-US"/>
              </w:rPr>
            </w:pPr>
            <w:r>
              <w:rPr>
                <w:rFonts w:eastAsia="Calibri" w:cstheme="minorHAnsi"/>
                <w:b/>
                <w:sz w:val="24"/>
                <w:lang w:val="en-US"/>
              </w:rPr>
              <w:t>F = 17.153</w:t>
            </w:r>
          </w:p>
          <w:p w14:paraId="02D249D2"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Calibri" w:cstheme="minorHAnsi"/>
                <w:b/>
                <w:sz w:val="24"/>
                <w:lang w:val="en-US"/>
              </w:rPr>
              <w:t>P =0.</w:t>
            </w:r>
            <w:proofErr w:type="gramStart"/>
            <w:r>
              <w:rPr>
                <w:rFonts w:eastAsia="Calibri" w:cstheme="minorHAnsi"/>
                <w:b/>
                <w:sz w:val="24"/>
                <w:lang w:val="en-US"/>
              </w:rPr>
              <w:t>000,  HS</w:t>
            </w:r>
            <w:proofErr w:type="gramEnd"/>
          </w:p>
        </w:tc>
      </w:tr>
      <w:tr w:rsidR="00952B4B" w:rsidRPr="00207D4B" w14:paraId="4E759EFB" w14:textId="77777777" w:rsidTr="00AF16DB">
        <w:tc>
          <w:tcPr>
            <w:tcW w:w="1725" w:type="dxa"/>
            <w:vMerge/>
          </w:tcPr>
          <w:p w14:paraId="77EE317C" w14:textId="77777777" w:rsidR="00952B4B" w:rsidRPr="00207D4B" w:rsidRDefault="00952B4B" w:rsidP="00AF16DB">
            <w:pPr>
              <w:jc w:val="center"/>
              <w:rPr>
                <w:rFonts w:eastAsia="Times New Roman" w:cstheme="minorHAnsi"/>
                <w:b/>
                <w:color w:val="222222"/>
                <w:sz w:val="24"/>
                <w:szCs w:val="24"/>
                <w:lang w:eastAsia="en-IN"/>
              </w:rPr>
            </w:pPr>
          </w:p>
        </w:tc>
        <w:tc>
          <w:tcPr>
            <w:tcW w:w="1927" w:type="dxa"/>
          </w:tcPr>
          <w:p w14:paraId="07ED5AC3" w14:textId="77777777" w:rsidR="00952B4B" w:rsidRPr="00207D4B" w:rsidRDefault="00952B4B" w:rsidP="00AF16DB">
            <w:pPr>
              <w:spacing w:line="360" w:lineRule="auto"/>
              <w:jc w:val="center"/>
              <w:rPr>
                <w:rFonts w:eastAsia="Times New Roman" w:cstheme="minorHAnsi"/>
                <w:color w:val="222222"/>
                <w:sz w:val="24"/>
                <w:szCs w:val="24"/>
                <w:lang w:eastAsia="en-IN"/>
              </w:rPr>
            </w:pPr>
            <w:r w:rsidRPr="00207D4B">
              <w:rPr>
                <w:rFonts w:eastAsia="Times New Roman" w:cstheme="minorHAnsi"/>
                <w:color w:val="222222"/>
                <w:sz w:val="24"/>
                <w:szCs w:val="24"/>
                <w:lang w:eastAsia="en-IN"/>
              </w:rPr>
              <w:t xml:space="preserve">Rural </w:t>
            </w:r>
          </w:p>
        </w:tc>
        <w:tc>
          <w:tcPr>
            <w:tcW w:w="1188" w:type="dxa"/>
          </w:tcPr>
          <w:p w14:paraId="37BF8FEE"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sidRPr="00207D4B">
              <w:rPr>
                <w:rFonts w:eastAsia="Calibri" w:cstheme="minorHAnsi"/>
                <w:sz w:val="24"/>
                <w:szCs w:val="24"/>
                <w:lang w:val="en-US"/>
              </w:rPr>
              <w:t>118</w:t>
            </w:r>
          </w:p>
        </w:tc>
        <w:tc>
          <w:tcPr>
            <w:tcW w:w="1462" w:type="dxa"/>
          </w:tcPr>
          <w:p w14:paraId="4B0173EE" w14:textId="504EDAD3" w:rsidR="00C41F98" w:rsidRPr="00207D4B" w:rsidRDefault="00C41F98" w:rsidP="00C41F98">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6.27 ± 2.93</w:t>
            </w:r>
          </w:p>
        </w:tc>
        <w:tc>
          <w:tcPr>
            <w:tcW w:w="1470" w:type="dxa"/>
          </w:tcPr>
          <w:p w14:paraId="11C93C78" w14:textId="220C530C" w:rsidR="00952B4B" w:rsidRPr="00207D4B" w:rsidRDefault="00C41F98"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31.35%</w:t>
            </w:r>
          </w:p>
        </w:tc>
        <w:tc>
          <w:tcPr>
            <w:tcW w:w="1470" w:type="dxa"/>
            <w:vMerge/>
          </w:tcPr>
          <w:p w14:paraId="70217440"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518F0638" w14:textId="77777777" w:rsidTr="00AF16DB">
        <w:tc>
          <w:tcPr>
            <w:tcW w:w="1725" w:type="dxa"/>
            <w:vMerge w:val="restart"/>
          </w:tcPr>
          <w:p w14:paraId="18CC6629" w14:textId="77777777" w:rsidR="00952B4B" w:rsidRPr="00D73167" w:rsidRDefault="00952B4B" w:rsidP="00AF16DB">
            <w:pPr>
              <w:jc w:val="center"/>
              <w:rPr>
                <w:rFonts w:eastAsia="Times New Roman" w:cstheme="minorHAnsi"/>
                <w:b/>
                <w:color w:val="222222"/>
                <w:sz w:val="24"/>
                <w:szCs w:val="24"/>
                <w:lang w:eastAsia="en-IN"/>
              </w:rPr>
            </w:pPr>
            <w:r w:rsidRPr="00D73167">
              <w:rPr>
                <w:rFonts w:eastAsia="Times New Roman" w:cstheme="minorHAnsi"/>
                <w:b/>
                <w:color w:val="222222"/>
                <w:sz w:val="24"/>
                <w:szCs w:val="24"/>
                <w:lang w:eastAsia="en-IN"/>
              </w:rPr>
              <w:t xml:space="preserve">Source of information  </w:t>
            </w:r>
          </w:p>
        </w:tc>
        <w:tc>
          <w:tcPr>
            <w:tcW w:w="1927" w:type="dxa"/>
          </w:tcPr>
          <w:p w14:paraId="7477EF5C" w14:textId="77777777" w:rsidR="00952B4B" w:rsidRPr="00D73167"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lang w:val="en-US"/>
              </w:rPr>
            </w:pPr>
            <w:r w:rsidRPr="00D73167">
              <w:rPr>
                <w:rFonts w:eastAsia="Calibri" w:cstheme="minorHAnsi"/>
                <w:sz w:val="24"/>
                <w:lang w:val="en-US"/>
              </w:rPr>
              <w:t xml:space="preserve">Doctors </w:t>
            </w:r>
          </w:p>
        </w:tc>
        <w:tc>
          <w:tcPr>
            <w:tcW w:w="1188" w:type="dxa"/>
          </w:tcPr>
          <w:p w14:paraId="38268CAA" w14:textId="77777777" w:rsidR="00952B4B" w:rsidRPr="00526D51"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lang w:val="en-US"/>
              </w:rPr>
            </w:pPr>
            <w:r>
              <w:rPr>
                <w:rFonts w:eastAsia="Calibri" w:cstheme="minorHAnsi"/>
                <w:sz w:val="24"/>
                <w:lang w:val="en-US"/>
              </w:rPr>
              <w:t>27</w:t>
            </w:r>
          </w:p>
        </w:tc>
        <w:tc>
          <w:tcPr>
            <w:tcW w:w="1462" w:type="dxa"/>
          </w:tcPr>
          <w:p w14:paraId="39EF337E"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9.92 ± 2.85</w:t>
            </w:r>
          </w:p>
        </w:tc>
        <w:tc>
          <w:tcPr>
            <w:tcW w:w="1470" w:type="dxa"/>
          </w:tcPr>
          <w:p w14:paraId="28974B88"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49.60%</w:t>
            </w:r>
          </w:p>
        </w:tc>
        <w:tc>
          <w:tcPr>
            <w:tcW w:w="1470" w:type="dxa"/>
            <w:vMerge w:val="restart"/>
          </w:tcPr>
          <w:p w14:paraId="4F396351" w14:textId="77777777" w:rsidR="00952B4B" w:rsidRDefault="00952B4B" w:rsidP="00AF16DB">
            <w:pPr>
              <w:spacing w:line="360" w:lineRule="auto"/>
              <w:jc w:val="center"/>
              <w:rPr>
                <w:rFonts w:eastAsia="Times New Roman" w:cstheme="minorHAnsi"/>
                <w:color w:val="222222"/>
                <w:sz w:val="24"/>
                <w:szCs w:val="24"/>
                <w:lang w:eastAsia="en-IN"/>
              </w:rPr>
            </w:pPr>
          </w:p>
          <w:p w14:paraId="67A3FC21" w14:textId="77777777" w:rsidR="00952B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76" w:lineRule="auto"/>
              <w:jc w:val="center"/>
              <w:rPr>
                <w:rFonts w:eastAsia="Calibri" w:cstheme="minorHAnsi"/>
                <w:b/>
                <w:sz w:val="24"/>
                <w:lang w:val="en-US"/>
              </w:rPr>
            </w:pPr>
            <w:r>
              <w:rPr>
                <w:rFonts w:eastAsia="Calibri" w:cstheme="minorHAnsi"/>
                <w:b/>
                <w:sz w:val="24"/>
                <w:lang w:val="en-US"/>
              </w:rPr>
              <w:t>F = 24.756</w:t>
            </w:r>
          </w:p>
          <w:p w14:paraId="190C78CC" w14:textId="77777777" w:rsidR="00952B4B" w:rsidRDefault="00952B4B" w:rsidP="00AF16DB">
            <w:pPr>
              <w:spacing w:line="360" w:lineRule="auto"/>
              <w:jc w:val="center"/>
              <w:rPr>
                <w:rFonts w:eastAsia="Times New Roman" w:cstheme="minorHAnsi"/>
                <w:color w:val="222222"/>
                <w:sz w:val="24"/>
                <w:szCs w:val="24"/>
                <w:lang w:eastAsia="en-IN"/>
              </w:rPr>
            </w:pPr>
            <w:r>
              <w:rPr>
                <w:rFonts w:eastAsia="Calibri" w:cstheme="minorHAnsi"/>
                <w:b/>
                <w:sz w:val="24"/>
                <w:lang w:val="en-US"/>
              </w:rPr>
              <w:t>P =0.</w:t>
            </w:r>
            <w:proofErr w:type="gramStart"/>
            <w:r>
              <w:rPr>
                <w:rFonts w:eastAsia="Calibri" w:cstheme="minorHAnsi"/>
                <w:b/>
                <w:sz w:val="24"/>
                <w:lang w:val="en-US"/>
              </w:rPr>
              <w:t>000,  HS</w:t>
            </w:r>
            <w:proofErr w:type="gramEnd"/>
          </w:p>
          <w:p w14:paraId="0E82F8CA"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3ECF5FBE" w14:textId="77777777" w:rsidTr="00AF16DB">
        <w:tc>
          <w:tcPr>
            <w:tcW w:w="1725" w:type="dxa"/>
            <w:vMerge/>
          </w:tcPr>
          <w:p w14:paraId="76EE6BF4" w14:textId="77777777" w:rsidR="00952B4B" w:rsidRDefault="00952B4B" w:rsidP="00AF16DB">
            <w:pPr>
              <w:jc w:val="center"/>
              <w:rPr>
                <w:rFonts w:eastAsia="Times New Roman" w:cstheme="minorHAnsi"/>
                <w:color w:val="222222"/>
                <w:sz w:val="24"/>
                <w:szCs w:val="24"/>
                <w:lang w:eastAsia="en-IN"/>
              </w:rPr>
            </w:pPr>
          </w:p>
        </w:tc>
        <w:tc>
          <w:tcPr>
            <w:tcW w:w="1927" w:type="dxa"/>
          </w:tcPr>
          <w:p w14:paraId="33B07923" w14:textId="77777777" w:rsidR="00952B4B" w:rsidRPr="00D73167"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lang w:val="en-US"/>
              </w:rPr>
            </w:pPr>
            <w:r w:rsidRPr="00D73167">
              <w:rPr>
                <w:rFonts w:eastAsia="Calibri" w:cstheme="minorHAnsi"/>
                <w:sz w:val="24"/>
                <w:lang w:val="en-US"/>
              </w:rPr>
              <w:t xml:space="preserve">Friends </w:t>
            </w:r>
          </w:p>
        </w:tc>
        <w:tc>
          <w:tcPr>
            <w:tcW w:w="1188" w:type="dxa"/>
          </w:tcPr>
          <w:p w14:paraId="1423F32F" w14:textId="77777777" w:rsidR="00952B4B" w:rsidRPr="00526D51"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lang w:val="en-US"/>
              </w:rPr>
            </w:pPr>
            <w:r>
              <w:rPr>
                <w:rFonts w:eastAsia="Calibri" w:cstheme="minorHAnsi"/>
                <w:sz w:val="24"/>
                <w:lang w:val="en-US"/>
              </w:rPr>
              <w:t>14</w:t>
            </w:r>
          </w:p>
        </w:tc>
        <w:tc>
          <w:tcPr>
            <w:tcW w:w="1462" w:type="dxa"/>
          </w:tcPr>
          <w:p w14:paraId="4234FFC8"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8.35 ± 2.23</w:t>
            </w:r>
          </w:p>
        </w:tc>
        <w:tc>
          <w:tcPr>
            <w:tcW w:w="1470" w:type="dxa"/>
          </w:tcPr>
          <w:p w14:paraId="06456DDB"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41.75%</w:t>
            </w:r>
          </w:p>
        </w:tc>
        <w:tc>
          <w:tcPr>
            <w:tcW w:w="1470" w:type="dxa"/>
            <w:vMerge/>
          </w:tcPr>
          <w:p w14:paraId="30942800"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1336ED09" w14:textId="77777777" w:rsidTr="00AF16DB">
        <w:tc>
          <w:tcPr>
            <w:tcW w:w="1725" w:type="dxa"/>
            <w:vMerge/>
          </w:tcPr>
          <w:p w14:paraId="3498CA66" w14:textId="77777777" w:rsidR="00952B4B" w:rsidRDefault="00952B4B" w:rsidP="00AF16DB">
            <w:pPr>
              <w:jc w:val="center"/>
              <w:rPr>
                <w:rFonts w:eastAsia="Times New Roman" w:cstheme="minorHAnsi"/>
                <w:color w:val="222222"/>
                <w:sz w:val="24"/>
                <w:szCs w:val="24"/>
                <w:lang w:eastAsia="en-IN"/>
              </w:rPr>
            </w:pPr>
          </w:p>
        </w:tc>
        <w:tc>
          <w:tcPr>
            <w:tcW w:w="1927" w:type="dxa"/>
          </w:tcPr>
          <w:p w14:paraId="649984BE" w14:textId="77777777" w:rsidR="00952B4B" w:rsidRPr="00D73167"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lang w:val="en-US"/>
              </w:rPr>
            </w:pPr>
            <w:r w:rsidRPr="00D73167">
              <w:rPr>
                <w:rFonts w:eastAsia="Calibri" w:cstheme="minorHAnsi"/>
                <w:sz w:val="24"/>
                <w:lang w:val="en-US"/>
              </w:rPr>
              <w:t xml:space="preserve">Family members </w:t>
            </w:r>
          </w:p>
        </w:tc>
        <w:tc>
          <w:tcPr>
            <w:tcW w:w="1188" w:type="dxa"/>
          </w:tcPr>
          <w:p w14:paraId="7086571F" w14:textId="77777777" w:rsidR="00952B4B" w:rsidRPr="00526D51"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lang w:val="en-US"/>
              </w:rPr>
            </w:pPr>
            <w:r>
              <w:rPr>
                <w:rFonts w:eastAsia="Calibri" w:cstheme="minorHAnsi"/>
                <w:sz w:val="24"/>
                <w:lang w:val="en-US"/>
              </w:rPr>
              <w:t>58</w:t>
            </w:r>
          </w:p>
        </w:tc>
        <w:tc>
          <w:tcPr>
            <w:tcW w:w="1462" w:type="dxa"/>
          </w:tcPr>
          <w:p w14:paraId="6CC921E4"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8.75 ± 3.16</w:t>
            </w:r>
          </w:p>
        </w:tc>
        <w:tc>
          <w:tcPr>
            <w:tcW w:w="1470" w:type="dxa"/>
          </w:tcPr>
          <w:p w14:paraId="7B261BBD"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43.75%</w:t>
            </w:r>
          </w:p>
        </w:tc>
        <w:tc>
          <w:tcPr>
            <w:tcW w:w="1470" w:type="dxa"/>
            <w:vMerge/>
          </w:tcPr>
          <w:p w14:paraId="000321DE"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1975A24C" w14:textId="77777777" w:rsidTr="00AF16DB">
        <w:tc>
          <w:tcPr>
            <w:tcW w:w="1725" w:type="dxa"/>
            <w:vMerge/>
          </w:tcPr>
          <w:p w14:paraId="3D302C44" w14:textId="77777777" w:rsidR="00952B4B" w:rsidRDefault="00952B4B" w:rsidP="00AF16DB">
            <w:pPr>
              <w:jc w:val="center"/>
              <w:rPr>
                <w:rFonts w:eastAsia="Times New Roman" w:cstheme="minorHAnsi"/>
                <w:color w:val="222222"/>
                <w:sz w:val="24"/>
                <w:szCs w:val="24"/>
                <w:lang w:eastAsia="en-IN"/>
              </w:rPr>
            </w:pPr>
          </w:p>
        </w:tc>
        <w:tc>
          <w:tcPr>
            <w:tcW w:w="1927" w:type="dxa"/>
          </w:tcPr>
          <w:p w14:paraId="7C1F04A1" w14:textId="77777777" w:rsidR="00952B4B" w:rsidRPr="00D73167"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jc w:val="center"/>
              <w:rPr>
                <w:rFonts w:eastAsia="Calibri" w:cstheme="minorHAnsi"/>
                <w:sz w:val="24"/>
                <w:lang w:val="en-US"/>
              </w:rPr>
            </w:pPr>
            <w:r w:rsidRPr="00D73167">
              <w:rPr>
                <w:rFonts w:eastAsia="Calibri" w:cstheme="minorHAnsi"/>
                <w:sz w:val="24"/>
                <w:lang w:val="en-US"/>
              </w:rPr>
              <w:t xml:space="preserve">Internet/mass media </w:t>
            </w:r>
          </w:p>
        </w:tc>
        <w:tc>
          <w:tcPr>
            <w:tcW w:w="1188" w:type="dxa"/>
          </w:tcPr>
          <w:p w14:paraId="4D01876E" w14:textId="77777777" w:rsidR="00952B4B" w:rsidRPr="00526D51"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lang w:val="en-US"/>
              </w:rPr>
            </w:pPr>
            <w:r>
              <w:rPr>
                <w:rFonts w:eastAsia="Calibri" w:cstheme="minorHAnsi"/>
                <w:sz w:val="24"/>
                <w:lang w:val="en-US"/>
              </w:rPr>
              <w:t>23</w:t>
            </w:r>
          </w:p>
        </w:tc>
        <w:tc>
          <w:tcPr>
            <w:tcW w:w="1462" w:type="dxa"/>
          </w:tcPr>
          <w:p w14:paraId="4EB55303"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11.08 ± 2.64</w:t>
            </w:r>
          </w:p>
        </w:tc>
        <w:tc>
          <w:tcPr>
            <w:tcW w:w="1470" w:type="dxa"/>
          </w:tcPr>
          <w:p w14:paraId="1D3E81F1"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55.50%</w:t>
            </w:r>
          </w:p>
        </w:tc>
        <w:tc>
          <w:tcPr>
            <w:tcW w:w="1470" w:type="dxa"/>
            <w:vMerge/>
          </w:tcPr>
          <w:p w14:paraId="020BCAF4"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68A342F4" w14:textId="77777777" w:rsidTr="00AF16DB">
        <w:tc>
          <w:tcPr>
            <w:tcW w:w="1725" w:type="dxa"/>
            <w:vMerge/>
          </w:tcPr>
          <w:p w14:paraId="50E0052B" w14:textId="77777777" w:rsidR="00952B4B" w:rsidRDefault="00952B4B" w:rsidP="00AF16DB">
            <w:pPr>
              <w:jc w:val="center"/>
              <w:rPr>
                <w:rFonts w:eastAsia="Times New Roman" w:cstheme="minorHAnsi"/>
                <w:color w:val="222222"/>
                <w:sz w:val="24"/>
                <w:szCs w:val="24"/>
                <w:lang w:eastAsia="en-IN"/>
              </w:rPr>
            </w:pPr>
          </w:p>
        </w:tc>
        <w:tc>
          <w:tcPr>
            <w:tcW w:w="1927" w:type="dxa"/>
          </w:tcPr>
          <w:p w14:paraId="3D331F02" w14:textId="77777777" w:rsidR="00952B4B" w:rsidRPr="00AF5BBA"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Pr>
                <w:rFonts w:eastAsia="Calibri" w:cstheme="minorHAnsi"/>
                <w:sz w:val="24"/>
                <w:szCs w:val="24"/>
                <w:lang w:val="en-US"/>
              </w:rPr>
              <w:t xml:space="preserve">No sources </w:t>
            </w:r>
          </w:p>
        </w:tc>
        <w:tc>
          <w:tcPr>
            <w:tcW w:w="1188" w:type="dxa"/>
          </w:tcPr>
          <w:p w14:paraId="6D396824"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Pr>
                <w:rFonts w:eastAsia="Calibri" w:cstheme="minorHAnsi"/>
                <w:sz w:val="24"/>
                <w:szCs w:val="24"/>
                <w:lang w:val="en-US"/>
              </w:rPr>
              <w:t>755</w:t>
            </w:r>
          </w:p>
        </w:tc>
        <w:tc>
          <w:tcPr>
            <w:tcW w:w="1462" w:type="dxa"/>
          </w:tcPr>
          <w:p w14:paraId="4E5D13CE"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6.86 ± 2.81</w:t>
            </w:r>
          </w:p>
        </w:tc>
        <w:tc>
          <w:tcPr>
            <w:tcW w:w="1470" w:type="dxa"/>
          </w:tcPr>
          <w:p w14:paraId="63CDA0DF"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34.30%</w:t>
            </w:r>
          </w:p>
        </w:tc>
        <w:tc>
          <w:tcPr>
            <w:tcW w:w="1470" w:type="dxa"/>
            <w:vMerge/>
          </w:tcPr>
          <w:p w14:paraId="62A17F73"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r w:rsidR="00952B4B" w:rsidRPr="00207D4B" w14:paraId="67788FE4" w14:textId="77777777" w:rsidTr="00AF16DB">
        <w:tc>
          <w:tcPr>
            <w:tcW w:w="1725" w:type="dxa"/>
            <w:vMerge w:val="restart"/>
          </w:tcPr>
          <w:p w14:paraId="5A4C8539" w14:textId="77777777" w:rsidR="00952B4B" w:rsidRPr="001164C9" w:rsidRDefault="00952B4B" w:rsidP="00AF16DB">
            <w:pPr>
              <w:jc w:val="center"/>
              <w:rPr>
                <w:rFonts w:eastAsia="Times New Roman" w:cstheme="minorHAnsi"/>
                <w:b/>
                <w:color w:val="222222"/>
                <w:sz w:val="24"/>
                <w:szCs w:val="24"/>
                <w:lang w:eastAsia="en-IN"/>
              </w:rPr>
            </w:pPr>
            <w:r w:rsidRPr="001164C9">
              <w:rPr>
                <w:rFonts w:eastAsia="Times New Roman" w:cstheme="minorHAnsi"/>
                <w:b/>
                <w:color w:val="222222"/>
                <w:sz w:val="24"/>
                <w:szCs w:val="24"/>
                <w:lang w:eastAsia="en-IN"/>
              </w:rPr>
              <w:t xml:space="preserve">Attainment of menarche </w:t>
            </w:r>
          </w:p>
        </w:tc>
        <w:tc>
          <w:tcPr>
            <w:tcW w:w="1927" w:type="dxa"/>
          </w:tcPr>
          <w:p w14:paraId="449FBBD7" w14:textId="77777777" w:rsidR="00952B4B" w:rsidRPr="00AF5BBA"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Pr>
                <w:rFonts w:eastAsia="Calibri" w:cstheme="minorHAnsi"/>
                <w:sz w:val="24"/>
                <w:szCs w:val="24"/>
                <w:lang w:val="en-US"/>
              </w:rPr>
              <w:t xml:space="preserve">Yes </w:t>
            </w:r>
          </w:p>
        </w:tc>
        <w:tc>
          <w:tcPr>
            <w:tcW w:w="1188" w:type="dxa"/>
          </w:tcPr>
          <w:p w14:paraId="3EF602AB"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Pr>
                <w:rFonts w:eastAsia="Calibri" w:cstheme="minorHAnsi"/>
                <w:sz w:val="24"/>
                <w:szCs w:val="24"/>
                <w:lang w:val="en-US"/>
              </w:rPr>
              <w:t>764</w:t>
            </w:r>
          </w:p>
        </w:tc>
        <w:tc>
          <w:tcPr>
            <w:tcW w:w="1462" w:type="dxa"/>
          </w:tcPr>
          <w:p w14:paraId="7ED1329C"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7.34 ± 3.01</w:t>
            </w:r>
          </w:p>
        </w:tc>
        <w:tc>
          <w:tcPr>
            <w:tcW w:w="1470" w:type="dxa"/>
          </w:tcPr>
          <w:p w14:paraId="3A8F785E"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36.6%</w:t>
            </w:r>
          </w:p>
        </w:tc>
        <w:tc>
          <w:tcPr>
            <w:tcW w:w="1470" w:type="dxa"/>
            <w:vMerge w:val="restart"/>
          </w:tcPr>
          <w:p w14:paraId="2D0984FE" w14:textId="77777777" w:rsidR="00952B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76" w:lineRule="auto"/>
              <w:jc w:val="center"/>
              <w:rPr>
                <w:rFonts w:eastAsia="Calibri" w:cstheme="minorHAnsi"/>
                <w:b/>
                <w:sz w:val="24"/>
                <w:lang w:val="en-US"/>
              </w:rPr>
            </w:pPr>
            <w:r>
              <w:rPr>
                <w:rFonts w:eastAsia="Calibri" w:cstheme="minorHAnsi"/>
                <w:b/>
                <w:sz w:val="24"/>
                <w:lang w:val="en-US"/>
              </w:rPr>
              <w:t>t = 4.786</w:t>
            </w:r>
          </w:p>
          <w:p w14:paraId="613FCBC1" w14:textId="77777777" w:rsidR="00952B4B" w:rsidRPr="00207D4B" w:rsidRDefault="00952B4B" w:rsidP="00AF16DB">
            <w:pPr>
              <w:spacing w:line="360" w:lineRule="auto"/>
              <w:jc w:val="center"/>
              <w:rPr>
                <w:rFonts w:eastAsia="Times New Roman" w:cstheme="minorHAnsi"/>
                <w:color w:val="222222"/>
                <w:sz w:val="24"/>
                <w:szCs w:val="24"/>
                <w:lang w:eastAsia="en-IN"/>
              </w:rPr>
            </w:pPr>
            <w:r>
              <w:rPr>
                <w:rFonts w:eastAsia="Calibri" w:cstheme="minorHAnsi"/>
                <w:b/>
                <w:sz w:val="24"/>
                <w:lang w:val="en-US"/>
              </w:rPr>
              <w:t>P =0.000, HS</w:t>
            </w:r>
          </w:p>
        </w:tc>
      </w:tr>
      <w:tr w:rsidR="00952B4B" w:rsidRPr="00207D4B" w14:paraId="64CB0031" w14:textId="77777777" w:rsidTr="00AF16DB">
        <w:trPr>
          <w:trHeight w:val="435"/>
        </w:trPr>
        <w:tc>
          <w:tcPr>
            <w:tcW w:w="1725" w:type="dxa"/>
            <w:vMerge/>
          </w:tcPr>
          <w:p w14:paraId="1735036F" w14:textId="77777777" w:rsidR="00952B4B" w:rsidRDefault="00952B4B" w:rsidP="00AF16DB">
            <w:pPr>
              <w:jc w:val="center"/>
              <w:rPr>
                <w:rFonts w:eastAsia="Times New Roman" w:cstheme="minorHAnsi"/>
                <w:color w:val="222222"/>
                <w:sz w:val="24"/>
                <w:szCs w:val="24"/>
                <w:lang w:eastAsia="en-IN"/>
              </w:rPr>
            </w:pPr>
          </w:p>
        </w:tc>
        <w:tc>
          <w:tcPr>
            <w:tcW w:w="1927" w:type="dxa"/>
          </w:tcPr>
          <w:p w14:paraId="67D1787D" w14:textId="77777777" w:rsidR="00952B4B" w:rsidRPr="00AF5BBA"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Pr>
                <w:rFonts w:eastAsia="Calibri" w:cstheme="minorHAnsi"/>
                <w:sz w:val="24"/>
                <w:szCs w:val="24"/>
                <w:lang w:val="en-US"/>
              </w:rPr>
              <w:t>No</w:t>
            </w:r>
          </w:p>
        </w:tc>
        <w:tc>
          <w:tcPr>
            <w:tcW w:w="1188" w:type="dxa"/>
          </w:tcPr>
          <w:p w14:paraId="6A0831F8" w14:textId="77777777" w:rsidR="00952B4B" w:rsidRPr="00207D4B" w:rsidRDefault="00952B4B" w:rsidP="00AF16D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360" w:lineRule="auto"/>
              <w:jc w:val="center"/>
              <w:rPr>
                <w:rFonts w:eastAsia="Calibri" w:cstheme="minorHAnsi"/>
                <w:sz w:val="24"/>
                <w:szCs w:val="24"/>
                <w:lang w:val="en-US"/>
              </w:rPr>
            </w:pPr>
            <w:r>
              <w:rPr>
                <w:rFonts w:eastAsia="Calibri" w:cstheme="minorHAnsi"/>
                <w:sz w:val="24"/>
                <w:szCs w:val="24"/>
                <w:lang w:val="en-US"/>
              </w:rPr>
              <w:t>98</w:t>
            </w:r>
          </w:p>
        </w:tc>
        <w:tc>
          <w:tcPr>
            <w:tcW w:w="1462" w:type="dxa"/>
          </w:tcPr>
          <w:p w14:paraId="5771D9C6"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5.98 ± 1.92</w:t>
            </w:r>
          </w:p>
        </w:tc>
        <w:tc>
          <w:tcPr>
            <w:tcW w:w="1470" w:type="dxa"/>
          </w:tcPr>
          <w:p w14:paraId="45BC633C" w14:textId="77777777" w:rsidR="00952B4B" w:rsidRDefault="00952B4B" w:rsidP="00AF16DB">
            <w:pPr>
              <w:spacing w:line="360" w:lineRule="auto"/>
              <w:jc w:val="center"/>
              <w:rPr>
                <w:rFonts w:eastAsia="Times New Roman" w:cstheme="minorHAnsi"/>
                <w:color w:val="222222"/>
                <w:sz w:val="24"/>
                <w:szCs w:val="24"/>
                <w:lang w:eastAsia="en-IN"/>
              </w:rPr>
            </w:pPr>
            <w:r>
              <w:rPr>
                <w:rFonts w:eastAsia="Times New Roman" w:cstheme="minorHAnsi"/>
                <w:color w:val="222222"/>
                <w:sz w:val="24"/>
                <w:szCs w:val="24"/>
                <w:lang w:eastAsia="en-IN"/>
              </w:rPr>
              <w:t>29.9%</w:t>
            </w:r>
          </w:p>
        </w:tc>
        <w:tc>
          <w:tcPr>
            <w:tcW w:w="1470" w:type="dxa"/>
            <w:vMerge/>
          </w:tcPr>
          <w:p w14:paraId="6737DA9F" w14:textId="77777777" w:rsidR="00952B4B" w:rsidRPr="00207D4B" w:rsidRDefault="00952B4B" w:rsidP="00AF16DB">
            <w:pPr>
              <w:spacing w:line="360" w:lineRule="auto"/>
              <w:jc w:val="center"/>
              <w:rPr>
                <w:rFonts w:eastAsia="Times New Roman" w:cstheme="minorHAnsi"/>
                <w:color w:val="222222"/>
                <w:sz w:val="24"/>
                <w:szCs w:val="24"/>
                <w:lang w:eastAsia="en-IN"/>
              </w:rPr>
            </w:pPr>
          </w:p>
        </w:tc>
      </w:tr>
    </w:tbl>
    <w:p w14:paraId="630EB44F" w14:textId="77777777" w:rsidR="00C41F98" w:rsidRPr="00C41F98" w:rsidRDefault="00C41F98" w:rsidP="00C41F98">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p>
    <w:p w14:paraId="462832A9" w14:textId="77777777" w:rsidR="00C41F98" w:rsidRPr="00C41F98" w:rsidRDefault="00C41F98" w:rsidP="00C41F98">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C41F98">
        <w:rPr>
          <w:rFonts w:ascii="Arial" w:eastAsia="Calibri" w:hAnsi="Arial" w:cs="Arial"/>
          <w:bCs/>
          <w:sz w:val="24"/>
          <w:szCs w:val="24"/>
        </w:rPr>
        <w:t>Age: Adolescent girls aged 12 and 13 had significantly lower knowledge of PCOS compared to those aged 14, 15, and 16 (P&lt;0.001).</w:t>
      </w:r>
    </w:p>
    <w:p w14:paraId="0F2C4FD2" w14:textId="64546098" w:rsidR="00C41F98" w:rsidRPr="00C41F98" w:rsidRDefault="00C41F98" w:rsidP="00C41F98">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Pr>
          <w:rFonts w:ascii="Arial" w:eastAsia="Calibri" w:hAnsi="Arial" w:cs="Arial"/>
          <w:bCs/>
          <w:sz w:val="24"/>
          <w:szCs w:val="24"/>
        </w:rPr>
        <w:t>Study class</w:t>
      </w:r>
      <w:r w:rsidRPr="00C41F98">
        <w:rPr>
          <w:rFonts w:ascii="Arial" w:eastAsia="Calibri" w:hAnsi="Arial" w:cs="Arial"/>
          <w:bCs/>
          <w:sz w:val="24"/>
          <w:szCs w:val="24"/>
        </w:rPr>
        <w:t>: 8th standard girls demonstrated lower knowledge of PCOS compared to 9th and 10th standard girls, showing a statistically significant difference (P&lt;0.001).</w:t>
      </w:r>
    </w:p>
    <w:p w14:paraId="3AFF1E2F" w14:textId="77777777" w:rsidR="00C41F98" w:rsidRDefault="00C41F98" w:rsidP="00C41F98">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C41F98">
        <w:rPr>
          <w:rFonts w:ascii="Arial" w:eastAsia="Calibri" w:hAnsi="Arial" w:cs="Arial"/>
          <w:bCs/>
          <w:sz w:val="24"/>
          <w:szCs w:val="24"/>
        </w:rPr>
        <w:lastRenderedPageBreak/>
        <w:t>Residence: Rural adolescent girls had significantly lower knowledge of PCOS compared to urban girls (P&lt;0.001).</w:t>
      </w:r>
    </w:p>
    <w:p w14:paraId="3622CBB3" w14:textId="6C23F872" w:rsidR="00C41F98" w:rsidRPr="00C41F98" w:rsidRDefault="00C41F98" w:rsidP="00C41F98">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C41F98">
        <w:rPr>
          <w:rFonts w:ascii="Arial" w:eastAsia="Calibri" w:hAnsi="Arial" w:cs="Arial"/>
          <w:bCs/>
          <w:sz w:val="24"/>
          <w:szCs w:val="24"/>
        </w:rPr>
        <w:t>Source of Information: A highly significant difference in knowledge scores was observed based on the source of information (P&lt;0.001).</w:t>
      </w:r>
    </w:p>
    <w:p w14:paraId="423C6941" w14:textId="3010CCC7" w:rsidR="00952B4B" w:rsidRPr="00C41F98" w:rsidRDefault="00C41F98" w:rsidP="00C41F98">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C41F98">
        <w:rPr>
          <w:rFonts w:ascii="Arial" w:eastAsia="Calibri" w:hAnsi="Arial" w:cs="Arial"/>
          <w:bCs/>
          <w:sz w:val="24"/>
          <w:szCs w:val="24"/>
        </w:rPr>
        <w:t>Menarche: A highly significant difference in knowledge scores was found based on the attainment of menarche (P&lt;0.001).</w:t>
      </w:r>
    </w:p>
    <w:p w14:paraId="7A6D35F0" w14:textId="77777777" w:rsidR="00C41F98" w:rsidRDefault="00C41F98"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7746D2BF" w14:textId="7E673629" w:rsidR="00514466" w:rsidRPr="00D54C2D" w:rsidRDefault="00514466"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r w:rsidRPr="00D54C2D">
        <w:rPr>
          <w:rFonts w:ascii="Arial" w:eastAsia="Calibri" w:hAnsi="Arial" w:cs="Arial"/>
          <w:b/>
          <w:sz w:val="24"/>
          <w:szCs w:val="24"/>
        </w:rPr>
        <w:t>Table No.</w:t>
      </w:r>
      <w:r w:rsidR="00C41F98">
        <w:rPr>
          <w:rFonts w:ascii="Arial" w:eastAsia="Calibri" w:hAnsi="Arial" w:cs="Arial"/>
          <w:b/>
          <w:sz w:val="24"/>
          <w:szCs w:val="24"/>
        </w:rPr>
        <w:t>3</w:t>
      </w:r>
      <w:r w:rsidRPr="00D54C2D">
        <w:rPr>
          <w:rFonts w:ascii="Arial" w:eastAsia="Calibri" w:hAnsi="Arial" w:cs="Arial"/>
          <w:b/>
          <w:sz w:val="24"/>
          <w:szCs w:val="24"/>
        </w:rPr>
        <w:t>: Comparison of knowledge scores of PCOS between Pre and Post-test</w:t>
      </w:r>
    </w:p>
    <w:tbl>
      <w:tblPr>
        <w:tblStyle w:val="TableGrid"/>
        <w:tblW w:w="9464" w:type="dxa"/>
        <w:tblInd w:w="661" w:type="dxa"/>
        <w:tblLook w:val="04A0" w:firstRow="1" w:lastRow="0" w:firstColumn="1" w:lastColumn="0" w:noHBand="0" w:noVBand="1"/>
      </w:tblPr>
      <w:tblGrid>
        <w:gridCol w:w="2093"/>
        <w:gridCol w:w="2406"/>
        <w:gridCol w:w="1275"/>
        <w:gridCol w:w="1139"/>
        <w:gridCol w:w="1275"/>
        <w:gridCol w:w="1276"/>
      </w:tblGrid>
      <w:tr w:rsidR="00514466" w:rsidRPr="00D54C2D" w14:paraId="51987B2E" w14:textId="77777777" w:rsidTr="001D2BD3">
        <w:tc>
          <w:tcPr>
            <w:tcW w:w="2093" w:type="dxa"/>
            <w:vMerge w:val="restart"/>
          </w:tcPr>
          <w:p w14:paraId="3354957A"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knowledge scores</w:t>
            </w:r>
          </w:p>
        </w:tc>
        <w:tc>
          <w:tcPr>
            <w:tcW w:w="2406" w:type="dxa"/>
            <w:vMerge w:val="restart"/>
          </w:tcPr>
          <w:p w14:paraId="4EF74602"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Categories </w:t>
            </w:r>
          </w:p>
        </w:tc>
        <w:tc>
          <w:tcPr>
            <w:tcW w:w="2414" w:type="dxa"/>
            <w:gridSpan w:val="2"/>
          </w:tcPr>
          <w:p w14:paraId="7F4588A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Pre-test </w:t>
            </w:r>
          </w:p>
        </w:tc>
        <w:tc>
          <w:tcPr>
            <w:tcW w:w="2551" w:type="dxa"/>
            <w:gridSpan w:val="2"/>
          </w:tcPr>
          <w:p w14:paraId="299844EA"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Post-test</w:t>
            </w:r>
          </w:p>
        </w:tc>
      </w:tr>
      <w:tr w:rsidR="00514466" w:rsidRPr="00D54C2D" w14:paraId="40DA64A0" w14:textId="77777777" w:rsidTr="001D2BD3">
        <w:tc>
          <w:tcPr>
            <w:tcW w:w="2093" w:type="dxa"/>
            <w:vMerge/>
          </w:tcPr>
          <w:p w14:paraId="61BA7A10"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p>
        </w:tc>
        <w:tc>
          <w:tcPr>
            <w:tcW w:w="2406" w:type="dxa"/>
            <w:vMerge/>
          </w:tcPr>
          <w:p w14:paraId="49E9964C"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p>
        </w:tc>
        <w:tc>
          <w:tcPr>
            <w:tcW w:w="1275" w:type="dxa"/>
          </w:tcPr>
          <w:p w14:paraId="2137BD53"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No.</w:t>
            </w:r>
          </w:p>
        </w:tc>
        <w:tc>
          <w:tcPr>
            <w:tcW w:w="1139" w:type="dxa"/>
          </w:tcPr>
          <w:p w14:paraId="7266D937"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w:t>
            </w:r>
          </w:p>
        </w:tc>
        <w:tc>
          <w:tcPr>
            <w:tcW w:w="1275" w:type="dxa"/>
          </w:tcPr>
          <w:p w14:paraId="6EA7F86E"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No</w:t>
            </w:r>
          </w:p>
        </w:tc>
        <w:tc>
          <w:tcPr>
            <w:tcW w:w="1276" w:type="dxa"/>
          </w:tcPr>
          <w:p w14:paraId="3CF2921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w:t>
            </w:r>
          </w:p>
        </w:tc>
      </w:tr>
      <w:tr w:rsidR="00514466" w:rsidRPr="00D54C2D" w14:paraId="291DED80" w14:textId="77777777" w:rsidTr="001D2BD3">
        <w:tc>
          <w:tcPr>
            <w:tcW w:w="2093" w:type="dxa"/>
          </w:tcPr>
          <w:p w14:paraId="15532EC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0—4 </w:t>
            </w:r>
          </w:p>
        </w:tc>
        <w:tc>
          <w:tcPr>
            <w:tcW w:w="2406" w:type="dxa"/>
          </w:tcPr>
          <w:p w14:paraId="333694A2"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Poor</w:t>
            </w:r>
          </w:p>
        </w:tc>
        <w:tc>
          <w:tcPr>
            <w:tcW w:w="1275" w:type="dxa"/>
          </w:tcPr>
          <w:p w14:paraId="4FF0ECDB"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163</w:t>
            </w:r>
          </w:p>
        </w:tc>
        <w:tc>
          <w:tcPr>
            <w:tcW w:w="1139" w:type="dxa"/>
          </w:tcPr>
          <w:p w14:paraId="68BB7DE0"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18.9</w:t>
            </w:r>
          </w:p>
        </w:tc>
        <w:tc>
          <w:tcPr>
            <w:tcW w:w="1275" w:type="dxa"/>
          </w:tcPr>
          <w:p w14:paraId="7BD8DEED"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0</w:t>
            </w:r>
          </w:p>
        </w:tc>
        <w:tc>
          <w:tcPr>
            <w:tcW w:w="1276" w:type="dxa"/>
          </w:tcPr>
          <w:p w14:paraId="49ED212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0.0</w:t>
            </w:r>
          </w:p>
        </w:tc>
      </w:tr>
      <w:tr w:rsidR="00514466" w:rsidRPr="00D54C2D" w14:paraId="451357CF" w14:textId="77777777" w:rsidTr="001D2BD3">
        <w:tc>
          <w:tcPr>
            <w:tcW w:w="2093" w:type="dxa"/>
          </w:tcPr>
          <w:p w14:paraId="7C2D058A"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5—9 </w:t>
            </w:r>
          </w:p>
        </w:tc>
        <w:tc>
          <w:tcPr>
            <w:tcW w:w="2406" w:type="dxa"/>
          </w:tcPr>
          <w:p w14:paraId="663A684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Moderate</w:t>
            </w:r>
          </w:p>
        </w:tc>
        <w:tc>
          <w:tcPr>
            <w:tcW w:w="1275" w:type="dxa"/>
          </w:tcPr>
          <w:p w14:paraId="69BE7FD2"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521</w:t>
            </w:r>
          </w:p>
        </w:tc>
        <w:tc>
          <w:tcPr>
            <w:tcW w:w="1139" w:type="dxa"/>
          </w:tcPr>
          <w:p w14:paraId="4C3A7EF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60.4</w:t>
            </w:r>
          </w:p>
        </w:tc>
        <w:tc>
          <w:tcPr>
            <w:tcW w:w="1275" w:type="dxa"/>
          </w:tcPr>
          <w:p w14:paraId="7B24D3B7"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93</w:t>
            </w:r>
          </w:p>
        </w:tc>
        <w:tc>
          <w:tcPr>
            <w:tcW w:w="1276" w:type="dxa"/>
          </w:tcPr>
          <w:p w14:paraId="4EDB107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10.8</w:t>
            </w:r>
          </w:p>
        </w:tc>
      </w:tr>
      <w:tr w:rsidR="00514466" w:rsidRPr="00D54C2D" w14:paraId="4FAA342D" w14:textId="77777777" w:rsidTr="001D2BD3">
        <w:tc>
          <w:tcPr>
            <w:tcW w:w="2093" w:type="dxa"/>
          </w:tcPr>
          <w:p w14:paraId="121C6AFB"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10—14 </w:t>
            </w:r>
          </w:p>
        </w:tc>
        <w:tc>
          <w:tcPr>
            <w:tcW w:w="2406" w:type="dxa"/>
          </w:tcPr>
          <w:p w14:paraId="6740DD4C"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Adequate </w:t>
            </w:r>
          </w:p>
        </w:tc>
        <w:tc>
          <w:tcPr>
            <w:tcW w:w="1275" w:type="dxa"/>
          </w:tcPr>
          <w:p w14:paraId="3E769CB4"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172</w:t>
            </w:r>
          </w:p>
        </w:tc>
        <w:tc>
          <w:tcPr>
            <w:tcW w:w="1139" w:type="dxa"/>
          </w:tcPr>
          <w:p w14:paraId="6766750A"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20.0</w:t>
            </w:r>
          </w:p>
        </w:tc>
        <w:tc>
          <w:tcPr>
            <w:tcW w:w="1275" w:type="dxa"/>
          </w:tcPr>
          <w:p w14:paraId="60A4DDB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288</w:t>
            </w:r>
          </w:p>
        </w:tc>
        <w:tc>
          <w:tcPr>
            <w:tcW w:w="1276" w:type="dxa"/>
          </w:tcPr>
          <w:p w14:paraId="2FD9C012"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33.4</w:t>
            </w:r>
          </w:p>
        </w:tc>
      </w:tr>
      <w:tr w:rsidR="00514466" w:rsidRPr="00D54C2D" w14:paraId="75333233" w14:textId="77777777" w:rsidTr="001D2BD3">
        <w:tc>
          <w:tcPr>
            <w:tcW w:w="2093" w:type="dxa"/>
          </w:tcPr>
          <w:p w14:paraId="4FA080A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15—20 </w:t>
            </w:r>
          </w:p>
        </w:tc>
        <w:tc>
          <w:tcPr>
            <w:tcW w:w="2406" w:type="dxa"/>
          </w:tcPr>
          <w:p w14:paraId="5B75875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Excellent </w:t>
            </w:r>
          </w:p>
        </w:tc>
        <w:tc>
          <w:tcPr>
            <w:tcW w:w="1275" w:type="dxa"/>
          </w:tcPr>
          <w:p w14:paraId="46D65000"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6</w:t>
            </w:r>
          </w:p>
        </w:tc>
        <w:tc>
          <w:tcPr>
            <w:tcW w:w="1139" w:type="dxa"/>
          </w:tcPr>
          <w:p w14:paraId="26C7F4B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0.7</w:t>
            </w:r>
          </w:p>
        </w:tc>
        <w:tc>
          <w:tcPr>
            <w:tcW w:w="1275" w:type="dxa"/>
          </w:tcPr>
          <w:p w14:paraId="60037C0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481</w:t>
            </w:r>
          </w:p>
        </w:tc>
        <w:tc>
          <w:tcPr>
            <w:tcW w:w="1276" w:type="dxa"/>
          </w:tcPr>
          <w:p w14:paraId="00B9DBD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sz w:val="24"/>
                <w:szCs w:val="24"/>
                <w:lang w:val="en-US"/>
              </w:rPr>
            </w:pPr>
            <w:r w:rsidRPr="00D54C2D">
              <w:rPr>
                <w:rFonts w:ascii="Times New Roman" w:eastAsia="Calibri" w:hAnsi="Times New Roman" w:cs="Times New Roman"/>
                <w:sz w:val="24"/>
                <w:szCs w:val="24"/>
                <w:lang w:val="en-US"/>
              </w:rPr>
              <w:t>55.8</w:t>
            </w:r>
          </w:p>
        </w:tc>
      </w:tr>
      <w:tr w:rsidR="00514466" w:rsidRPr="00D54C2D" w14:paraId="40243C44" w14:textId="77777777" w:rsidTr="001D2BD3">
        <w:tc>
          <w:tcPr>
            <w:tcW w:w="2093" w:type="dxa"/>
          </w:tcPr>
          <w:p w14:paraId="4819B4BB"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Total</w:t>
            </w:r>
          </w:p>
        </w:tc>
        <w:tc>
          <w:tcPr>
            <w:tcW w:w="2406" w:type="dxa"/>
          </w:tcPr>
          <w:p w14:paraId="1D374606"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w:t>
            </w:r>
          </w:p>
        </w:tc>
        <w:tc>
          <w:tcPr>
            <w:tcW w:w="1275" w:type="dxa"/>
          </w:tcPr>
          <w:p w14:paraId="6C8610B8"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862</w:t>
            </w:r>
          </w:p>
        </w:tc>
        <w:tc>
          <w:tcPr>
            <w:tcW w:w="1139" w:type="dxa"/>
          </w:tcPr>
          <w:p w14:paraId="6E3C5A0D"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100.0</w:t>
            </w:r>
          </w:p>
        </w:tc>
        <w:tc>
          <w:tcPr>
            <w:tcW w:w="1275" w:type="dxa"/>
          </w:tcPr>
          <w:p w14:paraId="1C57A4A1"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862</w:t>
            </w:r>
          </w:p>
        </w:tc>
        <w:tc>
          <w:tcPr>
            <w:tcW w:w="1276" w:type="dxa"/>
          </w:tcPr>
          <w:p w14:paraId="69536A5C"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100.0</w:t>
            </w:r>
          </w:p>
        </w:tc>
      </w:tr>
      <w:tr w:rsidR="00514466" w:rsidRPr="00D54C2D" w14:paraId="735BE44E" w14:textId="77777777" w:rsidTr="001D2BD3">
        <w:tc>
          <w:tcPr>
            <w:tcW w:w="2093" w:type="dxa"/>
          </w:tcPr>
          <w:p w14:paraId="4928C54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Mean ± SD</w:t>
            </w:r>
          </w:p>
        </w:tc>
        <w:tc>
          <w:tcPr>
            <w:tcW w:w="2406" w:type="dxa"/>
          </w:tcPr>
          <w:p w14:paraId="3C2641EA"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w:t>
            </w:r>
          </w:p>
        </w:tc>
        <w:tc>
          <w:tcPr>
            <w:tcW w:w="2414" w:type="dxa"/>
            <w:gridSpan w:val="2"/>
          </w:tcPr>
          <w:p w14:paraId="22BB7C29"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7.16 ± 2.95</w:t>
            </w:r>
          </w:p>
        </w:tc>
        <w:tc>
          <w:tcPr>
            <w:tcW w:w="2551" w:type="dxa"/>
            <w:gridSpan w:val="2"/>
          </w:tcPr>
          <w:p w14:paraId="0D96F5A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ind w:left="432"/>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 14.63 ± 3.72</w:t>
            </w:r>
          </w:p>
        </w:tc>
      </w:tr>
      <w:tr w:rsidR="00514466" w:rsidRPr="00D54C2D" w14:paraId="6D9B8457" w14:textId="77777777" w:rsidTr="001D2BD3">
        <w:tc>
          <w:tcPr>
            <w:tcW w:w="2093" w:type="dxa"/>
          </w:tcPr>
          <w:p w14:paraId="27528B3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Diff. of mean </w:t>
            </w:r>
          </w:p>
        </w:tc>
        <w:tc>
          <w:tcPr>
            <w:tcW w:w="2406" w:type="dxa"/>
          </w:tcPr>
          <w:p w14:paraId="24B3484C"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w:t>
            </w:r>
          </w:p>
        </w:tc>
        <w:tc>
          <w:tcPr>
            <w:tcW w:w="4965" w:type="dxa"/>
            <w:gridSpan w:val="4"/>
          </w:tcPr>
          <w:p w14:paraId="0CE94F7F"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ind w:left="432"/>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7.47 (51.06%)</w:t>
            </w:r>
          </w:p>
        </w:tc>
      </w:tr>
      <w:tr w:rsidR="00514466" w:rsidRPr="00D54C2D" w14:paraId="2C7AE779" w14:textId="77777777" w:rsidTr="001D2BD3">
        <w:tc>
          <w:tcPr>
            <w:tcW w:w="2093" w:type="dxa"/>
          </w:tcPr>
          <w:p w14:paraId="0230E935"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Paired t-test and    p-value </w:t>
            </w:r>
          </w:p>
        </w:tc>
        <w:tc>
          <w:tcPr>
            <w:tcW w:w="7371" w:type="dxa"/>
            <w:gridSpan w:val="5"/>
          </w:tcPr>
          <w:p w14:paraId="296F4370" w14:textId="77777777" w:rsidR="00514466" w:rsidRPr="00D54C2D" w:rsidRDefault="00514466"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ind w:left="432"/>
              <w:jc w:val="center"/>
              <w:rPr>
                <w:rFonts w:ascii="Times New Roman" w:eastAsia="Calibri" w:hAnsi="Times New Roman" w:cs="Times New Roman"/>
                <w:b/>
                <w:sz w:val="24"/>
                <w:szCs w:val="24"/>
                <w:lang w:val="en-US"/>
              </w:rPr>
            </w:pPr>
            <w:r w:rsidRPr="00D54C2D">
              <w:rPr>
                <w:rFonts w:ascii="Times New Roman" w:eastAsia="Calibri" w:hAnsi="Times New Roman" w:cs="Times New Roman"/>
                <w:b/>
                <w:sz w:val="24"/>
                <w:szCs w:val="24"/>
                <w:lang w:val="en-US"/>
              </w:rPr>
              <w:t xml:space="preserve">t = 28.53,     P = 0.0001,     HS </w:t>
            </w:r>
          </w:p>
        </w:tc>
      </w:tr>
    </w:tbl>
    <w:p w14:paraId="14ACAE4B" w14:textId="355AE35A" w:rsidR="00514466" w:rsidRPr="00D54C2D" w:rsidRDefault="00514466" w:rsidP="003C380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jc w:val="center"/>
        <w:rPr>
          <w:rFonts w:ascii="Arial" w:eastAsia="Calibri" w:hAnsi="Arial" w:cs="Arial"/>
          <w:bCs/>
          <w:sz w:val="24"/>
          <w:szCs w:val="24"/>
        </w:rPr>
      </w:pPr>
    </w:p>
    <w:p w14:paraId="20C18E1C" w14:textId="77777777" w:rsidR="003175F0" w:rsidRDefault="00C41F98" w:rsidP="003175F0">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jc w:val="center"/>
        <w:rPr>
          <w:sz w:val="24"/>
          <w:szCs w:val="24"/>
        </w:rPr>
      </w:pPr>
      <w:r w:rsidRPr="00C41F98">
        <w:rPr>
          <w:sz w:val="24"/>
          <w:szCs w:val="24"/>
        </w:rPr>
        <w:t>The study reveals that adolescent girls aged 12 and 13 had significantly lower knowledge of PCOS compared to those aged 14, 15, and 16 (P&lt;0.001). Similarly, 8th standard students had lower knowledge than 9th and 10th standard students (P&lt;0.001). Rural adolescent girls demonstrated significantly lower knowledge of PCOS compared to urban girls (P&lt;0.001). Additionally, knowledge scores were significantly associated with the source of information about PCOS (P&lt;0.001) and the attainment of menarche (P&lt;0.001).</w:t>
      </w:r>
    </w:p>
    <w:p w14:paraId="4A7008D5" w14:textId="57778F4E" w:rsidR="00514466" w:rsidRPr="003175F0" w:rsidRDefault="003C3803" w:rsidP="003175F0">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jc w:val="center"/>
        <w:rPr>
          <w:sz w:val="24"/>
          <w:szCs w:val="24"/>
        </w:rPr>
      </w:pPr>
      <w:r w:rsidRPr="00D54C2D">
        <w:rPr>
          <w:noProof/>
          <w:lang w:eastAsia="en-IN"/>
        </w:rPr>
        <w:lastRenderedPageBreak/>
        <w:drawing>
          <wp:anchor distT="0" distB="0" distL="114300" distR="114300" simplePos="0" relativeHeight="251659264" behindDoc="0" locked="0" layoutInCell="1" allowOverlap="1" wp14:anchorId="78F3A831" wp14:editId="2B955A7F">
            <wp:simplePos x="0" y="0"/>
            <wp:positionH relativeFrom="margin">
              <wp:align>center</wp:align>
            </wp:positionH>
            <wp:positionV relativeFrom="paragraph">
              <wp:posOffset>219710</wp:posOffset>
            </wp:positionV>
            <wp:extent cx="5288915" cy="4348903"/>
            <wp:effectExtent l="0" t="0" r="6985" b="13970"/>
            <wp:wrapTopAndBottom/>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ADC5C3B" w14:textId="27863335" w:rsidR="003C3803" w:rsidRPr="00D54C2D" w:rsidRDefault="003C3803"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61D93BB8" w14:textId="77777777" w:rsidR="00C41F98" w:rsidRPr="00C41F98" w:rsidRDefault="003C3803" w:rsidP="00C41F98">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jc w:val="center"/>
        <w:rPr>
          <w:rFonts w:ascii="Arial" w:eastAsia="Calibri" w:hAnsi="Arial" w:cs="Arial"/>
          <w:b/>
          <w:sz w:val="24"/>
          <w:szCs w:val="24"/>
        </w:rPr>
      </w:pPr>
      <w:r w:rsidRPr="00D54C2D">
        <w:rPr>
          <w:rFonts w:ascii="Arial" w:eastAsia="Calibri" w:hAnsi="Arial" w:cs="Arial"/>
          <w:b/>
          <w:sz w:val="24"/>
          <w:szCs w:val="24"/>
        </w:rPr>
        <w:t xml:space="preserve">Figure No.1: </w:t>
      </w:r>
      <w:r w:rsidR="00C41F98" w:rsidRPr="00C41F98">
        <w:rPr>
          <w:rFonts w:ascii="Arial" w:eastAsia="Calibri" w:hAnsi="Arial" w:cs="Arial"/>
          <w:b/>
          <w:sz w:val="24"/>
          <w:szCs w:val="24"/>
        </w:rPr>
        <w:t xml:space="preserve">Bar diagram represent comparison of mean knowledge score of PCOS </w:t>
      </w:r>
    </w:p>
    <w:p w14:paraId="63F13C53" w14:textId="65D4FC6D" w:rsidR="003C3803" w:rsidRPr="00D54C2D" w:rsidRDefault="00C41F98" w:rsidP="00C41F98">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jc w:val="center"/>
        <w:rPr>
          <w:rFonts w:ascii="Arial" w:eastAsia="Calibri" w:hAnsi="Arial" w:cs="Arial"/>
          <w:b/>
          <w:sz w:val="24"/>
          <w:szCs w:val="24"/>
        </w:rPr>
      </w:pPr>
      <w:r w:rsidRPr="00C41F98">
        <w:rPr>
          <w:rFonts w:ascii="Arial" w:eastAsia="Calibri" w:hAnsi="Arial" w:cs="Arial"/>
          <w:b/>
          <w:sz w:val="24"/>
          <w:szCs w:val="24"/>
        </w:rPr>
        <w:t>between Pre and Post-test</w:t>
      </w:r>
    </w:p>
    <w:p w14:paraId="4FE1618E" w14:textId="77777777" w:rsidR="003C3803" w:rsidRDefault="003C3803"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70E59F81" w14:textId="77777777" w:rsidR="00952B4B"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5C9C292B" w14:textId="77777777" w:rsidR="00952B4B"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524923A8" w14:textId="77777777" w:rsidR="00952B4B"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783DF13B" w14:textId="77777777" w:rsidR="00952B4B"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5D2A037A" w14:textId="77777777" w:rsidR="00952B4B"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78F90D98" w14:textId="77777777" w:rsidR="00952B4B"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541CAB8B" w14:textId="77777777" w:rsidR="00952B4B"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2A049CEF" w14:textId="77777777" w:rsidR="00952B4B"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6C6617A9" w14:textId="77777777" w:rsidR="00952B4B"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7CCF09D3" w14:textId="77777777" w:rsidR="00952B4B" w:rsidRPr="00D54C2D" w:rsidRDefault="00952B4B"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4BEACD91" w14:textId="77777777" w:rsidR="003C3803" w:rsidRPr="00D54C2D" w:rsidRDefault="003C3803"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5B86E881" w14:textId="1FDB2308" w:rsidR="003C3803" w:rsidRPr="003175F0" w:rsidRDefault="003C3803"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r w:rsidRPr="003175F0">
        <w:rPr>
          <w:rFonts w:ascii="Arial" w:eastAsia="Calibri" w:hAnsi="Arial" w:cs="Arial"/>
          <w:b/>
          <w:sz w:val="24"/>
          <w:szCs w:val="24"/>
        </w:rPr>
        <w:t>Table No.</w:t>
      </w:r>
      <w:r w:rsidR="003175F0" w:rsidRPr="003175F0">
        <w:rPr>
          <w:rFonts w:ascii="Arial" w:eastAsia="Calibri" w:hAnsi="Arial" w:cs="Arial"/>
          <w:b/>
          <w:sz w:val="24"/>
          <w:szCs w:val="24"/>
        </w:rPr>
        <w:t>4</w:t>
      </w:r>
      <w:r w:rsidRPr="003175F0">
        <w:rPr>
          <w:rFonts w:ascii="Arial" w:eastAsia="Calibri" w:hAnsi="Arial" w:cs="Arial"/>
          <w:b/>
          <w:sz w:val="24"/>
          <w:szCs w:val="24"/>
        </w:rPr>
        <w:t>: Area-wise mean, SD and mean percentage of girls of pre-test and post-test knowledge score regarding PCOS</w:t>
      </w:r>
    </w:p>
    <w:p w14:paraId="5624A719" w14:textId="77777777" w:rsidR="003C3803" w:rsidRPr="00D54C2D" w:rsidRDefault="003C3803"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tbl>
      <w:tblPr>
        <w:tblStyle w:val="TableGrid"/>
        <w:tblW w:w="9924" w:type="dxa"/>
        <w:tblInd w:w="430" w:type="dxa"/>
        <w:tblLook w:val="04A0" w:firstRow="1" w:lastRow="0" w:firstColumn="1" w:lastColumn="0" w:noHBand="0" w:noVBand="1"/>
      </w:tblPr>
      <w:tblGrid>
        <w:gridCol w:w="1944"/>
        <w:gridCol w:w="838"/>
        <w:gridCol w:w="969"/>
        <w:gridCol w:w="823"/>
        <w:gridCol w:w="1043"/>
        <w:gridCol w:w="969"/>
        <w:gridCol w:w="823"/>
        <w:gridCol w:w="1043"/>
        <w:gridCol w:w="1472"/>
      </w:tblGrid>
      <w:tr w:rsidR="003C3803" w:rsidRPr="003175F0" w14:paraId="1A338996" w14:textId="77777777" w:rsidTr="003C3803">
        <w:tc>
          <w:tcPr>
            <w:tcW w:w="1944" w:type="dxa"/>
            <w:vMerge w:val="restart"/>
          </w:tcPr>
          <w:p w14:paraId="5D84366B"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proofErr w:type="gramStart"/>
            <w:r w:rsidRPr="003175F0">
              <w:rPr>
                <w:rFonts w:ascii="Times New Roman" w:hAnsi="Times New Roman" w:cs="Times New Roman"/>
                <w:b/>
                <w:sz w:val="24"/>
                <w:szCs w:val="24"/>
              </w:rPr>
              <w:t>Area  of</w:t>
            </w:r>
            <w:proofErr w:type="gramEnd"/>
            <w:r w:rsidRPr="003175F0">
              <w:rPr>
                <w:rFonts w:ascii="Times New Roman" w:hAnsi="Times New Roman" w:cs="Times New Roman"/>
                <w:b/>
                <w:sz w:val="24"/>
                <w:szCs w:val="24"/>
              </w:rPr>
              <w:t xml:space="preserve"> knowledge score</w:t>
            </w:r>
          </w:p>
        </w:tc>
        <w:tc>
          <w:tcPr>
            <w:tcW w:w="838" w:type="dxa"/>
            <w:vMerge w:val="restart"/>
          </w:tcPr>
          <w:p w14:paraId="34288C8D"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Max score</w:t>
            </w:r>
          </w:p>
        </w:tc>
        <w:tc>
          <w:tcPr>
            <w:tcW w:w="2835" w:type="dxa"/>
            <w:gridSpan w:val="3"/>
          </w:tcPr>
          <w:p w14:paraId="12A4C35C"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 xml:space="preserve">Pre-test </w:t>
            </w:r>
          </w:p>
        </w:tc>
        <w:tc>
          <w:tcPr>
            <w:tcW w:w="2835" w:type="dxa"/>
            <w:gridSpan w:val="3"/>
          </w:tcPr>
          <w:p w14:paraId="55E7547F"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 xml:space="preserve">Post –test </w:t>
            </w:r>
          </w:p>
        </w:tc>
        <w:tc>
          <w:tcPr>
            <w:tcW w:w="1472" w:type="dxa"/>
            <w:vMerge w:val="restart"/>
          </w:tcPr>
          <w:p w14:paraId="26A16F32"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Paired t-test and P-value</w:t>
            </w:r>
          </w:p>
        </w:tc>
      </w:tr>
      <w:tr w:rsidR="003C3803" w:rsidRPr="003175F0" w14:paraId="51F5FD4E" w14:textId="77777777" w:rsidTr="003C3803">
        <w:tc>
          <w:tcPr>
            <w:tcW w:w="1944" w:type="dxa"/>
            <w:vMerge/>
          </w:tcPr>
          <w:p w14:paraId="463210B7"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p>
        </w:tc>
        <w:tc>
          <w:tcPr>
            <w:tcW w:w="838" w:type="dxa"/>
            <w:vMerge/>
          </w:tcPr>
          <w:p w14:paraId="09B8126D"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p>
        </w:tc>
        <w:tc>
          <w:tcPr>
            <w:tcW w:w="969" w:type="dxa"/>
          </w:tcPr>
          <w:p w14:paraId="75A7A02F"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 xml:space="preserve">Mean </w:t>
            </w:r>
          </w:p>
        </w:tc>
        <w:tc>
          <w:tcPr>
            <w:tcW w:w="823" w:type="dxa"/>
          </w:tcPr>
          <w:p w14:paraId="3AB91AF1"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SD</w:t>
            </w:r>
          </w:p>
        </w:tc>
        <w:tc>
          <w:tcPr>
            <w:tcW w:w="1043" w:type="dxa"/>
          </w:tcPr>
          <w:p w14:paraId="6A4B70BB"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Mean%</w:t>
            </w:r>
          </w:p>
        </w:tc>
        <w:tc>
          <w:tcPr>
            <w:tcW w:w="969" w:type="dxa"/>
          </w:tcPr>
          <w:p w14:paraId="6B30A653"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 xml:space="preserve">Mean </w:t>
            </w:r>
          </w:p>
        </w:tc>
        <w:tc>
          <w:tcPr>
            <w:tcW w:w="823" w:type="dxa"/>
          </w:tcPr>
          <w:p w14:paraId="4469A9AD"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SD</w:t>
            </w:r>
          </w:p>
        </w:tc>
        <w:tc>
          <w:tcPr>
            <w:tcW w:w="1043" w:type="dxa"/>
          </w:tcPr>
          <w:p w14:paraId="249F1E80"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Mean%</w:t>
            </w:r>
          </w:p>
        </w:tc>
        <w:tc>
          <w:tcPr>
            <w:tcW w:w="1472" w:type="dxa"/>
            <w:vMerge/>
          </w:tcPr>
          <w:p w14:paraId="0761E760"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p>
        </w:tc>
      </w:tr>
      <w:tr w:rsidR="003C3803" w:rsidRPr="003175F0" w14:paraId="2E5568A9" w14:textId="77777777" w:rsidTr="003C3803">
        <w:tc>
          <w:tcPr>
            <w:tcW w:w="1944" w:type="dxa"/>
          </w:tcPr>
          <w:p w14:paraId="65037259"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 xml:space="preserve">Anatomy &amp; physiology </w:t>
            </w:r>
          </w:p>
        </w:tc>
        <w:tc>
          <w:tcPr>
            <w:tcW w:w="838" w:type="dxa"/>
          </w:tcPr>
          <w:p w14:paraId="5046B871"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4</w:t>
            </w:r>
          </w:p>
        </w:tc>
        <w:tc>
          <w:tcPr>
            <w:tcW w:w="969" w:type="dxa"/>
          </w:tcPr>
          <w:p w14:paraId="441EA769"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1.62</w:t>
            </w:r>
          </w:p>
        </w:tc>
        <w:tc>
          <w:tcPr>
            <w:tcW w:w="823" w:type="dxa"/>
          </w:tcPr>
          <w:p w14:paraId="6709313F"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1.32</w:t>
            </w:r>
          </w:p>
        </w:tc>
        <w:tc>
          <w:tcPr>
            <w:tcW w:w="1043" w:type="dxa"/>
          </w:tcPr>
          <w:p w14:paraId="66B33060"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40.5%</w:t>
            </w:r>
          </w:p>
        </w:tc>
        <w:tc>
          <w:tcPr>
            <w:tcW w:w="969" w:type="dxa"/>
          </w:tcPr>
          <w:p w14:paraId="0353C1B3"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3.12</w:t>
            </w:r>
          </w:p>
        </w:tc>
        <w:tc>
          <w:tcPr>
            <w:tcW w:w="823" w:type="dxa"/>
          </w:tcPr>
          <w:p w14:paraId="3F3A95F1"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1.54</w:t>
            </w:r>
          </w:p>
        </w:tc>
        <w:tc>
          <w:tcPr>
            <w:tcW w:w="1043" w:type="dxa"/>
          </w:tcPr>
          <w:p w14:paraId="459714F2"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78.0%</w:t>
            </w:r>
          </w:p>
        </w:tc>
        <w:tc>
          <w:tcPr>
            <w:tcW w:w="1472" w:type="dxa"/>
          </w:tcPr>
          <w:p w14:paraId="500B62F4"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t = 21.83</w:t>
            </w:r>
          </w:p>
          <w:p w14:paraId="5FDFF8B7"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P = 0.000</w:t>
            </w:r>
            <w:proofErr w:type="gramStart"/>
            <w:r w:rsidRPr="003175F0">
              <w:rPr>
                <w:rFonts w:ascii="Times New Roman" w:hAnsi="Times New Roman" w:cs="Times New Roman"/>
                <w:b/>
                <w:sz w:val="24"/>
                <w:szCs w:val="24"/>
              </w:rPr>
              <w:t>,  HS</w:t>
            </w:r>
            <w:proofErr w:type="gramEnd"/>
          </w:p>
        </w:tc>
      </w:tr>
      <w:tr w:rsidR="003C3803" w:rsidRPr="003175F0" w14:paraId="7545E722" w14:textId="77777777" w:rsidTr="003C3803">
        <w:tc>
          <w:tcPr>
            <w:tcW w:w="1944" w:type="dxa"/>
          </w:tcPr>
          <w:p w14:paraId="1D9CEF9E"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 xml:space="preserve">Risk factors and causes </w:t>
            </w:r>
          </w:p>
        </w:tc>
        <w:tc>
          <w:tcPr>
            <w:tcW w:w="838" w:type="dxa"/>
          </w:tcPr>
          <w:p w14:paraId="28A13A2B"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2</w:t>
            </w:r>
          </w:p>
        </w:tc>
        <w:tc>
          <w:tcPr>
            <w:tcW w:w="969" w:type="dxa"/>
          </w:tcPr>
          <w:p w14:paraId="4C415F2F"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0.85</w:t>
            </w:r>
          </w:p>
        </w:tc>
        <w:tc>
          <w:tcPr>
            <w:tcW w:w="823" w:type="dxa"/>
          </w:tcPr>
          <w:p w14:paraId="02ED6692"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0.42</w:t>
            </w:r>
          </w:p>
        </w:tc>
        <w:tc>
          <w:tcPr>
            <w:tcW w:w="1043" w:type="dxa"/>
          </w:tcPr>
          <w:p w14:paraId="68849001"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42.5%</w:t>
            </w:r>
          </w:p>
        </w:tc>
        <w:tc>
          <w:tcPr>
            <w:tcW w:w="969" w:type="dxa"/>
          </w:tcPr>
          <w:p w14:paraId="40957392"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1.61</w:t>
            </w:r>
          </w:p>
        </w:tc>
        <w:tc>
          <w:tcPr>
            <w:tcW w:w="823" w:type="dxa"/>
          </w:tcPr>
          <w:p w14:paraId="407F8686"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0.45</w:t>
            </w:r>
          </w:p>
        </w:tc>
        <w:tc>
          <w:tcPr>
            <w:tcW w:w="1043" w:type="dxa"/>
          </w:tcPr>
          <w:p w14:paraId="77589E64"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80.5%</w:t>
            </w:r>
          </w:p>
        </w:tc>
        <w:tc>
          <w:tcPr>
            <w:tcW w:w="1472" w:type="dxa"/>
          </w:tcPr>
          <w:p w14:paraId="1DC148C2"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t = 27.13</w:t>
            </w:r>
          </w:p>
          <w:p w14:paraId="1B10F9A5"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P = 0.000</w:t>
            </w:r>
            <w:proofErr w:type="gramStart"/>
            <w:r w:rsidRPr="003175F0">
              <w:rPr>
                <w:rFonts w:ascii="Times New Roman" w:hAnsi="Times New Roman" w:cs="Times New Roman"/>
                <w:b/>
                <w:sz w:val="24"/>
                <w:szCs w:val="24"/>
              </w:rPr>
              <w:t>,  HS</w:t>
            </w:r>
            <w:proofErr w:type="gramEnd"/>
          </w:p>
        </w:tc>
      </w:tr>
      <w:tr w:rsidR="003C3803" w:rsidRPr="003175F0" w14:paraId="53045D5A" w14:textId="77777777" w:rsidTr="003C3803">
        <w:tc>
          <w:tcPr>
            <w:tcW w:w="1944" w:type="dxa"/>
          </w:tcPr>
          <w:p w14:paraId="15C10C66"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 xml:space="preserve">Clinical manifestations </w:t>
            </w:r>
          </w:p>
        </w:tc>
        <w:tc>
          <w:tcPr>
            <w:tcW w:w="838" w:type="dxa"/>
          </w:tcPr>
          <w:p w14:paraId="2A056113"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3</w:t>
            </w:r>
          </w:p>
        </w:tc>
        <w:tc>
          <w:tcPr>
            <w:tcW w:w="969" w:type="dxa"/>
          </w:tcPr>
          <w:p w14:paraId="2B69DC56"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1.02</w:t>
            </w:r>
          </w:p>
        </w:tc>
        <w:tc>
          <w:tcPr>
            <w:tcW w:w="823" w:type="dxa"/>
          </w:tcPr>
          <w:p w14:paraId="17369F32"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0.43</w:t>
            </w:r>
          </w:p>
        </w:tc>
        <w:tc>
          <w:tcPr>
            <w:tcW w:w="1043" w:type="dxa"/>
          </w:tcPr>
          <w:p w14:paraId="2585ED60"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34.0%</w:t>
            </w:r>
          </w:p>
        </w:tc>
        <w:tc>
          <w:tcPr>
            <w:tcW w:w="969" w:type="dxa"/>
          </w:tcPr>
          <w:p w14:paraId="1DF035CC"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1.82</w:t>
            </w:r>
          </w:p>
        </w:tc>
        <w:tc>
          <w:tcPr>
            <w:tcW w:w="823" w:type="dxa"/>
          </w:tcPr>
          <w:p w14:paraId="234C963F"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0.63</w:t>
            </w:r>
          </w:p>
        </w:tc>
        <w:tc>
          <w:tcPr>
            <w:tcW w:w="1043" w:type="dxa"/>
          </w:tcPr>
          <w:p w14:paraId="4C2CBF22"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60.7%</w:t>
            </w:r>
          </w:p>
        </w:tc>
        <w:tc>
          <w:tcPr>
            <w:tcW w:w="1472" w:type="dxa"/>
          </w:tcPr>
          <w:p w14:paraId="6BAD69CB"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t = 13.73</w:t>
            </w:r>
          </w:p>
          <w:p w14:paraId="76C086E8"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P = 0.000</w:t>
            </w:r>
            <w:proofErr w:type="gramStart"/>
            <w:r w:rsidRPr="003175F0">
              <w:rPr>
                <w:rFonts w:ascii="Times New Roman" w:hAnsi="Times New Roman" w:cs="Times New Roman"/>
                <w:b/>
                <w:sz w:val="24"/>
                <w:szCs w:val="24"/>
              </w:rPr>
              <w:t>,  HS</w:t>
            </w:r>
            <w:proofErr w:type="gramEnd"/>
          </w:p>
        </w:tc>
      </w:tr>
      <w:tr w:rsidR="003C3803" w:rsidRPr="003175F0" w14:paraId="465CEC97" w14:textId="77777777" w:rsidTr="003C3803">
        <w:tc>
          <w:tcPr>
            <w:tcW w:w="1944" w:type="dxa"/>
          </w:tcPr>
          <w:p w14:paraId="697E3543"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 xml:space="preserve">Management </w:t>
            </w:r>
          </w:p>
        </w:tc>
        <w:tc>
          <w:tcPr>
            <w:tcW w:w="838" w:type="dxa"/>
          </w:tcPr>
          <w:p w14:paraId="29CE36F0"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5</w:t>
            </w:r>
          </w:p>
        </w:tc>
        <w:tc>
          <w:tcPr>
            <w:tcW w:w="969" w:type="dxa"/>
          </w:tcPr>
          <w:p w14:paraId="671E68BB"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1.65</w:t>
            </w:r>
          </w:p>
        </w:tc>
        <w:tc>
          <w:tcPr>
            <w:tcW w:w="823" w:type="dxa"/>
          </w:tcPr>
          <w:p w14:paraId="14A4BC15"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1.13</w:t>
            </w:r>
          </w:p>
        </w:tc>
        <w:tc>
          <w:tcPr>
            <w:tcW w:w="1043" w:type="dxa"/>
          </w:tcPr>
          <w:p w14:paraId="0ED0258F"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33.0%</w:t>
            </w:r>
          </w:p>
        </w:tc>
        <w:tc>
          <w:tcPr>
            <w:tcW w:w="969" w:type="dxa"/>
          </w:tcPr>
          <w:p w14:paraId="623D8DB4"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3.52</w:t>
            </w:r>
          </w:p>
        </w:tc>
        <w:tc>
          <w:tcPr>
            <w:tcW w:w="823" w:type="dxa"/>
          </w:tcPr>
          <w:p w14:paraId="6E72196A"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1.34</w:t>
            </w:r>
          </w:p>
        </w:tc>
        <w:tc>
          <w:tcPr>
            <w:tcW w:w="1043" w:type="dxa"/>
          </w:tcPr>
          <w:p w14:paraId="2A45EE59"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70.4%</w:t>
            </w:r>
          </w:p>
        </w:tc>
        <w:tc>
          <w:tcPr>
            <w:tcW w:w="1472" w:type="dxa"/>
          </w:tcPr>
          <w:p w14:paraId="57D5831A"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t = 23.52</w:t>
            </w:r>
          </w:p>
          <w:p w14:paraId="3513742F"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P = 0.000</w:t>
            </w:r>
            <w:proofErr w:type="gramStart"/>
            <w:r w:rsidRPr="003175F0">
              <w:rPr>
                <w:rFonts w:ascii="Times New Roman" w:hAnsi="Times New Roman" w:cs="Times New Roman"/>
                <w:b/>
                <w:sz w:val="24"/>
                <w:szCs w:val="24"/>
              </w:rPr>
              <w:t>,  HS</w:t>
            </w:r>
            <w:proofErr w:type="gramEnd"/>
          </w:p>
        </w:tc>
      </w:tr>
      <w:tr w:rsidR="003C3803" w:rsidRPr="003175F0" w14:paraId="56AA754F" w14:textId="77777777" w:rsidTr="003C3803">
        <w:tc>
          <w:tcPr>
            <w:tcW w:w="1944" w:type="dxa"/>
          </w:tcPr>
          <w:p w14:paraId="75ED3B90"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 xml:space="preserve">Prevention &amp; complications  </w:t>
            </w:r>
          </w:p>
        </w:tc>
        <w:tc>
          <w:tcPr>
            <w:tcW w:w="838" w:type="dxa"/>
          </w:tcPr>
          <w:p w14:paraId="2912F3EE"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3</w:t>
            </w:r>
          </w:p>
        </w:tc>
        <w:tc>
          <w:tcPr>
            <w:tcW w:w="969" w:type="dxa"/>
          </w:tcPr>
          <w:p w14:paraId="5724CB99"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0.98</w:t>
            </w:r>
          </w:p>
        </w:tc>
        <w:tc>
          <w:tcPr>
            <w:tcW w:w="823" w:type="dxa"/>
          </w:tcPr>
          <w:p w14:paraId="39A39A21"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0.31</w:t>
            </w:r>
          </w:p>
        </w:tc>
        <w:tc>
          <w:tcPr>
            <w:tcW w:w="1043" w:type="dxa"/>
          </w:tcPr>
          <w:p w14:paraId="545CACE5"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32.7%</w:t>
            </w:r>
          </w:p>
        </w:tc>
        <w:tc>
          <w:tcPr>
            <w:tcW w:w="969" w:type="dxa"/>
          </w:tcPr>
          <w:p w14:paraId="02619CEB"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2.30</w:t>
            </w:r>
          </w:p>
        </w:tc>
        <w:tc>
          <w:tcPr>
            <w:tcW w:w="823" w:type="dxa"/>
          </w:tcPr>
          <w:p w14:paraId="75CDA109"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0.93</w:t>
            </w:r>
          </w:p>
        </w:tc>
        <w:tc>
          <w:tcPr>
            <w:tcW w:w="1043" w:type="dxa"/>
          </w:tcPr>
          <w:p w14:paraId="6CA7C2EA"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76.7%</w:t>
            </w:r>
          </w:p>
        </w:tc>
        <w:tc>
          <w:tcPr>
            <w:tcW w:w="1472" w:type="dxa"/>
          </w:tcPr>
          <w:p w14:paraId="7AED8A75"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t = 30.17</w:t>
            </w:r>
          </w:p>
          <w:p w14:paraId="05E5A9A9"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P = 0.000</w:t>
            </w:r>
            <w:proofErr w:type="gramStart"/>
            <w:r w:rsidRPr="003175F0">
              <w:rPr>
                <w:rFonts w:ascii="Times New Roman" w:hAnsi="Times New Roman" w:cs="Times New Roman"/>
                <w:b/>
                <w:sz w:val="24"/>
                <w:szCs w:val="24"/>
              </w:rPr>
              <w:t>,  HS</w:t>
            </w:r>
            <w:proofErr w:type="gramEnd"/>
          </w:p>
        </w:tc>
      </w:tr>
      <w:tr w:rsidR="003C3803" w:rsidRPr="003175F0" w14:paraId="1C142DF7" w14:textId="77777777" w:rsidTr="003C3803">
        <w:tc>
          <w:tcPr>
            <w:tcW w:w="1944" w:type="dxa"/>
          </w:tcPr>
          <w:p w14:paraId="64634B63"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 xml:space="preserve">General aspects </w:t>
            </w:r>
          </w:p>
        </w:tc>
        <w:tc>
          <w:tcPr>
            <w:tcW w:w="838" w:type="dxa"/>
          </w:tcPr>
          <w:p w14:paraId="50500030"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3</w:t>
            </w:r>
          </w:p>
        </w:tc>
        <w:tc>
          <w:tcPr>
            <w:tcW w:w="969" w:type="dxa"/>
          </w:tcPr>
          <w:p w14:paraId="28240882"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1.01</w:t>
            </w:r>
          </w:p>
        </w:tc>
        <w:tc>
          <w:tcPr>
            <w:tcW w:w="823" w:type="dxa"/>
          </w:tcPr>
          <w:p w14:paraId="09671941"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0.45</w:t>
            </w:r>
          </w:p>
        </w:tc>
        <w:tc>
          <w:tcPr>
            <w:tcW w:w="1043" w:type="dxa"/>
          </w:tcPr>
          <w:p w14:paraId="534084AA"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33.7%</w:t>
            </w:r>
          </w:p>
        </w:tc>
        <w:tc>
          <w:tcPr>
            <w:tcW w:w="969" w:type="dxa"/>
          </w:tcPr>
          <w:p w14:paraId="6D2E547B"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2.26</w:t>
            </w:r>
          </w:p>
        </w:tc>
        <w:tc>
          <w:tcPr>
            <w:tcW w:w="823" w:type="dxa"/>
          </w:tcPr>
          <w:p w14:paraId="256BF403"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0.85</w:t>
            </w:r>
          </w:p>
        </w:tc>
        <w:tc>
          <w:tcPr>
            <w:tcW w:w="1043" w:type="dxa"/>
          </w:tcPr>
          <w:p w14:paraId="397CDE59"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75.3%</w:t>
            </w:r>
          </w:p>
        </w:tc>
        <w:tc>
          <w:tcPr>
            <w:tcW w:w="1472" w:type="dxa"/>
          </w:tcPr>
          <w:p w14:paraId="066ACC36"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t = 31.41</w:t>
            </w:r>
          </w:p>
          <w:p w14:paraId="4A28D8DB"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P = 0.000</w:t>
            </w:r>
            <w:proofErr w:type="gramStart"/>
            <w:r w:rsidRPr="003175F0">
              <w:rPr>
                <w:rFonts w:ascii="Times New Roman" w:hAnsi="Times New Roman" w:cs="Times New Roman"/>
                <w:b/>
                <w:sz w:val="24"/>
                <w:szCs w:val="24"/>
              </w:rPr>
              <w:t>,  HS</w:t>
            </w:r>
            <w:proofErr w:type="gramEnd"/>
          </w:p>
        </w:tc>
      </w:tr>
      <w:tr w:rsidR="003C3803" w:rsidRPr="003175F0" w14:paraId="00CA471B" w14:textId="77777777" w:rsidTr="003C3803">
        <w:tc>
          <w:tcPr>
            <w:tcW w:w="1944" w:type="dxa"/>
          </w:tcPr>
          <w:p w14:paraId="4D341F7E"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lastRenderedPageBreak/>
              <w:t xml:space="preserve">Overall </w:t>
            </w:r>
          </w:p>
        </w:tc>
        <w:tc>
          <w:tcPr>
            <w:tcW w:w="838" w:type="dxa"/>
          </w:tcPr>
          <w:p w14:paraId="63A8F88B"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20</w:t>
            </w:r>
          </w:p>
        </w:tc>
        <w:tc>
          <w:tcPr>
            <w:tcW w:w="969" w:type="dxa"/>
          </w:tcPr>
          <w:p w14:paraId="6453C92E"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sz w:val="24"/>
                <w:szCs w:val="24"/>
              </w:rPr>
            </w:pPr>
            <w:r w:rsidRPr="003175F0">
              <w:rPr>
                <w:rFonts w:ascii="Times New Roman" w:eastAsia="Calibri" w:hAnsi="Times New Roman" w:cs="Times New Roman"/>
                <w:sz w:val="24"/>
                <w:szCs w:val="24"/>
                <w:lang w:val="en-US"/>
              </w:rPr>
              <w:t>7.16</w:t>
            </w:r>
          </w:p>
        </w:tc>
        <w:tc>
          <w:tcPr>
            <w:tcW w:w="823" w:type="dxa"/>
          </w:tcPr>
          <w:p w14:paraId="7D59DDFF"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2.95</w:t>
            </w:r>
          </w:p>
        </w:tc>
        <w:tc>
          <w:tcPr>
            <w:tcW w:w="1043" w:type="dxa"/>
          </w:tcPr>
          <w:p w14:paraId="7BA67C3D"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35.8%</w:t>
            </w:r>
          </w:p>
        </w:tc>
        <w:tc>
          <w:tcPr>
            <w:tcW w:w="969" w:type="dxa"/>
          </w:tcPr>
          <w:p w14:paraId="3CF9330F"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14.63</w:t>
            </w:r>
          </w:p>
        </w:tc>
        <w:tc>
          <w:tcPr>
            <w:tcW w:w="823" w:type="dxa"/>
          </w:tcPr>
          <w:p w14:paraId="3F28ACE0"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3.72</w:t>
            </w:r>
          </w:p>
        </w:tc>
        <w:tc>
          <w:tcPr>
            <w:tcW w:w="1043" w:type="dxa"/>
          </w:tcPr>
          <w:p w14:paraId="167CF2D5"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73.15%</w:t>
            </w:r>
          </w:p>
        </w:tc>
        <w:tc>
          <w:tcPr>
            <w:tcW w:w="1472" w:type="dxa"/>
          </w:tcPr>
          <w:p w14:paraId="527C869B"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t = 28.53</w:t>
            </w:r>
          </w:p>
          <w:p w14:paraId="0E44CF1D" w14:textId="77777777" w:rsidR="003C3803" w:rsidRPr="003175F0" w:rsidRDefault="003C3803" w:rsidP="001D2BD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480" w:lineRule="auto"/>
              <w:jc w:val="center"/>
              <w:rPr>
                <w:rFonts w:ascii="Times New Roman" w:hAnsi="Times New Roman" w:cs="Times New Roman"/>
                <w:b/>
                <w:sz w:val="24"/>
                <w:szCs w:val="24"/>
              </w:rPr>
            </w:pPr>
            <w:r w:rsidRPr="003175F0">
              <w:rPr>
                <w:rFonts w:ascii="Times New Roman" w:hAnsi="Times New Roman" w:cs="Times New Roman"/>
                <w:b/>
                <w:sz w:val="24"/>
                <w:szCs w:val="24"/>
              </w:rPr>
              <w:t>P = 0.000</w:t>
            </w:r>
            <w:proofErr w:type="gramStart"/>
            <w:r w:rsidRPr="003175F0">
              <w:rPr>
                <w:rFonts w:ascii="Times New Roman" w:hAnsi="Times New Roman" w:cs="Times New Roman"/>
                <w:b/>
                <w:sz w:val="24"/>
                <w:szCs w:val="24"/>
              </w:rPr>
              <w:t>,  HS</w:t>
            </w:r>
            <w:proofErr w:type="gramEnd"/>
          </w:p>
        </w:tc>
      </w:tr>
    </w:tbl>
    <w:p w14:paraId="6D5B281D" w14:textId="77777777" w:rsidR="00514466" w:rsidRPr="00D54C2D" w:rsidRDefault="00514466"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2130166B" w14:textId="74F977FA" w:rsidR="003C3803" w:rsidRPr="003175F0" w:rsidRDefault="003175F0"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Cs/>
          <w:sz w:val="24"/>
          <w:szCs w:val="24"/>
        </w:rPr>
      </w:pPr>
      <w:r w:rsidRPr="003175F0">
        <w:rPr>
          <w:rFonts w:ascii="Arial" w:eastAsia="Calibri" w:hAnsi="Arial" w:cs="Arial"/>
          <w:bCs/>
          <w:sz w:val="24"/>
          <w:szCs w:val="24"/>
        </w:rPr>
        <w:t>The study reveals that, among the different areas of knowledge on PCOS, the lowest scores were observed in the clinical manifestations section, while the highest scores were seen in the risk factors and causes section. A statistically highly significant improvement (P&lt;0.001) was observed in all areas of knowledge between the pre-test and post-test. The post-test mean scores were significantly higher across all areas compared to the pre-test scores. This indicates that the standardized structured teaching program on PCOS was effective in enhancing knowledge across all assessed domains.</w:t>
      </w:r>
    </w:p>
    <w:p w14:paraId="63D6BDB2" w14:textId="390C791E" w:rsidR="00A50CF0" w:rsidRPr="00D54C2D" w:rsidRDefault="00A50CF0" w:rsidP="00A16A7A">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845"/>
        </w:tabs>
        <w:spacing w:line="240" w:lineRule="auto"/>
        <w:rPr>
          <w:rFonts w:ascii="Arial" w:eastAsia="Calibri" w:hAnsi="Arial" w:cs="Arial"/>
          <w:b/>
          <w:sz w:val="24"/>
          <w:szCs w:val="24"/>
        </w:rPr>
      </w:pPr>
    </w:p>
    <w:p w14:paraId="71C90AA1" w14:textId="676C3CA0" w:rsidR="00602955" w:rsidRPr="003175F0" w:rsidRDefault="003175F0" w:rsidP="003175F0">
      <w:pPr>
        <w:tabs>
          <w:tab w:val="left" w:pos="1440"/>
        </w:tabs>
        <w:spacing w:line="240" w:lineRule="auto"/>
        <w:jc w:val="center"/>
        <w:rPr>
          <w:rFonts w:ascii="Arial" w:eastAsia="Calibri" w:hAnsi="Arial" w:cs="Arial"/>
          <w:b/>
          <w:sz w:val="24"/>
          <w:szCs w:val="24"/>
        </w:rPr>
      </w:pPr>
      <w:r w:rsidRPr="00D54C2D">
        <w:rPr>
          <w:noProof/>
          <w:lang w:eastAsia="en-IN"/>
        </w:rPr>
        <w:drawing>
          <wp:anchor distT="0" distB="0" distL="114300" distR="114300" simplePos="0" relativeHeight="251661312" behindDoc="0" locked="0" layoutInCell="1" allowOverlap="1" wp14:anchorId="0DC2FD10" wp14:editId="3E653962">
            <wp:simplePos x="0" y="0"/>
            <wp:positionH relativeFrom="margin">
              <wp:align>left</wp:align>
            </wp:positionH>
            <wp:positionV relativeFrom="paragraph">
              <wp:posOffset>487045</wp:posOffset>
            </wp:positionV>
            <wp:extent cx="6153150" cy="4276725"/>
            <wp:effectExtent l="0" t="0" r="0" b="9525"/>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3C3803" w:rsidRPr="003175F0">
        <w:rPr>
          <w:rFonts w:ascii="Arial" w:eastAsia="Calibri" w:hAnsi="Arial" w:cs="Arial"/>
          <w:b/>
          <w:sz w:val="24"/>
          <w:szCs w:val="24"/>
        </w:rPr>
        <w:t>Figure No.</w:t>
      </w:r>
      <w:r w:rsidR="00D54C2D" w:rsidRPr="003175F0">
        <w:rPr>
          <w:rFonts w:ascii="Arial" w:eastAsia="Calibri" w:hAnsi="Arial" w:cs="Arial"/>
          <w:b/>
          <w:sz w:val="24"/>
          <w:szCs w:val="24"/>
        </w:rPr>
        <w:t>2</w:t>
      </w:r>
      <w:r w:rsidR="003C3803" w:rsidRPr="003175F0">
        <w:rPr>
          <w:rFonts w:ascii="Arial" w:eastAsia="Calibri" w:hAnsi="Arial" w:cs="Arial"/>
          <w:b/>
          <w:sz w:val="24"/>
          <w:szCs w:val="24"/>
        </w:rPr>
        <w:t>: Multiple bar diagram shows area wise mean, SD and mean percentage of girls of pre-test and post-test knowledge score regarding PCOS</w:t>
      </w:r>
      <w:bookmarkEnd w:id="1"/>
    </w:p>
    <w:p w14:paraId="6437C29F" w14:textId="77777777" w:rsidR="003175F0" w:rsidRDefault="003175F0" w:rsidP="00D54C2D">
      <w:pPr>
        <w:tabs>
          <w:tab w:val="left" w:pos="1212"/>
        </w:tabs>
        <w:spacing w:line="240" w:lineRule="auto"/>
        <w:jc w:val="both"/>
        <w:rPr>
          <w:rFonts w:ascii="Arial" w:hAnsi="Arial" w:cs="Arial"/>
          <w:b/>
          <w:bCs/>
          <w:sz w:val="20"/>
          <w:szCs w:val="20"/>
        </w:rPr>
      </w:pPr>
    </w:p>
    <w:p w14:paraId="1D80EB97" w14:textId="77777777" w:rsidR="003175F0" w:rsidRDefault="003175F0" w:rsidP="00D54C2D">
      <w:pPr>
        <w:tabs>
          <w:tab w:val="left" w:pos="1212"/>
        </w:tabs>
        <w:spacing w:line="240" w:lineRule="auto"/>
        <w:jc w:val="both"/>
        <w:rPr>
          <w:rFonts w:ascii="Arial" w:hAnsi="Arial" w:cs="Arial"/>
          <w:b/>
          <w:bCs/>
          <w:sz w:val="20"/>
          <w:szCs w:val="20"/>
        </w:rPr>
      </w:pPr>
    </w:p>
    <w:p w14:paraId="79C1A80C" w14:textId="77777777" w:rsidR="003175F0" w:rsidRDefault="003175F0" w:rsidP="00D54C2D">
      <w:pPr>
        <w:tabs>
          <w:tab w:val="left" w:pos="1212"/>
        </w:tabs>
        <w:spacing w:line="240" w:lineRule="auto"/>
        <w:jc w:val="both"/>
        <w:rPr>
          <w:rFonts w:ascii="Arial" w:hAnsi="Arial" w:cs="Arial"/>
          <w:b/>
          <w:bCs/>
          <w:sz w:val="20"/>
          <w:szCs w:val="20"/>
        </w:rPr>
      </w:pPr>
    </w:p>
    <w:p w14:paraId="39E328D9" w14:textId="77777777" w:rsidR="003175F0" w:rsidRDefault="003175F0" w:rsidP="00D54C2D">
      <w:pPr>
        <w:tabs>
          <w:tab w:val="left" w:pos="1212"/>
        </w:tabs>
        <w:spacing w:line="240" w:lineRule="auto"/>
        <w:jc w:val="both"/>
        <w:rPr>
          <w:rFonts w:ascii="Arial" w:hAnsi="Arial" w:cs="Arial"/>
          <w:b/>
          <w:bCs/>
          <w:sz w:val="20"/>
          <w:szCs w:val="20"/>
        </w:rPr>
      </w:pPr>
    </w:p>
    <w:p w14:paraId="2C6C82D1" w14:textId="77777777" w:rsidR="003175F0" w:rsidRDefault="003175F0" w:rsidP="00D54C2D">
      <w:pPr>
        <w:tabs>
          <w:tab w:val="left" w:pos="1212"/>
        </w:tabs>
        <w:spacing w:line="240" w:lineRule="auto"/>
        <w:jc w:val="both"/>
        <w:rPr>
          <w:rFonts w:ascii="Arial" w:hAnsi="Arial" w:cs="Arial"/>
          <w:b/>
          <w:bCs/>
          <w:sz w:val="20"/>
          <w:szCs w:val="20"/>
        </w:rPr>
      </w:pPr>
    </w:p>
    <w:p w14:paraId="2FE18529" w14:textId="77777777" w:rsidR="003175F0" w:rsidRDefault="003175F0" w:rsidP="00D54C2D">
      <w:pPr>
        <w:tabs>
          <w:tab w:val="left" w:pos="1212"/>
        </w:tabs>
        <w:spacing w:line="240" w:lineRule="auto"/>
        <w:jc w:val="both"/>
        <w:rPr>
          <w:rFonts w:ascii="Arial" w:hAnsi="Arial" w:cs="Arial"/>
          <w:b/>
          <w:bCs/>
          <w:sz w:val="20"/>
          <w:szCs w:val="20"/>
        </w:rPr>
      </w:pPr>
    </w:p>
    <w:p w14:paraId="621CD2E8" w14:textId="77777777" w:rsidR="003175F0" w:rsidRPr="003175F0" w:rsidRDefault="003175F0" w:rsidP="003175F0">
      <w:pPr>
        <w:tabs>
          <w:tab w:val="left" w:pos="1212"/>
        </w:tabs>
        <w:spacing w:line="240" w:lineRule="auto"/>
        <w:jc w:val="both"/>
        <w:rPr>
          <w:rFonts w:ascii="Arial" w:hAnsi="Arial" w:cs="Arial"/>
          <w:b/>
          <w:bCs/>
          <w:sz w:val="24"/>
          <w:szCs w:val="24"/>
        </w:rPr>
      </w:pPr>
      <w:r w:rsidRPr="003175F0">
        <w:rPr>
          <w:rFonts w:ascii="Arial" w:hAnsi="Arial" w:cs="Arial"/>
          <w:b/>
          <w:bCs/>
          <w:sz w:val="24"/>
          <w:szCs w:val="24"/>
        </w:rPr>
        <w:t>Discussion</w:t>
      </w:r>
    </w:p>
    <w:p w14:paraId="06D3F28A" w14:textId="77777777" w:rsidR="003175F0" w:rsidRPr="003175F0" w:rsidRDefault="003175F0" w:rsidP="003175F0">
      <w:pPr>
        <w:tabs>
          <w:tab w:val="left" w:pos="1212"/>
        </w:tabs>
        <w:spacing w:line="240" w:lineRule="auto"/>
        <w:jc w:val="both"/>
        <w:rPr>
          <w:rFonts w:ascii="Arial" w:hAnsi="Arial" w:cs="Arial"/>
          <w:sz w:val="20"/>
          <w:szCs w:val="20"/>
        </w:rPr>
      </w:pPr>
      <w:r w:rsidRPr="003175F0">
        <w:rPr>
          <w:rFonts w:ascii="Arial" w:hAnsi="Arial" w:cs="Arial"/>
          <w:sz w:val="20"/>
          <w:szCs w:val="20"/>
        </w:rPr>
        <w:t>Adolescence brings significant physiological and psychological changes, yet many girls lack proper guidance on menstrual health due to societal restrictions. PCOS is a growing concern, and to our knowledge, this is the first educational intervention study of its kind in Kalaburagi.</w:t>
      </w:r>
    </w:p>
    <w:p w14:paraId="79CFF7BF" w14:textId="77777777" w:rsidR="00495BBE" w:rsidRDefault="003175F0" w:rsidP="003175F0">
      <w:pPr>
        <w:tabs>
          <w:tab w:val="left" w:pos="1212"/>
        </w:tabs>
        <w:spacing w:line="240" w:lineRule="auto"/>
        <w:jc w:val="both"/>
        <w:rPr>
          <w:rFonts w:ascii="Arial" w:hAnsi="Arial" w:cs="Arial"/>
          <w:sz w:val="20"/>
          <w:szCs w:val="20"/>
        </w:rPr>
      </w:pPr>
      <w:r w:rsidRPr="003175F0">
        <w:rPr>
          <w:rFonts w:ascii="Arial" w:hAnsi="Arial" w:cs="Arial"/>
          <w:sz w:val="20"/>
          <w:szCs w:val="20"/>
        </w:rPr>
        <w:t>Our study found that younger adolescents (ages 12-13) had lower PCOS awareness than older girls (ages 14-16), aligning with previous studies by Mohammed HAA et al. (2016) and Batra B et al. (2018). Similarly, 8th-grade students had significantly lower knowledge compared to 9th and 10th graders. Rural girls also demonstrated lower awareness than urban girls, consistent with findings by Sayed SLME et al. (2020).</w:t>
      </w:r>
      <w:r w:rsidR="00495BBE">
        <w:rPr>
          <w:rFonts w:ascii="Arial" w:hAnsi="Arial" w:cs="Arial"/>
          <w:sz w:val="20"/>
          <w:szCs w:val="20"/>
        </w:rPr>
        <w:t xml:space="preserve"> </w:t>
      </w:r>
    </w:p>
    <w:p w14:paraId="4EF12F04" w14:textId="05CBE2FF" w:rsidR="003175F0" w:rsidRPr="003175F0" w:rsidRDefault="003175F0" w:rsidP="003175F0">
      <w:pPr>
        <w:tabs>
          <w:tab w:val="left" w:pos="1212"/>
        </w:tabs>
        <w:spacing w:line="240" w:lineRule="auto"/>
        <w:jc w:val="both"/>
        <w:rPr>
          <w:rFonts w:ascii="Arial" w:hAnsi="Arial" w:cs="Arial"/>
          <w:sz w:val="20"/>
          <w:szCs w:val="20"/>
        </w:rPr>
      </w:pPr>
      <w:r w:rsidRPr="003175F0">
        <w:rPr>
          <w:rFonts w:ascii="Arial" w:hAnsi="Arial" w:cs="Arial"/>
          <w:sz w:val="20"/>
          <w:szCs w:val="20"/>
        </w:rPr>
        <w:t>Regarding the medium of instruction, girls from English-medium schools had higher knowledge scores than those from Kannada and Urdu mediums, a previously unexplored aspect. Additionally, 87.6% of participants lacked prior PCOS awareness, with family being the most common source of information, aligning with studies by Salama AM et al. (2019) and Sindhu S et al. (2021).</w:t>
      </w:r>
    </w:p>
    <w:p w14:paraId="15A58865" w14:textId="77777777" w:rsidR="003175F0" w:rsidRPr="003175F0" w:rsidRDefault="003175F0" w:rsidP="003175F0">
      <w:pPr>
        <w:tabs>
          <w:tab w:val="left" w:pos="1212"/>
        </w:tabs>
        <w:spacing w:line="240" w:lineRule="auto"/>
        <w:jc w:val="both"/>
        <w:rPr>
          <w:rFonts w:ascii="Arial" w:hAnsi="Arial" w:cs="Arial"/>
          <w:sz w:val="20"/>
          <w:szCs w:val="20"/>
        </w:rPr>
      </w:pPr>
      <w:r w:rsidRPr="003175F0">
        <w:rPr>
          <w:rFonts w:ascii="Arial" w:hAnsi="Arial" w:cs="Arial"/>
          <w:sz w:val="20"/>
          <w:szCs w:val="20"/>
        </w:rPr>
        <w:t>Our study also found a significant association between menarche and knowledge scores—adolescents who had attained menarche demonstrated higher pre-test knowledge. This relationship has not been previously explored, marking a unique contribution of our study.</w:t>
      </w:r>
    </w:p>
    <w:p w14:paraId="2FC4406D" w14:textId="77777777" w:rsidR="00495BBE" w:rsidRDefault="00495BBE" w:rsidP="003175F0">
      <w:pPr>
        <w:tabs>
          <w:tab w:val="left" w:pos="1212"/>
        </w:tabs>
        <w:spacing w:line="240" w:lineRule="auto"/>
        <w:jc w:val="both"/>
        <w:rPr>
          <w:rFonts w:ascii="Arial" w:hAnsi="Arial" w:cs="Arial"/>
          <w:sz w:val="20"/>
          <w:szCs w:val="20"/>
        </w:rPr>
      </w:pPr>
      <w:r w:rsidRPr="00495BBE">
        <w:rPr>
          <w:rFonts w:ascii="Arial" w:hAnsi="Arial" w:cs="Arial"/>
          <w:sz w:val="20"/>
          <w:szCs w:val="20"/>
        </w:rPr>
        <w:t>It's worth noting that our results align with a similar study conducted by Rawat S et al., (2017), where a mean difference of 11.42 was reported, the pre and post-test mean score were 11.13 and 22.5 and the t value was 23.45. Another study done by Varughese Ak et al., (2018) shows a mean difference between pre and post-test was 9.91, the pre-test mean was 13.5 and post-test mean was 23.16 and the t value was 14.15.</w:t>
      </w:r>
      <w:r>
        <w:rPr>
          <w:rFonts w:ascii="Arial" w:hAnsi="Arial" w:cs="Arial"/>
          <w:sz w:val="20"/>
          <w:szCs w:val="20"/>
        </w:rPr>
        <w:t xml:space="preserve"> </w:t>
      </w:r>
      <w:r w:rsidRPr="00495BBE">
        <w:rPr>
          <w:rFonts w:ascii="Arial" w:hAnsi="Arial" w:cs="Arial"/>
          <w:sz w:val="20"/>
          <w:szCs w:val="20"/>
        </w:rPr>
        <w:t>While the magnitude of improvement differs, these studies demonstrate the positive impact of educational interventions on knowledge scores.</w:t>
      </w:r>
    </w:p>
    <w:p w14:paraId="4198F1B3" w14:textId="4A3D6122" w:rsidR="003175F0" w:rsidRPr="003175F0" w:rsidRDefault="003175F0" w:rsidP="003175F0">
      <w:pPr>
        <w:tabs>
          <w:tab w:val="left" w:pos="1212"/>
        </w:tabs>
        <w:spacing w:line="240" w:lineRule="auto"/>
        <w:jc w:val="both"/>
        <w:rPr>
          <w:rFonts w:ascii="Arial" w:hAnsi="Arial" w:cs="Arial"/>
          <w:sz w:val="20"/>
          <w:szCs w:val="20"/>
        </w:rPr>
      </w:pPr>
      <w:r w:rsidRPr="003175F0">
        <w:rPr>
          <w:rFonts w:ascii="Arial" w:hAnsi="Arial" w:cs="Arial"/>
          <w:sz w:val="20"/>
          <w:szCs w:val="20"/>
        </w:rPr>
        <w:t>Overall, our study underscores the critical role of structured educational programs in enhancing PCOS awareness among adolescent girls, particularly in addressing disparities based on age, educational background, and residential area.</w:t>
      </w:r>
    </w:p>
    <w:p w14:paraId="49EA8449" w14:textId="77777777" w:rsidR="0097657C" w:rsidRPr="00D54C2D" w:rsidRDefault="0097657C" w:rsidP="00A16A7A">
      <w:pPr>
        <w:tabs>
          <w:tab w:val="left" w:pos="1212"/>
        </w:tabs>
        <w:spacing w:line="240" w:lineRule="auto"/>
        <w:rPr>
          <w:rFonts w:ascii="Arial" w:hAnsi="Arial" w:cs="Arial"/>
          <w:b/>
          <w:bCs/>
          <w:sz w:val="20"/>
          <w:szCs w:val="20"/>
        </w:rPr>
      </w:pPr>
    </w:p>
    <w:p w14:paraId="1695FA80" w14:textId="77777777" w:rsidR="00844384" w:rsidRPr="00D54C2D" w:rsidRDefault="00844384" w:rsidP="00A16A7A">
      <w:pPr>
        <w:spacing w:line="240" w:lineRule="auto"/>
        <w:jc w:val="both"/>
        <w:rPr>
          <w:rFonts w:ascii="Arial" w:hAnsi="Arial" w:cs="Arial"/>
          <w:b/>
          <w:bCs/>
          <w:sz w:val="20"/>
          <w:szCs w:val="20"/>
        </w:rPr>
      </w:pPr>
      <w:r w:rsidRPr="00D54C2D">
        <w:rPr>
          <w:rFonts w:ascii="Arial" w:hAnsi="Arial" w:cs="Arial"/>
          <w:b/>
          <w:bCs/>
          <w:sz w:val="20"/>
          <w:szCs w:val="20"/>
        </w:rPr>
        <w:t>Conclusions:</w:t>
      </w:r>
    </w:p>
    <w:p w14:paraId="07A2E2AB" w14:textId="6ED677FC" w:rsidR="005411B3" w:rsidRDefault="005411B3" w:rsidP="00A16A7A">
      <w:pPr>
        <w:spacing w:line="240" w:lineRule="auto"/>
        <w:jc w:val="both"/>
        <w:rPr>
          <w:rFonts w:ascii="Arial" w:hAnsi="Arial" w:cs="Arial"/>
          <w:sz w:val="20"/>
          <w:szCs w:val="20"/>
        </w:rPr>
      </w:pPr>
      <w:r w:rsidRPr="005411B3">
        <w:rPr>
          <w:rFonts w:ascii="Arial" w:hAnsi="Arial" w:cs="Arial"/>
          <w:sz w:val="20"/>
          <w:szCs w:val="20"/>
        </w:rPr>
        <w:t>In summary, PCOS is a prevalent concern among adolescent females following puberty, with the potential to lead to serious health-related issues and impact reproductive health when left untreated. This study underscores a significant gap in PCOS awareness among adolescents, indicating a broader lack of understanding within the population. This deficit in knowledge may deter affected individuals from seeking timely medical intervention. However, the study also offers a ray of hope, demonstrating that early detection and prevention of PCOS-related complications are achievable through educational initiatives aimed at adolescent girls.</w:t>
      </w:r>
      <w:r>
        <w:rPr>
          <w:rFonts w:ascii="Arial" w:hAnsi="Arial" w:cs="Arial"/>
          <w:sz w:val="20"/>
          <w:szCs w:val="20"/>
        </w:rPr>
        <w:t xml:space="preserve"> </w:t>
      </w:r>
      <w:r w:rsidRPr="005411B3">
        <w:rPr>
          <w:rFonts w:ascii="Arial" w:hAnsi="Arial" w:cs="Arial"/>
          <w:sz w:val="20"/>
          <w:szCs w:val="20"/>
        </w:rPr>
        <w:t>Our educational program proved effective in equipping adolescent girls with the necessary knowledge to recognize and address PCOS. Prior to the program, a mere 12.4% of the 862 participants were acquainted with PCOS, leaving 87.6% unaware of the condition. In Post educational intervention, there was a notable increase in PCOS knowledge scores. The mean post-test scores significantly exceeded the pre-test score across all variables, with an impressive overall mean difference of approximately 51.06% (7.47). This signifies the positive impact of pharmacist-led initiatives.</w:t>
      </w:r>
    </w:p>
    <w:p w14:paraId="33E2EA39" w14:textId="1B0F9608" w:rsidR="005411B3" w:rsidRDefault="005411B3" w:rsidP="00A16A7A">
      <w:pPr>
        <w:spacing w:line="240" w:lineRule="auto"/>
        <w:jc w:val="both"/>
        <w:rPr>
          <w:rFonts w:ascii="Arial" w:hAnsi="Arial" w:cs="Arial"/>
          <w:sz w:val="20"/>
          <w:szCs w:val="20"/>
        </w:rPr>
      </w:pPr>
      <w:r w:rsidRPr="005411B3">
        <w:rPr>
          <w:rFonts w:ascii="Arial" w:hAnsi="Arial" w:cs="Arial"/>
          <w:sz w:val="20"/>
          <w:szCs w:val="20"/>
        </w:rPr>
        <w:t>In light of these findings, it is evident that pharmacists are well-positioned to bridge the awareness gap and by leveraging their expertise in patient education and outreach, pharmacists can contribute significantly to the overall well-being of the community, particularly in addressing health issues like PCOS. The study findings underscore that when armed with the right information, adolescents are better equipped to make informed choices, seek timely medical intervention, and ultimately achieve better health outcomes.</w:t>
      </w:r>
    </w:p>
    <w:p w14:paraId="2D1B8883" w14:textId="646B68DD" w:rsidR="00844384" w:rsidRPr="00D54C2D" w:rsidRDefault="00844384" w:rsidP="00A16A7A">
      <w:pPr>
        <w:spacing w:line="240" w:lineRule="auto"/>
        <w:jc w:val="both"/>
        <w:rPr>
          <w:rFonts w:ascii="Arial" w:hAnsi="Arial" w:cs="Arial"/>
          <w:sz w:val="20"/>
          <w:szCs w:val="20"/>
        </w:rPr>
      </w:pPr>
      <w:r w:rsidRPr="00D54C2D">
        <w:rPr>
          <w:rFonts w:ascii="Arial" w:hAnsi="Arial" w:cs="Arial"/>
          <w:sz w:val="20"/>
          <w:szCs w:val="20"/>
        </w:rPr>
        <w:t>Recommendation &amp; Future Outlook:</w:t>
      </w:r>
    </w:p>
    <w:p w14:paraId="0D0944FE" w14:textId="77777777" w:rsidR="003213D1" w:rsidRPr="00D54C2D" w:rsidRDefault="003213D1" w:rsidP="00A16A7A">
      <w:pPr>
        <w:pStyle w:val="ListParagraph"/>
        <w:numPr>
          <w:ilvl w:val="0"/>
          <w:numId w:val="14"/>
        </w:numPr>
        <w:spacing w:line="240" w:lineRule="auto"/>
        <w:jc w:val="both"/>
        <w:rPr>
          <w:rFonts w:ascii="Arial" w:hAnsi="Arial" w:cs="Arial"/>
          <w:sz w:val="20"/>
          <w:szCs w:val="20"/>
        </w:rPr>
      </w:pPr>
      <w:r w:rsidRPr="00D54C2D">
        <w:rPr>
          <w:rFonts w:ascii="Arial" w:hAnsi="Arial" w:cs="Arial"/>
          <w:sz w:val="20"/>
          <w:szCs w:val="20"/>
        </w:rPr>
        <w:t>Prevalence Study: Conducting studies to assess the prevalence of PCOS among adolescent students would offer critical insights into the epidemiology of PCOS within this vulnerable population, helping healthcare providers develop targeted strategies for early diagnosis and management.</w:t>
      </w:r>
    </w:p>
    <w:p w14:paraId="44129D07" w14:textId="77777777" w:rsidR="003213D1" w:rsidRPr="00D54C2D" w:rsidRDefault="003213D1" w:rsidP="00A16A7A">
      <w:pPr>
        <w:pStyle w:val="ListParagraph"/>
        <w:numPr>
          <w:ilvl w:val="0"/>
          <w:numId w:val="14"/>
        </w:numPr>
        <w:spacing w:line="240" w:lineRule="auto"/>
        <w:jc w:val="both"/>
        <w:rPr>
          <w:rFonts w:ascii="Arial" w:hAnsi="Arial" w:cs="Arial"/>
          <w:sz w:val="20"/>
          <w:szCs w:val="20"/>
        </w:rPr>
      </w:pPr>
      <w:r w:rsidRPr="00D54C2D">
        <w:rPr>
          <w:rFonts w:ascii="Arial" w:hAnsi="Arial" w:cs="Arial"/>
          <w:sz w:val="20"/>
          <w:szCs w:val="20"/>
        </w:rPr>
        <w:t>Identifying High-Risk Adolescents: Implementing screening surveys to identify adolescents at high risk for PCOS can lay the groundwork for preventive healthcare initiatives, including lifestyle modifications and early medical interventions.</w:t>
      </w:r>
    </w:p>
    <w:p w14:paraId="7789E0D5" w14:textId="77777777" w:rsidR="003213D1" w:rsidRPr="00D54C2D" w:rsidRDefault="003213D1" w:rsidP="00A16A7A">
      <w:pPr>
        <w:pStyle w:val="ListParagraph"/>
        <w:numPr>
          <w:ilvl w:val="0"/>
          <w:numId w:val="14"/>
        </w:numPr>
        <w:spacing w:line="240" w:lineRule="auto"/>
        <w:jc w:val="both"/>
        <w:rPr>
          <w:rFonts w:ascii="Arial" w:hAnsi="Arial" w:cs="Arial"/>
          <w:sz w:val="20"/>
          <w:szCs w:val="20"/>
        </w:rPr>
      </w:pPr>
      <w:r w:rsidRPr="00D54C2D">
        <w:rPr>
          <w:rFonts w:ascii="Arial" w:hAnsi="Arial" w:cs="Arial"/>
          <w:sz w:val="20"/>
          <w:szCs w:val="20"/>
        </w:rPr>
        <w:lastRenderedPageBreak/>
        <w:t>Studies in Adult Women: Extending this research to adult women could reveal how knowledge and intervention strategies evolve across different life stages, contributing to better long-term reproductive and metabolic health outcomes.</w:t>
      </w:r>
    </w:p>
    <w:p w14:paraId="59C2FD98" w14:textId="77777777" w:rsidR="003213D1" w:rsidRPr="00D54C2D" w:rsidRDefault="003213D1" w:rsidP="00A16A7A">
      <w:pPr>
        <w:pStyle w:val="ListParagraph"/>
        <w:numPr>
          <w:ilvl w:val="0"/>
          <w:numId w:val="14"/>
        </w:numPr>
        <w:spacing w:line="240" w:lineRule="auto"/>
        <w:jc w:val="both"/>
        <w:rPr>
          <w:rFonts w:ascii="Arial" w:hAnsi="Arial" w:cs="Arial"/>
          <w:sz w:val="20"/>
          <w:szCs w:val="20"/>
        </w:rPr>
      </w:pPr>
      <w:r w:rsidRPr="00D54C2D">
        <w:rPr>
          <w:rFonts w:ascii="Arial" w:hAnsi="Arial" w:cs="Arial"/>
          <w:sz w:val="20"/>
          <w:szCs w:val="20"/>
        </w:rPr>
        <w:t>Government Initiatives: Government-led awareness programs aimed at schools and communities could enhance early detection rates and improve health literacy regarding PCOS, ultimately reducing the burden of the condition on healthcare systems.</w:t>
      </w:r>
    </w:p>
    <w:p w14:paraId="280B6B66" w14:textId="77777777" w:rsidR="0034243B" w:rsidRPr="00D54C2D" w:rsidRDefault="003213D1" w:rsidP="00A16A7A">
      <w:pPr>
        <w:pStyle w:val="ListParagraph"/>
        <w:numPr>
          <w:ilvl w:val="0"/>
          <w:numId w:val="14"/>
        </w:numPr>
        <w:spacing w:line="240" w:lineRule="auto"/>
        <w:rPr>
          <w:rFonts w:ascii="Arial" w:hAnsi="Arial" w:cs="Arial"/>
          <w:sz w:val="20"/>
          <w:szCs w:val="20"/>
        </w:rPr>
      </w:pPr>
      <w:r w:rsidRPr="00D54C2D">
        <w:rPr>
          <w:rFonts w:ascii="Arial" w:hAnsi="Arial" w:cs="Arial"/>
          <w:sz w:val="20"/>
          <w:szCs w:val="20"/>
        </w:rPr>
        <w:t>Further Research: Larger, multi-center studies are essential to validate the findings of pharmacist-led educational interventions and to explore their effectiveness across various demographics and healthcare settings. These studies could guide future policy and clinical practice aimed at improving adolescent health.</w:t>
      </w:r>
    </w:p>
    <w:p w14:paraId="3BEA66CA" w14:textId="77777777" w:rsidR="00355DD1" w:rsidRPr="00D54C2D" w:rsidRDefault="00355DD1" w:rsidP="00A16A7A">
      <w:pPr>
        <w:spacing w:line="240" w:lineRule="auto"/>
        <w:rPr>
          <w:rFonts w:ascii="Arial" w:hAnsi="Arial" w:cs="Arial"/>
          <w:sz w:val="20"/>
          <w:szCs w:val="20"/>
        </w:rPr>
      </w:pPr>
    </w:p>
    <w:p w14:paraId="03266D70" w14:textId="77777777" w:rsidR="00FD5F3E" w:rsidRPr="00FD5F3E" w:rsidRDefault="00FD5F3E" w:rsidP="00FD5F3E">
      <w:pPr>
        <w:spacing w:line="240" w:lineRule="auto"/>
        <w:jc w:val="both"/>
        <w:rPr>
          <w:rFonts w:ascii="Arial" w:hAnsi="Arial" w:cs="Arial"/>
          <w:b/>
          <w:bCs/>
          <w:sz w:val="20"/>
          <w:szCs w:val="20"/>
        </w:rPr>
      </w:pPr>
      <w:bookmarkStart w:id="2" w:name="_GoBack"/>
      <w:bookmarkEnd w:id="2"/>
      <w:r w:rsidRPr="00FD5F3E">
        <w:rPr>
          <w:rFonts w:ascii="Arial" w:hAnsi="Arial" w:cs="Arial"/>
          <w:b/>
          <w:bCs/>
          <w:sz w:val="20"/>
          <w:szCs w:val="20"/>
        </w:rPr>
        <w:t>CONSENT</w:t>
      </w:r>
    </w:p>
    <w:p w14:paraId="5221090A" w14:textId="0E85EBD6" w:rsidR="00FD5F3E" w:rsidRPr="00D54C2D" w:rsidRDefault="00FD5F3E" w:rsidP="00A16A7A">
      <w:pPr>
        <w:spacing w:line="240" w:lineRule="auto"/>
        <w:jc w:val="both"/>
        <w:rPr>
          <w:rFonts w:ascii="Arial" w:hAnsi="Arial" w:cs="Arial"/>
          <w:sz w:val="20"/>
          <w:szCs w:val="20"/>
        </w:rPr>
      </w:pPr>
      <w:r w:rsidRPr="00FD5F3E">
        <w:rPr>
          <w:rFonts w:ascii="Arial" w:hAnsi="Arial" w:cs="Arial"/>
          <w:sz w:val="20"/>
          <w:szCs w:val="20"/>
        </w:rPr>
        <w:t>Informed consent was obtained from the parents or legal guardians of all adolescent participants involved in this study. The consent included approval for participation and publication of the study findings. A copy of the signed consent forms is available for review by the journal’s editorial office upon request.</w:t>
      </w:r>
    </w:p>
    <w:p w14:paraId="418C2BB8" w14:textId="77777777" w:rsidR="00FD5F3E" w:rsidRPr="00FD5F3E" w:rsidRDefault="00FD5F3E" w:rsidP="00FD5F3E">
      <w:pPr>
        <w:spacing w:line="240" w:lineRule="auto"/>
        <w:jc w:val="both"/>
        <w:rPr>
          <w:rFonts w:ascii="Arial" w:hAnsi="Arial" w:cs="Arial"/>
          <w:b/>
          <w:bCs/>
          <w:sz w:val="20"/>
          <w:szCs w:val="20"/>
        </w:rPr>
      </w:pPr>
      <w:r w:rsidRPr="00FD5F3E">
        <w:rPr>
          <w:rFonts w:ascii="Arial" w:hAnsi="Arial" w:cs="Arial"/>
          <w:b/>
          <w:bCs/>
          <w:sz w:val="20"/>
          <w:szCs w:val="20"/>
        </w:rPr>
        <w:t>ETHICAL APPROVAL</w:t>
      </w:r>
    </w:p>
    <w:p w14:paraId="397602C4" w14:textId="09D654F5" w:rsidR="00FD5F3E" w:rsidRPr="00FD5F3E" w:rsidRDefault="00FD5F3E" w:rsidP="00FD5F3E">
      <w:pPr>
        <w:spacing w:line="240" w:lineRule="auto"/>
        <w:jc w:val="both"/>
        <w:rPr>
          <w:rFonts w:ascii="Arial" w:hAnsi="Arial" w:cs="Arial"/>
          <w:sz w:val="20"/>
          <w:szCs w:val="20"/>
        </w:rPr>
      </w:pPr>
      <w:r w:rsidRPr="00FD5F3E">
        <w:rPr>
          <w:rFonts w:ascii="Arial" w:hAnsi="Arial" w:cs="Arial"/>
          <w:sz w:val="20"/>
          <w:szCs w:val="20"/>
        </w:rPr>
        <w:t xml:space="preserve">All authors hereby declare that this study was reviewed and approved by the, </w:t>
      </w:r>
      <w:r w:rsidR="00D54C2D" w:rsidRPr="00D54C2D">
        <w:rPr>
          <w:rFonts w:ascii="Arial" w:hAnsi="Arial" w:cs="Arial"/>
          <w:sz w:val="20"/>
          <w:szCs w:val="20"/>
        </w:rPr>
        <w:t xml:space="preserve">Institutional Review Board (IRB) </w:t>
      </w:r>
      <w:r w:rsidRPr="00FD5F3E">
        <w:rPr>
          <w:rFonts w:ascii="Arial" w:hAnsi="Arial" w:cs="Arial"/>
          <w:sz w:val="20"/>
          <w:szCs w:val="20"/>
        </w:rPr>
        <w:t xml:space="preserve">and conducted in accordance with the ethical standards of the 1964 Declaration of Helsinki. The ethical approval reference number is </w:t>
      </w:r>
      <w:r w:rsidR="00D54C2D" w:rsidRPr="00D54C2D">
        <w:rPr>
          <w:rFonts w:ascii="Arial" w:hAnsi="Arial" w:cs="Arial"/>
          <w:sz w:val="20"/>
          <w:szCs w:val="20"/>
        </w:rPr>
        <w:t>IRB003/PP/2022-23</w:t>
      </w:r>
      <w:r w:rsidRPr="00FD5F3E">
        <w:rPr>
          <w:rFonts w:ascii="Arial" w:hAnsi="Arial" w:cs="Arial"/>
          <w:sz w:val="20"/>
          <w:szCs w:val="20"/>
        </w:rPr>
        <w:t>. A copy of the ethical approval document is available for review by the journal’s editorial office upon request.</w:t>
      </w:r>
    </w:p>
    <w:p w14:paraId="09F5439D" w14:textId="77777777" w:rsidR="00D54C2D" w:rsidRPr="00D54C2D" w:rsidRDefault="00D54C2D" w:rsidP="00A16A7A">
      <w:pPr>
        <w:spacing w:line="240" w:lineRule="auto"/>
        <w:rPr>
          <w:rFonts w:ascii="Arial" w:hAnsi="Arial" w:cs="Arial"/>
          <w:sz w:val="20"/>
          <w:szCs w:val="20"/>
        </w:rPr>
      </w:pPr>
    </w:p>
    <w:p w14:paraId="5350D2C5" w14:textId="4F820714" w:rsidR="00EC72AE" w:rsidRPr="00D54C2D" w:rsidRDefault="00EC72AE" w:rsidP="00A16A7A">
      <w:pPr>
        <w:spacing w:line="240" w:lineRule="auto"/>
        <w:rPr>
          <w:rFonts w:ascii="Arial" w:hAnsi="Arial" w:cs="Arial"/>
          <w:sz w:val="20"/>
          <w:szCs w:val="20"/>
        </w:rPr>
      </w:pPr>
      <w:r w:rsidRPr="00D54C2D">
        <w:rPr>
          <w:rFonts w:ascii="Arial" w:hAnsi="Arial" w:cs="Arial"/>
          <w:sz w:val="20"/>
          <w:szCs w:val="20"/>
        </w:rPr>
        <w:t>REFERENCES</w:t>
      </w:r>
    </w:p>
    <w:p w14:paraId="2757B5EE" w14:textId="612DE96C" w:rsidR="00FD0D49"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Abeer M, </w:t>
      </w:r>
      <w:proofErr w:type="spellStart"/>
      <w:r w:rsidRPr="00D54C2D">
        <w:rPr>
          <w:rFonts w:ascii="Arial" w:hAnsi="Arial" w:cs="Arial"/>
          <w:sz w:val="20"/>
          <w:szCs w:val="20"/>
        </w:rPr>
        <w:t>Rababa</w:t>
      </w:r>
      <w:proofErr w:type="spellEnd"/>
      <w:r w:rsidRPr="00D54C2D">
        <w:rPr>
          <w:rFonts w:ascii="Arial" w:hAnsi="Arial" w:cs="Arial"/>
          <w:sz w:val="20"/>
          <w:szCs w:val="20"/>
        </w:rPr>
        <w:t xml:space="preserve"> H, </w:t>
      </w:r>
      <w:proofErr w:type="spellStart"/>
      <w:r w:rsidRPr="00D54C2D">
        <w:rPr>
          <w:rFonts w:ascii="Arial" w:hAnsi="Arial" w:cs="Arial"/>
          <w:sz w:val="20"/>
          <w:szCs w:val="20"/>
        </w:rPr>
        <w:t>Matani</w:t>
      </w:r>
      <w:proofErr w:type="spellEnd"/>
      <w:r w:rsidRPr="00D54C2D">
        <w:rPr>
          <w:rFonts w:ascii="Arial" w:hAnsi="Arial" w:cs="Arial"/>
          <w:sz w:val="20"/>
          <w:szCs w:val="20"/>
        </w:rPr>
        <w:t xml:space="preserve"> BR, </w:t>
      </w:r>
      <w:proofErr w:type="spellStart"/>
      <w:r w:rsidRPr="00D54C2D">
        <w:rPr>
          <w:rFonts w:ascii="Arial" w:hAnsi="Arial" w:cs="Arial"/>
          <w:sz w:val="20"/>
          <w:szCs w:val="20"/>
        </w:rPr>
        <w:t>Yehya</w:t>
      </w:r>
      <w:proofErr w:type="spellEnd"/>
      <w:r w:rsidRPr="00D54C2D">
        <w:rPr>
          <w:rFonts w:ascii="Arial" w:hAnsi="Arial" w:cs="Arial"/>
          <w:sz w:val="20"/>
          <w:szCs w:val="20"/>
        </w:rPr>
        <w:t xml:space="preserve"> A. An update of polycystic ovary syndrome: causes and therapeutics options, </w:t>
      </w:r>
      <w:proofErr w:type="spellStart"/>
      <w:r w:rsidRPr="00D54C2D">
        <w:rPr>
          <w:rFonts w:ascii="Arial" w:hAnsi="Arial" w:cs="Arial"/>
          <w:sz w:val="20"/>
          <w:szCs w:val="20"/>
        </w:rPr>
        <w:t>Heli</w:t>
      </w:r>
      <w:r w:rsidR="00FD0D49" w:rsidRPr="00D54C2D">
        <w:rPr>
          <w:rFonts w:ascii="Arial" w:hAnsi="Arial" w:cs="Arial"/>
          <w:sz w:val="20"/>
          <w:szCs w:val="20"/>
        </w:rPr>
        <w:t>y</w:t>
      </w:r>
      <w:r w:rsidRPr="00D54C2D">
        <w:rPr>
          <w:rFonts w:ascii="Arial" w:hAnsi="Arial" w:cs="Arial"/>
          <w:sz w:val="20"/>
          <w:szCs w:val="20"/>
        </w:rPr>
        <w:t>on</w:t>
      </w:r>
      <w:proofErr w:type="spellEnd"/>
      <w:r w:rsidR="0019362C" w:rsidRPr="00D54C2D">
        <w:rPr>
          <w:rFonts w:ascii="Arial" w:hAnsi="Arial" w:cs="Arial"/>
          <w:sz w:val="20"/>
          <w:szCs w:val="20"/>
        </w:rPr>
        <w:t>.</w:t>
      </w:r>
      <w:r w:rsidR="00FD0D49" w:rsidRPr="00D54C2D">
        <w:rPr>
          <w:rFonts w:ascii="Arial" w:hAnsi="Arial" w:cs="Arial"/>
          <w:sz w:val="20"/>
          <w:szCs w:val="20"/>
        </w:rPr>
        <w:t xml:space="preserve"> 2022;8(10</w:t>
      </w:r>
      <w:proofErr w:type="gramStart"/>
      <w:r w:rsidR="00FD0D49" w:rsidRPr="00D54C2D">
        <w:rPr>
          <w:rFonts w:ascii="Arial" w:hAnsi="Arial" w:cs="Arial"/>
          <w:sz w:val="20"/>
          <w:szCs w:val="20"/>
        </w:rPr>
        <w:t>):e</w:t>
      </w:r>
      <w:proofErr w:type="gramEnd"/>
      <w:r w:rsidR="00FD0D49" w:rsidRPr="00D54C2D">
        <w:rPr>
          <w:rFonts w:ascii="Arial" w:hAnsi="Arial" w:cs="Arial"/>
          <w:sz w:val="20"/>
          <w:szCs w:val="20"/>
        </w:rPr>
        <w:t xml:space="preserve">11010. </w:t>
      </w:r>
      <w:r w:rsidR="00E67C17" w:rsidRPr="00D54C2D">
        <w:rPr>
          <w:rFonts w:ascii="Arial" w:hAnsi="Arial" w:cs="Arial"/>
          <w:sz w:val="20"/>
          <w:szCs w:val="20"/>
        </w:rPr>
        <w:t>DOI</w:t>
      </w:r>
      <w:r w:rsidR="00FD0D49" w:rsidRPr="00D54C2D">
        <w:rPr>
          <w:rFonts w:ascii="Arial" w:hAnsi="Arial" w:cs="Arial"/>
          <w:sz w:val="20"/>
          <w:szCs w:val="20"/>
        </w:rPr>
        <w:t>:</w:t>
      </w:r>
      <w:r w:rsidR="002D4172" w:rsidRPr="00D54C2D">
        <w:rPr>
          <w:rFonts w:ascii="Arial" w:hAnsi="Arial" w:cs="Arial"/>
          <w:sz w:val="20"/>
          <w:szCs w:val="20"/>
        </w:rPr>
        <w:t xml:space="preserve"> </w:t>
      </w:r>
      <w:hyperlink r:id="rId10" w:tgtFrame="_blank" w:history="1">
        <w:proofErr w:type="gramStart"/>
        <w:r w:rsidR="00FD0D49" w:rsidRPr="00D54C2D">
          <w:rPr>
            <w:rStyle w:val="Hyperlink"/>
            <w:rFonts w:ascii="Arial" w:hAnsi="Arial" w:cs="Arial"/>
            <w:sz w:val="20"/>
            <w:szCs w:val="20"/>
          </w:rPr>
          <w:t>10.1016/j.heliyon.2022.e</w:t>
        </w:r>
        <w:proofErr w:type="gramEnd"/>
        <w:r w:rsidR="00FD0D49" w:rsidRPr="00D54C2D">
          <w:rPr>
            <w:rStyle w:val="Hyperlink"/>
            <w:rFonts w:ascii="Arial" w:hAnsi="Arial" w:cs="Arial"/>
            <w:sz w:val="20"/>
            <w:szCs w:val="20"/>
          </w:rPr>
          <w:t>11010</w:t>
        </w:r>
      </w:hyperlink>
    </w:p>
    <w:p w14:paraId="56AD7078" w14:textId="6D959AB3" w:rsidR="00670424" w:rsidRPr="00D54C2D" w:rsidRDefault="00670424" w:rsidP="00A16A7A">
      <w:pPr>
        <w:pStyle w:val="ListParagraph"/>
        <w:numPr>
          <w:ilvl w:val="0"/>
          <w:numId w:val="6"/>
        </w:numPr>
        <w:spacing w:line="240" w:lineRule="auto"/>
        <w:rPr>
          <w:rFonts w:ascii="Arial" w:hAnsi="Arial" w:cs="Arial"/>
          <w:sz w:val="20"/>
          <w:szCs w:val="20"/>
        </w:rPr>
      </w:pPr>
      <w:proofErr w:type="spellStart"/>
      <w:r w:rsidRPr="00D54C2D">
        <w:rPr>
          <w:rFonts w:ascii="Arial" w:hAnsi="Arial" w:cs="Arial"/>
          <w:sz w:val="20"/>
          <w:szCs w:val="20"/>
        </w:rPr>
        <w:t>Padubidri</w:t>
      </w:r>
      <w:proofErr w:type="spellEnd"/>
      <w:r w:rsidRPr="00D54C2D">
        <w:rPr>
          <w:rFonts w:ascii="Arial" w:hAnsi="Arial" w:cs="Arial"/>
          <w:sz w:val="20"/>
          <w:szCs w:val="20"/>
        </w:rPr>
        <w:t xml:space="preserve"> V.G., </w:t>
      </w:r>
      <w:proofErr w:type="spellStart"/>
      <w:r w:rsidRPr="00D54C2D">
        <w:rPr>
          <w:rFonts w:ascii="Arial" w:hAnsi="Arial" w:cs="Arial"/>
          <w:sz w:val="20"/>
          <w:szCs w:val="20"/>
        </w:rPr>
        <w:t>Daftary</w:t>
      </w:r>
      <w:proofErr w:type="spellEnd"/>
      <w:r w:rsidRPr="00D54C2D">
        <w:rPr>
          <w:rFonts w:ascii="Arial" w:hAnsi="Arial" w:cs="Arial"/>
          <w:sz w:val="20"/>
          <w:szCs w:val="20"/>
        </w:rPr>
        <w:t xml:space="preserve"> S.N., Disorders of the Ovary, in: Howkins &amp; Bourne Shaw’s Textbook of Gynecology, 16th ed., Elsevier Ind Pvt Ltd</w:t>
      </w:r>
      <w:r w:rsidR="0019362C" w:rsidRPr="00D54C2D">
        <w:rPr>
          <w:rFonts w:ascii="Arial" w:hAnsi="Arial" w:cs="Arial"/>
          <w:sz w:val="20"/>
          <w:szCs w:val="20"/>
        </w:rPr>
        <w:t>.</w:t>
      </w:r>
      <w:r w:rsidRPr="00D54C2D">
        <w:rPr>
          <w:rFonts w:ascii="Arial" w:hAnsi="Arial" w:cs="Arial"/>
          <w:sz w:val="20"/>
          <w:szCs w:val="20"/>
        </w:rPr>
        <w:t xml:space="preserve"> 2015, pp. 429-434.</w:t>
      </w:r>
    </w:p>
    <w:p w14:paraId="5374F596" w14:textId="77777777" w:rsidR="00670424" w:rsidRPr="00D54C2D" w:rsidRDefault="00670424"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Dutta D.C., Amenorrhea in: D.C. Dutta’s Textbook of Gynecology, 6th ed., Jaypee Brothers Medical Publishers Pvt Ltd, 2013, pp. 449-474.</w:t>
      </w:r>
    </w:p>
    <w:p w14:paraId="29A80860" w14:textId="543F8295" w:rsidR="00670424" w:rsidRPr="00D54C2D" w:rsidRDefault="00670424"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Kumar V., Abbas A.K., Aster J.C., The Female Genital Tract, in: Robbins &amp; </w:t>
      </w:r>
      <w:proofErr w:type="spellStart"/>
      <w:r w:rsidRPr="00D54C2D">
        <w:rPr>
          <w:rFonts w:ascii="Arial" w:hAnsi="Arial" w:cs="Arial"/>
          <w:sz w:val="20"/>
          <w:szCs w:val="20"/>
        </w:rPr>
        <w:t>Cotran</w:t>
      </w:r>
      <w:proofErr w:type="spellEnd"/>
      <w:r w:rsidRPr="00D54C2D">
        <w:rPr>
          <w:rFonts w:ascii="Arial" w:hAnsi="Arial" w:cs="Arial"/>
          <w:sz w:val="20"/>
          <w:szCs w:val="20"/>
        </w:rPr>
        <w:t xml:space="preserve"> Pathologic Basis of Disease, 10th ed., Elsevier, 2022, pp. 985-1036.</w:t>
      </w:r>
    </w:p>
    <w:p w14:paraId="4FB4705E" w14:textId="699F29D7"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Sehar S. Assessment of Knowledge regarding Polycystic Ovary Syndrome (PCOS) among Nursing Students, International Journal of Nursing &amp; Midwifery Research 2020; 7(3):1-4</w:t>
      </w:r>
      <w:r w:rsidR="0019362C" w:rsidRPr="00D54C2D">
        <w:rPr>
          <w:rFonts w:ascii="Arial" w:hAnsi="Arial" w:cs="Arial"/>
          <w:sz w:val="20"/>
          <w:szCs w:val="20"/>
        </w:rPr>
        <w:t xml:space="preserve">. </w:t>
      </w:r>
      <w:r w:rsidR="00E67C17" w:rsidRPr="00D54C2D">
        <w:rPr>
          <w:rFonts w:ascii="Arial" w:hAnsi="Arial" w:cs="Arial"/>
          <w:sz w:val="20"/>
          <w:szCs w:val="20"/>
        </w:rPr>
        <w:t>DOI</w:t>
      </w:r>
      <w:r w:rsidR="0019362C" w:rsidRPr="00D54C2D">
        <w:rPr>
          <w:rFonts w:ascii="Arial" w:hAnsi="Arial" w:cs="Arial"/>
          <w:sz w:val="20"/>
          <w:szCs w:val="20"/>
        </w:rPr>
        <w:t>: </w:t>
      </w:r>
      <w:hyperlink r:id="rId11" w:history="1">
        <w:r w:rsidR="00A81601" w:rsidRPr="00D54C2D">
          <w:rPr>
            <w:rStyle w:val="Hyperlink"/>
            <w:rFonts w:ascii="Arial" w:hAnsi="Arial" w:cs="Arial"/>
            <w:sz w:val="20"/>
            <w:szCs w:val="20"/>
          </w:rPr>
          <w:t>https://doi.org/10.24321/2455.9318.202025</w:t>
        </w:r>
      </w:hyperlink>
      <w:r w:rsidR="00A81601" w:rsidRPr="00D54C2D">
        <w:rPr>
          <w:rFonts w:ascii="Arial" w:hAnsi="Arial" w:cs="Arial"/>
          <w:sz w:val="20"/>
          <w:szCs w:val="20"/>
        </w:rPr>
        <w:t xml:space="preserve"> </w:t>
      </w:r>
    </w:p>
    <w:p w14:paraId="5847AA67" w14:textId="77777777" w:rsidR="00EC72AE" w:rsidRPr="00D54C2D" w:rsidRDefault="00EC72AE" w:rsidP="00A16A7A">
      <w:pPr>
        <w:pStyle w:val="ListParagraph"/>
        <w:numPr>
          <w:ilvl w:val="0"/>
          <w:numId w:val="6"/>
        </w:numPr>
        <w:spacing w:line="240" w:lineRule="auto"/>
        <w:rPr>
          <w:rFonts w:ascii="Arial" w:hAnsi="Arial" w:cs="Arial"/>
          <w:sz w:val="20"/>
          <w:szCs w:val="20"/>
        </w:rPr>
      </w:pPr>
      <w:proofErr w:type="spellStart"/>
      <w:r w:rsidRPr="00D54C2D">
        <w:rPr>
          <w:rFonts w:ascii="Arial" w:hAnsi="Arial" w:cs="Arial"/>
          <w:sz w:val="20"/>
          <w:szCs w:val="20"/>
        </w:rPr>
        <w:t>Gajbe</w:t>
      </w:r>
      <w:proofErr w:type="spellEnd"/>
      <w:r w:rsidRPr="00D54C2D">
        <w:rPr>
          <w:rFonts w:ascii="Arial" w:hAnsi="Arial" w:cs="Arial"/>
          <w:sz w:val="20"/>
          <w:szCs w:val="20"/>
        </w:rPr>
        <w:t xml:space="preserve"> H, </w:t>
      </w:r>
      <w:proofErr w:type="spellStart"/>
      <w:r w:rsidRPr="00D54C2D">
        <w:rPr>
          <w:rFonts w:ascii="Arial" w:hAnsi="Arial" w:cs="Arial"/>
          <w:sz w:val="20"/>
          <w:szCs w:val="20"/>
        </w:rPr>
        <w:t>Sankhe</w:t>
      </w:r>
      <w:proofErr w:type="spellEnd"/>
      <w:r w:rsidRPr="00D54C2D">
        <w:rPr>
          <w:rFonts w:ascii="Arial" w:hAnsi="Arial" w:cs="Arial"/>
          <w:sz w:val="20"/>
          <w:szCs w:val="20"/>
        </w:rPr>
        <w:t xml:space="preserve"> A, </w:t>
      </w:r>
      <w:proofErr w:type="spellStart"/>
      <w:r w:rsidRPr="00D54C2D">
        <w:rPr>
          <w:rFonts w:ascii="Arial" w:hAnsi="Arial" w:cs="Arial"/>
          <w:sz w:val="20"/>
          <w:szCs w:val="20"/>
        </w:rPr>
        <w:t>Ghargine</w:t>
      </w:r>
      <w:proofErr w:type="spellEnd"/>
      <w:r w:rsidRPr="00D54C2D">
        <w:rPr>
          <w:rFonts w:ascii="Arial" w:hAnsi="Arial" w:cs="Arial"/>
          <w:sz w:val="20"/>
          <w:szCs w:val="20"/>
        </w:rPr>
        <w:t xml:space="preserve"> A, </w:t>
      </w:r>
      <w:proofErr w:type="spellStart"/>
      <w:r w:rsidRPr="00D54C2D">
        <w:rPr>
          <w:rFonts w:ascii="Arial" w:hAnsi="Arial" w:cs="Arial"/>
          <w:sz w:val="20"/>
          <w:szCs w:val="20"/>
        </w:rPr>
        <w:t>Dange</w:t>
      </w:r>
      <w:proofErr w:type="spellEnd"/>
      <w:r w:rsidRPr="00D54C2D">
        <w:rPr>
          <w:rFonts w:ascii="Arial" w:hAnsi="Arial" w:cs="Arial"/>
          <w:sz w:val="20"/>
          <w:szCs w:val="20"/>
        </w:rPr>
        <w:t xml:space="preserve"> N, Deshmukh R, Das S et al. Research </w:t>
      </w:r>
      <w:proofErr w:type="gramStart"/>
      <w:r w:rsidRPr="00D54C2D">
        <w:rPr>
          <w:rFonts w:ascii="Arial" w:hAnsi="Arial" w:cs="Arial"/>
          <w:sz w:val="20"/>
          <w:szCs w:val="20"/>
        </w:rPr>
        <w:t>Of</w:t>
      </w:r>
      <w:proofErr w:type="gramEnd"/>
      <w:r w:rsidRPr="00D54C2D">
        <w:rPr>
          <w:rFonts w:ascii="Arial" w:hAnsi="Arial" w:cs="Arial"/>
          <w:sz w:val="20"/>
          <w:szCs w:val="20"/>
        </w:rPr>
        <w:t xml:space="preserve"> Polycystic Ovarian Syndrome (PCOS), World Journal Of Pharmaceutical And Medical Research 2022;8(8):1-12</w:t>
      </w:r>
    </w:p>
    <w:p w14:paraId="50610C9B" w14:textId="6E61DD30"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Goh JE, Farrukh MJ, Keshavarzi F, Yap CS, Saleem Z, Salman M et al. Assessment </w:t>
      </w:r>
      <w:proofErr w:type="gramStart"/>
      <w:r w:rsidRPr="00D54C2D">
        <w:rPr>
          <w:rFonts w:ascii="Arial" w:hAnsi="Arial" w:cs="Arial"/>
          <w:sz w:val="20"/>
          <w:szCs w:val="20"/>
        </w:rPr>
        <w:t>Of</w:t>
      </w:r>
      <w:proofErr w:type="gramEnd"/>
      <w:r w:rsidRPr="00D54C2D">
        <w:rPr>
          <w:rFonts w:ascii="Arial" w:hAnsi="Arial" w:cs="Arial"/>
          <w:sz w:val="20"/>
          <w:szCs w:val="20"/>
        </w:rPr>
        <w:t xml:space="preserve"> Prevalence, Knowledge Of Polycystic Ovary Syndrome And Health-Related Practices Among Women In Klang Valley: A Cross-Sectional Survey, Frontiers In Endocrinology 2022:1-10</w:t>
      </w:r>
      <w:r w:rsidR="002D4172" w:rsidRPr="00D54C2D">
        <w:rPr>
          <w:rFonts w:ascii="Arial" w:hAnsi="Arial" w:cs="Arial"/>
          <w:sz w:val="20"/>
          <w:szCs w:val="20"/>
        </w:rPr>
        <w:t>. DOI: </w:t>
      </w:r>
      <w:hyperlink r:id="rId12" w:tgtFrame="_blank" w:history="1">
        <w:r w:rsidR="002D4172" w:rsidRPr="00D54C2D">
          <w:rPr>
            <w:rStyle w:val="Hyperlink"/>
            <w:rFonts w:ascii="Arial" w:hAnsi="Arial" w:cs="Arial"/>
            <w:sz w:val="20"/>
            <w:szCs w:val="20"/>
          </w:rPr>
          <w:t>10.3389/fendo.2022.985588</w:t>
        </w:r>
      </w:hyperlink>
    </w:p>
    <w:p w14:paraId="362D7252" w14:textId="77777777"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Batra B, Tiwari S. An Experimental Study </w:t>
      </w:r>
      <w:proofErr w:type="gramStart"/>
      <w:r w:rsidRPr="00D54C2D">
        <w:rPr>
          <w:rFonts w:ascii="Arial" w:hAnsi="Arial" w:cs="Arial"/>
          <w:sz w:val="20"/>
          <w:szCs w:val="20"/>
        </w:rPr>
        <w:t>To</w:t>
      </w:r>
      <w:proofErr w:type="gramEnd"/>
      <w:r w:rsidRPr="00D54C2D">
        <w:rPr>
          <w:rFonts w:ascii="Arial" w:hAnsi="Arial" w:cs="Arial"/>
          <w:sz w:val="20"/>
          <w:szCs w:val="20"/>
        </w:rPr>
        <w:t xml:space="preserve"> Assess The Effectiveness Of Planned </w:t>
      </w:r>
    </w:p>
    <w:p w14:paraId="0B848D6D" w14:textId="062B4011" w:rsidR="00EC72AE" w:rsidRPr="005411B3" w:rsidRDefault="00EC72AE" w:rsidP="005411B3">
      <w:pPr>
        <w:pStyle w:val="ListParagraph"/>
        <w:spacing w:line="240" w:lineRule="auto"/>
        <w:rPr>
          <w:rFonts w:ascii="Arial" w:hAnsi="Arial" w:cs="Arial"/>
          <w:sz w:val="20"/>
          <w:szCs w:val="20"/>
        </w:rPr>
      </w:pPr>
      <w:r w:rsidRPr="00D54C2D">
        <w:rPr>
          <w:rFonts w:ascii="Arial" w:hAnsi="Arial" w:cs="Arial"/>
          <w:sz w:val="20"/>
          <w:szCs w:val="20"/>
        </w:rPr>
        <w:t xml:space="preserve">Teaching </w:t>
      </w:r>
      <w:proofErr w:type="spellStart"/>
      <w:r w:rsidRPr="00D54C2D">
        <w:rPr>
          <w:rFonts w:ascii="Arial" w:hAnsi="Arial" w:cs="Arial"/>
          <w:sz w:val="20"/>
          <w:szCs w:val="20"/>
        </w:rPr>
        <w:t>Programme</w:t>
      </w:r>
      <w:proofErr w:type="spellEnd"/>
      <w:r w:rsidRPr="00D54C2D">
        <w:rPr>
          <w:rFonts w:ascii="Arial" w:hAnsi="Arial" w:cs="Arial"/>
          <w:sz w:val="20"/>
          <w:szCs w:val="20"/>
        </w:rPr>
        <w:t xml:space="preserve"> On Knowledge </w:t>
      </w:r>
      <w:proofErr w:type="gramStart"/>
      <w:r w:rsidRPr="00D54C2D">
        <w:rPr>
          <w:rFonts w:ascii="Arial" w:hAnsi="Arial" w:cs="Arial"/>
          <w:sz w:val="20"/>
          <w:szCs w:val="20"/>
        </w:rPr>
        <w:t>Of</w:t>
      </w:r>
      <w:proofErr w:type="gramEnd"/>
      <w:r w:rsidRPr="00D54C2D">
        <w:rPr>
          <w:rFonts w:ascii="Arial" w:hAnsi="Arial" w:cs="Arial"/>
          <w:sz w:val="20"/>
          <w:szCs w:val="20"/>
        </w:rPr>
        <w:t xml:space="preserve"> Adolescents Girls Of Higher Secondary School </w:t>
      </w:r>
      <w:r w:rsidRPr="005411B3">
        <w:rPr>
          <w:rFonts w:ascii="Arial" w:hAnsi="Arial" w:cs="Arial"/>
          <w:sz w:val="20"/>
          <w:szCs w:val="20"/>
        </w:rPr>
        <w:t>Age Group (14-17 Years)</w:t>
      </w:r>
      <w:r w:rsidR="005411B3">
        <w:rPr>
          <w:rFonts w:ascii="Arial" w:hAnsi="Arial" w:cs="Arial"/>
          <w:sz w:val="20"/>
          <w:szCs w:val="20"/>
        </w:rPr>
        <w:t xml:space="preserve"> </w:t>
      </w:r>
      <w:r w:rsidRPr="005411B3">
        <w:rPr>
          <w:rFonts w:ascii="Arial" w:hAnsi="Arial" w:cs="Arial"/>
          <w:sz w:val="20"/>
          <w:szCs w:val="20"/>
        </w:rPr>
        <w:t>Regarding Polycystic Ovarian Syndrome At Vijaya Raje Government Girls School, Ujjain, Madhya Pradesh, Trends in Nursing Administration &amp; Education 2018;4(11):1-8</w:t>
      </w:r>
      <w:r w:rsidR="002D4172" w:rsidRPr="005411B3">
        <w:rPr>
          <w:rFonts w:ascii="Arial" w:hAnsi="Arial" w:cs="Arial"/>
          <w:sz w:val="20"/>
          <w:szCs w:val="20"/>
        </w:rPr>
        <w:t xml:space="preserve">. DOI: </w:t>
      </w:r>
      <w:hyperlink r:id="rId13" w:history="1">
        <w:r w:rsidR="00A81601" w:rsidRPr="005411B3">
          <w:rPr>
            <w:rStyle w:val="Hyperlink"/>
            <w:rFonts w:ascii="Arial" w:hAnsi="Arial" w:cs="Arial"/>
            <w:sz w:val="20"/>
            <w:szCs w:val="20"/>
          </w:rPr>
          <w:t>https://doi.org/10.24321/2348.2141.201803</w:t>
        </w:r>
      </w:hyperlink>
      <w:r w:rsidR="00A81601" w:rsidRPr="005411B3">
        <w:rPr>
          <w:rFonts w:ascii="Arial" w:hAnsi="Arial" w:cs="Arial"/>
          <w:sz w:val="20"/>
          <w:szCs w:val="20"/>
        </w:rPr>
        <w:t xml:space="preserve"> </w:t>
      </w:r>
    </w:p>
    <w:p w14:paraId="77324478" w14:textId="333D2116"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Rawat S, Gomathi B, Kumar L, V Mahalingam. Structured teaching </w:t>
      </w:r>
      <w:proofErr w:type="spellStart"/>
      <w:r w:rsidRPr="00D54C2D">
        <w:rPr>
          <w:rFonts w:ascii="Arial" w:hAnsi="Arial" w:cs="Arial"/>
          <w:sz w:val="20"/>
          <w:szCs w:val="20"/>
        </w:rPr>
        <w:t>programme</w:t>
      </w:r>
      <w:proofErr w:type="spellEnd"/>
      <w:r w:rsidRPr="00D54C2D">
        <w:rPr>
          <w:rFonts w:ascii="Arial" w:hAnsi="Arial" w:cs="Arial"/>
          <w:sz w:val="20"/>
          <w:szCs w:val="20"/>
        </w:rPr>
        <w:t xml:space="preserve"> on knowledge about polycystic ovarian syndrome among adolescent girls, International Journal of Research in Medical Sciences 2017;5(11):1-5</w:t>
      </w:r>
      <w:r w:rsidR="002D4172" w:rsidRPr="00D54C2D">
        <w:rPr>
          <w:rFonts w:ascii="Arial" w:hAnsi="Arial" w:cs="Arial"/>
          <w:sz w:val="20"/>
          <w:szCs w:val="20"/>
        </w:rPr>
        <w:t xml:space="preserve">. DOI: </w:t>
      </w:r>
      <w:hyperlink r:id="rId14" w:history="1">
        <w:r w:rsidR="00A81601" w:rsidRPr="00D54C2D">
          <w:rPr>
            <w:rStyle w:val="Hyperlink"/>
            <w:rFonts w:ascii="Arial" w:hAnsi="Arial" w:cs="Arial"/>
            <w:sz w:val="20"/>
            <w:szCs w:val="20"/>
          </w:rPr>
          <w:t>https://doi.org/10.18203/2320-6012.ijrms20174960</w:t>
        </w:r>
      </w:hyperlink>
      <w:r w:rsidR="00A81601" w:rsidRPr="00D54C2D">
        <w:rPr>
          <w:rFonts w:ascii="Arial" w:hAnsi="Arial" w:cs="Arial"/>
          <w:sz w:val="20"/>
          <w:szCs w:val="20"/>
        </w:rPr>
        <w:t xml:space="preserve"> </w:t>
      </w:r>
    </w:p>
    <w:p w14:paraId="5E79A06F" w14:textId="2C6CDAB0" w:rsidR="00EC72AE" w:rsidRPr="00D54C2D" w:rsidRDefault="00EC72AE" w:rsidP="00A16A7A">
      <w:pPr>
        <w:pStyle w:val="ListParagraph"/>
        <w:numPr>
          <w:ilvl w:val="0"/>
          <w:numId w:val="6"/>
        </w:numPr>
        <w:spacing w:line="240" w:lineRule="auto"/>
        <w:rPr>
          <w:rFonts w:ascii="Arial" w:hAnsi="Arial" w:cs="Arial"/>
          <w:sz w:val="20"/>
          <w:szCs w:val="20"/>
        </w:rPr>
      </w:pPr>
      <w:proofErr w:type="spellStart"/>
      <w:r w:rsidRPr="00D54C2D">
        <w:rPr>
          <w:rFonts w:ascii="Arial" w:hAnsi="Arial" w:cs="Arial"/>
          <w:sz w:val="20"/>
          <w:szCs w:val="20"/>
        </w:rPr>
        <w:t>Alfanob</w:t>
      </w:r>
      <w:proofErr w:type="spellEnd"/>
      <w:r w:rsidRPr="00D54C2D">
        <w:rPr>
          <w:rFonts w:ascii="Arial" w:hAnsi="Arial" w:cs="Arial"/>
          <w:sz w:val="20"/>
          <w:szCs w:val="20"/>
        </w:rPr>
        <w:t xml:space="preserve"> ZO, Ahmed MH, Ahmed M, </w:t>
      </w:r>
      <w:proofErr w:type="spellStart"/>
      <w:r w:rsidRPr="00D54C2D">
        <w:rPr>
          <w:rFonts w:ascii="Arial" w:hAnsi="Arial" w:cs="Arial"/>
          <w:sz w:val="20"/>
          <w:szCs w:val="20"/>
        </w:rPr>
        <w:t>Badi</w:t>
      </w:r>
      <w:proofErr w:type="spellEnd"/>
      <w:r w:rsidRPr="00D54C2D">
        <w:rPr>
          <w:rFonts w:ascii="Arial" w:hAnsi="Arial" w:cs="Arial"/>
          <w:sz w:val="20"/>
          <w:szCs w:val="20"/>
        </w:rPr>
        <w:t xml:space="preserve"> S, </w:t>
      </w:r>
      <w:proofErr w:type="spellStart"/>
      <w:r w:rsidRPr="00D54C2D">
        <w:rPr>
          <w:rFonts w:ascii="Arial" w:hAnsi="Arial" w:cs="Arial"/>
          <w:sz w:val="20"/>
          <w:szCs w:val="20"/>
        </w:rPr>
        <w:t>Elkheir</w:t>
      </w:r>
      <w:proofErr w:type="spellEnd"/>
      <w:r w:rsidRPr="00D54C2D">
        <w:rPr>
          <w:rFonts w:ascii="Arial" w:hAnsi="Arial" w:cs="Arial"/>
          <w:sz w:val="20"/>
          <w:szCs w:val="20"/>
        </w:rPr>
        <w:t xml:space="preserve"> HK. Knowledge, Prevalence and Practice of Polycystic Ovary Syndrome among Sudanese women in Khartoum State, Sudan: The need for health education, Sudan Journal of Medical Sciences 2022;17(2):1</w:t>
      </w:r>
      <w:r w:rsidR="002D4172" w:rsidRPr="00D54C2D">
        <w:rPr>
          <w:rFonts w:ascii="Arial" w:hAnsi="Arial" w:cs="Arial"/>
          <w:sz w:val="20"/>
          <w:szCs w:val="20"/>
        </w:rPr>
        <w:t>-</w:t>
      </w:r>
      <w:r w:rsidRPr="00D54C2D">
        <w:rPr>
          <w:rFonts w:ascii="Arial" w:hAnsi="Arial" w:cs="Arial"/>
          <w:sz w:val="20"/>
          <w:szCs w:val="20"/>
        </w:rPr>
        <w:t>14</w:t>
      </w:r>
      <w:r w:rsidR="002D4172" w:rsidRPr="00D54C2D">
        <w:rPr>
          <w:rFonts w:ascii="Arial" w:hAnsi="Arial" w:cs="Arial"/>
          <w:sz w:val="20"/>
          <w:szCs w:val="20"/>
        </w:rPr>
        <w:t>. DOI</w:t>
      </w:r>
      <w:r w:rsidR="002D4172" w:rsidRPr="00D54C2D">
        <w:rPr>
          <w:rFonts w:ascii="Arial" w:hAnsi="Arial" w:cs="Arial"/>
          <w:b/>
          <w:bCs/>
          <w:sz w:val="20"/>
          <w:szCs w:val="20"/>
        </w:rPr>
        <w:t>:</w:t>
      </w:r>
      <w:r w:rsidR="002D4172" w:rsidRPr="00D54C2D">
        <w:rPr>
          <w:rFonts w:ascii="Arial" w:hAnsi="Arial" w:cs="Arial"/>
          <w:sz w:val="20"/>
          <w:szCs w:val="20"/>
        </w:rPr>
        <w:t> </w:t>
      </w:r>
      <w:hyperlink r:id="rId15" w:tgtFrame="_blank" w:history="1">
        <w:r w:rsidR="002D4172" w:rsidRPr="00D54C2D">
          <w:rPr>
            <w:rStyle w:val="Hyperlink"/>
            <w:rFonts w:ascii="Arial" w:hAnsi="Arial" w:cs="Arial"/>
            <w:sz w:val="20"/>
            <w:szCs w:val="20"/>
          </w:rPr>
          <w:t>10.18502/</w:t>
        </w:r>
        <w:proofErr w:type="gramStart"/>
        <w:r w:rsidR="002D4172" w:rsidRPr="00D54C2D">
          <w:rPr>
            <w:rStyle w:val="Hyperlink"/>
            <w:rFonts w:ascii="Arial" w:hAnsi="Arial" w:cs="Arial"/>
            <w:sz w:val="20"/>
            <w:szCs w:val="20"/>
          </w:rPr>
          <w:t>sjms.v</w:t>
        </w:r>
        <w:proofErr w:type="gramEnd"/>
        <w:r w:rsidR="002D4172" w:rsidRPr="00D54C2D">
          <w:rPr>
            <w:rStyle w:val="Hyperlink"/>
            <w:rFonts w:ascii="Arial" w:hAnsi="Arial" w:cs="Arial"/>
            <w:sz w:val="20"/>
            <w:szCs w:val="20"/>
          </w:rPr>
          <w:t>17i2.11455</w:t>
        </w:r>
      </w:hyperlink>
    </w:p>
    <w:p w14:paraId="7B0CB171" w14:textId="7B569603"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Madhuri V, </w:t>
      </w:r>
      <w:proofErr w:type="spellStart"/>
      <w:r w:rsidRPr="00D54C2D">
        <w:rPr>
          <w:rFonts w:ascii="Arial" w:hAnsi="Arial" w:cs="Arial"/>
          <w:sz w:val="20"/>
          <w:szCs w:val="20"/>
        </w:rPr>
        <w:t>Koteswaramma</w:t>
      </w:r>
      <w:proofErr w:type="spellEnd"/>
      <w:r w:rsidRPr="00D54C2D">
        <w:rPr>
          <w:rFonts w:ascii="Arial" w:hAnsi="Arial" w:cs="Arial"/>
          <w:sz w:val="20"/>
          <w:szCs w:val="20"/>
        </w:rPr>
        <w:t xml:space="preserve"> CH, </w:t>
      </w:r>
      <w:proofErr w:type="spellStart"/>
      <w:r w:rsidRPr="00D54C2D">
        <w:rPr>
          <w:rFonts w:ascii="Arial" w:hAnsi="Arial" w:cs="Arial"/>
          <w:sz w:val="20"/>
          <w:szCs w:val="20"/>
        </w:rPr>
        <w:t>Snehika</w:t>
      </w:r>
      <w:proofErr w:type="spellEnd"/>
      <w:r w:rsidRPr="00D54C2D">
        <w:rPr>
          <w:rFonts w:ascii="Arial" w:hAnsi="Arial" w:cs="Arial"/>
          <w:sz w:val="20"/>
          <w:szCs w:val="20"/>
        </w:rPr>
        <w:t xml:space="preserve"> A. Prevalence of depression and anxiety among polycystic ovarian syndrome patients: a cross-sectional study, International Journal </w:t>
      </w:r>
      <w:r w:rsidR="00A81601" w:rsidRPr="00D54C2D">
        <w:rPr>
          <w:rFonts w:ascii="Arial" w:hAnsi="Arial" w:cs="Arial"/>
          <w:sz w:val="20"/>
          <w:szCs w:val="20"/>
        </w:rPr>
        <w:t>o</w:t>
      </w:r>
      <w:r w:rsidRPr="00D54C2D">
        <w:rPr>
          <w:rFonts w:ascii="Arial" w:hAnsi="Arial" w:cs="Arial"/>
          <w:sz w:val="20"/>
          <w:szCs w:val="20"/>
        </w:rPr>
        <w:t xml:space="preserve">f Community Medicine </w:t>
      </w:r>
      <w:proofErr w:type="gramStart"/>
      <w:r w:rsidRPr="00D54C2D">
        <w:rPr>
          <w:rFonts w:ascii="Arial" w:hAnsi="Arial" w:cs="Arial"/>
          <w:sz w:val="20"/>
          <w:szCs w:val="20"/>
        </w:rPr>
        <w:t>And</w:t>
      </w:r>
      <w:proofErr w:type="gramEnd"/>
      <w:r w:rsidRPr="00D54C2D">
        <w:rPr>
          <w:rFonts w:ascii="Arial" w:hAnsi="Arial" w:cs="Arial"/>
          <w:sz w:val="20"/>
          <w:szCs w:val="20"/>
        </w:rPr>
        <w:t xml:space="preserve"> Public Health 2023;10(7):1-5</w:t>
      </w:r>
      <w:r w:rsidR="002D4172" w:rsidRPr="00D54C2D">
        <w:rPr>
          <w:rFonts w:ascii="Arial" w:hAnsi="Arial" w:cs="Arial"/>
          <w:sz w:val="20"/>
          <w:szCs w:val="20"/>
        </w:rPr>
        <w:t xml:space="preserve">. DOI: </w:t>
      </w:r>
      <w:hyperlink r:id="rId16" w:history="1">
        <w:r w:rsidR="00A81601" w:rsidRPr="00D54C2D">
          <w:rPr>
            <w:rStyle w:val="Hyperlink"/>
            <w:rFonts w:ascii="Arial" w:hAnsi="Arial" w:cs="Arial"/>
            <w:sz w:val="20"/>
            <w:szCs w:val="20"/>
          </w:rPr>
          <w:t>https://doi.org/10.18203/2394-6040.ijcmph20232054</w:t>
        </w:r>
      </w:hyperlink>
      <w:r w:rsidR="00A81601" w:rsidRPr="00D54C2D">
        <w:rPr>
          <w:rFonts w:ascii="Arial" w:hAnsi="Arial" w:cs="Arial"/>
          <w:sz w:val="20"/>
          <w:szCs w:val="20"/>
        </w:rPr>
        <w:t xml:space="preserve"> </w:t>
      </w:r>
    </w:p>
    <w:p w14:paraId="31002434" w14:textId="041F73B6"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Malini MV, Surekha T. A Study </w:t>
      </w:r>
      <w:proofErr w:type="gramStart"/>
      <w:r w:rsidRPr="00D54C2D">
        <w:rPr>
          <w:rFonts w:ascii="Arial" w:hAnsi="Arial" w:cs="Arial"/>
          <w:sz w:val="20"/>
          <w:szCs w:val="20"/>
        </w:rPr>
        <w:t>To</w:t>
      </w:r>
      <w:proofErr w:type="gramEnd"/>
      <w:r w:rsidRPr="00D54C2D">
        <w:rPr>
          <w:rFonts w:ascii="Arial" w:hAnsi="Arial" w:cs="Arial"/>
          <w:sz w:val="20"/>
          <w:szCs w:val="20"/>
        </w:rPr>
        <w:t xml:space="preserve"> Assess The Knowledge Of Female Medical Students On Polycystic Ovary Syndrome In NRI Institute Of Medical Sciences, international journal of research in medical sciences 2023;1(1):1-5</w:t>
      </w:r>
      <w:r w:rsidR="002D4172" w:rsidRPr="00D54C2D">
        <w:rPr>
          <w:rFonts w:ascii="Arial" w:hAnsi="Arial" w:cs="Arial"/>
          <w:sz w:val="20"/>
          <w:szCs w:val="20"/>
        </w:rPr>
        <w:t xml:space="preserve">. DOI: </w:t>
      </w:r>
      <w:hyperlink r:id="rId17" w:history="1">
        <w:r w:rsidR="00A81601" w:rsidRPr="00D54C2D">
          <w:rPr>
            <w:rStyle w:val="Hyperlink"/>
            <w:rFonts w:ascii="Arial" w:hAnsi="Arial" w:cs="Arial"/>
            <w:sz w:val="20"/>
            <w:szCs w:val="20"/>
          </w:rPr>
          <w:t>https://doi.org/10.18203/2320-6012.ijrms20223644</w:t>
        </w:r>
      </w:hyperlink>
      <w:r w:rsidR="00A81601" w:rsidRPr="00D54C2D">
        <w:rPr>
          <w:rFonts w:ascii="Arial" w:hAnsi="Arial" w:cs="Arial"/>
          <w:sz w:val="20"/>
          <w:szCs w:val="20"/>
        </w:rPr>
        <w:t xml:space="preserve"> </w:t>
      </w:r>
    </w:p>
    <w:p w14:paraId="6D79A4F2" w14:textId="260AABCE"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lastRenderedPageBreak/>
        <w:t xml:space="preserve">Ferrao WI, Fernandes VM, Thomas T, Baretto VR, Sequera SKL. Knowledge </w:t>
      </w:r>
      <w:proofErr w:type="gramStart"/>
      <w:r w:rsidRPr="00D54C2D">
        <w:rPr>
          <w:rFonts w:ascii="Arial" w:hAnsi="Arial" w:cs="Arial"/>
          <w:sz w:val="20"/>
          <w:szCs w:val="20"/>
        </w:rPr>
        <w:t>On</w:t>
      </w:r>
      <w:proofErr w:type="gramEnd"/>
      <w:r w:rsidRPr="00D54C2D">
        <w:rPr>
          <w:rFonts w:ascii="Arial" w:hAnsi="Arial" w:cs="Arial"/>
          <w:sz w:val="20"/>
          <w:szCs w:val="20"/>
        </w:rPr>
        <w:t xml:space="preserve"> PCOS Among The Nursing Students Of A Selected College, </w:t>
      </w:r>
      <w:proofErr w:type="spellStart"/>
      <w:r w:rsidRPr="00D54C2D">
        <w:rPr>
          <w:rFonts w:ascii="Arial" w:hAnsi="Arial" w:cs="Arial"/>
          <w:sz w:val="20"/>
          <w:szCs w:val="20"/>
        </w:rPr>
        <w:t>Mangaluru</w:t>
      </w:r>
      <w:proofErr w:type="spellEnd"/>
      <w:r w:rsidRPr="00D54C2D">
        <w:rPr>
          <w:rFonts w:ascii="Arial" w:hAnsi="Arial" w:cs="Arial"/>
          <w:sz w:val="20"/>
          <w:szCs w:val="20"/>
        </w:rPr>
        <w:t>, Journal of Health and Allied Sciences 2022;13(3):1-4</w:t>
      </w:r>
      <w:r w:rsidR="002D4172" w:rsidRPr="00D54C2D">
        <w:rPr>
          <w:rFonts w:ascii="Arial" w:hAnsi="Arial" w:cs="Arial"/>
          <w:sz w:val="20"/>
          <w:szCs w:val="20"/>
        </w:rPr>
        <w:t>. DOI:</w:t>
      </w:r>
      <w:hyperlink r:id="rId18" w:tgtFrame="_blank" w:history="1">
        <w:r w:rsidR="002D4172" w:rsidRPr="00D54C2D">
          <w:rPr>
            <w:rStyle w:val="Hyperlink"/>
            <w:rFonts w:ascii="Arial" w:hAnsi="Arial" w:cs="Arial"/>
            <w:sz w:val="20"/>
            <w:szCs w:val="20"/>
          </w:rPr>
          <w:t>10.1055/s-0042-1759522</w:t>
        </w:r>
      </w:hyperlink>
    </w:p>
    <w:p w14:paraId="6EB9D1BF" w14:textId="72B6775A" w:rsidR="00EC72AE" w:rsidRPr="00D54C2D" w:rsidRDefault="00EC72AE" w:rsidP="00A16A7A">
      <w:pPr>
        <w:pStyle w:val="ListParagraph"/>
        <w:numPr>
          <w:ilvl w:val="0"/>
          <w:numId w:val="6"/>
        </w:numPr>
        <w:spacing w:line="240" w:lineRule="auto"/>
        <w:rPr>
          <w:rFonts w:ascii="Arial" w:hAnsi="Arial" w:cs="Arial"/>
          <w:sz w:val="20"/>
          <w:szCs w:val="20"/>
        </w:rPr>
      </w:pPr>
      <w:proofErr w:type="spellStart"/>
      <w:r w:rsidRPr="00D54C2D">
        <w:rPr>
          <w:rFonts w:ascii="Arial" w:hAnsi="Arial" w:cs="Arial"/>
          <w:sz w:val="20"/>
          <w:szCs w:val="20"/>
        </w:rPr>
        <w:t>Jaybhay</w:t>
      </w:r>
      <w:proofErr w:type="spellEnd"/>
      <w:r w:rsidRPr="00D54C2D">
        <w:rPr>
          <w:rFonts w:ascii="Arial" w:hAnsi="Arial" w:cs="Arial"/>
          <w:sz w:val="20"/>
          <w:szCs w:val="20"/>
        </w:rPr>
        <w:t xml:space="preserve"> NR, </w:t>
      </w:r>
      <w:proofErr w:type="spellStart"/>
      <w:r w:rsidRPr="00D54C2D">
        <w:rPr>
          <w:rFonts w:ascii="Arial" w:hAnsi="Arial" w:cs="Arial"/>
          <w:sz w:val="20"/>
          <w:szCs w:val="20"/>
        </w:rPr>
        <w:t>Mahadalkar</w:t>
      </w:r>
      <w:proofErr w:type="spellEnd"/>
      <w:r w:rsidRPr="00D54C2D">
        <w:rPr>
          <w:rFonts w:ascii="Arial" w:hAnsi="Arial" w:cs="Arial"/>
          <w:sz w:val="20"/>
          <w:szCs w:val="20"/>
        </w:rPr>
        <w:t xml:space="preserve"> P, Ray SP. An Exploratory Study </w:t>
      </w:r>
      <w:proofErr w:type="gramStart"/>
      <w:r w:rsidRPr="00D54C2D">
        <w:rPr>
          <w:rFonts w:ascii="Arial" w:hAnsi="Arial" w:cs="Arial"/>
          <w:sz w:val="20"/>
          <w:szCs w:val="20"/>
        </w:rPr>
        <w:t>To</w:t>
      </w:r>
      <w:proofErr w:type="gramEnd"/>
      <w:r w:rsidRPr="00D54C2D">
        <w:rPr>
          <w:rFonts w:ascii="Arial" w:hAnsi="Arial" w:cs="Arial"/>
          <w:sz w:val="20"/>
          <w:szCs w:val="20"/>
        </w:rPr>
        <w:t xml:space="preserve"> Assess The Knowledge Regarding Polycystic Ovarian Syndrome Among Adolescent Girls In Selected Junior Colleges Of Pune City, Journal of Pharmaceutical Negative Results 2022;13(4):1-6</w:t>
      </w:r>
      <w:r w:rsidR="002D4172" w:rsidRPr="00D54C2D">
        <w:rPr>
          <w:rFonts w:ascii="Arial" w:hAnsi="Arial" w:cs="Arial"/>
          <w:sz w:val="20"/>
          <w:szCs w:val="20"/>
        </w:rPr>
        <w:t>. DOI:</w:t>
      </w:r>
      <w:hyperlink r:id="rId19" w:tgtFrame="_blank" w:history="1">
        <w:r w:rsidR="002D4172" w:rsidRPr="00D54C2D">
          <w:rPr>
            <w:rStyle w:val="Hyperlink"/>
            <w:rFonts w:ascii="Arial" w:hAnsi="Arial" w:cs="Arial"/>
            <w:sz w:val="20"/>
            <w:szCs w:val="20"/>
          </w:rPr>
          <w:t>10.47750/pnr.2022.</w:t>
        </w:r>
        <w:proofErr w:type="gramStart"/>
        <w:r w:rsidR="002D4172" w:rsidRPr="00D54C2D">
          <w:rPr>
            <w:rStyle w:val="Hyperlink"/>
            <w:rFonts w:ascii="Arial" w:hAnsi="Arial" w:cs="Arial"/>
            <w:sz w:val="20"/>
            <w:szCs w:val="20"/>
          </w:rPr>
          <w:t>13.S</w:t>
        </w:r>
        <w:proofErr w:type="gramEnd"/>
        <w:r w:rsidR="002D4172" w:rsidRPr="00D54C2D">
          <w:rPr>
            <w:rStyle w:val="Hyperlink"/>
            <w:rFonts w:ascii="Arial" w:hAnsi="Arial" w:cs="Arial"/>
            <w:sz w:val="20"/>
            <w:szCs w:val="20"/>
          </w:rPr>
          <w:t>04.290</w:t>
        </w:r>
      </w:hyperlink>
    </w:p>
    <w:p w14:paraId="69B073B6" w14:textId="24EDA9B8"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Roya R, Ali MA, Tabasum W, Bardia A, Minhaj H, Balaji AB et al. An Indian Evidence-Based Study of Prevalence, Phenotypic Features, Lifestyle Modifications of Polycystic Ovarian Syndrome Patients, Journal of Gynecology and Women’s Health 2021;21(4):1-10</w:t>
      </w:r>
      <w:r w:rsidR="00BC61C7" w:rsidRPr="00D54C2D">
        <w:rPr>
          <w:rFonts w:ascii="Arial" w:hAnsi="Arial" w:cs="Arial"/>
          <w:sz w:val="20"/>
          <w:szCs w:val="20"/>
        </w:rPr>
        <w:t>. DOI: </w:t>
      </w:r>
      <w:hyperlink r:id="rId20" w:history="1">
        <w:r w:rsidR="00BC61C7" w:rsidRPr="00D54C2D">
          <w:rPr>
            <w:rStyle w:val="Hyperlink"/>
            <w:rFonts w:ascii="Arial" w:hAnsi="Arial" w:cs="Arial"/>
            <w:sz w:val="20"/>
            <w:szCs w:val="20"/>
          </w:rPr>
          <w:t>10.19080/JGWH.2021.21.556069</w:t>
        </w:r>
      </w:hyperlink>
    </w:p>
    <w:p w14:paraId="3153F98A" w14:textId="4BD51B58"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Jabeen A, Yamini V, Amberina AR, Eshwar MD, </w:t>
      </w:r>
      <w:proofErr w:type="spellStart"/>
      <w:r w:rsidRPr="00D54C2D">
        <w:rPr>
          <w:rFonts w:ascii="Arial" w:hAnsi="Arial" w:cs="Arial"/>
          <w:sz w:val="20"/>
          <w:szCs w:val="20"/>
        </w:rPr>
        <w:t>Vadakedath</w:t>
      </w:r>
      <w:proofErr w:type="spellEnd"/>
      <w:r w:rsidRPr="00D54C2D">
        <w:rPr>
          <w:rFonts w:ascii="Arial" w:hAnsi="Arial" w:cs="Arial"/>
          <w:sz w:val="20"/>
          <w:szCs w:val="20"/>
        </w:rPr>
        <w:t xml:space="preserve"> S, Begum GS et al. Polycystic Ovarian Syndrome: Prevalence, Predisposing Factors, And Awareness Among Adolescent and Young Girls of South India, </w:t>
      </w:r>
      <w:proofErr w:type="spellStart"/>
      <w:r w:rsidRPr="00D54C2D">
        <w:rPr>
          <w:rFonts w:ascii="Arial" w:hAnsi="Arial" w:cs="Arial"/>
          <w:sz w:val="20"/>
          <w:szCs w:val="20"/>
        </w:rPr>
        <w:t>Cureus</w:t>
      </w:r>
      <w:proofErr w:type="spellEnd"/>
      <w:r w:rsidRPr="00D54C2D">
        <w:rPr>
          <w:rFonts w:ascii="Arial" w:hAnsi="Arial" w:cs="Arial"/>
          <w:sz w:val="20"/>
          <w:szCs w:val="20"/>
        </w:rPr>
        <w:t xml:space="preserve"> 2022;14(8):1-14</w:t>
      </w:r>
      <w:r w:rsidR="00BC61C7" w:rsidRPr="00D54C2D">
        <w:rPr>
          <w:rFonts w:ascii="Arial" w:hAnsi="Arial" w:cs="Arial"/>
          <w:sz w:val="20"/>
          <w:szCs w:val="20"/>
        </w:rPr>
        <w:t>. DOI: </w:t>
      </w:r>
      <w:hyperlink r:id="rId21" w:tgtFrame="_blank" w:history="1">
        <w:r w:rsidR="00BC61C7" w:rsidRPr="00D54C2D">
          <w:rPr>
            <w:rStyle w:val="Hyperlink"/>
            <w:rFonts w:ascii="Arial" w:hAnsi="Arial" w:cs="Arial"/>
            <w:sz w:val="20"/>
            <w:szCs w:val="20"/>
          </w:rPr>
          <w:t>10.7759/cureus.27943</w:t>
        </w:r>
      </w:hyperlink>
    </w:p>
    <w:p w14:paraId="7D98F699" w14:textId="5659F76D"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Salama AM, Elbana HM. Effect </w:t>
      </w:r>
      <w:proofErr w:type="gramStart"/>
      <w:r w:rsidRPr="00D54C2D">
        <w:rPr>
          <w:rFonts w:ascii="Arial" w:hAnsi="Arial" w:cs="Arial"/>
          <w:sz w:val="20"/>
          <w:szCs w:val="20"/>
        </w:rPr>
        <w:t>Of</w:t>
      </w:r>
      <w:proofErr w:type="gramEnd"/>
      <w:r w:rsidRPr="00D54C2D">
        <w:rPr>
          <w:rFonts w:ascii="Arial" w:hAnsi="Arial" w:cs="Arial"/>
          <w:sz w:val="20"/>
          <w:szCs w:val="20"/>
        </w:rPr>
        <w:t xml:space="preserve"> Self Instructional Module On Awareness Of Polycystic Ovarian Syndrome Among Adolescent Students, American journal of nursing research 2019;7(6):1-11</w:t>
      </w:r>
      <w:r w:rsidR="00BC61C7" w:rsidRPr="00D54C2D">
        <w:rPr>
          <w:rFonts w:ascii="Arial" w:hAnsi="Arial" w:cs="Arial"/>
          <w:sz w:val="20"/>
          <w:szCs w:val="20"/>
        </w:rPr>
        <w:t>. DOI: 10.12691/ajnr-7-6-15</w:t>
      </w:r>
      <w:r w:rsidR="00A81601" w:rsidRPr="00D54C2D">
        <w:rPr>
          <w:rFonts w:ascii="Arial" w:hAnsi="Arial" w:cs="Arial"/>
          <w:sz w:val="20"/>
          <w:szCs w:val="20"/>
        </w:rPr>
        <w:t>.</w:t>
      </w:r>
    </w:p>
    <w:p w14:paraId="7039591E" w14:textId="0204A562" w:rsidR="00EC72AE" w:rsidRPr="00D54C2D" w:rsidRDefault="00EC72AE" w:rsidP="00A16A7A">
      <w:pPr>
        <w:pStyle w:val="ListParagraph"/>
        <w:numPr>
          <w:ilvl w:val="0"/>
          <w:numId w:val="6"/>
        </w:numPr>
        <w:spacing w:line="240" w:lineRule="auto"/>
        <w:rPr>
          <w:rFonts w:ascii="Arial" w:hAnsi="Arial" w:cs="Arial"/>
          <w:sz w:val="20"/>
          <w:szCs w:val="20"/>
        </w:rPr>
      </w:pPr>
      <w:proofErr w:type="spellStart"/>
      <w:r w:rsidRPr="00D54C2D">
        <w:rPr>
          <w:rFonts w:ascii="Arial" w:hAnsi="Arial" w:cs="Arial"/>
          <w:sz w:val="20"/>
          <w:szCs w:val="20"/>
        </w:rPr>
        <w:t>Zaitoun</w:t>
      </w:r>
      <w:proofErr w:type="spellEnd"/>
      <w:r w:rsidRPr="00D54C2D">
        <w:rPr>
          <w:rFonts w:ascii="Arial" w:hAnsi="Arial" w:cs="Arial"/>
          <w:sz w:val="20"/>
          <w:szCs w:val="20"/>
        </w:rPr>
        <w:t xml:space="preserve"> B, </w:t>
      </w:r>
      <w:proofErr w:type="spellStart"/>
      <w:r w:rsidRPr="00D54C2D">
        <w:rPr>
          <w:rFonts w:ascii="Arial" w:hAnsi="Arial" w:cs="Arial"/>
          <w:sz w:val="20"/>
          <w:szCs w:val="20"/>
        </w:rPr>
        <w:t>Kubaisi</w:t>
      </w:r>
      <w:proofErr w:type="spellEnd"/>
      <w:r w:rsidRPr="00D54C2D">
        <w:rPr>
          <w:rFonts w:ascii="Arial" w:hAnsi="Arial" w:cs="Arial"/>
          <w:sz w:val="20"/>
          <w:szCs w:val="20"/>
        </w:rPr>
        <w:t xml:space="preserve"> AA, </w:t>
      </w:r>
      <w:proofErr w:type="spellStart"/>
      <w:r w:rsidRPr="00D54C2D">
        <w:rPr>
          <w:rFonts w:ascii="Arial" w:hAnsi="Arial" w:cs="Arial"/>
          <w:sz w:val="20"/>
          <w:szCs w:val="20"/>
        </w:rPr>
        <w:t>Alqattan</w:t>
      </w:r>
      <w:proofErr w:type="spellEnd"/>
      <w:r w:rsidRPr="00D54C2D">
        <w:rPr>
          <w:rFonts w:ascii="Arial" w:hAnsi="Arial" w:cs="Arial"/>
          <w:sz w:val="20"/>
          <w:szCs w:val="20"/>
        </w:rPr>
        <w:t xml:space="preserve"> N, </w:t>
      </w:r>
      <w:proofErr w:type="spellStart"/>
      <w:r w:rsidRPr="00D54C2D">
        <w:rPr>
          <w:rFonts w:ascii="Arial" w:hAnsi="Arial" w:cs="Arial"/>
          <w:sz w:val="20"/>
          <w:szCs w:val="20"/>
        </w:rPr>
        <w:t>Alassouli</w:t>
      </w:r>
      <w:proofErr w:type="spellEnd"/>
      <w:r w:rsidRPr="00D54C2D">
        <w:rPr>
          <w:rFonts w:ascii="Arial" w:hAnsi="Arial" w:cs="Arial"/>
          <w:sz w:val="20"/>
          <w:szCs w:val="20"/>
        </w:rPr>
        <w:t xml:space="preserve"> Y, Mohammad A, </w:t>
      </w:r>
      <w:proofErr w:type="spellStart"/>
      <w:r w:rsidRPr="00D54C2D">
        <w:rPr>
          <w:rFonts w:ascii="Arial" w:hAnsi="Arial" w:cs="Arial"/>
          <w:sz w:val="20"/>
          <w:szCs w:val="20"/>
        </w:rPr>
        <w:t>Alameeri</w:t>
      </w:r>
      <w:proofErr w:type="spellEnd"/>
      <w:r w:rsidRPr="00D54C2D">
        <w:rPr>
          <w:rFonts w:ascii="Arial" w:hAnsi="Arial" w:cs="Arial"/>
          <w:sz w:val="20"/>
          <w:szCs w:val="20"/>
        </w:rPr>
        <w:t xml:space="preserve"> H et al. Polycystic ovarian syndrome awareness among females in the UAE: a cross-sectional study, BMC Women’s Health 2023;23(181):1-12</w:t>
      </w:r>
      <w:r w:rsidR="00BC61C7" w:rsidRPr="00D54C2D">
        <w:rPr>
          <w:rFonts w:ascii="Arial" w:hAnsi="Arial" w:cs="Arial"/>
          <w:sz w:val="20"/>
          <w:szCs w:val="20"/>
        </w:rPr>
        <w:t>. DOI: </w:t>
      </w:r>
      <w:hyperlink r:id="rId22" w:tgtFrame="_blank" w:history="1">
        <w:r w:rsidR="00BC61C7" w:rsidRPr="00D54C2D">
          <w:rPr>
            <w:rStyle w:val="Hyperlink"/>
            <w:rFonts w:ascii="Arial" w:hAnsi="Arial" w:cs="Arial"/>
            <w:sz w:val="20"/>
            <w:szCs w:val="20"/>
          </w:rPr>
          <w:t>10.1186/s12905-023-02318-y</w:t>
        </w:r>
      </w:hyperlink>
    </w:p>
    <w:p w14:paraId="631CD8BF" w14:textId="15D94C10" w:rsidR="00EC72AE" w:rsidRPr="00495BBE" w:rsidRDefault="00EC72AE" w:rsidP="00A16A7A">
      <w:pPr>
        <w:pStyle w:val="ListParagraph"/>
        <w:numPr>
          <w:ilvl w:val="0"/>
          <w:numId w:val="6"/>
        </w:numPr>
        <w:spacing w:line="240" w:lineRule="auto"/>
        <w:rPr>
          <w:rFonts w:ascii="Arial" w:hAnsi="Arial" w:cs="Arial"/>
          <w:sz w:val="20"/>
          <w:szCs w:val="20"/>
        </w:rPr>
      </w:pPr>
      <w:proofErr w:type="spellStart"/>
      <w:r w:rsidRPr="00D54C2D">
        <w:rPr>
          <w:rFonts w:ascii="Arial" w:hAnsi="Arial" w:cs="Arial"/>
          <w:sz w:val="20"/>
          <w:szCs w:val="20"/>
        </w:rPr>
        <w:t>Muhaidat</w:t>
      </w:r>
      <w:proofErr w:type="spellEnd"/>
      <w:r w:rsidRPr="00D54C2D">
        <w:rPr>
          <w:rFonts w:ascii="Arial" w:hAnsi="Arial" w:cs="Arial"/>
          <w:sz w:val="20"/>
          <w:szCs w:val="20"/>
        </w:rPr>
        <w:t xml:space="preserve"> N, Mansour S, </w:t>
      </w:r>
      <w:proofErr w:type="spellStart"/>
      <w:r w:rsidRPr="00D54C2D">
        <w:rPr>
          <w:rFonts w:ascii="Arial" w:hAnsi="Arial" w:cs="Arial"/>
          <w:sz w:val="20"/>
          <w:szCs w:val="20"/>
        </w:rPr>
        <w:t>Dardas</w:t>
      </w:r>
      <w:proofErr w:type="spellEnd"/>
      <w:r w:rsidRPr="00D54C2D">
        <w:rPr>
          <w:rFonts w:ascii="Arial" w:hAnsi="Arial" w:cs="Arial"/>
          <w:sz w:val="20"/>
          <w:szCs w:val="20"/>
        </w:rPr>
        <w:t xml:space="preserve"> M, </w:t>
      </w:r>
      <w:proofErr w:type="spellStart"/>
      <w:r w:rsidRPr="00D54C2D">
        <w:rPr>
          <w:rFonts w:ascii="Arial" w:hAnsi="Arial" w:cs="Arial"/>
          <w:sz w:val="20"/>
          <w:szCs w:val="20"/>
        </w:rPr>
        <w:t>Qiqieh</w:t>
      </w:r>
      <w:proofErr w:type="spellEnd"/>
      <w:r w:rsidRPr="00D54C2D">
        <w:rPr>
          <w:rFonts w:ascii="Arial" w:hAnsi="Arial" w:cs="Arial"/>
          <w:sz w:val="20"/>
          <w:szCs w:val="20"/>
        </w:rPr>
        <w:t xml:space="preserve"> J, </w:t>
      </w:r>
      <w:proofErr w:type="spellStart"/>
      <w:r w:rsidRPr="00D54C2D">
        <w:rPr>
          <w:rFonts w:ascii="Arial" w:hAnsi="Arial" w:cs="Arial"/>
          <w:sz w:val="20"/>
          <w:szCs w:val="20"/>
        </w:rPr>
        <w:t>Halasa</w:t>
      </w:r>
      <w:proofErr w:type="spellEnd"/>
      <w:r w:rsidRPr="00D54C2D">
        <w:rPr>
          <w:rFonts w:ascii="Arial" w:hAnsi="Arial" w:cs="Arial"/>
          <w:sz w:val="20"/>
          <w:szCs w:val="20"/>
        </w:rPr>
        <w:t xml:space="preserve"> Z, Al-</w:t>
      </w:r>
      <w:proofErr w:type="spellStart"/>
      <w:r w:rsidRPr="00D54C2D">
        <w:rPr>
          <w:rFonts w:ascii="Arial" w:hAnsi="Arial" w:cs="Arial"/>
          <w:sz w:val="20"/>
          <w:szCs w:val="20"/>
        </w:rPr>
        <w:t>Huneidy</w:t>
      </w:r>
      <w:proofErr w:type="spellEnd"/>
      <w:r w:rsidRPr="00D54C2D">
        <w:rPr>
          <w:rFonts w:ascii="Arial" w:hAnsi="Arial" w:cs="Arial"/>
          <w:sz w:val="20"/>
          <w:szCs w:val="20"/>
        </w:rPr>
        <w:t xml:space="preserve"> L et al. Current Awareness Status of and Recommendations for Polycystic Ovarian Syndrome: A National Cross-Sectional Investigation of Central Jordan, International Journal </w:t>
      </w:r>
      <w:proofErr w:type="gramStart"/>
      <w:r w:rsidRPr="00D54C2D">
        <w:rPr>
          <w:rFonts w:ascii="Arial" w:hAnsi="Arial" w:cs="Arial"/>
          <w:sz w:val="20"/>
          <w:szCs w:val="20"/>
        </w:rPr>
        <w:t>Of</w:t>
      </w:r>
      <w:proofErr w:type="gramEnd"/>
      <w:r w:rsidRPr="00D54C2D">
        <w:rPr>
          <w:rFonts w:ascii="Arial" w:hAnsi="Arial" w:cs="Arial"/>
          <w:sz w:val="20"/>
          <w:szCs w:val="20"/>
        </w:rPr>
        <w:t xml:space="preserve"> Environment Research And Public Health 2023;20(4018):1-14</w:t>
      </w:r>
      <w:r w:rsidR="00BC61C7" w:rsidRPr="00D54C2D">
        <w:rPr>
          <w:rFonts w:ascii="Arial" w:hAnsi="Arial" w:cs="Arial"/>
          <w:sz w:val="20"/>
          <w:szCs w:val="20"/>
        </w:rPr>
        <w:t>. DOI: </w:t>
      </w:r>
      <w:hyperlink r:id="rId23" w:history="1">
        <w:r w:rsidR="00BC61C7" w:rsidRPr="00495BBE">
          <w:rPr>
            <w:rStyle w:val="Hyperlink"/>
            <w:rFonts w:ascii="Arial" w:hAnsi="Arial" w:cs="Arial"/>
            <w:sz w:val="20"/>
            <w:szCs w:val="20"/>
          </w:rPr>
          <w:t>https://doi.org/10.3390/ijerph20054018</w:t>
        </w:r>
      </w:hyperlink>
    </w:p>
    <w:p w14:paraId="64B3F32C" w14:textId="3F1289A1"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Jaber RM, </w:t>
      </w:r>
      <w:proofErr w:type="spellStart"/>
      <w:r w:rsidRPr="00D54C2D">
        <w:rPr>
          <w:rFonts w:ascii="Arial" w:hAnsi="Arial" w:cs="Arial"/>
          <w:sz w:val="20"/>
          <w:szCs w:val="20"/>
        </w:rPr>
        <w:t>Aripin</w:t>
      </w:r>
      <w:proofErr w:type="spellEnd"/>
      <w:r w:rsidRPr="00D54C2D">
        <w:rPr>
          <w:rFonts w:ascii="Arial" w:hAnsi="Arial" w:cs="Arial"/>
          <w:sz w:val="20"/>
          <w:szCs w:val="20"/>
        </w:rPr>
        <w:t xml:space="preserve"> A, </w:t>
      </w:r>
      <w:proofErr w:type="spellStart"/>
      <w:r w:rsidRPr="00D54C2D">
        <w:rPr>
          <w:rFonts w:ascii="Arial" w:hAnsi="Arial" w:cs="Arial"/>
          <w:sz w:val="20"/>
          <w:szCs w:val="20"/>
        </w:rPr>
        <w:t>Allias</w:t>
      </w:r>
      <w:proofErr w:type="spellEnd"/>
      <w:r w:rsidRPr="00D54C2D">
        <w:rPr>
          <w:rFonts w:ascii="Arial" w:hAnsi="Arial" w:cs="Arial"/>
          <w:sz w:val="20"/>
          <w:szCs w:val="20"/>
        </w:rPr>
        <w:t xml:space="preserve"> N, Omar S, Kamal NR, </w:t>
      </w:r>
      <w:proofErr w:type="spellStart"/>
      <w:r w:rsidRPr="00D54C2D">
        <w:rPr>
          <w:rFonts w:ascii="Arial" w:hAnsi="Arial" w:cs="Arial"/>
          <w:sz w:val="20"/>
          <w:szCs w:val="20"/>
        </w:rPr>
        <w:t>Dwekat</w:t>
      </w:r>
      <w:proofErr w:type="spellEnd"/>
      <w:r w:rsidRPr="00D54C2D">
        <w:rPr>
          <w:rFonts w:ascii="Arial" w:hAnsi="Arial" w:cs="Arial"/>
          <w:sz w:val="20"/>
          <w:szCs w:val="20"/>
        </w:rPr>
        <w:t xml:space="preserve"> O. Knowledge and attitudes towards polycystic ovary syndrome, African Journal </w:t>
      </w:r>
      <w:proofErr w:type="gramStart"/>
      <w:r w:rsidRPr="00D54C2D">
        <w:rPr>
          <w:rFonts w:ascii="Arial" w:hAnsi="Arial" w:cs="Arial"/>
          <w:sz w:val="20"/>
          <w:szCs w:val="20"/>
        </w:rPr>
        <w:t>Of</w:t>
      </w:r>
      <w:proofErr w:type="gramEnd"/>
      <w:r w:rsidRPr="00D54C2D">
        <w:rPr>
          <w:rFonts w:ascii="Arial" w:hAnsi="Arial" w:cs="Arial"/>
          <w:sz w:val="20"/>
          <w:szCs w:val="20"/>
        </w:rPr>
        <w:t xml:space="preserve"> Reproductive Health 2022;26(1):1-11</w:t>
      </w:r>
      <w:r w:rsidR="00BC61C7" w:rsidRPr="00D54C2D">
        <w:rPr>
          <w:rFonts w:ascii="Arial" w:hAnsi="Arial" w:cs="Arial"/>
          <w:sz w:val="20"/>
          <w:szCs w:val="20"/>
        </w:rPr>
        <w:t>. DOI:</w:t>
      </w:r>
      <w:hyperlink r:id="rId24" w:history="1">
        <w:r w:rsidR="00BC61C7" w:rsidRPr="00D54C2D">
          <w:rPr>
            <w:rStyle w:val="Hyperlink"/>
            <w:rFonts w:ascii="Arial" w:hAnsi="Arial" w:cs="Arial"/>
            <w:sz w:val="20"/>
            <w:szCs w:val="20"/>
          </w:rPr>
          <w:t>10.29063/ajrh2022/v26i1.10</w:t>
        </w:r>
      </w:hyperlink>
    </w:p>
    <w:p w14:paraId="6684CC61" w14:textId="0B145C76" w:rsidR="00EC72AE" w:rsidRPr="00D54C2D" w:rsidRDefault="00EC72AE"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Kiran S, Sarwar H, Masih S. The Knowledge and Awareness on Polycystic Ovarian Syndrome among Lady Health Visitors in Public Health Nursing School Lahore, Pakistan Journal </w:t>
      </w:r>
      <w:proofErr w:type="gramStart"/>
      <w:r w:rsidRPr="00D54C2D">
        <w:rPr>
          <w:rFonts w:ascii="Arial" w:hAnsi="Arial" w:cs="Arial"/>
          <w:sz w:val="20"/>
          <w:szCs w:val="20"/>
        </w:rPr>
        <w:t>Of</w:t>
      </w:r>
      <w:proofErr w:type="gramEnd"/>
      <w:r w:rsidRPr="00D54C2D">
        <w:rPr>
          <w:rFonts w:ascii="Arial" w:hAnsi="Arial" w:cs="Arial"/>
          <w:sz w:val="20"/>
          <w:szCs w:val="20"/>
        </w:rPr>
        <w:t xml:space="preserve"> Health Sciences 2023;4(5):1-5</w:t>
      </w:r>
      <w:r w:rsidR="00BC61C7" w:rsidRPr="00D54C2D">
        <w:rPr>
          <w:rFonts w:ascii="Arial" w:hAnsi="Arial" w:cs="Arial"/>
          <w:sz w:val="20"/>
          <w:szCs w:val="20"/>
        </w:rPr>
        <w:t xml:space="preserve">. DOI: </w:t>
      </w:r>
      <w:hyperlink r:id="rId25" w:history="1">
        <w:r w:rsidR="00A81601" w:rsidRPr="00D54C2D">
          <w:rPr>
            <w:rStyle w:val="Hyperlink"/>
            <w:rFonts w:ascii="Arial" w:hAnsi="Arial" w:cs="Arial"/>
            <w:sz w:val="20"/>
            <w:szCs w:val="20"/>
          </w:rPr>
          <w:t>https://doi.org/10.54393/pjhs.v4i05.707</w:t>
        </w:r>
      </w:hyperlink>
      <w:r w:rsidR="00A81601" w:rsidRPr="00D54C2D">
        <w:rPr>
          <w:rFonts w:ascii="Arial" w:hAnsi="Arial" w:cs="Arial"/>
          <w:sz w:val="20"/>
          <w:szCs w:val="20"/>
        </w:rPr>
        <w:t xml:space="preserve"> </w:t>
      </w:r>
    </w:p>
    <w:p w14:paraId="2790570B" w14:textId="2448E33B" w:rsidR="00821452" w:rsidRPr="00D54C2D" w:rsidRDefault="00821452"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Sindhu S, Linson CC. A Study to Evaluate the Knowledge and Attitude Regarding Polycystic Ovarian Syndrome among Adolescent Girls in Selected Higher Secondary Schools at Trivandrum with a View to Develop a Self-instructional Module, Journal of Pharmaceutical Research International, 2021;33(50A):1-6</w:t>
      </w:r>
      <w:r w:rsidR="00A81601" w:rsidRPr="00D54C2D">
        <w:rPr>
          <w:rFonts w:ascii="Arial" w:hAnsi="Arial" w:cs="Arial"/>
          <w:sz w:val="20"/>
          <w:szCs w:val="20"/>
        </w:rPr>
        <w:t>. DOI:</w:t>
      </w:r>
      <w:hyperlink r:id="rId26" w:tgtFrame="_blank" w:history="1">
        <w:r w:rsidR="00A81601" w:rsidRPr="00D54C2D">
          <w:rPr>
            <w:rStyle w:val="Hyperlink"/>
            <w:rFonts w:ascii="Arial" w:hAnsi="Arial" w:cs="Arial"/>
            <w:sz w:val="20"/>
            <w:szCs w:val="20"/>
          </w:rPr>
          <w:t>10.9734/</w:t>
        </w:r>
        <w:proofErr w:type="spellStart"/>
        <w:r w:rsidR="00A81601" w:rsidRPr="00D54C2D">
          <w:rPr>
            <w:rStyle w:val="Hyperlink"/>
            <w:rFonts w:ascii="Arial" w:hAnsi="Arial" w:cs="Arial"/>
            <w:sz w:val="20"/>
            <w:szCs w:val="20"/>
          </w:rPr>
          <w:t>jpri</w:t>
        </w:r>
        <w:proofErr w:type="spellEnd"/>
        <w:r w:rsidR="00A81601" w:rsidRPr="00D54C2D">
          <w:rPr>
            <w:rStyle w:val="Hyperlink"/>
            <w:rFonts w:ascii="Arial" w:hAnsi="Arial" w:cs="Arial"/>
            <w:sz w:val="20"/>
            <w:szCs w:val="20"/>
          </w:rPr>
          <w:t>/2021/v33i50A33379</w:t>
        </w:r>
      </w:hyperlink>
    </w:p>
    <w:p w14:paraId="2DFA8442" w14:textId="24F524FC" w:rsidR="00821452" w:rsidRPr="00D54C2D" w:rsidRDefault="00821452"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Sayed SLME, Sayed MLME, Micheal GC. Screening for Polycystic Ovarian Syndrome and Effect of Health Education on its Awareness among Adolescents: A Pre-Post Study, international journal of nursing education 2020;12(4):1-10</w:t>
      </w:r>
      <w:r w:rsidR="00A81601" w:rsidRPr="00D54C2D">
        <w:rPr>
          <w:rFonts w:ascii="Arial" w:hAnsi="Arial" w:cs="Arial"/>
          <w:sz w:val="20"/>
          <w:szCs w:val="20"/>
        </w:rPr>
        <w:t>. DOI</w:t>
      </w:r>
      <w:r w:rsidR="00A81601" w:rsidRPr="00D54C2D">
        <w:rPr>
          <w:rFonts w:ascii="Arial" w:hAnsi="Arial" w:cs="Arial"/>
          <w:b/>
          <w:bCs/>
          <w:sz w:val="20"/>
          <w:szCs w:val="20"/>
        </w:rPr>
        <w:t>:</w:t>
      </w:r>
      <w:r w:rsidR="00A81601" w:rsidRPr="00D54C2D">
        <w:rPr>
          <w:rFonts w:ascii="Arial" w:hAnsi="Arial" w:cs="Arial"/>
          <w:sz w:val="20"/>
          <w:szCs w:val="20"/>
        </w:rPr>
        <w:t> </w:t>
      </w:r>
      <w:hyperlink r:id="rId27" w:history="1">
        <w:r w:rsidR="00A81601" w:rsidRPr="00D54C2D">
          <w:rPr>
            <w:rStyle w:val="Hyperlink"/>
            <w:rFonts w:ascii="Arial" w:hAnsi="Arial" w:cs="Arial"/>
            <w:sz w:val="20"/>
            <w:szCs w:val="20"/>
          </w:rPr>
          <w:t>https://doi.org/10.37506/ijone.v12i4.11255</w:t>
        </w:r>
      </w:hyperlink>
    </w:p>
    <w:p w14:paraId="1C2C6A8F" w14:textId="0CEE73B0" w:rsidR="00AD3F42" w:rsidRPr="00495BBE" w:rsidRDefault="0065356F" w:rsidP="00A16A7A">
      <w:pPr>
        <w:pStyle w:val="ListParagraph"/>
        <w:numPr>
          <w:ilvl w:val="0"/>
          <w:numId w:val="6"/>
        </w:numPr>
        <w:spacing w:line="240" w:lineRule="auto"/>
        <w:rPr>
          <w:rFonts w:ascii="Arial" w:hAnsi="Arial" w:cs="Arial"/>
          <w:sz w:val="20"/>
          <w:szCs w:val="20"/>
        </w:rPr>
      </w:pPr>
      <w:r w:rsidRPr="00D54C2D">
        <w:rPr>
          <w:rFonts w:ascii="Arial" w:hAnsi="Arial" w:cs="Arial"/>
          <w:sz w:val="20"/>
          <w:szCs w:val="20"/>
        </w:rPr>
        <w:t xml:space="preserve">Varughese AK, Greetta TV. Effectiveness of Structured Teaching </w:t>
      </w:r>
      <w:proofErr w:type="spellStart"/>
      <w:r w:rsidRPr="00D54C2D">
        <w:rPr>
          <w:rFonts w:ascii="Arial" w:hAnsi="Arial" w:cs="Arial"/>
          <w:sz w:val="20"/>
          <w:szCs w:val="20"/>
        </w:rPr>
        <w:t>Programme</w:t>
      </w:r>
      <w:proofErr w:type="spellEnd"/>
      <w:r w:rsidRPr="00D54C2D">
        <w:rPr>
          <w:rFonts w:ascii="Arial" w:hAnsi="Arial" w:cs="Arial"/>
          <w:sz w:val="20"/>
          <w:szCs w:val="20"/>
        </w:rPr>
        <w:t xml:space="preserve"> (STP) on Knowledge regarding Polycystic Ovarian Syndrome (PCOS) among Adolescent Girls, Kollam, Indian Journal </w:t>
      </w:r>
      <w:proofErr w:type="gramStart"/>
      <w:r w:rsidRPr="00D54C2D">
        <w:rPr>
          <w:rFonts w:ascii="Arial" w:hAnsi="Arial" w:cs="Arial"/>
          <w:sz w:val="20"/>
          <w:szCs w:val="20"/>
        </w:rPr>
        <w:t>Of</w:t>
      </w:r>
      <w:proofErr w:type="gramEnd"/>
      <w:r w:rsidRPr="00D54C2D">
        <w:rPr>
          <w:rFonts w:ascii="Arial" w:hAnsi="Arial" w:cs="Arial"/>
          <w:sz w:val="20"/>
          <w:szCs w:val="20"/>
        </w:rPr>
        <w:t xml:space="preserve"> Nursing Education And Research, 2018;6(4):1-3</w:t>
      </w:r>
      <w:r w:rsidR="00A81601" w:rsidRPr="00D54C2D">
        <w:rPr>
          <w:rFonts w:ascii="Arial" w:hAnsi="Arial" w:cs="Arial"/>
          <w:sz w:val="20"/>
          <w:szCs w:val="20"/>
        </w:rPr>
        <w:t>. DOI: </w:t>
      </w:r>
      <w:hyperlink r:id="rId28" w:tgtFrame="_blank" w:history="1">
        <w:r w:rsidR="00A81601" w:rsidRPr="00D54C2D">
          <w:rPr>
            <w:rStyle w:val="Hyperlink"/>
            <w:rFonts w:ascii="Arial" w:hAnsi="Arial" w:cs="Arial"/>
            <w:sz w:val="20"/>
            <w:szCs w:val="20"/>
          </w:rPr>
          <w:t>10.5958/2454-2660.</w:t>
        </w:r>
        <w:proofErr w:type="gramStart"/>
        <w:r w:rsidR="00A81601" w:rsidRPr="00D54C2D">
          <w:rPr>
            <w:rStyle w:val="Hyperlink"/>
            <w:rFonts w:ascii="Arial" w:hAnsi="Arial" w:cs="Arial"/>
            <w:sz w:val="20"/>
            <w:szCs w:val="20"/>
          </w:rPr>
          <w:t>2018.00087.X</w:t>
        </w:r>
        <w:proofErr w:type="gramEnd"/>
      </w:hyperlink>
    </w:p>
    <w:p w14:paraId="09CD1B48" w14:textId="39E5FB28" w:rsidR="00495BBE" w:rsidRPr="00D54C2D" w:rsidRDefault="00495BBE" w:rsidP="00A16A7A">
      <w:pPr>
        <w:pStyle w:val="ListParagraph"/>
        <w:numPr>
          <w:ilvl w:val="0"/>
          <w:numId w:val="6"/>
        </w:numPr>
        <w:spacing w:line="240" w:lineRule="auto"/>
        <w:rPr>
          <w:rFonts w:ascii="Arial" w:hAnsi="Arial" w:cs="Arial"/>
          <w:sz w:val="20"/>
          <w:szCs w:val="20"/>
        </w:rPr>
      </w:pPr>
      <w:r w:rsidRPr="00495BBE">
        <w:rPr>
          <w:rFonts w:ascii="Arial" w:hAnsi="Arial" w:cs="Arial"/>
          <w:sz w:val="20"/>
          <w:szCs w:val="20"/>
        </w:rPr>
        <w:t>Mohamed HAA</w:t>
      </w:r>
      <w:r w:rsidRPr="00495BBE">
        <w:rPr>
          <w:rFonts w:ascii="Arial" w:hAnsi="Arial" w:cs="Arial"/>
          <w:b/>
          <w:bCs/>
          <w:sz w:val="20"/>
          <w:szCs w:val="20"/>
        </w:rPr>
        <w:t>.</w:t>
      </w:r>
      <w:r w:rsidRPr="00495BBE">
        <w:rPr>
          <w:rFonts w:ascii="Arial" w:hAnsi="Arial" w:cs="Arial"/>
          <w:sz w:val="20"/>
          <w:szCs w:val="20"/>
        </w:rPr>
        <w:t xml:space="preserve"> Effect of Educational Program on the Level of Knowledge Regarding Polycystic Ovarian Syndrome Among Adolescent Girls, </w:t>
      </w:r>
      <w:r w:rsidRPr="00495BBE">
        <w:rPr>
          <w:rFonts w:ascii="Arial" w:hAnsi="Arial" w:cs="Arial"/>
          <w:i/>
          <w:iCs/>
          <w:sz w:val="20"/>
          <w:szCs w:val="20"/>
        </w:rPr>
        <w:t>Journal of Nursing Education and Practice</w:t>
      </w:r>
      <w:r w:rsidRPr="00495BBE">
        <w:rPr>
          <w:rFonts w:ascii="Arial" w:hAnsi="Arial" w:cs="Arial"/>
          <w:sz w:val="20"/>
          <w:szCs w:val="20"/>
        </w:rPr>
        <w:t xml:space="preserve">, 2016;6(10):1-8. DOI: </w:t>
      </w:r>
      <w:hyperlink r:id="rId29" w:tgtFrame="_new" w:history="1">
        <w:r w:rsidRPr="00495BBE">
          <w:rPr>
            <w:rStyle w:val="Hyperlink"/>
            <w:rFonts w:ascii="Arial" w:hAnsi="Arial" w:cs="Arial"/>
            <w:sz w:val="20"/>
            <w:szCs w:val="20"/>
          </w:rPr>
          <w:t>10.5430/</w:t>
        </w:r>
        <w:proofErr w:type="gramStart"/>
        <w:r w:rsidRPr="00495BBE">
          <w:rPr>
            <w:rStyle w:val="Hyperlink"/>
            <w:rFonts w:ascii="Arial" w:hAnsi="Arial" w:cs="Arial"/>
            <w:sz w:val="20"/>
            <w:szCs w:val="20"/>
          </w:rPr>
          <w:t>jnep.v</w:t>
        </w:r>
        <w:proofErr w:type="gramEnd"/>
        <w:r w:rsidRPr="00495BBE">
          <w:rPr>
            <w:rStyle w:val="Hyperlink"/>
            <w:rFonts w:ascii="Arial" w:hAnsi="Arial" w:cs="Arial"/>
            <w:sz w:val="20"/>
            <w:szCs w:val="20"/>
          </w:rPr>
          <w:t>6n10p80</w:t>
        </w:r>
      </w:hyperlink>
      <w:r w:rsidRPr="00495BBE">
        <w:rPr>
          <w:rFonts w:ascii="Arial" w:hAnsi="Arial" w:cs="Arial"/>
          <w:sz w:val="20"/>
          <w:szCs w:val="20"/>
        </w:rPr>
        <w:t>.</w:t>
      </w:r>
    </w:p>
    <w:p w14:paraId="0718DAE8" w14:textId="77777777" w:rsidR="00824A69" w:rsidRPr="00D54C2D" w:rsidRDefault="00824A69" w:rsidP="00A16A7A">
      <w:pPr>
        <w:spacing w:line="240" w:lineRule="auto"/>
        <w:rPr>
          <w:rFonts w:ascii="Arial" w:hAnsi="Arial" w:cs="Arial"/>
          <w:b/>
          <w:bCs/>
          <w:sz w:val="20"/>
          <w:szCs w:val="20"/>
        </w:rPr>
      </w:pPr>
    </w:p>
    <w:p w14:paraId="41021741" w14:textId="77777777" w:rsidR="00824A69" w:rsidRPr="00D54C2D" w:rsidRDefault="00824A69" w:rsidP="00A16A7A">
      <w:pPr>
        <w:spacing w:line="240" w:lineRule="auto"/>
        <w:rPr>
          <w:rFonts w:ascii="Arial" w:hAnsi="Arial" w:cs="Arial"/>
          <w:b/>
          <w:bCs/>
          <w:sz w:val="20"/>
          <w:szCs w:val="20"/>
        </w:rPr>
      </w:pPr>
    </w:p>
    <w:p w14:paraId="12C35443" w14:textId="77777777" w:rsidR="00824A69" w:rsidRPr="00D54C2D" w:rsidRDefault="00824A69" w:rsidP="00A16A7A">
      <w:pPr>
        <w:spacing w:line="240" w:lineRule="auto"/>
        <w:rPr>
          <w:rFonts w:ascii="Arial" w:hAnsi="Arial" w:cs="Arial"/>
          <w:b/>
          <w:bCs/>
          <w:sz w:val="20"/>
          <w:szCs w:val="20"/>
        </w:rPr>
      </w:pPr>
    </w:p>
    <w:sectPr w:rsidR="00824A69" w:rsidRPr="00D54C2D" w:rsidSect="004A20B1">
      <w:headerReference w:type="even" r:id="rId30"/>
      <w:headerReference w:type="default" r:id="rId31"/>
      <w:footerReference w:type="even" r:id="rId32"/>
      <w:footerReference w:type="default" r:id="rId33"/>
      <w:headerReference w:type="first" r:id="rId34"/>
      <w:footerReference w:type="firs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D6370" w14:textId="77777777" w:rsidR="00A223D5" w:rsidRDefault="00A223D5" w:rsidP="00081975">
      <w:pPr>
        <w:spacing w:after="0" w:line="240" w:lineRule="auto"/>
      </w:pPr>
      <w:r>
        <w:separator/>
      </w:r>
    </w:p>
  </w:endnote>
  <w:endnote w:type="continuationSeparator" w:id="0">
    <w:p w14:paraId="62870366" w14:textId="77777777" w:rsidR="00A223D5" w:rsidRDefault="00A223D5" w:rsidP="0008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2FC3" w14:textId="77777777" w:rsidR="004A20B1" w:rsidRDefault="004A2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26881" w14:textId="77777777" w:rsidR="004A20B1" w:rsidRDefault="004A2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FC91" w14:textId="77777777" w:rsidR="004A20B1" w:rsidRDefault="004A2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6191B" w14:textId="77777777" w:rsidR="00A223D5" w:rsidRDefault="00A223D5" w:rsidP="00081975">
      <w:pPr>
        <w:spacing w:after="0" w:line="240" w:lineRule="auto"/>
      </w:pPr>
      <w:r>
        <w:separator/>
      </w:r>
    </w:p>
  </w:footnote>
  <w:footnote w:type="continuationSeparator" w:id="0">
    <w:p w14:paraId="40F4B6BB" w14:textId="77777777" w:rsidR="00A223D5" w:rsidRDefault="00A223D5" w:rsidP="00081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5560" w14:textId="5DC42738" w:rsidR="004A20B1" w:rsidRDefault="004A20B1">
    <w:pPr>
      <w:pStyle w:val="Header"/>
    </w:pPr>
    <w:r>
      <w:rPr>
        <w:noProof/>
      </w:rPr>
      <w:pict w14:anchorId="7B1E8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06235" o:spid="_x0000_s2050" type="#_x0000_t136" style="position:absolute;margin-left:0;margin-top:0;width:641.15pt;height:12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63ED" w14:textId="5A6A96A8" w:rsidR="00824A69" w:rsidRDefault="004A20B1">
    <w:pPr>
      <w:pStyle w:val="Header"/>
      <w:jc w:val="right"/>
    </w:pPr>
    <w:r>
      <w:rPr>
        <w:noProof/>
      </w:rPr>
      <w:pict w14:anchorId="691EB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06236" o:spid="_x0000_s2051" type="#_x0000_t136" style="position:absolute;left:0;text-align:left;margin-left:0;margin-top:0;width:641.15pt;height:12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2096242927"/>
        <w:docPartObj>
          <w:docPartGallery w:val="Page Numbers (Top of Page)"/>
          <w:docPartUnique/>
        </w:docPartObj>
      </w:sdtPr>
      <w:sdtEndPr>
        <w:rPr>
          <w:noProof/>
        </w:rPr>
      </w:sdtEndPr>
      <w:sdtContent>
        <w:r w:rsidR="00824A69">
          <w:fldChar w:fldCharType="begin"/>
        </w:r>
        <w:r w:rsidR="00824A69">
          <w:instrText xml:space="preserve"> PAGE   \* MERGEFORMAT </w:instrText>
        </w:r>
        <w:r w:rsidR="00824A69">
          <w:fldChar w:fldCharType="separate"/>
        </w:r>
        <w:r w:rsidR="00824A69">
          <w:rPr>
            <w:noProof/>
          </w:rPr>
          <w:t>2</w:t>
        </w:r>
        <w:r w:rsidR="00824A69">
          <w:rPr>
            <w:noProof/>
          </w:rPr>
          <w:fldChar w:fldCharType="end"/>
        </w:r>
      </w:sdtContent>
    </w:sdt>
  </w:p>
  <w:p w14:paraId="54397BA2" w14:textId="77777777" w:rsidR="00081975" w:rsidRDefault="00081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CACD" w14:textId="736C6B9B" w:rsidR="004A20B1" w:rsidRDefault="004A20B1">
    <w:pPr>
      <w:pStyle w:val="Header"/>
    </w:pPr>
    <w:r>
      <w:rPr>
        <w:noProof/>
      </w:rPr>
      <w:pict w14:anchorId="1B7BB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06234" o:spid="_x0000_s2049" type="#_x0000_t136" style="position:absolute;margin-left:0;margin-top:0;width:641.15pt;height:12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1D5C"/>
    <w:multiLevelType w:val="hybridMultilevel"/>
    <w:tmpl w:val="CA7A3320"/>
    <w:lvl w:ilvl="0" w:tplc="E0BA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777C5"/>
    <w:multiLevelType w:val="multilevel"/>
    <w:tmpl w:val="25D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B306E"/>
    <w:multiLevelType w:val="hybridMultilevel"/>
    <w:tmpl w:val="E5184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A5B69"/>
    <w:multiLevelType w:val="multilevel"/>
    <w:tmpl w:val="4130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40543"/>
    <w:multiLevelType w:val="multilevel"/>
    <w:tmpl w:val="23F8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07E27"/>
    <w:multiLevelType w:val="hybridMultilevel"/>
    <w:tmpl w:val="C78CC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F033A"/>
    <w:multiLevelType w:val="multilevel"/>
    <w:tmpl w:val="CF46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C140A"/>
    <w:multiLevelType w:val="multilevel"/>
    <w:tmpl w:val="D4A0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E713A"/>
    <w:multiLevelType w:val="multilevel"/>
    <w:tmpl w:val="0B8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8277DF"/>
    <w:multiLevelType w:val="hybridMultilevel"/>
    <w:tmpl w:val="B194F2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1D2E62"/>
    <w:multiLevelType w:val="multilevel"/>
    <w:tmpl w:val="503E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A5322"/>
    <w:multiLevelType w:val="hybridMultilevel"/>
    <w:tmpl w:val="EB9C53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20436"/>
    <w:multiLevelType w:val="hybridMultilevel"/>
    <w:tmpl w:val="7798A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9539EE"/>
    <w:multiLevelType w:val="multilevel"/>
    <w:tmpl w:val="5EC8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7"/>
  </w:num>
  <w:num w:numId="4">
    <w:abstractNumId w:val="11"/>
  </w:num>
  <w:num w:numId="5">
    <w:abstractNumId w:val="9"/>
  </w:num>
  <w:num w:numId="6">
    <w:abstractNumId w:val="2"/>
  </w:num>
  <w:num w:numId="7">
    <w:abstractNumId w:val="10"/>
  </w:num>
  <w:num w:numId="8">
    <w:abstractNumId w:val="8"/>
  </w:num>
  <w:num w:numId="9">
    <w:abstractNumId w:val="4"/>
  </w:num>
  <w:num w:numId="10">
    <w:abstractNumId w:val="13"/>
  </w:num>
  <w:num w:numId="11">
    <w:abstractNumId w:val="6"/>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9B"/>
    <w:rsid w:val="000236CF"/>
    <w:rsid w:val="00040443"/>
    <w:rsid w:val="00081975"/>
    <w:rsid w:val="000B6B2E"/>
    <w:rsid w:val="000E43E5"/>
    <w:rsid w:val="00155085"/>
    <w:rsid w:val="00160062"/>
    <w:rsid w:val="00161DDE"/>
    <w:rsid w:val="0016717A"/>
    <w:rsid w:val="00186358"/>
    <w:rsid w:val="0019362C"/>
    <w:rsid w:val="001C532C"/>
    <w:rsid w:val="001E3330"/>
    <w:rsid w:val="0023244F"/>
    <w:rsid w:val="00275F11"/>
    <w:rsid w:val="002D4172"/>
    <w:rsid w:val="002D5B0A"/>
    <w:rsid w:val="003175F0"/>
    <w:rsid w:val="003213D1"/>
    <w:rsid w:val="0034243B"/>
    <w:rsid w:val="00355DD1"/>
    <w:rsid w:val="00374DB2"/>
    <w:rsid w:val="0037572A"/>
    <w:rsid w:val="0037662E"/>
    <w:rsid w:val="003C3803"/>
    <w:rsid w:val="00404D0E"/>
    <w:rsid w:val="004700E3"/>
    <w:rsid w:val="00474439"/>
    <w:rsid w:val="00495BBE"/>
    <w:rsid w:val="004A20B1"/>
    <w:rsid w:val="004B4C50"/>
    <w:rsid w:val="004B79AB"/>
    <w:rsid w:val="005040DE"/>
    <w:rsid w:val="00514466"/>
    <w:rsid w:val="00523022"/>
    <w:rsid w:val="005411B3"/>
    <w:rsid w:val="005759B8"/>
    <w:rsid w:val="00583A9C"/>
    <w:rsid w:val="005A21F0"/>
    <w:rsid w:val="005C364B"/>
    <w:rsid w:val="005E5418"/>
    <w:rsid w:val="005E639A"/>
    <w:rsid w:val="00602955"/>
    <w:rsid w:val="0065356F"/>
    <w:rsid w:val="006646E8"/>
    <w:rsid w:val="00670424"/>
    <w:rsid w:val="00673FA4"/>
    <w:rsid w:val="00686CE0"/>
    <w:rsid w:val="006A2ECD"/>
    <w:rsid w:val="006C1DA7"/>
    <w:rsid w:val="006D5266"/>
    <w:rsid w:val="007302C1"/>
    <w:rsid w:val="00795687"/>
    <w:rsid w:val="00821452"/>
    <w:rsid w:val="00824A69"/>
    <w:rsid w:val="00844384"/>
    <w:rsid w:val="00864A7A"/>
    <w:rsid w:val="008C28D8"/>
    <w:rsid w:val="00926C81"/>
    <w:rsid w:val="009356E4"/>
    <w:rsid w:val="0094247E"/>
    <w:rsid w:val="00952B4B"/>
    <w:rsid w:val="00953E3E"/>
    <w:rsid w:val="009654CF"/>
    <w:rsid w:val="0097657C"/>
    <w:rsid w:val="00A16A7A"/>
    <w:rsid w:val="00A223D5"/>
    <w:rsid w:val="00A50CF0"/>
    <w:rsid w:val="00A81601"/>
    <w:rsid w:val="00AA4086"/>
    <w:rsid w:val="00AD2C2F"/>
    <w:rsid w:val="00AD3F42"/>
    <w:rsid w:val="00B200F0"/>
    <w:rsid w:val="00BA6A3D"/>
    <w:rsid w:val="00BC369F"/>
    <w:rsid w:val="00BC61C7"/>
    <w:rsid w:val="00C41F98"/>
    <w:rsid w:val="00C454EE"/>
    <w:rsid w:val="00CA1D54"/>
    <w:rsid w:val="00CF42F1"/>
    <w:rsid w:val="00D363DB"/>
    <w:rsid w:val="00D54C2D"/>
    <w:rsid w:val="00DA7A2F"/>
    <w:rsid w:val="00E178C4"/>
    <w:rsid w:val="00E366DA"/>
    <w:rsid w:val="00E467B6"/>
    <w:rsid w:val="00E67C17"/>
    <w:rsid w:val="00E8104D"/>
    <w:rsid w:val="00E8409B"/>
    <w:rsid w:val="00EC72AE"/>
    <w:rsid w:val="00ED6DDF"/>
    <w:rsid w:val="00F2311A"/>
    <w:rsid w:val="00F86357"/>
    <w:rsid w:val="00F931AA"/>
    <w:rsid w:val="00F95180"/>
    <w:rsid w:val="00FA30AC"/>
    <w:rsid w:val="00FD0D49"/>
    <w:rsid w:val="00FD5F3E"/>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3CE8D"/>
  <w15:chartTrackingRefBased/>
  <w15:docId w15:val="{19F90059-972C-4900-B7DA-FD6EE09C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A9C"/>
    <w:pPr>
      <w:ind w:left="720"/>
      <w:contextualSpacing/>
    </w:pPr>
  </w:style>
  <w:style w:type="table" w:styleId="TableGrid">
    <w:name w:val="Table Grid"/>
    <w:basedOn w:val="TableNormal"/>
    <w:uiPriority w:val="59"/>
    <w:rsid w:val="001C532C"/>
    <w:pPr>
      <w:spacing w:after="0" w:line="240" w:lineRule="auto"/>
    </w:pPr>
    <w:rPr>
      <w:kern w:val="0"/>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39A"/>
    <w:rPr>
      <w:color w:val="0563C1" w:themeColor="hyperlink"/>
      <w:u w:val="single"/>
    </w:rPr>
  </w:style>
  <w:style w:type="character" w:styleId="UnresolvedMention">
    <w:name w:val="Unresolved Mention"/>
    <w:basedOn w:val="DefaultParagraphFont"/>
    <w:uiPriority w:val="99"/>
    <w:semiHidden/>
    <w:unhideWhenUsed/>
    <w:rsid w:val="00FD0D49"/>
    <w:rPr>
      <w:color w:val="605E5C"/>
      <w:shd w:val="clear" w:color="auto" w:fill="E1DFDD"/>
    </w:rPr>
  </w:style>
  <w:style w:type="character" w:styleId="Strong">
    <w:name w:val="Strong"/>
    <w:basedOn w:val="DefaultParagraphFont"/>
    <w:uiPriority w:val="22"/>
    <w:qFormat/>
    <w:rsid w:val="0037572A"/>
    <w:rPr>
      <w:b/>
      <w:bCs/>
    </w:rPr>
  </w:style>
  <w:style w:type="paragraph" w:styleId="Header">
    <w:name w:val="header"/>
    <w:basedOn w:val="Normal"/>
    <w:link w:val="HeaderChar"/>
    <w:uiPriority w:val="99"/>
    <w:unhideWhenUsed/>
    <w:rsid w:val="00081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75"/>
  </w:style>
  <w:style w:type="paragraph" w:styleId="Footer">
    <w:name w:val="footer"/>
    <w:basedOn w:val="Normal"/>
    <w:link w:val="FooterChar"/>
    <w:uiPriority w:val="99"/>
    <w:unhideWhenUsed/>
    <w:rsid w:val="00081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75"/>
  </w:style>
  <w:style w:type="character" w:styleId="LineNumber">
    <w:name w:val="line number"/>
    <w:basedOn w:val="DefaultParagraphFont"/>
    <w:uiPriority w:val="99"/>
    <w:semiHidden/>
    <w:unhideWhenUsed/>
    <w:rsid w:val="0015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6639">
      <w:bodyDiv w:val="1"/>
      <w:marLeft w:val="0"/>
      <w:marRight w:val="0"/>
      <w:marTop w:val="0"/>
      <w:marBottom w:val="0"/>
      <w:divBdr>
        <w:top w:val="none" w:sz="0" w:space="0" w:color="auto"/>
        <w:left w:val="none" w:sz="0" w:space="0" w:color="auto"/>
        <w:bottom w:val="none" w:sz="0" w:space="0" w:color="auto"/>
        <w:right w:val="none" w:sz="0" w:space="0" w:color="auto"/>
      </w:divBdr>
    </w:div>
    <w:div w:id="70659852">
      <w:bodyDiv w:val="1"/>
      <w:marLeft w:val="0"/>
      <w:marRight w:val="0"/>
      <w:marTop w:val="0"/>
      <w:marBottom w:val="0"/>
      <w:divBdr>
        <w:top w:val="none" w:sz="0" w:space="0" w:color="auto"/>
        <w:left w:val="none" w:sz="0" w:space="0" w:color="auto"/>
        <w:bottom w:val="none" w:sz="0" w:space="0" w:color="auto"/>
        <w:right w:val="none" w:sz="0" w:space="0" w:color="auto"/>
      </w:divBdr>
    </w:div>
    <w:div w:id="110902040">
      <w:bodyDiv w:val="1"/>
      <w:marLeft w:val="0"/>
      <w:marRight w:val="0"/>
      <w:marTop w:val="0"/>
      <w:marBottom w:val="0"/>
      <w:divBdr>
        <w:top w:val="none" w:sz="0" w:space="0" w:color="auto"/>
        <w:left w:val="none" w:sz="0" w:space="0" w:color="auto"/>
        <w:bottom w:val="none" w:sz="0" w:space="0" w:color="auto"/>
        <w:right w:val="none" w:sz="0" w:space="0" w:color="auto"/>
      </w:divBdr>
    </w:div>
    <w:div w:id="121272289">
      <w:bodyDiv w:val="1"/>
      <w:marLeft w:val="0"/>
      <w:marRight w:val="0"/>
      <w:marTop w:val="0"/>
      <w:marBottom w:val="0"/>
      <w:divBdr>
        <w:top w:val="none" w:sz="0" w:space="0" w:color="auto"/>
        <w:left w:val="none" w:sz="0" w:space="0" w:color="auto"/>
        <w:bottom w:val="none" w:sz="0" w:space="0" w:color="auto"/>
        <w:right w:val="none" w:sz="0" w:space="0" w:color="auto"/>
      </w:divBdr>
    </w:div>
    <w:div w:id="125703188">
      <w:bodyDiv w:val="1"/>
      <w:marLeft w:val="0"/>
      <w:marRight w:val="0"/>
      <w:marTop w:val="0"/>
      <w:marBottom w:val="0"/>
      <w:divBdr>
        <w:top w:val="none" w:sz="0" w:space="0" w:color="auto"/>
        <w:left w:val="none" w:sz="0" w:space="0" w:color="auto"/>
        <w:bottom w:val="none" w:sz="0" w:space="0" w:color="auto"/>
        <w:right w:val="none" w:sz="0" w:space="0" w:color="auto"/>
      </w:divBdr>
    </w:div>
    <w:div w:id="137958927">
      <w:bodyDiv w:val="1"/>
      <w:marLeft w:val="0"/>
      <w:marRight w:val="0"/>
      <w:marTop w:val="0"/>
      <w:marBottom w:val="0"/>
      <w:divBdr>
        <w:top w:val="none" w:sz="0" w:space="0" w:color="auto"/>
        <w:left w:val="none" w:sz="0" w:space="0" w:color="auto"/>
        <w:bottom w:val="none" w:sz="0" w:space="0" w:color="auto"/>
        <w:right w:val="none" w:sz="0" w:space="0" w:color="auto"/>
      </w:divBdr>
      <w:divsChild>
        <w:div w:id="1170833105">
          <w:marLeft w:val="0"/>
          <w:marRight w:val="0"/>
          <w:marTop w:val="0"/>
          <w:marBottom w:val="0"/>
          <w:divBdr>
            <w:top w:val="none" w:sz="0" w:space="0" w:color="auto"/>
            <w:left w:val="none" w:sz="0" w:space="0" w:color="auto"/>
            <w:bottom w:val="none" w:sz="0" w:space="0" w:color="auto"/>
            <w:right w:val="none" w:sz="0" w:space="0" w:color="auto"/>
          </w:divBdr>
        </w:div>
        <w:div w:id="1836603061">
          <w:marLeft w:val="0"/>
          <w:marRight w:val="0"/>
          <w:marTop w:val="0"/>
          <w:marBottom w:val="0"/>
          <w:divBdr>
            <w:top w:val="none" w:sz="0" w:space="0" w:color="auto"/>
            <w:left w:val="none" w:sz="0" w:space="0" w:color="auto"/>
            <w:bottom w:val="none" w:sz="0" w:space="0" w:color="auto"/>
            <w:right w:val="none" w:sz="0" w:space="0" w:color="auto"/>
          </w:divBdr>
          <w:divsChild>
            <w:div w:id="12533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2258">
      <w:bodyDiv w:val="1"/>
      <w:marLeft w:val="0"/>
      <w:marRight w:val="0"/>
      <w:marTop w:val="0"/>
      <w:marBottom w:val="0"/>
      <w:divBdr>
        <w:top w:val="none" w:sz="0" w:space="0" w:color="auto"/>
        <w:left w:val="none" w:sz="0" w:space="0" w:color="auto"/>
        <w:bottom w:val="none" w:sz="0" w:space="0" w:color="auto"/>
        <w:right w:val="none" w:sz="0" w:space="0" w:color="auto"/>
      </w:divBdr>
    </w:div>
    <w:div w:id="200746249">
      <w:bodyDiv w:val="1"/>
      <w:marLeft w:val="0"/>
      <w:marRight w:val="0"/>
      <w:marTop w:val="0"/>
      <w:marBottom w:val="0"/>
      <w:divBdr>
        <w:top w:val="none" w:sz="0" w:space="0" w:color="auto"/>
        <w:left w:val="none" w:sz="0" w:space="0" w:color="auto"/>
        <w:bottom w:val="none" w:sz="0" w:space="0" w:color="auto"/>
        <w:right w:val="none" w:sz="0" w:space="0" w:color="auto"/>
      </w:divBdr>
    </w:div>
    <w:div w:id="212618572">
      <w:bodyDiv w:val="1"/>
      <w:marLeft w:val="0"/>
      <w:marRight w:val="0"/>
      <w:marTop w:val="0"/>
      <w:marBottom w:val="0"/>
      <w:divBdr>
        <w:top w:val="none" w:sz="0" w:space="0" w:color="auto"/>
        <w:left w:val="none" w:sz="0" w:space="0" w:color="auto"/>
        <w:bottom w:val="none" w:sz="0" w:space="0" w:color="auto"/>
        <w:right w:val="none" w:sz="0" w:space="0" w:color="auto"/>
      </w:divBdr>
    </w:div>
    <w:div w:id="249313766">
      <w:bodyDiv w:val="1"/>
      <w:marLeft w:val="0"/>
      <w:marRight w:val="0"/>
      <w:marTop w:val="0"/>
      <w:marBottom w:val="0"/>
      <w:divBdr>
        <w:top w:val="none" w:sz="0" w:space="0" w:color="auto"/>
        <w:left w:val="none" w:sz="0" w:space="0" w:color="auto"/>
        <w:bottom w:val="none" w:sz="0" w:space="0" w:color="auto"/>
        <w:right w:val="none" w:sz="0" w:space="0" w:color="auto"/>
      </w:divBdr>
    </w:div>
    <w:div w:id="347683849">
      <w:bodyDiv w:val="1"/>
      <w:marLeft w:val="0"/>
      <w:marRight w:val="0"/>
      <w:marTop w:val="0"/>
      <w:marBottom w:val="0"/>
      <w:divBdr>
        <w:top w:val="none" w:sz="0" w:space="0" w:color="auto"/>
        <w:left w:val="none" w:sz="0" w:space="0" w:color="auto"/>
        <w:bottom w:val="none" w:sz="0" w:space="0" w:color="auto"/>
        <w:right w:val="none" w:sz="0" w:space="0" w:color="auto"/>
      </w:divBdr>
    </w:div>
    <w:div w:id="366416121">
      <w:bodyDiv w:val="1"/>
      <w:marLeft w:val="0"/>
      <w:marRight w:val="0"/>
      <w:marTop w:val="0"/>
      <w:marBottom w:val="0"/>
      <w:divBdr>
        <w:top w:val="none" w:sz="0" w:space="0" w:color="auto"/>
        <w:left w:val="none" w:sz="0" w:space="0" w:color="auto"/>
        <w:bottom w:val="none" w:sz="0" w:space="0" w:color="auto"/>
        <w:right w:val="none" w:sz="0" w:space="0" w:color="auto"/>
      </w:divBdr>
    </w:div>
    <w:div w:id="421338896">
      <w:bodyDiv w:val="1"/>
      <w:marLeft w:val="0"/>
      <w:marRight w:val="0"/>
      <w:marTop w:val="0"/>
      <w:marBottom w:val="0"/>
      <w:divBdr>
        <w:top w:val="none" w:sz="0" w:space="0" w:color="auto"/>
        <w:left w:val="none" w:sz="0" w:space="0" w:color="auto"/>
        <w:bottom w:val="none" w:sz="0" w:space="0" w:color="auto"/>
        <w:right w:val="none" w:sz="0" w:space="0" w:color="auto"/>
      </w:divBdr>
    </w:div>
    <w:div w:id="437413759">
      <w:bodyDiv w:val="1"/>
      <w:marLeft w:val="0"/>
      <w:marRight w:val="0"/>
      <w:marTop w:val="0"/>
      <w:marBottom w:val="0"/>
      <w:divBdr>
        <w:top w:val="none" w:sz="0" w:space="0" w:color="auto"/>
        <w:left w:val="none" w:sz="0" w:space="0" w:color="auto"/>
        <w:bottom w:val="none" w:sz="0" w:space="0" w:color="auto"/>
        <w:right w:val="none" w:sz="0" w:space="0" w:color="auto"/>
      </w:divBdr>
    </w:div>
    <w:div w:id="526868635">
      <w:bodyDiv w:val="1"/>
      <w:marLeft w:val="0"/>
      <w:marRight w:val="0"/>
      <w:marTop w:val="0"/>
      <w:marBottom w:val="0"/>
      <w:divBdr>
        <w:top w:val="none" w:sz="0" w:space="0" w:color="auto"/>
        <w:left w:val="none" w:sz="0" w:space="0" w:color="auto"/>
        <w:bottom w:val="none" w:sz="0" w:space="0" w:color="auto"/>
        <w:right w:val="none" w:sz="0" w:space="0" w:color="auto"/>
      </w:divBdr>
    </w:div>
    <w:div w:id="601185417">
      <w:bodyDiv w:val="1"/>
      <w:marLeft w:val="0"/>
      <w:marRight w:val="0"/>
      <w:marTop w:val="0"/>
      <w:marBottom w:val="0"/>
      <w:divBdr>
        <w:top w:val="none" w:sz="0" w:space="0" w:color="auto"/>
        <w:left w:val="none" w:sz="0" w:space="0" w:color="auto"/>
        <w:bottom w:val="none" w:sz="0" w:space="0" w:color="auto"/>
        <w:right w:val="none" w:sz="0" w:space="0" w:color="auto"/>
      </w:divBdr>
    </w:div>
    <w:div w:id="756513420">
      <w:bodyDiv w:val="1"/>
      <w:marLeft w:val="0"/>
      <w:marRight w:val="0"/>
      <w:marTop w:val="0"/>
      <w:marBottom w:val="0"/>
      <w:divBdr>
        <w:top w:val="none" w:sz="0" w:space="0" w:color="auto"/>
        <w:left w:val="none" w:sz="0" w:space="0" w:color="auto"/>
        <w:bottom w:val="none" w:sz="0" w:space="0" w:color="auto"/>
        <w:right w:val="none" w:sz="0" w:space="0" w:color="auto"/>
      </w:divBdr>
    </w:div>
    <w:div w:id="763302486">
      <w:bodyDiv w:val="1"/>
      <w:marLeft w:val="0"/>
      <w:marRight w:val="0"/>
      <w:marTop w:val="0"/>
      <w:marBottom w:val="0"/>
      <w:divBdr>
        <w:top w:val="none" w:sz="0" w:space="0" w:color="auto"/>
        <w:left w:val="none" w:sz="0" w:space="0" w:color="auto"/>
        <w:bottom w:val="none" w:sz="0" w:space="0" w:color="auto"/>
        <w:right w:val="none" w:sz="0" w:space="0" w:color="auto"/>
      </w:divBdr>
    </w:div>
    <w:div w:id="776606004">
      <w:bodyDiv w:val="1"/>
      <w:marLeft w:val="0"/>
      <w:marRight w:val="0"/>
      <w:marTop w:val="0"/>
      <w:marBottom w:val="0"/>
      <w:divBdr>
        <w:top w:val="none" w:sz="0" w:space="0" w:color="auto"/>
        <w:left w:val="none" w:sz="0" w:space="0" w:color="auto"/>
        <w:bottom w:val="none" w:sz="0" w:space="0" w:color="auto"/>
        <w:right w:val="none" w:sz="0" w:space="0" w:color="auto"/>
      </w:divBdr>
    </w:div>
    <w:div w:id="886646835">
      <w:bodyDiv w:val="1"/>
      <w:marLeft w:val="0"/>
      <w:marRight w:val="0"/>
      <w:marTop w:val="0"/>
      <w:marBottom w:val="0"/>
      <w:divBdr>
        <w:top w:val="none" w:sz="0" w:space="0" w:color="auto"/>
        <w:left w:val="none" w:sz="0" w:space="0" w:color="auto"/>
        <w:bottom w:val="none" w:sz="0" w:space="0" w:color="auto"/>
        <w:right w:val="none" w:sz="0" w:space="0" w:color="auto"/>
      </w:divBdr>
    </w:div>
    <w:div w:id="892888610">
      <w:bodyDiv w:val="1"/>
      <w:marLeft w:val="0"/>
      <w:marRight w:val="0"/>
      <w:marTop w:val="0"/>
      <w:marBottom w:val="0"/>
      <w:divBdr>
        <w:top w:val="none" w:sz="0" w:space="0" w:color="auto"/>
        <w:left w:val="none" w:sz="0" w:space="0" w:color="auto"/>
        <w:bottom w:val="none" w:sz="0" w:space="0" w:color="auto"/>
        <w:right w:val="none" w:sz="0" w:space="0" w:color="auto"/>
      </w:divBdr>
    </w:div>
    <w:div w:id="945498641">
      <w:bodyDiv w:val="1"/>
      <w:marLeft w:val="0"/>
      <w:marRight w:val="0"/>
      <w:marTop w:val="0"/>
      <w:marBottom w:val="0"/>
      <w:divBdr>
        <w:top w:val="none" w:sz="0" w:space="0" w:color="auto"/>
        <w:left w:val="none" w:sz="0" w:space="0" w:color="auto"/>
        <w:bottom w:val="none" w:sz="0" w:space="0" w:color="auto"/>
        <w:right w:val="none" w:sz="0" w:space="0" w:color="auto"/>
      </w:divBdr>
      <w:divsChild>
        <w:div w:id="3291088">
          <w:marLeft w:val="0"/>
          <w:marRight w:val="0"/>
          <w:marTop w:val="0"/>
          <w:marBottom w:val="0"/>
          <w:divBdr>
            <w:top w:val="none" w:sz="0" w:space="0" w:color="auto"/>
            <w:left w:val="none" w:sz="0" w:space="0" w:color="auto"/>
            <w:bottom w:val="none" w:sz="0" w:space="0" w:color="auto"/>
            <w:right w:val="none" w:sz="0" w:space="0" w:color="auto"/>
          </w:divBdr>
        </w:div>
        <w:div w:id="1232235652">
          <w:marLeft w:val="0"/>
          <w:marRight w:val="0"/>
          <w:marTop w:val="0"/>
          <w:marBottom w:val="0"/>
          <w:divBdr>
            <w:top w:val="none" w:sz="0" w:space="0" w:color="auto"/>
            <w:left w:val="none" w:sz="0" w:space="0" w:color="auto"/>
            <w:bottom w:val="none" w:sz="0" w:space="0" w:color="auto"/>
            <w:right w:val="none" w:sz="0" w:space="0" w:color="auto"/>
          </w:divBdr>
          <w:divsChild>
            <w:div w:id="12146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37691">
      <w:bodyDiv w:val="1"/>
      <w:marLeft w:val="0"/>
      <w:marRight w:val="0"/>
      <w:marTop w:val="0"/>
      <w:marBottom w:val="0"/>
      <w:divBdr>
        <w:top w:val="none" w:sz="0" w:space="0" w:color="auto"/>
        <w:left w:val="none" w:sz="0" w:space="0" w:color="auto"/>
        <w:bottom w:val="none" w:sz="0" w:space="0" w:color="auto"/>
        <w:right w:val="none" w:sz="0" w:space="0" w:color="auto"/>
      </w:divBdr>
    </w:div>
    <w:div w:id="1029571900">
      <w:bodyDiv w:val="1"/>
      <w:marLeft w:val="0"/>
      <w:marRight w:val="0"/>
      <w:marTop w:val="0"/>
      <w:marBottom w:val="0"/>
      <w:divBdr>
        <w:top w:val="none" w:sz="0" w:space="0" w:color="auto"/>
        <w:left w:val="none" w:sz="0" w:space="0" w:color="auto"/>
        <w:bottom w:val="none" w:sz="0" w:space="0" w:color="auto"/>
        <w:right w:val="none" w:sz="0" w:space="0" w:color="auto"/>
      </w:divBdr>
    </w:div>
    <w:div w:id="1143542726">
      <w:bodyDiv w:val="1"/>
      <w:marLeft w:val="0"/>
      <w:marRight w:val="0"/>
      <w:marTop w:val="0"/>
      <w:marBottom w:val="0"/>
      <w:divBdr>
        <w:top w:val="none" w:sz="0" w:space="0" w:color="auto"/>
        <w:left w:val="none" w:sz="0" w:space="0" w:color="auto"/>
        <w:bottom w:val="none" w:sz="0" w:space="0" w:color="auto"/>
        <w:right w:val="none" w:sz="0" w:space="0" w:color="auto"/>
      </w:divBdr>
    </w:div>
    <w:div w:id="1200119589">
      <w:bodyDiv w:val="1"/>
      <w:marLeft w:val="0"/>
      <w:marRight w:val="0"/>
      <w:marTop w:val="0"/>
      <w:marBottom w:val="0"/>
      <w:divBdr>
        <w:top w:val="none" w:sz="0" w:space="0" w:color="auto"/>
        <w:left w:val="none" w:sz="0" w:space="0" w:color="auto"/>
        <w:bottom w:val="none" w:sz="0" w:space="0" w:color="auto"/>
        <w:right w:val="none" w:sz="0" w:space="0" w:color="auto"/>
      </w:divBdr>
    </w:div>
    <w:div w:id="1204367048">
      <w:bodyDiv w:val="1"/>
      <w:marLeft w:val="0"/>
      <w:marRight w:val="0"/>
      <w:marTop w:val="0"/>
      <w:marBottom w:val="0"/>
      <w:divBdr>
        <w:top w:val="none" w:sz="0" w:space="0" w:color="auto"/>
        <w:left w:val="none" w:sz="0" w:space="0" w:color="auto"/>
        <w:bottom w:val="none" w:sz="0" w:space="0" w:color="auto"/>
        <w:right w:val="none" w:sz="0" w:space="0" w:color="auto"/>
      </w:divBdr>
    </w:div>
    <w:div w:id="1205215940">
      <w:bodyDiv w:val="1"/>
      <w:marLeft w:val="0"/>
      <w:marRight w:val="0"/>
      <w:marTop w:val="0"/>
      <w:marBottom w:val="0"/>
      <w:divBdr>
        <w:top w:val="none" w:sz="0" w:space="0" w:color="auto"/>
        <w:left w:val="none" w:sz="0" w:space="0" w:color="auto"/>
        <w:bottom w:val="none" w:sz="0" w:space="0" w:color="auto"/>
        <w:right w:val="none" w:sz="0" w:space="0" w:color="auto"/>
      </w:divBdr>
    </w:div>
    <w:div w:id="1266425107">
      <w:bodyDiv w:val="1"/>
      <w:marLeft w:val="0"/>
      <w:marRight w:val="0"/>
      <w:marTop w:val="0"/>
      <w:marBottom w:val="0"/>
      <w:divBdr>
        <w:top w:val="none" w:sz="0" w:space="0" w:color="auto"/>
        <w:left w:val="none" w:sz="0" w:space="0" w:color="auto"/>
        <w:bottom w:val="none" w:sz="0" w:space="0" w:color="auto"/>
        <w:right w:val="none" w:sz="0" w:space="0" w:color="auto"/>
      </w:divBdr>
    </w:div>
    <w:div w:id="1332023092">
      <w:bodyDiv w:val="1"/>
      <w:marLeft w:val="0"/>
      <w:marRight w:val="0"/>
      <w:marTop w:val="0"/>
      <w:marBottom w:val="0"/>
      <w:divBdr>
        <w:top w:val="none" w:sz="0" w:space="0" w:color="auto"/>
        <w:left w:val="none" w:sz="0" w:space="0" w:color="auto"/>
        <w:bottom w:val="none" w:sz="0" w:space="0" w:color="auto"/>
        <w:right w:val="none" w:sz="0" w:space="0" w:color="auto"/>
      </w:divBdr>
    </w:div>
    <w:div w:id="1434782377">
      <w:bodyDiv w:val="1"/>
      <w:marLeft w:val="0"/>
      <w:marRight w:val="0"/>
      <w:marTop w:val="0"/>
      <w:marBottom w:val="0"/>
      <w:divBdr>
        <w:top w:val="none" w:sz="0" w:space="0" w:color="auto"/>
        <w:left w:val="none" w:sz="0" w:space="0" w:color="auto"/>
        <w:bottom w:val="none" w:sz="0" w:space="0" w:color="auto"/>
        <w:right w:val="none" w:sz="0" w:space="0" w:color="auto"/>
      </w:divBdr>
    </w:div>
    <w:div w:id="1457527417">
      <w:bodyDiv w:val="1"/>
      <w:marLeft w:val="0"/>
      <w:marRight w:val="0"/>
      <w:marTop w:val="0"/>
      <w:marBottom w:val="0"/>
      <w:divBdr>
        <w:top w:val="none" w:sz="0" w:space="0" w:color="auto"/>
        <w:left w:val="none" w:sz="0" w:space="0" w:color="auto"/>
        <w:bottom w:val="none" w:sz="0" w:space="0" w:color="auto"/>
        <w:right w:val="none" w:sz="0" w:space="0" w:color="auto"/>
      </w:divBdr>
    </w:div>
    <w:div w:id="1466579067">
      <w:bodyDiv w:val="1"/>
      <w:marLeft w:val="0"/>
      <w:marRight w:val="0"/>
      <w:marTop w:val="0"/>
      <w:marBottom w:val="0"/>
      <w:divBdr>
        <w:top w:val="none" w:sz="0" w:space="0" w:color="auto"/>
        <w:left w:val="none" w:sz="0" w:space="0" w:color="auto"/>
        <w:bottom w:val="none" w:sz="0" w:space="0" w:color="auto"/>
        <w:right w:val="none" w:sz="0" w:space="0" w:color="auto"/>
      </w:divBdr>
      <w:divsChild>
        <w:div w:id="51582763">
          <w:marLeft w:val="0"/>
          <w:marRight w:val="0"/>
          <w:marTop w:val="0"/>
          <w:marBottom w:val="0"/>
          <w:divBdr>
            <w:top w:val="none" w:sz="0" w:space="0" w:color="auto"/>
            <w:left w:val="none" w:sz="0" w:space="0" w:color="auto"/>
            <w:bottom w:val="none" w:sz="0" w:space="0" w:color="auto"/>
            <w:right w:val="none" w:sz="0" w:space="0" w:color="auto"/>
          </w:divBdr>
        </w:div>
        <w:div w:id="898858722">
          <w:marLeft w:val="0"/>
          <w:marRight w:val="0"/>
          <w:marTop w:val="0"/>
          <w:marBottom w:val="0"/>
          <w:divBdr>
            <w:top w:val="none" w:sz="0" w:space="0" w:color="auto"/>
            <w:left w:val="none" w:sz="0" w:space="0" w:color="auto"/>
            <w:bottom w:val="none" w:sz="0" w:space="0" w:color="auto"/>
            <w:right w:val="none" w:sz="0" w:space="0" w:color="auto"/>
          </w:divBdr>
          <w:divsChild>
            <w:div w:id="17626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50498">
      <w:bodyDiv w:val="1"/>
      <w:marLeft w:val="0"/>
      <w:marRight w:val="0"/>
      <w:marTop w:val="0"/>
      <w:marBottom w:val="0"/>
      <w:divBdr>
        <w:top w:val="none" w:sz="0" w:space="0" w:color="auto"/>
        <w:left w:val="none" w:sz="0" w:space="0" w:color="auto"/>
        <w:bottom w:val="none" w:sz="0" w:space="0" w:color="auto"/>
        <w:right w:val="none" w:sz="0" w:space="0" w:color="auto"/>
      </w:divBdr>
      <w:divsChild>
        <w:div w:id="395977195">
          <w:marLeft w:val="0"/>
          <w:marRight w:val="0"/>
          <w:marTop w:val="0"/>
          <w:marBottom w:val="0"/>
          <w:divBdr>
            <w:top w:val="none" w:sz="0" w:space="0" w:color="auto"/>
            <w:left w:val="none" w:sz="0" w:space="0" w:color="auto"/>
            <w:bottom w:val="none" w:sz="0" w:space="0" w:color="auto"/>
            <w:right w:val="none" w:sz="0" w:space="0" w:color="auto"/>
          </w:divBdr>
        </w:div>
        <w:div w:id="1500657410">
          <w:marLeft w:val="0"/>
          <w:marRight w:val="0"/>
          <w:marTop w:val="0"/>
          <w:marBottom w:val="0"/>
          <w:divBdr>
            <w:top w:val="none" w:sz="0" w:space="0" w:color="auto"/>
            <w:left w:val="none" w:sz="0" w:space="0" w:color="auto"/>
            <w:bottom w:val="none" w:sz="0" w:space="0" w:color="auto"/>
            <w:right w:val="none" w:sz="0" w:space="0" w:color="auto"/>
          </w:divBdr>
        </w:div>
      </w:divsChild>
    </w:div>
    <w:div w:id="1498425227">
      <w:bodyDiv w:val="1"/>
      <w:marLeft w:val="0"/>
      <w:marRight w:val="0"/>
      <w:marTop w:val="0"/>
      <w:marBottom w:val="0"/>
      <w:divBdr>
        <w:top w:val="none" w:sz="0" w:space="0" w:color="auto"/>
        <w:left w:val="none" w:sz="0" w:space="0" w:color="auto"/>
        <w:bottom w:val="none" w:sz="0" w:space="0" w:color="auto"/>
        <w:right w:val="none" w:sz="0" w:space="0" w:color="auto"/>
      </w:divBdr>
    </w:div>
    <w:div w:id="1606689783">
      <w:bodyDiv w:val="1"/>
      <w:marLeft w:val="0"/>
      <w:marRight w:val="0"/>
      <w:marTop w:val="0"/>
      <w:marBottom w:val="0"/>
      <w:divBdr>
        <w:top w:val="none" w:sz="0" w:space="0" w:color="auto"/>
        <w:left w:val="none" w:sz="0" w:space="0" w:color="auto"/>
        <w:bottom w:val="none" w:sz="0" w:space="0" w:color="auto"/>
        <w:right w:val="none" w:sz="0" w:space="0" w:color="auto"/>
      </w:divBdr>
      <w:divsChild>
        <w:div w:id="1221942651">
          <w:marLeft w:val="0"/>
          <w:marRight w:val="0"/>
          <w:marTop w:val="0"/>
          <w:marBottom w:val="0"/>
          <w:divBdr>
            <w:top w:val="none" w:sz="0" w:space="0" w:color="auto"/>
            <w:left w:val="none" w:sz="0" w:space="0" w:color="auto"/>
            <w:bottom w:val="none" w:sz="0" w:space="0" w:color="auto"/>
            <w:right w:val="none" w:sz="0" w:space="0" w:color="auto"/>
          </w:divBdr>
        </w:div>
        <w:div w:id="1545558158">
          <w:marLeft w:val="0"/>
          <w:marRight w:val="0"/>
          <w:marTop w:val="0"/>
          <w:marBottom w:val="0"/>
          <w:divBdr>
            <w:top w:val="none" w:sz="0" w:space="0" w:color="auto"/>
            <w:left w:val="none" w:sz="0" w:space="0" w:color="auto"/>
            <w:bottom w:val="none" w:sz="0" w:space="0" w:color="auto"/>
            <w:right w:val="none" w:sz="0" w:space="0" w:color="auto"/>
          </w:divBdr>
          <w:divsChild>
            <w:div w:id="14387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1683">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766489034">
      <w:bodyDiv w:val="1"/>
      <w:marLeft w:val="0"/>
      <w:marRight w:val="0"/>
      <w:marTop w:val="0"/>
      <w:marBottom w:val="0"/>
      <w:divBdr>
        <w:top w:val="none" w:sz="0" w:space="0" w:color="auto"/>
        <w:left w:val="none" w:sz="0" w:space="0" w:color="auto"/>
        <w:bottom w:val="none" w:sz="0" w:space="0" w:color="auto"/>
        <w:right w:val="none" w:sz="0" w:space="0" w:color="auto"/>
      </w:divBdr>
    </w:div>
    <w:div w:id="1768425005">
      <w:bodyDiv w:val="1"/>
      <w:marLeft w:val="0"/>
      <w:marRight w:val="0"/>
      <w:marTop w:val="0"/>
      <w:marBottom w:val="0"/>
      <w:divBdr>
        <w:top w:val="none" w:sz="0" w:space="0" w:color="auto"/>
        <w:left w:val="none" w:sz="0" w:space="0" w:color="auto"/>
        <w:bottom w:val="none" w:sz="0" w:space="0" w:color="auto"/>
        <w:right w:val="none" w:sz="0" w:space="0" w:color="auto"/>
      </w:divBdr>
    </w:div>
    <w:div w:id="1771857130">
      <w:bodyDiv w:val="1"/>
      <w:marLeft w:val="0"/>
      <w:marRight w:val="0"/>
      <w:marTop w:val="0"/>
      <w:marBottom w:val="0"/>
      <w:divBdr>
        <w:top w:val="none" w:sz="0" w:space="0" w:color="auto"/>
        <w:left w:val="none" w:sz="0" w:space="0" w:color="auto"/>
        <w:bottom w:val="none" w:sz="0" w:space="0" w:color="auto"/>
        <w:right w:val="none" w:sz="0" w:space="0" w:color="auto"/>
      </w:divBdr>
    </w:div>
    <w:div w:id="1861627123">
      <w:bodyDiv w:val="1"/>
      <w:marLeft w:val="0"/>
      <w:marRight w:val="0"/>
      <w:marTop w:val="0"/>
      <w:marBottom w:val="0"/>
      <w:divBdr>
        <w:top w:val="none" w:sz="0" w:space="0" w:color="auto"/>
        <w:left w:val="none" w:sz="0" w:space="0" w:color="auto"/>
        <w:bottom w:val="none" w:sz="0" w:space="0" w:color="auto"/>
        <w:right w:val="none" w:sz="0" w:space="0" w:color="auto"/>
      </w:divBdr>
    </w:div>
    <w:div w:id="1861822566">
      <w:bodyDiv w:val="1"/>
      <w:marLeft w:val="0"/>
      <w:marRight w:val="0"/>
      <w:marTop w:val="0"/>
      <w:marBottom w:val="0"/>
      <w:divBdr>
        <w:top w:val="none" w:sz="0" w:space="0" w:color="auto"/>
        <w:left w:val="none" w:sz="0" w:space="0" w:color="auto"/>
        <w:bottom w:val="none" w:sz="0" w:space="0" w:color="auto"/>
        <w:right w:val="none" w:sz="0" w:space="0" w:color="auto"/>
      </w:divBdr>
    </w:div>
    <w:div w:id="1919359150">
      <w:bodyDiv w:val="1"/>
      <w:marLeft w:val="0"/>
      <w:marRight w:val="0"/>
      <w:marTop w:val="0"/>
      <w:marBottom w:val="0"/>
      <w:divBdr>
        <w:top w:val="none" w:sz="0" w:space="0" w:color="auto"/>
        <w:left w:val="none" w:sz="0" w:space="0" w:color="auto"/>
        <w:bottom w:val="none" w:sz="0" w:space="0" w:color="auto"/>
        <w:right w:val="none" w:sz="0" w:space="0" w:color="auto"/>
      </w:divBdr>
    </w:div>
    <w:div w:id="2005622412">
      <w:bodyDiv w:val="1"/>
      <w:marLeft w:val="0"/>
      <w:marRight w:val="0"/>
      <w:marTop w:val="0"/>
      <w:marBottom w:val="0"/>
      <w:divBdr>
        <w:top w:val="none" w:sz="0" w:space="0" w:color="auto"/>
        <w:left w:val="none" w:sz="0" w:space="0" w:color="auto"/>
        <w:bottom w:val="none" w:sz="0" w:space="0" w:color="auto"/>
        <w:right w:val="none" w:sz="0" w:space="0" w:color="auto"/>
      </w:divBdr>
      <w:divsChild>
        <w:div w:id="1165783681">
          <w:marLeft w:val="0"/>
          <w:marRight w:val="0"/>
          <w:marTop w:val="0"/>
          <w:marBottom w:val="0"/>
          <w:divBdr>
            <w:top w:val="none" w:sz="0" w:space="0" w:color="auto"/>
            <w:left w:val="none" w:sz="0" w:space="0" w:color="auto"/>
            <w:bottom w:val="none" w:sz="0" w:space="0" w:color="auto"/>
            <w:right w:val="none" w:sz="0" w:space="0" w:color="auto"/>
          </w:divBdr>
        </w:div>
        <w:div w:id="1684282223">
          <w:marLeft w:val="0"/>
          <w:marRight w:val="0"/>
          <w:marTop w:val="0"/>
          <w:marBottom w:val="0"/>
          <w:divBdr>
            <w:top w:val="none" w:sz="0" w:space="0" w:color="auto"/>
            <w:left w:val="none" w:sz="0" w:space="0" w:color="auto"/>
            <w:bottom w:val="none" w:sz="0" w:space="0" w:color="auto"/>
            <w:right w:val="none" w:sz="0" w:space="0" w:color="auto"/>
          </w:divBdr>
        </w:div>
      </w:divsChild>
    </w:div>
    <w:div w:id="2033460604">
      <w:bodyDiv w:val="1"/>
      <w:marLeft w:val="0"/>
      <w:marRight w:val="0"/>
      <w:marTop w:val="0"/>
      <w:marBottom w:val="0"/>
      <w:divBdr>
        <w:top w:val="none" w:sz="0" w:space="0" w:color="auto"/>
        <w:left w:val="none" w:sz="0" w:space="0" w:color="auto"/>
        <w:bottom w:val="none" w:sz="0" w:space="0" w:color="auto"/>
        <w:right w:val="none" w:sz="0" w:space="0" w:color="auto"/>
      </w:divBdr>
    </w:div>
    <w:div w:id="2057657258">
      <w:bodyDiv w:val="1"/>
      <w:marLeft w:val="0"/>
      <w:marRight w:val="0"/>
      <w:marTop w:val="0"/>
      <w:marBottom w:val="0"/>
      <w:divBdr>
        <w:top w:val="none" w:sz="0" w:space="0" w:color="auto"/>
        <w:left w:val="none" w:sz="0" w:space="0" w:color="auto"/>
        <w:bottom w:val="none" w:sz="0" w:space="0" w:color="auto"/>
        <w:right w:val="none" w:sz="0" w:space="0" w:color="auto"/>
      </w:divBdr>
    </w:div>
    <w:div w:id="20819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321/2348.2141.201803" TargetMode="External"/><Relationship Id="rId18" Type="http://schemas.openxmlformats.org/officeDocument/2006/relationships/hyperlink" Target="http://dx.doi.org/10.1055/s-0042-1759522" TargetMode="External"/><Relationship Id="rId26" Type="http://schemas.openxmlformats.org/officeDocument/2006/relationships/hyperlink" Target="http://dx.doi.org/10.9734/jpri/2021/v33i50A33379" TargetMode="External"/><Relationship Id="rId21" Type="http://schemas.openxmlformats.org/officeDocument/2006/relationships/hyperlink" Target="https://doi.org/10.7759/cureus.27943"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89/fendo.2022.985588" TargetMode="External"/><Relationship Id="rId17" Type="http://schemas.openxmlformats.org/officeDocument/2006/relationships/hyperlink" Target="https://doi.org/10.18203/2320-6012.ijrms20223644" TargetMode="External"/><Relationship Id="rId25" Type="http://schemas.openxmlformats.org/officeDocument/2006/relationships/hyperlink" Target="https://doi.org/10.54393/pjhs.v4i05.70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8203/2394-6040.ijcmph20232054" TargetMode="External"/><Relationship Id="rId20" Type="http://schemas.openxmlformats.org/officeDocument/2006/relationships/hyperlink" Target="http://dx.doi.org/10.19080/JGWH.2021.21.556069" TargetMode="External"/><Relationship Id="rId29" Type="http://schemas.openxmlformats.org/officeDocument/2006/relationships/hyperlink" Target="https://doi.org/10.5430/jnep.v6n10p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321/2455.9318.202025" TargetMode="External"/><Relationship Id="rId24" Type="http://schemas.openxmlformats.org/officeDocument/2006/relationships/hyperlink" Target="https://doi.org/10.29063/ajrh2022%2Fv26i1.1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8502/sjms.v17i2.11455" TargetMode="External"/><Relationship Id="rId23" Type="http://schemas.openxmlformats.org/officeDocument/2006/relationships/hyperlink" Target="https://doi.org/10.3390/ijerph20054018" TargetMode="External"/><Relationship Id="rId28" Type="http://schemas.openxmlformats.org/officeDocument/2006/relationships/hyperlink" Target="https://doi.org/10.5958/2454-2660.2018.00087.X" TargetMode="External"/><Relationship Id="rId36" Type="http://schemas.openxmlformats.org/officeDocument/2006/relationships/fontTable" Target="fontTable.xml"/><Relationship Id="rId10" Type="http://schemas.openxmlformats.org/officeDocument/2006/relationships/hyperlink" Target="https://doi.org/10.1016/j.heliyon.2022.e11010" TargetMode="External"/><Relationship Id="rId19" Type="http://schemas.openxmlformats.org/officeDocument/2006/relationships/hyperlink" Target="http://dx.doi.org/10.47750/pnr.2022.13.S04.29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8203/2320-6012.ijrms20174960" TargetMode="External"/><Relationship Id="rId22" Type="http://schemas.openxmlformats.org/officeDocument/2006/relationships/hyperlink" Target="https://doi.org/10.1186/s12905-023-02318-y" TargetMode="External"/><Relationship Id="rId27" Type="http://schemas.openxmlformats.org/officeDocument/2006/relationships/hyperlink" Target="https://doi.org/10.37506/ijone.v12i4.1125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883401415980405"/>
          <c:y val="5.1400489366399293E-2"/>
          <c:w val="0.85301159230096235"/>
          <c:h val="0.80484179060950711"/>
        </c:manualLayout>
      </c:layout>
      <c:bar3DChart>
        <c:barDir val="col"/>
        <c:grouping val="clustered"/>
        <c:varyColors val="0"/>
        <c:ser>
          <c:idx val="0"/>
          <c:order val="0"/>
          <c:spPr>
            <a:solidFill>
              <a:srgbClr val="F79646">
                <a:lumMod val="75000"/>
              </a:srgbClr>
            </a:solidFill>
          </c:spPr>
          <c:invertIfNegative val="0"/>
          <c:dLbls>
            <c:dLbl>
              <c:idx val="0"/>
              <c:layout>
                <c:manualLayout>
                  <c:x val="8.3333333333333332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70-4E53-97E6-8D451CDDE5FD}"/>
                </c:ext>
              </c:extLst>
            </c:dLbl>
            <c:dLbl>
              <c:idx val="1"/>
              <c:layout>
                <c:manualLayout>
                  <c:x val="1.666666666666666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70-4E53-97E6-8D451CDDE5FD}"/>
                </c:ext>
              </c:extLst>
            </c:dLbl>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Sheet1!$A$148:$A$149</c:f>
              <c:strCache>
                <c:ptCount val="2"/>
                <c:pt idx="0">
                  <c:v>Pre -Test</c:v>
                </c:pt>
                <c:pt idx="1">
                  <c:v>Post -Test</c:v>
                </c:pt>
              </c:strCache>
            </c:strRef>
          </c:cat>
          <c:val>
            <c:numRef>
              <c:f>Sheet1!$B$148:$B$149</c:f>
              <c:numCache>
                <c:formatCode>General</c:formatCode>
                <c:ptCount val="2"/>
                <c:pt idx="0">
                  <c:v>7.16</c:v>
                </c:pt>
                <c:pt idx="1">
                  <c:v>14.63</c:v>
                </c:pt>
              </c:numCache>
            </c:numRef>
          </c:val>
          <c:extLst>
            <c:ext xmlns:c16="http://schemas.microsoft.com/office/drawing/2014/chart" uri="{C3380CC4-5D6E-409C-BE32-E72D297353CC}">
              <c16:uniqueId val="{00000002-DD70-4E53-97E6-8D451CDDE5FD}"/>
            </c:ext>
          </c:extLst>
        </c:ser>
        <c:dLbls>
          <c:showLegendKey val="0"/>
          <c:showVal val="0"/>
          <c:showCatName val="0"/>
          <c:showSerName val="0"/>
          <c:showPercent val="0"/>
          <c:showBubbleSize val="0"/>
        </c:dLbls>
        <c:gapWidth val="110"/>
        <c:shape val="cylinder"/>
        <c:axId val="294343040"/>
        <c:axId val="294344576"/>
        <c:axId val="0"/>
      </c:bar3DChart>
      <c:catAx>
        <c:axId val="294343040"/>
        <c:scaling>
          <c:orientation val="minMax"/>
        </c:scaling>
        <c:delete val="0"/>
        <c:axPos val="b"/>
        <c:numFmt formatCode="General" sourceLinked="0"/>
        <c:majorTickMark val="out"/>
        <c:minorTickMark val="none"/>
        <c:tickLblPos val="nextTo"/>
        <c:txPr>
          <a:bodyPr/>
          <a:lstStyle/>
          <a:p>
            <a:pPr>
              <a:defRPr sz="1400" b="1"/>
            </a:pPr>
            <a:endParaRPr lang="en-US"/>
          </a:p>
        </c:txPr>
        <c:crossAx val="294344576"/>
        <c:crosses val="autoZero"/>
        <c:auto val="1"/>
        <c:lblAlgn val="ctr"/>
        <c:lblOffset val="100"/>
        <c:noMultiLvlLbl val="0"/>
      </c:catAx>
      <c:valAx>
        <c:axId val="294344576"/>
        <c:scaling>
          <c:orientation val="minMax"/>
        </c:scaling>
        <c:delete val="0"/>
        <c:axPos val="l"/>
        <c:title>
          <c:tx>
            <c:rich>
              <a:bodyPr rot="-5400000" vert="horz"/>
              <a:lstStyle/>
              <a:p>
                <a:pPr>
                  <a:defRPr sz="1200"/>
                </a:pPr>
                <a:r>
                  <a:rPr lang="en-IN" sz="1200"/>
                  <a:t>Mean</a:t>
                </a:r>
                <a:r>
                  <a:rPr lang="en-IN" sz="1200" baseline="0"/>
                  <a:t> knowledge score</a:t>
                </a:r>
                <a:endParaRPr lang="en-IN" sz="1200"/>
              </a:p>
            </c:rich>
          </c:tx>
          <c:layout>
            <c:manualLayout>
              <c:xMode val="edge"/>
              <c:yMode val="edge"/>
              <c:x val="1.447957748736905E-2"/>
              <c:y val="0.29841697207203938"/>
            </c:manualLayout>
          </c:layout>
          <c:overlay val="0"/>
        </c:title>
        <c:numFmt formatCode="General" sourceLinked="1"/>
        <c:majorTickMark val="out"/>
        <c:minorTickMark val="none"/>
        <c:tickLblPos val="nextTo"/>
        <c:txPr>
          <a:bodyPr/>
          <a:lstStyle/>
          <a:p>
            <a:pPr>
              <a:defRPr sz="1100" b="1"/>
            </a:pPr>
            <a:endParaRPr lang="en-US"/>
          </a:p>
        </c:txPr>
        <c:crossAx val="29434304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243101239401748"/>
          <c:y val="5.1400554097404488E-2"/>
          <c:w val="0.85879802501835356"/>
          <c:h val="0.46664260717410322"/>
        </c:manualLayout>
      </c:layout>
      <c:bar3DChart>
        <c:barDir val="col"/>
        <c:grouping val="clustered"/>
        <c:varyColors val="0"/>
        <c:ser>
          <c:idx val="0"/>
          <c:order val="0"/>
          <c:tx>
            <c:strRef>
              <c:f>Sheet1!$B$165</c:f>
              <c:strCache>
                <c:ptCount val="1"/>
                <c:pt idx="0">
                  <c:v>Pre-Test</c:v>
                </c:pt>
              </c:strCache>
            </c:strRef>
          </c:tx>
          <c:spPr>
            <a:solidFill>
              <a:srgbClr val="FF000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Sheet1!$A$166:$A$171</c:f>
              <c:strCache>
                <c:ptCount val="6"/>
                <c:pt idx="0">
                  <c:v>Anatomy &amp; physiology </c:v>
                </c:pt>
                <c:pt idx="1">
                  <c:v>Risk factors and causes </c:v>
                </c:pt>
                <c:pt idx="2">
                  <c:v>Clinical manifestations </c:v>
                </c:pt>
                <c:pt idx="3">
                  <c:v>Management </c:v>
                </c:pt>
                <c:pt idx="4">
                  <c:v>Prevention &amp; complications  </c:v>
                </c:pt>
                <c:pt idx="5">
                  <c:v>General aspects </c:v>
                </c:pt>
              </c:strCache>
            </c:strRef>
          </c:cat>
          <c:val>
            <c:numRef>
              <c:f>Sheet1!$B$166:$B$171</c:f>
              <c:numCache>
                <c:formatCode>General</c:formatCode>
                <c:ptCount val="6"/>
                <c:pt idx="0">
                  <c:v>1.62</c:v>
                </c:pt>
                <c:pt idx="1">
                  <c:v>0.85</c:v>
                </c:pt>
                <c:pt idx="2">
                  <c:v>1.02</c:v>
                </c:pt>
                <c:pt idx="3">
                  <c:v>1.65</c:v>
                </c:pt>
                <c:pt idx="4">
                  <c:v>0.98</c:v>
                </c:pt>
                <c:pt idx="5">
                  <c:v>1.01</c:v>
                </c:pt>
              </c:numCache>
            </c:numRef>
          </c:val>
          <c:extLst>
            <c:ext xmlns:c16="http://schemas.microsoft.com/office/drawing/2014/chart" uri="{C3380CC4-5D6E-409C-BE32-E72D297353CC}">
              <c16:uniqueId val="{00000000-2F60-4D33-BA3F-7EAEC4ACF212}"/>
            </c:ext>
          </c:extLst>
        </c:ser>
        <c:ser>
          <c:idx val="1"/>
          <c:order val="1"/>
          <c:tx>
            <c:strRef>
              <c:f>Sheet1!$C$165</c:f>
              <c:strCache>
                <c:ptCount val="1"/>
                <c:pt idx="0">
                  <c:v>Post-Test</c:v>
                </c:pt>
              </c:strCache>
            </c:strRef>
          </c:tx>
          <c:spPr>
            <a:solidFill>
              <a:srgbClr val="00B0F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Sheet1!$A$166:$A$171</c:f>
              <c:strCache>
                <c:ptCount val="6"/>
                <c:pt idx="0">
                  <c:v>Anatomy &amp; physiology </c:v>
                </c:pt>
                <c:pt idx="1">
                  <c:v>Risk factors and causes </c:v>
                </c:pt>
                <c:pt idx="2">
                  <c:v>Clinical manifestations </c:v>
                </c:pt>
                <c:pt idx="3">
                  <c:v>Management </c:v>
                </c:pt>
                <c:pt idx="4">
                  <c:v>Prevention &amp; complications  </c:v>
                </c:pt>
                <c:pt idx="5">
                  <c:v>General aspects </c:v>
                </c:pt>
              </c:strCache>
            </c:strRef>
          </c:cat>
          <c:val>
            <c:numRef>
              <c:f>Sheet1!$C$166:$C$171</c:f>
              <c:numCache>
                <c:formatCode>General</c:formatCode>
                <c:ptCount val="6"/>
                <c:pt idx="0">
                  <c:v>3.12</c:v>
                </c:pt>
                <c:pt idx="1">
                  <c:v>1.61</c:v>
                </c:pt>
                <c:pt idx="2">
                  <c:v>1.82</c:v>
                </c:pt>
                <c:pt idx="3">
                  <c:v>3.52</c:v>
                </c:pt>
                <c:pt idx="4">
                  <c:v>2.2999999999999998</c:v>
                </c:pt>
                <c:pt idx="5">
                  <c:v>2.2599999999999998</c:v>
                </c:pt>
              </c:numCache>
            </c:numRef>
          </c:val>
          <c:extLst>
            <c:ext xmlns:c16="http://schemas.microsoft.com/office/drawing/2014/chart" uri="{C3380CC4-5D6E-409C-BE32-E72D297353CC}">
              <c16:uniqueId val="{00000001-2F60-4D33-BA3F-7EAEC4ACF212}"/>
            </c:ext>
          </c:extLst>
        </c:ser>
        <c:dLbls>
          <c:showLegendKey val="0"/>
          <c:showVal val="0"/>
          <c:showCatName val="0"/>
          <c:showSerName val="0"/>
          <c:showPercent val="0"/>
          <c:showBubbleSize val="0"/>
        </c:dLbls>
        <c:gapWidth val="150"/>
        <c:shape val="box"/>
        <c:axId val="314981760"/>
        <c:axId val="315012224"/>
        <c:axId val="0"/>
      </c:bar3DChart>
      <c:catAx>
        <c:axId val="314981760"/>
        <c:scaling>
          <c:orientation val="minMax"/>
        </c:scaling>
        <c:delete val="0"/>
        <c:axPos val="b"/>
        <c:numFmt formatCode="General" sourceLinked="0"/>
        <c:majorTickMark val="out"/>
        <c:minorTickMark val="none"/>
        <c:tickLblPos val="nextTo"/>
        <c:txPr>
          <a:bodyPr/>
          <a:lstStyle/>
          <a:p>
            <a:pPr>
              <a:defRPr sz="1000" b="1"/>
            </a:pPr>
            <a:endParaRPr lang="en-US"/>
          </a:p>
        </c:txPr>
        <c:crossAx val="315012224"/>
        <c:crosses val="autoZero"/>
        <c:auto val="1"/>
        <c:lblAlgn val="ctr"/>
        <c:lblOffset val="100"/>
        <c:noMultiLvlLbl val="0"/>
      </c:catAx>
      <c:valAx>
        <c:axId val="315012224"/>
        <c:scaling>
          <c:orientation val="minMax"/>
        </c:scaling>
        <c:delete val="0"/>
        <c:axPos val="l"/>
        <c:numFmt formatCode="General" sourceLinked="1"/>
        <c:majorTickMark val="out"/>
        <c:minorTickMark val="none"/>
        <c:tickLblPos val="nextTo"/>
        <c:txPr>
          <a:bodyPr/>
          <a:lstStyle/>
          <a:p>
            <a:pPr>
              <a:defRPr sz="1050" b="1"/>
            </a:pPr>
            <a:endParaRPr lang="en-US"/>
          </a:p>
        </c:txPr>
        <c:crossAx val="314981760"/>
        <c:crosses val="autoZero"/>
        <c:crossBetween val="between"/>
      </c:valAx>
    </c:plotArea>
    <c:legend>
      <c:legendPos val="r"/>
      <c:layout>
        <c:manualLayout>
          <c:xMode val="edge"/>
          <c:yMode val="edge"/>
          <c:x val="0.80296241874430996"/>
          <c:y val="4.245771361913093E-3"/>
          <c:w val="0.1954356619499345"/>
          <c:h val="0.13965660542432196"/>
        </c:manualLayout>
      </c:layout>
      <c:overlay val="0"/>
      <c:txPr>
        <a:bodyPr/>
        <a:lstStyle/>
        <a:p>
          <a:pPr>
            <a:defRPr sz="12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9F5B-BE25-4604-8C84-04677978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13</Pages>
  <Words>4330</Words>
  <Characters>24684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 Das</dc:creator>
  <cp:keywords/>
  <dc:description/>
  <cp:lastModifiedBy>SDI 1084</cp:lastModifiedBy>
  <cp:revision>79</cp:revision>
  <dcterms:created xsi:type="dcterms:W3CDTF">2025-01-01T20:17:00Z</dcterms:created>
  <dcterms:modified xsi:type="dcterms:W3CDTF">2025-02-25T10:32:00Z</dcterms:modified>
</cp:coreProperties>
</file>