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AFCFA" w14:textId="2FECF7AF" w:rsidR="00A47300" w:rsidRDefault="00A47300" w:rsidP="00C4099B">
      <w:pPr>
        <w:spacing w:line="240" w:lineRule="auto"/>
        <w:jc w:val="center"/>
        <w:rPr>
          <w:rFonts w:ascii="Arial Rounded MT Bold" w:hAnsi="Arial Rounded MT Bold"/>
          <w:b/>
          <w:bCs/>
        </w:rPr>
      </w:pPr>
      <w:r w:rsidRPr="00A47300">
        <w:rPr>
          <w:rFonts w:ascii="Arial Rounded MT Bold" w:hAnsi="Arial Rounded MT Bold"/>
          <w:b/>
          <w:bCs/>
        </w:rPr>
        <w:t>Original Research Article</w:t>
      </w:r>
    </w:p>
    <w:p w14:paraId="3C43D81B" w14:textId="77777777" w:rsidR="00A47300" w:rsidRDefault="00A47300" w:rsidP="00C4099B">
      <w:pPr>
        <w:spacing w:line="240" w:lineRule="auto"/>
        <w:jc w:val="center"/>
        <w:rPr>
          <w:rFonts w:ascii="Arial Rounded MT Bold" w:hAnsi="Arial Rounded MT Bold"/>
          <w:b/>
          <w:bCs/>
        </w:rPr>
      </w:pPr>
    </w:p>
    <w:p w14:paraId="383F01FC" w14:textId="4037EB1F" w:rsidR="00876FA9" w:rsidRDefault="00C04D7B" w:rsidP="00C4099B">
      <w:pPr>
        <w:spacing w:line="240" w:lineRule="auto"/>
        <w:jc w:val="center"/>
        <w:rPr>
          <w:rFonts w:ascii="Arial Rounded MT Bold" w:hAnsi="Arial Rounded MT Bold"/>
          <w:b/>
          <w:bCs/>
        </w:rPr>
      </w:pPr>
      <w:r w:rsidRPr="00C04D7B">
        <w:rPr>
          <w:rFonts w:ascii="Arial Rounded MT Bold" w:hAnsi="Arial Rounded MT Bold"/>
          <w:b/>
          <w:bCs/>
        </w:rPr>
        <w:t>Effects of motorized tillage on soil physico-chemical properties in the Senegal River valley</w:t>
      </w:r>
    </w:p>
    <w:p w14:paraId="7204FE7A" w14:textId="77777777" w:rsidR="003375AF" w:rsidRPr="00C04D7B" w:rsidRDefault="003375AF" w:rsidP="00C4099B">
      <w:pPr>
        <w:spacing w:line="240" w:lineRule="auto"/>
        <w:jc w:val="center"/>
        <w:rPr>
          <w:rFonts w:ascii="Arial Rounded MT Bold" w:hAnsi="Arial Rounded MT Bold"/>
          <w:b/>
          <w:bCs/>
        </w:rPr>
      </w:pPr>
    </w:p>
    <w:p w14:paraId="08717BA7" w14:textId="7A3F4FC1" w:rsidR="002B6DC8" w:rsidRPr="002B6DC8" w:rsidRDefault="002B6DC8" w:rsidP="002B6DC8">
      <w:pPr>
        <w:spacing w:line="240" w:lineRule="auto"/>
        <w:jc w:val="center"/>
        <w:rPr>
          <w:rFonts w:ascii="Arial Rounded MT Bold" w:hAnsi="Arial Rounded MT Bold"/>
          <w:bCs/>
          <w:vertAlign w:val="superscript"/>
        </w:rPr>
      </w:pPr>
      <w:r w:rsidRPr="003F0E8E">
        <w:rPr>
          <w:rFonts w:ascii="Arial Rounded MT Bold" w:hAnsi="Arial Rounded MT Bold"/>
          <w:bCs/>
        </w:rPr>
        <w:t xml:space="preserve"> </w:t>
      </w:r>
    </w:p>
    <w:p w14:paraId="1C4B89DF" w14:textId="77777777" w:rsidR="002B6DC8" w:rsidRDefault="002B6DC8" w:rsidP="00C4099B">
      <w:pPr>
        <w:spacing w:line="240" w:lineRule="auto"/>
        <w:jc w:val="center"/>
        <w:rPr>
          <w:rFonts w:ascii="Arial Rounded MT Bold" w:hAnsi="Arial Rounded MT Bold"/>
          <w:bCs/>
        </w:rPr>
      </w:pPr>
    </w:p>
    <w:p w14:paraId="770FA074" w14:textId="581391BA" w:rsidR="00C4099B" w:rsidRPr="004F5660" w:rsidRDefault="00C4099B" w:rsidP="00C4099B">
      <w:pPr>
        <w:spacing w:line="240" w:lineRule="auto"/>
        <w:jc w:val="both"/>
        <w:rPr>
          <w:rFonts w:ascii="Arial" w:hAnsi="Arial" w:cs="Arial"/>
          <w:b/>
          <w:iCs/>
        </w:rPr>
      </w:pPr>
      <w:r w:rsidRPr="004F5660">
        <w:rPr>
          <w:rFonts w:ascii="Arial" w:hAnsi="Arial" w:cs="Arial"/>
          <w:b/>
          <w:iCs/>
          <w:lang w:val="en-US"/>
        </w:rPr>
        <w:t>ABSTRACT</w:t>
      </w:r>
    </w:p>
    <w:p w14:paraId="20D0C640" w14:textId="02E39DBD" w:rsidR="003307BD" w:rsidRPr="004F5660" w:rsidRDefault="003307BD" w:rsidP="00C4099B">
      <w:pPr>
        <w:spacing w:line="240" w:lineRule="auto"/>
        <w:jc w:val="both"/>
        <w:rPr>
          <w:rFonts w:ascii="Arial" w:hAnsi="Arial" w:cs="Arial"/>
          <w:bCs/>
          <w:iCs/>
          <w:sz w:val="20"/>
          <w:szCs w:val="20"/>
        </w:rPr>
      </w:pPr>
      <w:r w:rsidRPr="004F5660">
        <w:rPr>
          <w:rFonts w:ascii="Arial" w:hAnsi="Arial" w:cs="Arial"/>
          <w:bCs/>
          <w:iCs/>
          <w:sz w:val="20"/>
          <w:szCs w:val="20"/>
        </w:rPr>
        <w:t>In Senegal, one of the major problems facing agriculture is the pronounced loss of soil fertility due, among other things, to the combined effects of sustained exploitation, poor soil management and a lack of mastery of agricultural machinery operating techniques and conditions. The aim of this study is to contribute to a better understanding of the effects of motorized tillage on the soil. To this end, the first step was to optimize the tractor-tool linkage by means of 3 adjustment workshops. Subsequently, a complete block experimental set-up with a single factor, motorized tillage, was set up for 2 successive years. This work was carried out in 2 modes: minimum tillage and conventional tillage. Soil samples were taken from each plot before tillage and after harvest at the 0-30 cm horizon for physical and chemical analysis. The results show that the soils at the 2 sites have a clayey texture. Structural stability varied significantly from one year to the next (p&lt;2e-16). The Lab 40 treatment at the Lampsar site, with a value of around 6.3, showed the highest stability.  Soil bulk density varied significantly (p&lt;2e-16) from site to site and from year to year. The Off10 treatment in the second year at the Lampsar site, with a value of around 1.7 g/cm3, had the highest density. This could explain the high penetration resistance observed on the same treatment (1180 N). Organic matter (OM), CEC and C/N ratio varied significantly from year to year and site to site (p&lt;0.05). pH remained more or less the same, always below 7.</w:t>
      </w:r>
    </w:p>
    <w:p w14:paraId="1849D7D5" w14:textId="6F1C5559" w:rsidR="00D6078C" w:rsidRPr="00D6078C" w:rsidRDefault="00D6078C" w:rsidP="00D6078C">
      <w:pPr>
        <w:spacing w:line="240" w:lineRule="auto"/>
        <w:jc w:val="both"/>
        <w:rPr>
          <w:rFonts w:ascii="Arial" w:hAnsi="Arial" w:cs="Arial"/>
          <w:bCs/>
          <w:i/>
          <w:sz w:val="20"/>
          <w:szCs w:val="20"/>
          <w:lang w:val="en-US"/>
        </w:rPr>
      </w:pPr>
      <w:r w:rsidRPr="004F5660">
        <w:rPr>
          <w:rFonts w:ascii="Arial" w:hAnsi="Arial" w:cs="Arial"/>
          <w:i/>
          <w:sz w:val="20"/>
          <w:szCs w:val="20"/>
          <w:lang w:val="en-US"/>
        </w:rPr>
        <w:t>Keywords</w:t>
      </w:r>
      <w:r w:rsidRPr="00D6078C">
        <w:rPr>
          <w:rFonts w:ascii="Arial" w:hAnsi="Arial" w:cs="Arial"/>
          <w:b/>
          <w:bCs/>
          <w:i/>
          <w:sz w:val="20"/>
          <w:szCs w:val="20"/>
          <w:lang w:val="en-US"/>
        </w:rPr>
        <w:t xml:space="preserve">: </w:t>
      </w:r>
      <w:r w:rsidRPr="00D6078C">
        <w:rPr>
          <w:rFonts w:ascii="Arial" w:hAnsi="Arial" w:cs="Arial"/>
          <w:bCs/>
          <w:i/>
          <w:sz w:val="20"/>
          <w:szCs w:val="20"/>
          <w:lang w:val="en-US"/>
        </w:rPr>
        <w:t>motorized tillage, bulk density, penetration resistance, organic matter, soil</w:t>
      </w:r>
    </w:p>
    <w:p w14:paraId="2CC4E31F" w14:textId="19103AA2" w:rsidR="00D6078C" w:rsidRPr="004F5660" w:rsidRDefault="00D6078C" w:rsidP="009C5367">
      <w:pPr>
        <w:pStyle w:val="ListParagraph"/>
        <w:numPr>
          <w:ilvl w:val="0"/>
          <w:numId w:val="1"/>
        </w:numPr>
        <w:spacing w:line="240" w:lineRule="auto"/>
        <w:rPr>
          <w:rFonts w:ascii="Arial" w:hAnsi="Arial" w:cs="Arial"/>
          <w:b/>
          <w:iCs/>
        </w:rPr>
      </w:pPr>
      <w:r w:rsidRPr="004F5660">
        <w:rPr>
          <w:rFonts w:ascii="Arial" w:hAnsi="Arial" w:cs="Arial"/>
          <w:b/>
          <w:iCs/>
        </w:rPr>
        <w:t>INTRODUCTION</w:t>
      </w:r>
    </w:p>
    <w:p w14:paraId="00D289A1" w14:textId="77777777" w:rsidR="004F5660" w:rsidRPr="004F5660" w:rsidRDefault="004F5660" w:rsidP="004F5660">
      <w:pPr>
        <w:spacing w:line="240" w:lineRule="auto"/>
        <w:jc w:val="both"/>
        <w:rPr>
          <w:rFonts w:ascii="Arial" w:hAnsi="Arial" w:cs="Arial"/>
          <w:bCs/>
          <w:iCs/>
          <w:sz w:val="20"/>
          <w:szCs w:val="20"/>
        </w:rPr>
      </w:pPr>
      <w:r w:rsidRPr="004F5660">
        <w:rPr>
          <w:rFonts w:ascii="Arial" w:hAnsi="Arial" w:cs="Arial"/>
          <w:bCs/>
          <w:iCs/>
          <w:sz w:val="20"/>
          <w:szCs w:val="20"/>
        </w:rPr>
        <w:t xml:space="preserve">Agriculture is a key sector for Africa's development despite yields that remain well below potential and only 56% of the international average (FAO, 2019). In Senegal, agriculture occupies an important place in the country's development strategy; in 2020, rice production was 1,156,307 tonnes on a sown area of 315,217 hectares with a yield of 3,668 kg.ha-1 (ANSD, 2020).  This production only covers 30% of local consumption needs, estimated at 90 kg/capita/year, and therefore remains insufficient (GRDR, 2015). With a view to increasing agricultural production, several programs have been rolled out, including the Programme d'accélération de la cadence de l'agriculture sénégalaise (PRACAS), whose objective was to boost rice production to 1,080,000 tonnes by 2017, based on the development of irrigated areas and agricultural motorization at a total cost of over 123 million euros (SECK, 2014). Performance has been encouraging, particularly in terms of rice production, with an increase in agricultural GDP of 9.1% (ANSD, 2020). Despite sustained dynamism, the agricultural sector is encountering difficulties linked, among other things, to a lack of modernization in the production system, particularly in terms of farm mechanization.  </w:t>
      </w:r>
    </w:p>
    <w:p w14:paraId="14A6689B" w14:textId="77777777" w:rsidR="00072CE3" w:rsidRDefault="004F5660" w:rsidP="004F5660">
      <w:pPr>
        <w:spacing w:line="240" w:lineRule="auto"/>
        <w:jc w:val="both"/>
        <w:rPr>
          <w:rFonts w:ascii="Arial" w:hAnsi="Arial" w:cs="Arial"/>
          <w:bCs/>
          <w:iCs/>
          <w:sz w:val="20"/>
          <w:szCs w:val="20"/>
        </w:rPr>
        <w:sectPr w:rsidR="00072CE3" w:rsidSect="00E47146">
          <w:headerReference w:type="even" r:id="rId8"/>
          <w:headerReference w:type="default" r:id="rId9"/>
          <w:footerReference w:type="even" r:id="rId10"/>
          <w:footerReference w:type="default" r:id="rId11"/>
          <w:headerReference w:type="first" r:id="rId12"/>
          <w:footerReference w:type="first" r:id="rId13"/>
          <w:pgSz w:w="12240" w:h="15840"/>
          <w:pgMar w:top="1417" w:right="1417" w:bottom="1417" w:left="1417" w:header="708" w:footer="708" w:gutter="0"/>
          <w:cols w:space="708"/>
          <w:docGrid w:linePitch="360"/>
        </w:sectPr>
      </w:pPr>
      <w:r w:rsidRPr="004F5660">
        <w:rPr>
          <w:rFonts w:ascii="Arial" w:hAnsi="Arial" w:cs="Arial"/>
          <w:bCs/>
          <w:iCs/>
          <w:sz w:val="20"/>
          <w:szCs w:val="20"/>
        </w:rPr>
        <w:t>The adoption of motorized agricultural machinery is not without consequences for soil conservation. The intensification of farming coupled with the emergence and use of increasingly heavy machinery is accentuating the effects of agricultural soil degradation. The motorization of rice production has led to increased erosion and land degradation, threatening the sustainability of the production system (AMARA, 2007). The causes of land degradation due to the adoption of motorization are multiple and can be attributed to the non-conformity of equipment, the lack of control over the use of these motorized tools and associated techniques on the soil, and the effect of these machines on soil properties (Sarr, 2013</w:t>
      </w:r>
      <w:r>
        <w:rPr>
          <w:rFonts w:ascii="Arial" w:hAnsi="Arial" w:cs="Arial"/>
          <w:bCs/>
          <w:iCs/>
          <w:sz w:val="20"/>
          <w:szCs w:val="20"/>
        </w:rPr>
        <w:t xml:space="preserve"> </w:t>
      </w:r>
      <w:r w:rsidRPr="004F5660">
        <w:rPr>
          <w:rFonts w:ascii="Arial" w:hAnsi="Arial" w:cs="Arial"/>
          <w:bCs/>
          <w:iCs/>
          <w:sz w:val="20"/>
          <w:szCs w:val="20"/>
        </w:rPr>
        <w:t>; Ndiaye, 2021).</w:t>
      </w:r>
      <w:r>
        <w:rPr>
          <w:rFonts w:ascii="Arial" w:hAnsi="Arial" w:cs="Arial"/>
          <w:bCs/>
          <w:iCs/>
          <w:sz w:val="20"/>
          <w:szCs w:val="20"/>
        </w:rPr>
        <w:t xml:space="preserve"> </w:t>
      </w:r>
      <w:r w:rsidRPr="004F5660">
        <w:rPr>
          <w:rFonts w:ascii="Arial" w:hAnsi="Arial" w:cs="Arial"/>
          <w:bCs/>
          <w:iCs/>
          <w:sz w:val="20"/>
          <w:szCs w:val="20"/>
        </w:rPr>
        <w:t>Motorized ploughing is commonly practiced on arable plots to increase the size of fields and crop yields,</w:t>
      </w:r>
    </w:p>
    <w:p w14:paraId="3A3C1F4B" w14:textId="4F07B20A" w:rsidR="004F5660" w:rsidRDefault="004F5660" w:rsidP="004F5660">
      <w:pPr>
        <w:spacing w:line="240" w:lineRule="auto"/>
        <w:jc w:val="both"/>
        <w:rPr>
          <w:rFonts w:ascii="Arial" w:hAnsi="Arial" w:cs="Arial"/>
          <w:bCs/>
          <w:iCs/>
          <w:sz w:val="20"/>
          <w:szCs w:val="20"/>
        </w:rPr>
      </w:pPr>
      <w:r w:rsidRPr="004F5660">
        <w:rPr>
          <w:rFonts w:ascii="Arial" w:hAnsi="Arial" w:cs="Arial"/>
          <w:bCs/>
          <w:iCs/>
          <w:sz w:val="20"/>
          <w:szCs w:val="20"/>
        </w:rPr>
        <w:lastRenderedPageBreak/>
        <w:t>despite the adverse consequences on soil quality and, ultimately, production (Dahou et al., 2018). However, reasoned motorization in line with agroecological practices appears to be a sustainable alternative to reduce not only the drudgery of tillage but also the soil degradation that ensues (Sarr, 2013). It should be noted that, since independence, Senegal has been implementing policies, plans and programs aimed at improving performance with, in particular, agricultural mechanization, which could help reduce food imports (Sarr, 2013).</w:t>
      </w:r>
      <w:r w:rsidRPr="004F5660">
        <w:t xml:space="preserve"> </w:t>
      </w:r>
      <w:r w:rsidRPr="004F5660">
        <w:rPr>
          <w:rFonts w:ascii="Arial" w:hAnsi="Arial" w:cs="Arial"/>
          <w:bCs/>
          <w:iCs/>
          <w:sz w:val="20"/>
          <w:szCs w:val="20"/>
        </w:rPr>
        <w:t xml:space="preserve">The effects of motorized rice cultivation on soil quality in the Senegal River valley remain poorly understood. This is the background to the present study, which aims to contribute to a better understanding of the effects of machinery use on soil physical properties. </w:t>
      </w:r>
      <w:r>
        <w:rPr>
          <w:rFonts w:ascii="Arial" w:hAnsi="Arial" w:cs="Arial"/>
          <w:bCs/>
          <w:iCs/>
          <w:sz w:val="20"/>
          <w:szCs w:val="20"/>
        </w:rPr>
        <w:t xml:space="preserve"> </w:t>
      </w:r>
    </w:p>
    <w:p w14:paraId="084E9253" w14:textId="7F57EA26" w:rsidR="004F5660" w:rsidRPr="004F5660" w:rsidRDefault="004F5660" w:rsidP="009C5367">
      <w:pPr>
        <w:pStyle w:val="ListParagraph"/>
        <w:numPr>
          <w:ilvl w:val="0"/>
          <w:numId w:val="1"/>
        </w:numPr>
        <w:spacing w:line="240" w:lineRule="auto"/>
        <w:rPr>
          <w:rFonts w:ascii="Arial" w:hAnsi="Arial" w:cs="Arial"/>
          <w:b/>
          <w:iCs/>
        </w:rPr>
      </w:pPr>
      <w:r w:rsidRPr="004F5660">
        <w:rPr>
          <w:rFonts w:ascii="Arial" w:hAnsi="Arial" w:cs="Arial"/>
          <w:b/>
          <w:iCs/>
          <w:lang w:val="en-US"/>
        </w:rPr>
        <w:t>MATERIAL AND METHODS</w:t>
      </w:r>
    </w:p>
    <w:p w14:paraId="2F89664D" w14:textId="37D44A13" w:rsidR="004F5660" w:rsidRPr="009C5367" w:rsidRDefault="009C5367" w:rsidP="009C5367">
      <w:pPr>
        <w:pStyle w:val="ListParagraph"/>
        <w:numPr>
          <w:ilvl w:val="1"/>
          <w:numId w:val="1"/>
        </w:numPr>
        <w:spacing w:line="240" w:lineRule="auto"/>
        <w:rPr>
          <w:rFonts w:ascii="Arial" w:hAnsi="Arial" w:cs="Arial"/>
          <w:b/>
          <w:iCs/>
        </w:rPr>
      </w:pPr>
      <w:r w:rsidRPr="009C5367">
        <w:rPr>
          <w:rFonts w:ascii="Arial" w:hAnsi="Arial" w:cs="Arial"/>
          <w:b/>
          <w:iCs/>
        </w:rPr>
        <w:t>Presentation of the study area</w:t>
      </w:r>
    </w:p>
    <w:p w14:paraId="391DBB80" w14:textId="163D9ACC" w:rsidR="004F5660" w:rsidRDefault="009C5367" w:rsidP="004F5660">
      <w:pPr>
        <w:spacing w:line="240" w:lineRule="auto"/>
        <w:jc w:val="both"/>
        <w:rPr>
          <w:rFonts w:ascii="Arial" w:hAnsi="Arial" w:cs="Arial"/>
          <w:bCs/>
          <w:iCs/>
          <w:sz w:val="20"/>
          <w:szCs w:val="20"/>
        </w:rPr>
      </w:pPr>
      <w:r w:rsidRPr="009C5367">
        <w:rPr>
          <w:rFonts w:ascii="Arial" w:hAnsi="Arial" w:cs="Arial"/>
          <w:bCs/>
          <w:iCs/>
          <w:sz w:val="20"/>
          <w:szCs w:val="20"/>
        </w:rPr>
        <w:t>The study was carried out at two sites</w:t>
      </w:r>
      <w:r>
        <w:rPr>
          <w:rFonts w:ascii="Arial" w:hAnsi="Arial" w:cs="Arial"/>
          <w:bCs/>
          <w:iCs/>
          <w:sz w:val="20"/>
          <w:szCs w:val="20"/>
        </w:rPr>
        <w:t xml:space="preserve"> </w:t>
      </w:r>
      <w:r w:rsidRPr="009C5367">
        <w:rPr>
          <w:rFonts w:ascii="Arial" w:hAnsi="Arial" w:cs="Arial"/>
          <w:bCs/>
          <w:iCs/>
          <w:sz w:val="20"/>
          <w:szCs w:val="20"/>
        </w:rPr>
        <w:t>: Lampsar and Ndiaye mberess, located in the Senegal River valley, Dagana department, Saint-Louis region, in an area characterized by hydro-agricultural developments with an irrigated rice-growing system</w:t>
      </w:r>
      <w:r>
        <w:rPr>
          <w:rFonts w:ascii="Arial" w:hAnsi="Arial" w:cs="Arial"/>
          <w:bCs/>
          <w:iCs/>
          <w:sz w:val="20"/>
          <w:szCs w:val="20"/>
        </w:rPr>
        <w:t xml:space="preserve"> (figure 1)</w:t>
      </w:r>
      <w:r w:rsidRPr="009C5367">
        <w:rPr>
          <w:rFonts w:ascii="Arial" w:hAnsi="Arial" w:cs="Arial"/>
          <w:bCs/>
          <w:iCs/>
          <w:sz w:val="20"/>
          <w:szCs w:val="20"/>
        </w:rPr>
        <w:t>.</w:t>
      </w:r>
    </w:p>
    <w:p w14:paraId="1D530D9A" w14:textId="085BA130" w:rsidR="009C5367" w:rsidRPr="004F5660" w:rsidRDefault="009C5367" w:rsidP="009C5367">
      <w:pPr>
        <w:spacing w:line="240" w:lineRule="auto"/>
        <w:jc w:val="center"/>
        <w:rPr>
          <w:rFonts w:ascii="Arial" w:hAnsi="Arial" w:cs="Arial"/>
          <w:bCs/>
          <w:iCs/>
          <w:sz w:val="20"/>
          <w:szCs w:val="20"/>
        </w:rPr>
      </w:pPr>
      <w:r>
        <w:rPr>
          <w:noProof/>
        </w:rPr>
        <w:drawing>
          <wp:inline distT="0" distB="0" distL="0" distR="0" wp14:anchorId="3E4350C1" wp14:editId="6A50D78E">
            <wp:extent cx="3829050" cy="2066925"/>
            <wp:effectExtent l="0" t="0" r="0" b="9525"/>
            <wp:docPr id="457147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4712" name=""/>
                    <pic:cNvPicPr/>
                  </pic:nvPicPr>
                  <pic:blipFill>
                    <a:blip r:embed="rId14"/>
                    <a:stretch>
                      <a:fillRect/>
                    </a:stretch>
                  </pic:blipFill>
                  <pic:spPr>
                    <a:xfrm>
                      <a:off x="0" y="0"/>
                      <a:ext cx="3829050" cy="2066925"/>
                    </a:xfrm>
                    <a:prstGeom prst="rect">
                      <a:avLst/>
                    </a:prstGeom>
                  </pic:spPr>
                </pic:pic>
              </a:graphicData>
            </a:graphic>
          </wp:inline>
        </w:drawing>
      </w:r>
    </w:p>
    <w:p w14:paraId="617F14DB" w14:textId="2CB53FAF" w:rsidR="004F5660" w:rsidRPr="00476DC8" w:rsidRDefault="009C5367" w:rsidP="009C5367">
      <w:pPr>
        <w:spacing w:line="240" w:lineRule="auto"/>
        <w:jc w:val="center"/>
        <w:rPr>
          <w:rFonts w:ascii="Arial" w:hAnsi="Arial" w:cs="Arial"/>
          <w:b/>
          <w:iCs/>
          <w:sz w:val="20"/>
          <w:szCs w:val="20"/>
        </w:rPr>
      </w:pPr>
      <w:r w:rsidRPr="00476DC8">
        <w:rPr>
          <w:rFonts w:ascii="Arial" w:hAnsi="Arial" w:cs="Arial"/>
          <w:b/>
          <w:iCs/>
          <w:sz w:val="20"/>
          <w:szCs w:val="20"/>
        </w:rPr>
        <w:t>Figure1. Map of the experimental area</w:t>
      </w:r>
    </w:p>
    <w:p w14:paraId="247BDF58" w14:textId="3A6A58D3" w:rsidR="009C5367" w:rsidRDefault="009C5367" w:rsidP="00BF247D">
      <w:pPr>
        <w:spacing w:line="240" w:lineRule="auto"/>
        <w:jc w:val="both"/>
        <w:rPr>
          <w:rFonts w:ascii="Arial" w:hAnsi="Arial" w:cs="Arial"/>
          <w:bCs/>
          <w:iCs/>
          <w:sz w:val="20"/>
          <w:szCs w:val="20"/>
        </w:rPr>
      </w:pPr>
      <w:r w:rsidRPr="009C5367">
        <w:rPr>
          <w:rFonts w:ascii="Arial" w:hAnsi="Arial" w:cs="Arial"/>
          <w:bCs/>
          <w:iCs/>
          <w:sz w:val="20"/>
          <w:szCs w:val="20"/>
        </w:rPr>
        <w:t xml:space="preserve">The soils at the sites are eutric fluvisols, brown or founded (figure </w:t>
      </w:r>
      <w:r>
        <w:rPr>
          <w:rFonts w:ascii="Arial" w:hAnsi="Arial" w:cs="Arial"/>
          <w:bCs/>
          <w:iCs/>
          <w:sz w:val="20"/>
          <w:szCs w:val="20"/>
        </w:rPr>
        <w:t>2</w:t>
      </w:r>
      <w:r w:rsidRPr="009C5367">
        <w:rPr>
          <w:rFonts w:ascii="Arial" w:hAnsi="Arial" w:cs="Arial"/>
          <w:bCs/>
          <w:iCs/>
          <w:sz w:val="20"/>
          <w:szCs w:val="20"/>
        </w:rPr>
        <w:t>).</w:t>
      </w:r>
    </w:p>
    <w:p w14:paraId="048B3A3C" w14:textId="5E70B27A" w:rsidR="009C5367" w:rsidRDefault="009C5367" w:rsidP="009C5367">
      <w:pPr>
        <w:spacing w:line="240" w:lineRule="auto"/>
        <w:jc w:val="center"/>
        <w:rPr>
          <w:rFonts w:ascii="Arial" w:hAnsi="Arial" w:cs="Arial"/>
          <w:bCs/>
          <w:iCs/>
          <w:sz w:val="20"/>
          <w:szCs w:val="20"/>
        </w:rPr>
      </w:pPr>
      <w:r>
        <w:rPr>
          <w:noProof/>
        </w:rPr>
        <w:drawing>
          <wp:inline distT="0" distB="0" distL="0" distR="0" wp14:anchorId="597D5A41" wp14:editId="3836BE0D">
            <wp:extent cx="3248025" cy="2828925"/>
            <wp:effectExtent l="0" t="0" r="9525" b="9525"/>
            <wp:docPr id="19517014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01450" name=""/>
                    <pic:cNvPicPr/>
                  </pic:nvPicPr>
                  <pic:blipFill>
                    <a:blip r:embed="rId15"/>
                    <a:stretch>
                      <a:fillRect/>
                    </a:stretch>
                  </pic:blipFill>
                  <pic:spPr>
                    <a:xfrm>
                      <a:off x="0" y="0"/>
                      <a:ext cx="3248025" cy="2828925"/>
                    </a:xfrm>
                    <a:prstGeom prst="rect">
                      <a:avLst/>
                    </a:prstGeom>
                  </pic:spPr>
                </pic:pic>
              </a:graphicData>
            </a:graphic>
          </wp:inline>
        </w:drawing>
      </w:r>
    </w:p>
    <w:p w14:paraId="46C30213" w14:textId="52A3C83C" w:rsidR="009C5367" w:rsidRPr="00476DC8" w:rsidRDefault="009C5367" w:rsidP="009C5367">
      <w:pPr>
        <w:spacing w:line="240" w:lineRule="auto"/>
        <w:jc w:val="center"/>
        <w:rPr>
          <w:rFonts w:ascii="Arial" w:hAnsi="Arial" w:cs="Arial"/>
          <w:b/>
          <w:iCs/>
          <w:sz w:val="20"/>
          <w:szCs w:val="20"/>
        </w:rPr>
      </w:pPr>
      <w:r w:rsidRPr="00476DC8">
        <w:rPr>
          <w:rFonts w:ascii="Arial" w:hAnsi="Arial" w:cs="Arial"/>
          <w:b/>
          <w:iCs/>
          <w:sz w:val="20"/>
          <w:szCs w:val="20"/>
        </w:rPr>
        <w:t>Figure 2. Map showing location of experimental sites by soil type</w:t>
      </w:r>
    </w:p>
    <w:p w14:paraId="378BA760" w14:textId="259FA507" w:rsidR="009C5367" w:rsidRDefault="009C5367" w:rsidP="009C5367">
      <w:pPr>
        <w:pStyle w:val="ListParagraph"/>
        <w:numPr>
          <w:ilvl w:val="1"/>
          <w:numId w:val="1"/>
        </w:numPr>
        <w:spacing w:line="240" w:lineRule="auto"/>
        <w:rPr>
          <w:rFonts w:ascii="Arial" w:hAnsi="Arial" w:cs="Arial"/>
          <w:b/>
          <w:iCs/>
        </w:rPr>
      </w:pPr>
      <w:r w:rsidRPr="009C5367">
        <w:rPr>
          <w:rFonts w:ascii="Arial" w:hAnsi="Arial" w:cs="Arial"/>
          <w:b/>
          <w:iCs/>
        </w:rPr>
        <w:t>Farm machinery</w:t>
      </w:r>
    </w:p>
    <w:p w14:paraId="5983DC50" w14:textId="5D991F9C" w:rsidR="009C5367" w:rsidRDefault="00BF247D" w:rsidP="009C5367">
      <w:pPr>
        <w:spacing w:line="240" w:lineRule="auto"/>
        <w:ind w:left="360"/>
        <w:jc w:val="both"/>
        <w:rPr>
          <w:rFonts w:ascii="Arial" w:hAnsi="Arial" w:cs="Arial"/>
          <w:bCs/>
          <w:iCs/>
          <w:sz w:val="20"/>
          <w:szCs w:val="20"/>
        </w:rPr>
      </w:pPr>
      <w:r w:rsidRPr="00BF247D">
        <w:rPr>
          <w:rFonts w:ascii="Arial" w:hAnsi="Arial" w:cs="Arial"/>
          <w:bCs/>
          <w:iCs/>
          <w:sz w:val="20"/>
          <w:szCs w:val="20"/>
        </w:rPr>
        <w:lastRenderedPageBreak/>
        <w:t>Two types of agricultural implements attached to a 125 hp tractor were used in this study: a disc sprayer for minimum tillage or offsetting on shallow horizons 5 to 15 cm deep, and a reversible trisoc plough for conventional tillage or ploughing on deeper horizons 20 to 40 cm deep (figure 3)</w:t>
      </w:r>
      <w:r>
        <w:rPr>
          <w:rFonts w:ascii="Arial" w:hAnsi="Arial" w:cs="Arial"/>
          <w:bCs/>
          <w:iCs/>
          <w:sz w:val="20"/>
          <w:szCs w:val="20"/>
        </w:rPr>
        <w:t>.</w:t>
      </w:r>
    </w:p>
    <w:p w14:paraId="034FDD99" w14:textId="7FE606B7" w:rsidR="00BF247D" w:rsidRDefault="00BF247D" w:rsidP="00BF247D">
      <w:pPr>
        <w:spacing w:line="240" w:lineRule="auto"/>
        <w:ind w:left="360"/>
        <w:jc w:val="center"/>
        <w:rPr>
          <w:rFonts w:ascii="Arial" w:hAnsi="Arial" w:cs="Arial"/>
          <w:bCs/>
          <w:iCs/>
          <w:sz w:val="20"/>
          <w:szCs w:val="20"/>
        </w:rPr>
      </w:pPr>
      <w:r>
        <w:rPr>
          <w:noProof/>
        </w:rPr>
        <w:drawing>
          <wp:inline distT="0" distB="0" distL="0" distR="0" wp14:anchorId="369C88A0" wp14:editId="01DA1495">
            <wp:extent cx="5518411" cy="2200267"/>
            <wp:effectExtent l="0" t="0" r="6350" b="0"/>
            <wp:docPr id="1219074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74856" name=""/>
                    <pic:cNvPicPr/>
                  </pic:nvPicPr>
                  <pic:blipFill>
                    <a:blip r:embed="rId16"/>
                    <a:stretch>
                      <a:fillRect/>
                    </a:stretch>
                  </pic:blipFill>
                  <pic:spPr>
                    <a:xfrm>
                      <a:off x="0" y="0"/>
                      <a:ext cx="5546442" cy="2211443"/>
                    </a:xfrm>
                    <a:prstGeom prst="rect">
                      <a:avLst/>
                    </a:prstGeom>
                  </pic:spPr>
                </pic:pic>
              </a:graphicData>
            </a:graphic>
          </wp:inline>
        </w:drawing>
      </w:r>
    </w:p>
    <w:p w14:paraId="136E9358" w14:textId="3F02B5B3" w:rsidR="00BF247D" w:rsidRPr="00476DC8" w:rsidRDefault="00BF247D" w:rsidP="00BF247D">
      <w:pPr>
        <w:spacing w:line="240" w:lineRule="auto"/>
        <w:ind w:left="360"/>
        <w:jc w:val="center"/>
        <w:rPr>
          <w:rFonts w:ascii="Arial" w:hAnsi="Arial" w:cs="Arial"/>
          <w:b/>
          <w:iCs/>
          <w:sz w:val="20"/>
          <w:szCs w:val="20"/>
        </w:rPr>
      </w:pPr>
      <w:r w:rsidRPr="007D5712">
        <w:rPr>
          <w:rFonts w:ascii="Arial" w:hAnsi="Arial" w:cs="Arial"/>
          <w:b/>
          <w:iCs/>
          <w:sz w:val="20"/>
          <w:szCs w:val="20"/>
        </w:rPr>
        <w:t>Figure 3.</w:t>
      </w:r>
      <w:r w:rsidRPr="00476DC8">
        <w:rPr>
          <w:rFonts w:ascii="Arial" w:hAnsi="Arial" w:cs="Arial"/>
          <w:b/>
          <w:iCs/>
          <w:sz w:val="20"/>
          <w:szCs w:val="20"/>
        </w:rPr>
        <w:t xml:space="preserve"> Farm equipment used for soil cultivation : tractor-offset (A); tractor-plough (B)</w:t>
      </w:r>
    </w:p>
    <w:p w14:paraId="0820707B" w14:textId="3BF8A855" w:rsidR="00C53CA1" w:rsidRDefault="00C53CA1" w:rsidP="00C53CA1">
      <w:pPr>
        <w:pStyle w:val="ListParagraph"/>
        <w:numPr>
          <w:ilvl w:val="1"/>
          <w:numId w:val="1"/>
        </w:numPr>
        <w:spacing w:line="240" w:lineRule="auto"/>
        <w:rPr>
          <w:rFonts w:ascii="Arial" w:hAnsi="Arial" w:cs="Arial"/>
          <w:b/>
          <w:iCs/>
        </w:rPr>
      </w:pPr>
      <w:r w:rsidRPr="00C53CA1">
        <w:rPr>
          <w:rFonts w:ascii="Arial" w:hAnsi="Arial" w:cs="Arial"/>
          <w:b/>
          <w:iCs/>
        </w:rPr>
        <w:t>Plant material</w:t>
      </w:r>
    </w:p>
    <w:p w14:paraId="5FCFCB41" w14:textId="77777777" w:rsidR="00C53CA1" w:rsidRDefault="00C53CA1" w:rsidP="00C53CA1">
      <w:pPr>
        <w:spacing w:line="240" w:lineRule="auto"/>
        <w:jc w:val="both"/>
        <w:rPr>
          <w:rFonts w:ascii="Arial" w:hAnsi="Arial" w:cs="Arial"/>
          <w:bCs/>
          <w:iCs/>
          <w:sz w:val="20"/>
          <w:szCs w:val="20"/>
        </w:rPr>
      </w:pPr>
      <w:r w:rsidRPr="00C53CA1">
        <w:rPr>
          <w:rFonts w:ascii="Arial" w:hAnsi="Arial" w:cs="Arial"/>
          <w:bCs/>
          <w:iCs/>
          <w:sz w:val="20"/>
          <w:szCs w:val="20"/>
        </w:rPr>
        <w:t>The Sahel 108 variety, widely grown in Senegal and Mauritania and suitable for irrigated cultivation, was chosen. Sahel 108 was targeted for its short cycle, which allows double cropping in the dry season. The Sahel 108 variety is characterized by a sowing-epiaison cycle of 76 days in winter and 86 days in the hot counter-season; maturity of 105 days in winter and 117 days in the hot counter-season, good resistance to lodging, low ginning and a potential yield of 10 t. ha-1. Production increases by almost 11% in the rainy season (WARDA, 1998).</w:t>
      </w:r>
    </w:p>
    <w:p w14:paraId="0BBCF4DA" w14:textId="4D868380" w:rsidR="00C53CA1" w:rsidRPr="00C53CA1" w:rsidRDefault="00C53CA1" w:rsidP="00C53CA1">
      <w:pPr>
        <w:pStyle w:val="ListParagraph"/>
        <w:numPr>
          <w:ilvl w:val="1"/>
          <w:numId w:val="1"/>
        </w:numPr>
        <w:spacing w:line="240" w:lineRule="auto"/>
        <w:jc w:val="both"/>
        <w:rPr>
          <w:rFonts w:ascii="Arial" w:hAnsi="Arial" w:cs="Arial"/>
          <w:b/>
          <w:iCs/>
        </w:rPr>
      </w:pPr>
      <w:r w:rsidRPr="00C53CA1">
        <w:rPr>
          <w:rFonts w:ascii="Arial" w:hAnsi="Arial" w:cs="Arial"/>
          <w:b/>
          <w:iCs/>
        </w:rPr>
        <w:t>Experimental setup</w:t>
      </w:r>
    </w:p>
    <w:p w14:paraId="41B55A6C" w14:textId="46E07639" w:rsidR="00C53CA1" w:rsidRDefault="00BB1F3A" w:rsidP="00C53CA1">
      <w:pPr>
        <w:spacing w:line="240" w:lineRule="auto"/>
        <w:jc w:val="both"/>
        <w:rPr>
          <w:rFonts w:ascii="Arial" w:hAnsi="Arial" w:cs="Arial"/>
          <w:bCs/>
          <w:iCs/>
          <w:sz w:val="20"/>
          <w:szCs w:val="20"/>
        </w:rPr>
      </w:pPr>
      <w:r w:rsidRPr="00BB1F3A">
        <w:rPr>
          <w:rFonts w:ascii="Arial" w:hAnsi="Arial" w:cs="Arial"/>
          <w:bCs/>
          <w:iCs/>
          <w:sz w:val="20"/>
          <w:szCs w:val="20"/>
        </w:rPr>
        <w:t>An experimental set-up with motorized tillage as the sole factor was set up at 2 sites (Ndiaye Mbéress and Lampsar).  Two tillage methods were selected: offsetage and ploughing. Offsetage or minimum tillage consisted in working the soil at the surface without turning it over. Deep tillage, with turning, is ploughing. Both methods were carried out on unit plots measuring 10 m x 10 m at 3 depths, with offsetage at 5, 10 and 15 cm and ploughing at 20, 30 and 40 cm respectively. The work carried out at these depths represents treatments 2*3 = 6, with 3 treatments per modality, off5, Off10, Off15 for offsetage and lab20, lab30, lab40 for ploughing. These treatments were repeated 4 times per site over 2 consecutive years, i.e. 6*4 = 24 unit plots per site and per year. Random blocks were set up for each work modality, within which treatments were applied at random (figure 39).  Sub-blocks and treatments were spaced 1m apart to limit external influences from one plot to another. The total surface area of the blocks was 0.48 ha, i.e. 0.24 ha for each site.</w:t>
      </w:r>
    </w:p>
    <w:p w14:paraId="7EDB5B5E" w14:textId="7999C49A" w:rsidR="00BB1F3A" w:rsidRPr="00BB1F3A" w:rsidRDefault="00C241D7" w:rsidP="00C241D7">
      <w:pPr>
        <w:spacing w:line="240" w:lineRule="auto"/>
        <w:jc w:val="center"/>
        <w:rPr>
          <w:rFonts w:ascii="Arial" w:hAnsi="Arial" w:cs="Arial"/>
          <w:bCs/>
          <w:iCs/>
          <w:sz w:val="20"/>
          <w:szCs w:val="20"/>
        </w:rPr>
      </w:pPr>
      <w:r>
        <w:rPr>
          <w:noProof/>
        </w:rPr>
        <w:lastRenderedPageBreak/>
        <w:drawing>
          <wp:inline distT="0" distB="0" distL="0" distR="0" wp14:anchorId="1B183F89" wp14:editId="3E54976B">
            <wp:extent cx="3543300" cy="2905125"/>
            <wp:effectExtent l="0" t="0" r="0" b="9525"/>
            <wp:docPr id="202194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4294" name=""/>
                    <pic:cNvPicPr/>
                  </pic:nvPicPr>
                  <pic:blipFill>
                    <a:blip r:embed="rId17"/>
                    <a:stretch>
                      <a:fillRect/>
                    </a:stretch>
                  </pic:blipFill>
                  <pic:spPr>
                    <a:xfrm>
                      <a:off x="0" y="0"/>
                      <a:ext cx="3543300" cy="2905125"/>
                    </a:xfrm>
                    <a:prstGeom prst="rect">
                      <a:avLst/>
                    </a:prstGeom>
                  </pic:spPr>
                </pic:pic>
              </a:graphicData>
            </a:graphic>
          </wp:inline>
        </w:drawing>
      </w:r>
    </w:p>
    <w:p w14:paraId="2D9D8822" w14:textId="545F1225" w:rsidR="00BF247D" w:rsidRPr="00476DC8" w:rsidRDefault="00C241D7" w:rsidP="00C241D7">
      <w:pPr>
        <w:spacing w:line="240" w:lineRule="auto"/>
        <w:ind w:left="360"/>
        <w:jc w:val="center"/>
        <w:rPr>
          <w:rFonts w:ascii="Arial" w:hAnsi="Arial" w:cs="Arial"/>
          <w:b/>
          <w:iCs/>
          <w:sz w:val="20"/>
          <w:szCs w:val="20"/>
        </w:rPr>
      </w:pPr>
      <w:r w:rsidRPr="00476DC8">
        <w:rPr>
          <w:rFonts w:ascii="Arial" w:hAnsi="Arial" w:cs="Arial"/>
          <w:b/>
          <w:iCs/>
          <w:sz w:val="20"/>
          <w:szCs w:val="20"/>
        </w:rPr>
        <w:t>Figure 4. Diagram of the complete block experimental set-up</w:t>
      </w:r>
    </w:p>
    <w:p w14:paraId="08D5ED48" w14:textId="41911B27" w:rsidR="00C241D7" w:rsidRDefault="00C241D7" w:rsidP="00C241D7">
      <w:pPr>
        <w:pStyle w:val="ListParagraph"/>
        <w:numPr>
          <w:ilvl w:val="1"/>
          <w:numId w:val="1"/>
        </w:numPr>
        <w:spacing w:line="240" w:lineRule="auto"/>
        <w:jc w:val="both"/>
        <w:rPr>
          <w:rFonts w:ascii="Arial" w:hAnsi="Arial" w:cs="Arial"/>
          <w:b/>
          <w:iCs/>
        </w:rPr>
      </w:pPr>
      <w:r w:rsidRPr="00C241D7">
        <w:rPr>
          <w:rFonts w:ascii="Arial" w:hAnsi="Arial" w:cs="Arial"/>
          <w:b/>
          <w:iCs/>
        </w:rPr>
        <w:t>Conducting the trial</w:t>
      </w:r>
    </w:p>
    <w:p w14:paraId="665F1F59" w14:textId="018B843C" w:rsidR="00C241D7" w:rsidRPr="00417991" w:rsidRDefault="00C241D7" w:rsidP="00C241D7">
      <w:pPr>
        <w:pStyle w:val="ListParagraph"/>
        <w:numPr>
          <w:ilvl w:val="2"/>
          <w:numId w:val="1"/>
        </w:numPr>
        <w:spacing w:line="240" w:lineRule="auto"/>
        <w:jc w:val="both"/>
        <w:rPr>
          <w:rFonts w:ascii="Arial" w:hAnsi="Arial" w:cs="Arial"/>
          <w:b/>
          <w:iCs/>
          <w:sz w:val="20"/>
          <w:szCs w:val="20"/>
        </w:rPr>
      </w:pPr>
      <w:r w:rsidRPr="00417991">
        <w:rPr>
          <w:rFonts w:ascii="Arial" w:hAnsi="Arial" w:cs="Arial"/>
          <w:b/>
          <w:bCs/>
          <w:iCs/>
          <w:sz w:val="20"/>
          <w:szCs w:val="20"/>
        </w:rPr>
        <w:t xml:space="preserve">Optimisation de </w:t>
      </w:r>
      <w:r w:rsidRPr="00417991">
        <w:rPr>
          <w:rFonts w:ascii="Arial" w:hAnsi="Arial" w:cs="Arial"/>
          <w:b/>
          <w:iCs/>
          <w:sz w:val="20"/>
          <w:szCs w:val="20"/>
        </w:rPr>
        <w:t>l’ensemble tracteur-outil</w:t>
      </w:r>
    </w:p>
    <w:p w14:paraId="75B29207" w14:textId="77777777" w:rsidR="00160F36" w:rsidRDefault="00160F36" w:rsidP="00C241D7">
      <w:pPr>
        <w:spacing w:line="240" w:lineRule="auto"/>
        <w:jc w:val="both"/>
        <w:rPr>
          <w:rFonts w:ascii="Arial" w:hAnsi="Arial" w:cs="Arial"/>
          <w:bCs/>
          <w:iCs/>
          <w:sz w:val="20"/>
          <w:szCs w:val="20"/>
        </w:rPr>
      </w:pPr>
      <w:r w:rsidRPr="00160F36">
        <w:rPr>
          <w:rFonts w:ascii="Arial" w:hAnsi="Arial" w:cs="Arial"/>
          <w:bCs/>
          <w:iCs/>
          <w:sz w:val="20"/>
          <w:szCs w:val="20"/>
        </w:rPr>
        <w:t>To ensure efficient use of the tractor-tool combination, test work was carried out on both sites, and data on the depth and width of the tilled surface, forward speed and grip were collected in the field in order to calculate the optimum setting for the tractor-tool combination. The implements used in this study leave a relatively flat bottom</w:t>
      </w:r>
      <w:r>
        <w:rPr>
          <w:rFonts w:ascii="Arial" w:hAnsi="Arial" w:cs="Arial"/>
          <w:bCs/>
          <w:iCs/>
          <w:sz w:val="20"/>
          <w:szCs w:val="20"/>
        </w:rPr>
        <w:t>.</w:t>
      </w:r>
    </w:p>
    <w:p w14:paraId="1D9CF88F" w14:textId="30A74620" w:rsidR="00C241D7" w:rsidRPr="00417991" w:rsidRDefault="00160F36" w:rsidP="00160F36">
      <w:pPr>
        <w:pStyle w:val="ListParagraph"/>
        <w:numPr>
          <w:ilvl w:val="3"/>
          <w:numId w:val="1"/>
        </w:numPr>
        <w:spacing w:line="240" w:lineRule="auto"/>
        <w:jc w:val="both"/>
        <w:rPr>
          <w:rFonts w:ascii="Arial" w:hAnsi="Arial" w:cs="Arial"/>
          <w:b/>
          <w:iCs/>
          <w:sz w:val="20"/>
          <w:szCs w:val="20"/>
        </w:rPr>
      </w:pPr>
      <w:r w:rsidRPr="00417991">
        <w:rPr>
          <w:rFonts w:ascii="Arial" w:hAnsi="Arial" w:cs="Arial"/>
          <w:b/>
          <w:iCs/>
          <w:sz w:val="20"/>
          <w:szCs w:val="20"/>
        </w:rPr>
        <w:t>Depth of surface worked</w:t>
      </w:r>
    </w:p>
    <w:p w14:paraId="2ADD19AA" w14:textId="58EBD47D" w:rsidR="00160F36" w:rsidRDefault="00160F36" w:rsidP="00160F36">
      <w:pPr>
        <w:jc w:val="both"/>
        <w:rPr>
          <w:rFonts w:ascii="Arial" w:hAnsi="Arial" w:cs="Arial"/>
          <w:sz w:val="20"/>
          <w:szCs w:val="20"/>
        </w:rPr>
      </w:pPr>
      <w:r w:rsidRPr="00160F36">
        <w:rPr>
          <w:rFonts w:ascii="Arial" w:hAnsi="Arial" w:cs="Arial"/>
          <w:sz w:val="20"/>
          <w:szCs w:val="20"/>
        </w:rPr>
        <w:t>A stake is driven into the ploughed soil until it reaches the firm, unworked bottom of the soil. The part of the stake driven in is then measured, and the average represents the depth of the tilled surface. A total of five (5) stakes were used, enabling five measurements to be taken. This enabled us to verify the consistency of the depth of the tilled surface.</w:t>
      </w:r>
    </w:p>
    <w:p w14:paraId="6180E3B2" w14:textId="5415CAFF" w:rsidR="00160F36" w:rsidRPr="00417991" w:rsidRDefault="00160F36" w:rsidP="00160F36">
      <w:pPr>
        <w:pStyle w:val="ListParagraph"/>
        <w:numPr>
          <w:ilvl w:val="3"/>
          <w:numId w:val="1"/>
        </w:numPr>
        <w:rPr>
          <w:rFonts w:ascii="Arial" w:hAnsi="Arial" w:cs="Arial"/>
          <w:b/>
          <w:bCs/>
          <w:sz w:val="20"/>
          <w:szCs w:val="20"/>
        </w:rPr>
      </w:pPr>
      <w:r w:rsidRPr="00417991">
        <w:rPr>
          <w:rFonts w:ascii="Arial" w:hAnsi="Arial" w:cs="Arial"/>
          <w:b/>
          <w:bCs/>
          <w:sz w:val="20"/>
          <w:szCs w:val="20"/>
        </w:rPr>
        <w:t>The width of the worked surface</w:t>
      </w:r>
    </w:p>
    <w:p w14:paraId="3AF308DD" w14:textId="6411FE0E" w:rsidR="00160F36" w:rsidRDefault="00160F36" w:rsidP="00160F36">
      <w:pPr>
        <w:jc w:val="both"/>
        <w:rPr>
          <w:rFonts w:ascii="Arial" w:hAnsi="Arial" w:cs="Arial"/>
          <w:sz w:val="20"/>
          <w:szCs w:val="20"/>
        </w:rPr>
      </w:pPr>
      <w:r w:rsidRPr="00160F36">
        <w:rPr>
          <w:rFonts w:ascii="Arial" w:hAnsi="Arial" w:cs="Arial"/>
          <w:sz w:val="20"/>
          <w:szCs w:val="20"/>
        </w:rPr>
        <w:t>It is measured by placing stakes immediately after the passage of the tractor hitched to the tool, at a fixed distance from the boundary between worked and unworked land. Several measurements are taken and the average is calculated, representing the width of the worked surface.</w:t>
      </w:r>
    </w:p>
    <w:p w14:paraId="6A90B7B5" w14:textId="062A848B" w:rsidR="00160F36" w:rsidRDefault="00160F36" w:rsidP="00160F36">
      <w:pPr>
        <w:pStyle w:val="ListParagraph"/>
        <w:numPr>
          <w:ilvl w:val="3"/>
          <w:numId w:val="1"/>
        </w:numPr>
        <w:jc w:val="both"/>
        <w:rPr>
          <w:rFonts w:ascii="Arial" w:hAnsi="Arial" w:cs="Arial"/>
          <w:b/>
          <w:bCs/>
          <w:sz w:val="20"/>
          <w:szCs w:val="20"/>
        </w:rPr>
      </w:pPr>
      <w:r w:rsidRPr="00160F36">
        <w:rPr>
          <w:rFonts w:ascii="Arial" w:hAnsi="Arial" w:cs="Arial"/>
          <w:b/>
          <w:bCs/>
          <w:sz w:val="20"/>
          <w:szCs w:val="20"/>
        </w:rPr>
        <w:t>Working speed</w:t>
      </w:r>
    </w:p>
    <w:p w14:paraId="25D039FD" w14:textId="1474557A" w:rsidR="00160F36" w:rsidRDefault="00160F36" w:rsidP="00160F36">
      <w:pPr>
        <w:jc w:val="both"/>
        <w:rPr>
          <w:rFonts w:ascii="Arial" w:hAnsi="Arial" w:cs="Arial"/>
          <w:sz w:val="20"/>
          <w:szCs w:val="20"/>
        </w:rPr>
      </w:pPr>
      <w:r w:rsidRPr="00160F36">
        <w:rPr>
          <w:rFonts w:ascii="Arial" w:hAnsi="Arial" w:cs="Arial"/>
          <w:sz w:val="20"/>
          <w:szCs w:val="20"/>
        </w:rPr>
        <w:t>It was evaluated by calculating the time required to plough a strip of land of a predetermined length in a single pass. The length of this 50 m strip is marked by stakes placed in the field.</w:t>
      </w:r>
    </w:p>
    <w:p w14:paraId="7A6726DA" w14:textId="165EA9DE" w:rsidR="00160F36" w:rsidRPr="00417991" w:rsidRDefault="00986ABC" w:rsidP="00160F36">
      <w:pPr>
        <w:pStyle w:val="ListParagraph"/>
        <w:numPr>
          <w:ilvl w:val="3"/>
          <w:numId w:val="1"/>
        </w:numPr>
        <w:jc w:val="both"/>
        <w:rPr>
          <w:rFonts w:ascii="Arial" w:hAnsi="Arial" w:cs="Arial"/>
          <w:b/>
          <w:bCs/>
          <w:sz w:val="20"/>
          <w:szCs w:val="20"/>
        </w:rPr>
      </w:pPr>
      <w:r w:rsidRPr="00417991">
        <w:rPr>
          <w:rFonts w:ascii="Arial" w:hAnsi="Arial" w:cs="Arial"/>
          <w:b/>
          <w:bCs/>
          <w:sz w:val="20"/>
          <w:szCs w:val="20"/>
        </w:rPr>
        <w:t>Grip</w:t>
      </w:r>
    </w:p>
    <w:p w14:paraId="05590F92" w14:textId="77777777" w:rsidR="00986ABC" w:rsidRPr="00986ABC" w:rsidRDefault="00986ABC" w:rsidP="00986ABC">
      <w:pPr>
        <w:jc w:val="both"/>
        <w:rPr>
          <w:rFonts w:ascii="Arial" w:hAnsi="Arial" w:cs="Arial"/>
          <w:sz w:val="20"/>
          <w:szCs w:val="20"/>
        </w:rPr>
      </w:pPr>
      <w:r w:rsidRPr="00986ABC">
        <w:rPr>
          <w:rFonts w:ascii="Arial" w:hAnsi="Arial" w:cs="Arial"/>
          <w:sz w:val="20"/>
          <w:szCs w:val="20"/>
        </w:rPr>
        <w:t xml:space="preserve">Grip is an important indicator of work efficiency and quality. It was determined by calculating the distances covered by the tractor over a 10-minute period on the hard surface (not working in the windscreen) and in the field. </w:t>
      </w:r>
    </w:p>
    <w:p w14:paraId="531F6254" w14:textId="2BFB252A" w:rsidR="00986ABC" w:rsidRDefault="00986ABC" w:rsidP="00986ABC">
      <w:pPr>
        <w:jc w:val="both"/>
        <w:rPr>
          <w:rFonts w:ascii="Arial" w:hAnsi="Arial" w:cs="Arial"/>
          <w:sz w:val="20"/>
          <w:szCs w:val="20"/>
        </w:rPr>
      </w:pPr>
      <w:r w:rsidRPr="00986ABC">
        <w:rPr>
          <w:rFonts w:ascii="Arial" w:hAnsi="Arial" w:cs="Arial"/>
          <w:sz w:val="20"/>
          <w:szCs w:val="20"/>
        </w:rPr>
        <w:t>Grip, S, is then calculated by applying the following formula :</w:t>
      </w:r>
    </w:p>
    <w:p w14:paraId="52AB754B" w14:textId="77777777" w:rsidR="00986ABC" w:rsidRDefault="00986ABC" w:rsidP="00986ABC">
      <w:pPr>
        <w:jc w:val="both"/>
        <w:rPr>
          <w:rFonts w:ascii="Arial" w:hAnsi="Arial" w:cs="Arial"/>
          <w:sz w:val="20"/>
          <w:szCs w:val="20"/>
        </w:rPr>
      </w:pPr>
    </w:p>
    <w:p w14:paraId="50BB9054" w14:textId="77777777" w:rsidR="00326C8B" w:rsidRPr="00326C8B" w:rsidRDefault="00986ABC" w:rsidP="00326C8B">
      <w:pPr>
        <w:jc w:val="center"/>
        <w:rPr>
          <w:rFonts w:ascii="Arial" w:hAnsi="Arial" w:cs="Arial"/>
          <w:sz w:val="20"/>
          <w:szCs w:val="20"/>
        </w:rPr>
      </w:pPr>
      <w:r w:rsidRPr="00986ABC">
        <w:rPr>
          <w:rFonts w:ascii="Times New Roman" w:eastAsia="Calibri" w:hAnsi="Times New Roman" w:cs="Times New Roman"/>
          <w:noProof/>
          <w:kern w:val="0"/>
          <w:sz w:val="24"/>
          <w:szCs w:val="24"/>
          <w:vertAlign w:val="subscript"/>
          <w:lang w:val="en-US"/>
          <w14:ligatures w14:val="none"/>
        </w:rPr>
        <w:lastRenderedPageBreak/>
        <w:drawing>
          <wp:inline distT="0" distB="0" distL="0" distR="0" wp14:anchorId="09280FF4" wp14:editId="60F8B398">
            <wp:extent cx="1200150" cy="466725"/>
            <wp:effectExtent l="0" t="0" r="0" b="9525"/>
            <wp:docPr id="2058551492" name="Image 5" descr="http://www.fao.org/3/w7304f/w7304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http://www.fao.org/3/w7304f/w7304f0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326C8B">
        <w:rPr>
          <w:rFonts w:ascii="Arial" w:hAnsi="Arial" w:cs="Arial"/>
          <w:sz w:val="20"/>
          <w:szCs w:val="20"/>
        </w:rPr>
        <w:t xml:space="preserve">     </w:t>
      </w:r>
      <w:r w:rsidR="00326C8B" w:rsidRPr="00326C8B">
        <w:rPr>
          <w:rFonts w:ascii="Arial" w:hAnsi="Arial" w:cs="Arial"/>
          <w:b/>
          <w:bCs/>
          <w:sz w:val="20"/>
          <w:szCs w:val="20"/>
        </w:rPr>
        <w:t>(1)</w:t>
      </w:r>
    </w:p>
    <w:p w14:paraId="271EEE9B" w14:textId="27E9DEBF" w:rsidR="004F5C95" w:rsidRPr="004F5C95" w:rsidRDefault="004F5C95" w:rsidP="004F5C95">
      <w:pPr>
        <w:jc w:val="both"/>
        <w:rPr>
          <w:rFonts w:ascii="Arial" w:hAnsi="Arial" w:cs="Arial"/>
          <w:sz w:val="20"/>
          <w:szCs w:val="20"/>
        </w:rPr>
      </w:pPr>
      <w:r>
        <w:rPr>
          <w:rFonts w:ascii="Arial" w:hAnsi="Arial" w:cs="Arial"/>
          <w:sz w:val="20"/>
          <w:szCs w:val="20"/>
        </w:rPr>
        <w:t>Grip</w:t>
      </w:r>
      <w:r w:rsidRPr="004F5C95">
        <w:rPr>
          <w:rFonts w:ascii="Arial" w:hAnsi="Arial" w:cs="Arial"/>
          <w:sz w:val="20"/>
          <w:szCs w:val="20"/>
        </w:rPr>
        <w:t xml:space="preserve"> is expressed as a percentage (%).</w:t>
      </w:r>
    </w:p>
    <w:p w14:paraId="4F3A55AA" w14:textId="099030A4" w:rsidR="00986ABC" w:rsidRDefault="004F5C95" w:rsidP="004F5C95">
      <w:pPr>
        <w:jc w:val="both"/>
        <w:rPr>
          <w:rFonts w:ascii="Arial" w:hAnsi="Arial" w:cs="Arial"/>
          <w:sz w:val="20"/>
          <w:szCs w:val="20"/>
        </w:rPr>
      </w:pPr>
      <w:r w:rsidRPr="004F5C95">
        <w:rPr>
          <w:rFonts w:ascii="Arial" w:hAnsi="Arial" w:cs="Arial"/>
          <w:sz w:val="20"/>
          <w:szCs w:val="20"/>
        </w:rPr>
        <w:t xml:space="preserve">S= (604-270) /604=55.29% therefore </w:t>
      </w:r>
      <w:r>
        <w:rPr>
          <w:rFonts w:ascii="Arial" w:hAnsi="Arial" w:cs="Arial"/>
          <w:sz w:val="20"/>
          <w:szCs w:val="20"/>
        </w:rPr>
        <w:t>grip</w:t>
      </w:r>
      <w:r w:rsidRPr="004F5C95">
        <w:rPr>
          <w:rFonts w:ascii="Arial" w:hAnsi="Arial" w:cs="Arial"/>
          <w:sz w:val="20"/>
          <w:szCs w:val="20"/>
        </w:rPr>
        <w:t xml:space="preserve"> S= 55.29%.</w:t>
      </w:r>
    </w:p>
    <w:p w14:paraId="489245AF" w14:textId="6ECCDF38" w:rsidR="004F5C95" w:rsidRDefault="004F5C95" w:rsidP="004F5C95">
      <w:pPr>
        <w:jc w:val="both"/>
        <w:rPr>
          <w:rFonts w:ascii="Arial" w:hAnsi="Arial" w:cs="Arial"/>
          <w:sz w:val="20"/>
          <w:szCs w:val="20"/>
        </w:rPr>
      </w:pPr>
      <w:r w:rsidRPr="004F5C95">
        <w:rPr>
          <w:rFonts w:ascii="Arial" w:hAnsi="Arial" w:cs="Arial"/>
          <w:sz w:val="20"/>
          <w:szCs w:val="20"/>
        </w:rPr>
        <w:t>All this data was then used to calculate and optimize the tractor-implement combination by determining the balance of the tractor alone, the tractor with the sprayer for depths of 5, 10 and 15 cm, and the tractor with the plough for depths of 20, 30 and 40 cm.</w:t>
      </w:r>
    </w:p>
    <w:p w14:paraId="3B6BE394" w14:textId="550E1C2F" w:rsidR="004F5C95" w:rsidRPr="00417991" w:rsidRDefault="004F5C95" w:rsidP="00417991">
      <w:pPr>
        <w:pStyle w:val="ListParagraph"/>
        <w:numPr>
          <w:ilvl w:val="2"/>
          <w:numId w:val="1"/>
        </w:numPr>
        <w:jc w:val="both"/>
        <w:rPr>
          <w:rFonts w:ascii="Arial" w:hAnsi="Arial" w:cs="Arial"/>
          <w:b/>
          <w:sz w:val="20"/>
          <w:szCs w:val="20"/>
        </w:rPr>
      </w:pPr>
      <w:r w:rsidRPr="00417991">
        <w:rPr>
          <w:rFonts w:ascii="Arial" w:hAnsi="Arial" w:cs="Arial"/>
          <w:b/>
          <w:iCs/>
          <w:sz w:val="20"/>
          <w:szCs w:val="20"/>
        </w:rPr>
        <w:t>Semis</w:t>
      </w:r>
    </w:p>
    <w:p w14:paraId="7ACE096C" w14:textId="195F00D3" w:rsidR="004F5C95" w:rsidRDefault="004F5C95" w:rsidP="004F5C95">
      <w:pPr>
        <w:jc w:val="both"/>
        <w:rPr>
          <w:rFonts w:ascii="Arial" w:hAnsi="Arial" w:cs="Arial"/>
          <w:bCs/>
          <w:sz w:val="20"/>
          <w:szCs w:val="20"/>
        </w:rPr>
      </w:pPr>
      <w:r w:rsidRPr="004F5C95">
        <w:rPr>
          <w:rFonts w:ascii="Arial" w:hAnsi="Arial" w:cs="Arial"/>
          <w:bCs/>
          <w:sz w:val="20"/>
          <w:szCs w:val="20"/>
        </w:rPr>
        <w:t>Broadcast sowing was carried out manually, at a water depth of 5 cm, at a rate of 80 to 120 kg.ha-1 , i.e. an average of 100 kg.ha-1. Thus, for each experimental unit, 1kg of certified seed of the sahel 108 variety was used. It should be noted that the seeds were first soaked in water for 24 hours to lift dormancy.</w:t>
      </w:r>
    </w:p>
    <w:p w14:paraId="780651C8" w14:textId="5F2CFA91" w:rsidR="00417991" w:rsidRPr="00417991" w:rsidRDefault="00417991" w:rsidP="00417991">
      <w:pPr>
        <w:pStyle w:val="ListParagraph"/>
        <w:numPr>
          <w:ilvl w:val="2"/>
          <w:numId w:val="1"/>
        </w:numPr>
        <w:rPr>
          <w:rFonts w:ascii="Arial" w:hAnsi="Arial" w:cs="Arial"/>
          <w:b/>
          <w:sz w:val="20"/>
          <w:szCs w:val="20"/>
        </w:rPr>
      </w:pPr>
      <w:r w:rsidRPr="00417991">
        <w:rPr>
          <w:rFonts w:ascii="Arial" w:hAnsi="Arial" w:cs="Arial"/>
          <w:b/>
          <w:sz w:val="20"/>
          <w:szCs w:val="20"/>
        </w:rPr>
        <w:t>Irrigation</w:t>
      </w:r>
    </w:p>
    <w:p w14:paraId="530CCB75" w14:textId="77777777" w:rsidR="00417991" w:rsidRDefault="00417991" w:rsidP="00417991">
      <w:pPr>
        <w:jc w:val="both"/>
        <w:rPr>
          <w:rFonts w:ascii="Arial" w:hAnsi="Arial" w:cs="Arial"/>
          <w:bCs/>
          <w:sz w:val="20"/>
          <w:szCs w:val="20"/>
        </w:rPr>
      </w:pPr>
      <w:r w:rsidRPr="00417991">
        <w:rPr>
          <w:rFonts w:ascii="Arial" w:hAnsi="Arial" w:cs="Arial"/>
          <w:bCs/>
          <w:sz w:val="20"/>
          <w:szCs w:val="20"/>
        </w:rPr>
        <w:t>Water management in the plots followed the method adopted by SAED (Lage et al. 1996) in the Senegal River valley, which takes into account the development phases of the rice plants</w:t>
      </w:r>
      <w:r>
        <w:rPr>
          <w:rFonts w:ascii="Arial" w:hAnsi="Arial" w:cs="Arial"/>
          <w:bCs/>
          <w:sz w:val="20"/>
          <w:szCs w:val="20"/>
        </w:rPr>
        <w:t xml:space="preserve"> </w:t>
      </w:r>
      <w:r w:rsidRPr="00417991">
        <w:rPr>
          <w:rFonts w:ascii="Arial" w:hAnsi="Arial" w:cs="Arial"/>
          <w:bCs/>
          <w:sz w:val="20"/>
          <w:szCs w:val="20"/>
        </w:rPr>
        <w:t>: a 5 cm layer of water during the vegetative phase</w:t>
      </w:r>
      <w:r>
        <w:rPr>
          <w:rFonts w:ascii="Arial" w:hAnsi="Arial" w:cs="Arial"/>
          <w:bCs/>
          <w:sz w:val="20"/>
          <w:szCs w:val="20"/>
        </w:rPr>
        <w:t xml:space="preserve"> </w:t>
      </w:r>
      <w:r w:rsidRPr="00417991">
        <w:rPr>
          <w:rFonts w:ascii="Arial" w:hAnsi="Arial" w:cs="Arial"/>
          <w:bCs/>
          <w:sz w:val="20"/>
          <w:szCs w:val="20"/>
        </w:rPr>
        <w:t>; a 10 cm layer of water during the reproductive phase; and finally total drainage of the plot at the doughy stage, leaving a dry soil for rice maturation. The method has been adapted to allow herbicide application as well as urea application.</w:t>
      </w:r>
    </w:p>
    <w:p w14:paraId="5D1CDBF0" w14:textId="758C219D" w:rsidR="00F945DD" w:rsidRPr="00417991" w:rsidRDefault="00417991" w:rsidP="00417991">
      <w:pPr>
        <w:pStyle w:val="ListParagraph"/>
        <w:numPr>
          <w:ilvl w:val="2"/>
          <w:numId w:val="1"/>
        </w:numPr>
        <w:jc w:val="both"/>
        <w:rPr>
          <w:rFonts w:ascii="Arial" w:hAnsi="Arial" w:cs="Arial"/>
          <w:b/>
          <w:sz w:val="20"/>
          <w:szCs w:val="20"/>
        </w:rPr>
      </w:pPr>
      <w:r w:rsidRPr="00417991">
        <w:rPr>
          <w:rFonts w:ascii="Arial" w:hAnsi="Arial" w:cs="Arial"/>
          <w:b/>
          <w:sz w:val="20"/>
          <w:szCs w:val="20"/>
        </w:rPr>
        <w:t>Fertilization</w:t>
      </w:r>
    </w:p>
    <w:p w14:paraId="086AFAF1" w14:textId="6F31C475" w:rsidR="00417991" w:rsidRDefault="00417991" w:rsidP="00417991">
      <w:pPr>
        <w:jc w:val="both"/>
        <w:rPr>
          <w:rFonts w:ascii="Arial" w:hAnsi="Arial" w:cs="Arial"/>
          <w:bCs/>
          <w:sz w:val="20"/>
          <w:szCs w:val="20"/>
        </w:rPr>
      </w:pPr>
      <w:r w:rsidRPr="00417991">
        <w:rPr>
          <w:rFonts w:ascii="Arial" w:hAnsi="Arial" w:cs="Arial"/>
          <w:bCs/>
          <w:sz w:val="20"/>
          <w:szCs w:val="20"/>
        </w:rPr>
        <w:t>Fertilization was carried out in two ways: as bottom dressing and as top dressing. The base manure consisted of 100 kg.ha-1 of ammonium phosphate (DAP) 18-46-0, with a composition of 18% nitrogen and 46% phosphorus, applied during tillage, i.e. 1 kg of DAP per experimental unit (SAED, 2001). For cover dressing, urea was applied in three applications averaging 275Kg.ha-1. Each treatment unit received a dose of 2.75Kg of urea. The following proportions were applied during the study: 40% as the first application (at the start of tillering), i.e. 1.1Kg per experimental unit; 40% as the second application (at panicle initiation), i.e. 1.1Kg per experimental unit; and 20% as the third application (at bolting), i.e. 0.55Kg per experimental unit.</w:t>
      </w:r>
    </w:p>
    <w:p w14:paraId="45A37896" w14:textId="0475BCE1" w:rsidR="00417991" w:rsidRDefault="00417991" w:rsidP="00417991">
      <w:pPr>
        <w:pStyle w:val="ListParagraph"/>
        <w:numPr>
          <w:ilvl w:val="2"/>
          <w:numId w:val="1"/>
        </w:numPr>
        <w:jc w:val="both"/>
        <w:rPr>
          <w:rFonts w:ascii="Arial" w:hAnsi="Arial" w:cs="Arial"/>
          <w:b/>
          <w:sz w:val="20"/>
          <w:szCs w:val="20"/>
        </w:rPr>
      </w:pPr>
      <w:r w:rsidRPr="00417991">
        <w:rPr>
          <w:rFonts w:ascii="Arial" w:hAnsi="Arial" w:cs="Arial"/>
          <w:b/>
          <w:sz w:val="20"/>
          <w:szCs w:val="20"/>
        </w:rPr>
        <w:t>Phytosanitary treatments</w:t>
      </w:r>
    </w:p>
    <w:p w14:paraId="63CC1955" w14:textId="09FE1C6F" w:rsidR="00417991" w:rsidRDefault="00417991" w:rsidP="00417991">
      <w:pPr>
        <w:jc w:val="both"/>
        <w:rPr>
          <w:rFonts w:ascii="Arial" w:hAnsi="Arial" w:cs="Arial"/>
          <w:bCs/>
          <w:sz w:val="20"/>
          <w:szCs w:val="20"/>
        </w:rPr>
      </w:pPr>
      <w:r w:rsidRPr="00417991">
        <w:rPr>
          <w:rFonts w:ascii="Arial" w:hAnsi="Arial" w:cs="Arial"/>
          <w:bCs/>
          <w:sz w:val="20"/>
          <w:szCs w:val="20"/>
        </w:rPr>
        <w:t>To control weeds, rice plots were treated on the 40th day after sowing with systemic herbicides such as Propanil at a dose of 8 to 10 l.ha-1 combined with Weedone at a dose of 11 l.ha-1 (SAED, 2001).</w:t>
      </w:r>
    </w:p>
    <w:p w14:paraId="28D4CDCC" w14:textId="42ED02EA" w:rsidR="00417991" w:rsidRPr="00417991" w:rsidRDefault="00417991" w:rsidP="00417991">
      <w:pPr>
        <w:pStyle w:val="ListParagraph"/>
        <w:numPr>
          <w:ilvl w:val="2"/>
          <w:numId w:val="1"/>
        </w:numPr>
        <w:jc w:val="both"/>
        <w:rPr>
          <w:rFonts w:ascii="Arial" w:hAnsi="Arial" w:cs="Arial"/>
          <w:b/>
          <w:sz w:val="20"/>
          <w:szCs w:val="20"/>
        </w:rPr>
      </w:pPr>
      <w:r w:rsidRPr="00417991">
        <w:rPr>
          <w:rFonts w:ascii="Arial" w:hAnsi="Arial" w:cs="Arial"/>
          <w:b/>
          <w:sz w:val="20"/>
          <w:szCs w:val="20"/>
        </w:rPr>
        <w:t>Soil sample collection</w:t>
      </w:r>
    </w:p>
    <w:p w14:paraId="33F43C88" w14:textId="77777777" w:rsidR="00417991" w:rsidRPr="00417991" w:rsidRDefault="00417991" w:rsidP="00417991">
      <w:pPr>
        <w:jc w:val="both"/>
        <w:rPr>
          <w:rFonts w:ascii="Arial" w:hAnsi="Arial" w:cs="Arial"/>
          <w:sz w:val="20"/>
          <w:szCs w:val="20"/>
        </w:rPr>
      </w:pPr>
      <w:r w:rsidRPr="00417991">
        <w:rPr>
          <w:rFonts w:ascii="Arial" w:hAnsi="Arial" w:cs="Arial"/>
          <w:sz w:val="20"/>
          <w:szCs w:val="20"/>
        </w:rPr>
        <w:t xml:space="preserve">Soil samples were collected using a soil auger from the 0-30 cm horizon for all treatments. In each plot, the Z-sampling method (Fabrizzi et al., 2005), which consists of taking samples at the four corners and in the middle of the sampling area, was adopted to obtain a composite sample per plot for physical and chemical analysis. </w:t>
      </w:r>
    </w:p>
    <w:p w14:paraId="0CB3AEF1" w14:textId="3BC2F2CA" w:rsidR="00326C8B" w:rsidRDefault="00417991" w:rsidP="00417991">
      <w:pPr>
        <w:jc w:val="both"/>
        <w:rPr>
          <w:rFonts w:ascii="Arial" w:hAnsi="Arial" w:cs="Arial"/>
          <w:sz w:val="20"/>
          <w:szCs w:val="20"/>
        </w:rPr>
      </w:pPr>
      <w:r w:rsidRPr="00417991">
        <w:rPr>
          <w:rFonts w:ascii="Arial" w:hAnsi="Arial" w:cs="Arial"/>
          <w:sz w:val="20"/>
          <w:szCs w:val="20"/>
        </w:rPr>
        <w:t>A direct-reading dynamic penetrometer was used to qualitatively assess resistance and check soil compaction.</w:t>
      </w:r>
    </w:p>
    <w:p w14:paraId="6094461E" w14:textId="77777777" w:rsidR="00417991" w:rsidRPr="00417991" w:rsidRDefault="00417991" w:rsidP="00417991">
      <w:pPr>
        <w:jc w:val="both"/>
        <w:rPr>
          <w:rFonts w:ascii="Arial" w:hAnsi="Arial" w:cs="Arial"/>
          <w:sz w:val="20"/>
          <w:szCs w:val="20"/>
        </w:rPr>
      </w:pPr>
      <w:r w:rsidRPr="00417991">
        <w:rPr>
          <w:rFonts w:ascii="Arial" w:hAnsi="Arial" w:cs="Arial"/>
          <w:sz w:val="20"/>
          <w:szCs w:val="20"/>
        </w:rPr>
        <w:t xml:space="preserve">Hydraulic conductivity was measured using double-ring infiltrometers (Fabrizzi et al., 2005). These are thin-walled open cylinders, one 60 cm and the other 30 cm in diameter, inserted into the soil at a depth of 5 cm. Water is infiltrated into the soil using the constant or descending head technique. This is done manually, which enabled us to take several measurements at the same time.  </w:t>
      </w:r>
    </w:p>
    <w:p w14:paraId="4051E665" w14:textId="3352D2BA" w:rsidR="00417991" w:rsidRDefault="00417991" w:rsidP="00417991">
      <w:pPr>
        <w:jc w:val="both"/>
        <w:rPr>
          <w:rFonts w:ascii="Arial" w:hAnsi="Arial" w:cs="Arial"/>
          <w:sz w:val="20"/>
          <w:szCs w:val="20"/>
        </w:rPr>
      </w:pPr>
      <w:r w:rsidRPr="00417991">
        <w:rPr>
          <w:rFonts w:ascii="Arial" w:hAnsi="Arial" w:cs="Arial"/>
          <w:sz w:val="20"/>
          <w:szCs w:val="20"/>
        </w:rPr>
        <w:lastRenderedPageBreak/>
        <w:t>For bulk density, the cylinder (C) method was used (Yoro et al., 1990). Soil samples were collected using cylinders sunk to a depth of 10 cm in three samplings for each treatment before tillage and after harvest, for a total of 3*24*2 = 144 samples per site.  Accessories for scoring and conditioning the samples were also used.</w:t>
      </w:r>
    </w:p>
    <w:p w14:paraId="22914EC7" w14:textId="5DD948C3" w:rsidR="00417991" w:rsidRDefault="00C60481" w:rsidP="00417991">
      <w:pPr>
        <w:pStyle w:val="ListParagraph"/>
        <w:numPr>
          <w:ilvl w:val="1"/>
          <w:numId w:val="1"/>
        </w:numPr>
        <w:jc w:val="both"/>
        <w:rPr>
          <w:rFonts w:ascii="Arial" w:hAnsi="Arial" w:cs="Arial"/>
          <w:b/>
          <w:bCs/>
        </w:rPr>
      </w:pPr>
      <w:r w:rsidRPr="00C60481">
        <w:rPr>
          <w:rFonts w:ascii="Arial" w:hAnsi="Arial" w:cs="Arial"/>
          <w:b/>
          <w:bCs/>
        </w:rPr>
        <w:t>Studied parameters</w:t>
      </w:r>
    </w:p>
    <w:p w14:paraId="0BE81F59" w14:textId="784A1740" w:rsidR="00C60481" w:rsidRDefault="00C60481" w:rsidP="00C60481">
      <w:pPr>
        <w:pStyle w:val="ListParagraph"/>
        <w:numPr>
          <w:ilvl w:val="2"/>
          <w:numId w:val="1"/>
        </w:numPr>
        <w:jc w:val="both"/>
        <w:rPr>
          <w:rFonts w:ascii="Arial" w:hAnsi="Arial" w:cs="Arial"/>
          <w:b/>
          <w:bCs/>
        </w:rPr>
      </w:pPr>
      <w:r w:rsidRPr="00C60481">
        <w:rPr>
          <w:rFonts w:ascii="Arial" w:hAnsi="Arial" w:cs="Arial"/>
          <w:b/>
          <w:bCs/>
        </w:rPr>
        <w:t>Physical parameters</w:t>
      </w:r>
    </w:p>
    <w:p w14:paraId="05DBE691" w14:textId="07BC9943" w:rsidR="00C60481" w:rsidRDefault="00C60481" w:rsidP="00C60481">
      <w:pPr>
        <w:pStyle w:val="ListParagraph"/>
        <w:numPr>
          <w:ilvl w:val="3"/>
          <w:numId w:val="1"/>
        </w:numPr>
        <w:jc w:val="both"/>
        <w:rPr>
          <w:rFonts w:ascii="Arial" w:hAnsi="Arial" w:cs="Arial"/>
          <w:b/>
          <w:bCs/>
        </w:rPr>
      </w:pPr>
      <w:r w:rsidRPr="00C60481">
        <w:rPr>
          <w:rFonts w:ascii="Arial" w:hAnsi="Arial" w:cs="Arial"/>
          <w:b/>
          <w:bCs/>
        </w:rPr>
        <w:t>Grain size</w:t>
      </w:r>
    </w:p>
    <w:p w14:paraId="7CE3630D" w14:textId="15B76FAD" w:rsidR="00C60481" w:rsidRDefault="00C60481" w:rsidP="00C60481">
      <w:pPr>
        <w:jc w:val="both"/>
        <w:rPr>
          <w:rFonts w:ascii="Arial" w:hAnsi="Arial" w:cs="Arial"/>
          <w:sz w:val="20"/>
          <w:szCs w:val="20"/>
        </w:rPr>
      </w:pPr>
      <w:r w:rsidRPr="00C60481">
        <w:rPr>
          <w:rFonts w:ascii="Arial" w:hAnsi="Arial" w:cs="Arial"/>
          <w:sz w:val="20"/>
          <w:szCs w:val="20"/>
        </w:rPr>
        <w:t>Granulometry was determined for all soil samples using Robinson's method, based on the sedimentation rate of the different particles, sand, silt and clay (Fabrizzi et al., 2005).</w:t>
      </w:r>
    </w:p>
    <w:p w14:paraId="0321B78E" w14:textId="52A59125" w:rsidR="00C60481" w:rsidRDefault="00C60481" w:rsidP="00C60481">
      <w:pPr>
        <w:pStyle w:val="ListParagraph"/>
        <w:numPr>
          <w:ilvl w:val="3"/>
          <w:numId w:val="1"/>
        </w:numPr>
        <w:jc w:val="both"/>
        <w:rPr>
          <w:rFonts w:ascii="Arial" w:hAnsi="Arial" w:cs="Arial"/>
          <w:b/>
          <w:bCs/>
        </w:rPr>
      </w:pPr>
      <w:r w:rsidRPr="00C60481">
        <w:rPr>
          <w:rFonts w:ascii="Arial" w:hAnsi="Arial" w:cs="Arial"/>
          <w:b/>
          <w:bCs/>
        </w:rPr>
        <w:t>Structural stability</w:t>
      </w:r>
    </w:p>
    <w:p w14:paraId="0F82556B" w14:textId="77777777" w:rsidR="00C60481" w:rsidRPr="00C60481" w:rsidRDefault="00C60481" w:rsidP="00C60481">
      <w:pPr>
        <w:jc w:val="both"/>
        <w:rPr>
          <w:rFonts w:ascii="Arial" w:hAnsi="Arial" w:cs="Arial"/>
          <w:sz w:val="20"/>
          <w:szCs w:val="20"/>
        </w:rPr>
      </w:pPr>
      <w:r w:rsidRPr="00C60481">
        <w:rPr>
          <w:rFonts w:ascii="Arial" w:hAnsi="Arial" w:cs="Arial"/>
          <w:sz w:val="20"/>
          <w:szCs w:val="20"/>
        </w:rPr>
        <w:t xml:space="preserve">Soil structural stability, which is an indicator of the cohesion of soil aggregates and therefore expresses the ability of soil aggregates to resist disintegration, was assessed by determining the silt, clay and organic matter content of soils. The battance index (Ib), which reflects this structural stability, was then calculated by applying the Rémy and Marin-Laflèche (1974) formula, with two variants depending on pH. </w:t>
      </w:r>
    </w:p>
    <w:p w14:paraId="25725198" w14:textId="0B489CD5" w:rsidR="00C60481" w:rsidRDefault="00C60481" w:rsidP="00C60481">
      <w:pPr>
        <w:jc w:val="both"/>
        <w:rPr>
          <w:rFonts w:ascii="Arial" w:hAnsi="Arial" w:cs="Arial"/>
          <w:sz w:val="20"/>
          <w:szCs w:val="20"/>
        </w:rPr>
      </w:pPr>
      <w:r w:rsidRPr="00C60481">
        <w:rPr>
          <w:rFonts w:ascii="Arial" w:hAnsi="Arial" w:cs="Arial"/>
          <w:sz w:val="20"/>
          <w:szCs w:val="20"/>
        </w:rPr>
        <w:t>The following formula (A) applies to soils with a pH above 7</w:t>
      </w:r>
      <w:r>
        <w:rPr>
          <w:rFonts w:ascii="Arial" w:hAnsi="Arial" w:cs="Arial"/>
          <w:sz w:val="20"/>
          <w:szCs w:val="20"/>
        </w:rPr>
        <w:t>.</w:t>
      </w:r>
    </w:p>
    <w:bookmarkStart w:id="0" w:name="_Hlk189483294"/>
    <w:p w14:paraId="602C6C54" w14:textId="189CC105" w:rsidR="00C60481" w:rsidRDefault="00736EBD" w:rsidP="00C60481">
      <w:pPr>
        <w:jc w:val="center"/>
        <w:rPr>
          <w:rFonts w:ascii="Arial" w:eastAsiaTheme="minorEastAsia" w:hAnsi="Arial" w:cs="Arial"/>
          <w:sz w:val="20"/>
          <w:szCs w:val="20"/>
        </w:rPr>
      </w:pPr>
      <m:oMath>
        <m:sSub>
          <m:sSubPr>
            <m:ctrlPr>
              <w:rPr>
                <w:rFonts w:ascii="Cambria Math" w:eastAsia="Calibri" w:hAnsi="Cambria Math" w:cs="Arial"/>
                <w:i/>
              </w:rPr>
            </m:ctrlPr>
          </m:sSubPr>
          <m:e>
            <m:r>
              <w:rPr>
                <w:rFonts w:ascii="Cambria Math" w:eastAsia="Calibri" w:hAnsi="Cambria Math" w:cs="Arial"/>
              </w:rPr>
              <m:t>I</m:t>
            </m:r>
          </m:e>
          <m:sub>
            <m:r>
              <w:rPr>
                <w:rFonts w:ascii="Cambria Math" w:eastAsia="Calibri" w:hAnsi="Cambria Math" w:cs="Arial"/>
              </w:rPr>
              <m:t>b</m:t>
            </m:r>
          </m:sub>
        </m:sSub>
        <m:r>
          <w:rPr>
            <w:rFonts w:ascii="Cambria Math" w:eastAsia="Calibri" w:hAnsi="Cambria Math" w:cs="Arial"/>
          </w:rPr>
          <m:t>=</m:t>
        </m:r>
        <m:f>
          <m:fPr>
            <m:ctrlPr>
              <w:rPr>
                <w:rFonts w:ascii="Cambria Math" w:eastAsia="Calibri" w:hAnsi="Cambria Math" w:cs="Arial"/>
                <w:i/>
              </w:rPr>
            </m:ctrlPr>
          </m:fPr>
          <m:num>
            <m:d>
              <m:dPr>
                <m:ctrlPr>
                  <w:rPr>
                    <w:rFonts w:ascii="Cambria Math" w:eastAsia="Calibri" w:hAnsi="Cambria Math" w:cs="Arial"/>
                    <w:i/>
                  </w:rPr>
                </m:ctrlPr>
              </m:dPr>
              <m:e>
                <m:r>
                  <w:rPr>
                    <w:rFonts w:ascii="Cambria Math" w:eastAsia="Calibri" w:hAnsi="Cambria Math" w:cs="Arial"/>
                  </w:rPr>
                  <m:t>1,5*%</m:t>
                </m:r>
                <m:r>
                  <w:rPr>
                    <w:rFonts w:ascii="Cambria Math" w:eastAsia="Calibri" w:hAnsi="Cambria Math" w:cs="Arial"/>
                  </w:rPr>
                  <m:t>fine</m:t>
                </m:r>
                <m:r>
                  <w:rPr>
                    <w:rFonts w:ascii="Cambria Math" w:eastAsia="Calibri" w:hAnsi="Cambria Math" w:cs="Arial"/>
                  </w:rPr>
                  <m:t xml:space="preserve"> </m:t>
                </m:r>
                <m:r>
                  <w:rPr>
                    <w:rFonts w:ascii="Cambria Math" w:eastAsia="Calibri" w:hAnsi="Cambria Math" w:cs="Arial"/>
                  </w:rPr>
                  <m:t>silts</m:t>
                </m:r>
              </m:e>
            </m:d>
            <m:r>
              <w:rPr>
                <w:rFonts w:ascii="Cambria Math" w:eastAsia="Calibri" w:hAnsi="Cambria Math" w:cs="Arial"/>
              </w:rPr>
              <m:t>+(0,75*%</m:t>
            </m:r>
            <m:r>
              <w:rPr>
                <w:rFonts w:ascii="Cambria Math" w:eastAsia="Calibri" w:hAnsi="Cambria Math" w:cs="Arial"/>
              </w:rPr>
              <m:t>coarse</m:t>
            </m:r>
            <m:r>
              <w:rPr>
                <w:rFonts w:ascii="Cambria Math" w:eastAsia="Calibri" w:hAnsi="Cambria Math" w:cs="Arial"/>
              </w:rPr>
              <m:t xml:space="preserve"> </m:t>
            </m:r>
            <m:r>
              <w:rPr>
                <w:rFonts w:ascii="Cambria Math" w:eastAsia="Calibri" w:hAnsi="Cambria Math" w:cs="Arial"/>
              </w:rPr>
              <m:t>silts</m:t>
            </m:r>
            <m:r>
              <w:rPr>
                <w:rFonts w:ascii="Cambria Math" w:eastAsia="Calibri" w:hAnsi="Cambria Math" w:cs="Arial"/>
              </w:rPr>
              <m:t>)</m:t>
            </m:r>
          </m:num>
          <m:den>
            <m:r>
              <w:rPr>
                <w:rFonts w:ascii="Cambria Math" w:eastAsia="Calibri" w:hAnsi="Cambria Math" w:cs="Arial"/>
              </w:rPr>
              <m:t>%</m:t>
            </m:r>
            <m:r>
              <w:rPr>
                <w:rFonts w:ascii="Cambria Math" w:eastAsia="Calibri" w:hAnsi="Cambria Math" w:cs="Arial"/>
              </w:rPr>
              <m:t>clay</m:t>
            </m:r>
            <m:r>
              <w:rPr>
                <w:rFonts w:ascii="Cambria Math" w:eastAsia="Calibri" w:hAnsi="Cambria Math" w:cs="Arial"/>
              </w:rPr>
              <m:t>+(10*%</m:t>
            </m:r>
            <m:r>
              <w:rPr>
                <w:rFonts w:ascii="Cambria Math" w:eastAsia="Calibri" w:hAnsi="Cambria Math" w:cs="Arial"/>
              </w:rPr>
              <m:t>organic</m:t>
            </m:r>
            <m:r>
              <w:rPr>
                <w:rFonts w:ascii="Cambria Math" w:eastAsia="Calibri" w:hAnsi="Cambria Math" w:cs="Arial"/>
              </w:rPr>
              <m:t xml:space="preserve"> </m:t>
            </m:r>
            <m:r>
              <w:rPr>
                <w:rFonts w:ascii="Cambria Math" w:eastAsia="Calibri" w:hAnsi="Cambria Math" w:cs="Arial"/>
              </w:rPr>
              <m:t>matter</m:t>
            </m:r>
            <m:r>
              <w:rPr>
                <w:rFonts w:ascii="Cambria Math" w:eastAsia="Calibri" w:hAnsi="Cambria Math" w:cs="Arial"/>
              </w:rPr>
              <m:t>)</m:t>
            </m:r>
          </m:den>
        </m:f>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0,2*</m:t>
            </m:r>
            <m:d>
              <m:dPr>
                <m:ctrlPr>
                  <w:rPr>
                    <w:rFonts w:ascii="Cambria Math" w:eastAsia="Calibri" w:hAnsi="Cambria Math" w:cs="Arial"/>
                    <w:i/>
                  </w:rPr>
                </m:ctrlPr>
              </m:dPr>
              <m:e>
                <m:r>
                  <w:rPr>
                    <w:rFonts w:ascii="Cambria Math" w:eastAsia="Calibri" w:hAnsi="Cambria Math" w:cs="Arial"/>
                  </w:rPr>
                  <m:t>pH</m:t>
                </m:r>
                <m:r>
                  <w:rPr>
                    <w:rFonts w:ascii="Cambria Math" w:eastAsia="Calibri" w:hAnsi="Cambria Math" w:cs="Arial"/>
                  </w:rPr>
                  <m:t>-</m:t>
                </m:r>
                <m:r>
                  <w:rPr>
                    <w:rFonts w:ascii="Cambria Math" w:eastAsia="Calibri" w:hAnsi="Cambria Math" w:cs="Arial"/>
                  </w:rPr>
                  <m:t>7</m:t>
                </m:r>
              </m:e>
            </m:d>
          </m:e>
        </m:d>
        <m:r>
          <w:rPr>
            <w:rFonts w:ascii="Cambria Math" w:eastAsia="Calibri" w:hAnsi="Cambria Math" w:cs="Arial"/>
          </w:rPr>
          <m:t>;</m:t>
        </m:r>
        <m:r>
          <w:rPr>
            <w:rFonts w:ascii="Cambria Math" w:eastAsia="Calibri" w:hAnsi="Cambria Math" w:cs="Arial"/>
          </w:rPr>
          <m:t>if</m:t>
        </m:r>
        <m:r>
          <w:rPr>
            <w:rFonts w:ascii="Cambria Math" w:eastAsia="Calibri" w:hAnsi="Cambria Math" w:cs="Arial"/>
          </w:rPr>
          <m:t xml:space="preserve"> </m:t>
        </m:r>
        <m:r>
          <w:rPr>
            <w:rFonts w:ascii="Cambria Math" w:eastAsia="Calibri" w:hAnsi="Cambria Math" w:cs="Arial"/>
          </w:rPr>
          <m:t>pH</m:t>
        </m:r>
        <m:r>
          <w:rPr>
            <w:rFonts w:ascii="Cambria Math" w:eastAsia="Calibri" w:hAnsi="Cambria Math" w:cs="Arial"/>
          </w:rPr>
          <m:t xml:space="preserve">&gt;7     </m:t>
        </m:r>
      </m:oMath>
      <w:bookmarkEnd w:id="0"/>
      <w:r w:rsidR="00C60481" w:rsidRPr="003A4979">
        <w:rPr>
          <w:rFonts w:ascii="Arial" w:eastAsiaTheme="minorEastAsia" w:hAnsi="Arial" w:cs="Arial"/>
        </w:rPr>
        <w:t>(2</w:t>
      </w:r>
      <w:r w:rsidR="00C60481" w:rsidRPr="00C60481">
        <w:rPr>
          <w:rFonts w:ascii="Arial" w:eastAsiaTheme="minorEastAsia" w:hAnsi="Arial" w:cs="Arial"/>
          <w:sz w:val="20"/>
          <w:szCs w:val="20"/>
        </w:rPr>
        <w:t>)</w:t>
      </w:r>
    </w:p>
    <w:p w14:paraId="6E324828" w14:textId="78E17507" w:rsidR="003A4979" w:rsidRDefault="003A4979" w:rsidP="003A4979">
      <w:pPr>
        <w:jc w:val="both"/>
        <w:rPr>
          <w:rFonts w:ascii="Arial" w:eastAsiaTheme="minorEastAsia" w:hAnsi="Arial" w:cs="Arial"/>
          <w:sz w:val="20"/>
          <w:szCs w:val="20"/>
        </w:rPr>
      </w:pPr>
      <w:r w:rsidRPr="003A4979">
        <w:rPr>
          <w:rFonts w:ascii="Arial" w:eastAsiaTheme="minorEastAsia" w:hAnsi="Arial" w:cs="Arial"/>
          <w:sz w:val="20"/>
          <w:szCs w:val="20"/>
        </w:rPr>
        <w:t>Formula (B) is used for soils with a pH below 7</w:t>
      </w:r>
      <w:r>
        <w:rPr>
          <w:rFonts w:ascii="Arial" w:eastAsiaTheme="minorEastAsia" w:hAnsi="Arial" w:cs="Arial"/>
          <w:sz w:val="20"/>
          <w:szCs w:val="20"/>
        </w:rPr>
        <w:t>.</w:t>
      </w:r>
    </w:p>
    <w:p w14:paraId="2BB112BA" w14:textId="77777777" w:rsidR="003A4979" w:rsidRDefault="003A4979" w:rsidP="003A4979">
      <w:pPr>
        <w:jc w:val="both"/>
        <w:rPr>
          <w:rFonts w:ascii="Arial" w:eastAsiaTheme="minorEastAsia" w:hAnsi="Arial" w:cs="Arial"/>
          <w:sz w:val="20"/>
          <w:szCs w:val="20"/>
        </w:rPr>
      </w:pPr>
    </w:p>
    <w:p w14:paraId="070AD205" w14:textId="06430180" w:rsidR="00C60481" w:rsidRPr="003A4979" w:rsidRDefault="00736EBD" w:rsidP="00C60481">
      <w:pPr>
        <w:jc w:val="center"/>
        <w:rPr>
          <w:rFonts w:ascii="Arial" w:eastAsiaTheme="minorEastAsia" w:hAnsi="Arial" w:cs="Arial"/>
        </w:rPr>
      </w:pPr>
      <m:oMathPara>
        <m:oMath>
          <m:sSub>
            <m:sSubPr>
              <m:ctrlPr>
                <w:rPr>
                  <w:rFonts w:ascii="Cambria Math" w:eastAsia="Calibri" w:hAnsi="Cambria Math" w:cs="Arial"/>
                  <w:i/>
                </w:rPr>
              </m:ctrlPr>
            </m:sSubPr>
            <m:e>
              <m:r>
                <w:rPr>
                  <w:rFonts w:ascii="Cambria Math" w:eastAsia="Calibri" w:hAnsi="Cambria Math" w:cs="Arial"/>
                </w:rPr>
                <m:t>I</m:t>
              </m:r>
            </m:e>
            <m:sub>
              <m:r>
                <w:rPr>
                  <w:rFonts w:ascii="Cambria Math" w:eastAsia="Calibri" w:hAnsi="Cambria Math" w:cs="Arial"/>
                </w:rPr>
                <m:t>b</m:t>
              </m:r>
            </m:sub>
          </m:sSub>
          <m:r>
            <w:rPr>
              <w:rFonts w:ascii="Cambria Math" w:eastAsia="Calibri" w:hAnsi="Cambria Math" w:cs="Arial"/>
            </w:rPr>
            <m:t>=</m:t>
          </m:r>
          <m:f>
            <m:fPr>
              <m:ctrlPr>
                <w:rPr>
                  <w:rFonts w:ascii="Cambria Math" w:eastAsia="Calibri" w:hAnsi="Cambria Math" w:cs="Arial"/>
                  <w:i/>
                </w:rPr>
              </m:ctrlPr>
            </m:fPr>
            <m:num>
              <m:d>
                <m:dPr>
                  <m:ctrlPr>
                    <w:rPr>
                      <w:rFonts w:ascii="Cambria Math" w:eastAsia="Calibri" w:hAnsi="Cambria Math" w:cs="Arial"/>
                      <w:i/>
                    </w:rPr>
                  </m:ctrlPr>
                </m:dPr>
                <m:e>
                  <m:r>
                    <w:rPr>
                      <w:rFonts w:ascii="Cambria Math" w:eastAsia="Calibri" w:hAnsi="Cambria Math" w:cs="Arial"/>
                    </w:rPr>
                    <m:t>1,5*%</m:t>
                  </m:r>
                  <m:r>
                    <w:rPr>
                      <w:rFonts w:ascii="Cambria Math" w:eastAsia="Calibri" w:hAnsi="Cambria Math" w:cs="Arial"/>
                    </w:rPr>
                    <m:t>fine</m:t>
                  </m:r>
                  <m:r>
                    <w:rPr>
                      <w:rFonts w:ascii="Cambria Math" w:eastAsia="Calibri" w:hAnsi="Cambria Math" w:cs="Arial"/>
                    </w:rPr>
                    <m:t xml:space="preserve"> </m:t>
                  </m:r>
                  <m:r>
                    <w:rPr>
                      <w:rFonts w:ascii="Cambria Math" w:eastAsia="Calibri" w:hAnsi="Cambria Math" w:cs="Arial"/>
                    </w:rPr>
                    <m:t>silts</m:t>
                  </m:r>
                </m:e>
              </m:d>
              <m:r>
                <w:rPr>
                  <w:rFonts w:ascii="Cambria Math" w:eastAsia="Calibri" w:hAnsi="Cambria Math" w:cs="Arial"/>
                </w:rPr>
                <m:t>+(0,75*%</m:t>
              </m:r>
              <m:r>
                <w:rPr>
                  <w:rFonts w:ascii="Cambria Math" w:eastAsia="Calibri" w:hAnsi="Cambria Math" w:cs="Arial"/>
                </w:rPr>
                <m:t>coarse</m:t>
              </m:r>
              <m:r>
                <w:rPr>
                  <w:rFonts w:ascii="Cambria Math" w:eastAsia="Calibri" w:hAnsi="Cambria Math" w:cs="Arial"/>
                </w:rPr>
                <m:t xml:space="preserve"> </m:t>
              </m:r>
              <m:r>
                <w:rPr>
                  <w:rFonts w:ascii="Cambria Math" w:eastAsia="Calibri" w:hAnsi="Cambria Math" w:cs="Arial"/>
                </w:rPr>
                <m:t>silts</m:t>
              </m:r>
              <m:r>
                <w:rPr>
                  <w:rFonts w:ascii="Cambria Math" w:eastAsia="Calibri" w:hAnsi="Cambria Math" w:cs="Arial"/>
                </w:rPr>
                <m:t>)</m:t>
              </m:r>
            </m:num>
            <m:den>
              <m:r>
                <w:rPr>
                  <w:rFonts w:ascii="Cambria Math" w:eastAsia="Calibri" w:hAnsi="Cambria Math" w:cs="Arial"/>
                </w:rPr>
                <m:t>%</m:t>
              </m:r>
              <m:r>
                <w:rPr>
                  <w:rFonts w:ascii="Cambria Math" w:eastAsia="Calibri" w:hAnsi="Cambria Math" w:cs="Arial"/>
                </w:rPr>
                <m:t>clay</m:t>
              </m:r>
              <m:r>
                <w:rPr>
                  <w:rFonts w:ascii="Cambria Math" w:eastAsia="Calibri" w:hAnsi="Cambria Math" w:cs="Arial"/>
                </w:rPr>
                <m:t>+(10*%</m:t>
              </m:r>
              <m:r>
                <w:rPr>
                  <w:rFonts w:ascii="Cambria Math" w:eastAsia="Calibri" w:hAnsi="Cambria Math" w:cs="Arial"/>
                </w:rPr>
                <m:t>organic</m:t>
              </m:r>
              <m:r>
                <w:rPr>
                  <w:rFonts w:ascii="Cambria Math" w:eastAsia="Calibri" w:hAnsi="Cambria Math" w:cs="Arial"/>
                </w:rPr>
                <m:t xml:space="preserve"> </m:t>
              </m:r>
              <m:r>
                <w:rPr>
                  <w:rFonts w:ascii="Cambria Math" w:eastAsia="Calibri" w:hAnsi="Cambria Math" w:cs="Arial"/>
                </w:rPr>
                <m:t>matter</m:t>
              </m:r>
              <m:r>
                <w:rPr>
                  <w:rFonts w:ascii="Cambria Math" w:eastAsia="Calibri" w:hAnsi="Cambria Math" w:cs="Arial"/>
                </w:rPr>
                <m:t>)</m:t>
              </m:r>
            </m:den>
          </m:f>
          <m:r>
            <w:rPr>
              <w:rFonts w:ascii="Cambria Math" w:eastAsia="Calibri" w:hAnsi="Cambria Math" w:cs="Arial"/>
            </w:rPr>
            <m:t>;</m:t>
          </m:r>
          <m:r>
            <w:rPr>
              <w:rFonts w:ascii="Cambria Math" w:eastAsia="Calibri" w:hAnsi="Cambria Math" w:cs="Arial"/>
            </w:rPr>
            <m:t>if</m:t>
          </m:r>
          <m:r>
            <w:rPr>
              <w:rFonts w:ascii="Cambria Math" w:eastAsia="Calibri" w:hAnsi="Cambria Math" w:cs="Arial"/>
            </w:rPr>
            <m:t xml:space="preserve"> </m:t>
          </m:r>
          <m:r>
            <w:rPr>
              <w:rFonts w:ascii="Cambria Math" w:eastAsia="Calibri" w:hAnsi="Cambria Math" w:cs="Arial"/>
            </w:rPr>
            <m:t>pH</m:t>
          </m:r>
          <m:r>
            <w:rPr>
              <w:rFonts w:ascii="Cambria Math" w:eastAsia="Calibri" w:hAnsi="Cambria Math" w:cs="Arial"/>
            </w:rPr>
            <m:t xml:space="preserve">&lt;7   (3)  </m:t>
          </m:r>
        </m:oMath>
      </m:oMathPara>
    </w:p>
    <w:p w14:paraId="76FFEBF1" w14:textId="189F9F47" w:rsidR="003A4979" w:rsidRDefault="003A4979" w:rsidP="003A4979">
      <w:pPr>
        <w:jc w:val="both"/>
        <w:rPr>
          <w:rFonts w:ascii="Arial" w:eastAsiaTheme="minorEastAsia" w:hAnsi="Arial" w:cs="Arial"/>
          <w:sz w:val="20"/>
          <w:szCs w:val="20"/>
        </w:rPr>
      </w:pPr>
      <w:r w:rsidRPr="003A4979">
        <w:rPr>
          <w:rFonts w:ascii="Arial" w:eastAsiaTheme="minorEastAsia" w:hAnsi="Arial" w:cs="Arial"/>
          <w:sz w:val="20"/>
          <w:szCs w:val="20"/>
        </w:rPr>
        <w:t>In this study, given that ph &lt;7, formula (3) was used.</w:t>
      </w:r>
    </w:p>
    <w:p w14:paraId="2F4D8703" w14:textId="683E04E5" w:rsidR="003A4979" w:rsidRDefault="003A4979" w:rsidP="003A4979">
      <w:pPr>
        <w:pStyle w:val="ListParagraph"/>
        <w:numPr>
          <w:ilvl w:val="3"/>
          <w:numId w:val="1"/>
        </w:numPr>
        <w:jc w:val="both"/>
        <w:rPr>
          <w:rFonts w:ascii="Arial" w:eastAsiaTheme="minorEastAsia" w:hAnsi="Arial" w:cs="Arial"/>
          <w:b/>
          <w:bCs/>
        </w:rPr>
      </w:pPr>
      <w:r w:rsidRPr="003A4979">
        <w:rPr>
          <w:rFonts w:ascii="Arial" w:eastAsiaTheme="minorEastAsia" w:hAnsi="Arial" w:cs="Arial"/>
          <w:b/>
          <w:bCs/>
        </w:rPr>
        <w:t>Apparent density</w:t>
      </w:r>
    </w:p>
    <w:p w14:paraId="60A3D9F8" w14:textId="07442AEB" w:rsidR="003A4979" w:rsidRDefault="003A4979" w:rsidP="003A4979">
      <w:pPr>
        <w:jc w:val="both"/>
        <w:rPr>
          <w:rFonts w:ascii="Arial" w:eastAsiaTheme="minorEastAsia" w:hAnsi="Arial" w:cs="Arial"/>
          <w:sz w:val="20"/>
          <w:szCs w:val="20"/>
        </w:rPr>
      </w:pPr>
      <w:r w:rsidRPr="003A4979">
        <w:rPr>
          <w:rFonts w:ascii="Arial" w:eastAsiaTheme="minorEastAsia" w:hAnsi="Arial" w:cs="Arial"/>
          <w:sz w:val="20"/>
          <w:szCs w:val="20"/>
        </w:rPr>
        <w:t>Bulk density is the mass of a unit volume of soil at 105</w:t>
      </w:r>
      <w:r w:rsidRPr="003A4979">
        <w:rPr>
          <w:rFonts w:ascii="Arial" w:eastAsiaTheme="minorEastAsia" w:hAnsi="Arial" w:cs="Arial"/>
          <w:sz w:val="20"/>
          <w:szCs w:val="20"/>
          <w:vertAlign w:val="superscript"/>
        </w:rPr>
        <w:t>o</w:t>
      </w:r>
      <w:r w:rsidRPr="003A4979">
        <w:rPr>
          <w:rFonts w:ascii="Arial" w:eastAsiaTheme="minorEastAsia" w:hAnsi="Arial" w:cs="Arial"/>
          <w:sz w:val="20"/>
          <w:szCs w:val="20"/>
        </w:rPr>
        <w:t xml:space="preserve"> C. This volume includes both solids and pores (Alongo et al. 2013). In this study it was determined by applying the following formula</w:t>
      </w:r>
      <w:r>
        <w:rPr>
          <w:rFonts w:ascii="Arial" w:eastAsiaTheme="minorEastAsia" w:hAnsi="Arial" w:cs="Arial"/>
          <w:sz w:val="20"/>
          <w:szCs w:val="20"/>
        </w:rPr>
        <w:t xml:space="preserve"> </w:t>
      </w:r>
      <w:r w:rsidRPr="003A4979">
        <w:rPr>
          <w:rFonts w:ascii="Arial" w:eastAsiaTheme="minorEastAsia" w:hAnsi="Arial" w:cs="Arial"/>
          <w:sz w:val="20"/>
          <w:szCs w:val="20"/>
        </w:rPr>
        <w:t>:</w:t>
      </w:r>
    </w:p>
    <w:p w14:paraId="784AF64F" w14:textId="32782F17" w:rsidR="003A4979" w:rsidRPr="003A4979" w:rsidRDefault="003A4979" w:rsidP="003A4979">
      <w:pPr>
        <w:jc w:val="both"/>
        <w:rPr>
          <w:rFonts w:ascii="Arial" w:eastAsiaTheme="minorEastAsia" w:hAnsi="Arial" w:cs="Arial"/>
          <w:sz w:val="24"/>
          <w:szCs w:val="24"/>
        </w:rPr>
      </w:pPr>
      <m:oMathPara>
        <m:oMath>
          <m:r>
            <w:rPr>
              <w:rFonts w:ascii="Cambria Math" w:eastAsia="Calibri" w:hAnsi="Cambria Math" w:cs="Times New Roman"/>
              <w:sz w:val="24"/>
              <w:szCs w:val="24"/>
            </w:rPr>
            <m:t>da=</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s</m:t>
                  </m:r>
                </m:sub>
              </m:sSub>
            </m:num>
            <m:den>
              <m:r>
                <w:rPr>
                  <w:rFonts w:ascii="Cambria Math" w:eastAsia="Calibri" w:hAnsi="Cambria Math" w:cs="Times New Roman"/>
                  <w:sz w:val="24"/>
                  <w:szCs w:val="24"/>
                </w:rPr>
                <m:t>V</m:t>
              </m:r>
            </m:den>
          </m:f>
          <m:r>
            <w:rPr>
              <w:rFonts w:ascii="Cambria Math" w:eastAsia="Calibri" w:hAnsi="Cambria Math" w:cs="Times New Roman"/>
              <w:sz w:val="24"/>
              <w:szCs w:val="24"/>
            </w:rPr>
            <m:t xml:space="preserve"> (4)</m:t>
          </m:r>
        </m:oMath>
      </m:oMathPara>
    </w:p>
    <w:p w14:paraId="149EC2E2" w14:textId="77777777" w:rsidR="003A4979" w:rsidRPr="003A4979" w:rsidRDefault="003A4979" w:rsidP="003A4979">
      <w:pPr>
        <w:jc w:val="both"/>
        <w:rPr>
          <w:rFonts w:ascii="Arial" w:eastAsiaTheme="minorEastAsia" w:hAnsi="Arial" w:cs="Arial"/>
          <w:sz w:val="20"/>
          <w:szCs w:val="20"/>
        </w:rPr>
      </w:pPr>
      <w:r w:rsidRPr="003A4979">
        <w:rPr>
          <w:rFonts w:ascii="Arial" w:eastAsiaTheme="minorEastAsia" w:hAnsi="Arial" w:cs="Arial"/>
          <w:sz w:val="20"/>
          <w:szCs w:val="20"/>
        </w:rPr>
        <w:t>With :</w:t>
      </w:r>
    </w:p>
    <w:p w14:paraId="29A72162" w14:textId="77777777" w:rsidR="003A4979" w:rsidRPr="003A4979" w:rsidRDefault="003A4979" w:rsidP="003A4979">
      <w:pPr>
        <w:jc w:val="both"/>
        <w:rPr>
          <w:rFonts w:ascii="Arial" w:eastAsiaTheme="minorEastAsia" w:hAnsi="Arial" w:cs="Arial"/>
          <w:sz w:val="20"/>
          <w:szCs w:val="20"/>
        </w:rPr>
      </w:pPr>
      <w:r w:rsidRPr="003A4979">
        <w:rPr>
          <w:rFonts w:ascii="Arial" w:eastAsiaTheme="minorEastAsia" w:hAnsi="Arial" w:cs="Arial"/>
          <w:sz w:val="20"/>
          <w:szCs w:val="20"/>
        </w:rPr>
        <w:t xml:space="preserve">da: bulk density, </w:t>
      </w:r>
    </w:p>
    <w:p w14:paraId="0BB878CF" w14:textId="77777777" w:rsidR="003A4979" w:rsidRPr="003A4979" w:rsidRDefault="003A4979" w:rsidP="003A4979">
      <w:pPr>
        <w:jc w:val="both"/>
        <w:rPr>
          <w:rFonts w:ascii="Arial" w:eastAsiaTheme="minorEastAsia" w:hAnsi="Arial" w:cs="Arial"/>
          <w:sz w:val="20"/>
          <w:szCs w:val="20"/>
        </w:rPr>
      </w:pPr>
      <w:r w:rsidRPr="003A4979">
        <w:rPr>
          <w:rFonts w:ascii="Arial" w:eastAsiaTheme="minorEastAsia" w:hAnsi="Arial" w:cs="Arial"/>
          <w:sz w:val="20"/>
          <w:szCs w:val="20"/>
        </w:rPr>
        <w:t>ms: mass of dry soil,</w:t>
      </w:r>
    </w:p>
    <w:p w14:paraId="6233637C" w14:textId="12C777CD" w:rsidR="003A4979" w:rsidRDefault="003A4979" w:rsidP="003A4979">
      <w:pPr>
        <w:jc w:val="both"/>
        <w:rPr>
          <w:rFonts w:ascii="Arial" w:eastAsiaTheme="minorEastAsia" w:hAnsi="Arial" w:cs="Arial"/>
          <w:sz w:val="20"/>
          <w:szCs w:val="20"/>
        </w:rPr>
      </w:pPr>
      <w:r w:rsidRPr="003A4979">
        <w:rPr>
          <w:rFonts w:ascii="Arial" w:eastAsiaTheme="minorEastAsia" w:hAnsi="Arial" w:cs="Arial"/>
          <w:sz w:val="20"/>
          <w:szCs w:val="20"/>
        </w:rPr>
        <w:t>V: total volume (related)</w:t>
      </w:r>
    </w:p>
    <w:p w14:paraId="3747BED4" w14:textId="008A257F" w:rsidR="003A4979" w:rsidRPr="003A4979" w:rsidRDefault="004A4983" w:rsidP="003A4979">
      <w:pPr>
        <w:pStyle w:val="ListParagraph"/>
        <w:numPr>
          <w:ilvl w:val="3"/>
          <w:numId w:val="1"/>
        </w:numPr>
        <w:jc w:val="both"/>
        <w:rPr>
          <w:rFonts w:ascii="Arial" w:eastAsiaTheme="minorEastAsia" w:hAnsi="Arial" w:cs="Arial"/>
          <w:b/>
          <w:bCs/>
        </w:rPr>
      </w:pPr>
      <w:r w:rsidRPr="004A4983">
        <w:rPr>
          <w:rFonts w:ascii="Arial" w:eastAsiaTheme="minorEastAsia" w:hAnsi="Arial" w:cs="Arial"/>
          <w:b/>
          <w:bCs/>
          <w:iCs/>
        </w:rPr>
        <w:t>Penetration resistance</w:t>
      </w:r>
    </w:p>
    <w:p w14:paraId="608F560A" w14:textId="4DCA3320" w:rsidR="003A4979" w:rsidRDefault="00A5475B" w:rsidP="003A4979">
      <w:pPr>
        <w:jc w:val="both"/>
        <w:rPr>
          <w:rFonts w:ascii="Arial" w:eastAsiaTheme="minorEastAsia" w:hAnsi="Arial" w:cs="Arial"/>
          <w:sz w:val="20"/>
          <w:szCs w:val="20"/>
        </w:rPr>
      </w:pPr>
      <w:r w:rsidRPr="00A5475B">
        <w:rPr>
          <w:rFonts w:ascii="Arial" w:eastAsiaTheme="minorEastAsia" w:hAnsi="Arial" w:cs="Arial"/>
          <w:sz w:val="20"/>
          <w:szCs w:val="20"/>
        </w:rPr>
        <w:t>The resistance of the soil to the insertion of a standardized tool has been evaluated using a needle penetrometer. The rod of the penetrometer is driven into the ground to a depth of around 30 cm, exerting constant pressure, and the value indicated by the needle is read off.</w:t>
      </w:r>
    </w:p>
    <w:p w14:paraId="49824191" w14:textId="77777777" w:rsidR="00A5475B" w:rsidRDefault="00A5475B" w:rsidP="003A4979">
      <w:pPr>
        <w:jc w:val="both"/>
        <w:rPr>
          <w:rFonts w:ascii="Arial" w:eastAsiaTheme="minorEastAsia" w:hAnsi="Arial" w:cs="Arial"/>
          <w:sz w:val="20"/>
          <w:szCs w:val="20"/>
        </w:rPr>
      </w:pPr>
      <w:r w:rsidRPr="00A5475B">
        <w:rPr>
          <w:rFonts w:ascii="Calibri" w:eastAsia="Calibri" w:hAnsi="Calibri" w:cs="Times New Roman"/>
          <w:noProof/>
          <w:lang w:val="en-US"/>
        </w:rPr>
        <w:lastRenderedPageBreak/>
        <w:drawing>
          <wp:anchor distT="0" distB="0" distL="114300" distR="114300" simplePos="0" relativeHeight="251659264" behindDoc="0" locked="0" layoutInCell="1" allowOverlap="1" wp14:anchorId="60FBEFCA" wp14:editId="74E70658">
            <wp:simplePos x="0" y="0"/>
            <wp:positionH relativeFrom="margin">
              <wp:posOffset>1574800</wp:posOffset>
            </wp:positionH>
            <wp:positionV relativeFrom="paragraph">
              <wp:posOffset>22860</wp:posOffset>
            </wp:positionV>
            <wp:extent cx="2617470" cy="2202815"/>
            <wp:effectExtent l="19050" t="19050" r="11430" b="2603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7470" cy="220281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BE237D6" w14:textId="05F048DC" w:rsidR="00A5475B" w:rsidRPr="00476DC8" w:rsidRDefault="00A5475B" w:rsidP="00A5475B">
      <w:pPr>
        <w:jc w:val="center"/>
        <w:rPr>
          <w:rFonts w:ascii="Arial" w:eastAsiaTheme="minorEastAsia" w:hAnsi="Arial" w:cs="Arial"/>
          <w:b/>
          <w:bCs/>
          <w:sz w:val="20"/>
          <w:szCs w:val="20"/>
        </w:rPr>
      </w:pPr>
      <w:r w:rsidRPr="00476DC8">
        <w:rPr>
          <w:rFonts w:ascii="Arial" w:eastAsiaTheme="minorEastAsia" w:hAnsi="Arial" w:cs="Arial"/>
          <w:b/>
          <w:bCs/>
          <w:sz w:val="20"/>
          <w:szCs w:val="20"/>
        </w:rPr>
        <w:t>Figure 5.  Needle Penetrometer</w:t>
      </w:r>
    </w:p>
    <w:p w14:paraId="075ED352" w14:textId="6D90821B" w:rsidR="00A5475B" w:rsidRDefault="00A5475B" w:rsidP="00A5475B">
      <w:pPr>
        <w:pStyle w:val="ListParagraph"/>
        <w:numPr>
          <w:ilvl w:val="3"/>
          <w:numId w:val="1"/>
        </w:numPr>
        <w:jc w:val="both"/>
        <w:rPr>
          <w:rFonts w:ascii="Arial" w:eastAsiaTheme="minorEastAsia" w:hAnsi="Arial" w:cs="Arial"/>
          <w:b/>
          <w:bCs/>
        </w:rPr>
      </w:pPr>
      <w:r w:rsidRPr="00A5475B">
        <w:rPr>
          <w:rFonts w:ascii="Arial" w:eastAsiaTheme="minorEastAsia" w:hAnsi="Arial" w:cs="Arial"/>
          <w:b/>
          <w:bCs/>
        </w:rPr>
        <w:t>Hydraulic conductivity</w:t>
      </w:r>
    </w:p>
    <w:p w14:paraId="33309B54" w14:textId="0B72974B" w:rsidR="00A5475B" w:rsidRDefault="00A5475B" w:rsidP="00A5475B">
      <w:pPr>
        <w:jc w:val="both"/>
        <w:rPr>
          <w:rFonts w:ascii="Arial" w:eastAsiaTheme="minorEastAsia" w:hAnsi="Arial" w:cs="Arial"/>
          <w:sz w:val="20"/>
          <w:szCs w:val="20"/>
        </w:rPr>
      </w:pPr>
      <w:r w:rsidRPr="00A5475B">
        <w:rPr>
          <w:rFonts w:ascii="Arial" w:eastAsiaTheme="minorEastAsia" w:hAnsi="Arial" w:cs="Arial"/>
          <w:sz w:val="20"/>
          <w:szCs w:val="20"/>
        </w:rPr>
        <w:t>Hydraulic conductivity K, which expresses the infiltration capacity of water in the soil per unit area and time, was determined by applying Darcy's law; it is expressed in m.s-1 (Lanoix, 2017). The double-ring device was installed to assess soil infiltrability</w:t>
      </w:r>
      <w:r>
        <w:rPr>
          <w:rFonts w:ascii="Arial" w:eastAsiaTheme="minorEastAsia" w:hAnsi="Arial" w:cs="Arial"/>
          <w:sz w:val="20"/>
          <w:szCs w:val="20"/>
        </w:rPr>
        <w:t>.</w:t>
      </w:r>
    </w:p>
    <w:p w14:paraId="41E5533F" w14:textId="2074B57A" w:rsidR="00A5475B" w:rsidRDefault="00A5475B" w:rsidP="00A5475B">
      <w:pPr>
        <w:jc w:val="both"/>
        <w:rPr>
          <w:rFonts w:ascii="Arial" w:eastAsiaTheme="minorEastAsia" w:hAnsi="Arial" w:cs="Arial"/>
          <w:sz w:val="20"/>
          <w:szCs w:val="20"/>
        </w:rPr>
      </w:pPr>
      <w:r w:rsidRPr="00A5475B">
        <w:rPr>
          <w:rFonts w:ascii="Calibri" w:eastAsia="Calibri" w:hAnsi="Calibri" w:cs="Times New Roman"/>
          <w:noProof/>
          <w:kern w:val="0"/>
          <w:lang w:val="en-US"/>
          <w14:ligatures w14:val="none"/>
        </w:rPr>
        <w:drawing>
          <wp:anchor distT="0" distB="0" distL="114300" distR="114300" simplePos="0" relativeHeight="251661312" behindDoc="0" locked="0" layoutInCell="1" allowOverlap="1" wp14:anchorId="08B883C4" wp14:editId="4CC56F80">
            <wp:simplePos x="0" y="0"/>
            <wp:positionH relativeFrom="margin">
              <wp:posOffset>1541396</wp:posOffset>
            </wp:positionH>
            <wp:positionV relativeFrom="paragraph">
              <wp:posOffset>312361</wp:posOffset>
            </wp:positionV>
            <wp:extent cx="2695575" cy="1247775"/>
            <wp:effectExtent l="0" t="0" r="9525" b="9525"/>
            <wp:wrapTopAndBottom/>
            <wp:docPr id="9" name="Image 3">
              <a:extLst xmlns:a="http://schemas.openxmlformats.org/drawingml/2006/main">
                <a:ext uri="{FF2B5EF4-FFF2-40B4-BE49-F238E27FC236}">
                  <a16:creationId xmlns:a16="http://schemas.microsoft.com/office/drawing/2014/main" id="{20ECEF79-6889-61A5-7168-C908032BD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0ECEF79-6889-61A5-7168-C908032BDE36}"/>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5575" cy="1247775"/>
                    </a:xfrm>
                    <a:prstGeom prst="rect">
                      <a:avLst/>
                    </a:prstGeom>
                  </pic:spPr>
                </pic:pic>
              </a:graphicData>
            </a:graphic>
          </wp:anchor>
        </w:drawing>
      </w:r>
      <w:r w:rsidRPr="00A5475B">
        <w:rPr>
          <w:rFonts w:ascii="Arial" w:eastAsiaTheme="minorEastAsia" w:hAnsi="Arial" w:cs="Arial"/>
          <w:sz w:val="20"/>
          <w:szCs w:val="20"/>
        </w:rPr>
        <w:t>K = Permeability in m/s</w:t>
      </w:r>
    </w:p>
    <w:p w14:paraId="2EE9C43C" w14:textId="7FB0FA22" w:rsidR="00647E8F" w:rsidRDefault="00647E8F" w:rsidP="00A5475B">
      <w:pPr>
        <w:jc w:val="both"/>
        <w:rPr>
          <w:rFonts w:ascii="Arial" w:hAnsi="Arial" w:cs="Arial"/>
          <w:sz w:val="20"/>
          <w:szCs w:val="20"/>
        </w:rPr>
      </w:pPr>
      <w:r>
        <w:rPr>
          <w:rFonts w:ascii="Arial" w:hAnsi="Arial" w:cs="Arial"/>
          <w:sz w:val="20"/>
          <w:szCs w:val="20"/>
        </w:rPr>
        <w:t>(5)</w:t>
      </w:r>
    </w:p>
    <w:p w14:paraId="4611190A" w14:textId="1C882B17" w:rsidR="00A5475B" w:rsidRPr="00A5475B" w:rsidRDefault="00A5475B" w:rsidP="00A5475B">
      <w:pPr>
        <w:jc w:val="both"/>
        <w:rPr>
          <w:rFonts w:ascii="Arial" w:hAnsi="Arial" w:cs="Arial"/>
          <w:sz w:val="20"/>
          <w:szCs w:val="20"/>
        </w:rPr>
      </w:pPr>
      <w:r w:rsidRPr="00A5475B">
        <w:rPr>
          <w:rFonts w:ascii="Arial" w:hAnsi="Arial" w:cs="Arial"/>
          <w:sz w:val="20"/>
          <w:szCs w:val="20"/>
        </w:rPr>
        <w:t xml:space="preserve">C = Coefficient in m </w:t>
      </w:r>
    </w:p>
    <w:p w14:paraId="18FA6BDA" w14:textId="77777777" w:rsidR="00A5475B" w:rsidRPr="00A5475B" w:rsidRDefault="00A5475B" w:rsidP="00A5475B">
      <w:pPr>
        <w:jc w:val="both"/>
        <w:rPr>
          <w:rFonts w:ascii="Arial" w:hAnsi="Arial" w:cs="Arial"/>
          <w:sz w:val="20"/>
          <w:szCs w:val="20"/>
        </w:rPr>
      </w:pPr>
      <w:r w:rsidRPr="00A5475B">
        <w:rPr>
          <w:rFonts w:ascii="Arial" w:hAnsi="Arial" w:cs="Arial"/>
          <w:sz w:val="20"/>
          <w:szCs w:val="20"/>
        </w:rPr>
        <w:t xml:space="preserve">S = Central ring cross-section in m² P = Perimeter of central ring in m </w:t>
      </w:r>
    </w:p>
    <w:p w14:paraId="5A084E27" w14:textId="77777777" w:rsidR="00A5475B" w:rsidRPr="00A5475B" w:rsidRDefault="00A5475B" w:rsidP="00A5475B">
      <w:pPr>
        <w:jc w:val="both"/>
        <w:rPr>
          <w:rFonts w:ascii="Arial" w:hAnsi="Arial" w:cs="Arial"/>
          <w:sz w:val="20"/>
          <w:szCs w:val="20"/>
        </w:rPr>
      </w:pPr>
      <w:r w:rsidRPr="00A5475B">
        <w:rPr>
          <w:rFonts w:ascii="Arial" w:hAnsi="Arial" w:cs="Arial"/>
          <w:sz w:val="20"/>
          <w:szCs w:val="20"/>
        </w:rPr>
        <w:t xml:space="preserve">P = Perimeter of central ring in m </w:t>
      </w:r>
    </w:p>
    <w:p w14:paraId="0BAB24B5" w14:textId="77777777" w:rsidR="00A5475B" w:rsidRPr="00A5475B" w:rsidRDefault="00A5475B" w:rsidP="00A5475B">
      <w:pPr>
        <w:jc w:val="both"/>
        <w:rPr>
          <w:rFonts w:ascii="Arial" w:hAnsi="Arial" w:cs="Arial"/>
          <w:sz w:val="20"/>
          <w:szCs w:val="20"/>
        </w:rPr>
      </w:pPr>
      <w:r w:rsidRPr="00A5475B">
        <w:rPr>
          <w:rFonts w:ascii="Arial" w:hAnsi="Arial" w:cs="Arial"/>
          <w:sz w:val="20"/>
          <w:szCs w:val="20"/>
        </w:rPr>
        <w:t xml:space="preserve">H0 = water level height at t = 0 </w:t>
      </w:r>
    </w:p>
    <w:p w14:paraId="3FABF4DE" w14:textId="77777777" w:rsidR="00A5475B" w:rsidRPr="00A5475B" w:rsidRDefault="00A5475B" w:rsidP="00A5475B">
      <w:pPr>
        <w:jc w:val="both"/>
        <w:rPr>
          <w:rFonts w:ascii="Arial" w:hAnsi="Arial" w:cs="Arial"/>
          <w:sz w:val="20"/>
          <w:szCs w:val="20"/>
        </w:rPr>
      </w:pPr>
      <w:r w:rsidRPr="00A5475B">
        <w:rPr>
          <w:rFonts w:ascii="Arial" w:hAnsi="Arial" w:cs="Arial"/>
          <w:sz w:val="20"/>
          <w:szCs w:val="20"/>
        </w:rPr>
        <w:t xml:space="preserve">h = water level at time t of measurement in m </w:t>
      </w:r>
    </w:p>
    <w:p w14:paraId="7658B5F8" w14:textId="42DDBC91" w:rsidR="00C60481" w:rsidRDefault="00A5475B" w:rsidP="00A5475B">
      <w:pPr>
        <w:jc w:val="both"/>
        <w:rPr>
          <w:rFonts w:ascii="Arial" w:hAnsi="Arial" w:cs="Arial"/>
          <w:sz w:val="20"/>
          <w:szCs w:val="20"/>
        </w:rPr>
      </w:pPr>
      <w:r w:rsidRPr="00A5475B">
        <w:rPr>
          <w:rFonts w:ascii="Arial" w:hAnsi="Arial" w:cs="Arial"/>
          <w:sz w:val="20"/>
          <w:szCs w:val="20"/>
        </w:rPr>
        <w:t>t = time of measurement in min</w:t>
      </w:r>
    </w:p>
    <w:p w14:paraId="1310DCA9" w14:textId="10DC95EE" w:rsidR="00A5475B" w:rsidRDefault="00A5475B" w:rsidP="00A5475B">
      <w:pPr>
        <w:jc w:val="center"/>
        <w:rPr>
          <w:rFonts w:ascii="Arial" w:hAnsi="Arial" w:cs="Arial"/>
          <w:sz w:val="20"/>
          <w:szCs w:val="20"/>
        </w:rPr>
      </w:pPr>
      <w:r w:rsidRPr="00A5475B">
        <w:rPr>
          <w:rFonts w:ascii="Times New Roman" w:eastAsia="Times New Roman" w:hAnsi="Times New Roman" w:cs="Times New Roman"/>
          <w:noProof/>
          <w:color w:val="000000"/>
          <w:sz w:val="24"/>
          <w:szCs w:val="24"/>
          <w:lang w:val="en-US"/>
        </w:rPr>
        <w:lastRenderedPageBreak/>
        <w:drawing>
          <wp:inline distT="0" distB="0" distL="0" distR="0" wp14:anchorId="797097CF" wp14:editId="3835B466">
            <wp:extent cx="2852806" cy="2584174"/>
            <wp:effectExtent l="19050" t="19050" r="24130" b="260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5942" cy="2659481"/>
                    </a:xfrm>
                    <a:prstGeom prst="rect">
                      <a:avLst/>
                    </a:prstGeom>
                    <a:ln>
                      <a:solidFill>
                        <a:sysClr val="windowText" lastClr="000000"/>
                      </a:solidFill>
                    </a:ln>
                  </pic:spPr>
                </pic:pic>
              </a:graphicData>
            </a:graphic>
          </wp:inline>
        </w:drawing>
      </w:r>
    </w:p>
    <w:p w14:paraId="1086F020" w14:textId="5E22BDD8" w:rsidR="00A5475B" w:rsidRPr="00476DC8" w:rsidRDefault="00A5475B" w:rsidP="00A5475B">
      <w:pPr>
        <w:jc w:val="center"/>
        <w:rPr>
          <w:rFonts w:ascii="Arial" w:hAnsi="Arial" w:cs="Arial"/>
          <w:b/>
          <w:bCs/>
          <w:sz w:val="20"/>
          <w:szCs w:val="20"/>
        </w:rPr>
      </w:pPr>
      <w:r w:rsidRPr="00476DC8">
        <w:rPr>
          <w:rFonts w:ascii="Arial" w:hAnsi="Arial" w:cs="Arial"/>
          <w:b/>
          <w:bCs/>
          <w:sz w:val="20"/>
          <w:szCs w:val="20"/>
        </w:rPr>
        <w:t>Figure 6. Measuring water infiltration with the double ring</w:t>
      </w:r>
    </w:p>
    <w:p w14:paraId="44C1CD0F" w14:textId="400B2CD9" w:rsidR="00A5475B" w:rsidRDefault="00742A64" w:rsidP="00742A64">
      <w:pPr>
        <w:pStyle w:val="ListParagraph"/>
        <w:numPr>
          <w:ilvl w:val="2"/>
          <w:numId w:val="1"/>
        </w:numPr>
        <w:jc w:val="both"/>
        <w:rPr>
          <w:rFonts w:ascii="Arial" w:hAnsi="Arial" w:cs="Arial"/>
          <w:b/>
          <w:bCs/>
        </w:rPr>
      </w:pPr>
      <w:r w:rsidRPr="00742A64">
        <w:rPr>
          <w:rFonts w:ascii="Arial" w:hAnsi="Arial" w:cs="Arial"/>
          <w:b/>
          <w:bCs/>
        </w:rPr>
        <w:t>Chemical parameters</w:t>
      </w:r>
    </w:p>
    <w:p w14:paraId="18864959" w14:textId="21F1608F" w:rsidR="00742A64" w:rsidRDefault="00742A64" w:rsidP="00742A64">
      <w:pPr>
        <w:pStyle w:val="ListParagraph"/>
        <w:numPr>
          <w:ilvl w:val="3"/>
          <w:numId w:val="1"/>
        </w:numPr>
        <w:jc w:val="both"/>
        <w:rPr>
          <w:rFonts w:ascii="Arial" w:hAnsi="Arial" w:cs="Arial"/>
          <w:b/>
          <w:bCs/>
        </w:rPr>
      </w:pPr>
      <w:r w:rsidRPr="00742A64">
        <w:rPr>
          <w:rFonts w:ascii="Arial" w:hAnsi="Arial" w:cs="Arial"/>
          <w:b/>
          <w:bCs/>
        </w:rPr>
        <w:t>Hydrogen potential (pH)</w:t>
      </w:r>
    </w:p>
    <w:p w14:paraId="06C12B3E" w14:textId="7AC8FA7A" w:rsidR="00742A64" w:rsidRDefault="00742A64" w:rsidP="00742A64">
      <w:pPr>
        <w:jc w:val="both"/>
        <w:rPr>
          <w:rFonts w:ascii="Arial" w:hAnsi="Arial" w:cs="Arial"/>
          <w:sz w:val="20"/>
          <w:szCs w:val="20"/>
        </w:rPr>
      </w:pPr>
      <w:r w:rsidRPr="00742A64">
        <w:rPr>
          <w:rFonts w:ascii="Arial" w:hAnsi="Arial" w:cs="Arial"/>
          <w:sz w:val="20"/>
          <w:szCs w:val="20"/>
        </w:rPr>
        <w:t>The hydrogen potential, pH, of the soils was determined by mixing the soil with water at a ratio of 1/2.5, i.e. 10 g of soil mixed with 25 ml of distilled water (GLOBE, 2005). The mixture was then read using an electronic pH meter.</w:t>
      </w:r>
    </w:p>
    <w:p w14:paraId="69AEAB4A" w14:textId="3107BF56" w:rsidR="00742A64" w:rsidRDefault="00647E8F" w:rsidP="00647E8F">
      <w:pPr>
        <w:pStyle w:val="ListParagraph"/>
        <w:numPr>
          <w:ilvl w:val="3"/>
          <w:numId w:val="1"/>
        </w:numPr>
        <w:jc w:val="both"/>
        <w:rPr>
          <w:rFonts w:ascii="Arial" w:hAnsi="Arial" w:cs="Arial"/>
          <w:b/>
          <w:bCs/>
        </w:rPr>
      </w:pPr>
      <w:r w:rsidRPr="00647E8F">
        <w:rPr>
          <w:rFonts w:ascii="Arial" w:hAnsi="Arial" w:cs="Arial"/>
          <w:b/>
          <w:bCs/>
        </w:rPr>
        <w:t>Electrical conductivity</w:t>
      </w:r>
    </w:p>
    <w:p w14:paraId="5EB849F4" w14:textId="1E6F244D" w:rsidR="00647E8F" w:rsidRDefault="00647E8F" w:rsidP="00647E8F">
      <w:pPr>
        <w:jc w:val="both"/>
        <w:rPr>
          <w:rFonts w:ascii="Arial" w:hAnsi="Arial" w:cs="Arial"/>
          <w:sz w:val="20"/>
          <w:szCs w:val="20"/>
        </w:rPr>
      </w:pPr>
      <w:r w:rsidRPr="00647E8F">
        <w:rPr>
          <w:rFonts w:ascii="Arial" w:hAnsi="Arial" w:cs="Arial"/>
          <w:sz w:val="20"/>
          <w:szCs w:val="20"/>
        </w:rPr>
        <w:t>Conductivity measurement is used to assess the salinity level of water or soil. Soil is mixed with distilled water at a ratio of 1</w:t>
      </w:r>
      <w:r>
        <w:rPr>
          <w:rFonts w:ascii="Arial" w:hAnsi="Arial" w:cs="Arial"/>
          <w:sz w:val="20"/>
          <w:szCs w:val="20"/>
        </w:rPr>
        <w:t>/</w:t>
      </w:r>
      <w:r w:rsidRPr="00647E8F">
        <w:rPr>
          <w:rFonts w:ascii="Arial" w:hAnsi="Arial" w:cs="Arial"/>
          <w:sz w:val="20"/>
          <w:szCs w:val="20"/>
        </w:rPr>
        <w:t>5. The supernatant is then collected and its electrical conductivity determined using a direct-measuring conductivity meter (Montoroi, 1997). EC is expressed in micro-Siemens per centimeter (µS/cm) or milli-Siemens/cm (mS/cm).</w:t>
      </w:r>
    </w:p>
    <w:p w14:paraId="5AF3F8E5" w14:textId="45F69477" w:rsidR="00647E8F" w:rsidRDefault="00647E8F" w:rsidP="00647E8F">
      <w:pPr>
        <w:pStyle w:val="ListParagraph"/>
        <w:numPr>
          <w:ilvl w:val="3"/>
          <w:numId w:val="1"/>
        </w:numPr>
        <w:jc w:val="both"/>
        <w:rPr>
          <w:rFonts w:ascii="Arial" w:hAnsi="Arial" w:cs="Arial"/>
          <w:b/>
          <w:bCs/>
        </w:rPr>
      </w:pPr>
      <w:r w:rsidRPr="00647E8F">
        <w:rPr>
          <w:rFonts w:ascii="Arial" w:hAnsi="Arial" w:cs="Arial"/>
          <w:b/>
          <w:bCs/>
        </w:rPr>
        <w:t>Carbon and organic matter</w:t>
      </w:r>
    </w:p>
    <w:p w14:paraId="052A0384" w14:textId="77777777" w:rsidR="00647E8F" w:rsidRPr="00647E8F" w:rsidRDefault="00647E8F" w:rsidP="00647E8F">
      <w:pPr>
        <w:jc w:val="both"/>
        <w:rPr>
          <w:rFonts w:ascii="Arial" w:hAnsi="Arial" w:cs="Arial"/>
          <w:sz w:val="20"/>
          <w:szCs w:val="20"/>
        </w:rPr>
      </w:pPr>
      <w:r w:rsidRPr="00647E8F">
        <w:rPr>
          <w:rFonts w:ascii="Arial" w:hAnsi="Arial" w:cs="Arial"/>
          <w:sz w:val="20"/>
          <w:szCs w:val="20"/>
        </w:rPr>
        <w:t xml:space="preserve">Carbon is determined by the modified BLACK &amp; WAKLEY method (1934). Organic carbon is oxidized with a mixture of 1N potassium dichromate (K2Cr2O7) and concentrated sulfuric acid (H2SO4) d=1.84. Carbon is determined by spectrophotometer at 600 nm. </w:t>
      </w:r>
    </w:p>
    <w:p w14:paraId="1F6668FA" w14:textId="37D58D42" w:rsidR="00647E8F" w:rsidRDefault="00647E8F" w:rsidP="00647E8F">
      <w:pPr>
        <w:jc w:val="both"/>
        <w:rPr>
          <w:rFonts w:ascii="Arial" w:hAnsi="Arial" w:cs="Arial"/>
          <w:sz w:val="20"/>
          <w:szCs w:val="20"/>
        </w:rPr>
      </w:pPr>
      <w:r w:rsidRPr="00647E8F">
        <w:rPr>
          <w:rFonts w:ascii="Arial" w:hAnsi="Arial" w:cs="Arial"/>
          <w:sz w:val="20"/>
          <w:szCs w:val="20"/>
        </w:rPr>
        <w:t xml:space="preserve">The organic matter (OM) content of the soil is then calculated on the basis of the carbon content of the soil by applying the following (Hodomihou et al., 2011).     </w:t>
      </w:r>
    </w:p>
    <w:p w14:paraId="06B730CA" w14:textId="4CCB5C3F" w:rsidR="00647E8F" w:rsidRDefault="00647E8F" w:rsidP="00647E8F">
      <w:pPr>
        <w:jc w:val="center"/>
        <w:rPr>
          <w:rFonts w:ascii="Arial" w:hAnsi="Arial" w:cs="Arial"/>
          <w:sz w:val="20"/>
          <w:szCs w:val="20"/>
        </w:rPr>
      </w:pPr>
      <w:r w:rsidRPr="00647E8F">
        <w:rPr>
          <w:rFonts w:ascii="Arial" w:hAnsi="Arial" w:cs="Arial"/>
          <w:sz w:val="20"/>
          <w:szCs w:val="20"/>
        </w:rPr>
        <w:t>MO % = C % x 1,72</w:t>
      </w:r>
      <w:r>
        <w:rPr>
          <w:rFonts w:ascii="Arial" w:hAnsi="Arial" w:cs="Arial"/>
          <w:sz w:val="20"/>
          <w:szCs w:val="20"/>
        </w:rPr>
        <w:t xml:space="preserve">    (6)</w:t>
      </w:r>
    </w:p>
    <w:p w14:paraId="7871727F" w14:textId="77777777" w:rsidR="00647E8F" w:rsidRPr="00647E8F" w:rsidRDefault="00647E8F" w:rsidP="00647E8F">
      <w:pPr>
        <w:jc w:val="both"/>
        <w:rPr>
          <w:rFonts w:ascii="Arial" w:hAnsi="Arial" w:cs="Arial"/>
          <w:sz w:val="20"/>
          <w:szCs w:val="20"/>
        </w:rPr>
      </w:pPr>
      <w:r w:rsidRPr="00647E8F">
        <w:rPr>
          <w:rFonts w:ascii="Arial" w:hAnsi="Arial" w:cs="Arial"/>
          <w:sz w:val="20"/>
          <w:szCs w:val="20"/>
        </w:rPr>
        <w:t>The coefficient 1.72 corresponds to the average proportion of C in soil OM.</w:t>
      </w:r>
    </w:p>
    <w:p w14:paraId="33426767" w14:textId="77777777" w:rsidR="00647E8F" w:rsidRPr="00647E8F" w:rsidRDefault="00647E8F" w:rsidP="00647E8F">
      <w:pPr>
        <w:jc w:val="both"/>
        <w:rPr>
          <w:rFonts w:ascii="Arial" w:hAnsi="Arial" w:cs="Arial"/>
          <w:sz w:val="20"/>
          <w:szCs w:val="20"/>
        </w:rPr>
      </w:pPr>
      <w:r w:rsidRPr="00647E8F">
        <w:rPr>
          <w:rFonts w:ascii="Arial" w:hAnsi="Arial" w:cs="Arial"/>
          <w:sz w:val="20"/>
          <w:szCs w:val="20"/>
        </w:rPr>
        <w:t>OM: organic matter</w:t>
      </w:r>
    </w:p>
    <w:p w14:paraId="52D4FAC0" w14:textId="1585983D" w:rsidR="00647E8F" w:rsidRDefault="00647E8F" w:rsidP="00647E8F">
      <w:pPr>
        <w:jc w:val="both"/>
        <w:rPr>
          <w:rFonts w:ascii="Arial" w:hAnsi="Arial" w:cs="Arial"/>
          <w:sz w:val="20"/>
          <w:szCs w:val="20"/>
        </w:rPr>
      </w:pPr>
      <w:r w:rsidRPr="00647E8F">
        <w:rPr>
          <w:rFonts w:ascii="Arial" w:hAnsi="Arial" w:cs="Arial"/>
          <w:sz w:val="20"/>
          <w:szCs w:val="20"/>
        </w:rPr>
        <w:t>%C: organic carbon rate</w:t>
      </w:r>
    </w:p>
    <w:p w14:paraId="1E431B97" w14:textId="7D718E81" w:rsidR="00647E8F" w:rsidRDefault="00647E8F" w:rsidP="00647E8F">
      <w:pPr>
        <w:pStyle w:val="ListParagraph"/>
        <w:numPr>
          <w:ilvl w:val="3"/>
          <w:numId w:val="1"/>
        </w:numPr>
        <w:jc w:val="both"/>
        <w:rPr>
          <w:rFonts w:ascii="Arial" w:hAnsi="Arial" w:cs="Arial"/>
          <w:b/>
          <w:bCs/>
        </w:rPr>
      </w:pPr>
      <w:r w:rsidRPr="00647E8F">
        <w:rPr>
          <w:rFonts w:ascii="Arial" w:hAnsi="Arial" w:cs="Arial"/>
          <w:b/>
          <w:bCs/>
        </w:rPr>
        <w:t>Total nitrogen by Kjeldhal method</w:t>
      </w:r>
    </w:p>
    <w:p w14:paraId="42CCFED5" w14:textId="24DB5FF2" w:rsidR="00647E8F" w:rsidRDefault="00647E8F" w:rsidP="00647E8F">
      <w:pPr>
        <w:jc w:val="both"/>
        <w:rPr>
          <w:rFonts w:ascii="Arial" w:hAnsi="Arial" w:cs="Arial"/>
          <w:sz w:val="20"/>
          <w:szCs w:val="20"/>
        </w:rPr>
      </w:pPr>
      <w:r w:rsidRPr="00647E8F">
        <w:rPr>
          <w:rFonts w:ascii="Arial" w:hAnsi="Arial" w:cs="Arial"/>
          <w:sz w:val="20"/>
          <w:szCs w:val="20"/>
        </w:rPr>
        <w:t>Nitrogen mineralization was carried out in the presence of concentrated sulfuric acid (H2SO4 to 18N), salicylic acid (C7H6O3), hydrogen peroxide (H2O2) and selenium powder as catalyst. This mineralization transforms nitrogen into ammonium ion (NH4+), which is then determined using a spectrophotometer at wavelength 660 nm (Thermo Scientific Genesys 20).</w:t>
      </w:r>
    </w:p>
    <w:p w14:paraId="0C5C818A" w14:textId="3CE0836E" w:rsidR="00647E8F" w:rsidRDefault="00647E8F" w:rsidP="00647E8F">
      <w:pPr>
        <w:pStyle w:val="ListParagraph"/>
        <w:numPr>
          <w:ilvl w:val="3"/>
          <w:numId w:val="1"/>
        </w:numPr>
        <w:jc w:val="both"/>
        <w:rPr>
          <w:rFonts w:ascii="Arial" w:hAnsi="Arial" w:cs="Arial"/>
          <w:b/>
          <w:bCs/>
        </w:rPr>
      </w:pPr>
      <w:r w:rsidRPr="00647E8F">
        <w:rPr>
          <w:rFonts w:ascii="Arial" w:hAnsi="Arial" w:cs="Arial"/>
          <w:b/>
          <w:bCs/>
        </w:rPr>
        <w:lastRenderedPageBreak/>
        <w:t>Assimilable phosphorus (P Olsen modified according to Dabin)</w:t>
      </w:r>
    </w:p>
    <w:p w14:paraId="7F010981" w14:textId="53385B3F" w:rsidR="00647E8F" w:rsidRDefault="00215802" w:rsidP="00647E8F">
      <w:pPr>
        <w:jc w:val="both"/>
        <w:rPr>
          <w:rFonts w:ascii="Arial" w:hAnsi="Arial" w:cs="Arial"/>
          <w:sz w:val="20"/>
          <w:szCs w:val="20"/>
        </w:rPr>
      </w:pPr>
      <w:r w:rsidRPr="00215802">
        <w:rPr>
          <w:rFonts w:ascii="Arial" w:hAnsi="Arial" w:cs="Arial"/>
          <w:sz w:val="20"/>
          <w:szCs w:val="20"/>
        </w:rPr>
        <w:t>The 1954 Olsen test was applied. The method involves extraction using a solution of sodium bicarbonate (NaHCO3) and ammonium fluoride (NH4F) buffered to pH 8.5 to dissolve the phosphates. As the pH of the extraction solution is very high, part of the organic matter is hydrolyzed, releasing organic phosphorus. The extracted phosphorus is determined by colorimetry at 810 nm.</w:t>
      </w:r>
    </w:p>
    <w:p w14:paraId="1BBCC2F0" w14:textId="5EF356B2" w:rsidR="00215802" w:rsidRDefault="00215802" w:rsidP="00215802">
      <w:pPr>
        <w:pStyle w:val="ListParagraph"/>
        <w:numPr>
          <w:ilvl w:val="3"/>
          <w:numId w:val="1"/>
        </w:numPr>
        <w:jc w:val="both"/>
        <w:rPr>
          <w:rFonts w:ascii="Arial" w:hAnsi="Arial" w:cs="Arial"/>
          <w:b/>
          <w:bCs/>
        </w:rPr>
      </w:pPr>
      <w:r w:rsidRPr="00215802">
        <w:rPr>
          <w:rFonts w:ascii="Arial" w:hAnsi="Arial" w:cs="Arial"/>
          <w:b/>
          <w:bCs/>
        </w:rPr>
        <w:t>Cation exchange capacity and exchangeable bases</w:t>
      </w:r>
    </w:p>
    <w:p w14:paraId="0CE941E5" w14:textId="77777777" w:rsidR="00215802" w:rsidRPr="00215802" w:rsidRDefault="00215802" w:rsidP="00215802">
      <w:pPr>
        <w:jc w:val="both"/>
        <w:rPr>
          <w:rFonts w:ascii="Arial" w:hAnsi="Arial" w:cs="Arial"/>
          <w:sz w:val="20"/>
          <w:szCs w:val="20"/>
        </w:rPr>
      </w:pPr>
      <w:r w:rsidRPr="00215802">
        <w:rPr>
          <w:rFonts w:ascii="Arial" w:hAnsi="Arial" w:cs="Arial"/>
          <w:sz w:val="20"/>
          <w:szCs w:val="20"/>
        </w:rPr>
        <w:t>Cation Exchange Capacity (CEC) is a measure of the soil's cation-fixing capacity. It measures the total number of sites available for cation exchange (negatively charged sites on the soil's adsorbent complex). The higher the CEC, the more cations will be stored by the soil. This is a soil's fertility reservoir (Tech et bio, 2015). So to determine CEC, the soil sample is leached by an ammonium acetate solution. So add 3 times 15 ml of 1M ammonium acetate by collecting the percolate in 50 ml volumetric flasks, then top up with 1M ammonium acetate for the determination of exchangeable cations (Na, K, Ca, Mg) and trace elements (Zn, Br, Cu, Fe) by flame atomic absorption spectrometry (FAS).</w:t>
      </w:r>
    </w:p>
    <w:p w14:paraId="774568EE" w14:textId="6B91A82F" w:rsidR="00215802" w:rsidRDefault="00215802" w:rsidP="00215802">
      <w:pPr>
        <w:jc w:val="both"/>
        <w:rPr>
          <w:rFonts w:ascii="Arial" w:hAnsi="Arial" w:cs="Arial"/>
          <w:sz w:val="20"/>
          <w:szCs w:val="20"/>
        </w:rPr>
      </w:pPr>
      <w:r w:rsidRPr="00215802">
        <w:rPr>
          <w:rFonts w:ascii="Arial" w:hAnsi="Arial" w:cs="Arial"/>
          <w:sz w:val="20"/>
          <w:szCs w:val="20"/>
        </w:rPr>
        <w:t>The amount of ammonium retained by the soil after washing out the excess ammonium acetate is an estimate of the cation exchange capacity (CEC). The ammonium retained is released by percolation and is determined by Spectrophotometer.</w:t>
      </w:r>
    </w:p>
    <w:p w14:paraId="3F0AB7B3" w14:textId="69F3DC6A" w:rsidR="00215802" w:rsidRDefault="00215802" w:rsidP="00215802">
      <w:pPr>
        <w:pStyle w:val="ListParagraph"/>
        <w:numPr>
          <w:ilvl w:val="1"/>
          <w:numId w:val="1"/>
        </w:numPr>
        <w:jc w:val="both"/>
        <w:rPr>
          <w:rFonts w:ascii="Arial" w:hAnsi="Arial" w:cs="Arial"/>
          <w:b/>
          <w:bCs/>
        </w:rPr>
      </w:pPr>
      <w:r w:rsidRPr="00215802">
        <w:rPr>
          <w:rFonts w:ascii="Arial" w:hAnsi="Arial" w:cs="Arial"/>
          <w:b/>
          <w:bCs/>
        </w:rPr>
        <w:t>Statistical data analysis</w:t>
      </w:r>
    </w:p>
    <w:p w14:paraId="7A885E63" w14:textId="7C5E357D" w:rsidR="00215802" w:rsidRDefault="00215802" w:rsidP="00215802">
      <w:pPr>
        <w:jc w:val="both"/>
        <w:rPr>
          <w:rFonts w:ascii="Arial" w:hAnsi="Arial" w:cs="Arial"/>
          <w:sz w:val="20"/>
          <w:szCs w:val="20"/>
        </w:rPr>
      </w:pPr>
      <w:r w:rsidRPr="00215802">
        <w:rPr>
          <w:rFonts w:ascii="Arial" w:hAnsi="Arial" w:cs="Arial"/>
          <w:sz w:val="20"/>
          <w:szCs w:val="20"/>
        </w:rPr>
        <w:t>Excel spreadsheets were used for data processing. Data were then analyzed using R software version 4.4.1. Where analyses of variance revealed differences between means, the 5% Newman-Keuls test was applied to compare means.</w:t>
      </w:r>
    </w:p>
    <w:p w14:paraId="670201C0" w14:textId="376A7FF8" w:rsidR="00215802" w:rsidRDefault="00215802" w:rsidP="00215802">
      <w:pPr>
        <w:pStyle w:val="ListParagraph"/>
        <w:numPr>
          <w:ilvl w:val="0"/>
          <w:numId w:val="1"/>
        </w:numPr>
        <w:jc w:val="both"/>
        <w:rPr>
          <w:rFonts w:ascii="Arial" w:hAnsi="Arial" w:cs="Arial"/>
          <w:b/>
          <w:bCs/>
        </w:rPr>
      </w:pPr>
      <w:r w:rsidRPr="00215802">
        <w:rPr>
          <w:rFonts w:ascii="Arial" w:hAnsi="Arial" w:cs="Arial"/>
          <w:b/>
          <w:bCs/>
        </w:rPr>
        <w:t>RESULTS</w:t>
      </w:r>
    </w:p>
    <w:p w14:paraId="3A01421A" w14:textId="645740EC" w:rsidR="00215802" w:rsidRDefault="00215802" w:rsidP="00215802">
      <w:pPr>
        <w:pStyle w:val="ListParagraph"/>
        <w:numPr>
          <w:ilvl w:val="1"/>
          <w:numId w:val="1"/>
        </w:numPr>
        <w:jc w:val="both"/>
        <w:rPr>
          <w:rFonts w:ascii="Arial" w:hAnsi="Arial" w:cs="Arial"/>
          <w:b/>
          <w:bCs/>
        </w:rPr>
      </w:pPr>
      <w:r w:rsidRPr="00215802">
        <w:rPr>
          <w:rFonts w:ascii="Arial" w:hAnsi="Arial" w:cs="Arial"/>
          <w:b/>
          <w:bCs/>
        </w:rPr>
        <w:t>Optimization</w:t>
      </w:r>
    </w:p>
    <w:p w14:paraId="1B8B7AC9" w14:textId="5D831961" w:rsidR="00215802" w:rsidRDefault="00215802" w:rsidP="00215802">
      <w:pPr>
        <w:pStyle w:val="ListParagraph"/>
        <w:numPr>
          <w:ilvl w:val="2"/>
          <w:numId w:val="1"/>
        </w:numPr>
        <w:jc w:val="both"/>
        <w:rPr>
          <w:rFonts w:ascii="Arial" w:hAnsi="Arial" w:cs="Arial"/>
          <w:b/>
          <w:bCs/>
        </w:rPr>
      </w:pPr>
      <w:r w:rsidRPr="00215802">
        <w:rPr>
          <w:rFonts w:ascii="Arial" w:hAnsi="Arial" w:cs="Arial"/>
          <w:b/>
          <w:bCs/>
        </w:rPr>
        <w:t>Setting Workshop1 : Study of tractor balance alone</w:t>
      </w:r>
    </w:p>
    <w:p w14:paraId="658D9598" w14:textId="06CC23D0" w:rsidR="00215802" w:rsidRDefault="00215802" w:rsidP="00215802">
      <w:pPr>
        <w:jc w:val="both"/>
        <w:rPr>
          <w:rFonts w:ascii="Arial" w:hAnsi="Arial" w:cs="Arial"/>
          <w:sz w:val="20"/>
          <w:szCs w:val="20"/>
        </w:rPr>
      </w:pPr>
      <w:r w:rsidRPr="00215802">
        <w:rPr>
          <w:rFonts w:ascii="Arial" w:hAnsi="Arial" w:cs="Arial"/>
          <w:sz w:val="20"/>
          <w:szCs w:val="20"/>
        </w:rPr>
        <w:t xml:space="preserve">Analysis of Table </w:t>
      </w:r>
      <w:r w:rsidR="00726433">
        <w:rPr>
          <w:rFonts w:ascii="Arial" w:hAnsi="Arial" w:cs="Arial"/>
          <w:sz w:val="20"/>
          <w:szCs w:val="20"/>
        </w:rPr>
        <w:t>1</w:t>
      </w:r>
      <w:r w:rsidRPr="00215802">
        <w:rPr>
          <w:rFonts w:ascii="Arial" w:hAnsi="Arial" w:cs="Arial"/>
          <w:sz w:val="20"/>
          <w:szCs w:val="20"/>
        </w:rPr>
        <w:t xml:space="preserve"> shows that the ground reaction on the front axle is of the order of 1996.7 daN and that of the tractor's rear axle is 2873.3 daN. The distance between the tractor's front axle and the center of gravity is 1.54m, and between the rear axle and the center of gravity is 1.077m.</w:t>
      </w:r>
    </w:p>
    <w:p w14:paraId="7BD8D83E" w14:textId="745E2AE5" w:rsidR="00215802" w:rsidRPr="00175963" w:rsidRDefault="00215802" w:rsidP="00215802">
      <w:pPr>
        <w:jc w:val="center"/>
        <w:rPr>
          <w:rFonts w:ascii="Arial" w:hAnsi="Arial" w:cs="Arial"/>
          <w:b/>
          <w:bCs/>
          <w:sz w:val="20"/>
          <w:szCs w:val="20"/>
        </w:rPr>
      </w:pPr>
      <w:r w:rsidRPr="00175963">
        <w:rPr>
          <w:rFonts w:ascii="Arial" w:hAnsi="Arial" w:cs="Arial"/>
          <w:b/>
          <w:bCs/>
          <w:sz w:val="20"/>
          <w:szCs w:val="20"/>
        </w:rPr>
        <w:t xml:space="preserve">Table </w:t>
      </w:r>
      <w:r w:rsidR="00726433" w:rsidRPr="00175963">
        <w:rPr>
          <w:rFonts w:ascii="Arial" w:hAnsi="Arial" w:cs="Arial"/>
          <w:b/>
          <w:bCs/>
          <w:sz w:val="20"/>
          <w:szCs w:val="20"/>
        </w:rPr>
        <w:t>1</w:t>
      </w:r>
      <w:r w:rsidRPr="00175963">
        <w:rPr>
          <w:rFonts w:ascii="Arial" w:hAnsi="Arial" w:cs="Arial"/>
          <w:b/>
          <w:bCs/>
          <w:sz w:val="20"/>
          <w:szCs w:val="20"/>
        </w:rPr>
        <w:t>. Study of tractor equilibrium Alone</w:t>
      </w:r>
    </w:p>
    <w:tbl>
      <w:tblPr>
        <w:tblW w:w="8480" w:type="dxa"/>
        <w:tblCellMar>
          <w:left w:w="70" w:type="dxa"/>
          <w:right w:w="70" w:type="dxa"/>
        </w:tblCellMar>
        <w:tblLook w:val="04A0" w:firstRow="1" w:lastRow="0" w:firstColumn="1" w:lastColumn="0" w:noHBand="0" w:noVBand="1"/>
      </w:tblPr>
      <w:tblGrid>
        <w:gridCol w:w="1800"/>
        <w:gridCol w:w="2140"/>
        <w:gridCol w:w="2280"/>
        <w:gridCol w:w="2260"/>
      </w:tblGrid>
      <w:tr w:rsidR="00726433" w:rsidRPr="00726433" w14:paraId="53EC1DF6" w14:textId="77777777" w:rsidTr="00AA68DA">
        <w:trPr>
          <w:trHeight w:val="330"/>
        </w:trPr>
        <w:tc>
          <w:tcPr>
            <w:tcW w:w="8480" w:type="dxa"/>
            <w:gridSpan w:val="4"/>
            <w:tcBorders>
              <w:top w:val="single" w:sz="8" w:space="0" w:color="auto"/>
              <w:left w:val="nil"/>
              <w:bottom w:val="single" w:sz="8" w:space="0" w:color="auto"/>
              <w:right w:val="nil"/>
            </w:tcBorders>
            <w:shd w:val="clear" w:color="auto" w:fill="auto"/>
            <w:noWrap/>
            <w:vAlign w:val="center"/>
            <w:hideMark/>
          </w:tcPr>
          <w:p w14:paraId="7E3BB718" w14:textId="32159F3C" w:rsidR="00726433" w:rsidRPr="00726433" w:rsidRDefault="00726433" w:rsidP="00726433">
            <w:pPr>
              <w:spacing w:after="0" w:line="240" w:lineRule="auto"/>
              <w:jc w:val="center"/>
              <w:rPr>
                <w:rFonts w:ascii="Arial" w:eastAsia="Times New Roman" w:hAnsi="Arial" w:cs="Arial"/>
                <w:b/>
                <w:bCs/>
                <w:color w:val="000000"/>
                <w:kern w:val="0"/>
                <w:sz w:val="20"/>
                <w:szCs w:val="20"/>
                <w:lang w:val="fr-SN" w:eastAsia="fr-SN"/>
                <w14:ligatures w14:val="none"/>
              </w:rPr>
            </w:pPr>
            <w:r w:rsidRPr="00726433">
              <w:rPr>
                <w:rFonts w:ascii="Arial" w:eastAsia="Times New Roman" w:hAnsi="Arial" w:cs="Arial"/>
                <w:b/>
                <w:bCs/>
                <w:color w:val="000000"/>
                <w:kern w:val="0"/>
                <w:sz w:val="20"/>
                <w:szCs w:val="20"/>
                <w:lang w:val="fr-SN" w:eastAsia="fr-SN"/>
                <w14:ligatures w14:val="none"/>
              </w:rPr>
              <w:t>Results Workshop 1</w:t>
            </w:r>
          </w:p>
        </w:tc>
      </w:tr>
      <w:tr w:rsidR="00726433" w:rsidRPr="00726433" w14:paraId="501B9352" w14:textId="77777777" w:rsidTr="00AA68DA">
        <w:trPr>
          <w:trHeight w:val="1140"/>
        </w:trPr>
        <w:tc>
          <w:tcPr>
            <w:tcW w:w="1800" w:type="dxa"/>
            <w:tcBorders>
              <w:top w:val="nil"/>
              <w:left w:val="nil"/>
              <w:bottom w:val="single" w:sz="8" w:space="0" w:color="auto"/>
              <w:right w:val="nil"/>
            </w:tcBorders>
            <w:shd w:val="clear" w:color="auto" w:fill="auto"/>
            <w:vAlign w:val="center"/>
            <w:hideMark/>
          </w:tcPr>
          <w:p w14:paraId="24464527" w14:textId="0F317EC0" w:rsidR="00726433" w:rsidRPr="00726433" w:rsidRDefault="00726433" w:rsidP="00726433">
            <w:pPr>
              <w:spacing w:after="0" w:line="240" w:lineRule="auto"/>
              <w:jc w:val="center"/>
              <w:rPr>
                <w:rFonts w:ascii="Arial" w:eastAsia="Times New Roman" w:hAnsi="Arial" w:cs="Arial"/>
                <w:b/>
                <w:bCs/>
                <w:color w:val="000000"/>
                <w:kern w:val="0"/>
                <w:sz w:val="20"/>
                <w:szCs w:val="20"/>
                <w:lang w:val="fr-SN" w:eastAsia="fr-SN"/>
                <w14:ligatures w14:val="none"/>
              </w:rPr>
            </w:pPr>
            <w:r w:rsidRPr="00726433">
              <w:rPr>
                <w:rFonts w:ascii="Arial" w:eastAsia="Times New Roman" w:hAnsi="Arial" w:cs="Arial"/>
                <w:b/>
                <w:bCs/>
                <w:color w:val="000000"/>
                <w:kern w:val="0"/>
                <w:sz w:val="20"/>
                <w:szCs w:val="20"/>
                <w:lang w:val="fr-SN" w:eastAsia="fr-SN"/>
                <w14:ligatures w14:val="none"/>
              </w:rPr>
              <w:t>Ground reaction on the front axle A</w:t>
            </w:r>
            <w:r w:rsidRPr="00726433">
              <w:rPr>
                <w:rFonts w:ascii="Arial" w:eastAsia="Times New Roman" w:hAnsi="Arial" w:cs="Arial"/>
                <w:b/>
                <w:bCs/>
                <w:color w:val="000000"/>
                <w:kern w:val="0"/>
                <w:sz w:val="20"/>
                <w:szCs w:val="20"/>
                <w:vertAlign w:val="subscript"/>
                <w:lang w:val="fr-SN" w:eastAsia="fr-SN"/>
                <w14:ligatures w14:val="none"/>
              </w:rPr>
              <w:t>2/1</w:t>
            </w:r>
            <w:r w:rsidRPr="00726433">
              <w:rPr>
                <w:rFonts w:ascii="Arial" w:eastAsia="Times New Roman" w:hAnsi="Arial" w:cs="Arial"/>
                <w:b/>
                <w:bCs/>
                <w:color w:val="000000"/>
                <w:kern w:val="0"/>
                <w:sz w:val="20"/>
                <w:szCs w:val="20"/>
                <w:lang w:val="fr-SN" w:eastAsia="fr-SN"/>
                <w14:ligatures w14:val="none"/>
              </w:rPr>
              <w:t xml:space="preserve"> (daN)</w:t>
            </w:r>
          </w:p>
        </w:tc>
        <w:tc>
          <w:tcPr>
            <w:tcW w:w="2140" w:type="dxa"/>
            <w:tcBorders>
              <w:top w:val="nil"/>
              <w:left w:val="nil"/>
              <w:bottom w:val="single" w:sz="8" w:space="0" w:color="auto"/>
              <w:right w:val="nil"/>
            </w:tcBorders>
            <w:shd w:val="clear" w:color="auto" w:fill="auto"/>
            <w:vAlign w:val="center"/>
            <w:hideMark/>
          </w:tcPr>
          <w:p w14:paraId="36D7BA64" w14:textId="373DAB43" w:rsidR="00726433" w:rsidRPr="00726433" w:rsidRDefault="00726433" w:rsidP="00726433">
            <w:pPr>
              <w:spacing w:after="0" w:line="240" w:lineRule="auto"/>
              <w:jc w:val="center"/>
              <w:rPr>
                <w:rFonts w:ascii="Arial" w:eastAsia="Times New Roman" w:hAnsi="Arial" w:cs="Arial"/>
                <w:b/>
                <w:bCs/>
                <w:color w:val="000000"/>
                <w:kern w:val="0"/>
                <w:sz w:val="20"/>
                <w:szCs w:val="20"/>
                <w:lang w:val="fr-SN" w:eastAsia="fr-SN"/>
                <w14:ligatures w14:val="none"/>
              </w:rPr>
            </w:pPr>
            <w:r w:rsidRPr="00726433">
              <w:rPr>
                <w:rFonts w:ascii="Arial" w:eastAsia="Times New Roman" w:hAnsi="Arial" w:cs="Arial"/>
                <w:b/>
                <w:bCs/>
                <w:color w:val="000000"/>
                <w:kern w:val="0"/>
                <w:sz w:val="20"/>
                <w:szCs w:val="20"/>
                <w:lang w:val="fr-SN" w:eastAsia="fr-SN"/>
                <w14:ligatures w14:val="none"/>
              </w:rPr>
              <w:t>Ground reaction on the rear axle B</w:t>
            </w:r>
            <w:r w:rsidRPr="00726433">
              <w:rPr>
                <w:rFonts w:ascii="Arial" w:eastAsia="Times New Roman" w:hAnsi="Arial" w:cs="Arial"/>
                <w:b/>
                <w:bCs/>
                <w:color w:val="000000"/>
                <w:kern w:val="0"/>
                <w:sz w:val="20"/>
                <w:szCs w:val="20"/>
                <w:vertAlign w:val="subscript"/>
                <w:lang w:val="fr-SN" w:eastAsia="fr-SN"/>
                <w14:ligatures w14:val="none"/>
              </w:rPr>
              <w:t>2/1</w:t>
            </w:r>
            <w:r w:rsidRPr="00726433">
              <w:rPr>
                <w:rFonts w:ascii="Arial" w:eastAsia="Times New Roman" w:hAnsi="Arial" w:cs="Arial"/>
                <w:b/>
                <w:bCs/>
                <w:color w:val="000000"/>
                <w:kern w:val="0"/>
                <w:sz w:val="20"/>
                <w:szCs w:val="20"/>
                <w:lang w:val="fr-SN" w:eastAsia="fr-SN"/>
                <w14:ligatures w14:val="none"/>
              </w:rPr>
              <w:t xml:space="preserve"> (daN)</w:t>
            </w:r>
          </w:p>
        </w:tc>
        <w:tc>
          <w:tcPr>
            <w:tcW w:w="2280" w:type="dxa"/>
            <w:tcBorders>
              <w:top w:val="nil"/>
              <w:left w:val="nil"/>
              <w:bottom w:val="single" w:sz="8" w:space="0" w:color="auto"/>
              <w:right w:val="nil"/>
            </w:tcBorders>
            <w:shd w:val="clear" w:color="auto" w:fill="auto"/>
            <w:vAlign w:val="center"/>
            <w:hideMark/>
          </w:tcPr>
          <w:p w14:paraId="0D166446" w14:textId="6BFB76E2" w:rsidR="00726433" w:rsidRPr="00726433" w:rsidRDefault="00726433" w:rsidP="00726433">
            <w:pPr>
              <w:spacing w:after="0" w:line="240" w:lineRule="auto"/>
              <w:jc w:val="center"/>
              <w:rPr>
                <w:rFonts w:ascii="Arial" w:eastAsia="Times New Roman" w:hAnsi="Arial" w:cs="Arial"/>
                <w:b/>
                <w:bCs/>
                <w:color w:val="000000"/>
                <w:kern w:val="0"/>
                <w:sz w:val="20"/>
                <w:szCs w:val="20"/>
                <w:lang w:val="fr-SN" w:eastAsia="fr-SN"/>
                <w14:ligatures w14:val="none"/>
              </w:rPr>
            </w:pPr>
            <w:r w:rsidRPr="00726433">
              <w:rPr>
                <w:rFonts w:ascii="Arial" w:eastAsia="Times New Roman" w:hAnsi="Arial" w:cs="Arial"/>
                <w:b/>
                <w:bCs/>
                <w:color w:val="000000"/>
                <w:kern w:val="0"/>
                <w:sz w:val="20"/>
                <w:szCs w:val="20"/>
                <w:lang w:eastAsia="fr-SN"/>
                <w14:ligatures w14:val="none"/>
              </w:rPr>
              <w:t>Distance from front axle to center of gravity L</w:t>
            </w:r>
            <w:r w:rsidRPr="00726433">
              <w:rPr>
                <w:rFonts w:ascii="Arial" w:eastAsia="Times New Roman" w:hAnsi="Arial" w:cs="Arial"/>
                <w:b/>
                <w:bCs/>
                <w:color w:val="000000"/>
                <w:kern w:val="0"/>
                <w:sz w:val="20"/>
                <w:szCs w:val="20"/>
                <w:vertAlign w:val="subscript"/>
                <w:lang w:eastAsia="fr-SN"/>
                <w14:ligatures w14:val="none"/>
              </w:rPr>
              <w:t>1</w:t>
            </w:r>
            <w:r w:rsidRPr="00726433">
              <w:rPr>
                <w:rFonts w:ascii="Arial" w:eastAsia="Times New Roman" w:hAnsi="Arial" w:cs="Arial"/>
                <w:b/>
                <w:bCs/>
                <w:color w:val="000000"/>
                <w:kern w:val="0"/>
                <w:sz w:val="20"/>
                <w:szCs w:val="20"/>
                <w:lang w:eastAsia="fr-SN"/>
                <w14:ligatures w14:val="none"/>
              </w:rPr>
              <w:t xml:space="preserve"> (m)</w:t>
            </w:r>
          </w:p>
        </w:tc>
        <w:tc>
          <w:tcPr>
            <w:tcW w:w="2260" w:type="dxa"/>
            <w:tcBorders>
              <w:top w:val="nil"/>
              <w:left w:val="nil"/>
              <w:bottom w:val="single" w:sz="8" w:space="0" w:color="auto"/>
              <w:right w:val="nil"/>
            </w:tcBorders>
            <w:shd w:val="clear" w:color="auto" w:fill="auto"/>
            <w:vAlign w:val="center"/>
            <w:hideMark/>
          </w:tcPr>
          <w:p w14:paraId="2F119205" w14:textId="6760322D" w:rsidR="00726433" w:rsidRPr="00726433" w:rsidRDefault="00726433" w:rsidP="00726433">
            <w:pPr>
              <w:spacing w:after="0" w:line="240" w:lineRule="auto"/>
              <w:jc w:val="center"/>
              <w:rPr>
                <w:rFonts w:ascii="Arial" w:eastAsia="Times New Roman" w:hAnsi="Arial" w:cs="Arial"/>
                <w:b/>
                <w:bCs/>
                <w:color w:val="000000"/>
                <w:kern w:val="0"/>
                <w:sz w:val="20"/>
                <w:szCs w:val="20"/>
                <w:lang w:val="fr-SN" w:eastAsia="fr-SN"/>
                <w14:ligatures w14:val="none"/>
              </w:rPr>
            </w:pPr>
            <w:r w:rsidRPr="00726433">
              <w:rPr>
                <w:rFonts w:ascii="Arial" w:eastAsia="Times New Roman" w:hAnsi="Arial" w:cs="Arial"/>
                <w:b/>
                <w:bCs/>
                <w:color w:val="000000"/>
                <w:kern w:val="0"/>
                <w:sz w:val="20"/>
                <w:szCs w:val="20"/>
                <w:lang w:eastAsia="fr-SN"/>
                <w14:ligatures w14:val="none"/>
              </w:rPr>
              <w:t>Distance between rear axle and center of gravity L</w:t>
            </w:r>
            <w:r w:rsidRPr="00726433">
              <w:rPr>
                <w:rFonts w:ascii="Arial" w:eastAsia="Times New Roman" w:hAnsi="Arial" w:cs="Arial"/>
                <w:b/>
                <w:bCs/>
                <w:color w:val="000000"/>
                <w:kern w:val="0"/>
                <w:sz w:val="20"/>
                <w:szCs w:val="20"/>
                <w:vertAlign w:val="subscript"/>
                <w:lang w:eastAsia="fr-SN"/>
                <w14:ligatures w14:val="none"/>
              </w:rPr>
              <w:t>2</w:t>
            </w:r>
            <w:r w:rsidRPr="00726433">
              <w:rPr>
                <w:rFonts w:ascii="Arial" w:eastAsia="Times New Roman" w:hAnsi="Arial" w:cs="Arial"/>
                <w:b/>
                <w:bCs/>
                <w:color w:val="000000"/>
                <w:kern w:val="0"/>
                <w:sz w:val="20"/>
                <w:szCs w:val="20"/>
                <w:lang w:eastAsia="fr-SN"/>
                <w14:ligatures w14:val="none"/>
              </w:rPr>
              <w:t xml:space="preserve"> (m)</w:t>
            </w:r>
          </w:p>
        </w:tc>
      </w:tr>
      <w:tr w:rsidR="00726433" w:rsidRPr="00726433" w14:paraId="103CDE03" w14:textId="77777777" w:rsidTr="00AA68DA">
        <w:trPr>
          <w:trHeight w:val="330"/>
        </w:trPr>
        <w:tc>
          <w:tcPr>
            <w:tcW w:w="1800" w:type="dxa"/>
            <w:tcBorders>
              <w:top w:val="nil"/>
              <w:left w:val="nil"/>
              <w:bottom w:val="single" w:sz="8" w:space="0" w:color="auto"/>
              <w:right w:val="nil"/>
            </w:tcBorders>
            <w:shd w:val="clear" w:color="auto" w:fill="auto"/>
            <w:noWrap/>
            <w:vAlign w:val="center"/>
            <w:hideMark/>
          </w:tcPr>
          <w:p w14:paraId="4CEF91E5" w14:textId="77777777" w:rsidR="00726433" w:rsidRPr="00726433" w:rsidRDefault="00726433" w:rsidP="00726433">
            <w:pPr>
              <w:spacing w:after="0" w:line="240" w:lineRule="auto"/>
              <w:jc w:val="center"/>
              <w:rPr>
                <w:rFonts w:ascii="Arial" w:eastAsia="Times New Roman" w:hAnsi="Arial" w:cs="Arial"/>
                <w:color w:val="000000"/>
                <w:kern w:val="0"/>
                <w:sz w:val="20"/>
                <w:szCs w:val="20"/>
                <w:lang w:val="fr-SN" w:eastAsia="fr-SN"/>
                <w14:ligatures w14:val="none"/>
              </w:rPr>
            </w:pPr>
            <w:r w:rsidRPr="00726433">
              <w:rPr>
                <w:rFonts w:ascii="Arial" w:eastAsia="Times New Roman" w:hAnsi="Arial" w:cs="Arial"/>
                <w:color w:val="000000"/>
                <w:kern w:val="0"/>
                <w:sz w:val="20"/>
                <w:szCs w:val="20"/>
                <w:lang w:val="fr-SN" w:eastAsia="fr-SN"/>
                <w14:ligatures w14:val="none"/>
              </w:rPr>
              <w:t>1996,7</w:t>
            </w:r>
          </w:p>
        </w:tc>
        <w:tc>
          <w:tcPr>
            <w:tcW w:w="2140" w:type="dxa"/>
            <w:tcBorders>
              <w:top w:val="nil"/>
              <w:left w:val="nil"/>
              <w:bottom w:val="single" w:sz="8" w:space="0" w:color="auto"/>
              <w:right w:val="nil"/>
            </w:tcBorders>
            <w:shd w:val="clear" w:color="auto" w:fill="auto"/>
            <w:noWrap/>
            <w:vAlign w:val="center"/>
            <w:hideMark/>
          </w:tcPr>
          <w:p w14:paraId="1DBCE79E" w14:textId="77777777" w:rsidR="00726433" w:rsidRPr="00726433" w:rsidRDefault="00726433" w:rsidP="00726433">
            <w:pPr>
              <w:spacing w:after="0" w:line="240" w:lineRule="auto"/>
              <w:jc w:val="center"/>
              <w:rPr>
                <w:rFonts w:ascii="Arial" w:eastAsia="Times New Roman" w:hAnsi="Arial" w:cs="Arial"/>
                <w:color w:val="000000"/>
                <w:kern w:val="0"/>
                <w:sz w:val="20"/>
                <w:szCs w:val="20"/>
                <w:lang w:val="fr-SN" w:eastAsia="fr-SN"/>
                <w14:ligatures w14:val="none"/>
              </w:rPr>
            </w:pPr>
            <w:r w:rsidRPr="00726433">
              <w:rPr>
                <w:rFonts w:ascii="Arial" w:eastAsia="Times New Roman" w:hAnsi="Arial" w:cs="Arial"/>
                <w:color w:val="000000"/>
                <w:kern w:val="0"/>
                <w:sz w:val="20"/>
                <w:szCs w:val="20"/>
                <w:lang w:val="fr-SN" w:eastAsia="fr-SN"/>
                <w14:ligatures w14:val="none"/>
              </w:rPr>
              <w:t>2873,3</w:t>
            </w:r>
          </w:p>
        </w:tc>
        <w:tc>
          <w:tcPr>
            <w:tcW w:w="2280" w:type="dxa"/>
            <w:tcBorders>
              <w:top w:val="nil"/>
              <w:left w:val="nil"/>
              <w:bottom w:val="single" w:sz="8" w:space="0" w:color="auto"/>
              <w:right w:val="nil"/>
            </w:tcBorders>
            <w:shd w:val="clear" w:color="auto" w:fill="auto"/>
            <w:noWrap/>
            <w:vAlign w:val="center"/>
            <w:hideMark/>
          </w:tcPr>
          <w:p w14:paraId="730E61AD" w14:textId="77777777" w:rsidR="00726433" w:rsidRPr="00726433" w:rsidRDefault="00726433" w:rsidP="00726433">
            <w:pPr>
              <w:spacing w:after="0" w:line="240" w:lineRule="auto"/>
              <w:jc w:val="center"/>
              <w:rPr>
                <w:rFonts w:ascii="Arial" w:eastAsia="Times New Roman" w:hAnsi="Arial" w:cs="Arial"/>
                <w:color w:val="000000"/>
                <w:kern w:val="0"/>
                <w:sz w:val="20"/>
                <w:szCs w:val="20"/>
                <w:lang w:val="fr-SN" w:eastAsia="fr-SN"/>
                <w14:ligatures w14:val="none"/>
              </w:rPr>
            </w:pPr>
            <w:r w:rsidRPr="00726433">
              <w:rPr>
                <w:rFonts w:ascii="Arial" w:eastAsia="Times New Roman" w:hAnsi="Arial" w:cs="Arial"/>
                <w:color w:val="000000"/>
                <w:kern w:val="0"/>
                <w:sz w:val="20"/>
                <w:szCs w:val="20"/>
                <w:lang w:val="fr-SN" w:eastAsia="fr-SN"/>
                <w14:ligatures w14:val="none"/>
              </w:rPr>
              <w:t>1,54993</w:t>
            </w:r>
          </w:p>
        </w:tc>
        <w:tc>
          <w:tcPr>
            <w:tcW w:w="2260" w:type="dxa"/>
            <w:tcBorders>
              <w:top w:val="nil"/>
              <w:left w:val="nil"/>
              <w:bottom w:val="single" w:sz="8" w:space="0" w:color="auto"/>
              <w:right w:val="nil"/>
            </w:tcBorders>
            <w:shd w:val="clear" w:color="auto" w:fill="auto"/>
            <w:noWrap/>
            <w:vAlign w:val="center"/>
            <w:hideMark/>
          </w:tcPr>
          <w:p w14:paraId="09C61C6B" w14:textId="77777777" w:rsidR="00726433" w:rsidRPr="00726433" w:rsidRDefault="00726433" w:rsidP="00726433">
            <w:pPr>
              <w:spacing w:after="0" w:line="240" w:lineRule="auto"/>
              <w:jc w:val="center"/>
              <w:rPr>
                <w:rFonts w:ascii="Arial" w:eastAsia="Times New Roman" w:hAnsi="Arial" w:cs="Arial"/>
                <w:color w:val="000000"/>
                <w:kern w:val="0"/>
                <w:sz w:val="20"/>
                <w:szCs w:val="20"/>
                <w:lang w:val="fr-SN" w:eastAsia="fr-SN"/>
                <w14:ligatures w14:val="none"/>
              </w:rPr>
            </w:pPr>
            <w:r w:rsidRPr="00726433">
              <w:rPr>
                <w:rFonts w:ascii="Arial" w:eastAsia="Times New Roman" w:hAnsi="Arial" w:cs="Arial"/>
                <w:color w:val="000000"/>
                <w:kern w:val="0"/>
                <w:sz w:val="20"/>
                <w:szCs w:val="20"/>
                <w:lang w:val="fr-SN" w:eastAsia="fr-SN"/>
                <w14:ligatures w14:val="none"/>
              </w:rPr>
              <w:t>1,077</w:t>
            </w:r>
          </w:p>
        </w:tc>
      </w:tr>
    </w:tbl>
    <w:p w14:paraId="03635D3C" w14:textId="77777777" w:rsidR="00726433" w:rsidRPr="00726433" w:rsidRDefault="00726433" w:rsidP="00726433">
      <w:pPr>
        <w:jc w:val="both"/>
        <w:rPr>
          <w:rFonts w:ascii="Arial" w:hAnsi="Arial" w:cs="Arial"/>
          <w:b/>
          <w:bCs/>
          <w:sz w:val="20"/>
          <w:szCs w:val="20"/>
        </w:rPr>
      </w:pPr>
    </w:p>
    <w:p w14:paraId="74241062" w14:textId="4252A963" w:rsidR="00647E8F" w:rsidRDefault="00726433" w:rsidP="00726433">
      <w:pPr>
        <w:pStyle w:val="ListParagraph"/>
        <w:numPr>
          <w:ilvl w:val="2"/>
          <w:numId w:val="1"/>
        </w:numPr>
        <w:jc w:val="both"/>
        <w:rPr>
          <w:rFonts w:ascii="Arial" w:hAnsi="Arial" w:cs="Arial"/>
          <w:b/>
          <w:bCs/>
        </w:rPr>
      </w:pPr>
      <w:r w:rsidRPr="00726433">
        <w:rPr>
          <w:rFonts w:ascii="Arial" w:hAnsi="Arial" w:cs="Arial"/>
          <w:b/>
          <w:bCs/>
        </w:rPr>
        <w:t>Setting Workshop 2</w:t>
      </w:r>
      <w:r>
        <w:rPr>
          <w:rFonts w:ascii="Arial" w:hAnsi="Arial" w:cs="Arial"/>
          <w:b/>
          <w:bCs/>
        </w:rPr>
        <w:t xml:space="preserve"> </w:t>
      </w:r>
      <w:r w:rsidRPr="00726433">
        <w:rPr>
          <w:rFonts w:ascii="Arial" w:hAnsi="Arial" w:cs="Arial"/>
          <w:b/>
          <w:bCs/>
        </w:rPr>
        <w:t>: Study of the tractor-plough assembly</w:t>
      </w:r>
    </w:p>
    <w:p w14:paraId="709EE1E3" w14:textId="4C8B433B" w:rsidR="00726433" w:rsidRDefault="00726433" w:rsidP="00726433">
      <w:pPr>
        <w:jc w:val="both"/>
        <w:rPr>
          <w:rFonts w:ascii="Arial" w:hAnsi="Arial" w:cs="Arial"/>
          <w:sz w:val="20"/>
          <w:szCs w:val="20"/>
        </w:rPr>
      </w:pPr>
      <w:r w:rsidRPr="00726433">
        <w:rPr>
          <w:rFonts w:ascii="Arial" w:hAnsi="Arial" w:cs="Arial"/>
          <w:sz w:val="20"/>
          <w:szCs w:val="20"/>
        </w:rPr>
        <w:t xml:space="preserve">Figure </w:t>
      </w:r>
      <w:r>
        <w:rPr>
          <w:rFonts w:ascii="Arial" w:hAnsi="Arial" w:cs="Arial"/>
          <w:sz w:val="20"/>
          <w:szCs w:val="20"/>
        </w:rPr>
        <w:t>7</w:t>
      </w:r>
      <w:r w:rsidRPr="00726433">
        <w:rPr>
          <w:rFonts w:ascii="Arial" w:hAnsi="Arial" w:cs="Arial"/>
          <w:sz w:val="20"/>
          <w:szCs w:val="20"/>
        </w:rPr>
        <w:t xml:space="preserve"> shows that the plough's working surface increases with ploughing depth. Thus, the highest ploughed area is found in the Lab40 treatment, followed by the Lab30 treatment.</w:t>
      </w:r>
    </w:p>
    <w:p w14:paraId="4F5C4BD9" w14:textId="77777777" w:rsidR="00175963" w:rsidRDefault="00175963" w:rsidP="00726433">
      <w:pPr>
        <w:jc w:val="both"/>
        <w:rPr>
          <w:rFonts w:ascii="Arial" w:hAnsi="Arial" w:cs="Arial"/>
          <w:sz w:val="20"/>
          <w:szCs w:val="20"/>
        </w:rPr>
      </w:pPr>
    </w:p>
    <w:p w14:paraId="1D9CAA78" w14:textId="14F4494F" w:rsidR="00175963" w:rsidRDefault="00175963" w:rsidP="00175963">
      <w:pPr>
        <w:jc w:val="center"/>
        <w:rPr>
          <w:rFonts w:ascii="Arial" w:hAnsi="Arial" w:cs="Arial"/>
          <w:sz w:val="20"/>
          <w:szCs w:val="20"/>
        </w:rPr>
      </w:pPr>
      <w:r>
        <w:rPr>
          <w:noProof/>
          <w:lang w:val="en-US"/>
        </w:rPr>
        <w:lastRenderedPageBreak/>
        <w:drawing>
          <wp:inline distT="0" distB="0" distL="0" distR="0" wp14:anchorId="7AAD2A12" wp14:editId="06AC73E9">
            <wp:extent cx="4572000" cy="2867025"/>
            <wp:effectExtent l="0" t="0" r="0" b="9525"/>
            <wp:docPr id="833922521" name="Graphique 1">
              <a:extLst xmlns:a="http://schemas.openxmlformats.org/drawingml/2006/main">
                <a:ext uri="{FF2B5EF4-FFF2-40B4-BE49-F238E27FC236}">
                  <a16:creationId xmlns:a16="http://schemas.microsoft.com/office/drawing/2014/main" id="{D275D94B-D05C-4BE5-DF6E-A4D57532A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AE8A72" w14:textId="3EA08149" w:rsidR="00175963" w:rsidRPr="00476DC8" w:rsidRDefault="00175963" w:rsidP="00175963">
      <w:pPr>
        <w:jc w:val="center"/>
        <w:rPr>
          <w:rFonts w:ascii="Arial" w:hAnsi="Arial" w:cs="Arial"/>
          <w:b/>
          <w:bCs/>
          <w:sz w:val="20"/>
          <w:szCs w:val="20"/>
        </w:rPr>
      </w:pPr>
      <w:r w:rsidRPr="00476DC8">
        <w:rPr>
          <w:rFonts w:ascii="Arial" w:hAnsi="Arial" w:cs="Arial"/>
          <w:b/>
          <w:bCs/>
          <w:sz w:val="20"/>
          <w:szCs w:val="20"/>
        </w:rPr>
        <w:t>Figure 7. Variation in work surface depending on treatment</w:t>
      </w:r>
    </w:p>
    <w:p w14:paraId="651CE4AB" w14:textId="687639EE" w:rsidR="00175963" w:rsidRDefault="00175963" w:rsidP="00175963">
      <w:pPr>
        <w:jc w:val="both"/>
        <w:rPr>
          <w:rFonts w:ascii="Arial" w:hAnsi="Arial" w:cs="Arial"/>
          <w:sz w:val="20"/>
          <w:szCs w:val="20"/>
        </w:rPr>
      </w:pPr>
      <w:r w:rsidRPr="00175963">
        <w:rPr>
          <w:rFonts w:ascii="Arial" w:hAnsi="Arial" w:cs="Arial"/>
          <w:sz w:val="20"/>
          <w:szCs w:val="20"/>
        </w:rPr>
        <w:t xml:space="preserve">Table </w:t>
      </w:r>
      <w:r>
        <w:rPr>
          <w:rFonts w:ascii="Arial" w:hAnsi="Arial" w:cs="Arial"/>
          <w:sz w:val="20"/>
          <w:szCs w:val="20"/>
        </w:rPr>
        <w:t>2</w:t>
      </w:r>
      <w:r w:rsidRPr="00175963">
        <w:rPr>
          <w:rFonts w:ascii="Arial" w:hAnsi="Arial" w:cs="Arial"/>
          <w:sz w:val="20"/>
          <w:szCs w:val="20"/>
        </w:rPr>
        <w:t xml:space="preserve"> shows that the total weight of the tractor/plow combination is around 1100 daN, with a distance between the weight carrier and the front axle of 0.8m, a penetration resistance of 75 N/dm2, a working width of 121.92 cm and a rolling coefficient of 12%. The tractor's ploughing speed was around 5 km/h.</w:t>
      </w:r>
    </w:p>
    <w:p w14:paraId="05295A46" w14:textId="464A7BCC" w:rsidR="00175963" w:rsidRDefault="00175963" w:rsidP="00175963">
      <w:pPr>
        <w:jc w:val="center"/>
        <w:rPr>
          <w:rFonts w:ascii="Arial" w:hAnsi="Arial" w:cs="Arial"/>
          <w:b/>
          <w:bCs/>
          <w:sz w:val="20"/>
          <w:szCs w:val="20"/>
        </w:rPr>
      </w:pPr>
      <w:r w:rsidRPr="00175963">
        <w:rPr>
          <w:rFonts w:ascii="Arial" w:hAnsi="Arial" w:cs="Arial"/>
          <w:b/>
          <w:bCs/>
          <w:sz w:val="20"/>
          <w:szCs w:val="20"/>
        </w:rPr>
        <w:t>Table 2. Setting diagram data for workshop 2</w:t>
      </w:r>
    </w:p>
    <w:tbl>
      <w:tblPr>
        <w:tblW w:w="10430" w:type="dxa"/>
        <w:tblInd w:w="-502" w:type="dxa"/>
        <w:tblCellMar>
          <w:left w:w="70" w:type="dxa"/>
          <w:right w:w="70" w:type="dxa"/>
        </w:tblCellMar>
        <w:tblLook w:val="04A0" w:firstRow="1" w:lastRow="0" w:firstColumn="1" w:lastColumn="0" w:noHBand="0" w:noVBand="1"/>
      </w:tblPr>
      <w:tblGrid>
        <w:gridCol w:w="1211"/>
        <w:gridCol w:w="2033"/>
        <w:gridCol w:w="1457"/>
        <w:gridCol w:w="1407"/>
        <w:gridCol w:w="1567"/>
        <w:gridCol w:w="1015"/>
        <w:gridCol w:w="1260"/>
        <w:gridCol w:w="480"/>
      </w:tblGrid>
      <w:tr w:rsidR="00175963" w:rsidRPr="00175963" w14:paraId="7EFA2F95" w14:textId="77777777" w:rsidTr="00AA68DA">
        <w:trPr>
          <w:trHeight w:val="330"/>
        </w:trPr>
        <w:tc>
          <w:tcPr>
            <w:tcW w:w="10430" w:type="dxa"/>
            <w:gridSpan w:val="8"/>
            <w:tcBorders>
              <w:top w:val="single" w:sz="8" w:space="0" w:color="auto"/>
              <w:left w:val="nil"/>
              <w:bottom w:val="single" w:sz="8" w:space="0" w:color="auto"/>
              <w:right w:val="nil"/>
            </w:tcBorders>
            <w:shd w:val="clear" w:color="auto" w:fill="auto"/>
            <w:noWrap/>
            <w:vAlign w:val="center"/>
            <w:hideMark/>
          </w:tcPr>
          <w:p w14:paraId="2A9A5D4D" w14:textId="77C14CE4" w:rsidR="00175963" w:rsidRPr="00175963"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4D88">
              <w:rPr>
                <w:rFonts w:ascii="Arial" w:eastAsia="Times New Roman" w:hAnsi="Arial" w:cs="Arial"/>
                <w:b/>
                <w:bCs/>
                <w:color w:val="000000"/>
                <w:kern w:val="0"/>
                <w:sz w:val="20"/>
                <w:szCs w:val="20"/>
                <w:lang w:val="fr-SN" w:eastAsia="fr-SN"/>
                <w14:ligatures w14:val="none"/>
              </w:rPr>
              <w:t>Data Workshop 2</w:t>
            </w:r>
          </w:p>
        </w:tc>
      </w:tr>
      <w:tr w:rsidR="00175963" w:rsidRPr="00175963" w14:paraId="1246C820" w14:textId="77777777" w:rsidTr="00AA68DA">
        <w:trPr>
          <w:trHeight w:val="1590"/>
        </w:trPr>
        <w:tc>
          <w:tcPr>
            <w:tcW w:w="1211" w:type="dxa"/>
            <w:tcBorders>
              <w:top w:val="nil"/>
              <w:left w:val="nil"/>
              <w:bottom w:val="single" w:sz="8" w:space="0" w:color="auto"/>
              <w:right w:val="nil"/>
            </w:tcBorders>
            <w:shd w:val="clear" w:color="auto" w:fill="auto"/>
            <w:noWrap/>
            <w:vAlign w:val="center"/>
            <w:hideMark/>
          </w:tcPr>
          <w:p w14:paraId="5F005473" w14:textId="42370DCB" w:rsidR="00175963" w:rsidRPr="00175963"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4D88">
              <w:rPr>
                <w:rFonts w:ascii="Arial" w:eastAsia="Times New Roman" w:hAnsi="Arial" w:cs="Arial"/>
                <w:b/>
                <w:bCs/>
                <w:color w:val="000000"/>
                <w:kern w:val="0"/>
                <w:sz w:val="20"/>
                <w:szCs w:val="20"/>
                <w:lang w:val="fr-SN" w:eastAsia="fr-SN"/>
                <w14:ligatures w14:val="none"/>
              </w:rPr>
              <w:t xml:space="preserve">Total weight </w:t>
            </w:r>
            <w:r w:rsidRPr="00175963">
              <w:rPr>
                <w:rFonts w:ascii="Arial" w:eastAsia="Times New Roman" w:hAnsi="Arial" w:cs="Arial"/>
                <w:b/>
                <w:bCs/>
                <w:color w:val="000000"/>
                <w:kern w:val="0"/>
                <w:sz w:val="20"/>
                <w:szCs w:val="20"/>
                <w:lang w:val="fr-SN" w:eastAsia="fr-SN"/>
                <w14:ligatures w14:val="none"/>
              </w:rPr>
              <w:t>Pt(daN)</w:t>
            </w:r>
          </w:p>
        </w:tc>
        <w:tc>
          <w:tcPr>
            <w:tcW w:w="2033" w:type="dxa"/>
            <w:tcBorders>
              <w:top w:val="nil"/>
              <w:left w:val="nil"/>
              <w:bottom w:val="single" w:sz="8" w:space="0" w:color="auto"/>
              <w:right w:val="nil"/>
            </w:tcBorders>
            <w:shd w:val="clear" w:color="auto" w:fill="auto"/>
            <w:vAlign w:val="center"/>
            <w:hideMark/>
          </w:tcPr>
          <w:p w14:paraId="2AB49A38" w14:textId="690057D4" w:rsidR="00175963" w:rsidRPr="00175963"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4D88">
              <w:rPr>
                <w:rFonts w:ascii="Arial" w:eastAsia="Times New Roman" w:hAnsi="Arial" w:cs="Arial"/>
                <w:b/>
                <w:bCs/>
                <w:color w:val="000000"/>
                <w:kern w:val="0"/>
                <w:sz w:val="20"/>
                <w:szCs w:val="20"/>
                <w:lang w:eastAsia="fr-SN"/>
                <w14:ligatures w14:val="none"/>
              </w:rPr>
              <w:t xml:space="preserve">Distance between weight door and front axle </w:t>
            </w:r>
            <w:r w:rsidRPr="00175963">
              <w:rPr>
                <w:rFonts w:ascii="Arial" w:eastAsia="Times New Roman" w:hAnsi="Arial" w:cs="Arial"/>
                <w:b/>
                <w:bCs/>
                <w:color w:val="000000"/>
                <w:kern w:val="0"/>
                <w:sz w:val="20"/>
                <w:szCs w:val="20"/>
                <w:lang w:eastAsia="fr-SN"/>
                <w14:ligatures w14:val="none"/>
              </w:rPr>
              <w:t>l</w:t>
            </w:r>
            <w:r w:rsidRPr="00175963">
              <w:rPr>
                <w:rFonts w:ascii="Arial" w:eastAsia="Times New Roman" w:hAnsi="Arial" w:cs="Arial"/>
                <w:b/>
                <w:bCs/>
                <w:color w:val="000000"/>
                <w:kern w:val="0"/>
                <w:sz w:val="20"/>
                <w:szCs w:val="20"/>
                <w:vertAlign w:val="subscript"/>
                <w:lang w:eastAsia="fr-SN"/>
                <w14:ligatures w14:val="none"/>
              </w:rPr>
              <w:t>4</w:t>
            </w:r>
            <w:r w:rsidRPr="00175963">
              <w:rPr>
                <w:rFonts w:ascii="Arial" w:eastAsia="Times New Roman" w:hAnsi="Arial" w:cs="Arial"/>
                <w:b/>
                <w:bCs/>
                <w:color w:val="000000"/>
                <w:kern w:val="0"/>
                <w:sz w:val="20"/>
                <w:szCs w:val="20"/>
                <w:lang w:eastAsia="fr-SN"/>
                <w14:ligatures w14:val="none"/>
              </w:rPr>
              <w:t xml:space="preserve">  </w:t>
            </w:r>
            <w:r w:rsidRPr="00175963">
              <w:rPr>
                <w:rFonts w:ascii="Arial" w:eastAsia="Times New Roman" w:hAnsi="Arial" w:cs="Arial"/>
                <w:b/>
                <w:bCs/>
                <w:i/>
                <w:iCs/>
                <w:color w:val="000000"/>
                <w:kern w:val="0"/>
                <w:sz w:val="20"/>
                <w:szCs w:val="20"/>
                <w:lang w:eastAsia="fr-SN"/>
                <w14:ligatures w14:val="none"/>
              </w:rPr>
              <w:t>p/r</w:t>
            </w:r>
            <w:r w:rsidRPr="00175963">
              <w:rPr>
                <w:rFonts w:ascii="Arial" w:eastAsia="Times New Roman" w:hAnsi="Arial" w:cs="Arial"/>
                <w:b/>
                <w:bCs/>
                <w:color w:val="000000"/>
                <w:kern w:val="0"/>
                <w:sz w:val="20"/>
                <w:szCs w:val="20"/>
                <w:lang w:eastAsia="fr-SN"/>
                <w14:ligatures w14:val="none"/>
              </w:rPr>
              <w:t xml:space="preserve"> A (m)</w:t>
            </w:r>
          </w:p>
        </w:tc>
        <w:tc>
          <w:tcPr>
            <w:tcW w:w="1457" w:type="dxa"/>
            <w:tcBorders>
              <w:top w:val="nil"/>
              <w:left w:val="nil"/>
              <w:bottom w:val="single" w:sz="8" w:space="0" w:color="auto"/>
              <w:right w:val="nil"/>
            </w:tcBorders>
            <w:shd w:val="clear" w:color="auto" w:fill="auto"/>
            <w:vAlign w:val="center"/>
            <w:hideMark/>
          </w:tcPr>
          <w:p w14:paraId="6D8D1309" w14:textId="564D293E" w:rsidR="00175963" w:rsidRPr="00175963"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4D88">
              <w:rPr>
                <w:rFonts w:ascii="Arial" w:eastAsia="Times New Roman" w:hAnsi="Arial" w:cs="Arial"/>
                <w:b/>
                <w:bCs/>
                <w:color w:val="000000"/>
                <w:kern w:val="0"/>
                <w:sz w:val="20"/>
                <w:szCs w:val="20"/>
                <w:lang w:val="fr-SN" w:eastAsia="fr-SN"/>
                <w14:ligatures w14:val="none"/>
              </w:rPr>
              <w:t>Penetration resistance</w:t>
            </w:r>
            <w:r w:rsidRPr="00175963">
              <w:rPr>
                <w:rFonts w:ascii="Arial" w:eastAsia="Times New Roman" w:hAnsi="Arial" w:cs="Arial"/>
                <w:b/>
                <w:bCs/>
                <w:color w:val="000000"/>
                <w:kern w:val="0"/>
                <w:sz w:val="20"/>
                <w:szCs w:val="20"/>
                <w:lang w:val="fr-SN" w:eastAsia="fr-SN"/>
                <w14:ligatures w14:val="none"/>
              </w:rPr>
              <w:t xml:space="preserve"> (Rp) (N/dm2))</w:t>
            </w:r>
          </w:p>
        </w:tc>
        <w:tc>
          <w:tcPr>
            <w:tcW w:w="1407" w:type="dxa"/>
            <w:tcBorders>
              <w:top w:val="nil"/>
              <w:left w:val="nil"/>
              <w:bottom w:val="single" w:sz="8" w:space="0" w:color="auto"/>
              <w:right w:val="nil"/>
            </w:tcBorders>
            <w:shd w:val="clear" w:color="auto" w:fill="auto"/>
            <w:vAlign w:val="center"/>
            <w:hideMark/>
          </w:tcPr>
          <w:p w14:paraId="58201F0D" w14:textId="6E7C00FC" w:rsidR="00175963" w:rsidRPr="00175963"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175963">
              <w:rPr>
                <w:rFonts w:ascii="Arial" w:eastAsia="Times New Roman" w:hAnsi="Arial" w:cs="Arial"/>
                <w:b/>
                <w:bCs/>
                <w:color w:val="000000"/>
                <w:kern w:val="0"/>
                <w:sz w:val="20"/>
                <w:szCs w:val="20"/>
                <w:lang w:val="fr-SN" w:eastAsia="fr-SN"/>
                <w14:ligatures w14:val="none"/>
              </w:rPr>
              <w:t xml:space="preserve"> </w:t>
            </w:r>
            <w:r w:rsidRPr="00864D88">
              <w:rPr>
                <w:rFonts w:ascii="Arial" w:eastAsia="Times New Roman" w:hAnsi="Arial" w:cs="Arial"/>
                <w:b/>
                <w:bCs/>
                <w:color w:val="000000"/>
                <w:kern w:val="0"/>
                <w:sz w:val="20"/>
                <w:szCs w:val="20"/>
                <w:lang w:val="fr-SN" w:eastAsia="fr-SN"/>
                <w14:ligatures w14:val="none"/>
              </w:rPr>
              <w:t xml:space="preserve">Penetration resistance </w:t>
            </w:r>
            <w:r w:rsidRPr="00175963">
              <w:rPr>
                <w:rFonts w:ascii="Arial" w:eastAsia="Times New Roman" w:hAnsi="Arial" w:cs="Arial"/>
                <w:b/>
                <w:bCs/>
                <w:color w:val="000000"/>
                <w:kern w:val="0"/>
                <w:sz w:val="20"/>
                <w:szCs w:val="20"/>
                <w:lang w:val="fr-SN" w:eastAsia="fr-SN"/>
                <w14:ligatures w14:val="none"/>
              </w:rPr>
              <w:t>(Rp) (Kpa)</w:t>
            </w:r>
          </w:p>
        </w:tc>
        <w:tc>
          <w:tcPr>
            <w:tcW w:w="1567" w:type="dxa"/>
            <w:tcBorders>
              <w:top w:val="nil"/>
              <w:left w:val="nil"/>
              <w:bottom w:val="single" w:sz="8" w:space="0" w:color="auto"/>
              <w:right w:val="nil"/>
            </w:tcBorders>
            <w:shd w:val="clear" w:color="auto" w:fill="auto"/>
            <w:vAlign w:val="center"/>
            <w:hideMark/>
          </w:tcPr>
          <w:p w14:paraId="63542D62" w14:textId="04F1C705" w:rsidR="00175963" w:rsidRPr="00175963"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4D88">
              <w:rPr>
                <w:rFonts w:ascii="Arial" w:eastAsia="Times New Roman" w:hAnsi="Arial" w:cs="Arial"/>
                <w:b/>
                <w:bCs/>
                <w:color w:val="000000"/>
                <w:kern w:val="0"/>
                <w:sz w:val="20"/>
                <w:szCs w:val="20"/>
                <w:lang w:val="fr-SN" w:eastAsia="fr-SN"/>
                <w14:ligatures w14:val="none"/>
              </w:rPr>
              <w:t xml:space="preserve">Forward speed </w:t>
            </w:r>
            <w:r w:rsidRPr="00175963">
              <w:rPr>
                <w:rFonts w:ascii="Arial" w:eastAsia="Times New Roman" w:hAnsi="Arial" w:cs="Arial"/>
                <w:b/>
                <w:bCs/>
                <w:color w:val="000000"/>
                <w:kern w:val="0"/>
                <w:sz w:val="20"/>
                <w:szCs w:val="20"/>
                <w:lang w:val="fr-SN" w:eastAsia="fr-SN"/>
                <w14:ligatures w14:val="none"/>
              </w:rPr>
              <w:t>km/h</w:t>
            </w:r>
          </w:p>
        </w:tc>
        <w:tc>
          <w:tcPr>
            <w:tcW w:w="1015" w:type="dxa"/>
            <w:tcBorders>
              <w:top w:val="nil"/>
              <w:left w:val="nil"/>
              <w:bottom w:val="single" w:sz="8" w:space="0" w:color="auto"/>
              <w:right w:val="nil"/>
            </w:tcBorders>
            <w:shd w:val="clear" w:color="auto" w:fill="auto"/>
            <w:vAlign w:val="center"/>
            <w:hideMark/>
          </w:tcPr>
          <w:p w14:paraId="2F5DE584" w14:textId="07B7EEDA" w:rsidR="00175963" w:rsidRPr="00175963"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175963">
              <w:rPr>
                <w:rFonts w:ascii="Arial" w:eastAsia="Times New Roman" w:hAnsi="Arial" w:cs="Arial"/>
                <w:b/>
                <w:bCs/>
                <w:color w:val="000000"/>
                <w:kern w:val="0"/>
                <w:sz w:val="20"/>
                <w:szCs w:val="20"/>
                <w:lang w:val="fr-SN" w:eastAsia="fr-SN"/>
                <w14:ligatures w14:val="none"/>
              </w:rPr>
              <w:t xml:space="preserve"> </w:t>
            </w:r>
            <w:r w:rsidRPr="00864D88">
              <w:rPr>
                <w:rFonts w:ascii="Arial" w:eastAsia="Times New Roman" w:hAnsi="Arial" w:cs="Arial"/>
                <w:b/>
                <w:bCs/>
                <w:color w:val="000000"/>
                <w:kern w:val="0"/>
                <w:sz w:val="20"/>
                <w:szCs w:val="20"/>
                <w:lang w:val="fr-SN" w:eastAsia="fr-SN"/>
                <w14:ligatures w14:val="none"/>
              </w:rPr>
              <w:t xml:space="preserve">Working width </w:t>
            </w:r>
            <w:r w:rsidRPr="00175963">
              <w:rPr>
                <w:rFonts w:ascii="Arial" w:eastAsia="Times New Roman" w:hAnsi="Arial" w:cs="Arial"/>
                <w:b/>
                <w:bCs/>
                <w:color w:val="000000"/>
                <w:kern w:val="0"/>
                <w:sz w:val="20"/>
                <w:szCs w:val="20"/>
                <w:lang w:val="fr-SN" w:eastAsia="fr-SN"/>
                <w14:ligatures w14:val="none"/>
              </w:rPr>
              <w:t>(T) (cm)</w:t>
            </w:r>
          </w:p>
        </w:tc>
        <w:tc>
          <w:tcPr>
            <w:tcW w:w="1260" w:type="dxa"/>
            <w:tcBorders>
              <w:top w:val="nil"/>
              <w:left w:val="nil"/>
              <w:bottom w:val="single" w:sz="8" w:space="0" w:color="auto"/>
              <w:right w:val="nil"/>
            </w:tcBorders>
            <w:shd w:val="clear" w:color="auto" w:fill="auto"/>
            <w:vAlign w:val="center"/>
            <w:hideMark/>
          </w:tcPr>
          <w:p w14:paraId="403AB56C" w14:textId="5603CDDC" w:rsidR="00175963" w:rsidRPr="00175963"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4D88">
              <w:rPr>
                <w:rFonts w:ascii="Arial" w:eastAsia="Times New Roman" w:hAnsi="Arial" w:cs="Arial"/>
                <w:b/>
                <w:bCs/>
                <w:color w:val="000000"/>
                <w:kern w:val="0"/>
                <w:sz w:val="20"/>
                <w:szCs w:val="20"/>
                <w:lang w:val="fr-SN" w:eastAsia="fr-SN"/>
                <w14:ligatures w14:val="none"/>
              </w:rPr>
              <w:t xml:space="preserve">Rolling coefficient </w:t>
            </w:r>
            <w:r w:rsidRPr="00175963">
              <w:rPr>
                <w:rFonts w:ascii="Arial" w:eastAsia="Times New Roman" w:hAnsi="Arial" w:cs="Arial"/>
                <w:b/>
                <w:bCs/>
                <w:color w:val="000000"/>
                <w:kern w:val="0"/>
                <w:sz w:val="20"/>
                <w:szCs w:val="20"/>
                <w:lang w:val="fr-SN" w:eastAsia="fr-SN"/>
                <w14:ligatures w14:val="none"/>
              </w:rPr>
              <w:t xml:space="preserve">Cr </w:t>
            </w:r>
          </w:p>
        </w:tc>
        <w:tc>
          <w:tcPr>
            <w:tcW w:w="480" w:type="dxa"/>
            <w:tcBorders>
              <w:top w:val="nil"/>
              <w:left w:val="nil"/>
              <w:bottom w:val="single" w:sz="8" w:space="0" w:color="auto"/>
              <w:right w:val="nil"/>
            </w:tcBorders>
            <w:shd w:val="clear" w:color="auto" w:fill="auto"/>
            <w:noWrap/>
            <w:vAlign w:val="center"/>
            <w:hideMark/>
          </w:tcPr>
          <w:p w14:paraId="274EBA1E" w14:textId="77777777" w:rsidR="00175963" w:rsidRPr="00175963"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175963">
              <w:rPr>
                <w:rFonts w:ascii="Arial" w:eastAsia="Times New Roman" w:hAnsi="Arial" w:cs="Arial"/>
                <w:b/>
                <w:bCs/>
                <w:color w:val="000000"/>
                <w:kern w:val="0"/>
                <w:sz w:val="20"/>
                <w:szCs w:val="20"/>
                <w:lang w:val="fr-SN" w:eastAsia="fr-SN"/>
                <w14:ligatures w14:val="none"/>
              </w:rPr>
              <w:t>α (°)</w:t>
            </w:r>
          </w:p>
        </w:tc>
      </w:tr>
      <w:tr w:rsidR="00175963" w:rsidRPr="00175963" w14:paraId="3EF3FEB1" w14:textId="77777777" w:rsidTr="00AA68DA">
        <w:trPr>
          <w:trHeight w:val="330"/>
        </w:trPr>
        <w:tc>
          <w:tcPr>
            <w:tcW w:w="1211" w:type="dxa"/>
            <w:tcBorders>
              <w:top w:val="nil"/>
              <w:left w:val="nil"/>
              <w:bottom w:val="single" w:sz="8" w:space="0" w:color="auto"/>
              <w:right w:val="nil"/>
            </w:tcBorders>
            <w:shd w:val="clear" w:color="auto" w:fill="auto"/>
            <w:noWrap/>
            <w:vAlign w:val="center"/>
            <w:hideMark/>
          </w:tcPr>
          <w:p w14:paraId="40782215" w14:textId="77777777" w:rsidR="00175963" w:rsidRPr="00175963"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175963">
              <w:rPr>
                <w:rFonts w:ascii="Arial" w:eastAsia="Times New Roman" w:hAnsi="Arial" w:cs="Arial"/>
                <w:color w:val="000000"/>
                <w:kern w:val="0"/>
                <w:sz w:val="20"/>
                <w:szCs w:val="20"/>
                <w:lang w:val="fr-SN" w:eastAsia="fr-SN"/>
                <w14:ligatures w14:val="none"/>
              </w:rPr>
              <w:t>1100</w:t>
            </w:r>
          </w:p>
        </w:tc>
        <w:tc>
          <w:tcPr>
            <w:tcW w:w="2033" w:type="dxa"/>
            <w:tcBorders>
              <w:top w:val="nil"/>
              <w:left w:val="nil"/>
              <w:bottom w:val="single" w:sz="8" w:space="0" w:color="auto"/>
              <w:right w:val="nil"/>
            </w:tcBorders>
            <w:shd w:val="clear" w:color="auto" w:fill="auto"/>
            <w:noWrap/>
            <w:vAlign w:val="center"/>
            <w:hideMark/>
          </w:tcPr>
          <w:p w14:paraId="5BC04AC8" w14:textId="77777777" w:rsidR="00175963" w:rsidRPr="00175963"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175963">
              <w:rPr>
                <w:rFonts w:ascii="Arial" w:eastAsia="Times New Roman" w:hAnsi="Arial" w:cs="Arial"/>
                <w:color w:val="000000"/>
                <w:kern w:val="0"/>
                <w:sz w:val="20"/>
                <w:szCs w:val="20"/>
                <w:lang w:val="fr-SN" w:eastAsia="fr-SN"/>
                <w14:ligatures w14:val="none"/>
              </w:rPr>
              <w:t>0,8</w:t>
            </w:r>
          </w:p>
        </w:tc>
        <w:tc>
          <w:tcPr>
            <w:tcW w:w="1457" w:type="dxa"/>
            <w:tcBorders>
              <w:top w:val="nil"/>
              <w:left w:val="nil"/>
              <w:bottom w:val="single" w:sz="8" w:space="0" w:color="auto"/>
              <w:right w:val="nil"/>
            </w:tcBorders>
            <w:shd w:val="clear" w:color="auto" w:fill="auto"/>
            <w:noWrap/>
            <w:vAlign w:val="center"/>
            <w:hideMark/>
          </w:tcPr>
          <w:p w14:paraId="7B01BB9C" w14:textId="77777777" w:rsidR="00175963" w:rsidRPr="00175963"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175963">
              <w:rPr>
                <w:rFonts w:ascii="Arial" w:eastAsia="Times New Roman" w:hAnsi="Arial" w:cs="Arial"/>
                <w:color w:val="000000"/>
                <w:kern w:val="0"/>
                <w:sz w:val="20"/>
                <w:szCs w:val="20"/>
                <w:lang w:val="fr-SN" w:eastAsia="fr-SN"/>
                <w14:ligatures w14:val="none"/>
              </w:rPr>
              <w:t>75</w:t>
            </w:r>
          </w:p>
        </w:tc>
        <w:tc>
          <w:tcPr>
            <w:tcW w:w="1407" w:type="dxa"/>
            <w:tcBorders>
              <w:top w:val="nil"/>
              <w:left w:val="nil"/>
              <w:bottom w:val="single" w:sz="8" w:space="0" w:color="auto"/>
              <w:right w:val="nil"/>
            </w:tcBorders>
            <w:shd w:val="clear" w:color="auto" w:fill="auto"/>
            <w:noWrap/>
            <w:vAlign w:val="center"/>
            <w:hideMark/>
          </w:tcPr>
          <w:p w14:paraId="0C875187" w14:textId="77777777" w:rsidR="00175963" w:rsidRPr="00175963"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175963">
              <w:rPr>
                <w:rFonts w:ascii="Arial" w:eastAsia="Times New Roman" w:hAnsi="Arial" w:cs="Arial"/>
                <w:color w:val="000000"/>
                <w:kern w:val="0"/>
                <w:sz w:val="20"/>
                <w:szCs w:val="20"/>
                <w:lang w:val="fr-SN" w:eastAsia="fr-SN"/>
                <w14:ligatures w14:val="none"/>
              </w:rPr>
              <w:t>750</w:t>
            </w:r>
          </w:p>
        </w:tc>
        <w:tc>
          <w:tcPr>
            <w:tcW w:w="1567" w:type="dxa"/>
            <w:tcBorders>
              <w:top w:val="nil"/>
              <w:left w:val="nil"/>
              <w:bottom w:val="single" w:sz="8" w:space="0" w:color="auto"/>
              <w:right w:val="nil"/>
            </w:tcBorders>
            <w:shd w:val="clear" w:color="auto" w:fill="auto"/>
            <w:noWrap/>
            <w:vAlign w:val="center"/>
            <w:hideMark/>
          </w:tcPr>
          <w:p w14:paraId="3E4F5347" w14:textId="77777777" w:rsidR="00175963" w:rsidRPr="00175963"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175963">
              <w:rPr>
                <w:rFonts w:ascii="Arial" w:eastAsia="Times New Roman" w:hAnsi="Arial" w:cs="Arial"/>
                <w:color w:val="000000"/>
                <w:kern w:val="0"/>
                <w:sz w:val="20"/>
                <w:szCs w:val="20"/>
                <w:lang w:val="fr-SN" w:eastAsia="fr-SN"/>
                <w14:ligatures w14:val="none"/>
              </w:rPr>
              <w:t>5</w:t>
            </w:r>
          </w:p>
        </w:tc>
        <w:tc>
          <w:tcPr>
            <w:tcW w:w="1015" w:type="dxa"/>
            <w:tcBorders>
              <w:top w:val="nil"/>
              <w:left w:val="nil"/>
              <w:bottom w:val="single" w:sz="8" w:space="0" w:color="auto"/>
              <w:right w:val="nil"/>
            </w:tcBorders>
            <w:shd w:val="clear" w:color="auto" w:fill="auto"/>
            <w:noWrap/>
            <w:vAlign w:val="center"/>
            <w:hideMark/>
          </w:tcPr>
          <w:p w14:paraId="043A9D38" w14:textId="77777777" w:rsidR="00175963" w:rsidRPr="00175963"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175963">
              <w:rPr>
                <w:rFonts w:ascii="Arial" w:eastAsia="Times New Roman" w:hAnsi="Arial" w:cs="Arial"/>
                <w:color w:val="000000"/>
                <w:kern w:val="0"/>
                <w:sz w:val="20"/>
                <w:szCs w:val="20"/>
                <w:lang w:val="fr-SN" w:eastAsia="fr-SN"/>
                <w14:ligatures w14:val="none"/>
              </w:rPr>
              <w:t>121,92</w:t>
            </w:r>
          </w:p>
        </w:tc>
        <w:tc>
          <w:tcPr>
            <w:tcW w:w="1260" w:type="dxa"/>
            <w:tcBorders>
              <w:top w:val="nil"/>
              <w:left w:val="nil"/>
              <w:bottom w:val="single" w:sz="8" w:space="0" w:color="auto"/>
              <w:right w:val="nil"/>
            </w:tcBorders>
            <w:shd w:val="clear" w:color="auto" w:fill="auto"/>
            <w:noWrap/>
            <w:vAlign w:val="center"/>
            <w:hideMark/>
          </w:tcPr>
          <w:p w14:paraId="57AE1953" w14:textId="77777777" w:rsidR="00175963" w:rsidRPr="00175963"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175963">
              <w:rPr>
                <w:rFonts w:ascii="Arial" w:eastAsia="Times New Roman" w:hAnsi="Arial" w:cs="Arial"/>
                <w:color w:val="000000"/>
                <w:kern w:val="0"/>
                <w:sz w:val="20"/>
                <w:szCs w:val="20"/>
                <w:lang w:val="fr-SN" w:eastAsia="fr-SN"/>
                <w14:ligatures w14:val="none"/>
              </w:rPr>
              <w:t>12%</w:t>
            </w:r>
          </w:p>
        </w:tc>
        <w:tc>
          <w:tcPr>
            <w:tcW w:w="480" w:type="dxa"/>
            <w:tcBorders>
              <w:top w:val="nil"/>
              <w:left w:val="nil"/>
              <w:bottom w:val="single" w:sz="8" w:space="0" w:color="auto"/>
              <w:right w:val="nil"/>
            </w:tcBorders>
            <w:shd w:val="clear" w:color="auto" w:fill="auto"/>
            <w:noWrap/>
            <w:vAlign w:val="center"/>
            <w:hideMark/>
          </w:tcPr>
          <w:p w14:paraId="4D0E76E5" w14:textId="77777777" w:rsidR="00175963" w:rsidRPr="00175963"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175963">
              <w:rPr>
                <w:rFonts w:ascii="Arial" w:eastAsia="Times New Roman" w:hAnsi="Arial" w:cs="Arial"/>
                <w:color w:val="000000"/>
                <w:kern w:val="0"/>
                <w:sz w:val="20"/>
                <w:szCs w:val="20"/>
                <w:lang w:val="fr-SN" w:eastAsia="fr-SN"/>
                <w14:ligatures w14:val="none"/>
              </w:rPr>
              <w:t>5</w:t>
            </w:r>
          </w:p>
        </w:tc>
      </w:tr>
    </w:tbl>
    <w:p w14:paraId="5C8B9C71" w14:textId="77777777" w:rsidR="00864D88" w:rsidRDefault="00864D88" w:rsidP="00175963">
      <w:pPr>
        <w:jc w:val="both"/>
        <w:rPr>
          <w:rFonts w:ascii="Arial" w:hAnsi="Arial" w:cs="Arial"/>
          <w:sz w:val="20"/>
          <w:szCs w:val="20"/>
        </w:rPr>
      </w:pPr>
    </w:p>
    <w:p w14:paraId="5F398167" w14:textId="011B1943" w:rsidR="00175963" w:rsidRDefault="00864D88" w:rsidP="00175963">
      <w:pPr>
        <w:jc w:val="both"/>
        <w:rPr>
          <w:rFonts w:ascii="Arial" w:hAnsi="Arial" w:cs="Arial"/>
          <w:sz w:val="20"/>
          <w:szCs w:val="20"/>
        </w:rPr>
      </w:pPr>
      <w:r w:rsidRPr="00864D88">
        <w:rPr>
          <w:rFonts w:ascii="Arial" w:hAnsi="Arial" w:cs="Arial"/>
          <w:sz w:val="20"/>
          <w:szCs w:val="20"/>
        </w:rPr>
        <w:t xml:space="preserve">Analysis of the results in Table </w:t>
      </w:r>
      <w:r>
        <w:rPr>
          <w:rFonts w:ascii="Arial" w:hAnsi="Arial" w:cs="Arial"/>
          <w:sz w:val="20"/>
          <w:szCs w:val="20"/>
        </w:rPr>
        <w:t>3</w:t>
      </w:r>
      <w:r w:rsidRPr="00864D88">
        <w:rPr>
          <w:rFonts w:ascii="Arial" w:hAnsi="Arial" w:cs="Arial"/>
          <w:sz w:val="20"/>
          <w:szCs w:val="20"/>
        </w:rPr>
        <w:t xml:space="preserve"> shows that it was not necessary to place front weights on the weight carrier. Thus, the tractor had to be lightened at the rear by -204.8 kg to achieve the correct distribution on the road. However, in working conditions, the load distribution recommended by the manufacturers was respected for the Lab20 and Lab30 treatments, as it varied from 35 to 40% for the front axle and from 60 to 65% for the rear axle, so the adjustment of the tractor-plough linkage was optimal for these treatments. For the Lab40 treatment, the front axle was made heavier to meet the 40-60 distribution required under ploughing conditions.</w:t>
      </w:r>
    </w:p>
    <w:p w14:paraId="398474C9" w14:textId="219F4FCC" w:rsidR="00864D88" w:rsidRDefault="00864D88" w:rsidP="00175963">
      <w:pPr>
        <w:jc w:val="both"/>
        <w:rPr>
          <w:rFonts w:ascii="Arial" w:hAnsi="Arial" w:cs="Arial"/>
          <w:sz w:val="20"/>
          <w:szCs w:val="20"/>
        </w:rPr>
      </w:pPr>
      <w:r w:rsidRPr="00864D88">
        <w:rPr>
          <w:rFonts w:ascii="Arial" w:hAnsi="Arial" w:cs="Arial"/>
          <w:sz w:val="20"/>
          <w:szCs w:val="20"/>
        </w:rPr>
        <w:t xml:space="preserve">The power required to pull the plough was around 53.75 hp, i.e. 43% of the tractor's power. If the number of plough bodies had been increased, this power would have represented a much higher percentage of the available power, which would have increased the engine load ratio. Increasing the working speed could also increase traction power, but this would have an impact on ploughing quality (table </w:t>
      </w:r>
      <w:r>
        <w:rPr>
          <w:rFonts w:ascii="Arial" w:hAnsi="Arial" w:cs="Arial"/>
          <w:sz w:val="20"/>
          <w:szCs w:val="20"/>
        </w:rPr>
        <w:t>3</w:t>
      </w:r>
      <w:r w:rsidRPr="00864D88">
        <w:rPr>
          <w:rFonts w:ascii="Arial" w:hAnsi="Arial" w:cs="Arial"/>
          <w:sz w:val="20"/>
          <w:szCs w:val="20"/>
        </w:rPr>
        <w:t>).</w:t>
      </w:r>
    </w:p>
    <w:p w14:paraId="46F00ED2" w14:textId="77777777" w:rsidR="00864D88" w:rsidRDefault="00864D88" w:rsidP="00864D88">
      <w:pPr>
        <w:jc w:val="center"/>
        <w:rPr>
          <w:rFonts w:ascii="Arial" w:hAnsi="Arial" w:cs="Arial"/>
          <w:sz w:val="20"/>
          <w:szCs w:val="20"/>
        </w:rPr>
      </w:pPr>
    </w:p>
    <w:p w14:paraId="6B14C395" w14:textId="77777777" w:rsidR="00864D88" w:rsidRDefault="00864D88" w:rsidP="00864D88">
      <w:pPr>
        <w:jc w:val="center"/>
        <w:rPr>
          <w:rFonts w:ascii="Arial" w:hAnsi="Arial" w:cs="Arial"/>
          <w:sz w:val="20"/>
          <w:szCs w:val="20"/>
        </w:rPr>
      </w:pPr>
    </w:p>
    <w:p w14:paraId="5A5EE5B7" w14:textId="02755A45" w:rsidR="00864D88" w:rsidRPr="00EF7C07" w:rsidRDefault="00864D88" w:rsidP="00864D88">
      <w:pPr>
        <w:jc w:val="center"/>
        <w:rPr>
          <w:rFonts w:ascii="Arial" w:hAnsi="Arial" w:cs="Arial"/>
          <w:b/>
          <w:bCs/>
          <w:sz w:val="20"/>
          <w:szCs w:val="20"/>
        </w:rPr>
      </w:pPr>
      <w:r w:rsidRPr="00EF7C07">
        <w:rPr>
          <w:rFonts w:ascii="Arial" w:hAnsi="Arial" w:cs="Arial"/>
          <w:b/>
          <w:bCs/>
          <w:sz w:val="20"/>
          <w:szCs w:val="20"/>
        </w:rPr>
        <w:lastRenderedPageBreak/>
        <w:t>Table 3. Results of setup diagrams for Workshop 2</w:t>
      </w:r>
    </w:p>
    <w:tbl>
      <w:tblPr>
        <w:tblW w:w="10740" w:type="dxa"/>
        <w:tblInd w:w="-660" w:type="dxa"/>
        <w:tblCellMar>
          <w:left w:w="70" w:type="dxa"/>
          <w:right w:w="70" w:type="dxa"/>
        </w:tblCellMar>
        <w:tblLook w:val="04A0" w:firstRow="1" w:lastRow="0" w:firstColumn="1" w:lastColumn="0" w:noHBand="0" w:noVBand="1"/>
      </w:tblPr>
      <w:tblGrid>
        <w:gridCol w:w="1250"/>
        <w:gridCol w:w="2090"/>
        <w:gridCol w:w="940"/>
        <w:gridCol w:w="777"/>
        <w:gridCol w:w="940"/>
        <w:gridCol w:w="940"/>
        <w:gridCol w:w="1104"/>
        <w:gridCol w:w="940"/>
        <w:gridCol w:w="883"/>
        <w:gridCol w:w="876"/>
      </w:tblGrid>
      <w:tr w:rsidR="00EF7C07" w:rsidRPr="00EF7C07" w14:paraId="1BFE369A" w14:textId="77777777" w:rsidTr="00AA68DA">
        <w:trPr>
          <w:trHeight w:val="359"/>
        </w:trPr>
        <w:tc>
          <w:tcPr>
            <w:tcW w:w="10740" w:type="dxa"/>
            <w:gridSpan w:val="10"/>
            <w:tcBorders>
              <w:top w:val="single" w:sz="8" w:space="0" w:color="auto"/>
              <w:left w:val="nil"/>
              <w:bottom w:val="single" w:sz="8" w:space="0" w:color="auto"/>
              <w:right w:val="nil"/>
            </w:tcBorders>
            <w:shd w:val="clear" w:color="auto" w:fill="auto"/>
            <w:noWrap/>
            <w:vAlign w:val="center"/>
            <w:hideMark/>
          </w:tcPr>
          <w:p w14:paraId="43BBF04B" w14:textId="7B6F0B5B" w:rsidR="00EF7C07" w:rsidRPr="00EF7C07" w:rsidRDefault="00EF7C07" w:rsidP="00EF7C07">
            <w:pPr>
              <w:spacing w:after="0" w:line="240" w:lineRule="auto"/>
              <w:jc w:val="center"/>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Results Workshop 2</w:t>
            </w:r>
          </w:p>
        </w:tc>
      </w:tr>
      <w:tr w:rsidR="00EF7C07" w:rsidRPr="00EF7C07" w14:paraId="7011E911" w14:textId="77777777" w:rsidTr="00AA68DA">
        <w:trPr>
          <w:trHeight w:val="703"/>
        </w:trPr>
        <w:tc>
          <w:tcPr>
            <w:tcW w:w="1250" w:type="dxa"/>
            <w:tcBorders>
              <w:top w:val="nil"/>
              <w:left w:val="nil"/>
              <w:bottom w:val="single" w:sz="8" w:space="0" w:color="auto"/>
              <w:right w:val="nil"/>
            </w:tcBorders>
            <w:shd w:val="clear" w:color="auto" w:fill="auto"/>
            <w:noWrap/>
            <w:vAlign w:val="center"/>
            <w:hideMark/>
          </w:tcPr>
          <w:p w14:paraId="0281851F"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l3 (m)</w:t>
            </w:r>
          </w:p>
        </w:tc>
        <w:tc>
          <w:tcPr>
            <w:tcW w:w="2090" w:type="dxa"/>
            <w:tcBorders>
              <w:top w:val="nil"/>
              <w:left w:val="nil"/>
              <w:bottom w:val="single" w:sz="8" w:space="0" w:color="auto"/>
              <w:right w:val="nil"/>
            </w:tcBorders>
            <w:shd w:val="clear" w:color="auto" w:fill="auto"/>
            <w:noWrap/>
            <w:vAlign w:val="center"/>
            <w:hideMark/>
          </w:tcPr>
          <w:p w14:paraId="3DDC9B34" w14:textId="06019CDE"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Depth</w:t>
            </w:r>
          </w:p>
        </w:tc>
        <w:tc>
          <w:tcPr>
            <w:tcW w:w="940" w:type="dxa"/>
            <w:tcBorders>
              <w:top w:val="nil"/>
              <w:left w:val="nil"/>
              <w:bottom w:val="single" w:sz="8" w:space="0" w:color="auto"/>
              <w:right w:val="nil"/>
            </w:tcBorders>
            <w:shd w:val="clear" w:color="auto" w:fill="auto"/>
            <w:noWrap/>
            <w:vAlign w:val="center"/>
            <w:hideMark/>
          </w:tcPr>
          <w:p w14:paraId="533AE26C"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Ft</w:t>
            </w:r>
          </w:p>
        </w:tc>
        <w:tc>
          <w:tcPr>
            <w:tcW w:w="777" w:type="dxa"/>
            <w:tcBorders>
              <w:top w:val="nil"/>
              <w:left w:val="nil"/>
              <w:bottom w:val="single" w:sz="8" w:space="0" w:color="auto"/>
              <w:right w:val="nil"/>
            </w:tcBorders>
            <w:shd w:val="clear" w:color="auto" w:fill="auto"/>
            <w:noWrap/>
            <w:vAlign w:val="center"/>
            <w:hideMark/>
          </w:tcPr>
          <w:p w14:paraId="150D337C"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Fr</w:t>
            </w:r>
          </w:p>
        </w:tc>
        <w:tc>
          <w:tcPr>
            <w:tcW w:w="940" w:type="dxa"/>
            <w:tcBorders>
              <w:top w:val="nil"/>
              <w:left w:val="nil"/>
              <w:bottom w:val="single" w:sz="8" w:space="0" w:color="auto"/>
              <w:right w:val="nil"/>
            </w:tcBorders>
            <w:shd w:val="clear" w:color="auto" w:fill="auto"/>
            <w:noWrap/>
            <w:vAlign w:val="center"/>
            <w:hideMark/>
          </w:tcPr>
          <w:p w14:paraId="367CE541"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Woh</w:t>
            </w:r>
          </w:p>
        </w:tc>
        <w:tc>
          <w:tcPr>
            <w:tcW w:w="940" w:type="dxa"/>
            <w:tcBorders>
              <w:top w:val="nil"/>
              <w:left w:val="nil"/>
              <w:bottom w:val="single" w:sz="8" w:space="0" w:color="auto"/>
              <w:right w:val="nil"/>
            </w:tcBorders>
            <w:shd w:val="clear" w:color="auto" w:fill="auto"/>
            <w:noWrap/>
            <w:vAlign w:val="center"/>
            <w:hideMark/>
          </w:tcPr>
          <w:p w14:paraId="7073B3D8"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Wov</w:t>
            </w:r>
          </w:p>
        </w:tc>
        <w:tc>
          <w:tcPr>
            <w:tcW w:w="1104" w:type="dxa"/>
            <w:tcBorders>
              <w:top w:val="nil"/>
              <w:left w:val="nil"/>
              <w:bottom w:val="single" w:sz="8" w:space="0" w:color="auto"/>
              <w:right w:val="nil"/>
            </w:tcBorders>
            <w:shd w:val="clear" w:color="auto" w:fill="auto"/>
            <w:noWrap/>
            <w:vAlign w:val="center"/>
            <w:hideMark/>
          </w:tcPr>
          <w:p w14:paraId="21C75F61"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A</w:t>
            </w:r>
            <w:r w:rsidRPr="00EF7C07">
              <w:rPr>
                <w:rFonts w:ascii="Arial" w:eastAsia="Times New Roman" w:hAnsi="Arial" w:cs="Arial"/>
                <w:b/>
                <w:bCs/>
                <w:color w:val="000000"/>
                <w:kern w:val="0"/>
                <w:sz w:val="20"/>
                <w:szCs w:val="20"/>
                <w:vertAlign w:val="subscript"/>
                <w:lang w:val="fr-SN" w:eastAsia="fr-SN"/>
                <w14:ligatures w14:val="none"/>
              </w:rPr>
              <w:t>2/1</w:t>
            </w:r>
          </w:p>
        </w:tc>
        <w:tc>
          <w:tcPr>
            <w:tcW w:w="940" w:type="dxa"/>
            <w:tcBorders>
              <w:top w:val="nil"/>
              <w:left w:val="nil"/>
              <w:bottom w:val="single" w:sz="8" w:space="0" w:color="auto"/>
              <w:right w:val="nil"/>
            </w:tcBorders>
            <w:shd w:val="clear" w:color="auto" w:fill="auto"/>
            <w:noWrap/>
            <w:vAlign w:val="center"/>
            <w:hideMark/>
          </w:tcPr>
          <w:p w14:paraId="78A2D417"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B</w:t>
            </w:r>
            <w:r w:rsidRPr="00EF7C07">
              <w:rPr>
                <w:rFonts w:ascii="Arial" w:eastAsia="Times New Roman" w:hAnsi="Arial" w:cs="Arial"/>
                <w:b/>
                <w:bCs/>
                <w:color w:val="000000"/>
                <w:kern w:val="0"/>
                <w:sz w:val="20"/>
                <w:szCs w:val="20"/>
                <w:vertAlign w:val="subscript"/>
                <w:lang w:val="fr-SN" w:eastAsia="fr-SN"/>
                <w14:ligatures w14:val="none"/>
              </w:rPr>
              <w:t>2/1</w:t>
            </w:r>
          </w:p>
        </w:tc>
        <w:tc>
          <w:tcPr>
            <w:tcW w:w="883" w:type="dxa"/>
            <w:tcBorders>
              <w:top w:val="nil"/>
              <w:left w:val="nil"/>
              <w:bottom w:val="single" w:sz="8" w:space="0" w:color="auto"/>
              <w:right w:val="nil"/>
            </w:tcBorders>
            <w:shd w:val="clear" w:color="auto" w:fill="auto"/>
            <w:noWrap/>
            <w:vAlign w:val="center"/>
            <w:hideMark/>
          </w:tcPr>
          <w:p w14:paraId="19AF7DFA"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%A</w:t>
            </w:r>
            <w:r w:rsidRPr="00EF7C07">
              <w:rPr>
                <w:rFonts w:ascii="Arial" w:eastAsia="Times New Roman" w:hAnsi="Arial" w:cs="Arial"/>
                <w:b/>
                <w:bCs/>
                <w:color w:val="000000"/>
                <w:kern w:val="0"/>
                <w:sz w:val="20"/>
                <w:szCs w:val="20"/>
                <w:vertAlign w:val="subscript"/>
                <w:lang w:val="fr-SN" w:eastAsia="fr-SN"/>
                <w14:ligatures w14:val="none"/>
              </w:rPr>
              <w:t>2/1</w:t>
            </w:r>
          </w:p>
        </w:tc>
        <w:tc>
          <w:tcPr>
            <w:tcW w:w="876" w:type="dxa"/>
            <w:tcBorders>
              <w:top w:val="nil"/>
              <w:left w:val="nil"/>
              <w:bottom w:val="single" w:sz="8" w:space="0" w:color="auto"/>
              <w:right w:val="nil"/>
            </w:tcBorders>
            <w:shd w:val="clear" w:color="auto" w:fill="auto"/>
            <w:noWrap/>
            <w:vAlign w:val="center"/>
            <w:hideMark/>
          </w:tcPr>
          <w:p w14:paraId="7C80B0F7"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%B</w:t>
            </w:r>
            <w:r w:rsidRPr="00EF7C07">
              <w:rPr>
                <w:rFonts w:ascii="Arial" w:eastAsia="Times New Roman" w:hAnsi="Arial" w:cs="Arial"/>
                <w:b/>
                <w:bCs/>
                <w:color w:val="000000"/>
                <w:kern w:val="0"/>
                <w:sz w:val="20"/>
                <w:szCs w:val="20"/>
                <w:vertAlign w:val="subscript"/>
                <w:lang w:val="fr-SN" w:eastAsia="fr-SN"/>
                <w14:ligatures w14:val="none"/>
              </w:rPr>
              <w:t>2/1</w:t>
            </w:r>
          </w:p>
        </w:tc>
      </w:tr>
      <w:tr w:rsidR="00EF7C07" w:rsidRPr="00EF7C07" w14:paraId="2F3CF72D" w14:textId="77777777" w:rsidTr="00AA68DA">
        <w:trPr>
          <w:trHeight w:val="703"/>
        </w:trPr>
        <w:tc>
          <w:tcPr>
            <w:tcW w:w="1250" w:type="dxa"/>
            <w:tcBorders>
              <w:top w:val="nil"/>
              <w:left w:val="nil"/>
              <w:bottom w:val="single" w:sz="8" w:space="0" w:color="auto"/>
              <w:right w:val="nil"/>
            </w:tcBorders>
            <w:shd w:val="clear" w:color="auto" w:fill="auto"/>
            <w:noWrap/>
            <w:vAlign w:val="center"/>
            <w:hideMark/>
          </w:tcPr>
          <w:p w14:paraId="7A271C65"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8,27E-16</w:t>
            </w:r>
          </w:p>
        </w:tc>
        <w:tc>
          <w:tcPr>
            <w:tcW w:w="2090" w:type="dxa"/>
            <w:tcBorders>
              <w:top w:val="nil"/>
              <w:left w:val="nil"/>
              <w:bottom w:val="single" w:sz="8" w:space="0" w:color="auto"/>
              <w:right w:val="nil"/>
            </w:tcBorders>
            <w:shd w:val="clear" w:color="auto" w:fill="auto"/>
            <w:noWrap/>
            <w:vAlign w:val="center"/>
            <w:hideMark/>
          </w:tcPr>
          <w:p w14:paraId="49794C32" w14:textId="07B77431"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For Lab20cm</w:t>
            </w:r>
          </w:p>
        </w:tc>
        <w:tc>
          <w:tcPr>
            <w:tcW w:w="940" w:type="dxa"/>
            <w:tcBorders>
              <w:top w:val="nil"/>
              <w:left w:val="nil"/>
              <w:bottom w:val="single" w:sz="8" w:space="0" w:color="auto"/>
              <w:right w:val="nil"/>
            </w:tcBorders>
            <w:shd w:val="clear" w:color="auto" w:fill="auto"/>
            <w:noWrap/>
            <w:vAlign w:val="center"/>
            <w:hideMark/>
          </w:tcPr>
          <w:p w14:paraId="4D6CFD98"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1828,8</w:t>
            </w:r>
          </w:p>
        </w:tc>
        <w:tc>
          <w:tcPr>
            <w:tcW w:w="777" w:type="dxa"/>
            <w:tcBorders>
              <w:top w:val="nil"/>
              <w:left w:val="nil"/>
              <w:bottom w:val="single" w:sz="8" w:space="0" w:color="auto"/>
              <w:right w:val="nil"/>
            </w:tcBorders>
            <w:shd w:val="clear" w:color="auto" w:fill="auto"/>
            <w:noWrap/>
            <w:vAlign w:val="center"/>
            <w:hideMark/>
          </w:tcPr>
          <w:p w14:paraId="69498B7B"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584,4</w:t>
            </w:r>
          </w:p>
        </w:tc>
        <w:tc>
          <w:tcPr>
            <w:tcW w:w="940" w:type="dxa"/>
            <w:tcBorders>
              <w:top w:val="nil"/>
              <w:left w:val="nil"/>
              <w:bottom w:val="single" w:sz="8" w:space="0" w:color="auto"/>
              <w:right w:val="nil"/>
            </w:tcBorders>
            <w:shd w:val="clear" w:color="auto" w:fill="auto"/>
            <w:noWrap/>
            <w:vAlign w:val="center"/>
            <w:hideMark/>
          </w:tcPr>
          <w:p w14:paraId="4578D0AA"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2413,2</w:t>
            </w:r>
          </w:p>
        </w:tc>
        <w:tc>
          <w:tcPr>
            <w:tcW w:w="940" w:type="dxa"/>
            <w:tcBorders>
              <w:top w:val="nil"/>
              <w:left w:val="nil"/>
              <w:bottom w:val="single" w:sz="8" w:space="0" w:color="auto"/>
              <w:right w:val="nil"/>
            </w:tcBorders>
            <w:shd w:val="clear" w:color="auto" w:fill="auto"/>
            <w:noWrap/>
            <w:vAlign w:val="center"/>
            <w:hideMark/>
          </w:tcPr>
          <w:p w14:paraId="46E9E193"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211,13</w:t>
            </w:r>
          </w:p>
        </w:tc>
        <w:tc>
          <w:tcPr>
            <w:tcW w:w="1104" w:type="dxa"/>
            <w:tcBorders>
              <w:top w:val="nil"/>
              <w:left w:val="nil"/>
              <w:bottom w:val="single" w:sz="8" w:space="0" w:color="auto"/>
              <w:right w:val="nil"/>
            </w:tcBorders>
            <w:shd w:val="clear" w:color="auto" w:fill="auto"/>
            <w:noWrap/>
            <w:vAlign w:val="center"/>
            <w:hideMark/>
          </w:tcPr>
          <w:p w14:paraId="157F99C0"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1785,57</w:t>
            </w:r>
          </w:p>
        </w:tc>
        <w:tc>
          <w:tcPr>
            <w:tcW w:w="940" w:type="dxa"/>
            <w:tcBorders>
              <w:top w:val="nil"/>
              <w:left w:val="nil"/>
              <w:bottom w:val="single" w:sz="8" w:space="0" w:color="auto"/>
              <w:right w:val="nil"/>
            </w:tcBorders>
            <w:shd w:val="clear" w:color="auto" w:fill="auto"/>
            <w:noWrap/>
            <w:vAlign w:val="center"/>
            <w:hideMark/>
          </w:tcPr>
          <w:p w14:paraId="5B3A09F4"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3084,4</w:t>
            </w:r>
          </w:p>
        </w:tc>
        <w:tc>
          <w:tcPr>
            <w:tcW w:w="883" w:type="dxa"/>
            <w:tcBorders>
              <w:top w:val="nil"/>
              <w:left w:val="nil"/>
              <w:bottom w:val="single" w:sz="8" w:space="0" w:color="auto"/>
              <w:right w:val="nil"/>
            </w:tcBorders>
            <w:shd w:val="clear" w:color="auto" w:fill="auto"/>
            <w:noWrap/>
            <w:vAlign w:val="center"/>
            <w:hideMark/>
          </w:tcPr>
          <w:p w14:paraId="5C9CC01D"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36,7</w:t>
            </w:r>
          </w:p>
        </w:tc>
        <w:tc>
          <w:tcPr>
            <w:tcW w:w="876" w:type="dxa"/>
            <w:tcBorders>
              <w:top w:val="nil"/>
              <w:left w:val="nil"/>
              <w:bottom w:val="single" w:sz="8" w:space="0" w:color="auto"/>
              <w:right w:val="nil"/>
            </w:tcBorders>
            <w:shd w:val="clear" w:color="auto" w:fill="auto"/>
            <w:noWrap/>
            <w:vAlign w:val="center"/>
            <w:hideMark/>
          </w:tcPr>
          <w:p w14:paraId="0482F6A6"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63,3</w:t>
            </w:r>
          </w:p>
        </w:tc>
      </w:tr>
      <w:tr w:rsidR="00EF7C07" w:rsidRPr="00EF7C07" w14:paraId="2741690E" w14:textId="77777777" w:rsidTr="00AA68DA">
        <w:trPr>
          <w:trHeight w:val="703"/>
        </w:trPr>
        <w:tc>
          <w:tcPr>
            <w:tcW w:w="1250" w:type="dxa"/>
            <w:tcBorders>
              <w:top w:val="nil"/>
              <w:left w:val="nil"/>
              <w:bottom w:val="single" w:sz="8" w:space="0" w:color="auto"/>
              <w:right w:val="nil"/>
            </w:tcBorders>
            <w:shd w:val="clear" w:color="auto" w:fill="auto"/>
            <w:noWrap/>
            <w:vAlign w:val="center"/>
            <w:hideMark/>
          </w:tcPr>
          <w:p w14:paraId="50E34E04"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P4 (Kg)</w:t>
            </w:r>
          </w:p>
        </w:tc>
        <w:tc>
          <w:tcPr>
            <w:tcW w:w="2090" w:type="dxa"/>
            <w:tcBorders>
              <w:top w:val="nil"/>
              <w:left w:val="nil"/>
              <w:bottom w:val="single" w:sz="8" w:space="0" w:color="auto"/>
              <w:right w:val="nil"/>
            </w:tcBorders>
            <w:shd w:val="clear" w:color="auto" w:fill="auto"/>
            <w:noWrap/>
            <w:vAlign w:val="center"/>
            <w:hideMark/>
          </w:tcPr>
          <w:p w14:paraId="3B34D309" w14:textId="02602359"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For Lab30cm</w:t>
            </w:r>
          </w:p>
        </w:tc>
        <w:tc>
          <w:tcPr>
            <w:tcW w:w="940" w:type="dxa"/>
            <w:tcBorders>
              <w:top w:val="nil"/>
              <w:left w:val="nil"/>
              <w:bottom w:val="single" w:sz="8" w:space="0" w:color="auto"/>
              <w:right w:val="nil"/>
            </w:tcBorders>
            <w:shd w:val="clear" w:color="auto" w:fill="auto"/>
            <w:noWrap/>
            <w:vAlign w:val="center"/>
            <w:hideMark/>
          </w:tcPr>
          <w:p w14:paraId="7490C31A"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2743,2</w:t>
            </w:r>
          </w:p>
        </w:tc>
        <w:tc>
          <w:tcPr>
            <w:tcW w:w="777" w:type="dxa"/>
            <w:tcBorders>
              <w:top w:val="nil"/>
              <w:left w:val="nil"/>
              <w:bottom w:val="single" w:sz="8" w:space="0" w:color="auto"/>
              <w:right w:val="nil"/>
            </w:tcBorders>
            <w:shd w:val="clear" w:color="auto" w:fill="auto"/>
            <w:noWrap/>
            <w:vAlign w:val="center"/>
            <w:hideMark/>
          </w:tcPr>
          <w:p w14:paraId="7099BD8B"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584,4</w:t>
            </w:r>
          </w:p>
        </w:tc>
        <w:tc>
          <w:tcPr>
            <w:tcW w:w="940" w:type="dxa"/>
            <w:tcBorders>
              <w:top w:val="nil"/>
              <w:left w:val="nil"/>
              <w:bottom w:val="single" w:sz="8" w:space="0" w:color="auto"/>
              <w:right w:val="nil"/>
            </w:tcBorders>
            <w:shd w:val="clear" w:color="auto" w:fill="auto"/>
            <w:noWrap/>
            <w:vAlign w:val="center"/>
            <w:hideMark/>
          </w:tcPr>
          <w:p w14:paraId="55097C80"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3327,6</w:t>
            </w:r>
          </w:p>
        </w:tc>
        <w:tc>
          <w:tcPr>
            <w:tcW w:w="940" w:type="dxa"/>
            <w:tcBorders>
              <w:top w:val="nil"/>
              <w:left w:val="nil"/>
              <w:bottom w:val="single" w:sz="8" w:space="0" w:color="auto"/>
              <w:right w:val="nil"/>
            </w:tcBorders>
            <w:shd w:val="clear" w:color="auto" w:fill="auto"/>
            <w:noWrap/>
            <w:vAlign w:val="center"/>
            <w:hideMark/>
          </w:tcPr>
          <w:p w14:paraId="67FA0FD7"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291,13</w:t>
            </w:r>
          </w:p>
        </w:tc>
        <w:tc>
          <w:tcPr>
            <w:tcW w:w="1104" w:type="dxa"/>
            <w:tcBorders>
              <w:top w:val="nil"/>
              <w:left w:val="nil"/>
              <w:bottom w:val="single" w:sz="8" w:space="0" w:color="auto"/>
              <w:right w:val="nil"/>
            </w:tcBorders>
            <w:shd w:val="clear" w:color="auto" w:fill="auto"/>
            <w:noWrap/>
            <w:vAlign w:val="center"/>
            <w:hideMark/>
          </w:tcPr>
          <w:p w14:paraId="7F3EA709"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1705,57</w:t>
            </w:r>
          </w:p>
        </w:tc>
        <w:tc>
          <w:tcPr>
            <w:tcW w:w="940" w:type="dxa"/>
            <w:tcBorders>
              <w:top w:val="nil"/>
              <w:left w:val="nil"/>
              <w:bottom w:val="single" w:sz="8" w:space="0" w:color="auto"/>
              <w:right w:val="nil"/>
            </w:tcBorders>
            <w:shd w:val="clear" w:color="auto" w:fill="auto"/>
            <w:noWrap/>
            <w:vAlign w:val="center"/>
            <w:hideMark/>
          </w:tcPr>
          <w:p w14:paraId="219AEEBF"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3164,4</w:t>
            </w:r>
          </w:p>
        </w:tc>
        <w:tc>
          <w:tcPr>
            <w:tcW w:w="883" w:type="dxa"/>
            <w:tcBorders>
              <w:top w:val="nil"/>
              <w:left w:val="nil"/>
              <w:bottom w:val="single" w:sz="8" w:space="0" w:color="auto"/>
              <w:right w:val="nil"/>
            </w:tcBorders>
            <w:shd w:val="clear" w:color="auto" w:fill="auto"/>
            <w:noWrap/>
            <w:vAlign w:val="center"/>
            <w:hideMark/>
          </w:tcPr>
          <w:p w14:paraId="4FC5CD35"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35</w:t>
            </w:r>
          </w:p>
        </w:tc>
        <w:tc>
          <w:tcPr>
            <w:tcW w:w="876" w:type="dxa"/>
            <w:tcBorders>
              <w:top w:val="nil"/>
              <w:left w:val="nil"/>
              <w:bottom w:val="single" w:sz="8" w:space="0" w:color="auto"/>
              <w:right w:val="nil"/>
            </w:tcBorders>
            <w:shd w:val="clear" w:color="auto" w:fill="auto"/>
            <w:noWrap/>
            <w:vAlign w:val="center"/>
            <w:hideMark/>
          </w:tcPr>
          <w:p w14:paraId="725E5074"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65</w:t>
            </w:r>
          </w:p>
        </w:tc>
      </w:tr>
      <w:tr w:rsidR="00EF7C07" w:rsidRPr="00EF7C07" w14:paraId="2D5857BC" w14:textId="77777777" w:rsidTr="00AA68DA">
        <w:trPr>
          <w:trHeight w:val="703"/>
        </w:trPr>
        <w:tc>
          <w:tcPr>
            <w:tcW w:w="1250" w:type="dxa"/>
            <w:tcBorders>
              <w:top w:val="nil"/>
              <w:left w:val="nil"/>
              <w:bottom w:val="single" w:sz="8" w:space="0" w:color="auto"/>
              <w:right w:val="nil"/>
            </w:tcBorders>
            <w:shd w:val="clear" w:color="auto" w:fill="auto"/>
            <w:noWrap/>
            <w:vAlign w:val="center"/>
            <w:hideMark/>
          </w:tcPr>
          <w:p w14:paraId="1367FBC1"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-204,8</w:t>
            </w:r>
          </w:p>
        </w:tc>
        <w:tc>
          <w:tcPr>
            <w:tcW w:w="2090" w:type="dxa"/>
            <w:tcBorders>
              <w:top w:val="nil"/>
              <w:left w:val="nil"/>
              <w:bottom w:val="single" w:sz="8" w:space="0" w:color="auto"/>
              <w:right w:val="nil"/>
            </w:tcBorders>
            <w:shd w:val="clear" w:color="auto" w:fill="auto"/>
            <w:noWrap/>
            <w:vAlign w:val="center"/>
            <w:hideMark/>
          </w:tcPr>
          <w:p w14:paraId="1731E166" w14:textId="5E57EE1B"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For Lab40cm</w:t>
            </w:r>
          </w:p>
        </w:tc>
        <w:tc>
          <w:tcPr>
            <w:tcW w:w="940" w:type="dxa"/>
            <w:tcBorders>
              <w:top w:val="nil"/>
              <w:left w:val="nil"/>
              <w:bottom w:val="single" w:sz="8" w:space="0" w:color="auto"/>
              <w:right w:val="nil"/>
            </w:tcBorders>
            <w:shd w:val="clear" w:color="auto" w:fill="auto"/>
            <w:noWrap/>
            <w:vAlign w:val="center"/>
            <w:hideMark/>
          </w:tcPr>
          <w:p w14:paraId="6FA0C810"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3657,6</w:t>
            </w:r>
          </w:p>
        </w:tc>
        <w:tc>
          <w:tcPr>
            <w:tcW w:w="777" w:type="dxa"/>
            <w:tcBorders>
              <w:top w:val="nil"/>
              <w:left w:val="nil"/>
              <w:bottom w:val="single" w:sz="8" w:space="0" w:color="auto"/>
              <w:right w:val="nil"/>
            </w:tcBorders>
            <w:shd w:val="clear" w:color="auto" w:fill="auto"/>
            <w:noWrap/>
            <w:vAlign w:val="center"/>
            <w:hideMark/>
          </w:tcPr>
          <w:p w14:paraId="06280EFE"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584,4</w:t>
            </w:r>
          </w:p>
        </w:tc>
        <w:tc>
          <w:tcPr>
            <w:tcW w:w="940" w:type="dxa"/>
            <w:tcBorders>
              <w:top w:val="nil"/>
              <w:left w:val="nil"/>
              <w:bottom w:val="single" w:sz="8" w:space="0" w:color="auto"/>
              <w:right w:val="nil"/>
            </w:tcBorders>
            <w:shd w:val="clear" w:color="auto" w:fill="auto"/>
            <w:noWrap/>
            <w:vAlign w:val="center"/>
            <w:hideMark/>
          </w:tcPr>
          <w:p w14:paraId="49D3DF72"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4242</w:t>
            </w:r>
          </w:p>
        </w:tc>
        <w:tc>
          <w:tcPr>
            <w:tcW w:w="940" w:type="dxa"/>
            <w:tcBorders>
              <w:top w:val="nil"/>
              <w:left w:val="nil"/>
              <w:bottom w:val="single" w:sz="8" w:space="0" w:color="auto"/>
              <w:right w:val="nil"/>
            </w:tcBorders>
            <w:shd w:val="clear" w:color="auto" w:fill="auto"/>
            <w:noWrap/>
            <w:vAlign w:val="center"/>
            <w:hideMark/>
          </w:tcPr>
          <w:p w14:paraId="602FE297"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371,13</w:t>
            </w:r>
          </w:p>
        </w:tc>
        <w:tc>
          <w:tcPr>
            <w:tcW w:w="1104" w:type="dxa"/>
            <w:tcBorders>
              <w:top w:val="nil"/>
              <w:left w:val="nil"/>
              <w:bottom w:val="single" w:sz="8" w:space="0" w:color="auto"/>
              <w:right w:val="nil"/>
            </w:tcBorders>
            <w:shd w:val="clear" w:color="auto" w:fill="auto"/>
            <w:noWrap/>
            <w:vAlign w:val="center"/>
            <w:hideMark/>
          </w:tcPr>
          <w:p w14:paraId="2814B451"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1625,57</w:t>
            </w:r>
          </w:p>
        </w:tc>
        <w:tc>
          <w:tcPr>
            <w:tcW w:w="940" w:type="dxa"/>
            <w:tcBorders>
              <w:top w:val="nil"/>
              <w:left w:val="nil"/>
              <w:bottom w:val="single" w:sz="8" w:space="0" w:color="auto"/>
              <w:right w:val="nil"/>
            </w:tcBorders>
            <w:shd w:val="clear" w:color="auto" w:fill="auto"/>
            <w:noWrap/>
            <w:vAlign w:val="center"/>
            <w:hideMark/>
          </w:tcPr>
          <w:p w14:paraId="3D564BC3" w14:textId="77777777" w:rsidR="00EF7C07" w:rsidRPr="00EF7C07"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EF7C07">
              <w:rPr>
                <w:rFonts w:ascii="Arial" w:eastAsia="Times New Roman" w:hAnsi="Arial" w:cs="Arial"/>
                <w:color w:val="000000"/>
                <w:kern w:val="0"/>
                <w:sz w:val="20"/>
                <w:szCs w:val="20"/>
                <w:lang w:val="fr-SN" w:eastAsia="fr-SN"/>
                <w14:ligatures w14:val="none"/>
              </w:rPr>
              <w:t>3244,4</w:t>
            </w:r>
          </w:p>
        </w:tc>
        <w:tc>
          <w:tcPr>
            <w:tcW w:w="883" w:type="dxa"/>
            <w:tcBorders>
              <w:top w:val="nil"/>
              <w:left w:val="nil"/>
              <w:bottom w:val="single" w:sz="8" w:space="0" w:color="auto"/>
              <w:right w:val="nil"/>
            </w:tcBorders>
            <w:shd w:val="clear" w:color="auto" w:fill="auto"/>
            <w:noWrap/>
            <w:vAlign w:val="center"/>
            <w:hideMark/>
          </w:tcPr>
          <w:p w14:paraId="32A5447E"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33,4</w:t>
            </w:r>
          </w:p>
        </w:tc>
        <w:tc>
          <w:tcPr>
            <w:tcW w:w="876" w:type="dxa"/>
            <w:tcBorders>
              <w:top w:val="nil"/>
              <w:left w:val="nil"/>
              <w:bottom w:val="single" w:sz="8" w:space="0" w:color="auto"/>
              <w:right w:val="nil"/>
            </w:tcBorders>
            <w:shd w:val="clear" w:color="auto" w:fill="auto"/>
            <w:noWrap/>
            <w:vAlign w:val="center"/>
            <w:hideMark/>
          </w:tcPr>
          <w:p w14:paraId="094168A6" w14:textId="77777777" w:rsidR="00EF7C07" w:rsidRPr="00EF7C07"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EF7C07">
              <w:rPr>
                <w:rFonts w:ascii="Arial" w:eastAsia="Times New Roman" w:hAnsi="Arial" w:cs="Arial"/>
                <w:b/>
                <w:bCs/>
                <w:color w:val="000000"/>
                <w:kern w:val="0"/>
                <w:sz w:val="20"/>
                <w:szCs w:val="20"/>
                <w:lang w:val="fr-SN" w:eastAsia="fr-SN"/>
                <w14:ligatures w14:val="none"/>
              </w:rPr>
              <w:t>66,6</w:t>
            </w:r>
          </w:p>
        </w:tc>
      </w:tr>
    </w:tbl>
    <w:p w14:paraId="18DF2DD0" w14:textId="5E363F4E" w:rsidR="00864D88" w:rsidRDefault="00864D88" w:rsidP="002E6EC2">
      <w:pPr>
        <w:jc w:val="both"/>
        <w:rPr>
          <w:rFonts w:ascii="Arial" w:hAnsi="Arial" w:cs="Arial"/>
          <w:sz w:val="20"/>
          <w:szCs w:val="20"/>
        </w:rPr>
      </w:pPr>
    </w:p>
    <w:p w14:paraId="0072ECA9" w14:textId="411F9F27" w:rsidR="00EF7C07" w:rsidRPr="00EF7C07" w:rsidRDefault="00EF7C07" w:rsidP="002E6EC2">
      <w:pPr>
        <w:pStyle w:val="ListParagraph"/>
        <w:numPr>
          <w:ilvl w:val="2"/>
          <w:numId w:val="1"/>
        </w:numPr>
        <w:jc w:val="both"/>
        <w:rPr>
          <w:rFonts w:ascii="Arial" w:hAnsi="Arial" w:cs="Arial"/>
          <w:b/>
          <w:bCs/>
        </w:rPr>
      </w:pPr>
      <w:r w:rsidRPr="00EF7C07">
        <w:rPr>
          <w:rFonts w:ascii="Arial" w:hAnsi="Arial" w:cs="Arial"/>
          <w:b/>
          <w:bCs/>
        </w:rPr>
        <w:t>Setting Workshop 3: Study of the tractor-offset assembly</w:t>
      </w:r>
    </w:p>
    <w:p w14:paraId="4F853170" w14:textId="7EF80360" w:rsidR="00EF7C07" w:rsidRDefault="00EF7C07" w:rsidP="00EF7C07">
      <w:pPr>
        <w:jc w:val="both"/>
        <w:rPr>
          <w:rFonts w:ascii="Arial" w:hAnsi="Arial" w:cs="Arial"/>
          <w:sz w:val="20"/>
          <w:szCs w:val="20"/>
        </w:rPr>
      </w:pPr>
      <w:r w:rsidRPr="00EF7C07">
        <w:rPr>
          <w:rFonts w:ascii="Arial" w:hAnsi="Arial" w:cs="Arial"/>
          <w:sz w:val="20"/>
          <w:szCs w:val="20"/>
        </w:rPr>
        <w:t xml:space="preserve">Analysis of the results in Table </w:t>
      </w:r>
      <w:r>
        <w:rPr>
          <w:rFonts w:ascii="Arial" w:hAnsi="Arial" w:cs="Arial"/>
          <w:sz w:val="20"/>
          <w:szCs w:val="20"/>
        </w:rPr>
        <w:t>4</w:t>
      </w:r>
      <w:r w:rsidRPr="00EF7C07">
        <w:rPr>
          <w:rFonts w:ascii="Arial" w:hAnsi="Arial" w:cs="Arial"/>
          <w:sz w:val="20"/>
          <w:szCs w:val="20"/>
        </w:rPr>
        <w:t xml:space="preserve"> reveals that the weight of the tractor-offset assembly is 2010 daN. The distance between the weight carrier and the front axle, as for ploughing, is 0.8 m, with a penetration resistance of 75 N/dm2 and a tractive power of 70 hp. The rolling coefficient is 12%, with a tractor working speed of 12 km/h.</w:t>
      </w:r>
    </w:p>
    <w:p w14:paraId="0A953AD0" w14:textId="39BA8B93" w:rsidR="00EF7C07" w:rsidRDefault="00EF7C07" w:rsidP="00EF7C07">
      <w:pPr>
        <w:jc w:val="center"/>
        <w:rPr>
          <w:rFonts w:ascii="Arial" w:hAnsi="Arial" w:cs="Arial"/>
          <w:b/>
          <w:bCs/>
          <w:sz w:val="20"/>
          <w:szCs w:val="20"/>
        </w:rPr>
      </w:pPr>
      <w:r w:rsidRPr="00EF7C07">
        <w:rPr>
          <w:rFonts w:ascii="Arial" w:hAnsi="Arial" w:cs="Arial"/>
          <w:b/>
          <w:bCs/>
          <w:sz w:val="20"/>
          <w:szCs w:val="20"/>
        </w:rPr>
        <w:t>Table 4. Setting diagram data for workshop 3</w:t>
      </w:r>
    </w:p>
    <w:tbl>
      <w:tblPr>
        <w:tblW w:w="8840" w:type="dxa"/>
        <w:tblCellMar>
          <w:left w:w="70" w:type="dxa"/>
          <w:right w:w="70" w:type="dxa"/>
        </w:tblCellMar>
        <w:tblLook w:val="04A0" w:firstRow="1" w:lastRow="0" w:firstColumn="1" w:lastColumn="0" w:noHBand="0" w:noVBand="1"/>
      </w:tblPr>
      <w:tblGrid>
        <w:gridCol w:w="1069"/>
        <w:gridCol w:w="1150"/>
        <w:gridCol w:w="1923"/>
        <w:gridCol w:w="2083"/>
        <w:gridCol w:w="874"/>
        <w:gridCol w:w="1741"/>
      </w:tblGrid>
      <w:tr w:rsidR="00EF7C07" w:rsidRPr="00EF7C07" w14:paraId="3918D4BA" w14:textId="77777777" w:rsidTr="00AA68DA">
        <w:trPr>
          <w:trHeight w:val="330"/>
        </w:trPr>
        <w:tc>
          <w:tcPr>
            <w:tcW w:w="8840" w:type="dxa"/>
            <w:gridSpan w:val="6"/>
            <w:tcBorders>
              <w:top w:val="single" w:sz="8" w:space="0" w:color="auto"/>
              <w:left w:val="nil"/>
              <w:bottom w:val="single" w:sz="8" w:space="0" w:color="auto"/>
              <w:right w:val="nil"/>
            </w:tcBorders>
            <w:shd w:val="clear" w:color="auto" w:fill="auto"/>
            <w:noWrap/>
            <w:vAlign w:val="center"/>
            <w:hideMark/>
          </w:tcPr>
          <w:p w14:paraId="5843B8E3" w14:textId="00C0242C" w:rsidR="00EF7C07" w:rsidRPr="00EF7C07"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EF7C07">
              <w:rPr>
                <w:rFonts w:ascii="Times New Roman" w:eastAsia="Times New Roman" w:hAnsi="Times New Roman" w:cs="Times New Roman"/>
                <w:b/>
                <w:bCs/>
                <w:color w:val="000000"/>
                <w:kern w:val="0"/>
                <w:sz w:val="24"/>
                <w:szCs w:val="24"/>
                <w:lang w:val="fr-SN" w:eastAsia="fr-SN"/>
                <w14:ligatures w14:val="none"/>
              </w:rPr>
              <w:t>Data Workshop 3</w:t>
            </w:r>
          </w:p>
        </w:tc>
      </w:tr>
      <w:tr w:rsidR="00EF7C07" w:rsidRPr="00EF7C07" w14:paraId="59157295" w14:textId="77777777" w:rsidTr="00AA68DA">
        <w:trPr>
          <w:trHeight w:val="1155"/>
        </w:trPr>
        <w:tc>
          <w:tcPr>
            <w:tcW w:w="1069" w:type="dxa"/>
            <w:tcBorders>
              <w:top w:val="nil"/>
              <w:left w:val="nil"/>
              <w:bottom w:val="single" w:sz="8" w:space="0" w:color="auto"/>
              <w:right w:val="nil"/>
            </w:tcBorders>
            <w:shd w:val="clear" w:color="auto" w:fill="auto"/>
            <w:noWrap/>
            <w:vAlign w:val="center"/>
            <w:hideMark/>
          </w:tcPr>
          <w:p w14:paraId="08A5AB81" w14:textId="77777777" w:rsidR="00EF7C07" w:rsidRPr="00EF7C07"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EF7C07">
              <w:rPr>
                <w:rFonts w:ascii="Times New Roman" w:eastAsia="Times New Roman" w:hAnsi="Times New Roman" w:cs="Times New Roman"/>
                <w:b/>
                <w:bCs/>
                <w:color w:val="000000"/>
                <w:kern w:val="0"/>
                <w:sz w:val="24"/>
                <w:szCs w:val="24"/>
                <w:lang w:val="fr-SN" w:eastAsia="fr-SN"/>
                <w14:ligatures w14:val="none"/>
              </w:rPr>
              <w:t>Pt(daN)</w:t>
            </w:r>
          </w:p>
        </w:tc>
        <w:tc>
          <w:tcPr>
            <w:tcW w:w="1150" w:type="dxa"/>
            <w:tcBorders>
              <w:top w:val="nil"/>
              <w:left w:val="nil"/>
              <w:bottom w:val="single" w:sz="8" w:space="0" w:color="auto"/>
              <w:right w:val="nil"/>
            </w:tcBorders>
            <w:shd w:val="clear" w:color="auto" w:fill="auto"/>
            <w:vAlign w:val="center"/>
            <w:hideMark/>
          </w:tcPr>
          <w:p w14:paraId="56B135B9" w14:textId="77777777" w:rsidR="00EF7C07" w:rsidRPr="00EF7C07"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EF7C07">
              <w:rPr>
                <w:rFonts w:ascii="Times New Roman" w:eastAsia="Times New Roman" w:hAnsi="Times New Roman" w:cs="Times New Roman"/>
                <w:b/>
                <w:bCs/>
                <w:color w:val="000000"/>
                <w:kern w:val="0"/>
                <w:sz w:val="24"/>
                <w:szCs w:val="24"/>
                <w:lang w:val="fr-SN" w:eastAsia="fr-SN"/>
                <w14:ligatures w14:val="none"/>
              </w:rPr>
              <w:t>l</w:t>
            </w:r>
            <w:r w:rsidRPr="00EF7C07">
              <w:rPr>
                <w:rFonts w:ascii="Times New Roman" w:eastAsia="Times New Roman" w:hAnsi="Times New Roman" w:cs="Times New Roman"/>
                <w:b/>
                <w:bCs/>
                <w:color w:val="000000"/>
                <w:kern w:val="0"/>
                <w:sz w:val="24"/>
                <w:szCs w:val="24"/>
                <w:vertAlign w:val="subscript"/>
                <w:lang w:val="fr-SN" w:eastAsia="fr-SN"/>
                <w14:ligatures w14:val="none"/>
              </w:rPr>
              <w:t>4</w:t>
            </w:r>
            <w:r w:rsidRPr="00EF7C07">
              <w:rPr>
                <w:rFonts w:ascii="Times New Roman" w:eastAsia="Times New Roman" w:hAnsi="Times New Roman" w:cs="Times New Roman"/>
                <w:b/>
                <w:bCs/>
                <w:color w:val="000000"/>
                <w:kern w:val="0"/>
                <w:sz w:val="24"/>
                <w:szCs w:val="24"/>
                <w:lang w:val="fr-SN" w:eastAsia="fr-SN"/>
                <w14:ligatures w14:val="none"/>
              </w:rPr>
              <w:t xml:space="preserve">  </w:t>
            </w:r>
            <w:r w:rsidRPr="00EF7C07">
              <w:rPr>
                <w:rFonts w:ascii="Times New Roman" w:eastAsia="Times New Roman" w:hAnsi="Times New Roman" w:cs="Times New Roman"/>
                <w:b/>
                <w:bCs/>
                <w:i/>
                <w:iCs/>
                <w:color w:val="000000"/>
                <w:kern w:val="0"/>
                <w:sz w:val="24"/>
                <w:szCs w:val="24"/>
                <w:lang w:val="fr-SN" w:eastAsia="fr-SN"/>
                <w14:ligatures w14:val="none"/>
              </w:rPr>
              <w:t>p/r</w:t>
            </w:r>
            <w:r w:rsidRPr="00EF7C07">
              <w:rPr>
                <w:rFonts w:ascii="Times New Roman" w:eastAsia="Times New Roman" w:hAnsi="Times New Roman" w:cs="Times New Roman"/>
                <w:b/>
                <w:bCs/>
                <w:color w:val="000000"/>
                <w:kern w:val="0"/>
                <w:sz w:val="24"/>
                <w:szCs w:val="24"/>
                <w:lang w:val="fr-SN" w:eastAsia="fr-SN"/>
                <w14:ligatures w14:val="none"/>
              </w:rPr>
              <w:t xml:space="preserve"> A (m)</w:t>
            </w:r>
          </w:p>
        </w:tc>
        <w:tc>
          <w:tcPr>
            <w:tcW w:w="1923" w:type="dxa"/>
            <w:tcBorders>
              <w:top w:val="nil"/>
              <w:left w:val="nil"/>
              <w:bottom w:val="single" w:sz="8" w:space="0" w:color="auto"/>
              <w:right w:val="nil"/>
            </w:tcBorders>
            <w:shd w:val="clear" w:color="auto" w:fill="auto"/>
            <w:vAlign w:val="center"/>
            <w:hideMark/>
          </w:tcPr>
          <w:p w14:paraId="6766ED72" w14:textId="37C79A7E" w:rsidR="00EF7C07" w:rsidRPr="00EF7C07"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EF7C07">
              <w:rPr>
                <w:rFonts w:ascii="Times New Roman" w:eastAsia="Times New Roman" w:hAnsi="Times New Roman" w:cs="Times New Roman"/>
                <w:b/>
                <w:bCs/>
                <w:color w:val="000000"/>
                <w:kern w:val="0"/>
                <w:sz w:val="24"/>
                <w:szCs w:val="24"/>
                <w:lang w:val="fr-SN" w:eastAsia="fr-SN"/>
                <w14:ligatures w14:val="none"/>
              </w:rPr>
              <w:t>Penetration resistance (Rp) (N/dm2))</w:t>
            </w:r>
          </w:p>
        </w:tc>
        <w:tc>
          <w:tcPr>
            <w:tcW w:w="2083" w:type="dxa"/>
            <w:tcBorders>
              <w:top w:val="nil"/>
              <w:left w:val="nil"/>
              <w:bottom w:val="single" w:sz="8" w:space="0" w:color="auto"/>
              <w:right w:val="nil"/>
            </w:tcBorders>
            <w:shd w:val="clear" w:color="auto" w:fill="auto"/>
            <w:vAlign w:val="center"/>
            <w:hideMark/>
          </w:tcPr>
          <w:p w14:paraId="72B01630" w14:textId="24AD924B" w:rsidR="00EF7C07" w:rsidRPr="00EF7C07"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EF7C07">
              <w:rPr>
                <w:rFonts w:ascii="Times New Roman" w:eastAsia="Times New Roman" w:hAnsi="Times New Roman" w:cs="Times New Roman"/>
                <w:b/>
                <w:bCs/>
                <w:color w:val="000000"/>
                <w:kern w:val="0"/>
                <w:sz w:val="24"/>
                <w:szCs w:val="24"/>
                <w:lang w:val="fr-SN" w:eastAsia="fr-SN"/>
                <w14:ligatures w14:val="none"/>
              </w:rPr>
              <w:t>Traction power (ch)</w:t>
            </w:r>
          </w:p>
        </w:tc>
        <w:tc>
          <w:tcPr>
            <w:tcW w:w="874" w:type="dxa"/>
            <w:tcBorders>
              <w:top w:val="nil"/>
              <w:left w:val="nil"/>
              <w:bottom w:val="single" w:sz="8" w:space="0" w:color="auto"/>
              <w:right w:val="nil"/>
            </w:tcBorders>
            <w:shd w:val="clear" w:color="auto" w:fill="auto"/>
            <w:noWrap/>
            <w:vAlign w:val="center"/>
            <w:hideMark/>
          </w:tcPr>
          <w:p w14:paraId="68501F3A" w14:textId="77777777" w:rsidR="00EF7C07" w:rsidRPr="00EF7C07"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EF7C07">
              <w:rPr>
                <w:rFonts w:ascii="Times New Roman" w:eastAsia="Times New Roman" w:hAnsi="Times New Roman" w:cs="Times New Roman"/>
                <w:b/>
                <w:bCs/>
                <w:color w:val="000000"/>
                <w:kern w:val="0"/>
                <w:sz w:val="24"/>
                <w:szCs w:val="24"/>
                <w:lang w:val="fr-SN" w:eastAsia="fr-SN"/>
                <w14:ligatures w14:val="none"/>
              </w:rPr>
              <w:t>α (°)</w:t>
            </w:r>
          </w:p>
        </w:tc>
        <w:tc>
          <w:tcPr>
            <w:tcW w:w="1741" w:type="dxa"/>
            <w:tcBorders>
              <w:top w:val="nil"/>
              <w:left w:val="nil"/>
              <w:bottom w:val="single" w:sz="8" w:space="0" w:color="auto"/>
              <w:right w:val="nil"/>
            </w:tcBorders>
            <w:shd w:val="clear" w:color="auto" w:fill="auto"/>
            <w:vAlign w:val="center"/>
            <w:hideMark/>
          </w:tcPr>
          <w:p w14:paraId="64CAF492" w14:textId="07D8532D" w:rsidR="00EF7C07" w:rsidRPr="00EF7C07" w:rsidRDefault="002E6EC2"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2E6EC2">
              <w:rPr>
                <w:rFonts w:ascii="Times New Roman" w:eastAsia="Times New Roman" w:hAnsi="Times New Roman" w:cs="Times New Roman"/>
                <w:b/>
                <w:bCs/>
                <w:color w:val="000000"/>
                <w:kern w:val="0"/>
                <w:sz w:val="24"/>
                <w:szCs w:val="24"/>
                <w:lang w:val="fr-SN" w:eastAsia="fr-SN"/>
                <w14:ligatures w14:val="none"/>
              </w:rPr>
              <w:t xml:space="preserve">Rolling coefficient </w:t>
            </w:r>
            <w:r w:rsidR="00EF7C07" w:rsidRPr="00EF7C07">
              <w:rPr>
                <w:rFonts w:ascii="Times New Roman" w:eastAsia="Times New Roman" w:hAnsi="Times New Roman" w:cs="Times New Roman"/>
                <w:b/>
                <w:bCs/>
                <w:color w:val="000000"/>
                <w:kern w:val="0"/>
                <w:sz w:val="24"/>
                <w:szCs w:val="24"/>
                <w:lang w:val="fr-SN" w:eastAsia="fr-SN"/>
                <w14:ligatures w14:val="none"/>
              </w:rPr>
              <w:t>Cr</w:t>
            </w:r>
          </w:p>
        </w:tc>
      </w:tr>
      <w:tr w:rsidR="00EF7C07" w:rsidRPr="00EF7C07" w14:paraId="57930BA3" w14:textId="77777777" w:rsidTr="00AA68DA">
        <w:trPr>
          <w:trHeight w:val="330"/>
        </w:trPr>
        <w:tc>
          <w:tcPr>
            <w:tcW w:w="1069" w:type="dxa"/>
            <w:tcBorders>
              <w:top w:val="nil"/>
              <w:left w:val="nil"/>
              <w:bottom w:val="single" w:sz="8" w:space="0" w:color="auto"/>
              <w:right w:val="nil"/>
            </w:tcBorders>
            <w:shd w:val="clear" w:color="auto" w:fill="auto"/>
            <w:noWrap/>
            <w:vAlign w:val="center"/>
            <w:hideMark/>
          </w:tcPr>
          <w:p w14:paraId="26D9AD66" w14:textId="77777777" w:rsidR="00EF7C07" w:rsidRPr="00EF7C07"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2010</w:t>
            </w:r>
          </w:p>
        </w:tc>
        <w:tc>
          <w:tcPr>
            <w:tcW w:w="1150" w:type="dxa"/>
            <w:tcBorders>
              <w:top w:val="nil"/>
              <w:left w:val="nil"/>
              <w:bottom w:val="single" w:sz="8" w:space="0" w:color="auto"/>
              <w:right w:val="nil"/>
            </w:tcBorders>
            <w:shd w:val="clear" w:color="auto" w:fill="auto"/>
            <w:noWrap/>
            <w:vAlign w:val="center"/>
            <w:hideMark/>
          </w:tcPr>
          <w:p w14:paraId="07DDF1C8" w14:textId="77777777" w:rsidR="00EF7C07" w:rsidRPr="00EF7C07"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0,8</w:t>
            </w:r>
          </w:p>
        </w:tc>
        <w:tc>
          <w:tcPr>
            <w:tcW w:w="1923" w:type="dxa"/>
            <w:tcBorders>
              <w:top w:val="nil"/>
              <w:left w:val="nil"/>
              <w:bottom w:val="single" w:sz="8" w:space="0" w:color="auto"/>
              <w:right w:val="nil"/>
            </w:tcBorders>
            <w:shd w:val="clear" w:color="auto" w:fill="auto"/>
            <w:noWrap/>
            <w:vAlign w:val="center"/>
            <w:hideMark/>
          </w:tcPr>
          <w:p w14:paraId="68914352" w14:textId="77777777" w:rsidR="00EF7C07" w:rsidRPr="00EF7C07"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75</w:t>
            </w:r>
          </w:p>
        </w:tc>
        <w:tc>
          <w:tcPr>
            <w:tcW w:w="2083" w:type="dxa"/>
            <w:tcBorders>
              <w:top w:val="nil"/>
              <w:left w:val="nil"/>
              <w:bottom w:val="single" w:sz="8" w:space="0" w:color="auto"/>
              <w:right w:val="nil"/>
            </w:tcBorders>
            <w:shd w:val="clear" w:color="auto" w:fill="auto"/>
            <w:noWrap/>
            <w:vAlign w:val="center"/>
            <w:hideMark/>
          </w:tcPr>
          <w:p w14:paraId="27D08D70" w14:textId="77777777" w:rsidR="00EF7C07" w:rsidRPr="00EF7C07"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70</w:t>
            </w:r>
          </w:p>
        </w:tc>
        <w:tc>
          <w:tcPr>
            <w:tcW w:w="874" w:type="dxa"/>
            <w:tcBorders>
              <w:top w:val="nil"/>
              <w:left w:val="nil"/>
              <w:bottom w:val="single" w:sz="8" w:space="0" w:color="auto"/>
              <w:right w:val="nil"/>
            </w:tcBorders>
            <w:shd w:val="clear" w:color="auto" w:fill="auto"/>
            <w:noWrap/>
            <w:vAlign w:val="center"/>
            <w:hideMark/>
          </w:tcPr>
          <w:p w14:paraId="06CEC3B4" w14:textId="77777777" w:rsidR="00EF7C07" w:rsidRPr="00EF7C07"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5</w:t>
            </w:r>
          </w:p>
        </w:tc>
        <w:tc>
          <w:tcPr>
            <w:tcW w:w="1741" w:type="dxa"/>
            <w:tcBorders>
              <w:top w:val="nil"/>
              <w:left w:val="nil"/>
              <w:bottom w:val="single" w:sz="8" w:space="0" w:color="auto"/>
              <w:right w:val="nil"/>
            </w:tcBorders>
            <w:shd w:val="clear" w:color="auto" w:fill="auto"/>
            <w:noWrap/>
            <w:vAlign w:val="center"/>
            <w:hideMark/>
          </w:tcPr>
          <w:p w14:paraId="453684D7" w14:textId="77777777" w:rsidR="00EF7C07" w:rsidRPr="00EF7C07"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12%</w:t>
            </w:r>
          </w:p>
        </w:tc>
      </w:tr>
      <w:tr w:rsidR="00EF7C07" w:rsidRPr="00EF7C07" w14:paraId="6B7CAE69" w14:textId="77777777" w:rsidTr="00AA68DA">
        <w:trPr>
          <w:trHeight w:val="960"/>
        </w:trPr>
        <w:tc>
          <w:tcPr>
            <w:tcW w:w="1069" w:type="dxa"/>
            <w:tcBorders>
              <w:top w:val="nil"/>
              <w:left w:val="nil"/>
              <w:bottom w:val="single" w:sz="8" w:space="0" w:color="auto"/>
              <w:right w:val="nil"/>
            </w:tcBorders>
            <w:shd w:val="clear" w:color="auto" w:fill="auto"/>
            <w:noWrap/>
            <w:vAlign w:val="center"/>
            <w:hideMark/>
          </w:tcPr>
          <w:p w14:paraId="3F325CC2" w14:textId="77777777" w:rsidR="00EF7C07" w:rsidRPr="00EF7C07"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EF7C07">
              <w:rPr>
                <w:rFonts w:ascii="Times New Roman" w:eastAsia="Times New Roman" w:hAnsi="Times New Roman" w:cs="Times New Roman"/>
                <w:b/>
                <w:bCs/>
                <w:color w:val="000000"/>
                <w:kern w:val="0"/>
                <w:sz w:val="24"/>
                <w:szCs w:val="24"/>
                <w:lang w:val="fr-SN" w:eastAsia="fr-SN"/>
                <w14:ligatures w14:val="none"/>
              </w:rPr>
              <w:t>Off5</w:t>
            </w:r>
          </w:p>
        </w:tc>
        <w:tc>
          <w:tcPr>
            <w:tcW w:w="1150" w:type="dxa"/>
            <w:tcBorders>
              <w:top w:val="nil"/>
              <w:left w:val="nil"/>
              <w:bottom w:val="single" w:sz="8" w:space="0" w:color="auto"/>
              <w:right w:val="nil"/>
            </w:tcBorders>
            <w:shd w:val="clear" w:color="auto" w:fill="auto"/>
            <w:noWrap/>
            <w:vAlign w:val="center"/>
            <w:hideMark/>
          </w:tcPr>
          <w:p w14:paraId="0A1D5193" w14:textId="77777777" w:rsidR="00EF7C07" w:rsidRPr="00EF7C07"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EF7C07">
              <w:rPr>
                <w:rFonts w:ascii="Times New Roman" w:eastAsia="Times New Roman" w:hAnsi="Times New Roman" w:cs="Times New Roman"/>
                <w:b/>
                <w:bCs/>
                <w:color w:val="000000"/>
                <w:kern w:val="0"/>
                <w:sz w:val="24"/>
                <w:szCs w:val="24"/>
                <w:lang w:val="fr-SN" w:eastAsia="fr-SN"/>
                <w14:ligatures w14:val="none"/>
              </w:rPr>
              <w:t>Off10</w:t>
            </w:r>
          </w:p>
        </w:tc>
        <w:tc>
          <w:tcPr>
            <w:tcW w:w="1923" w:type="dxa"/>
            <w:tcBorders>
              <w:top w:val="nil"/>
              <w:left w:val="nil"/>
              <w:bottom w:val="single" w:sz="8" w:space="0" w:color="auto"/>
              <w:right w:val="nil"/>
            </w:tcBorders>
            <w:shd w:val="clear" w:color="auto" w:fill="auto"/>
            <w:noWrap/>
            <w:vAlign w:val="center"/>
            <w:hideMark/>
          </w:tcPr>
          <w:p w14:paraId="21CF38BD" w14:textId="77777777" w:rsidR="00EF7C07" w:rsidRPr="00EF7C07"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EF7C07">
              <w:rPr>
                <w:rFonts w:ascii="Times New Roman" w:eastAsia="Times New Roman" w:hAnsi="Times New Roman" w:cs="Times New Roman"/>
                <w:b/>
                <w:bCs/>
                <w:color w:val="000000"/>
                <w:kern w:val="0"/>
                <w:sz w:val="24"/>
                <w:szCs w:val="24"/>
                <w:lang w:val="fr-SN" w:eastAsia="fr-SN"/>
                <w14:ligatures w14:val="none"/>
              </w:rPr>
              <w:t>Off15</w:t>
            </w:r>
          </w:p>
        </w:tc>
        <w:tc>
          <w:tcPr>
            <w:tcW w:w="2083" w:type="dxa"/>
            <w:tcBorders>
              <w:top w:val="nil"/>
              <w:left w:val="nil"/>
              <w:bottom w:val="single" w:sz="8" w:space="0" w:color="auto"/>
              <w:right w:val="nil"/>
            </w:tcBorders>
            <w:shd w:val="clear" w:color="auto" w:fill="auto"/>
            <w:vAlign w:val="center"/>
            <w:hideMark/>
          </w:tcPr>
          <w:p w14:paraId="25C07750" w14:textId="443314FC" w:rsidR="00EF7C07" w:rsidRPr="00EF7C07" w:rsidRDefault="002E6EC2"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2E6EC2">
              <w:rPr>
                <w:rFonts w:ascii="Times New Roman" w:eastAsia="Times New Roman" w:hAnsi="Times New Roman" w:cs="Times New Roman"/>
                <w:b/>
                <w:bCs/>
                <w:color w:val="000000"/>
                <w:kern w:val="0"/>
                <w:sz w:val="24"/>
                <w:szCs w:val="24"/>
                <w:lang w:val="fr-SN" w:eastAsia="fr-SN"/>
                <w14:ligatures w14:val="none"/>
              </w:rPr>
              <w:t>Forward speed</w:t>
            </w:r>
            <w:r w:rsidR="00EF7C07" w:rsidRPr="00EF7C07">
              <w:rPr>
                <w:rFonts w:ascii="Times New Roman" w:eastAsia="Times New Roman" w:hAnsi="Times New Roman" w:cs="Times New Roman"/>
                <w:b/>
                <w:bCs/>
                <w:color w:val="000000"/>
                <w:kern w:val="0"/>
                <w:sz w:val="24"/>
                <w:szCs w:val="24"/>
                <w:lang w:val="fr-SN" w:eastAsia="fr-SN"/>
                <w14:ligatures w14:val="none"/>
              </w:rPr>
              <w:t xml:space="preserve"> (Km/h)</w:t>
            </w:r>
          </w:p>
        </w:tc>
        <w:tc>
          <w:tcPr>
            <w:tcW w:w="874" w:type="dxa"/>
            <w:tcBorders>
              <w:top w:val="nil"/>
              <w:left w:val="nil"/>
              <w:bottom w:val="single" w:sz="8" w:space="0" w:color="auto"/>
              <w:right w:val="nil"/>
            </w:tcBorders>
            <w:shd w:val="clear" w:color="auto" w:fill="auto"/>
            <w:noWrap/>
            <w:vAlign w:val="center"/>
            <w:hideMark/>
          </w:tcPr>
          <w:p w14:paraId="63AE0AEE" w14:textId="77777777" w:rsidR="00EF7C07" w:rsidRPr="00EF7C07"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EF7C07">
              <w:rPr>
                <w:rFonts w:ascii="Times New Roman" w:eastAsia="Times New Roman" w:hAnsi="Times New Roman" w:cs="Times New Roman"/>
                <w:b/>
                <w:bCs/>
                <w:color w:val="000000"/>
                <w:kern w:val="0"/>
                <w:sz w:val="24"/>
                <w:szCs w:val="24"/>
                <w:lang w:val="fr-SN" w:eastAsia="fr-SN"/>
                <w14:ligatures w14:val="none"/>
              </w:rPr>
              <w:t>α (rad)</w:t>
            </w:r>
          </w:p>
        </w:tc>
        <w:tc>
          <w:tcPr>
            <w:tcW w:w="1741" w:type="dxa"/>
            <w:tcBorders>
              <w:top w:val="nil"/>
              <w:left w:val="nil"/>
              <w:bottom w:val="single" w:sz="8" w:space="0" w:color="auto"/>
              <w:right w:val="nil"/>
            </w:tcBorders>
            <w:shd w:val="clear" w:color="auto" w:fill="auto"/>
            <w:noWrap/>
            <w:vAlign w:val="bottom"/>
            <w:hideMark/>
          </w:tcPr>
          <w:p w14:paraId="26E6489E" w14:textId="77777777" w:rsidR="00EF7C07" w:rsidRPr="00EF7C07" w:rsidRDefault="00EF7C07" w:rsidP="00EF7C07">
            <w:pPr>
              <w:spacing w:after="0" w:line="240" w:lineRule="auto"/>
              <w:rPr>
                <w:rFonts w:ascii="Calibri" w:eastAsia="Times New Roman" w:hAnsi="Calibri" w:cs="Calibri"/>
                <w:color w:val="000000"/>
                <w:kern w:val="0"/>
                <w:lang w:val="fr-SN" w:eastAsia="fr-SN"/>
                <w14:ligatures w14:val="none"/>
              </w:rPr>
            </w:pPr>
            <w:r w:rsidRPr="00EF7C07">
              <w:rPr>
                <w:rFonts w:ascii="Calibri" w:eastAsia="Times New Roman" w:hAnsi="Calibri" w:cs="Calibri"/>
                <w:color w:val="000000"/>
                <w:kern w:val="0"/>
                <w:lang w:val="fr-SN" w:eastAsia="fr-SN"/>
                <w14:ligatures w14:val="none"/>
              </w:rPr>
              <w:t> </w:t>
            </w:r>
          </w:p>
        </w:tc>
      </w:tr>
      <w:tr w:rsidR="00EF7C07" w:rsidRPr="00EF7C07" w14:paraId="0C5A1F68" w14:textId="77777777" w:rsidTr="00AA68DA">
        <w:trPr>
          <w:trHeight w:val="330"/>
        </w:trPr>
        <w:tc>
          <w:tcPr>
            <w:tcW w:w="1069" w:type="dxa"/>
            <w:tcBorders>
              <w:top w:val="nil"/>
              <w:left w:val="nil"/>
              <w:bottom w:val="single" w:sz="8" w:space="0" w:color="auto"/>
              <w:right w:val="nil"/>
            </w:tcBorders>
            <w:shd w:val="clear" w:color="auto" w:fill="auto"/>
            <w:noWrap/>
            <w:vAlign w:val="center"/>
            <w:hideMark/>
          </w:tcPr>
          <w:p w14:paraId="293BEA42" w14:textId="77777777" w:rsidR="00EF7C07" w:rsidRPr="00EF7C07"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5cm</w:t>
            </w:r>
          </w:p>
        </w:tc>
        <w:tc>
          <w:tcPr>
            <w:tcW w:w="1150" w:type="dxa"/>
            <w:tcBorders>
              <w:top w:val="nil"/>
              <w:left w:val="nil"/>
              <w:bottom w:val="single" w:sz="8" w:space="0" w:color="auto"/>
              <w:right w:val="nil"/>
            </w:tcBorders>
            <w:shd w:val="clear" w:color="auto" w:fill="auto"/>
            <w:noWrap/>
            <w:vAlign w:val="center"/>
            <w:hideMark/>
          </w:tcPr>
          <w:p w14:paraId="7A96A00B" w14:textId="77777777" w:rsidR="00EF7C07" w:rsidRPr="00EF7C07"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10cm</w:t>
            </w:r>
          </w:p>
        </w:tc>
        <w:tc>
          <w:tcPr>
            <w:tcW w:w="1923" w:type="dxa"/>
            <w:tcBorders>
              <w:top w:val="nil"/>
              <w:left w:val="nil"/>
              <w:bottom w:val="single" w:sz="8" w:space="0" w:color="auto"/>
              <w:right w:val="nil"/>
            </w:tcBorders>
            <w:shd w:val="clear" w:color="auto" w:fill="auto"/>
            <w:noWrap/>
            <w:vAlign w:val="center"/>
            <w:hideMark/>
          </w:tcPr>
          <w:p w14:paraId="7F86BD6E" w14:textId="77777777" w:rsidR="00EF7C07" w:rsidRPr="00EF7C07"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15cm</w:t>
            </w:r>
          </w:p>
        </w:tc>
        <w:tc>
          <w:tcPr>
            <w:tcW w:w="2083" w:type="dxa"/>
            <w:tcBorders>
              <w:top w:val="nil"/>
              <w:left w:val="nil"/>
              <w:bottom w:val="single" w:sz="8" w:space="0" w:color="auto"/>
              <w:right w:val="nil"/>
            </w:tcBorders>
            <w:shd w:val="clear" w:color="auto" w:fill="auto"/>
            <w:noWrap/>
            <w:vAlign w:val="center"/>
            <w:hideMark/>
          </w:tcPr>
          <w:p w14:paraId="6F1E137A" w14:textId="77777777" w:rsidR="00EF7C07" w:rsidRPr="00EF7C07"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12</w:t>
            </w:r>
          </w:p>
        </w:tc>
        <w:tc>
          <w:tcPr>
            <w:tcW w:w="874" w:type="dxa"/>
            <w:tcBorders>
              <w:top w:val="nil"/>
              <w:left w:val="nil"/>
              <w:bottom w:val="single" w:sz="8" w:space="0" w:color="auto"/>
              <w:right w:val="nil"/>
            </w:tcBorders>
            <w:shd w:val="clear" w:color="auto" w:fill="auto"/>
            <w:noWrap/>
            <w:vAlign w:val="center"/>
            <w:hideMark/>
          </w:tcPr>
          <w:p w14:paraId="6FDE2C86" w14:textId="77777777" w:rsidR="00EF7C07" w:rsidRPr="00EF7C07"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0,0872</w:t>
            </w:r>
          </w:p>
        </w:tc>
        <w:tc>
          <w:tcPr>
            <w:tcW w:w="1741" w:type="dxa"/>
            <w:tcBorders>
              <w:top w:val="nil"/>
              <w:left w:val="nil"/>
              <w:bottom w:val="single" w:sz="8" w:space="0" w:color="auto"/>
              <w:right w:val="nil"/>
            </w:tcBorders>
            <w:shd w:val="clear" w:color="auto" w:fill="auto"/>
            <w:noWrap/>
            <w:vAlign w:val="center"/>
            <w:hideMark/>
          </w:tcPr>
          <w:p w14:paraId="395EFE9A" w14:textId="77777777" w:rsidR="00EF7C07" w:rsidRPr="00EF7C07" w:rsidRDefault="00EF7C07" w:rsidP="00EF7C07">
            <w:pPr>
              <w:spacing w:after="0" w:line="240" w:lineRule="auto"/>
              <w:jc w:val="both"/>
              <w:rPr>
                <w:rFonts w:ascii="Times New Roman" w:eastAsia="Times New Roman" w:hAnsi="Times New Roman" w:cs="Times New Roman"/>
                <w:color w:val="000000"/>
                <w:kern w:val="0"/>
                <w:sz w:val="24"/>
                <w:szCs w:val="24"/>
                <w:lang w:val="fr-SN" w:eastAsia="fr-SN"/>
                <w14:ligatures w14:val="none"/>
              </w:rPr>
            </w:pPr>
            <w:r w:rsidRPr="00EF7C07">
              <w:rPr>
                <w:rFonts w:ascii="Times New Roman" w:eastAsia="Times New Roman" w:hAnsi="Times New Roman" w:cs="Times New Roman"/>
                <w:color w:val="000000"/>
                <w:kern w:val="0"/>
                <w:sz w:val="24"/>
                <w:szCs w:val="24"/>
                <w:lang w:val="fr-SN" w:eastAsia="fr-SN"/>
                <w14:ligatures w14:val="none"/>
              </w:rPr>
              <w:t> </w:t>
            </w:r>
          </w:p>
        </w:tc>
      </w:tr>
    </w:tbl>
    <w:p w14:paraId="6192067C" w14:textId="77777777" w:rsidR="00EF7C07" w:rsidRDefault="00EF7C07" w:rsidP="00EF7C07">
      <w:pPr>
        <w:jc w:val="center"/>
        <w:rPr>
          <w:rFonts w:ascii="Arial" w:hAnsi="Arial" w:cs="Arial"/>
          <w:b/>
          <w:bCs/>
          <w:sz w:val="20"/>
          <w:szCs w:val="20"/>
        </w:rPr>
      </w:pPr>
    </w:p>
    <w:p w14:paraId="67C39AB3" w14:textId="3EB3CA97" w:rsidR="002E6EC2" w:rsidRDefault="002E6EC2" w:rsidP="002E6EC2">
      <w:pPr>
        <w:jc w:val="both"/>
        <w:rPr>
          <w:rFonts w:ascii="Arial" w:hAnsi="Arial" w:cs="Arial"/>
          <w:sz w:val="20"/>
          <w:szCs w:val="20"/>
        </w:rPr>
      </w:pPr>
      <w:r w:rsidRPr="002E6EC2">
        <w:rPr>
          <w:rFonts w:ascii="Arial" w:hAnsi="Arial" w:cs="Arial"/>
          <w:sz w:val="20"/>
          <w:szCs w:val="20"/>
        </w:rPr>
        <w:t>Table 5 shows that to ensure safe transport, the tractor had to be weighted at the front with a mass of 67 Kg, so it was impossible to weight two 30Kg inserts. However, the influence of this weight on the load distribution could be negligible, so the tractor-offset assembly without front weight would ensure safe transport.</w:t>
      </w:r>
      <w:r>
        <w:rPr>
          <w:rFonts w:ascii="Arial" w:hAnsi="Arial" w:cs="Arial"/>
          <w:sz w:val="20"/>
          <w:szCs w:val="20"/>
        </w:rPr>
        <w:t xml:space="preserve"> </w:t>
      </w:r>
      <w:r w:rsidRPr="002E6EC2">
        <w:rPr>
          <w:rFonts w:ascii="Arial" w:hAnsi="Arial" w:cs="Arial"/>
          <w:sz w:val="20"/>
          <w:szCs w:val="20"/>
        </w:rPr>
        <w:t xml:space="preserve">In working conditions, the load distribution recommended by the manufacturers was respected, as it varied from 35% to 40% for the front axle and 60% to 65% for the rear axle. The tractor-offset linkage was therefore optimally adjusted (table </w:t>
      </w:r>
      <w:r>
        <w:rPr>
          <w:rFonts w:ascii="Arial" w:hAnsi="Arial" w:cs="Arial"/>
          <w:sz w:val="20"/>
          <w:szCs w:val="20"/>
        </w:rPr>
        <w:t>5</w:t>
      </w:r>
      <w:r w:rsidRPr="002E6EC2">
        <w:rPr>
          <w:rFonts w:ascii="Arial" w:hAnsi="Arial" w:cs="Arial"/>
          <w:sz w:val="20"/>
          <w:szCs w:val="20"/>
        </w:rPr>
        <w:t>).</w:t>
      </w:r>
    </w:p>
    <w:p w14:paraId="569964E1" w14:textId="77777777" w:rsidR="002E6EC2" w:rsidRDefault="002E6EC2" w:rsidP="002E6EC2">
      <w:pPr>
        <w:jc w:val="center"/>
        <w:rPr>
          <w:rFonts w:ascii="Arial" w:hAnsi="Arial" w:cs="Arial"/>
          <w:b/>
          <w:bCs/>
          <w:sz w:val="20"/>
          <w:szCs w:val="20"/>
        </w:rPr>
      </w:pPr>
    </w:p>
    <w:p w14:paraId="3FCB59EF" w14:textId="77777777" w:rsidR="002E6EC2" w:rsidRDefault="002E6EC2" w:rsidP="002E6EC2">
      <w:pPr>
        <w:jc w:val="center"/>
        <w:rPr>
          <w:rFonts w:ascii="Arial" w:hAnsi="Arial" w:cs="Arial"/>
          <w:b/>
          <w:bCs/>
          <w:sz w:val="20"/>
          <w:szCs w:val="20"/>
        </w:rPr>
      </w:pPr>
    </w:p>
    <w:p w14:paraId="5522DAC5" w14:textId="77777777" w:rsidR="002E6EC2" w:rsidRDefault="002E6EC2" w:rsidP="002E6EC2">
      <w:pPr>
        <w:jc w:val="center"/>
        <w:rPr>
          <w:rFonts w:ascii="Arial" w:hAnsi="Arial" w:cs="Arial"/>
          <w:b/>
          <w:bCs/>
          <w:sz w:val="20"/>
          <w:szCs w:val="20"/>
        </w:rPr>
      </w:pPr>
    </w:p>
    <w:p w14:paraId="00BB687D" w14:textId="77777777" w:rsidR="002E6EC2" w:rsidRDefault="002E6EC2" w:rsidP="002E6EC2">
      <w:pPr>
        <w:jc w:val="center"/>
        <w:rPr>
          <w:rFonts w:ascii="Arial" w:hAnsi="Arial" w:cs="Arial"/>
          <w:b/>
          <w:bCs/>
          <w:sz w:val="20"/>
          <w:szCs w:val="20"/>
        </w:rPr>
      </w:pPr>
    </w:p>
    <w:p w14:paraId="2658A61E" w14:textId="23C6D793" w:rsidR="002E6EC2" w:rsidRDefault="002E6EC2" w:rsidP="002E6EC2">
      <w:pPr>
        <w:jc w:val="center"/>
        <w:rPr>
          <w:rFonts w:ascii="Arial" w:hAnsi="Arial" w:cs="Arial"/>
          <w:b/>
          <w:bCs/>
          <w:sz w:val="20"/>
          <w:szCs w:val="20"/>
        </w:rPr>
      </w:pPr>
      <w:r w:rsidRPr="002E6EC2">
        <w:rPr>
          <w:rFonts w:ascii="Arial" w:hAnsi="Arial" w:cs="Arial"/>
          <w:b/>
          <w:bCs/>
          <w:sz w:val="20"/>
          <w:szCs w:val="20"/>
        </w:rPr>
        <w:lastRenderedPageBreak/>
        <w:t xml:space="preserve">Table </w:t>
      </w:r>
      <w:r>
        <w:rPr>
          <w:rFonts w:ascii="Arial" w:hAnsi="Arial" w:cs="Arial"/>
          <w:b/>
          <w:bCs/>
          <w:sz w:val="20"/>
          <w:szCs w:val="20"/>
        </w:rPr>
        <w:t>5</w:t>
      </w:r>
      <w:r w:rsidRPr="002E6EC2">
        <w:rPr>
          <w:rFonts w:ascii="Arial" w:hAnsi="Arial" w:cs="Arial"/>
          <w:b/>
          <w:bCs/>
          <w:sz w:val="20"/>
          <w:szCs w:val="20"/>
        </w:rPr>
        <w:t>. Results of setting diagrams for workshop 3</w:t>
      </w:r>
    </w:p>
    <w:tbl>
      <w:tblPr>
        <w:tblW w:w="10708" w:type="dxa"/>
        <w:tblInd w:w="-645" w:type="dxa"/>
        <w:tblCellMar>
          <w:left w:w="70" w:type="dxa"/>
          <w:right w:w="70" w:type="dxa"/>
        </w:tblCellMar>
        <w:tblLook w:val="04A0" w:firstRow="1" w:lastRow="0" w:firstColumn="1" w:lastColumn="0" w:noHBand="0" w:noVBand="1"/>
      </w:tblPr>
      <w:tblGrid>
        <w:gridCol w:w="1213"/>
        <w:gridCol w:w="1970"/>
        <w:gridCol w:w="673"/>
        <w:gridCol w:w="912"/>
        <w:gridCol w:w="1070"/>
        <w:gridCol w:w="912"/>
        <w:gridCol w:w="1070"/>
        <w:gridCol w:w="912"/>
        <w:gridCol w:w="991"/>
        <w:gridCol w:w="975"/>
        <w:gridCol w:w="10"/>
      </w:tblGrid>
      <w:tr w:rsidR="002E6EC2" w:rsidRPr="002E6EC2" w14:paraId="7CDB68F3" w14:textId="77777777" w:rsidTr="00AA68DA">
        <w:trPr>
          <w:trHeight w:val="346"/>
        </w:trPr>
        <w:tc>
          <w:tcPr>
            <w:tcW w:w="10708" w:type="dxa"/>
            <w:gridSpan w:val="11"/>
            <w:tcBorders>
              <w:top w:val="single" w:sz="8" w:space="0" w:color="auto"/>
              <w:left w:val="nil"/>
              <w:bottom w:val="single" w:sz="8" w:space="0" w:color="auto"/>
              <w:right w:val="nil"/>
            </w:tcBorders>
            <w:shd w:val="clear" w:color="auto" w:fill="auto"/>
            <w:noWrap/>
            <w:vAlign w:val="center"/>
            <w:hideMark/>
          </w:tcPr>
          <w:p w14:paraId="4197EFE8" w14:textId="75BBAE0C" w:rsidR="002E6EC2" w:rsidRPr="002E6EC2" w:rsidRDefault="002E6EC2" w:rsidP="002E6EC2">
            <w:pPr>
              <w:spacing w:after="0" w:line="240" w:lineRule="auto"/>
              <w:jc w:val="center"/>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Results Workshop 3</w:t>
            </w:r>
          </w:p>
        </w:tc>
      </w:tr>
      <w:tr w:rsidR="002E6EC2" w:rsidRPr="002E6EC2" w14:paraId="33AD36E1" w14:textId="77777777" w:rsidTr="00AA68DA">
        <w:trPr>
          <w:gridAfter w:val="1"/>
          <w:wAfter w:w="10" w:type="dxa"/>
          <w:trHeight w:val="346"/>
        </w:trPr>
        <w:tc>
          <w:tcPr>
            <w:tcW w:w="1213" w:type="dxa"/>
            <w:tcBorders>
              <w:top w:val="nil"/>
              <w:left w:val="nil"/>
              <w:bottom w:val="single" w:sz="8" w:space="0" w:color="auto"/>
              <w:right w:val="nil"/>
            </w:tcBorders>
            <w:shd w:val="clear" w:color="auto" w:fill="auto"/>
            <w:noWrap/>
            <w:vAlign w:val="center"/>
            <w:hideMark/>
          </w:tcPr>
          <w:p w14:paraId="08563209"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l3 (m)</w:t>
            </w:r>
          </w:p>
        </w:tc>
        <w:tc>
          <w:tcPr>
            <w:tcW w:w="1970" w:type="dxa"/>
            <w:tcBorders>
              <w:top w:val="nil"/>
              <w:left w:val="nil"/>
              <w:bottom w:val="single" w:sz="8" w:space="0" w:color="auto"/>
              <w:right w:val="nil"/>
            </w:tcBorders>
            <w:shd w:val="clear" w:color="auto" w:fill="auto"/>
            <w:noWrap/>
            <w:vAlign w:val="center"/>
            <w:hideMark/>
          </w:tcPr>
          <w:p w14:paraId="6DCA2B34"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Pr</w:t>
            </w:r>
          </w:p>
        </w:tc>
        <w:tc>
          <w:tcPr>
            <w:tcW w:w="673" w:type="dxa"/>
            <w:tcBorders>
              <w:top w:val="nil"/>
              <w:left w:val="nil"/>
              <w:bottom w:val="single" w:sz="8" w:space="0" w:color="auto"/>
              <w:right w:val="nil"/>
            </w:tcBorders>
            <w:shd w:val="clear" w:color="auto" w:fill="auto"/>
            <w:noWrap/>
            <w:vAlign w:val="center"/>
            <w:hideMark/>
          </w:tcPr>
          <w:p w14:paraId="7FE862F9"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Ft</w:t>
            </w:r>
          </w:p>
        </w:tc>
        <w:tc>
          <w:tcPr>
            <w:tcW w:w="912" w:type="dxa"/>
            <w:tcBorders>
              <w:top w:val="nil"/>
              <w:left w:val="nil"/>
              <w:bottom w:val="single" w:sz="8" w:space="0" w:color="auto"/>
              <w:right w:val="nil"/>
            </w:tcBorders>
            <w:shd w:val="clear" w:color="auto" w:fill="auto"/>
            <w:noWrap/>
            <w:vAlign w:val="center"/>
            <w:hideMark/>
          </w:tcPr>
          <w:p w14:paraId="1129D8AE"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Fr</w:t>
            </w:r>
          </w:p>
        </w:tc>
        <w:tc>
          <w:tcPr>
            <w:tcW w:w="1070" w:type="dxa"/>
            <w:tcBorders>
              <w:top w:val="nil"/>
              <w:left w:val="nil"/>
              <w:bottom w:val="single" w:sz="8" w:space="0" w:color="auto"/>
              <w:right w:val="nil"/>
            </w:tcBorders>
            <w:shd w:val="clear" w:color="auto" w:fill="auto"/>
            <w:noWrap/>
            <w:vAlign w:val="center"/>
            <w:hideMark/>
          </w:tcPr>
          <w:p w14:paraId="0D6A462F"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Woh</w:t>
            </w:r>
          </w:p>
        </w:tc>
        <w:tc>
          <w:tcPr>
            <w:tcW w:w="912" w:type="dxa"/>
            <w:tcBorders>
              <w:top w:val="nil"/>
              <w:left w:val="nil"/>
              <w:bottom w:val="single" w:sz="8" w:space="0" w:color="auto"/>
              <w:right w:val="nil"/>
            </w:tcBorders>
            <w:shd w:val="clear" w:color="auto" w:fill="auto"/>
            <w:noWrap/>
            <w:vAlign w:val="center"/>
            <w:hideMark/>
          </w:tcPr>
          <w:p w14:paraId="41132AAD"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Wov</w:t>
            </w:r>
          </w:p>
        </w:tc>
        <w:tc>
          <w:tcPr>
            <w:tcW w:w="1070" w:type="dxa"/>
            <w:tcBorders>
              <w:top w:val="nil"/>
              <w:left w:val="nil"/>
              <w:bottom w:val="single" w:sz="8" w:space="0" w:color="auto"/>
              <w:right w:val="nil"/>
            </w:tcBorders>
            <w:shd w:val="clear" w:color="auto" w:fill="auto"/>
            <w:noWrap/>
            <w:vAlign w:val="center"/>
            <w:hideMark/>
          </w:tcPr>
          <w:p w14:paraId="17591221"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A2/1</w:t>
            </w:r>
          </w:p>
        </w:tc>
        <w:tc>
          <w:tcPr>
            <w:tcW w:w="912" w:type="dxa"/>
            <w:tcBorders>
              <w:top w:val="nil"/>
              <w:left w:val="nil"/>
              <w:bottom w:val="single" w:sz="8" w:space="0" w:color="auto"/>
              <w:right w:val="nil"/>
            </w:tcBorders>
            <w:shd w:val="clear" w:color="auto" w:fill="auto"/>
            <w:noWrap/>
            <w:vAlign w:val="center"/>
            <w:hideMark/>
          </w:tcPr>
          <w:p w14:paraId="4F194950"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B2/1</w:t>
            </w:r>
          </w:p>
        </w:tc>
        <w:tc>
          <w:tcPr>
            <w:tcW w:w="991" w:type="dxa"/>
            <w:tcBorders>
              <w:top w:val="nil"/>
              <w:left w:val="nil"/>
              <w:bottom w:val="single" w:sz="8" w:space="0" w:color="auto"/>
              <w:right w:val="nil"/>
            </w:tcBorders>
            <w:shd w:val="clear" w:color="auto" w:fill="auto"/>
            <w:noWrap/>
            <w:vAlign w:val="center"/>
            <w:hideMark/>
          </w:tcPr>
          <w:p w14:paraId="181E6D4A"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%A2/1</w:t>
            </w:r>
          </w:p>
        </w:tc>
        <w:tc>
          <w:tcPr>
            <w:tcW w:w="975" w:type="dxa"/>
            <w:tcBorders>
              <w:top w:val="nil"/>
              <w:left w:val="nil"/>
              <w:bottom w:val="single" w:sz="8" w:space="0" w:color="auto"/>
              <w:right w:val="nil"/>
            </w:tcBorders>
            <w:shd w:val="clear" w:color="auto" w:fill="auto"/>
            <w:noWrap/>
            <w:vAlign w:val="center"/>
            <w:hideMark/>
          </w:tcPr>
          <w:p w14:paraId="62536096"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%B2/1</w:t>
            </w:r>
          </w:p>
        </w:tc>
      </w:tr>
      <w:tr w:rsidR="002E6EC2" w:rsidRPr="002E6EC2" w14:paraId="15A7AF80" w14:textId="77777777" w:rsidTr="00AA68DA">
        <w:trPr>
          <w:gridAfter w:val="1"/>
          <w:wAfter w:w="10" w:type="dxa"/>
          <w:trHeight w:val="676"/>
        </w:trPr>
        <w:tc>
          <w:tcPr>
            <w:tcW w:w="1213" w:type="dxa"/>
            <w:tcBorders>
              <w:top w:val="nil"/>
              <w:left w:val="nil"/>
              <w:bottom w:val="single" w:sz="8" w:space="0" w:color="auto"/>
              <w:right w:val="nil"/>
            </w:tcBorders>
            <w:shd w:val="clear" w:color="auto" w:fill="auto"/>
            <w:noWrap/>
            <w:vAlign w:val="center"/>
            <w:hideMark/>
          </w:tcPr>
          <w:p w14:paraId="171F2E28"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4,53E-16</w:t>
            </w:r>
          </w:p>
        </w:tc>
        <w:tc>
          <w:tcPr>
            <w:tcW w:w="1970" w:type="dxa"/>
            <w:tcBorders>
              <w:top w:val="nil"/>
              <w:left w:val="nil"/>
              <w:bottom w:val="single" w:sz="8" w:space="0" w:color="auto"/>
              <w:right w:val="nil"/>
            </w:tcBorders>
            <w:shd w:val="clear" w:color="auto" w:fill="auto"/>
            <w:noWrap/>
            <w:vAlign w:val="center"/>
            <w:hideMark/>
          </w:tcPr>
          <w:p w14:paraId="223A74E6" w14:textId="6E368B2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For Off5cm</w:t>
            </w:r>
          </w:p>
        </w:tc>
        <w:tc>
          <w:tcPr>
            <w:tcW w:w="673" w:type="dxa"/>
            <w:tcBorders>
              <w:top w:val="nil"/>
              <w:left w:val="nil"/>
              <w:bottom w:val="single" w:sz="8" w:space="0" w:color="auto"/>
              <w:right w:val="nil"/>
            </w:tcBorders>
            <w:shd w:val="clear" w:color="auto" w:fill="auto"/>
            <w:noWrap/>
            <w:vAlign w:val="center"/>
            <w:hideMark/>
          </w:tcPr>
          <w:p w14:paraId="37A35028"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1575</w:t>
            </w:r>
          </w:p>
        </w:tc>
        <w:tc>
          <w:tcPr>
            <w:tcW w:w="912" w:type="dxa"/>
            <w:tcBorders>
              <w:top w:val="nil"/>
              <w:left w:val="nil"/>
              <w:bottom w:val="single" w:sz="8" w:space="0" w:color="auto"/>
              <w:right w:val="nil"/>
            </w:tcBorders>
            <w:shd w:val="clear" w:color="auto" w:fill="auto"/>
            <w:noWrap/>
            <w:vAlign w:val="center"/>
            <w:hideMark/>
          </w:tcPr>
          <w:p w14:paraId="0F46D5A4"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592,44</w:t>
            </w:r>
          </w:p>
        </w:tc>
        <w:tc>
          <w:tcPr>
            <w:tcW w:w="1070" w:type="dxa"/>
            <w:tcBorders>
              <w:top w:val="nil"/>
              <w:left w:val="nil"/>
              <w:bottom w:val="single" w:sz="8" w:space="0" w:color="auto"/>
              <w:right w:val="nil"/>
            </w:tcBorders>
            <w:shd w:val="clear" w:color="auto" w:fill="auto"/>
            <w:noWrap/>
            <w:vAlign w:val="center"/>
            <w:hideMark/>
          </w:tcPr>
          <w:p w14:paraId="2B7EB684"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2167,44</w:t>
            </w:r>
          </w:p>
        </w:tc>
        <w:tc>
          <w:tcPr>
            <w:tcW w:w="912" w:type="dxa"/>
            <w:tcBorders>
              <w:top w:val="nil"/>
              <w:left w:val="nil"/>
              <w:bottom w:val="single" w:sz="8" w:space="0" w:color="auto"/>
              <w:right w:val="nil"/>
            </w:tcBorders>
            <w:shd w:val="clear" w:color="auto" w:fill="auto"/>
            <w:noWrap/>
            <w:vAlign w:val="center"/>
            <w:hideMark/>
          </w:tcPr>
          <w:p w14:paraId="372CB9CC"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189,63</w:t>
            </w:r>
          </w:p>
        </w:tc>
        <w:tc>
          <w:tcPr>
            <w:tcW w:w="1070" w:type="dxa"/>
            <w:tcBorders>
              <w:top w:val="nil"/>
              <w:left w:val="nil"/>
              <w:bottom w:val="single" w:sz="8" w:space="0" w:color="auto"/>
              <w:right w:val="nil"/>
            </w:tcBorders>
            <w:shd w:val="clear" w:color="auto" w:fill="auto"/>
            <w:noWrap/>
            <w:vAlign w:val="center"/>
            <w:hideMark/>
          </w:tcPr>
          <w:p w14:paraId="49E0AAC4"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1807,07</w:t>
            </w:r>
          </w:p>
        </w:tc>
        <w:tc>
          <w:tcPr>
            <w:tcW w:w="912" w:type="dxa"/>
            <w:tcBorders>
              <w:top w:val="nil"/>
              <w:left w:val="nil"/>
              <w:bottom w:val="single" w:sz="8" w:space="0" w:color="auto"/>
              <w:right w:val="nil"/>
            </w:tcBorders>
            <w:shd w:val="clear" w:color="auto" w:fill="auto"/>
            <w:noWrap/>
            <w:vAlign w:val="center"/>
            <w:hideMark/>
          </w:tcPr>
          <w:p w14:paraId="4B03EB02"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3062,9</w:t>
            </w:r>
          </w:p>
        </w:tc>
        <w:tc>
          <w:tcPr>
            <w:tcW w:w="991" w:type="dxa"/>
            <w:tcBorders>
              <w:top w:val="nil"/>
              <w:left w:val="nil"/>
              <w:bottom w:val="single" w:sz="8" w:space="0" w:color="auto"/>
              <w:right w:val="nil"/>
            </w:tcBorders>
            <w:shd w:val="clear" w:color="auto" w:fill="auto"/>
            <w:noWrap/>
            <w:vAlign w:val="center"/>
            <w:hideMark/>
          </w:tcPr>
          <w:p w14:paraId="705B8257"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37,1</w:t>
            </w:r>
          </w:p>
        </w:tc>
        <w:tc>
          <w:tcPr>
            <w:tcW w:w="975" w:type="dxa"/>
            <w:tcBorders>
              <w:top w:val="nil"/>
              <w:left w:val="nil"/>
              <w:bottom w:val="single" w:sz="8" w:space="0" w:color="auto"/>
              <w:right w:val="nil"/>
            </w:tcBorders>
            <w:shd w:val="clear" w:color="auto" w:fill="auto"/>
            <w:noWrap/>
            <w:vAlign w:val="center"/>
            <w:hideMark/>
          </w:tcPr>
          <w:p w14:paraId="01A442EA"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62,9</w:t>
            </w:r>
          </w:p>
        </w:tc>
      </w:tr>
      <w:tr w:rsidR="002E6EC2" w:rsidRPr="002E6EC2" w14:paraId="4C468327" w14:textId="77777777" w:rsidTr="00AA68DA">
        <w:trPr>
          <w:gridAfter w:val="1"/>
          <w:wAfter w:w="10" w:type="dxa"/>
          <w:trHeight w:val="676"/>
        </w:trPr>
        <w:tc>
          <w:tcPr>
            <w:tcW w:w="1213" w:type="dxa"/>
            <w:tcBorders>
              <w:top w:val="nil"/>
              <w:left w:val="nil"/>
              <w:bottom w:val="single" w:sz="8" w:space="0" w:color="auto"/>
              <w:right w:val="nil"/>
            </w:tcBorders>
            <w:shd w:val="clear" w:color="auto" w:fill="auto"/>
            <w:noWrap/>
            <w:vAlign w:val="center"/>
            <w:hideMark/>
          </w:tcPr>
          <w:p w14:paraId="5D048695"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P4 (Kg)</w:t>
            </w:r>
          </w:p>
        </w:tc>
        <w:tc>
          <w:tcPr>
            <w:tcW w:w="1970" w:type="dxa"/>
            <w:tcBorders>
              <w:top w:val="nil"/>
              <w:left w:val="nil"/>
              <w:bottom w:val="single" w:sz="8" w:space="0" w:color="auto"/>
              <w:right w:val="nil"/>
            </w:tcBorders>
            <w:shd w:val="clear" w:color="auto" w:fill="auto"/>
            <w:noWrap/>
            <w:vAlign w:val="center"/>
            <w:hideMark/>
          </w:tcPr>
          <w:p w14:paraId="11ABF99B" w14:textId="0CB9FA3E"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For Off10cm</w:t>
            </w:r>
          </w:p>
        </w:tc>
        <w:tc>
          <w:tcPr>
            <w:tcW w:w="673" w:type="dxa"/>
            <w:tcBorders>
              <w:top w:val="nil"/>
              <w:left w:val="nil"/>
              <w:bottom w:val="single" w:sz="8" w:space="0" w:color="auto"/>
              <w:right w:val="nil"/>
            </w:tcBorders>
            <w:shd w:val="clear" w:color="auto" w:fill="auto"/>
            <w:noWrap/>
            <w:vAlign w:val="center"/>
            <w:hideMark/>
          </w:tcPr>
          <w:p w14:paraId="0D9367A8"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1575</w:t>
            </w:r>
          </w:p>
        </w:tc>
        <w:tc>
          <w:tcPr>
            <w:tcW w:w="912" w:type="dxa"/>
            <w:tcBorders>
              <w:top w:val="nil"/>
              <w:left w:val="nil"/>
              <w:bottom w:val="single" w:sz="8" w:space="0" w:color="auto"/>
              <w:right w:val="nil"/>
            </w:tcBorders>
            <w:shd w:val="clear" w:color="auto" w:fill="auto"/>
            <w:noWrap/>
            <w:vAlign w:val="center"/>
            <w:hideMark/>
          </w:tcPr>
          <w:p w14:paraId="6AFC6248"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592,44</w:t>
            </w:r>
          </w:p>
        </w:tc>
        <w:tc>
          <w:tcPr>
            <w:tcW w:w="1070" w:type="dxa"/>
            <w:tcBorders>
              <w:top w:val="nil"/>
              <w:left w:val="nil"/>
              <w:bottom w:val="single" w:sz="8" w:space="0" w:color="auto"/>
              <w:right w:val="nil"/>
            </w:tcBorders>
            <w:shd w:val="clear" w:color="auto" w:fill="auto"/>
            <w:noWrap/>
            <w:vAlign w:val="center"/>
            <w:hideMark/>
          </w:tcPr>
          <w:p w14:paraId="6F536495"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2167,44</w:t>
            </w:r>
          </w:p>
        </w:tc>
        <w:tc>
          <w:tcPr>
            <w:tcW w:w="912" w:type="dxa"/>
            <w:tcBorders>
              <w:top w:val="nil"/>
              <w:left w:val="nil"/>
              <w:bottom w:val="single" w:sz="8" w:space="0" w:color="auto"/>
              <w:right w:val="nil"/>
            </w:tcBorders>
            <w:shd w:val="clear" w:color="auto" w:fill="auto"/>
            <w:noWrap/>
            <w:vAlign w:val="center"/>
            <w:hideMark/>
          </w:tcPr>
          <w:p w14:paraId="6D468EDA"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189,63</w:t>
            </w:r>
          </w:p>
        </w:tc>
        <w:tc>
          <w:tcPr>
            <w:tcW w:w="1070" w:type="dxa"/>
            <w:tcBorders>
              <w:top w:val="nil"/>
              <w:left w:val="nil"/>
              <w:bottom w:val="single" w:sz="8" w:space="0" w:color="auto"/>
              <w:right w:val="nil"/>
            </w:tcBorders>
            <w:shd w:val="clear" w:color="auto" w:fill="auto"/>
            <w:noWrap/>
            <w:vAlign w:val="center"/>
            <w:hideMark/>
          </w:tcPr>
          <w:p w14:paraId="46E34299"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1807,07</w:t>
            </w:r>
          </w:p>
        </w:tc>
        <w:tc>
          <w:tcPr>
            <w:tcW w:w="912" w:type="dxa"/>
            <w:tcBorders>
              <w:top w:val="nil"/>
              <w:left w:val="nil"/>
              <w:bottom w:val="single" w:sz="8" w:space="0" w:color="auto"/>
              <w:right w:val="nil"/>
            </w:tcBorders>
            <w:shd w:val="clear" w:color="auto" w:fill="auto"/>
            <w:noWrap/>
            <w:vAlign w:val="center"/>
            <w:hideMark/>
          </w:tcPr>
          <w:p w14:paraId="177EB5BC"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3062,9</w:t>
            </w:r>
          </w:p>
        </w:tc>
        <w:tc>
          <w:tcPr>
            <w:tcW w:w="991" w:type="dxa"/>
            <w:tcBorders>
              <w:top w:val="nil"/>
              <w:left w:val="nil"/>
              <w:bottom w:val="single" w:sz="8" w:space="0" w:color="auto"/>
              <w:right w:val="nil"/>
            </w:tcBorders>
            <w:shd w:val="clear" w:color="auto" w:fill="auto"/>
            <w:noWrap/>
            <w:vAlign w:val="center"/>
            <w:hideMark/>
          </w:tcPr>
          <w:p w14:paraId="730EB214"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37,1</w:t>
            </w:r>
          </w:p>
        </w:tc>
        <w:tc>
          <w:tcPr>
            <w:tcW w:w="975" w:type="dxa"/>
            <w:tcBorders>
              <w:top w:val="nil"/>
              <w:left w:val="nil"/>
              <w:bottom w:val="single" w:sz="8" w:space="0" w:color="auto"/>
              <w:right w:val="nil"/>
            </w:tcBorders>
            <w:shd w:val="clear" w:color="auto" w:fill="auto"/>
            <w:noWrap/>
            <w:vAlign w:val="center"/>
            <w:hideMark/>
          </w:tcPr>
          <w:p w14:paraId="15D29FBB"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62,9</w:t>
            </w:r>
          </w:p>
        </w:tc>
      </w:tr>
      <w:tr w:rsidR="002E6EC2" w:rsidRPr="002E6EC2" w14:paraId="5C9FC07C" w14:textId="77777777" w:rsidTr="00AA68DA">
        <w:trPr>
          <w:gridAfter w:val="1"/>
          <w:wAfter w:w="10" w:type="dxa"/>
          <w:trHeight w:val="676"/>
        </w:trPr>
        <w:tc>
          <w:tcPr>
            <w:tcW w:w="1213" w:type="dxa"/>
            <w:tcBorders>
              <w:top w:val="nil"/>
              <w:left w:val="nil"/>
              <w:bottom w:val="single" w:sz="8" w:space="0" w:color="auto"/>
              <w:right w:val="nil"/>
            </w:tcBorders>
            <w:shd w:val="clear" w:color="auto" w:fill="auto"/>
            <w:noWrap/>
            <w:vAlign w:val="center"/>
            <w:hideMark/>
          </w:tcPr>
          <w:p w14:paraId="48224E2D"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67</w:t>
            </w:r>
          </w:p>
        </w:tc>
        <w:tc>
          <w:tcPr>
            <w:tcW w:w="1970" w:type="dxa"/>
            <w:tcBorders>
              <w:top w:val="nil"/>
              <w:left w:val="nil"/>
              <w:bottom w:val="single" w:sz="8" w:space="0" w:color="auto"/>
              <w:right w:val="nil"/>
            </w:tcBorders>
            <w:shd w:val="clear" w:color="auto" w:fill="auto"/>
            <w:noWrap/>
            <w:vAlign w:val="center"/>
            <w:hideMark/>
          </w:tcPr>
          <w:p w14:paraId="671DFA79" w14:textId="36743ACC"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For Off15cm</w:t>
            </w:r>
          </w:p>
        </w:tc>
        <w:tc>
          <w:tcPr>
            <w:tcW w:w="673" w:type="dxa"/>
            <w:tcBorders>
              <w:top w:val="nil"/>
              <w:left w:val="nil"/>
              <w:bottom w:val="single" w:sz="8" w:space="0" w:color="auto"/>
              <w:right w:val="nil"/>
            </w:tcBorders>
            <w:shd w:val="clear" w:color="auto" w:fill="auto"/>
            <w:noWrap/>
            <w:vAlign w:val="center"/>
            <w:hideMark/>
          </w:tcPr>
          <w:p w14:paraId="041EE3E7"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1575</w:t>
            </w:r>
          </w:p>
        </w:tc>
        <w:tc>
          <w:tcPr>
            <w:tcW w:w="912" w:type="dxa"/>
            <w:tcBorders>
              <w:top w:val="nil"/>
              <w:left w:val="nil"/>
              <w:bottom w:val="single" w:sz="8" w:space="0" w:color="auto"/>
              <w:right w:val="nil"/>
            </w:tcBorders>
            <w:shd w:val="clear" w:color="auto" w:fill="auto"/>
            <w:noWrap/>
            <w:vAlign w:val="center"/>
            <w:hideMark/>
          </w:tcPr>
          <w:p w14:paraId="3019D6A2"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592,44</w:t>
            </w:r>
          </w:p>
        </w:tc>
        <w:tc>
          <w:tcPr>
            <w:tcW w:w="1070" w:type="dxa"/>
            <w:tcBorders>
              <w:top w:val="nil"/>
              <w:left w:val="nil"/>
              <w:bottom w:val="single" w:sz="8" w:space="0" w:color="auto"/>
              <w:right w:val="nil"/>
            </w:tcBorders>
            <w:shd w:val="clear" w:color="auto" w:fill="auto"/>
            <w:noWrap/>
            <w:vAlign w:val="center"/>
            <w:hideMark/>
          </w:tcPr>
          <w:p w14:paraId="6A4BC3CA"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2167,44</w:t>
            </w:r>
          </w:p>
        </w:tc>
        <w:tc>
          <w:tcPr>
            <w:tcW w:w="912" w:type="dxa"/>
            <w:tcBorders>
              <w:top w:val="nil"/>
              <w:left w:val="nil"/>
              <w:bottom w:val="single" w:sz="8" w:space="0" w:color="auto"/>
              <w:right w:val="nil"/>
            </w:tcBorders>
            <w:shd w:val="clear" w:color="auto" w:fill="auto"/>
            <w:noWrap/>
            <w:vAlign w:val="center"/>
            <w:hideMark/>
          </w:tcPr>
          <w:p w14:paraId="77A30C66"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189,63</w:t>
            </w:r>
          </w:p>
        </w:tc>
        <w:tc>
          <w:tcPr>
            <w:tcW w:w="1070" w:type="dxa"/>
            <w:tcBorders>
              <w:top w:val="nil"/>
              <w:left w:val="nil"/>
              <w:bottom w:val="single" w:sz="8" w:space="0" w:color="auto"/>
              <w:right w:val="nil"/>
            </w:tcBorders>
            <w:shd w:val="clear" w:color="auto" w:fill="auto"/>
            <w:noWrap/>
            <w:vAlign w:val="center"/>
            <w:hideMark/>
          </w:tcPr>
          <w:p w14:paraId="451F9419"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1807,07</w:t>
            </w:r>
          </w:p>
        </w:tc>
        <w:tc>
          <w:tcPr>
            <w:tcW w:w="912" w:type="dxa"/>
            <w:tcBorders>
              <w:top w:val="nil"/>
              <w:left w:val="nil"/>
              <w:bottom w:val="single" w:sz="8" w:space="0" w:color="auto"/>
              <w:right w:val="nil"/>
            </w:tcBorders>
            <w:shd w:val="clear" w:color="auto" w:fill="auto"/>
            <w:noWrap/>
            <w:vAlign w:val="center"/>
            <w:hideMark/>
          </w:tcPr>
          <w:p w14:paraId="67816469" w14:textId="77777777" w:rsidR="002E6EC2" w:rsidRPr="002E6EC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2E6EC2">
              <w:rPr>
                <w:rFonts w:ascii="Arial" w:eastAsia="Times New Roman" w:hAnsi="Arial" w:cs="Arial"/>
                <w:color w:val="000000"/>
                <w:kern w:val="0"/>
                <w:sz w:val="20"/>
                <w:szCs w:val="20"/>
                <w:lang w:val="fr-SN" w:eastAsia="fr-SN"/>
                <w14:ligatures w14:val="none"/>
              </w:rPr>
              <w:t>3062,9</w:t>
            </w:r>
          </w:p>
        </w:tc>
        <w:tc>
          <w:tcPr>
            <w:tcW w:w="991" w:type="dxa"/>
            <w:tcBorders>
              <w:top w:val="nil"/>
              <w:left w:val="nil"/>
              <w:bottom w:val="single" w:sz="8" w:space="0" w:color="auto"/>
              <w:right w:val="nil"/>
            </w:tcBorders>
            <w:shd w:val="clear" w:color="auto" w:fill="auto"/>
            <w:noWrap/>
            <w:vAlign w:val="center"/>
            <w:hideMark/>
          </w:tcPr>
          <w:p w14:paraId="69F60E79"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37,1</w:t>
            </w:r>
          </w:p>
        </w:tc>
        <w:tc>
          <w:tcPr>
            <w:tcW w:w="975" w:type="dxa"/>
            <w:tcBorders>
              <w:top w:val="nil"/>
              <w:left w:val="nil"/>
              <w:bottom w:val="single" w:sz="8" w:space="0" w:color="auto"/>
              <w:right w:val="nil"/>
            </w:tcBorders>
            <w:shd w:val="clear" w:color="auto" w:fill="auto"/>
            <w:noWrap/>
            <w:vAlign w:val="center"/>
            <w:hideMark/>
          </w:tcPr>
          <w:p w14:paraId="1F961B3D" w14:textId="77777777" w:rsidR="002E6EC2" w:rsidRPr="002E6EC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2E6EC2">
              <w:rPr>
                <w:rFonts w:ascii="Arial" w:eastAsia="Times New Roman" w:hAnsi="Arial" w:cs="Arial"/>
                <w:b/>
                <w:bCs/>
                <w:color w:val="000000"/>
                <w:kern w:val="0"/>
                <w:sz w:val="20"/>
                <w:szCs w:val="20"/>
                <w:lang w:val="fr-SN" w:eastAsia="fr-SN"/>
                <w14:ligatures w14:val="none"/>
              </w:rPr>
              <w:t>62,9</w:t>
            </w:r>
          </w:p>
        </w:tc>
      </w:tr>
    </w:tbl>
    <w:p w14:paraId="6F680A9F" w14:textId="77777777" w:rsidR="002E6EC2" w:rsidRPr="002E6EC2" w:rsidRDefault="002E6EC2" w:rsidP="002E6EC2">
      <w:pPr>
        <w:jc w:val="both"/>
        <w:rPr>
          <w:rFonts w:ascii="Arial" w:hAnsi="Arial" w:cs="Arial"/>
          <w:b/>
          <w:bCs/>
        </w:rPr>
      </w:pPr>
    </w:p>
    <w:p w14:paraId="64CF2CF9" w14:textId="0E72F8CC" w:rsidR="00E06861" w:rsidRDefault="002E6EC2" w:rsidP="00E06861">
      <w:pPr>
        <w:pStyle w:val="ListParagraph"/>
        <w:numPr>
          <w:ilvl w:val="1"/>
          <w:numId w:val="1"/>
        </w:numPr>
        <w:jc w:val="both"/>
        <w:rPr>
          <w:rFonts w:ascii="Arial" w:hAnsi="Arial" w:cs="Arial"/>
          <w:b/>
          <w:bCs/>
        </w:rPr>
      </w:pPr>
      <w:r w:rsidRPr="002E6EC2">
        <w:rPr>
          <w:rFonts w:ascii="Arial" w:hAnsi="Arial" w:cs="Arial"/>
          <w:b/>
          <w:bCs/>
        </w:rPr>
        <w:t>Effects of power tillage on soil physical properties</w:t>
      </w:r>
    </w:p>
    <w:p w14:paraId="2698BF20" w14:textId="43422E53" w:rsidR="00E06861" w:rsidRDefault="00E06861" w:rsidP="00E06861">
      <w:pPr>
        <w:pStyle w:val="ListParagraph"/>
        <w:numPr>
          <w:ilvl w:val="2"/>
          <w:numId w:val="1"/>
        </w:numPr>
        <w:jc w:val="both"/>
        <w:rPr>
          <w:rFonts w:ascii="Arial" w:hAnsi="Arial" w:cs="Arial"/>
          <w:b/>
          <w:bCs/>
        </w:rPr>
      </w:pPr>
      <w:r w:rsidRPr="00E06861">
        <w:rPr>
          <w:rFonts w:ascii="Arial" w:hAnsi="Arial" w:cs="Arial"/>
          <w:b/>
          <w:bCs/>
        </w:rPr>
        <w:t>Texture</w:t>
      </w:r>
    </w:p>
    <w:p w14:paraId="30B18A1F" w14:textId="5E038AB3" w:rsidR="00E06861" w:rsidRDefault="00E06861" w:rsidP="00E06861">
      <w:pPr>
        <w:jc w:val="both"/>
        <w:rPr>
          <w:rFonts w:ascii="Arial" w:hAnsi="Arial" w:cs="Arial"/>
          <w:sz w:val="20"/>
          <w:szCs w:val="20"/>
        </w:rPr>
      </w:pPr>
      <w:r w:rsidRPr="00E06861">
        <w:rPr>
          <w:rFonts w:ascii="Arial" w:hAnsi="Arial" w:cs="Arial"/>
          <w:sz w:val="20"/>
          <w:szCs w:val="20"/>
        </w:rPr>
        <w:t xml:space="preserve">The results show that the texture of the Lampsar and Ndiaye mberess sites is clayey (figure </w:t>
      </w:r>
      <w:r>
        <w:rPr>
          <w:rFonts w:ascii="Arial" w:hAnsi="Arial" w:cs="Arial"/>
          <w:sz w:val="20"/>
          <w:szCs w:val="20"/>
        </w:rPr>
        <w:t>8</w:t>
      </w:r>
      <w:r w:rsidRPr="00E06861">
        <w:rPr>
          <w:rFonts w:ascii="Arial" w:hAnsi="Arial" w:cs="Arial"/>
          <w:sz w:val="20"/>
          <w:szCs w:val="20"/>
        </w:rPr>
        <w:t>).</w:t>
      </w:r>
    </w:p>
    <w:p w14:paraId="430A86D1" w14:textId="7B17C280" w:rsidR="00E06861" w:rsidRDefault="00E06861" w:rsidP="00E06861">
      <w:pPr>
        <w:jc w:val="both"/>
        <w:rPr>
          <w:rFonts w:ascii="Arial" w:hAnsi="Arial" w:cs="Arial"/>
          <w:sz w:val="20"/>
          <w:szCs w:val="20"/>
        </w:rPr>
      </w:pPr>
      <w:r w:rsidRPr="00E06861">
        <w:rPr>
          <w:rFonts w:ascii="Calibri" w:eastAsia="Calibri" w:hAnsi="Calibri" w:cs="Times New Roman"/>
          <w:noProof/>
          <w:kern w:val="0"/>
          <w:lang w:val="en-US"/>
          <w14:ligatures w14:val="none"/>
        </w:rPr>
        <w:drawing>
          <wp:inline distT="0" distB="0" distL="0" distR="0" wp14:anchorId="4AA042AC" wp14:editId="012A917C">
            <wp:extent cx="2912807" cy="3044663"/>
            <wp:effectExtent l="19050" t="19050" r="20955" b="228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0219" cy="3073315"/>
                    </a:xfrm>
                    <a:prstGeom prst="rect">
                      <a:avLst/>
                    </a:prstGeom>
                    <a:ln>
                      <a:solidFill>
                        <a:sysClr val="window" lastClr="FFFFFF">
                          <a:lumMod val="85000"/>
                        </a:sysClr>
                      </a:solidFill>
                    </a:ln>
                  </pic:spPr>
                </pic:pic>
              </a:graphicData>
            </a:graphic>
          </wp:inline>
        </w:drawing>
      </w:r>
      <w:r w:rsidRPr="00E06861">
        <w:rPr>
          <w:rFonts w:ascii="Calibri" w:eastAsia="Calibri" w:hAnsi="Calibri" w:cs="Times New Roman"/>
          <w:noProof/>
          <w:kern w:val="0"/>
          <w:lang w:val="en-US"/>
          <w14:ligatures w14:val="none"/>
        </w:rPr>
        <w:drawing>
          <wp:inline distT="0" distB="0" distL="0" distR="0" wp14:anchorId="598DA242" wp14:editId="29969E43">
            <wp:extent cx="2942303" cy="3074336"/>
            <wp:effectExtent l="19050" t="19050" r="10795" b="1206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6605" cy="3099728"/>
                    </a:xfrm>
                    <a:prstGeom prst="rect">
                      <a:avLst/>
                    </a:prstGeom>
                    <a:ln>
                      <a:solidFill>
                        <a:sysClr val="window" lastClr="FFFFFF">
                          <a:lumMod val="85000"/>
                        </a:sysClr>
                      </a:solidFill>
                    </a:ln>
                  </pic:spPr>
                </pic:pic>
              </a:graphicData>
            </a:graphic>
          </wp:inline>
        </w:drawing>
      </w:r>
    </w:p>
    <w:p w14:paraId="13DAD917" w14:textId="77DF006C" w:rsidR="00E06861" w:rsidRPr="00476DC8" w:rsidRDefault="00E06861" w:rsidP="00E06861">
      <w:pPr>
        <w:jc w:val="center"/>
        <w:rPr>
          <w:rFonts w:ascii="Arial" w:hAnsi="Arial" w:cs="Arial"/>
          <w:b/>
          <w:bCs/>
          <w:sz w:val="20"/>
          <w:szCs w:val="20"/>
        </w:rPr>
      </w:pPr>
      <w:r w:rsidRPr="00476DC8">
        <w:rPr>
          <w:rFonts w:ascii="Arial" w:hAnsi="Arial" w:cs="Arial"/>
          <w:b/>
          <w:bCs/>
          <w:sz w:val="20"/>
          <w:szCs w:val="20"/>
        </w:rPr>
        <w:t>Figure 8. Textural diagram by Lampsar (A) and Ndiaye Mberess (B)</w:t>
      </w:r>
    </w:p>
    <w:p w14:paraId="07F16E3B" w14:textId="26D10F31" w:rsidR="00E06861" w:rsidRDefault="00E06861" w:rsidP="00E06861">
      <w:pPr>
        <w:pStyle w:val="ListParagraph"/>
        <w:numPr>
          <w:ilvl w:val="2"/>
          <w:numId w:val="1"/>
        </w:numPr>
        <w:jc w:val="both"/>
        <w:rPr>
          <w:rFonts w:ascii="Arial" w:hAnsi="Arial" w:cs="Arial"/>
          <w:b/>
          <w:bCs/>
        </w:rPr>
      </w:pPr>
      <w:r w:rsidRPr="00E06861">
        <w:rPr>
          <w:rFonts w:ascii="Arial" w:hAnsi="Arial" w:cs="Arial"/>
          <w:b/>
          <w:bCs/>
        </w:rPr>
        <w:t>Structural stability</w:t>
      </w:r>
    </w:p>
    <w:p w14:paraId="5249113C" w14:textId="5D01184A" w:rsidR="00E06861" w:rsidRDefault="00E06861" w:rsidP="00E06861">
      <w:pPr>
        <w:jc w:val="both"/>
        <w:rPr>
          <w:rFonts w:ascii="Arial" w:hAnsi="Arial" w:cs="Arial"/>
          <w:sz w:val="20"/>
          <w:szCs w:val="20"/>
        </w:rPr>
      </w:pPr>
      <w:r w:rsidRPr="00E06861">
        <w:rPr>
          <w:rFonts w:ascii="Arial" w:hAnsi="Arial" w:cs="Arial"/>
          <w:sz w:val="20"/>
          <w:szCs w:val="20"/>
        </w:rPr>
        <w:t xml:space="preserve">Structural stability increases significantly with time (p&lt;2e-16). Structural stability values in both the first and second years of experimentation were significantly (p&lt;2e-16) higher than those recorded in the initial sampling (2.26 at Ndiaye Mberess and 1.5 at Lampsar). There was no significant difference between treatments or between sites (p=0.74). The Lab40 treatment of around 6.3 at the Lampsar site was the most stable in absolute terms (figure </w:t>
      </w:r>
      <w:r>
        <w:rPr>
          <w:rFonts w:ascii="Arial" w:hAnsi="Arial" w:cs="Arial"/>
          <w:sz w:val="20"/>
          <w:szCs w:val="20"/>
        </w:rPr>
        <w:t>9</w:t>
      </w:r>
      <w:r w:rsidRPr="00E06861">
        <w:rPr>
          <w:rFonts w:ascii="Arial" w:hAnsi="Arial" w:cs="Arial"/>
          <w:sz w:val="20"/>
          <w:szCs w:val="20"/>
        </w:rPr>
        <w:t>).</w:t>
      </w:r>
    </w:p>
    <w:p w14:paraId="3E000804" w14:textId="77FF46B8" w:rsidR="00E06861" w:rsidRDefault="00E06861" w:rsidP="00E06861">
      <w:pPr>
        <w:jc w:val="center"/>
        <w:rPr>
          <w:rFonts w:ascii="Arial" w:hAnsi="Arial" w:cs="Arial"/>
          <w:sz w:val="20"/>
          <w:szCs w:val="20"/>
        </w:rPr>
      </w:pPr>
      <w:r>
        <w:rPr>
          <w:noProof/>
        </w:rPr>
        <w:lastRenderedPageBreak/>
        <w:drawing>
          <wp:inline distT="0" distB="0" distL="0" distR="0" wp14:anchorId="1748F07D" wp14:editId="3AA9074E">
            <wp:extent cx="5369368" cy="3008630"/>
            <wp:effectExtent l="0" t="0" r="3175" b="1270"/>
            <wp:docPr id="718073481" name="Graphique 1">
              <a:extLst xmlns:a="http://schemas.openxmlformats.org/drawingml/2006/main">
                <a:ext uri="{FF2B5EF4-FFF2-40B4-BE49-F238E27FC236}">
                  <a16:creationId xmlns:a16="http://schemas.microsoft.com/office/drawing/2014/main" id="{563026E5-A203-3845-08F1-8AF56827B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4EB0AB" w14:textId="54C42A51" w:rsidR="00E06861" w:rsidRPr="00476DC8" w:rsidRDefault="00E06861" w:rsidP="00E06861">
      <w:pPr>
        <w:jc w:val="center"/>
        <w:rPr>
          <w:rFonts w:ascii="Arial" w:hAnsi="Arial" w:cs="Arial"/>
          <w:b/>
          <w:bCs/>
          <w:sz w:val="20"/>
          <w:szCs w:val="20"/>
        </w:rPr>
      </w:pPr>
      <w:r w:rsidRPr="00476DC8">
        <w:rPr>
          <w:rFonts w:ascii="Arial" w:hAnsi="Arial" w:cs="Arial"/>
          <w:b/>
          <w:bCs/>
          <w:sz w:val="20"/>
          <w:szCs w:val="20"/>
        </w:rPr>
        <w:t>Figure 9. Variation in structural stability as a function of treatment, site and sampling period</w:t>
      </w:r>
    </w:p>
    <w:p w14:paraId="32780536" w14:textId="41C9FFC0" w:rsidR="00E06861" w:rsidRDefault="00E06861" w:rsidP="00E06861">
      <w:pPr>
        <w:jc w:val="center"/>
        <w:rPr>
          <w:rFonts w:ascii="Arial" w:hAnsi="Arial" w:cs="Arial"/>
          <w:i/>
          <w:iCs/>
          <w:sz w:val="20"/>
          <w:szCs w:val="20"/>
        </w:rPr>
      </w:pPr>
      <w:bookmarkStart w:id="1" w:name="_Hlk189824313"/>
      <w:r w:rsidRPr="00E06861">
        <w:rPr>
          <w:rFonts w:ascii="Arial" w:hAnsi="Arial" w:cs="Arial"/>
          <w:i/>
          <w:iCs/>
          <w:sz w:val="20"/>
          <w:szCs w:val="20"/>
        </w:rPr>
        <w:t>*Treatments marked with the same letter are not statistically different at the 5% LSD threshold according to Fisher's test.</w:t>
      </w:r>
    </w:p>
    <w:bookmarkEnd w:id="1"/>
    <w:p w14:paraId="489ACFBE" w14:textId="76209751" w:rsidR="00E06861" w:rsidRDefault="00E06861" w:rsidP="00E06861">
      <w:pPr>
        <w:jc w:val="both"/>
        <w:rPr>
          <w:rFonts w:ascii="Arial" w:hAnsi="Arial" w:cs="Arial"/>
          <w:b/>
          <w:bCs/>
        </w:rPr>
      </w:pPr>
      <w:r w:rsidRPr="00E06861">
        <w:rPr>
          <w:rFonts w:ascii="Arial" w:hAnsi="Arial" w:cs="Arial"/>
          <w:b/>
          <w:bCs/>
        </w:rPr>
        <w:t xml:space="preserve">   3.2.3. Apparent density</w:t>
      </w:r>
    </w:p>
    <w:p w14:paraId="272B30FF" w14:textId="421A4E6B" w:rsidR="00E06861" w:rsidRDefault="00E06861" w:rsidP="00E06861">
      <w:pPr>
        <w:jc w:val="both"/>
        <w:rPr>
          <w:rFonts w:ascii="Arial" w:hAnsi="Arial" w:cs="Arial"/>
          <w:sz w:val="20"/>
          <w:szCs w:val="20"/>
        </w:rPr>
      </w:pPr>
      <w:r w:rsidRPr="00E06861">
        <w:rPr>
          <w:rFonts w:ascii="Arial" w:hAnsi="Arial" w:cs="Arial"/>
          <w:sz w:val="20"/>
          <w:szCs w:val="20"/>
        </w:rPr>
        <w:t xml:space="preserve">Figure </w:t>
      </w:r>
      <w:r>
        <w:rPr>
          <w:rFonts w:ascii="Arial" w:hAnsi="Arial" w:cs="Arial"/>
          <w:sz w:val="20"/>
          <w:szCs w:val="20"/>
        </w:rPr>
        <w:t>10</w:t>
      </w:r>
      <w:r w:rsidRPr="00E06861">
        <w:rPr>
          <w:rFonts w:ascii="Arial" w:hAnsi="Arial" w:cs="Arial"/>
          <w:sz w:val="20"/>
          <w:szCs w:val="20"/>
        </w:rPr>
        <w:t xml:space="preserve"> shows that the apparent density varies significantly from one site to another and as a function of time (p&lt;2e-16). There was no significant difference (p=0.57) between treatments. The second-year Off10 treatment at the Lampsar site, with a value of around 1.7 g/cm3, had the highest density in absolute terms. However, the results reveal that the lowest apparent density of around 1.2 g/cm3 in absolute value is noted in the first year of experimentation at the Ndiaye Mberess site for the Off5, Off10 and Lab40 treatments, and at the Lampsar site for the Lab30 and Lab40 treatments.</w:t>
      </w:r>
    </w:p>
    <w:p w14:paraId="4294CE1C" w14:textId="167E98BA" w:rsidR="00E06861" w:rsidRDefault="001A7E5E" w:rsidP="00E06861">
      <w:pPr>
        <w:jc w:val="center"/>
        <w:rPr>
          <w:rFonts w:ascii="Arial" w:hAnsi="Arial" w:cs="Arial"/>
          <w:sz w:val="20"/>
          <w:szCs w:val="20"/>
        </w:rPr>
      </w:pPr>
      <w:r>
        <w:rPr>
          <w:noProof/>
        </w:rPr>
        <w:drawing>
          <wp:inline distT="0" distB="0" distL="0" distR="0" wp14:anchorId="11B5E38D" wp14:editId="5A3F7485">
            <wp:extent cx="5467350" cy="2775098"/>
            <wp:effectExtent l="0" t="0" r="0" b="6350"/>
            <wp:docPr id="1529236570" name="Graphique 1">
              <a:extLst xmlns:a="http://schemas.openxmlformats.org/drawingml/2006/main">
                <a:ext uri="{FF2B5EF4-FFF2-40B4-BE49-F238E27FC236}">
                  <a16:creationId xmlns:a16="http://schemas.microsoft.com/office/drawing/2014/main" id="{D9884A57-C7A4-9B73-F63D-EC1C3AE7E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917CBE" w14:textId="7ACD3996" w:rsidR="00E06861" w:rsidRPr="00476DC8" w:rsidRDefault="00E06861" w:rsidP="00E06861">
      <w:pPr>
        <w:jc w:val="center"/>
        <w:rPr>
          <w:rFonts w:ascii="Arial" w:hAnsi="Arial" w:cs="Arial"/>
          <w:b/>
          <w:bCs/>
          <w:sz w:val="20"/>
          <w:szCs w:val="20"/>
        </w:rPr>
      </w:pPr>
      <w:r w:rsidRPr="00476DC8">
        <w:rPr>
          <w:rFonts w:ascii="Arial" w:hAnsi="Arial" w:cs="Arial"/>
          <w:b/>
          <w:bCs/>
          <w:sz w:val="20"/>
          <w:szCs w:val="20"/>
        </w:rPr>
        <w:t>Figure 10. Variation in bulk density by site, treatment and sampling period</w:t>
      </w:r>
    </w:p>
    <w:p w14:paraId="23732CEF" w14:textId="77777777" w:rsidR="00E06861" w:rsidRPr="00E06861" w:rsidRDefault="00E06861" w:rsidP="00E06861">
      <w:pPr>
        <w:jc w:val="center"/>
        <w:rPr>
          <w:rFonts w:ascii="Arial" w:hAnsi="Arial" w:cs="Arial"/>
          <w:i/>
          <w:iCs/>
          <w:sz w:val="20"/>
          <w:szCs w:val="20"/>
        </w:rPr>
      </w:pPr>
      <w:bookmarkStart w:id="2" w:name="_Hlk189824829"/>
      <w:r w:rsidRPr="00E06861">
        <w:rPr>
          <w:rFonts w:ascii="Arial" w:hAnsi="Arial" w:cs="Arial"/>
          <w:i/>
          <w:iCs/>
          <w:sz w:val="20"/>
          <w:szCs w:val="20"/>
        </w:rPr>
        <w:lastRenderedPageBreak/>
        <w:t>*Treatments marked with the same letter are not statistically different at the 5% LSD threshold according to Fisher's test.</w:t>
      </w:r>
      <w:bookmarkEnd w:id="2"/>
    </w:p>
    <w:p w14:paraId="0E244EC5" w14:textId="431F12F6" w:rsidR="00E06861" w:rsidRDefault="00E06861" w:rsidP="00E06861">
      <w:pPr>
        <w:jc w:val="both"/>
        <w:rPr>
          <w:rFonts w:ascii="Arial" w:hAnsi="Arial" w:cs="Arial"/>
          <w:b/>
          <w:bCs/>
        </w:rPr>
      </w:pPr>
      <w:r w:rsidRPr="001A7E5E">
        <w:rPr>
          <w:rFonts w:ascii="Arial" w:hAnsi="Arial" w:cs="Arial"/>
          <w:b/>
          <w:bCs/>
        </w:rPr>
        <w:t xml:space="preserve">    3.2.4. </w:t>
      </w:r>
      <w:r w:rsidR="001A7E5E" w:rsidRPr="001A7E5E">
        <w:rPr>
          <w:rFonts w:ascii="Arial" w:hAnsi="Arial" w:cs="Arial"/>
          <w:b/>
          <w:bCs/>
        </w:rPr>
        <w:t>Penetration resistance</w:t>
      </w:r>
    </w:p>
    <w:p w14:paraId="1611C7AC" w14:textId="275C7CD8" w:rsidR="001A7E5E" w:rsidRDefault="001A7E5E" w:rsidP="00E06861">
      <w:pPr>
        <w:jc w:val="both"/>
        <w:rPr>
          <w:rFonts w:ascii="Arial" w:hAnsi="Arial" w:cs="Arial"/>
          <w:sz w:val="20"/>
          <w:szCs w:val="20"/>
        </w:rPr>
      </w:pPr>
      <w:r w:rsidRPr="001A7E5E">
        <w:rPr>
          <w:rFonts w:ascii="Arial" w:hAnsi="Arial" w:cs="Arial"/>
          <w:sz w:val="20"/>
          <w:szCs w:val="20"/>
        </w:rPr>
        <w:t xml:space="preserve">Penetration resistance decreases significantly from one period to the next (p&lt; 2e-16) and from one site to the next (p=1.12e-05). Thus, the Lampsar site, whose initial value was 1882.6 N, showed a maximum resistance of around 1200 N (Off5) in the first year, compared with 1110 N (Lab30) in the second year of experimentation. As for the Ndiaye Mberess site, initial penetration resistance was 1695.8 N. Treatments Off15, Lab20, Lab30 and Lab40, with a resistance value of around 1100 N, had the highest absolute resistance in the first year. In the second year of experimentation, Lab20 (1000 N) had the highest penetration value on this site. However, no significant difference was observed between treatments (p=0.73). On the other hand, the Off5 treatment at Ndiaye Mberess in the second year had the lowest penetration resistance (750 N) (figure </w:t>
      </w:r>
      <w:r>
        <w:rPr>
          <w:rFonts w:ascii="Arial" w:hAnsi="Arial" w:cs="Arial"/>
          <w:sz w:val="20"/>
          <w:szCs w:val="20"/>
        </w:rPr>
        <w:t>11</w:t>
      </w:r>
      <w:r w:rsidRPr="001A7E5E">
        <w:rPr>
          <w:rFonts w:ascii="Arial" w:hAnsi="Arial" w:cs="Arial"/>
          <w:sz w:val="20"/>
          <w:szCs w:val="20"/>
        </w:rPr>
        <w:t>).</w:t>
      </w:r>
    </w:p>
    <w:p w14:paraId="713D005A" w14:textId="2144D42B" w:rsidR="001A7E5E" w:rsidRDefault="001A7E5E" w:rsidP="001A7E5E">
      <w:pPr>
        <w:jc w:val="center"/>
        <w:rPr>
          <w:rFonts w:ascii="Arial" w:hAnsi="Arial" w:cs="Arial"/>
          <w:sz w:val="20"/>
          <w:szCs w:val="20"/>
        </w:rPr>
      </w:pPr>
      <w:r>
        <w:rPr>
          <w:noProof/>
        </w:rPr>
        <w:drawing>
          <wp:inline distT="0" distB="0" distL="0" distR="0" wp14:anchorId="688C3EAD" wp14:editId="614642D3">
            <wp:extent cx="5172075" cy="2857500"/>
            <wp:effectExtent l="0" t="0" r="9525" b="0"/>
            <wp:docPr id="11667839" name="Graphique 1">
              <a:extLst xmlns:a="http://schemas.openxmlformats.org/drawingml/2006/main">
                <a:ext uri="{FF2B5EF4-FFF2-40B4-BE49-F238E27FC236}">
                  <a16:creationId xmlns:a16="http://schemas.microsoft.com/office/drawing/2014/main" id="{608AD2DC-1FF2-3E3D-E330-13FAD237D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D51117" w14:textId="289A1CAE" w:rsidR="001A7E5E" w:rsidRPr="00476DC8" w:rsidRDefault="001A7E5E" w:rsidP="001A7E5E">
      <w:pPr>
        <w:jc w:val="center"/>
        <w:rPr>
          <w:rFonts w:ascii="Arial" w:hAnsi="Arial" w:cs="Arial"/>
          <w:b/>
          <w:bCs/>
          <w:sz w:val="20"/>
          <w:szCs w:val="20"/>
        </w:rPr>
      </w:pPr>
      <w:r w:rsidRPr="00476DC8">
        <w:rPr>
          <w:rFonts w:ascii="Arial" w:hAnsi="Arial" w:cs="Arial"/>
          <w:b/>
          <w:bCs/>
          <w:sz w:val="20"/>
          <w:szCs w:val="20"/>
        </w:rPr>
        <w:t>Figure 11. Variation in Penetration Resistance as a function of treatment, site and sampling period</w:t>
      </w:r>
    </w:p>
    <w:p w14:paraId="06C4164A" w14:textId="0DAD4486" w:rsidR="001A7E5E" w:rsidRDefault="001A7E5E" w:rsidP="001A7E5E">
      <w:pPr>
        <w:jc w:val="center"/>
        <w:rPr>
          <w:rFonts w:ascii="Arial" w:hAnsi="Arial" w:cs="Arial"/>
          <w:sz w:val="20"/>
          <w:szCs w:val="20"/>
        </w:rPr>
      </w:pPr>
      <w:r w:rsidRPr="00E06861">
        <w:rPr>
          <w:rFonts w:ascii="Arial" w:hAnsi="Arial" w:cs="Arial"/>
          <w:i/>
          <w:iCs/>
          <w:sz w:val="20"/>
          <w:szCs w:val="20"/>
        </w:rPr>
        <w:t>*Treatments marked with the same letter are not statistically different at the 5% LSD threshold according to Fisher's test.</w:t>
      </w:r>
    </w:p>
    <w:p w14:paraId="483879FC" w14:textId="1D4385EE" w:rsidR="001A7E5E" w:rsidRDefault="001A7E5E" w:rsidP="001A7E5E">
      <w:pPr>
        <w:jc w:val="both"/>
        <w:rPr>
          <w:rFonts w:ascii="Arial" w:hAnsi="Arial" w:cs="Arial"/>
          <w:b/>
          <w:bCs/>
        </w:rPr>
      </w:pPr>
      <w:r>
        <w:rPr>
          <w:rFonts w:ascii="Arial" w:hAnsi="Arial" w:cs="Arial"/>
          <w:sz w:val="20"/>
          <w:szCs w:val="20"/>
        </w:rPr>
        <w:t xml:space="preserve">      </w:t>
      </w:r>
      <w:r w:rsidRPr="001A7E5E">
        <w:rPr>
          <w:rFonts w:ascii="Arial" w:hAnsi="Arial" w:cs="Arial"/>
          <w:b/>
          <w:bCs/>
        </w:rPr>
        <w:t>3.2.5. Hydraulic conductivity</w:t>
      </w:r>
    </w:p>
    <w:p w14:paraId="17AA2807" w14:textId="08B09348" w:rsidR="001A7E5E" w:rsidRDefault="001A7E5E" w:rsidP="001A7E5E">
      <w:pPr>
        <w:jc w:val="both"/>
        <w:rPr>
          <w:rFonts w:ascii="Arial" w:hAnsi="Arial" w:cs="Arial"/>
          <w:sz w:val="20"/>
          <w:szCs w:val="20"/>
        </w:rPr>
      </w:pPr>
      <w:r w:rsidRPr="001A7E5E">
        <w:rPr>
          <w:rFonts w:ascii="Arial" w:hAnsi="Arial" w:cs="Arial"/>
          <w:sz w:val="20"/>
          <w:szCs w:val="20"/>
        </w:rPr>
        <w:t xml:space="preserve">Analysis of figure </w:t>
      </w:r>
      <w:r>
        <w:rPr>
          <w:rFonts w:ascii="Arial" w:hAnsi="Arial" w:cs="Arial"/>
          <w:sz w:val="20"/>
          <w:szCs w:val="20"/>
        </w:rPr>
        <w:t>12</w:t>
      </w:r>
      <w:r w:rsidRPr="001A7E5E">
        <w:rPr>
          <w:rFonts w:ascii="Arial" w:hAnsi="Arial" w:cs="Arial"/>
          <w:sz w:val="20"/>
          <w:szCs w:val="20"/>
        </w:rPr>
        <w:t xml:space="preserve"> shows that hydraulic conductivity varies significantly according to site and experimental period (p&lt;2e-16). No significant difference between treatments (p=0.07). The Lab30 treatment at the Lampsar site, with a value of 1.72 E-5 m/s in the first year of experimentation, had the highest conductivity. On the other hand, the lowest conductivity of around 2.42 E-6m/s was recorded in the second year at the Ndiaye Mberess site on the Off15 treatment.  It should also be noted that not only did the soils at the Lampsar experimental site have a higher conductivity than those at Ndiaye Mberss, but this parameter, whose initial state at Lampsar and Ndiaye Mberess was around 6e-04 m/s and 4e-04 m/s respectively, decreased from one year to the next, from 1.72 E-5m/s in year 1 to 5 E-6m/s in year 2 of the Lampsar experiment, and from around 5 E-6 m/s in year 1 to 2.42 E-6 m/s in year 2 at the Ndiaye Mberess site.  </w:t>
      </w:r>
    </w:p>
    <w:p w14:paraId="4D7F7457" w14:textId="76B8CB0B" w:rsidR="001A7E5E" w:rsidRDefault="001A7E5E" w:rsidP="001A7E5E">
      <w:pPr>
        <w:jc w:val="both"/>
        <w:rPr>
          <w:rFonts w:ascii="Arial" w:hAnsi="Arial" w:cs="Arial"/>
          <w:sz w:val="20"/>
          <w:szCs w:val="20"/>
        </w:rPr>
      </w:pPr>
      <w:r>
        <w:rPr>
          <w:noProof/>
        </w:rPr>
        <w:lastRenderedPageBreak/>
        <w:drawing>
          <wp:inline distT="0" distB="0" distL="0" distR="0" wp14:anchorId="2A525910" wp14:editId="331958BD">
            <wp:extent cx="5772151" cy="3252788"/>
            <wp:effectExtent l="0" t="0" r="0" b="5080"/>
            <wp:docPr id="1571720779" name="Graphique 1">
              <a:extLst xmlns:a="http://schemas.openxmlformats.org/drawingml/2006/main">
                <a:ext uri="{FF2B5EF4-FFF2-40B4-BE49-F238E27FC236}">
                  <a16:creationId xmlns:a16="http://schemas.microsoft.com/office/drawing/2014/main" id="{0EEC91E8-2D8E-A914-E697-E739CC07A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EE0F00" w14:textId="5E89D256" w:rsidR="001A7E5E" w:rsidRDefault="001A7E5E" w:rsidP="00476DC8">
      <w:pPr>
        <w:jc w:val="center"/>
        <w:rPr>
          <w:rFonts w:ascii="Arial" w:hAnsi="Arial" w:cs="Arial"/>
          <w:b/>
          <w:bCs/>
          <w:sz w:val="20"/>
          <w:szCs w:val="20"/>
        </w:rPr>
      </w:pPr>
      <w:r w:rsidRPr="00476DC8">
        <w:rPr>
          <w:rFonts w:ascii="Arial" w:hAnsi="Arial" w:cs="Arial"/>
          <w:b/>
          <w:bCs/>
          <w:sz w:val="20"/>
          <w:szCs w:val="20"/>
        </w:rPr>
        <w:t xml:space="preserve">Figure 12. </w:t>
      </w:r>
      <w:r w:rsidR="00476DC8" w:rsidRPr="00476DC8">
        <w:rPr>
          <w:rFonts w:ascii="Arial" w:hAnsi="Arial" w:cs="Arial"/>
          <w:b/>
          <w:bCs/>
          <w:sz w:val="20"/>
          <w:szCs w:val="20"/>
        </w:rPr>
        <w:t>Variation in hydraulic conductivity by site, treatment and sampling period</w:t>
      </w:r>
    </w:p>
    <w:p w14:paraId="3BDEF825" w14:textId="77777777" w:rsidR="00476DC8" w:rsidRPr="00476DC8" w:rsidRDefault="00476DC8" w:rsidP="00476DC8">
      <w:pPr>
        <w:jc w:val="center"/>
        <w:rPr>
          <w:rFonts w:ascii="Arial" w:hAnsi="Arial" w:cs="Arial"/>
          <w:sz w:val="20"/>
          <w:szCs w:val="20"/>
        </w:rPr>
      </w:pPr>
      <w:bookmarkStart w:id="3" w:name="_Hlk190331969"/>
      <w:r w:rsidRPr="00476DC8">
        <w:rPr>
          <w:rFonts w:ascii="Arial" w:hAnsi="Arial" w:cs="Arial"/>
          <w:i/>
          <w:iCs/>
          <w:sz w:val="20"/>
          <w:szCs w:val="20"/>
        </w:rPr>
        <w:t>*Treatments marked with the same letter are not statistically different at the 5% LSD threshold according to Fisher's test.</w:t>
      </w:r>
    </w:p>
    <w:bookmarkEnd w:id="3"/>
    <w:p w14:paraId="247872F5" w14:textId="55D9C0CD" w:rsidR="00476DC8" w:rsidRDefault="00476DC8" w:rsidP="00476DC8">
      <w:pPr>
        <w:jc w:val="both"/>
        <w:rPr>
          <w:rFonts w:ascii="Arial" w:hAnsi="Arial" w:cs="Arial"/>
          <w:b/>
          <w:bCs/>
        </w:rPr>
      </w:pPr>
      <w:r>
        <w:rPr>
          <w:rFonts w:ascii="Arial" w:hAnsi="Arial" w:cs="Arial"/>
          <w:b/>
          <w:bCs/>
        </w:rPr>
        <w:t xml:space="preserve">    </w:t>
      </w:r>
      <w:r w:rsidRPr="00476DC8">
        <w:rPr>
          <w:rFonts w:ascii="Arial" w:hAnsi="Arial" w:cs="Arial"/>
          <w:b/>
          <w:bCs/>
        </w:rPr>
        <w:t xml:space="preserve">3.3.  Effects of power tillage on soil chemical properties </w:t>
      </w:r>
    </w:p>
    <w:p w14:paraId="34BCD279" w14:textId="09D88EC1" w:rsidR="00476DC8" w:rsidRDefault="00476DC8" w:rsidP="00476DC8">
      <w:pPr>
        <w:jc w:val="both"/>
        <w:rPr>
          <w:rFonts w:ascii="Arial" w:hAnsi="Arial" w:cs="Arial"/>
          <w:b/>
          <w:bCs/>
        </w:rPr>
      </w:pPr>
      <w:r>
        <w:rPr>
          <w:rFonts w:ascii="Arial" w:hAnsi="Arial" w:cs="Arial"/>
          <w:b/>
          <w:bCs/>
        </w:rPr>
        <w:t xml:space="preserve">    3.3.1. </w:t>
      </w:r>
      <w:r w:rsidRPr="00476DC8">
        <w:rPr>
          <w:rFonts w:ascii="Arial" w:hAnsi="Arial" w:cs="Arial"/>
          <w:b/>
          <w:bCs/>
        </w:rPr>
        <w:t>Hydrogen potential (pH)</w:t>
      </w:r>
    </w:p>
    <w:p w14:paraId="3277ED86" w14:textId="700951A6" w:rsidR="00476DC8" w:rsidRDefault="00BF3D24" w:rsidP="00476DC8">
      <w:pPr>
        <w:jc w:val="both"/>
        <w:rPr>
          <w:rFonts w:ascii="Arial" w:hAnsi="Arial" w:cs="Arial"/>
          <w:sz w:val="20"/>
          <w:szCs w:val="20"/>
        </w:rPr>
      </w:pPr>
      <w:r w:rsidRPr="00BF3D24">
        <w:rPr>
          <w:rFonts w:ascii="Arial" w:hAnsi="Arial" w:cs="Arial"/>
          <w:sz w:val="20"/>
          <w:szCs w:val="20"/>
        </w:rPr>
        <w:t xml:space="preserve">The results show that there was no significant difference between treatments (p=0.09). However, a significant difference was noted between the Lampsar and Ndiaye Mberess sites (p=4e-05), as well as between experimental years (p&lt; 2e-16) </w:t>
      </w:r>
      <w:r w:rsidRPr="008C39BE">
        <w:rPr>
          <w:rFonts w:ascii="Arial" w:hAnsi="Arial" w:cs="Arial"/>
          <w:sz w:val="20"/>
          <w:szCs w:val="20"/>
        </w:rPr>
        <w:t xml:space="preserve">(table </w:t>
      </w:r>
      <w:r w:rsidR="008C39BE" w:rsidRPr="008C39BE">
        <w:rPr>
          <w:rFonts w:ascii="Arial" w:hAnsi="Arial" w:cs="Arial"/>
          <w:sz w:val="20"/>
          <w:szCs w:val="20"/>
        </w:rPr>
        <w:t>6</w:t>
      </w:r>
      <w:r w:rsidRPr="008C39BE">
        <w:rPr>
          <w:rFonts w:ascii="Arial" w:hAnsi="Arial" w:cs="Arial"/>
          <w:sz w:val="20"/>
          <w:szCs w:val="20"/>
        </w:rPr>
        <w:t>).</w:t>
      </w:r>
    </w:p>
    <w:p w14:paraId="5BE93490" w14:textId="449720C0" w:rsidR="00BF3D24" w:rsidRDefault="00BF3D24" w:rsidP="00476DC8">
      <w:pPr>
        <w:jc w:val="both"/>
        <w:rPr>
          <w:rFonts w:ascii="Arial" w:hAnsi="Arial" w:cs="Arial"/>
          <w:b/>
          <w:bCs/>
        </w:rPr>
      </w:pPr>
      <w:r w:rsidRPr="00BF3D24">
        <w:rPr>
          <w:rFonts w:ascii="Arial" w:hAnsi="Arial" w:cs="Arial"/>
          <w:b/>
          <w:bCs/>
        </w:rPr>
        <w:t xml:space="preserve">    3.3.2. Electrical Conductivity (EC)</w:t>
      </w:r>
    </w:p>
    <w:p w14:paraId="5AD30E0C" w14:textId="59B9DA04" w:rsidR="00BF3D24" w:rsidRDefault="00BF3D24" w:rsidP="00476DC8">
      <w:pPr>
        <w:jc w:val="both"/>
        <w:rPr>
          <w:rFonts w:ascii="Arial" w:hAnsi="Arial" w:cs="Arial"/>
          <w:sz w:val="20"/>
          <w:szCs w:val="20"/>
        </w:rPr>
      </w:pPr>
      <w:r w:rsidRPr="00BF3D24">
        <w:rPr>
          <w:rFonts w:ascii="Arial" w:hAnsi="Arial" w:cs="Arial"/>
          <w:sz w:val="20"/>
          <w:szCs w:val="20"/>
        </w:rPr>
        <w:t xml:space="preserve">Electrical conductivity varies significantly between sites (p= 2e-09), and between years (p= 0.001). The highest value was recorded at the Ndiaye Mberess site (1352.5 µs/cm) and at the Lab40 treatment site, with a value equal to 154.4 µs/cm </w:t>
      </w:r>
      <w:r w:rsidRPr="008C39BE">
        <w:rPr>
          <w:rFonts w:ascii="Arial" w:hAnsi="Arial" w:cs="Arial"/>
          <w:sz w:val="20"/>
          <w:szCs w:val="20"/>
        </w:rPr>
        <w:t xml:space="preserve">(Table </w:t>
      </w:r>
      <w:r w:rsidR="008C39BE" w:rsidRPr="008C39BE">
        <w:rPr>
          <w:rFonts w:ascii="Arial" w:hAnsi="Arial" w:cs="Arial"/>
          <w:sz w:val="20"/>
          <w:szCs w:val="20"/>
        </w:rPr>
        <w:t>6</w:t>
      </w:r>
      <w:r w:rsidRPr="008C39BE">
        <w:rPr>
          <w:rFonts w:ascii="Arial" w:hAnsi="Arial" w:cs="Arial"/>
          <w:sz w:val="20"/>
          <w:szCs w:val="20"/>
        </w:rPr>
        <w:t>).</w:t>
      </w:r>
    </w:p>
    <w:p w14:paraId="78BD03DE" w14:textId="139428F3" w:rsidR="00BF3D24" w:rsidRDefault="00BF3D24" w:rsidP="00476DC8">
      <w:pPr>
        <w:jc w:val="both"/>
        <w:rPr>
          <w:rFonts w:ascii="Arial" w:hAnsi="Arial" w:cs="Arial"/>
          <w:b/>
          <w:bCs/>
        </w:rPr>
      </w:pPr>
      <w:r w:rsidRPr="00BF3D24">
        <w:rPr>
          <w:rFonts w:ascii="Arial" w:hAnsi="Arial" w:cs="Arial"/>
          <w:b/>
          <w:bCs/>
        </w:rPr>
        <w:t xml:space="preserve">    3.3.3. Carbon (C)</w:t>
      </w:r>
    </w:p>
    <w:p w14:paraId="4826FE7D" w14:textId="28DA6F10" w:rsidR="00BF3D24" w:rsidRDefault="00BF3D24" w:rsidP="00476DC8">
      <w:pPr>
        <w:jc w:val="both"/>
        <w:rPr>
          <w:rFonts w:ascii="Arial" w:hAnsi="Arial" w:cs="Arial"/>
          <w:sz w:val="20"/>
          <w:szCs w:val="20"/>
        </w:rPr>
      </w:pPr>
      <w:r w:rsidRPr="00BF3D24">
        <w:rPr>
          <w:rFonts w:ascii="Arial" w:hAnsi="Arial" w:cs="Arial"/>
          <w:sz w:val="20"/>
          <w:szCs w:val="20"/>
        </w:rPr>
        <w:t xml:space="preserve">Carbon content is plotted against site, experimental year and treatment. The results show that carbon content varies not only between sites (p=0.003) but also between years (p=0.04) and treatments (p=0.004). The highest content was observed in the second year of experimentation on the Lab20 treatment (1.09%) at the Lampsar site. Similarly, data analysis showed a significant difference between sites and treatments (p= 0.012) and between site and year (p=5e-07). However, no significant differences were observed between year and treatment (p=0.4) or between site, year and treatment (p=0.6) </w:t>
      </w:r>
      <w:r w:rsidRPr="008C39BE">
        <w:rPr>
          <w:rFonts w:ascii="Arial" w:hAnsi="Arial" w:cs="Arial"/>
          <w:sz w:val="20"/>
          <w:szCs w:val="20"/>
        </w:rPr>
        <w:t xml:space="preserve">(table </w:t>
      </w:r>
      <w:r w:rsidR="008C39BE" w:rsidRPr="008C39BE">
        <w:rPr>
          <w:rFonts w:ascii="Arial" w:hAnsi="Arial" w:cs="Arial"/>
          <w:sz w:val="20"/>
          <w:szCs w:val="20"/>
        </w:rPr>
        <w:t>6</w:t>
      </w:r>
      <w:r w:rsidRPr="008C39BE">
        <w:rPr>
          <w:rFonts w:ascii="Arial" w:hAnsi="Arial" w:cs="Arial"/>
          <w:sz w:val="20"/>
          <w:szCs w:val="20"/>
        </w:rPr>
        <w:t>).</w:t>
      </w:r>
    </w:p>
    <w:p w14:paraId="3C5F34CF" w14:textId="572BA1A8" w:rsidR="00BF3D24" w:rsidRDefault="00BF3D24" w:rsidP="00476DC8">
      <w:pPr>
        <w:jc w:val="both"/>
        <w:rPr>
          <w:rFonts w:ascii="Arial" w:hAnsi="Arial" w:cs="Arial"/>
          <w:b/>
          <w:bCs/>
        </w:rPr>
      </w:pPr>
      <w:r w:rsidRPr="00BF3D24">
        <w:rPr>
          <w:rFonts w:ascii="Arial" w:hAnsi="Arial" w:cs="Arial"/>
          <w:b/>
          <w:bCs/>
        </w:rPr>
        <w:t xml:space="preserve">     3.3.4. Organic Matter (OM)</w:t>
      </w:r>
    </w:p>
    <w:p w14:paraId="229458F5" w14:textId="5D4B18AE" w:rsidR="00BF3D24" w:rsidRDefault="00BF3D24" w:rsidP="00476DC8">
      <w:pPr>
        <w:jc w:val="both"/>
        <w:rPr>
          <w:rFonts w:ascii="Arial" w:hAnsi="Arial" w:cs="Arial"/>
          <w:sz w:val="20"/>
          <w:szCs w:val="20"/>
        </w:rPr>
      </w:pPr>
      <w:r w:rsidRPr="00BF3D24">
        <w:rPr>
          <w:rFonts w:ascii="Arial" w:hAnsi="Arial" w:cs="Arial"/>
          <w:sz w:val="20"/>
          <w:szCs w:val="20"/>
        </w:rPr>
        <w:t xml:space="preserve">Analysis of </w:t>
      </w:r>
      <w:r w:rsidRPr="00FB3FC1">
        <w:rPr>
          <w:rFonts w:ascii="Arial" w:hAnsi="Arial" w:cs="Arial"/>
          <w:sz w:val="20"/>
          <w:szCs w:val="20"/>
        </w:rPr>
        <w:t>figure 1</w:t>
      </w:r>
      <w:r>
        <w:rPr>
          <w:rFonts w:ascii="Arial" w:hAnsi="Arial" w:cs="Arial"/>
          <w:sz w:val="20"/>
          <w:szCs w:val="20"/>
        </w:rPr>
        <w:t>3</w:t>
      </w:r>
      <w:r w:rsidRPr="00BF3D24">
        <w:rPr>
          <w:rFonts w:ascii="Arial" w:hAnsi="Arial" w:cs="Arial"/>
          <w:sz w:val="20"/>
          <w:szCs w:val="20"/>
        </w:rPr>
        <w:t xml:space="preserve"> reveals that organic matter increases significantly from one site to another (p=5e-09) and from one period to another (p&lt; 2e-16). On both experimental sites, organic matter on all treatments was higher than the initial amount, which was 0.7% for Lampsar and 1.01% for the Ndiaye Mberess site. However, there was no significant difference between treatments (p=0.12). The Lab20 treatment at the </w:t>
      </w:r>
      <w:r w:rsidRPr="00BF3D24">
        <w:rPr>
          <w:rFonts w:ascii="Arial" w:hAnsi="Arial" w:cs="Arial"/>
          <w:sz w:val="20"/>
          <w:szCs w:val="20"/>
        </w:rPr>
        <w:lastRenderedPageBreak/>
        <w:t>Ndiaye Mberess site, with an organic matter content of around 2.5% in the second year of experimentation, had the highest organic matter content. The lowest amount of organic matter was observed in the first year on the Lab30 treatment (1.1%) at the Lampsar site.</w:t>
      </w:r>
    </w:p>
    <w:p w14:paraId="4394D881" w14:textId="71C50541" w:rsidR="00BF3D24" w:rsidRDefault="00BF3D24" w:rsidP="00BF3D24">
      <w:pPr>
        <w:jc w:val="center"/>
        <w:rPr>
          <w:rFonts w:ascii="Arial" w:hAnsi="Arial" w:cs="Arial"/>
          <w:sz w:val="20"/>
          <w:szCs w:val="20"/>
        </w:rPr>
      </w:pPr>
      <w:r>
        <w:rPr>
          <w:noProof/>
        </w:rPr>
        <w:drawing>
          <wp:inline distT="0" distB="0" distL="0" distR="0" wp14:anchorId="2E678573" wp14:editId="177CC68C">
            <wp:extent cx="5543550" cy="3381375"/>
            <wp:effectExtent l="0" t="0" r="0" b="9525"/>
            <wp:docPr id="468525492" name="Graphique 1">
              <a:extLst xmlns:a="http://schemas.openxmlformats.org/drawingml/2006/main">
                <a:ext uri="{FF2B5EF4-FFF2-40B4-BE49-F238E27FC236}">
                  <a16:creationId xmlns:a16="http://schemas.microsoft.com/office/drawing/2014/main" id="{93B95AEF-2460-79BB-1DC1-1EED5C417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1023C2" w14:textId="51D73554" w:rsidR="00BF3D24" w:rsidRDefault="00FB3FC1" w:rsidP="00BF3D24">
      <w:pPr>
        <w:jc w:val="center"/>
        <w:rPr>
          <w:rFonts w:ascii="Arial" w:hAnsi="Arial" w:cs="Arial"/>
          <w:sz w:val="20"/>
          <w:szCs w:val="20"/>
        </w:rPr>
      </w:pPr>
      <w:r w:rsidRPr="008C39BE">
        <w:rPr>
          <w:rFonts w:ascii="Arial" w:hAnsi="Arial" w:cs="Arial"/>
          <w:b/>
          <w:bCs/>
          <w:sz w:val="20"/>
          <w:szCs w:val="20"/>
        </w:rPr>
        <w:t>Figure 13.</w:t>
      </w:r>
      <w:r>
        <w:rPr>
          <w:rFonts w:ascii="Arial" w:hAnsi="Arial" w:cs="Arial"/>
          <w:sz w:val="20"/>
          <w:szCs w:val="20"/>
        </w:rPr>
        <w:t xml:space="preserve"> </w:t>
      </w:r>
      <w:r w:rsidRPr="00FB3FC1">
        <w:rPr>
          <w:rFonts w:ascii="Arial" w:hAnsi="Arial" w:cs="Arial"/>
          <w:sz w:val="20"/>
          <w:szCs w:val="20"/>
        </w:rPr>
        <w:t>Variation in organic matter as a function of treatment, site and sampling period</w:t>
      </w:r>
    </w:p>
    <w:p w14:paraId="0AC59A07" w14:textId="77777777" w:rsidR="00FB3FC1" w:rsidRPr="00476DC8" w:rsidRDefault="00FB3FC1" w:rsidP="00FB3FC1">
      <w:pPr>
        <w:jc w:val="center"/>
        <w:rPr>
          <w:rFonts w:ascii="Arial" w:hAnsi="Arial" w:cs="Arial"/>
          <w:sz w:val="20"/>
          <w:szCs w:val="20"/>
        </w:rPr>
      </w:pPr>
      <w:r w:rsidRPr="00476DC8">
        <w:rPr>
          <w:rFonts w:ascii="Arial" w:hAnsi="Arial" w:cs="Arial"/>
          <w:i/>
          <w:iCs/>
          <w:sz w:val="20"/>
          <w:szCs w:val="20"/>
        </w:rPr>
        <w:t>*Treatments marked with the same letter are not statistically different at the 5% LSD threshold according to Fisher's test.</w:t>
      </w:r>
    </w:p>
    <w:p w14:paraId="6A147617" w14:textId="77D3778D" w:rsidR="00FB3FC1" w:rsidRDefault="00FB3FC1" w:rsidP="00FB3FC1">
      <w:pPr>
        <w:jc w:val="both"/>
        <w:rPr>
          <w:rFonts w:ascii="Arial" w:hAnsi="Arial" w:cs="Arial"/>
          <w:b/>
          <w:bCs/>
        </w:rPr>
      </w:pPr>
      <w:r>
        <w:rPr>
          <w:rFonts w:ascii="Arial" w:hAnsi="Arial" w:cs="Arial"/>
          <w:b/>
          <w:bCs/>
        </w:rPr>
        <w:t xml:space="preserve">         </w:t>
      </w:r>
      <w:r w:rsidRPr="00FB3FC1">
        <w:rPr>
          <w:rFonts w:ascii="Arial" w:hAnsi="Arial" w:cs="Arial"/>
          <w:b/>
          <w:bCs/>
        </w:rPr>
        <w:t>3.3.5. Nitrogen N</w:t>
      </w:r>
    </w:p>
    <w:p w14:paraId="03A8BACC" w14:textId="56B27990" w:rsidR="00FB3FC1" w:rsidRDefault="00FB3FC1" w:rsidP="00FB3FC1">
      <w:pPr>
        <w:jc w:val="both"/>
        <w:rPr>
          <w:rFonts w:ascii="Arial" w:hAnsi="Arial" w:cs="Arial"/>
          <w:sz w:val="20"/>
          <w:szCs w:val="20"/>
        </w:rPr>
      </w:pPr>
      <w:r w:rsidRPr="00FB3FC1">
        <w:rPr>
          <w:rFonts w:ascii="Arial" w:hAnsi="Arial" w:cs="Arial"/>
          <w:sz w:val="20"/>
          <w:szCs w:val="20"/>
        </w:rPr>
        <w:t xml:space="preserve">Analysis of the data showed that nitrogen levels varied between sites (p=2e-05) and between experimental years (p=9e-11). There were no significant differences not only between treatments (p=0.98) but also between sites, years and treatments (p=0.94=). The amount of nitrogen was higher in year 2 of experimentation at the Lampsar site for treatments Off15 and Lab20, Lab30 and Lab40 respectively 0.08 and 0.07% </w:t>
      </w:r>
      <w:r w:rsidRPr="008C39BE">
        <w:rPr>
          <w:rFonts w:ascii="Arial" w:hAnsi="Arial" w:cs="Arial"/>
          <w:sz w:val="20"/>
          <w:szCs w:val="20"/>
        </w:rPr>
        <w:t xml:space="preserve">(table </w:t>
      </w:r>
      <w:r w:rsidR="008C39BE" w:rsidRPr="008C39BE">
        <w:rPr>
          <w:rFonts w:ascii="Arial" w:hAnsi="Arial" w:cs="Arial"/>
          <w:sz w:val="20"/>
          <w:szCs w:val="20"/>
        </w:rPr>
        <w:t>6</w:t>
      </w:r>
      <w:r w:rsidRPr="008C39BE">
        <w:rPr>
          <w:rFonts w:ascii="Arial" w:hAnsi="Arial" w:cs="Arial"/>
          <w:sz w:val="20"/>
          <w:szCs w:val="20"/>
        </w:rPr>
        <w:t>).</w:t>
      </w:r>
    </w:p>
    <w:p w14:paraId="6FAC16C2" w14:textId="4B71A133" w:rsidR="00FB3FC1" w:rsidRDefault="00FB3FC1" w:rsidP="00FB3FC1">
      <w:pPr>
        <w:jc w:val="both"/>
        <w:rPr>
          <w:rFonts w:ascii="Arial" w:hAnsi="Arial" w:cs="Arial"/>
          <w:b/>
          <w:bCs/>
        </w:rPr>
      </w:pPr>
      <w:r>
        <w:rPr>
          <w:rFonts w:ascii="Arial" w:hAnsi="Arial" w:cs="Arial"/>
          <w:sz w:val="20"/>
          <w:szCs w:val="20"/>
        </w:rPr>
        <w:t xml:space="preserve">          </w:t>
      </w:r>
      <w:r w:rsidRPr="00FB3FC1">
        <w:rPr>
          <w:rFonts w:ascii="Arial" w:hAnsi="Arial" w:cs="Arial"/>
          <w:b/>
          <w:bCs/>
        </w:rPr>
        <w:t>3.3.6. C/N ratio</w:t>
      </w:r>
    </w:p>
    <w:p w14:paraId="3F4157A4" w14:textId="7B9FB6A1" w:rsidR="00FB3FC1" w:rsidRDefault="00FB3FC1" w:rsidP="00FB3FC1">
      <w:pPr>
        <w:jc w:val="both"/>
        <w:rPr>
          <w:rFonts w:ascii="Arial" w:hAnsi="Arial" w:cs="Arial"/>
          <w:sz w:val="20"/>
          <w:szCs w:val="20"/>
        </w:rPr>
      </w:pPr>
      <w:r w:rsidRPr="00FB3FC1">
        <w:rPr>
          <w:rFonts w:ascii="Arial" w:hAnsi="Arial" w:cs="Arial"/>
          <w:sz w:val="20"/>
          <w:szCs w:val="20"/>
        </w:rPr>
        <w:t xml:space="preserve">Figure </w:t>
      </w:r>
      <w:r>
        <w:rPr>
          <w:rFonts w:ascii="Arial" w:hAnsi="Arial" w:cs="Arial"/>
          <w:sz w:val="20"/>
          <w:szCs w:val="20"/>
        </w:rPr>
        <w:t>1</w:t>
      </w:r>
      <w:r w:rsidRPr="00FB3FC1">
        <w:rPr>
          <w:rFonts w:ascii="Arial" w:hAnsi="Arial" w:cs="Arial"/>
          <w:sz w:val="20"/>
          <w:szCs w:val="20"/>
        </w:rPr>
        <w:t>4 shows a significant difference between the Lampsar and Ndiaye Mberress sites (p=4e-06), as well as between experimental years (p=4e-07). However, according to the results obtained, no significant difference was noted between treatments (p=0.76). The highest C/N ratio was noted at the Ndiaye Mberess site for the Off15 treatment (20%) in the second year.</w:t>
      </w:r>
    </w:p>
    <w:p w14:paraId="3F0DD3B4" w14:textId="18C8F15D" w:rsidR="00FB3FC1" w:rsidRDefault="00FB3FC1" w:rsidP="00FB3FC1">
      <w:pPr>
        <w:jc w:val="center"/>
        <w:rPr>
          <w:rFonts w:ascii="Arial" w:hAnsi="Arial" w:cs="Arial"/>
          <w:sz w:val="20"/>
          <w:szCs w:val="20"/>
        </w:rPr>
      </w:pPr>
      <w:r>
        <w:rPr>
          <w:noProof/>
        </w:rPr>
        <w:lastRenderedPageBreak/>
        <w:drawing>
          <wp:inline distT="0" distB="0" distL="0" distR="0" wp14:anchorId="6FE04E14" wp14:editId="0B20588B">
            <wp:extent cx="5486400" cy="3457575"/>
            <wp:effectExtent l="0" t="0" r="0" b="9525"/>
            <wp:docPr id="1038337916" name="Graphique 1">
              <a:extLst xmlns:a="http://schemas.openxmlformats.org/drawingml/2006/main">
                <a:ext uri="{FF2B5EF4-FFF2-40B4-BE49-F238E27FC236}">
                  <a16:creationId xmlns:a16="http://schemas.microsoft.com/office/drawing/2014/main" id="{0D597089-8E9A-6F4D-13F7-C5906E172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40C3CC" w14:textId="70EFFAC8" w:rsidR="00FB3FC1" w:rsidRDefault="00FB3FC1" w:rsidP="00FB3FC1">
      <w:pPr>
        <w:jc w:val="center"/>
        <w:rPr>
          <w:rFonts w:ascii="Arial" w:hAnsi="Arial" w:cs="Arial"/>
          <w:sz w:val="20"/>
          <w:szCs w:val="20"/>
        </w:rPr>
      </w:pPr>
      <w:r w:rsidRPr="008C39BE">
        <w:rPr>
          <w:rFonts w:ascii="Arial" w:hAnsi="Arial" w:cs="Arial"/>
          <w:b/>
          <w:bCs/>
          <w:sz w:val="20"/>
          <w:szCs w:val="20"/>
        </w:rPr>
        <w:t>Figure 14.</w:t>
      </w:r>
      <w:r>
        <w:rPr>
          <w:rFonts w:ascii="Arial" w:hAnsi="Arial" w:cs="Arial"/>
          <w:sz w:val="20"/>
          <w:szCs w:val="20"/>
        </w:rPr>
        <w:t xml:space="preserve"> </w:t>
      </w:r>
      <w:r w:rsidRPr="00FB3FC1">
        <w:rPr>
          <w:rFonts w:ascii="Arial" w:hAnsi="Arial" w:cs="Arial"/>
          <w:sz w:val="20"/>
          <w:szCs w:val="20"/>
        </w:rPr>
        <w:t>Variation in C/N as a function of treatment, site and sampling period</w:t>
      </w:r>
    </w:p>
    <w:p w14:paraId="2255901D" w14:textId="77777777" w:rsidR="00FB3FC1" w:rsidRPr="00476DC8" w:rsidRDefault="00FB3FC1" w:rsidP="00FB3FC1">
      <w:pPr>
        <w:jc w:val="center"/>
        <w:rPr>
          <w:rFonts w:ascii="Arial" w:hAnsi="Arial" w:cs="Arial"/>
          <w:sz w:val="20"/>
          <w:szCs w:val="20"/>
        </w:rPr>
      </w:pPr>
      <w:bookmarkStart w:id="4" w:name="_Hlk190332525"/>
      <w:r w:rsidRPr="00476DC8">
        <w:rPr>
          <w:rFonts w:ascii="Arial" w:hAnsi="Arial" w:cs="Arial"/>
          <w:i/>
          <w:iCs/>
          <w:sz w:val="20"/>
          <w:szCs w:val="20"/>
        </w:rPr>
        <w:t>*Treatments marked with the same letter are not statistically different at the 5% LSD threshold according to Fisher's test.</w:t>
      </w:r>
    </w:p>
    <w:bookmarkEnd w:id="4"/>
    <w:p w14:paraId="35752FAD" w14:textId="519E3C4B" w:rsidR="00FB3FC1" w:rsidRDefault="00FB3FC1" w:rsidP="00FB3FC1">
      <w:pPr>
        <w:jc w:val="both"/>
        <w:rPr>
          <w:rFonts w:ascii="Arial" w:hAnsi="Arial" w:cs="Arial"/>
          <w:b/>
          <w:bCs/>
        </w:rPr>
      </w:pPr>
      <w:r w:rsidRPr="00FB3FC1">
        <w:rPr>
          <w:rFonts w:ascii="Arial" w:hAnsi="Arial" w:cs="Arial"/>
          <w:b/>
          <w:bCs/>
        </w:rPr>
        <w:t xml:space="preserve">       3.3.7. Assimilable phosphorus (Pppm)</w:t>
      </w:r>
    </w:p>
    <w:p w14:paraId="6EAD9308" w14:textId="1738D7E1" w:rsidR="00FB3FC1" w:rsidRDefault="00FB3FC1" w:rsidP="00FB3FC1">
      <w:pPr>
        <w:jc w:val="both"/>
        <w:rPr>
          <w:rFonts w:ascii="Arial" w:hAnsi="Arial" w:cs="Arial"/>
          <w:sz w:val="20"/>
          <w:szCs w:val="20"/>
        </w:rPr>
      </w:pPr>
      <w:r w:rsidRPr="00FB3FC1">
        <w:rPr>
          <w:rFonts w:ascii="Arial" w:hAnsi="Arial" w:cs="Arial"/>
          <w:sz w:val="20"/>
          <w:szCs w:val="20"/>
        </w:rPr>
        <w:t xml:space="preserve">Figure </w:t>
      </w:r>
      <w:r>
        <w:rPr>
          <w:rFonts w:ascii="Arial" w:hAnsi="Arial" w:cs="Arial"/>
          <w:sz w:val="20"/>
          <w:szCs w:val="20"/>
        </w:rPr>
        <w:t>15</w:t>
      </w:r>
      <w:r w:rsidRPr="00FB3FC1">
        <w:rPr>
          <w:rFonts w:ascii="Arial" w:hAnsi="Arial" w:cs="Arial"/>
          <w:sz w:val="20"/>
          <w:szCs w:val="20"/>
        </w:rPr>
        <w:t xml:space="preserve"> shows that phosphorus varies significantly between sites (p=0.0005), years (p=3e-12) and treatments (p=9e-05). Data analysis also reveals a significant difference between sites and year (p=0.007) as well as between sites and treatment (p=0.003). The Lampsar site had the highest phosphorus levels. Similarly, the Lab20 and Lab30 tillage treatments on the Lampsar site had the highest phosphorus levels, at 4.28 and 4.23 ppm respectively in the second year of experimentation. These treatments improved this parameter more in year 2 than in year 1 of experimentation.</w:t>
      </w:r>
    </w:p>
    <w:p w14:paraId="7D183C27" w14:textId="53BAF1B8" w:rsidR="00FB3FC1" w:rsidRDefault="00FB3FC1" w:rsidP="00FB3FC1">
      <w:pPr>
        <w:jc w:val="center"/>
        <w:rPr>
          <w:rFonts w:ascii="Arial" w:hAnsi="Arial" w:cs="Arial"/>
          <w:sz w:val="20"/>
          <w:szCs w:val="20"/>
        </w:rPr>
      </w:pPr>
      <w:r>
        <w:rPr>
          <w:noProof/>
        </w:rPr>
        <w:lastRenderedPageBreak/>
        <w:drawing>
          <wp:inline distT="0" distB="0" distL="0" distR="0" wp14:anchorId="45D81508" wp14:editId="0DABB10C">
            <wp:extent cx="5467350" cy="3276600"/>
            <wp:effectExtent l="0" t="0" r="0" b="0"/>
            <wp:docPr id="2070901268" name="Graphique 1">
              <a:extLst xmlns:a="http://schemas.openxmlformats.org/drawingml/2006/main">
                <a:ext uri="{FF2B5EF4-FFF2-40B4-BE49-F238E27FC236}">
                  <a16:creationId xmlns:a16="http://schemas.microsoft.com/office/drawing/2014/main" id="{EB1BAF46-C781-20C9-A0E4-2F3D87648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E1B813" w14:textId="6EEDFA1E" w:rsidR="00FB3FC1" w:rsidRDefault="00FB3FC1" w:rsidP="008C39BE">
      <w:pPr>
        <w:jc w:val="center"/>
        <w:rPr>
          <w:rFonts w:ascii="Arial" w:hAnsi="Arial" w:cs="Arial"/>
          <w:sz w:val="20"/>
          <w:szCs w:val="20"/>
        </w:rPr>
      </w:pPr>
      <w:r w:rsidRPr="008C39BE">
        <w:rPr>
          <w:rFonts w:ascii="Arial" w:hAnsi="Arial" w:cs="Arial"/>
          <w:b/>
          <w:bCs/>
          <w:sz w:val="20"/>
          <w:szCs w:val="20"/>
        </w:rPr>
        <w:t>Figure 15.</w:t>
      </w:r>
      <w:r>
        <w:rPr>
          <w:rFonts w:ascii="Arial" w:hAnsi="Arial" w:cs="Arial"/>
          <w:sz w:val="20"/>
          <w:szCs w:val="20"/>
        </w:rPr>
        <w:t xml:space="preserve"> </w:t>
      </w:r>
      <w:r w:rsidR="008C39BE" w:rsidRPr="008C39BE">
        <w:rPr>
          <w:rFonts w:ascii="Arial" w:hAnsi="Arial" w:cs="Arial"/>
          <w:sz w:val="20"/>
          <w:szCs w:val="20"/>
        </w:rPr>
        <w:t>Variation in phosphorus as a function of the sampling period,</w:t>
      </w:r>
      <w:r w:rsidR="008C39BE">
        <w:rPr>
          <w:rFonts w:ascii="Arial" w:hAnsi="Arial" w:cs="Arial"/>
          <w:sz w:val="20"/>
          <w:szCs w:val="20"/>
        </w:rPr>
        <w:t xml:space="preserve"> </w:t>
      </w:r>
      <w:r w:rsidR="008C39BE" w:rsidRPr="008C39BE">
        <w:rPr>
          <w:rFonts w:ascii="Arial" w:hAnsi="Arial" w:cs="Arial"/>
          <w:sz w:val="20"/>
          <w:szCs w:val="20"/>
        </w:rPr>
        <w:t>treatments and site</w:t>
      </w:r>
    </w:p>
    <w:p w14:paraId="4FAF734D" w14:textId="77777777" w:rsidR="008C39BE" w:rsidRPr="00476DC8" w:rsidRDefault="008C39BE" w:rsidP="008C39BE">
      <w:pPr>
        <w:jc w:val="center"/>
        <w:rPr>
          <w:rFonts w:ascii="Arial" w:hAnsi="Arial" w:cs="Arial"/>
          <w:sz w:val="20"/>
          <w:szCs w:val="20"/>
        </w:rPr>
      </w:pPr>
      <w:r w:rsidRPr="00476DC8">
        <w:rPr>
          <w:rFonts w:ascii="Arial" w:hAnsi="Arial" w:cs="Arial"/>
          <w:i/>
          <w:iCs/>
          <w:sz w:val="20"/>
          <w:szCs w:val="20"/>
        </w:rPr>
        <w:t>*Treatments marked with the same letter are not statistically different at the 5% LSD threshold according to Fisher's test.</w:t>
      </w:r>
    </w:p>
    <w:p w14:paraId="56194D93" w14:textId="380896A1" w:rsidR="008C39BE" w:rsidRDefault="008C39BE" w:rsidP="008C39BE">
      <w:pPr>
        <w:jc w:val="both"/>
        <w:rPr>
          <w:rFonts w:ascii="Arial" w:hAnsi="Arial" w:cs="Arial"/>
          <w:b/>
          <w:bCs/>
        </w:rPr>
      </w:pPr>
      <w:r w:rsidRPr="008C39BE">
        <w:rPr>
          <w:rFonts w:ascii="Arial" w:hAnsi="Arial" w:cs="Arial"/>
          <w:b/>
          <w:bCs/>
        </w:rPr>
        <w:t xml:space="preserve">           3.3.8. Cation exchange capacity (CEC)</w:t>
      </w:r>
    </w:p>
    <w:p w14:paraId="18C91FE0" w14:textId="2E8CCA48" w:rsidR="008C39BE" w:rsidRDefault="008C39BE" w:rsidP="008C39BE">
      <w:pPr>
        <w:jc w:val="both"/>
        <w:rPr>
          <w:rFonts w:ascii="Arial" w:hAnsi="Arial" w:cs="Arial"/>
          <w:sz w:val="20"/>
          <w:szCs w:val="20"/>
        </w:rPr>
      </w:pPr>
      <w:r w:rsidRPr="008C39BE">
        <w:rPr>
          <w:rFonts w:ascii="Arial" w:hAnsi="Arial" w:cs="Arial"/>
          <w:sz w:val="20"/>
          <w:szCs w:val="20"/>
        </w:rPr>
        <w:t xml:space="preserve">Analysis of Table </w:t>
      </w:r>
      <w:r>
        <w:rPr>
          <w:rFonts w:ascii="Arial" w:hAnsi="Arial" w:cs="Arial"/>
          <w:sz w:val="20"/>
          <w:szCs w:val="20"/>
        </w:rPr>
        <w:t>6</w:t>
      </w:r>
      <w:r w:rsidRPr="008C39BE">
        <w:rPr>
          <w:rFonts w:ascii="Arial" w:hAnsi="Arial" w:cs="Arial"/>
          <w:sz w:val="20"/>
          <w:szCs w:val="20"/>
        </w:rPr>
        <w:t xml:space="preserve"> shows that cation exchange capacity varies significantly from year to year (p=0.03) and from site to site (p&lt;2e-16). The Lab20 and Lab30 treatments have the highest cation exchange capacity, at 76.14 and 74.20 meq/100g respectively. Similarly, the Lampsar site has the highest CEC. CEC is higher in year 2 than in year 1 of experimentation and compared with the initial state.</w:t>
      </w:r>
    </w:p>
    <w:p w14:paraId="27ADC490" w14:textId="41BE4990" w:rsidR="008C39BE" w:rsidRDefault="008C39BE" w:rsidP="008C39BE">
      <w:pPr>
        <w:jc w:val="center"/>
        <w:rPr>
          <w:rFonts w:ascii="Arial" w:hAnsi="Arial" w:cs="Arial"/>
          <w:sz w:val="20"/>
          <w:szCs w:val="20"/>
        </w:rPr>
      </w:pPr>
      <w:r w:rsidRPr="008C39BE">
        <w:rPr>
          <w:rFonts w:ascii="Arial" w:hAnsi="Arial" w:cs="Arial"/>
          <w:b/>
          <w:bCs/>
          <w:sz w:val="20"/>
          <w:szCs w:val="20"/>
        </w:rPr>
        <w:t>Table 6.</w:t>
      </w:r>
      <w:r>
        <w:rPr>
          <w:rFonts w:ascii="Arial" w:hAnsi="Arial" w:cs="Arial"/>
          <w:sz w:val="20"/>
          <w:szCs w:val="20"/>
        </w:rPr>
        <w:t xml:space="preserve"> </w:t>
      </w:r>
      <w:r w:rsidRPr="008C39BE">
        <w:rPr>
          <w:rFonts w:ascii="Arial" w:hAnsi="Arial" w:cs="Arial"/>
          <w:sz w:val="20"/>
          <w:szCs w:val="20"/>
        </w:rPr>
        <w:t>Variation in pH, electrical conductivity, nitrogen and cation exchange capacity as a function of sampling period, treatment and site</w:t>
      </w:r>
    </w:p>
    <w:tbl>
      <w:tblPr>
        <w:tblpPr w:leftFromText="141" w:rightFromText="141" w:horzAnchor="margin" w:tblpXSpec="center" w:tblpY="225"/>
        <w:tblW w:w="11915" w:type="dxa"/>
        <w:tblCellMar>
          <w:left w:w="70" w:type="dxa"/>
          <w:right w:w="70" w:type="dxa"/>
        </w:tblCellMar>
        <w:tblLook w:val="04A0" w:firstRow="1" w:lastRow="0" w:firstColumn="1" w:lastColumn="0" w:noHBand="0" w:noVBand="1"/>
      </w:tblPr>
      <w:tblGrid>
        <w:gridCol w:w="1298"/>
        <w:gridCol w:w="670"/>
        <w:gridCol w:w="816"/>
        <w:gridCol w:w="891"/>
        <w:gridCol w:w="1117"/>
        <w:gridCol w:w="681"/>
        <w:gridCol w:w="934"/>
        <w:gridCol w:w="903"/>
        <w:gridCol w:w="1117"/>
        <w:gridCol w:w="701"/>
        <w:gridCol w:w="891"/>
        <w:gridCol w:w="776"/>
        <w:gridCol w:w="1120"/>
      </w:tblGrid>
      <w:tr w:rsidR="001C3CA6" w:rsidRPr="008C39BE" w14:paraId="086FC226" w14:textId="77777777" w:rsidTr="001C3CA6">
        <w:trPr>
          <w:trHeight w:val="284"/>
        </w:trPr>
        <w:tc>
          <w:tcPr>
            <w:tcW w:w="1298" w:type="dxa"/>
            <w:tcBorders>
              <w:top w:val="nil"/>
              <w:left w:val="nil"/>
              <w:bottom w:val="nil"/>
              <w:right w:val="nil"/>
            </w:tcBorders>
            <w:shd w:val="clear" w:color="auto" w:fill="auto"/>
            <w:noWrap/>
            <w:vAlign w:val="bottom"/>
            <w:hideMark/>
          </w:tcPr>
          <w:p w14:paraId="3E40AA5D" w14:textId="77777777" w:rsidR="008C39BE" w:rsidRPr="008C39BE" w:rsidRDefault="008C39BE" w:rsidP="008C39BE">
            <w:pPr>
              <w:spacing w:after="0" w:line="240" w:lineRule="auto"/>
              <w:rPr>
                <w:rFonts w:ascii="Arial" w:eastAsia="Times New Roman" w:hAnsi="Arial" w:cs="Arial"/>
                <w:kern w:val="0"/>
                <w:sz w:val="20"/>
                <w:szCs w:val="20"/>
                <w:lang w:val="fr-SN" w:eastAsia="fr-SN"/>
                <w14:ligatures w14:val="none"/>
              </w:rPr>
            </w:pPr>
          </w:p>
        </w:tc>
        <w:tc>
          <w:tcPr>
            <w:tcW w:w="670" w:type="dxa"/>
            <w:tcBorders>
              <w:top w:val="nil"/>
              <w:left w:val="nil"/>
              <w:bottom w:val="single" w:sz="8" w:space="0" w:color="auto"/>
              <w:right w:val="nil"/>
            </w:tcBorders>
            <w:shd w:val="clear" w:color="auto" w:fill="auto"/>
            <w:noWrap/>
            <w:vAlign w:val="bottom"/>
            <w:hideMark/>
          </w:tcPr>
          <w:p w14:paraId="51D479DE"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816" w:type="dxa"/>
            <w:tcBorders>
              <w:top w:val="nil"/>
              <w:left w:val="nil"/>
              <w:bottom w:val="single" w:sz="8" w:space="0" w:color="auto"/>
              <w:right w:val="nil"/>
            </w:tcBorders>
            <w:shd w:val="clear" w:color="auto" w:fill="auto"/>
            <w:noWrap/>
            <w:vAlign w:val="bottom"/>
            <w:hideMark/>
          </w:tcPr>
          <w:p w14:paraId="5F540972"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891" w:type="dxa"/>
            <w:tcBorders>
              <w:top w:val="nil"/>
              <w:left w:val="nil"/>
              <w:bottom w:val="single" w:sz="8" w:space="0" w:color="auto"/>
              <w:right w:val="nil"/>
            </w:tcBorders>
            <w:shd w:val="clear" w:color="auto" w:fill="auto"/>
            <w:noWrap/>
            <w:vAlign w:val="bottom"/>
            <w:hideMark/>
          </w:tcPr>
          <w:p w14:paraId="35FB456A"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1116" w:type="dxa"/>
            <w:tcBorders>
              <w:top w:val="nil"/>
              <w:left w:val="nil"/>
              <w:bottom w:val="single" w:sz="8" w:space="0" w:color="auto"/>
              <w:right w:val="nil"/>
            </w:tcBorders>
            <w:shd w:val="clear" w:color="auto" w:fill="auto"/>
            <w:noWrap/>
            <w:vAlign w:val="bottom"/>
            <w:hideMark/>
          </w:tcPr>
          <w:p w14:paraId="03A2B5AC"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681" w:type="dxa"/>
            <w:tcBorders>
              <w:top w:val="nil"/>
              <w:left w:val="nil"/>
              <w:bottom w:val="single" w:sz="8" w:space="0" w:color="auto"/>
              <w:right w:val="nil"/>
            </w:tcBorders>
            <w:shd w:val="clear" w:color="auto" w:fill="auto"/>
            <w:noWrap/>
            <w:vAlign w:val="bottom"/>
            <w:hideMark/>
          </w:tcPr>
          <w:p w14:paraId="142049E0"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934" w:type="dxa"/>
            <w:tcBorders>
              <w:top w:val="nil"/>
              <w:left w:val="nil"/>
              <w:bottom w:val="single" w:sz="8" w:space="0" w:color="auto"/>
              <w:right w:val="nil"/>
            </w:tcBorders>
            <w:shd w:val="clear" w:color="auto" w:fill="auto"/>
            <w:noWrap/>
            <w:vAlign w:val="bottom"/>
            <w:hideMark/>
          </w:tcPr>
          <w:p w14:paraId="35BEC74E"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903" w:type="dxa"/>
            <w:tcBorders>
              <w:top w:val="nil"/>
              <w:left w:val="nil"/>
              <w:bottom w:val="single" w:sz="8" w:space="0" w:color="auto"/>
              <w:right w:val="nil"/>
            </w:tcBorders>
            <w:shd w:val="clear" w:color="auto" w:fill="auto"/>
            <w:noWrap/>
            <w:vAlign w:val="bottom"/>
            <w:hideMark/>
          </w:tcPr>
          <w:p w14:paraId="72F0C643"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1116" w:type="dxa"/>
            <w:tcBorders>
              <w:top w:val="nil"/>
              <w:left w:val="nil"/>
              <w:bottom w:val="single" w:sz="8" w:space="0" w:color="auto"/>
              <w:right w:val="nil"/>
            </w:tcBorders>
            <w:shd w:val="clear" w:color="auto" w:fill="auto"/>
            <w:noWrap/>
            <w:vAlign w:val="bottom"/>
            <w:hideMark/>
          </w:tcPr>
          <w:p w14:paraId="19F2EAC2"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701" w:type="dxa"/>
            <w:tcBorders>
              <w:top w:val="nil"/>
              <w:left w:val="nil"/>
              <w:bottom w:val="single" w:sz="8" w:space="0" w:color="auto"/>
              <w:right w:val="nil"/>
            </w:tcBorders>
            <w:shd w:val="clear" w:color="auto" w:fill="auto"/>
            <w:noWrap/>
            <w:vAlign w:val="bottom"/>
            <w:hideMark/>
          </w:tcPr>
          <w:p w14:paraId="1724D60B"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891" w:type="dxa"/>
            <w:tcBorders>
              <w:top w:val="nil"/>
              <w:left w:val="nil"/>
              <w:bottom w:val="single" w:sz="8" w:space="0" w:color="auto"/>
              <w:right w:val="nil"/>
            </w:tcBorders>
            <w:shd w:val="clear" w:color="auto" w:fill="auto"/>
            <w:noWrap/>
            <w:vAlign w:val="bottom"/>
            <w:hideMark/>
          </w:tcPr>
          <w:p w14:paraId="7B3414FF"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776" w:type="dxa"/>
            <w:tcBorders>
              <w:top w:val="nil"/>
              <w:left w:val="nil"/>
              <w:bottom w:val="single" w:sz="8" w:space="0" w:color="auto"/>
              <w:right w:val="nil"/>
            </w:tcBorders>
            <w:shd w:val="clear" w:color="auto" w:fill="auto"/>
            <w:noWrap/>
            <w:vAlign w:val="bottom"/>
            <w:hideMark/>
          </w:tcPr>
          <w:p w14:paraId="181672E6"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1117" w:type="dxa"/>
            <w:tcBorders>
              <w:top w:val="nil"/>
              <w:left w:val="nil"/>
              <w:bottom w:val="single" w:sz="8" w:space="0" w:color="auto"/>
              <w:right w:val="nil"/>
            </w:tcBorders>
            <w:shd w:val="clear" w:color="auto" w:fill="auto"/>
            <w:noWrap/>
            <w:vAlign w:val="bottom"/>
            <w:hideMark/>
          </w:tcPr>
          <w:p w14:paraId="3042A990"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r>
      <w:tr w:rsidR="008C39BE" w:rsidRPr="008C39BE" w14:paraId="04C7C05A" w14:textId="77777777" w:rsidTr="001C3CA6">
        <w:trPr>
          <w:trHeight w:val="284"/>
        </w:trPr>
        <w:tc>
          <w:tcPr>
            <w:tcW w:w="1298" w:type="dxa"/>
            <w:tcBorders>
              <w:top w:val="single" w:sz="8" w:space="0" w:color="auto"/>
              <w:left w:val="nil"/>
              <w:bottom w:val="single" w:sz="8" w:space="0" w:color="auto"/>
              <w:right w:val="nil"/>
            </w:tcBorders>
            <w:shd w:val="clear" w:color="auto" w:fill="auto"/>
            <w:noWrap/>
            <w:vAlign w:val="center"/>
            <w:hideMark/>
          </w:tcPr>
          <w:p w14:paraId="4277CE32" w14:textId="516920D4"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Treatments</w:t>
            </w:r>
          </w:p>
        </w:tc>
        <w:tc>
          <w:tcPr>
            <w:tcW w:w="3494" w:type="dxa"/>
            <w:gridSpan w:val="4"/>
            <w:tcBorders>
              <w:top w:val="nil"/>
              <w:left w:val="nil"/>
              <w:bottom w:val="single" w:sz="8" w:space="0" w:color="auto"/>
              <w:right w:val="nil"/>
            </w:tcBorders>
            <w:shd w:val="clear" w:color="auto" w:fill="auto"/>
            <w:noWrap/>
            <w:vAlign w:val="center"/>
            <w:hideMark/>
          </w:tcPr>
          <w:p w14:paraId="092E3C51" w14:textId="7734E4D2" w:rsidR="008C39BE" w:rsidRPr="008C39BE" w:rsidRDefault="008C39BE" w:rsidP="008C39BE">
            <w:pPr>
              <w:spacing w:after="0" w:line="240" w:lineRule="auto"/>
              <w:jc w:val="center"/>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pH water 1/2,5</w:t>
            </w:r>
          </w:p>
        </w:tc>
        <w:tc>
          <w:tcPr>
            <w:tcW w:w="3635" w:type="dxa"/>
            <w:gridSpan w:val="4"/>
            <w:tcBorders>
              <w:top w:val="nil"/>
              <w:left w:val="nil"/>
              <w:bottom w:val="single" w:sz="8" w:space="0" w:color="auto"/>
              <w:right w:val="nil"/>
            </w:tcBorders>
            <w:shd w:val="clear" w:color="auto" w:fill="auto"/>
            <w:noWrap/>
            <w:vAlign w:val="center"/>
            <w:hideMark/>
          </w:tcPr>
          <w:p w14:paraId="4DCCB555" w14:textId="6A0A433D" w:rsidR="008C39BE" w:rsidRPr="008C39BE" w:rsidRDefault="008C39BE" w:rsidP="008C39BE">
            <w:pPr>
              <w:spacing w:after="0" w:line="240" w:lineRule="auto"/>
              <w:jc w:val="center"/>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 xml:space="preserve">Electrical conductivity CE µs/cm </w:t>
            </w:r>
          </w:p>
        </w:tc>
        <w:tc>
          <w:tcPr>
            <w:tcW w:w="3487" w:type="dxa"/>
            <w:gridSpan w:val="4"/>
            <w:tcBorders>
              <w:top w:val="nil"/>
              <w:left w:val="nil"/>
              <w:bottom w:val="single" w:sz="8" w:space="0" w:color="auto"/>
              <w:right w:val="nil"/>
            </w:tcBorders>
            <w:shd w:val="clear" w:color="auto" w:fill="auto"/>
            <w:noWrap/>
            <w:vAlign w:val="center"/>
            <w:hideMark/>
          </w:tcPr>
          <w:p w14:paraId="415569C7" w14:textId="542DE3C8" w:rsidR="008C39BE" w:rsidRPr="008C39BE" w:rsidRDefault="008C39BE" w:rsidP="008C39BE">
            <w:pPr>
              <w:spacing w:after="0" w:line="240" w:lineRule="auto"/>
              <w:jc w:val="center"/>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Nitrogen (N)%</w:t>
            </w:r>
          </w:p>
        </w:tc>
      </w:tr>
      <w:tr w:rsidR="001C3CA6" w:rsidRPr="008C39BE" w14:paraId="573DFF0F" w14:textId="77777777" w:rsidTr="001C3CA6">
        <w:trPr>
          <w:trHeight w:val="555"/>
        </w:trPr>
        <w:tc>
          <w:tcPr>
            <w:tcW w:w="1298" w:type="dxa"/>
            <w:tcBorders>
              <w:top w:val="nil"/>
              <w:left w:val="nil"/>
              <w:bottom w:val="single" w:sz="8" w:space="0" w:color="auto"/>
              <w:right w:val="nil"/>
            </w:tcBorders>
            <w:shd w:val="clear" w:color="auto" w:fill="auto"/>
            <w:noWrap/>
            <w:vAlign w:val="center"/>
            <w:hideMark/>
          </w:tcPr>
          <w:p w14:paraId="7E2AF3FD"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670" w:type="dxa"/>
            <w:tcBorders>
              <w:top w:val="nil"/>
              <w:left w:val="nil"/>
              <w:bottom w:val="single" w:sz="8" w:space="0" w:color="auto"/>
              <w:right w:val="nil"/>
            </w:tcBorders>
            <w:shd w:val="clear" w:color="auto" w:fill="auto"/>
            <w:vAlign w:val="center"/>
            <w:hideMark/>
          </w:tcPr>
          <w:p w14:paraId="50DF330F"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Initial</w:t>
            </w:r>
          </w:p>
        </w:tc>
        <w:tc>
          <w:tcPr>
            <w:tcW w:w="816" w:type="dxa"/>
            <w:tcBorders>
              <w:top w:val="nil"/>
              <w:left w:val="nil"/>
              <w:bottom w:val="single" w:sz="8" w:space="0" w:color="auto"/>
              <w:right w:val="nil"/>
            </w:tcBorders>
            <w:shd w:val="clear" w:color="auto" w:fill="auto"/>
            <w:vAlign w:val="center"/>
            <w:hideMark/>
          </w:tcPr>
          <w:p w14:paraId="1DB6B3EC" w14:textId="78A90DE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Year 1</w:t>
            </w:r>
          </w:p>
        </w:tc>
        <w:tc>
          <w:tcPr>
            <w:tcW w:w="891" w:type="dxa"/>
            <w:tcBorders>
              <w:top w:val="nil"/>
              <w:left w:val="nil"/>
              <w:bottom w:val="single" w:sz="8" w:space="0" w:color="auto"/>
              <w:right w:val="nil"/>
            </w:tcBorders>
            <w:shd w:val="clear" w:color="auto" w:fill="auto"/>
            <w:vAlign w:val="center"/>
            <w:hideMark/>
          </w:tcPr>
          <w:p w14:paraId="052126AD" w14:textId="6F7F50E3"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Year 2</w:t>
            </w:r>
          </w:p>
        </w:tc>
        <w:tc>
          <w:tcPr>
            <w:tcW w:w="1116" w:type="dxa"/>
            <w:tcBorders>
              <w:top w:val="nil"/>
              <w:left w:val="nil"/>
              <w:bottom w:val="single" w:sz="8" w:space="0" w:color="auto"/>
              <w:right w:val="nil"/>
            </w:tcBorders>
            <w:shd w:val="clear" w:color="auto" w:fill="auto"/>
            <w:vAlign w:val="center"/>
            <w:hideMark/>
          </w:tcPr>
          <w:p w14:paraId="63D56854" w14:textId="778DC08A" w:rsidR="008C39BE" w:rsidRPr="008C39BE" w:rsidRDefault="008C39BE" w:rsidP="008C39BE">
            <w:pPr>
              <w:spacing w:after="0" w:line="240" w:lineRule="auto"/>
              <w:jc w:val="center"/>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Diff(Year2-Year1)</w:t>
            </w:r>
          </w:p>
        </w:tc>
        <w:tc>
          <w:tcPr>
            <w:tcW w:w="681" w:type="dxa"/>
            <w:tcBorders>
              <w:top w:val="nil"/>
              <w:left w:val="nil"/>
              <w:bottom w:val="single" w:sz="8" w:space="0" w:color="auto"/>
              <w:right w:val="nil"/>
            </w:tcBorders>
            <w:shd w:val="clear" w:color="auto" w:fill="auto"/>
            <w:vAlign w:val="center"/>
            <w:hideMark/>
          </w:tcPr>
          <w:p w14:paraId="0D10422C"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Initial</w:t>
            </w:r>
          </w:p>
        </w:tc>
        <w:tc>
          <w:tcPr>
            <w:tcW w:w="934" w:type="dxa"/>
            <w:tcBorders>
              <w:top w:val="nil"/>
              <w:left w:val="nil"/>
              <w:bottom w:val="single" w:sz="8" w:space="0" w:color="auto"/>
              <w:right w:val="nil"/>
            </w:tcBorders>
            <w:shd w:val="clear" w:color="auto" w:fill="auto"/>
            <w:vAlign w:val="center"/>
            <w:hideMark/>
          </w:tcPr>
          <w:p w14:paraId="43C75BCA" w14:textId="06C54AE9"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Year 1</w:t>
            </w:r>
          </w:p>
        </w:tc>
        <w:tc>
          <w:tcPr>
            <w:tcW w:w="903" w:type="dxa"/>
            <w:tcBorders>
              <w:top w:val="nil"/>
              <w:left w:val="nil"/>
              <w:bottom w:val="single" w:sz="8" w:space="0" w:color="auto"/>
              <w:right w:val="nil"/>
            </w:tcBorders>
            <w:shd w:val="clear" w:color="auto" w:fill="auto"/>
            <w:vAlign w:val="center"/>
            <w:hideMark/>
          </w:tcPr>
          <w:p w14:paraId="52192B00" w14:textId="4AEF51E9"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Year 2</w:t>
            </w:r>
          </w:p>
        </w:tc>
        <w:tc>
          <w:tcPr>
            <w:tcW w:w="1116" w:type="dxa"/>
            <w:tcBorders>
              <w:top w:val="nil"/>
              <w:left w:val="nil"/>
              <w:bottom w:val="single" w:sz="8" w:space="0" w:color="auto"/>
              <w:right w:val="nil"/>
            </w:tcBorders>
            <w:shd w:val="clear" w:color="auto" w:fill="auto"/>
            <w:vAlign w:val="center"/>
            <w:hideMark/>
          </w:tcPr>
          <w:p w14:paraId="2A9377F1" w14:textId="35A7BB8D" w:rsidR="008C39BE" w:rsidRPr="008C39BE" w:rsidRDefault="008C39BE" w:rsidP="008C39BE">
            <w:pPr>
              <w:spacing w:after="0" w:line="240" w:lineRule="auto"/>
              <w:jc w:val="center"/>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Diff(Year2-Year1)</w:t>
            </w:r>
          </w:p>
        </w:tc>
        <w:tc>
          <w:tcPr>
            <w:tcW w:w="701" w:type="dxa"/>
            <w:tcBorders>
              <w:top w:val="nil"/>
              <w:left w:val="nil"/>
              <w:bottom w:val="single" w:sz="8" w:space="0" w:color="auto"/>
              <w:right w:val="nil"/>
            </w:tcBorders>
            <w:shd w:val="clear" w:color="auto" w:fill="auto"/>
            <w:vAlign w:val="center"/>
            <w:hideMark/>
          </w:tcPr>
          <w:p w14:paraId="766D2354"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Initial</w:t>
            </w:r>
          </w:p>
        </w:tc>
        <w:tc>
          <w:tcPr>
            <w:tcW w:w="891" w:type="dxa"/>
            <w:tcBorders>
              <w:top w:val="nil"/>
              <w:left w:val="nil"/>
              <w:bottom w:val="single" w:sz="8" w:space="0" w:color="auto"/>
              <w:right w:val="nil"/>
            </w:tcBorders>
            <w:shd w:val="clear" w:color="auto" w:fill="auto"/>
            <w:vAlign w:val="center"/>
            <w:hideMark/>
          </w:tcPr>
          <w:p w14:paraId="53F131FE" w14:textId="019091CD"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Year 1</w:t>
            </w:r>
          </w:p>
        </w:tc>
        <w:tc>
          <w:tcPr>
            <w:tcW w:w="776" w:type="dxa"/>
            <w:tcBorders>
              <w:top w:val="nil"/>
              <w:left w:val="nil"/>
              <w:bottom w:val="single" w:sz="8" w:space="0" w:color="auto"/>
              <w:right w:val="nil"/>
            </w:tcBorders>
            <w:shd w:val="clear" w:color="auto" w:fill="auto"/>
            <w:vAlign w:val="center"/>
            <w:hideMark/>
          </w:tcPr>
          <w:p w14:paraId="6717CD70" w14:textId="3E6D9091"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Year 2</w:t>
            </w:r>
          </w:p>
        </w:tc>
        <w:tc>
          <w:tcPr>
            <w:tcW w:w="1117" w:type="dxa"/>
            <w:tcBorders>
              <w:top w:val="nil"/>
              <w:left w:val="nil"/>
              <w:bottom w:val="single" w:sz="8" w:space="0" w:color="auto"/>
              <w:right w:val="nil"/>
            </w:tcBorders>
            <w:shd w:val="clear" w:color="auto" w:fill="auto"/>
            <w:vAlign w:val="center"/>
            <w:hideMark/>
          </w:tcPr>
          <w:p w14:paraId="17313EAC" w14:textId="38EEE837" w:rsidR="008C39BE" w:rsidRPr="008C39BE" w:rsidRDefault="008C39BE" w:rsidP="008C39BE">
            <w:pPr>
              <w:spacing w:after="0" w:line="240" w:lineRule="auto"/>
              <w:jc w:val="center"/>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Diff(Year2-Year1)</w:t>
            </w:r>
          </w:p>
        </w:tc>
      </w:tr>
      <w:tr w:rsidR="008C39BE" w:rsidRPr="008C39BE" w14:paraId="5289A8F9" w14:textId="77777777" w:rsidTr="001C3CA6">
        <w:trPr>
          <w:trHeight w:val="284"/>
        </w:trPr>
        <w:tc>
          <w:tcPr>
            <w:tcW w:w="1298" w:type="dxa"/>
            <w:tcBorders>
              <w:top w:val="nil"/>
              <w:left w:val="nil"/>
              <w:bottom w:val="single" w:sz="8" w:space="0" w:color="auto"/>
              <w:right w:val="nil"/>
            </w:tcBorders>
            <w:shd w:val="clear" w:color="auto" w:fill="auto"/>
            <w:noWrap/>
            <w:vAlign w:val="bottom"/>
            <w:hideMark/>
          </w:tcPr>
          <w:p w14:paraId="006ED398"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10617" w:type="dxa"/>
            <w:gridSpan w:val="12"/>
            <w:tcBorders>
              <w:top w:val="single" w:sz="8" w:space="0" w:color="auto"/>
              <w:left w:val="nil"/>
              <w:bottom w:val="single" w:sz="8" w:space="0" w:color="auto"/>
              <w:right w:val="nil"/>
            </w:tcBorders>
            <w:shd w:val="clear" w:color="auto" w:fill="auto"/>
            <w:vAlign w:val="center"/>
            <w:hideMark/>
          </w:tcPr>
          <w:p w14:paraId="36B82C56" w14:textId="77777777" w:rsidR="008C39BE" w:rsidRPr="008C39BE" w:rsidRDefault="008C39BE" w:rsidP="008C39BE">
            <w:pPr>
              <w:spacing w:after="0" w:line="240" w:lineRule="auto"/>
              <w:jc w:val="center"/>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Ndiaye Mbéress</w:t>
            </w:r>
          </w:p>
        </w:tc>
      </w:tr>
      <w:tr w:rsidR="001C3CA6" w:rsidRPr="008C39BE" w14:paraId="3898B256" w14:textId="77777777" w:rsidTr="001C3CA6">
        <w:trPr>
          <w:trHeight w:val="338"/>
        </w:trPr>
        <w:tc>
          <w:tcPr>
            <w:tcW w:w="1298" w:type="dxa"/>
            <w:tcBorders>
              <w:top w:val="nil"/>
              <w:left w:val="nil"/>
              <w:bottom w:val="nil"/>
              <w:right w:val="nil"/>
            </w:tcBorders>
            <w:shd w:val="clear" w:color="auto" w:fill="auto"/>
            <w:noWrap/>
            <w:vAlign w:val="center"/>
            <w:hideMark/>
          </w:tcPr>
          <w:p w14:paraId="06243393"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Off5</w:t>
            </w:r>
          </w:p>
        </w:tc>
        <w:tc>
          <w:tcPr>
            <w:tcW w:w="670" w:type="dxa"/>
            <w:tcBorders>
              <w:top w:val="nil"/>
              <w:left w:val="nil"/>
              <w:bottom w:val="nil"/>
              <w:right w:val="nil"/>
            </w:tcBorders>
            <w:shd w:val="clear" w:color="auto" w:fill="auto"/>
            <w:noWrap/>
            <w:vAlign w:val="center"/>
            <w:hideMark/>
          </w:tcPr>
          <w:p w14:paraId="35DB3D1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6,48</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36C32EB0"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5,44</w:t>
            </w:r>
            <w:r w:rsidRPr="008C39BE">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78E2EA8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5,21</w:t>
            </w:r>
            <w:r w:rsidRPr="008C39BE">
              <w:rPr>
                <w:rFonts w:ascii="Arial" w:eastAsia="Times New Roman" w:hAnsi="Arial" w:cs="Arial"/>
                <w:color w:val="000000"/>
                <w:kern w:val="0"/>
                <w:sz w:val="20"/>
                <w:szCs w:val="20"/>
                <w:vertAlign w:val="superscript"/>
                <w:lang w:val="fr-SN" w:eastAsia="fr-SN"/>
                <w14:ligatures w14:val="none"/>
              </w:rPr>
              <w:t>c</w:t>
            </w:r>
          </w:p>
        </w:tc>
        <w:tc>
          <w:tcPr>
            <w:tcW w:w="1116" w:type="dxa"/>
            <w:tcBorders>
              <w:top w:val="nil"/>
              <w:left w:val="nil"/>
              <w:bottom w:val="nil"/>
              <w:right w:val="nil"/>
            </w:tcBorders>
            <w:shd w:val="clear" w:color="auto" w:fill="auto"/>
            <w:noWrap/>
            <w:vAlign w:val="center"/>
            <w:hideMark/>
          </w:tcPr>
          <w:p w14:paraId="344C400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-0,23</w:t>
            </w:r>
          </w:p>
        </w:tc>
        <w:tc>
          <w:tcPr>
            <w:tcW w:w="681" w:type="dxa"/>
            <w:tcBorders>
              <w:top w:val="nil"/>
              <w:left w:val="nil"/>
              <w:bottom w:val="nil"/>
              <w:right w:val="nil"/>
            </w:tcBorders>
            <w:shd w:val="clear" w:color="auto" w:fill="auto"/>
            <w:noWrap/>
            <w:vAlign w:val="center"/>
            <w:hideMark/>
          </w:tcPr>
          <w:p w14:paraId="6C40C6C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571</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0C16744C"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798,5</w:t>
            </w:r>
            <w:r w:rsidRPr="008C39BE">
              <w:rPr>
                <w:rFonts w:ascii="Arial" w:eastAsia="Times New Roman" w:hAnsi="Arial" w:cs="Arial"/>
                <w:color w:val="000000"/>
                <w:kern w:val="0"/>
                <w:sz w:val="20"/>
                <w:szCs w:val="20"/>
                <w:vertAlign w:val="superscript"/>
                <w:lang w:val="fr-SN" w:eastAsia="fr-SN"/>
                <w14:ligatures w14:val="none"/>
              </w:rPr>
              <w:t>ab</w:t>
            </w:r>
          </w:p>
        </w:tc>
        <w:tc>
          <w:tcPr>
            <w:tcW w:w="903" w:type="dxa"/>
            <w:tcBorders>
              <w:top w:val="nil"/>
              <w:left w:val="nil"/>
              <w:bottom w:val="nil"/>
              <w:right w:val="nil"/>
            </w:tcBorders>
            <w:shd w:val="clear" w:color="auto" w:fill="auto"/>
            <w:noWrap/>
            <w:vAlign w:val="center"/>
            <w:hideMark/>
          </w:tcPr>
          <w:p w14:paraId="54783D7B"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811,75</w:t>
            </w:r>
            <w:r w:rsidRPr="008C39BE">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23DB888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13,25</w:t>
            </w:r>
          </w:p>
        </w:tc>
        <w:tc>
          <w:tcPr>
            <w:tcW w:w="701" w:type="dxa"/>
            <w:tcBorders>
              <w:top w:val="nil"/>
              <w:left w:val="nil"/>
              <w:bottom w:val="nil"/>
              <w:right w:val="nil"/>
            </w:tcBorders>
            <w:shd w:val="clear" w:color="auto" w:fill="auto"/>
            <w:noWrap/>
            <w:vAlign w:val="center"/>
            <w:hideMark/>
          </w:tcPr>
          <w:p w14:paraId="38116BA6"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0,03</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0F5B9986"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0,05</w:t>
            </w:r>
            <w:r w:rsidRPr="008C39BE">
              <w:rPr>
                <w:rFonts w:ascii="Arial" w:eastAsia="Times New Roman" w:hAnsi="Arial" w:cs="Arial"/>
                <w:color w:val="000000"/>
                <w:kern w:val="0"/>
                <w:sz w:val="20"/>
                <w:szCs w:val="20"/>
                <w:vertAlign w:val="superscript"/>
                <w:lang w:val="fr-SN" w:eastAsia="fr-SN"/>
                <w14:ligatures w14:val="none"/>
              </w:rPr>
              <w:t>a</w:t>
            </w:r>
          </w:p>
        </w:tc>
        <w:tc>
          <w:tcPr>
            <w:tcW w:w="776" w:type="dxa"/>
            <w:tcBorders>
              <w:top w:val="nil"/>
              <w:left w:val="nil"/>
              <w:bottom w:val="nil"/>
              <w:right w:val="nil"/>
            </w:tcBorders>
            <w:shd w:val="clear" w:color="auto" w:fill="auto"/>
            <w:noWrap/>
            <w:vAlign w:val="center"/>
            <w:hideMark/>
          </w:tcPr>
          <w:p w14:paraId="481D517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0,05</w:t>
            </w:r>
            <w:r w:rsidRPr="008C39BE">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27CB2D6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w:t>
            </w:r>
          </w:p>
        </w:tc>
      </w:tr>
      <w:tr w:rsidR="001C3CA6" w:rsidRPr="008C39BE" w14:paraId="5FA3A861" w14:textId="77777777" w:rsidTr="001C3CA6">
        <w:trPr>
          <w:trHeight w:val="324"/>
        </w:trPr>
        <w:tc>
          <w:tcPr>
            <w:tcW w:w="1298" w:type="dxa"/>
            <w:tcBorders>
              <w:top w:val="nil"/>
              <w:left w:val="nil"/>
              <w:bottom w:val="nil"/>
              <w:right w:val="nil"/>
            </w:tcBorders>
            <w:shd w:val="clear" w:color="auto" w:fill="auto"/>
            <w:noWrap/>
            <w:vAlign w:val="center"/>
            <w:hideMark/>
          </w:tcPr>
          <w:p w14:paraId="54FE6DC0"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Off10</w:t>
            </w:r>
          </w:p>
        </w:tc>
        <w:tc>
          <w:tcPr>
            <w:tcW w:w="670" w:type="dxa"/>
            <w:tcBorders>
              <w:top w:val="nil"/>
              <w:left w:val="nil"/>
              <w:bottom w:val="nil"/>
              <w:right w:val="nil"/>
            </w:tcBorders>
            <w:shd w:val="clear" w:color="auto" w:fill="auto"/>
            <w:noWrap/>
            <w:vAlign w:val="center"/>
            <w:hideMark/>
          </w:tcPr>
          <w:p w14:paraId="3FC536CB"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6,48</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0BD3CDA2"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5,50</w:t>
            </w:r>
            <w:r w:rsidRPr="008C39BE">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5784890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5,52</w:t>
            </w:r>
            <w:r w:rsidRPr="008C39BE">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128AC9B0"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0,02</w:t>
            </w:r>
          </w:p>
        </w:tc>
        <w:tc>
          <w:tcPr>
            <w:tcW w:w="681" w:type="dxa"/>
            <w:tcBorders>
              <w:top w:val="nil"/>
              <w:left w:val="nil"/>
              <w:bottom w:val="nil"/>
              <w:right w:val="nil"/>
            </w:tcBorders>
            <w:shd w:val="clear" w:color="auto" w:fill="auto"/>
            <w:noWrap/>
            <w:vAlign w:val="center"/>
            <w:hideMark/>
          </w:tcPr>
          <w:p w14:paraId="7168121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571</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408BF70B"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842,25</w:t>
            </w:r>
            <w:r w:rsidRPr="008C39BE">
              <w:rPr>
                <w:rFonts w:ascii="Arial" w:eastAsia="Times New Roman" w:hAnsi="Arial" w:cs="Arial"/>
                <w:color w:val="000000"/>
                <w:kern w:val="0"/>
                <w:sz w:val="20"/>
                <w:szCs w:val="20"/>
                <w:vertAlign w:val="superscript"/>
                <w:lang w:val="fr-SN" w:eastAsia="fr-SN"/>
                <w14:ligatures w14:val="none"/>
              </w:rPr>
              <w:t>ab</w:t>
            </w:r>
          </w:p>
        </w:tc>
        <w:tc>
          <w:tcPr>
            <w:tcW w:w="903" w:type="dxa"/>
            <w:tcBorders>
              <w:top w:val="nil"/>
              <w:left w:val="nil"/>
              <w:bottom w:val="nil"/>
              <w:right w:val="nil"/>
            </w:tcBorders>
            <w:shd w:val="clear" w:color="auto" w:fill="auto"/>
            <w:noWrap/>
            <w:vAlign w:val="center"/>
            <w:hideMark/>
          </w:tcPr>
          <w:p w14:paraId="54913B6F"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861,25</w:t>
            </w:r>
            <w:r w:rsidRPr="008C39BE">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62A1F46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19</w:t>
            </w:r>
          </w:p>
        </w:tc>
        <w:tc>
          <w:tcPr>
            <w:tcW w:w="701" w:type="dxa"/>
            <w:tcBorders>
              <w:top w:val="nil"/>
              <w:left w:val="nil"/>
              <w:bottom w:val="nil"/>
              <w:right w:val="nil"/>
            </w:tcBorders>
            <w:shd w:val="clear" w:color="auto" w:fill="auto"/>
            <w:noWrap/>
            <w:vAlign w:val="center"/>
            <w:hideMark/>
          </w:tcPr>
          <w:p w14:paraId="7A290C0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0,03</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13BF1368"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0,06</w:t>
            </w:r>
            <w:r w:rsidRPr="008C39BE">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24582C5D"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0,06</w:t>
            </w:r>
            <w:r w:rsidRPr="008C39BE">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65AAAC5F"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w:t>
            </w:r>
          </w:p>
        </w:tc>
      </w:tr>
      <w:tr w:rsidR="001C3CA6" w:rsidRPr="008C39BE" w14:paraId="3EF37DA1" w14:textId="77777777" w:rsidTr="001C3CA6">
        <w:trPr>
          <w:trHeight w:val="324"/>
        </w:trPr>
        <w:tc>
          <w:tcPr>
            <w:tcW w:w="1298" w:type="dxa"/>
            <w:tcBorders>
              <w:top w:val="nil"/>
              <w:left w:val="nil"/>
              <w:bottom w:val="nil"/>
              <w:right w:val="nil"/>
            </w:tcBorders>
            <w:shd w:val="clear" w:color="auto" w:fill="auto"/>
            <w:noWrap/>
            <w:vAlign w:val="center"/>
            <w:hideMark/>
          </w:tcPr>
          <w:p w14:paraId="247F7259"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Off15</w:t>
            </w:r>
          </w:p>
        </w:tc>
        <w:tc>
          <w:tcPr>
            <w:tcW w:w="670" w:type="dxa"/>
            <w:tcBorders>
              <w:top w:val="nil"/>
              <w:left w:val="nil"/>
              <w:bottom w:val="nil"/>
              <w:right w:val="nil"/>
            </w:tcBorders>
            <w:shd w:val="clear" w:color="auto" w:fill="auto"/>
            <w:noWrap/>
            <w:vAlign w:val="center"/>
            <w:hideMark/>
          </w:tcPr>
          <w:p w14:paraId="4852836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6,48</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208782F9"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5,34</w:t>
            </w:r>
            <w:r w:rsidRPr="008C39BE">
              <w:rPr>
                <w:rFonts w:ascii="Arial" w:eastAsia="Times New Roman" w:hAnsi="Arial" w:cs="Arial"/>
                <w:color w:val="000000"/>
                <w:kern w:val="0"/>
                <w:sz w:val="20"/>
                <w:szCs w:val="20"/>
                <w:vertAlign w:val="superscript"/>
                <w:lang w:val="fr-SN" w:eastAsia="fr-SN"/>
                <w14:ligatures w14:val="none"/>
              </w:rPr>
              <w:t>bc</w:t>
            </w:r>
          </w:p>
        </w:tc>
        <w:tc>
          <w:tcPr>
            <w:tcW w:w="891" w:type="dxa"/>
            <w:tcBorders>
              <w:top w:val="nil"/>
              <w:left w:val="nil"/>
              <w:bottom w:val="nil"/>
              <w:right w:val="nil"/>
            </w:tcBorders>
            <w:shd w:val="clear" w:color="auto" w:fill="auto"/>
            <w:noWrap/>
            <w:vAlign w:val="center"/>
            <w:hideMark/>
          </w:tcPr>
          <w:p w14:paraId="09B856AA"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5,37</w:t>
            </w:r>
            <w:r w:rsidRPr="008C39BE">
              <w:rPr>
                <w:rFonts w:ascii="Arial" w:eastAsia="Times New Roman" w:hAnsi="Arial" w:cs="Arial"/>
                <w:color w:val="000000"/>
                <w:kern w:val="0"/>
                <w:sz w:val="20"/>
                <w:szCs w:val="20"/>
                <w:vertAlign w:val="superscript"/>
                <w:lang w:val="fr-SN" w:eastAsia="fr-SN"/>
                <w14:ligatures w14:val="none"/>
              </w:rPr>
              <w:t>bc</w:t>
            </w:r>
          </w:p>
        </w:tc>
        <w:tc>
          <w:tcPr>
            <w:tcW w:w="1116" w:type="dxa"/>
            <w:tcBorders>
              <w:top w:val="nil"/>
              <w:left w:val="nil"/>
              <w:bottom w:val="nil"/>
              <w:right w:val="nil"/>
            </w:tcBorders>
            <w:shd w:val="clear" w:color="auto" w:fill="auto"/>
            <w:noWrap/>
            <w:vAlign w:val="center"/>
            <w:hideMark/>
          </w:tcPr>
          <w:p w14:paraId="7FE160D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0,03</w:t>
            </w:r>
          </w:p>
        </w:tc>
        <w:tc>
          <w:tcPr>
            <w:tcW w:w="681" w:type="dxa"/>
            <w:tcBorders>
              <w:top w:val="nil"/>
              <w:left w:val="nil"/>
              <w:bottom w:val="nil"/>
              <w:right w:val="nil"/>
            </w:tcBorders>
            <w:shd w:val="clear" w:color="auto" w:fill="auto"/>
            <w:noWrap/>
            <w:vAlign w:val="center"/>
            <w:hideMark/>
          </w:tcPr>
          <w:p w14:paraId="044C2073"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571</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77858C4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830,75</w:t>
            </w:r>
            <w:r w:rsidRPr="008C39BE">
              <w:rPr>
                <w:rFonts w:ascii="Arial" w:eastAsia="Times New Roman" w:hAnsi="Arial" w:cs="Arial"/>
                <w:color w:val="000000"/>
                <w:kern w:val="0"/>
                <w:sz w:val="20"/>
                <w:szCs w:val="20"/>
                <w:vertAlign w:val="superscript"/>
                <w:lang w:val="fr-SN" w:eastAsia="fr-SN"/>
                <w14:ligatures w14:val="none"/>
              </w:rPr>
              <w:t>ab</w:t>
            </w:r>
          </w:p>
        </w:tc>
        <w:tc>
          <w:tcPr>
            <w:tcW w:w="903" w:type="dxa"/>
            <w:tcBorders>
              <w:top w:val="nil"/>
              <w:left w:val="nil"/>
              <w:bottom w:val="nil"/>
              <w:right w:val="nil"/>
            </w:tcBorders>
            <w:shd w:val="clear" w:color="auto" w:fill="auto"/>
            <w:noWrap/>
            <w:vAlign w:val="center"/>
            <w:hideMark/>
          </w:tcPr>
          <w:p w14:paraId="5962877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843</w:t>
            </w:r>
            <w:r w:rsidRPr="008C39BE">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33F3786F"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12,25</w:t>
            </w:r>
          </w:p>
        </w:tc>
        <w:tc>
          <w:tcPr>
            <w:tcW w:w="701" w:type="dxa"/>
            <w:tcBorders>
              <w:top w:val="nil"/>
              <w:left w:val="nil"/>
              <w:bottom w:val="nil"/>
              <w:right w:val="nil"/>
            </w:tcBorders>
            <w:shd w:val="clear" w:color="auto" w:fill="auto"/>
            <w:noWrap/>
            <w:vAlign w:val="center"/>
            <w:hideMark/>
          </w:tcPr>
          <w:p w14:paraId="1E60078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0,03</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650C96C9"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0,05</w:t>
            </w:r>
            <w:r w:rsidRPr="008C39BE">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2F017C54"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0,05</w:t>
            </w:r>
            <w:r w:rsidRPr="008C39BE">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670B7E2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w:t>
            </w:r>
          </w:p>
        </w:tc>
      </w:tr>
      <w:tr w:rsidR="001C3CA6" w:rsidRPr="008C39BE" w14:paraId="6901E34B" w14:textId="77777777" w:rsidTr="001C3CA6">
        <w:trPr>
          <w:trHeight w:val="324"/>
        </w:trPr>
        <w:tc>
          <w:tcPr>
            <w:tcW w:w="1298" w:type="dxa"/>
            <w:tcBorders>
              <w:top w:val="nil"/>
              <w:left w:val="nil"/>
              <w:bottom w:val="nil"/>
              <w:right w:val="nil"/>
            </w:tcBorders>
            <w:shd w:val="clear" w:color="auto" w:fill="auto"/>
            <w:noWrap/>
            <w:vAlign w:val="center"/>
            <w:hideMark/>
          </w:tcPr>
          <w:p w14:paraId="1E274CB4"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Lab20</w:t>
            </w:r>
          </w:p>
        </w:tc>
        <w:tc>
          <w:tcPr>
            <w:tcW w:w="670" w:type="dxa"/>
            <w:tcBorders>
              <w:top w:val="nil"/>
              <w:left w:val="nil"/>
              <w:bottom w:val="nil"/>
              <w:right w:val="nil"/>
            </w:tcBorders>
            <w:shd w:val="clear" w:color="auto" w:fill="auto"/>
            <w:noWrap/>
            <w:vAlign w:val="center"/>
            <w:hideMark/>
          </w:tcPr>
          <w:p w14:paraId="64B6463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6,48</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3FB1A2D9"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5,57</w:t>
            </w:r>
            <w:r w:rsidRPr="008C39BE">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1CC12F02"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5,47</w:t>
            </w:r>
            <w:r w:rsidRPr="008C39BE">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3A3520D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-0,1</w:t>
            </w:r>
          </w:p>
        </w:tc>
        <w:tc>
          <w:tcPr>
            <w:tcW w:w="681" w:type="dxa"/>
            <w:tcBorders>
              <w:top w:val="nil"/>
              <w:left w:val="nil"/>
              <w:bottom w:val="nil"/>
              <w:right w:val="nil"/>
            </w:tcBorders>
            <w:shd w:val="clear" w:color="auto" w:fill="auto"/>
            <w:noWrap/>
            <w:vAlign w:val="center"/>
            <w:hideMark/>
          </w:tcPr>
          <w:p w14:paraId="2339AC0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571</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76894CCD"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759</w:t>
            </w:r>
            <w:r w:rsidRPr="008C39BE">
              <w:rPr>
                <w:rFonts w:ascii="Arial" w:eastAsia="Times New Roman" w:hAnsi="Arial" w:cs="Arial"/>
                <w:color w:val="000000"/>
                <w:kern w:val="0"/>
                <w:sz w:val="20"/>
                <w:szCs w:val="20"/>
                <w:vertAlign w:val="superscript"/>
                <w:lang w:val="fr-SN" w:eastAsia="fr-SN"/>
                <w14:ligatures w14:val="none"/>
              </w:rPr>
              <w:t>ab</w:t>
            </w:r>
          </w:p>
        </w:tc>
        <w:tc>
          <w:tcPr>
            <w:tcW w:w="903" w:type="dxa"/>
            <w:tcBorders>
              <w:top w:val="nil"/>
              <w:left w:val="nil"/>
              <w:bottom w:val="nil"/>
              <w:right w:val="nil"/>
            </w:tcBorders>
            <w:shd w:val="clear" w:color="auto" w:fill="auto"/>
            <w:noWrap/>
            <w:vAlign w:val="center"/>
            <w:hideMark/>
          </w:tcPr>
          <w:p w14:paraId="0C544086"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789,83</w:t>
            </w:r>
            <w:r w:rsidRPr="008C39BE">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173C0576"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30,83</w:t>
            </w:r>
          </w:p>
        </w:tc>
        <w:tc>
          <w:tcPr>
            <w:tcW w:w="701" w:type="dxa"/>
            <w:tcBorders>
              <w:top w:val="nil"/>
              <w:left w:val="nil"/>
              <w:bottom w:val="nil"/>
              <w:right w:val="nil"/>
            </w:tcBorders>
            <w:shd w:val="clear" w:color="auto" w:fill="auto"/>
            <w:noWrap/>
            <w:vAlign w:val="center"/>
            <w:hideMark/>
          </w:tcPr>
          <w:p w14:paraId="74AA3CDB"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0,03</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41ED983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0,06</w:t>
            </w:r>
            <w:r w:rsidRPr="008C39BE">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52F55D28"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0,07</w:t>
            </w:r>
            <w:r w:rsidRPr="008C39BE">
              <w:rPr>
                <w:rFonts w:ascii="Arial" w:eastAsia="Times New Roman" w:hAnsi="Arial" w:cs="Arial"/>
                <w:color w:val="000000"/>
                <w:kern w:val="0"/>
                <w:sz w:val="20"/>
                <w:szCs w:val="20"/>
                <w:vertAlign w:val="superscript"/>
                <w:lang w:val="fr-SN" w:eastAsia="fr-SN"/>
                <w14:ligatures w14:val="none"/>
              </w:rPr>
              <w:t>a</w:t>
            </w:r>
          </w:p>
        </w:tc>
        <w:tc>
          <w:tcPr>
            <w:tcW w:w="1117" w:type="dxa"/>
            <w:tcBorders>
              <w:top w:val="nil"/>
              <w:left w:val="nil"/>
              <w:bottom w:val="nil"/>
              <w:right w:val="nil"/>
            </w:tcBorders>
            <w:shd w:val="clear" w:color="auto" w:fill="auto"/>
            <w:noWrap/>
            <w:vAlign w:val="center"/>
            <w:hideMark/>
          </w:tcPr>
          <w:p w14:paraId="2A03A5F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0,01</w:t>
            </w:r>
          </w:p>
        </w:tc>
      </w:tr>
      <w:tr w:rsidR="001C3CA6" w:rsidRPr="008C39BE" w14:paraId="79577F8C" w14:textId="77777777" w:rsidTr="001C3CA6">
        <w:trPr>
          <w:trHeight w:val="324"/>
        </w:trPr>
        <w:tc>
          <w:tcPr>
            <w:tcW w:w="1298" w:type="dxa"/>
            <w:tcBorders>
              <w:top w:val="nil"/>
              <w:left w:val="nil"/>
              <w:bottom w:val="nil"/>
              <w:right w:val="nil"/>
            </w:tcBorders>
            <w:shd w:val="clear" w:color="auto" w:fill="auto"/>
            <w:noWrap/>
            <w:vAlign w:val="center"/>
            <w:hideMark/>
          </w:tcPr>
          <w:p w14:paraId="08799ECC"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Lab30</w:t>
            </w:r>
          </w:p>
        </w:tc>
        <w:tc>
          <w:tcPr>
            <w:tcW w:w="670" w:type="dxa"/>
            <w:tcBorders>
              <w:top w:val="nil"/>
              <w:left w:val="nil"/>
              <w:bottom w:val="nil"/>
              <w:right w:val="nil"/>
            </w:tcBorders>
            <w:shd w:val="clear" w:color="auto" w:fill="auto"/>
            <w:noWrap/>
            <w:vAlign w:val="center"/>
            <w:hideMark/>
          </w:tcPr>
          <w:p w14:paraId="3CCDB6D3"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6,48</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3AEB97C4"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5,76</w:t>
            </w:r>
            <w:r w:rsidRPr="008C39BE">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7B2A0F3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5,41</w:t>
            </w:r>
            <w:r w:rsidRPr="008C39BE">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1797C3F3"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-0,35</w:t>
            </w:r>
          </w:p>
        </w:tc>
        <w:tc>
          <w:tcPr>
            <w:tcW w:w="681" w:type="dxa"/>
            <w:tcBorders>
              <w:top w:val="nil"/>
              <w:left w:val="nil"/>
              <w:bottom w:val="nil"/>
              <w:right w:val="nil"/>
            </w:tcBorders>
            <w:shd w:val="clear" w:color="auto" w:fill="auto"/>
            <w:noWrap/>
            <w:vAlign w:val="center"/>
            <w:hideMark/>
          </w:tcPr>
          <w:p w14:paraId="3444EFA9"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571</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53AAEA94"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584</w:t>
            </w:r>
            <w:r w:rsidRPr="008C39BE">
              <w:rPr>
                <w:rFonts w:ascii="Arial" w:eastAsia="Times New Roman" w:hAnsi="Arial" w:cs="Arial"/>
                <w:color w:val="000000"/>
                <w:kern w:val="0"/>
                <w:sz w:val="20"/>
                <w:szCs w:val="20"/>
                <w:vertAlign w:val="superscript"/>
                <w:lang w:val="fr-SN" w:eastAsia="fr-SN"/>
                <w14:ligatures w14:val="none"/>
              </w:rPr>
              <w:t>b</w:t>
            </w:r>
          </w:p>
        </w:tc>
        <w:tc>
          <w:tcPr>
            <w:tcW w:w="903" w:type="dxa"/>
            <w:tcBorders>
              <w:top w:val="nil"/>
              <w:left w:val="nil"/>
              <w:bottom w:val="nil"/>
              <w:right w:val="nil"/>
            </w:tcBorders>
            <w:shd w:val="clear" w:color="auto" w:fill="auto"/>
            <w:noWrap/>
            <w:vAlign w:val="center"/>
            <w:hideMark/>
          </w:tcPr>
          <w:p w14:paraId="5EF614D8"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597,45</w:t>
            </w:r>
            <w:r w:rsidRPr="008C39BE">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218A7D9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13,45</w:t>
            </w:r>
          </w:p>
        </w:tc>
        <w:tc>
          <w:tcPr>
            <w:tcW w:w="701" w:type="dxa"/>
            <w:tcBorders>
              <w:top w:val="nil"/>
              <w:left w:val="nil"/>
              <w:bottom w:val="nil"/>
              <w:right w:val="nil"/>
            </w:tcBorders>
            <w:shd w:val="clear" w:color="auto" w:fill="auto"/>
            <w:noWrap/>
            <w:vAlign w:val="center"/>
            <w:hideMark/>
          </w:tcPr>
          <w:p w14:paraId="5900922C"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0,03</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05F4820C"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0,06</w:t>
            </w:r>
            <w:r w:rsidRPr="008C39BE">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102DB498"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0,06</w:t>
            </w:r>
            <w:r w:rsidRPr="008C39BE">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4475E178"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w:t>
            </w:r>
          </w:p>
        </w:tc>
      </w:tr>
      <w:tr w:rsidR="001C3CA6" w:rsidRPr="008C39BE" w14:paraId="5E7501BB" w14:textId="77777777" w:rsidTr="001C3CA6">
        <w:trPr>
          <w:trHeight w:val="338"/>
        </w:trPr>
        <w:tc>
          <w:tcPr>
            <w:tcW w:w="1298" w:type="dxa"/>
            <w:tcBorders>
              <w:top w:val="nil"/>
              <w:left w:val="nil"/>
              <w:bottom w:val="single" w:sz="8" w:space="0" w:color="auto"/>
              <w:right w:val="nil"/>
            </w:tcBorders>
            <w:shd w:val="clear" w:color="auto" w:fill="auto"/>
            <w:noWrap/>
            <w:vAlign w:val="center"/>
            <w:hideMark/>
          </w:tcPr>
          <w:p w14:paraId="2CC51E96"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Lab40</w:t>
            </w:r>
          </w:p>
        </w:tc>
        <w:tc>
          <w:tcPr>
            <w:tcW w:w="670" w:type="dxa"/>
            <w:tcBorders>
              <w:top w:val="nil"/>
              <w:left w:val="nil"/>
              <w:bottom w:val="single" w:sz="8" w:space="0" w:color="auto"/>
              <w:right w:val="nil"/>
            </w:tcBorders>
            <w:shd w:val="clear" w:color="auto" w:fill="auto"/>
            <w:noWrap/>
            <w:vAlign w:val="center"/>
            <w:hideMark/>
          </w:tcPr>
          <w:p w14:paraId="21333CBB"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6,48</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single" w:sz="8" w:space="0" w:color="auto"/>
              <w:right w:val="nil"/>
            </w:tcBorders>
            <w:shd w:val="clear" w:color="auto" w:fill="auto"/>
            <w:noWrap/>
            <w:vAlign w:val="center"/>
            <w:hideMark/>
          </w:tcPr>
          <w:p w14:paraId="45AD9C6A"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5,96</w:t>
            </w:r>
            <w:r w:rsidRPr="008C39BE">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single" w:sz="8" w:space="0" w:color="auto"/>
              <w:right w:val="nil"/>
            </w:tcBorders>
            <w:shd w:val="clear" w:color="auto" w:fill="auto"/>
            <w:noWrap/>
            <w:vAlign w:val="center"/>
            <w:hideMark/>
          </w:tcPr>
          <w:p w14:paraId="3056571D"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5,66</w:t>
            </w:r>
            <w:r w:rsidRPr="008C39BE">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single" w:sz="8" w:space="0" w:color="auto"/>
              <w:right w:val="nil"/>
            </w:tcBorders>
            <w:shd w:val="clear" w:color="auto" w:fill="auto"/>
            <w:noWrap/>
            <w:vAlign w:val="center"/>
            <w:hideMark/>
          </w:tcPr>
          <w:p w14:paraId="7B58CDBF"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-0,3</w:t>
            </w:r>
          </w:p>
        </w:tc>
        <w:tc>
          <w:tcPr>
            <w:tcW w:w="681" w:type="dxa"/>
            <w:tcBorders>
              <w:top w:val="nil"/>
              <w:left w:val="nil"/>
              <w:bottom w:val="single" w:sz="8" w:space="0" w:color="auto"/>
              <w:right w:val="nil"/>
            </w:tcBorders>
            <w:shd w:val="clear" w:color="auto" w:fill="auto"/>
            <w:noWrap/>
            <w:vAlign w:val="center"/>
            <w:hideMark/>
          </w:tcPr>
          <w:p w14:paraId="18DA0CE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571</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single" w:sz="8" w:space="0" w:color="auto"/>
              <w:right w:val="nil"/>
            </w:tcBorders>
            <w:shd w:val="clear" w:color="auto" w:fill="auto"/>
            <w:noWrap/>
            <w:vAlign w:val="center"/>
            <w:hideMark/>
          </w:tcPr>
          <w:p w14:paraId="002DBEC8"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1335,75</w:t>
            </w:r>
            <w:r w:rsidRPr="008C39BE">
              <w:rPr>
                <w:rFonts w:ascii="Arial" w:eastAsia="Times New Roman" w:hAnsi="Arial" w:cs="Arial"/>
                <w:color w:val="000000"/>
                <w:kern w:val="0"/>
                <w:sz w:val="20"/>
                <w:szCs w:val="20"/>
                <w:vertAlign w:val="superscript"/>
                <w:lang w:val="fr-SN" w:eastAsia="fr-SN"/>
                <w14:ligatures w14:val="none"/>
              </w:rPr>
              <w:t>c</w:t>
            </w:r>
          </w:p>
        </w:tc>
        <w:tc>
          <w:tcPr>
            <w:tcW w:w="903" w:type="dxa"/>
            <w:tcBorders>
              <w:top w:val="nil"/>
              <w:left w:val="nil"/>
              <w:bottom w:val="single" w:sz="8" w:space="0" w:color="auto"/>
              <w:right w:val="nil"/>
            </w:tcBorders>
            <w:shd w:val="clear" w:color="auto" w:fill="auto"/>
            <w:noWrap/>
            <w:vAlign w:val="center"/>
            <w:hideMark/>
          </w:tcPr>
          <w:p w14:paraId="75FCAF5B"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1352,5</w:t>
            </w:r>
            <w:r w:rsidRPr="008C39BE">
              <w:rPr>
                <w:rFonts w:ascii="Arial" w:eastAsia="Times New Roman" w:hAnsi="Arial" w:cs="Arial"/>
                <w:color w:val="000000"/>
                <w:kern w:val="0"/>
                <w:sz w:val="20"/>
                <w:szCs w:val="20"/>
                <w:vertAlign w:val="superscript"/>
                <w:lang w:val="fr-SN" w:eastAsia="fr-SN"/>
                <w14:ligatures w14:val="none"/>
              </w:rPr>
              <w:t>a</w:t>
            </w:r>
          </w:p>
        </w:tc>
        <w:tc>
          <w:tcPr>
            <w:tcW w:w="1116" w:type="dxa"/>
            <w:tcBorders>
              <w:top w:val="nil"/>
              <w:left w:val="nil"/>
              <w:bottom w:val="single" w:sz="8" w:space="0" w:color="auto"/>
              <w:right w:val="nil"/>
            </w:tcBorders>
            <w:shd w:val="clear" w:color="auto" w:fill="auto"/>
            <w:noWrap/>
            <w:vAlign w:val="center"/>
            <w:hideMark/>
          </w:tcPr>
          <w:p w14:paraId="79E038CF"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16,75</w:t>
            </w:r>
          </w:p>
        </w:tc>
        <w:tc>
          <w:tcPr>
            <w:tcW w:w="701" w:type="dxa"/>
            <w:tcBorders>
              <w:top w:val="nil"/>
              <w:left w:val="nil"/>
              <w:bottom w:val="single" w:sz="8" w:space="0" w:color="auto"/>
              <w:right w:val="nil"/>
            </w:tcBorders>
            <w:shd w:val="clear" w:color="auto" w:fill="auto"/>
            <w:noWrap/>
            <w:vAlign w:val="center"/>
            <w:hideMark/>
          </w:tcPr>
          <w:p w14:paraId="29F04414"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0,03</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single" w:sz="8" w:space="0" w:color="auto"/>
              <w:right w:val="nil"/>
            </w:tcBorders>
            <w:shd w:val="clear" w:color="auto" w:fill="auto"/>
            <w:noWrap/>
            <w:vAlign w:val="center"/>
            <w:hideMark/>
          </w:tcPr>
          <w:p w14:paraId="017075E2"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0,06</w:t>
            </w:r>
            <w:r w:rsidRPr="008C39BE">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single" w:sz="8" w:space="0" w:color="auto"/>
              <w:right w:val="nil"/>
            </w:tcBorders>
            <w:shd w:val="clear" w:color="auto" w:fill="auto"/>
            <w:noWrap/>
            <w:vAlign w:val="center"/>
            <w:hideMark/>
          </w:tcPr>
          <w:p w14:paraId="5266FE92"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0,06</w:t>
            </w:r>
            <w:r w:rsidRPr="008C39BE">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single" w:sz="8" w:space="0" w:color="auto"/>
              <w:right w:val="nil"/>
            </w:tcBorders>
            <w:shd w:val="clear" w:color="auto" w:fill="auto"/>
            <w:noWrap/>
            <w:vAlign w:val="center"/>
            <w:hideMark/>
          </w:tcPr>
          <w:p w14:paraId="54410BF8"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w:t>
            </w:r>
          </w:p>
        </w:tc>
      </w:tr>
      <w:tr w:rsidR="008C39BE" w:rsidRPr="008C39BE" w14:paraId="02F8FF07" w14:textId="77777777" w:rsidTr="001C3CA6">
        <w:trPr>
          <w:trHeight w:val="284"/>
        </w:trPr>
        <w:tc>
          <w:tcPr>
            <w:tcW w:w="1298" w:type="dxa"/>
            <w:tcBorders>
              <w:top w:val="nil"/>
              <w:left w:val="nil"/>
              <w:bottom w:val="single" w:sz="8" w:space="0" w:color="auto"/>
              <w:right w:val="nil"/>
            </w:tcBorders>
            <w:shd w:val="clear" w:color="auto" w:fill="auto"/>
            <w:noWrap/>
            <w:vAlign w:val="bottom"/>
            <w:hideMark/>
          </w:tcPr>
          <w:p w14:paraId="49D05E91" w14:textId="77777777" w:rsidR="008C39BE" w:rsidRPr="008C39BE"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 </w:t>
            </w:r>
          </w:p>
        </w:tc>
        <w:tc>
          <w:tcPr>
            <w:tcW w:w="10617" w:type="dxa"/>
            <w:gridSpan w:val="12"/>
            <w:tcBorders>
              <w:top w:val="single" w:sz="8" w:space="0" w:color="auto"/>
              <w:left w:val="nil"/>
              <w:bottom w:val="single" w:sz="8" w:space="0" w:color="auto"/>
              <w:right w:val="nil"/>
            </w:tcBorders>
            <w:shd w:val="clear" w:color="auto" w:fill="auto"/>
            <w:vAlign w:val="center"/>
            <w:hideMark/>
          </w:tcPr>
          <w:p w14:paraId="59C8AF46" w14:textId="77777777" w:rsidR="008C39BE" w:rsidRPr="008C39BE" w:rsidRDefault="008C39BE" w:rsidP="008C39BE">
            <w:pPr>
              <w:spacing w:after="0" w:line="240" w:lineRule="auto"/>
              <w:jc w:val="center"/>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Lampsar</w:t>
            </w:r>
          </w:p>
        </w:tc>
      </w:tr>
      <w:tr w:rsidR="001C3CA6" w:rsidRPr="008C39BE" w14:paraId="6CC78575" w14:textId="77777777" w:rsidTr="001C3CA6">
        <w:trPr>
          <w:trHeight w:val="324"/>
        </w:trPr>
        <w:tc>
          <w:tcPr>
            <w:tcW w:w="1298" w:type="dxa"/>
            <w:tcBorders>
              <w:top w:val="nil"/>
              <w:left w:val="nil"/>
              <w:bottom w:val="nil"/>
              <w:right w:val="nil"/>
            </w:tcBorders>
            <w:shd w:val="clear" w:color="auto" w:fill="auto"/>
            <w:noWrap/>
            <w:vAlign w:val="center"/>
            <w:hideMark/>
          </w:tcPr>
          <w:p w14:paraId="255C66EB"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Off5</w:t>
            </w:r>
          </w:p>
        </w:tc>
        <w:tc>
          <w:tcPr>
            <w:tcW w:w="670" w:type="dxa"/>
            <w:tcBorders>
              <w:top w:val="nil"/>
              <w:left w:val="nil"/>
              <w:bottom w:val="nil"/>
              <w:right w:val="nil"/>
            </w:tcBorders>
            <w:shd w:val="clear" w:color="auto" w:fill="auto"/>
            <w:noWrap/>
            <w:vAlign w:val="center"/>
            <w:hideMark/>
          </w:tcPr>
          <w:p w14:paraId="64E501C4"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6,71</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4081961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5,87</w:t>
            </w:r>
            <w:r w:rsidRPr="008C39BE">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4668D58A"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5,74</w:t>
            </w:r>
            <w:r w:rsidRPr="008C39BE">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3ED4E46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-0,13</w:t>
            </w:r>
          </w:p>
        </w:tc>
        <w:tc>
          <w:tcPr>
            <w:tcW w:w="681" w:type="dxa"/>
            <w:tcBorders>
              <w:top w:val="nil"/>
              <w:left w:val="nil"/>
              <w:bottom w:val="nil"/>
              <w:right w:val="nil"/>
            </w:tcBorders>
            <w:shd w:val="clear" w:color="auto" w:fill="auto"/>
            <w:noWrap/>
            <w:vAlign w:val="center"/>
            <w:hideMark/>
          </w:tcPr>
          <w:p w14:paraId="084B120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270</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42FF120C"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521,96</w:t>
            </w:r>
            <w:r w:rsidRPr="008C39BE">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nil"/>
              <w:right w:val="nil"/>
            </w:tcBorders>
            <w:shd w:val="clear" w:color="auto" w:fill="auto"/>
            <w:noWrap/>
            <w:vAlign w:val="center"/>
            <w:hideMark/>
          </w:tcPr>
          <w:p w14:paraId="4E643418"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380,5</w:t>
            </w:r>
            <w:r w:rsidRPr="008C39BE">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752F5F79"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-141,46</w:t>
            </w:r>
          </w:p>
        </w:tc>
        <w:tc>
          <w:tcPr>
            <w:tcW w:w="701" w:type="dxa"/>
            <w:tcBorders>
              <w:top w:val="nil"/>
              <w:left w:val="nil"/>
              <w:bottom w:val="nil"/>
              <w:right w:val="nil"/>
            </w:tcBorders>
            <w:shd w:val="clear" w:color="auto" w:fill="auto"/>
            <w:noWrap/>
            <w:vAlign w:val="center"/>
            <w:hideMark/>
          </w:tcPr>
          <w:p w14:paraId="356E8E3B"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0,05</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6D534F36"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0,08</w:t>
            </w:r>
            <w:r w:rsidRPr="008C39BE">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3012CC6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0,07</w:t>
            </w:r>
            <w:r w:rsidRPr="008C39BE">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5C38093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-0,01</w:t>
            </w:r>
          </w:p>
        </w:tc>
      </w:tr>
      <w:tr w:rsidR="001C3CA6" w:rsidRPr="008C39BE" w14:paraId="38601856" w14:textId="77777777" w:rsidTr="001C3CA6">
        <w:trPr>
          <w:trHeight w:val="324"/>
        </w:trPr>
        <w:tc>
          <w:tcPr>
            <w:tcW w:w="1298" w:type="dxa"/>
            <w:tcBorders>
              <w:top w:val="nil"/>
              <w:left w:val="nil"/>
              <w:bottom w:val="nil"/>
              <w:right w:val="nil"/>
            </w:tcBorders>
            <w:shd w:val="clear" w:color="auto" w:fill="auto"/>
            <w:noWrap/>
            <w:vAlign w:val="center"/>
            <w:hideMark/>
          </w:tcPr>
          <w:p w14:paraId="3D57D5F6"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Off10</w:t>
            </w:r>
          </w:p>
        </w:tc>
        <w:tc>
          <w:tcPr>
            <w:tcW w:w="670" w:type="dxa"/>
            <w:tcBorders>
              <w:top w:val="nil"/>
              <w:left w:val="nil"/>
              <w:bottom w:val="nil"/>
              <w:right w:val="nil"/>
            </w:tcBorders>
            <w:shd w:val="clear" w:color="auto" w:fill="auto"/>
            <w:noWrap/>
            <w:vAlign w:val="center"/>
            <w:hideMark/>
          </w:tcPr>
          <w:p w14:paraId="6DB80CF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6,71</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48D64E53"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6,02</w:t>
            </w:r>
            <w:r w:rsidRPr="008C39BE">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6087A3E3"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5,95</w:t>
            </w:r>
            <w:r w:rsidRPr="008C39BE">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4EA71E38"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-0,07</w:t>
            </w:r>
          </w:p>
        </w:tc>
        <w:tc>
          <w:tcPr>
            <w:tcW w:w="681" w:type="dxa"/>
            <w:tcBorders>
              <w:top w:val="nil"/>
              <w:left w:val="nil"/>
              <w:bottom w:val="nil"/>
              <w:right w:val="nil"/>
            </w:tcBorders>
            <w:shd w:val="clear" w:color="auto" w:fill="auto"/>
            <w:noWrap/>
            <w:vAlign w:val="center"/>
            <w:hideMark/>
          </w:tcPr>
          <w:p w14:paraId="7C3F339D"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270</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1FAC161B"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401,52</w:t>
            </w:r>
            <w:r w:rsidRPr="008C39BE">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nil"/>
              <w:right w:val="nil"/>
            </w:tcBorders>
            <w:shd w:val="clear" w:color="auto" w:fill="auto"/>
            <w:noWrap/>
            <w:vAlign w:val="center"/>
            <w:hideMark/>
          </w:tcPr>
          <w:p w14:paraId="27D8DE4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366,5</w:t>
            </w:r>
            <w:r w:rsidRPr="008C39BE">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45D3324A"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-35,02</w:t>
            </w:r>
          </w:p>
        </w:tc>
        <w:tc>
          <w:tcPr>
            <w:tcW w:w="701" w:type="dxa"/>
            <w:tcBorders>
              <w:top w:val="nil"/>
              <w:left w:val="nil"/>
              <w:bottom w:val="nil"/>
              <w:right w:val="nil"/>
            </w:tcBorders>
            <w:shd w:val="clear" w:color="auto" w:fill="auto"/>
            <w:noWrap/>
            <w:vAlign w:val="center"/>
            <w:hideMark/>
          </w:tcPr>
          <w:p w14:paraId="523D101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0,05</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0B9ECF3F"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0,06</w:t>
            </w:r>
            <w:r w:rsidRPr="008C39BE">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668160A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0,07</w:t>
            </w:r>
            <w:r w:rsidRPr="008C39BE">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0C65CC6D"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0,01</w:t>
            </w:r>
          </w:p>
        </w:tc>
      </w:tr>
      <w:tr w:rsidR="001C3CA6" w:rsidRPr="008C39BE" w14:paraId="0EB00887" w14:textId="77777777" w:rsidTr="001C3CA6">
        <w:trPr>
          <w:trHeight w:val="324"/>
        </w:trPr>
        <w:tc>
          <w:tcPr>
            <w:tcW w:w="1298" w:type="dxa"/>
            <w:tcBorders>
              <w:top w:val="nil"/>
              <w:left w:val="nil"/>
              <w:bottom w:val="nil"/>
              <w:right w:val="nil"/>
            </w:tcBorders>
            <w:shd w:val="clear" w:color="auto" w:fill="auto"/>
            <w:noWrap/>
            <w:vAlign w:val="center"/>
            <w:hideMark/>
          </w:tcPr>
          <w:p w14:paraId="5992718F"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Off15</w:t>
            </w:r>
          </w:p>
        </w:tc>
        <w:tc>
          <w:tcPr>
            <w:tcW w:w="670" w:type="dxa"/>
            <w:tcBorders>
              <w:top w:val="nil"/>
              <w:left w:val="nil"/>
              <w:bottom w:val="nil"/>
              <w:right w:val="nil"/>
            </w:tcBorders>
            <w:shd w:val="clear" w:color="auto" w:fill="auto"/>
            <w:noWrap/>
            <w:vAlign w:val="center"/>
            <w:hideMark/>
          </w:tcPr>
          <w:p w14:paraId="621B5E6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6,71</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4F008A80"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6,05</w:t>
            </w:r>
            <w:r w:rsidRPr="008C39BE">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62CE337A"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5,94</w:t>
            </w:r>
            <w:r w:rsidRPr="008C39BE">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1B99CD8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-0,11</w:t>
            </w:r>
          </w:p>
        </w:tc>
        <w:tc>
          <w:tcPr>
            <w:tcW w:w="681" w:type="dxa"/>
            <w:tcBorders>
              <w:top w:val="nil"/>
              <w:left w:val="nil"/>
              <w:bottom w:val="nil"/>
              <w:right w:val="nil"/>
            </w:tcBorders>
            <w:shd w:val="clear" w:color="auto" w:fill="auto"/>
            <w:noWrap/>
            <w:vAlign w:val="center"/>
            <w:hideMark/>
          </w:tcPr>
          <w:p w14:paraId="766D7CD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270</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615B4009"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388,39</w:t>
            </w:r>
            <w:r w:rsidRPr="008C39BE">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nil"/>
              <w:right w:val="nil"/>
            </w:tcBorders>
            <w:shd w:val="clear" w:color="auto" w:fill="auto"/>
            <w:noWrap/>
            <w:vAlign w:val="center"/>
            <w:hideMark/>
          </w:tcPr>
          <w:p w14:paraId="04B483E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324,5</w:t>
            </w:r>
            <w:r w:rsidRPr="008C39BE">
              <w:rPr>
                <w:rFonts w:ascii="Arial" w:eastAsia="Times New Roman" w:hAnsi="Arial" w:cs="Arial"/>
                <w:color w:val="000000"/>
                <w:kern w:val="0"/>
                <w:sz w:val="20"/>
                <w:szCs w:val="20"/>
                <w:vertAlign w:val="superscript"/>
                <w:lang w:val="fr-SN" w:eastAsia="fr-SN"/>
                <w14:ligatures w14:val="none"/>
              </w:rPr>
              <w:t>a</w:t>
            </w:r>
          </w:p>
        </w:tc>
        <w:tc>
          <w:tcPr>
            <w:tcW w:w="1116" w:type="dxa"/>
            <w:tcBorders>
              <w:top w:val="nil"/>
              <w:left w:val="nil"/>
              <w:bottom w:val="nil"/>
              <w:right w:val="nil"/>
            </w:tcBorders>
            <w:shd w:val="clear" w:color="auto" w:fill="auto"/>
            <w:noWrap/>
            <w:vAlign w:val="center"/>
            <w:hideMark/>
          </w:tcPr>
          <w:p w14:paraId="1C34ADE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-63,89</w:t>
            </w:r>
          </w:p>
        </w:tc>
        <w:tc>
          <w:tcPr>
            <w:tcW w:w="701" w:type="dxa"/>
            <w:tcBorders>
              <w:top w:val="nil"/>
              <w:left w:val="nil"/>
              <w:bottom w:val="nil"/>
              <w:right w:val="nil"/>
            </w:tcBorders>
            <w:shd w:val="clear" w:color="auto" w:fill="auto"/>
            <w:noWrap/>
            <w:vAlign w:val="center"/>
            <w:hideMark/>
          </w:tcPr>
          <w:p w14:paraId="2BFF415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0,05</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7A7B8890"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0,08</w:t>
            </w:r>
            <w:r w:rsidRPr="008C39BE">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7032FF36"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0,08</w:t>
            </w:r>
            <w:r w:rsidRPr="008C39BE">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6F75A10B"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w:t>
            </w:r>
          </w:p>
        </w:tc>
      </w:tr>
      <w:tr w:rsidR="001C3CA6" w:rsidRPr="008C39BE" w14:paraId="2EC14250" w14:textId="77777777" w:rsidTr="001C3CA6">
        <w:trPr>
          <w:trHeight w:val="324"/>
        </w:trPr>
        <w:tc>
          <w:tcPr>
            <w:tcW w:w="1298" w:type="dxa"/>
            <w:tcBorders>
              <w:top w:val="nil"/>
              <w:left w:val="nil"/>
              <w:bottom w:val="nil"/>
              <w:right w:val="nil"/>
            </w:tcBorders>
            <w:shd w:val="clear" w:color="auto" w:fill="auto"/>
            <w:noWrap/>
            <w:vAlign w:val="center"/>
            <w:hideMark/>
          </w:tcPr>
          <w:p w14:paraId="1243DB51"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Lab20</w:t>
            </w:r>
          </w:p>
        </w:tc>
        <w:tc>
          <w:tcPr>
            <w:tcW w:w="670" w:type="dxa"/>
            <w:tcBorders>
              <w:top w:val="nil"/>
              <w:left w:val="nil"/>
              <w:bottom w:val="nil"/>
              <w:right w:val="nil"/>
            </w:tcBorders>
            <w:shd w:val="clear" w:color="auto" w:fill="auto"/>
            <w:noWrap/>
            <w:vAlign w:val="center"/>
            <w:hideMark/>
          </w:tcPr>
          <w:p w14:paraId="504175B6"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6,71</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7A4DA54C"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6,04</w:t>
            </w:r>
            <w:r w:rsidRPr="008C39BE">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0FCB612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5,92</w:t>
            </w:r>
            <w:r w:rsidRPr="008C39BE">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085BCBE6"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-0,12</w:t>
            </w:r>
          </w:p>
        </w:tc>
        <w:tc>
          <w:tcPr>
            <w:tcW w:w="681" w:type="dxa"/>
            <w:tcBorders>
              <w:top w:val="nil"/>
              <w:left w:val="nil"/>
              <w:bottom w:val="nil"/>
              <w:right w:val="nil"/>
            </w:tcBorders>
            <w:shd w:val="clear" w:color="auto" w:fill="auto"/>
            <w:noWrap/>
            <w:vAlign w:val="center"/>
            <w:hideMark/>
          </w:tcPr>
          <w:p w14:paraId="44A9F42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270</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4708151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491,78</w:t>
            </w:r>
            <w:r w:rsidRPr="008C39BE">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nil"/>
              <w:right w:val="nil"/>
            </w:tcBorders>
            <w:shd w:val="clear" w:color="auto" w:fill="auto"/>
            <w:noWrap/>
            <w:vAlign w:val="center"/>
            <w:hideMark/>
          </w:tcPr>
          <w:p w14:paraId="1C1F0C66"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513,25</w:t>
            </w:r>
            <w:r w:rsidRPr="008C39BE">
              <w:rPr>
                <w:rFonts w:ascii="Arial" w:eastAsia="Times New Roman" w:hAnsi="Arial" w:cs="Arial"/>
                <w:color w:val="000000"/>
                <w:kern w:val="0"/>
                <w:sz w:val="20"/>
                <w:szCs w:val="20"/>
                <w:vertAlign w:val="superscript"/>
                <w:lang w:val="fr-SN" w:eastAsia="fr-SN"/>
                <w14:ligatures w14:val="none"/>
              </w:rPr>
              <w:t>c</w:t>
            </w:r>
          </w:p>
        </w:tc>
        <w:tc>
          <w:tcPr>
            <w:tcW w:w="1116" w:type="dxa"/>
            <w:tcBorders>
              <w:top w:val="nil"/>
              <w:left w:val="nil"/>
              <w:bottom w:val="nil"/>
              <w:right w:val="nil"/>
            </w:tcBorders>
            <w:shd w:val="clear" w:color="auto" w:fill="auto"/>
            <w:noWrap/>
            <w:vAlign w:val="center"/>
            <w:hideMark/>
          </w:tcPr>
          <w:p w14:paraId="6E2B592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21,47</w:t>
            </w:r>
          </w:p>
        </w:tc>
        <w:tc>
          <w:tcPr>
            <w:tcW w:w="701" w:type="dxa"/>
            <w:tcBorders>
              <w:top w:val="nil"/>
              <w:left w:val="nil"/>
              <w:bottom w:val="nil"/>
              <w:right w:val="nil"/>
            </w:tcBorders>
            <w:shd w:val="clear" w:color="auto" w:fill="auto"/>
            <w:noWrap/>
            <w:vAlign w:val="center"/>
            <w:hideMark/>
          </w:tcPr>
          <w:p w14:paraId="10072A0C"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0,05</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7DE4C6ED"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0,05</w:t>
            </w:r>
            <w:r w:rsidRPr="008C39BE">
              <w:rPr>
                <w:rFonts w:ascii="Arial" w:eastAsia="Times New Roman" w:hAnsi="Arial" w:cs="Arial"/>
                <w:color w:val="000000"/>
                <w:kern w:val="0"/>
                <w:sz w:val="20"/>
                <w:szCs w:val="20"/>
                <w:vertAlign w:val="superscript"/>
                <w:lang w:val="fr-SN" w:eastAsia="fr-SN"/>
                <w14:ligatures w14:val="none"/>
              </w:rPr>
              <w:t>a</w:t>
            </w:r>
          </w:p>
        </w:tc>
        <w:tc>
          <w:tcPr>
            <w:tcW w:w="776" w:type="dxa"/>
            <w:tcBorders>
              <w:top w:val="nil"/>
              <w:left w:val="nil"/>
              <w:bottom w:val="nil"/>
              <w:right w:val="nil"/>
            </w:tcBorders>
            <w:shd w:val="clear" w:color="auto" w:fill="auto"/>
            <w:noWrap/>
            <w:vAlign w:val="center"/>
            <w:hideMark/>
          </w:tcPr>
          <w:p w14:paraId="4CB0779F"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0,07</w:t>
            </w:r>
            <w:r w:rsidRPr="008C39BE">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28E9DC9D"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0,02</w:t>
            </w:r>
          </w:p>
        </w:tc>
      </w:tr>
      <w:tr w:rsidR="001C3CA6" w:rsidRPr="008C39BE" w14:paraId="04090ECC" w14:textId="77777777" w:rsidTr="001C3CA6">
        <w:trPr>
          <w:trHeight w:val="324"/>
        </w:trPr>
        <w:tc>
          <w:tcPr>
            <w:tcW w:w="1298" w:type="dxa"/>
            <w:tcBorders>
              <w:top w:val="nil"/>
              <w:left w:val="nil"/>
              <w:bottom w:val="nil"/>
              <w:right w:val="nil"/>
            </w:tcBorders>
            <w:shd w:val="clear" w:color="auto" w:fill="auto"/>
            <w:noWrap/>
            <w:vAlign w:val="center"/>
            <w:hideMark/>
          </w:tcPr>
          <w:p w14:paraId="4719B148"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Lab30</w:t>
            </w:r>
          </w:p>
        </w:tc>
        <w:tc>
          <w:tcPr>
            <w:tcW w:w="670" w:type="dxa"/>
            <w:tcBorders>
              <w:top w:val="nil"/>
              <w:left w:val="nil"/>
              <w:bottom w:val="nil"/>
              <w:right w:val="nil"/>
            </w:tcBorders>
            <w:shd w:val="clear" w:color="auto" w:fill="auto"/>
            <w:noWrap/>
            <w:vAlign w:val="center"/>
            <w:hideMark/>
          </w:tcPr>
          <w:p w14:paraId="3FB2F62A"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6,71</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4F9A8F62"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6,02</w:t>
            </w:r>
            <w:r w:rsidRPr="008C39BE">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777B928B"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5,88</w:t>
            </w:r>
            <w:r w:rsidRPr="008C39BE">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5AB1C692"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-0,14</w:t>
            </w:r>
          </w:p>
        </w:tc>
        <w:tc>
          <w:tcPr>
            <w:tcW w:w="681" w:type="dxa"/>
            <w:tcBorders>
              <w:top w:val="nil"/>
              <w:left w:val="nil"/>
              <w:bottom w:val="nil"/>
              <w:right w:val="nil"/>
            </w:tcBorders>
            <w:shd w:val="clear" w:color="auto" w:fill="auto"/>
            <w:noWrap/>
            <w:vAlign w:val="center"/>
            <w:hideMark/>
          </w:tcPr>
          <w:p w14:paraId="711BB46A"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270</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4EE53D7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552,6</w:t>
            </w:r>
            <w:r w:rsidRPr="008C39BE">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nil"/>
              <w:right w:val="nil"/>
            </w:tcBorders>
            <w:shd w:val="clear" w:color="auto" w:fill="auto"/>
            <w:noWrap/>
            <w:vAlign w:val="center"/>
            <w:hideMark/>
          </w:tcPr>
          <w:p w14:paraId="4B74F5B2"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532,75</w:t>
            </w:r>
            <w:r w:rsidRPr="008C39BE">
              <w:rPr>
                <w:rFonts w:ascii="Arial" w:eastAsia="Times New Roman" w:hAnsi="Arial" w:cs="Arial"/>
                <w:color w:val="000000"/>
                <w:kern w:val="0"/>
                <w:sz w:val="20"/>
                <w:szCs w:val="20"/>
                <w:vertAlign w:val="superscript"/>
                <w:lang w:val="fr-SN" w:eastAsia="fr-SN"/>
                <w14:ligatures w14:val="none"/>
              </w:rPr>
              <w:t>c</w:t>
            </w:r>
          </w:p>
        </w:tc>
        <w:tc>
          <w:tcPr>
            <w:tcW w:w="1116" w:type="dxa"/>
            <w:tcBorders>
              <w:top w:val="nil"/>
              <w:left w:val="nil"/>
              <w:bottom w:val="nil"/>
              <w:right w:val="nil"/>
            </w:tcBorders>
            <w:shd w:val="clear" w:color="auto" w:fill="auto"/>
            <w:noWrap/>
            <w:vAlign w:val="center"/>
            <w:hideMark/>
          </w:tcPr>
          <w:p w14:paraId="61028F38"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-19,85</w:t>
            </w:r>
          </w:p>
        </w:tc>
        <w:tc>
          <w:tcPr>
            <w:tcW w:w="701" w:type="dxa"/>
            <w:tcBorders>
              <w:top w:val="nil"/>
              <w:left w:val="nil"/>
              <w:bottom w:val="nil"/>
              <w:right w:val="nil"/>
            </w:tcBorders>
            <w:shd w:val="clear" w:color="auto" w:fill="auto"/>
            <w:noWrap/>
            <w:vAlign w:val="center"/>
            <w:hideMark/>
          </w:tcPr>
          <w:p w14:paraId="3A3D4437"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0,05</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5B6EC8E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0,06</w:t>
            </w:r>
            <w:r w:rsidRPr="008C39BE">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441DEE01"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0,07</w:t>
            </w:r>
            <w:r w:rsidRPr="008C39BE">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4B407D0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0,01</w:t>
            </w:r>
          </w:p>
        </w:tc>
      </w:tr>
      <w:tr w:rsidR="001C3CA6" w:rsidRPr="008C39BE" w14:paraId="11CCD439" w14:textId="77777777" w:rsidTr="001C3CA6">
        <w:trPr>
          <w:trHeight w:val="338"/>
        </w:trPr>
        <w:tc>
          <w:tcPr>
            <w:tcW w:w="1298" w:type="dxa"/>
            <w:tcBorders>
              <w:top w:val="nil"/>
              <w:left w:val="nil"/>
              <w:bottom w:val="single" w:sz="8" w:space="0" w:color="auto"/>
              <w:right w:val="nil"/>
            </w:tcBorders>
            <w:shd w:val="clear" w:color="auto" w:fill="auto"/>
            <w:noWrap/>
            <w:vAlign w:val="center"/>
            <w:hideMark/>
          </w:tcPr>
          <w:p w14:paraId="6A8963C0" w14:textId="77777777" w:rsidR="008C39BE" w:rsidRPr="008C39BE"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C39BE">
              <w:rPr>
                <w:rFonts w:ascii="Arial" w:eastAsia="Times New Roman" w:hAnsi="Arial" w:cs="Arial"/>
                <w:b/>
                <w:bCs/>
                <w:color w:val="000000"/>
                <w:kern w:val="0"/>
                <w:sz w:val="20"/>
                <w:szCs w:val="20"/>
                <w:lang w:val="fr-SN" w:eastAsia="fr-SN"/>
                <w14:ligatures w14:val="none"/>
              </w:rPr>
              <w:t>Lab40</w:t>
            </w:r>
          </w:p>
        </w:tc>
        <w:tc>
          <w:tcPr>
            <w:tcW w:w="670" w:type="dxa"/>
            <w:tcBorders>
              <w:top w:val="nil"/>
              <w:left w:val="nil"/>
              <w:bottom w:val="single" w:sz="8" w:space="0" w:color="auto"/>
              <w:right w:val="nil"/>
            </w:tcBorders>
            <w:shd w:val="clear" w:color="auto" w:fill="auto"/>
            <w:noWrap/>
            <w:vAlign w:val="center"/>
            <w:hideMark/>
          </w:tcPr>
          <w:p w14:paraId="33C4AD12"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6,71</w:t>
            </w:r>
            <w:r w:rsidRPr="008C39BE">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single" w:sz="8" w:space="0" w:color="auto"/>
              <w:right w:val="nil"/>
            </w:tcBorders>
            <w:shd w:val="clear" w:color="auto" w:fill="auto"/>
            <w:noWrap/>
            <w:vAlign w:val="center"/>
            <w:hideMark/>
          </w:tcPr>
          <w:p w14:paraId="1B3049BB"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5,84</w:t>
            </w:r>
            <w:r w:rsidRPr="008C39BE">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single" w:sz="8" w:space="0" w:color="auto"/>
              <w:right w:val="nil"/>
            </w:tcBorders>
            <w:shd w:val="clear" w:color="auto" w:fill="auto"/>
            <w:noWrap/>
            <w:vAlign w:val="center"/>
            <w:hideMark/>
          </w:tcPr>
          <w:p w14:paraId="26895BA2"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5,69</w:t>
            </w:r>
            <w:r w:rsidRPr="008C39BE">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single" w:sz="8" w:space="0" w:color="auto"/>
              <w:right w:val="nil"/>
            </w:tcBorders>
            <w:shd w:val="clear" w:color="auto" w:fill="auto"/>
            <w:noWrap/>
            <w:vAlign w:val="center"/>
            <w:hideMark/>
          </w:tcPr>
          <w:p w14:paraId="7E8D2160"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-0,15</w:t>
            </w:r>
          </w:p>
        </w:tc>
        <w:tc>
          <w:tcPr>
            <w:tcW w:w="681" w:type="dxa"/>
            <w:tcBorders>
              <w:top w:val="nil"/>
              <w:left w:val="nil"/>
              <w:bottom w:val="single" w:sz="8" w:space="0" w:color="auto"/>
              <w:right w:val="nil"/>
            </w:tcBorders>
            <w:shd w:val="clear" w:color="auto" w:fill="auto"/>
            <w:noWrap/>
            <w:vAlign w:val="center"/>
            <w:hideMark/>
          </w:tcPr>
          <w:p w14:paraId="074663AD"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270</w:t>
            </w:r>
            <w:r w:rsidRPr="008C39BE">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single" w:sz="8" w:space="0" w:color="auto"/>
              <w:right w:val="nil"/>
            </w:tcBorders>
            <w:shd w:val="clear" w:color="auto" w:fill="auto"/>
            <w:noWrap/>
            <w:vAlign w:val="center"/>
            <w:hideMark/>
          </w:tcPr>
          <w:p w14:paraId="326AAAC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533,72</w:t>
            </w:r>
            <w:r w:rsidRPr="008C39BE">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single" w:sz="8" w:space="0" w:color="auto"/>
              <w:right w:val="nil"/>
            </w:tcBorders>
            <w:shd w:val="clear" w:color="auto" w:fill="auto"/>
            <w:noWrap/>
            <w:vAlign w:val="center"/>
            <w:hideMark/>
          </w:tcPr>
          <w:p w14:paraId="41277B33"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572,75</w:t>
            </w:r>
            <w:r w:rsidRPr="008C39BE">
              <w:rPr>
                <w:rFonts w:ascii="Arial" w:eastAsia="Times New Roman" w:hAnsi="Arial" w:cs="Arial"/>
                <w:color w:val="000000"/>
                <w:kern w:val="0"/>
                <w:sz w:val="20"/>
                <w:szCs w:val="20"/>
                <w:vertAlign w:val="superscript"/>
                <w:lang w:val="fr-SN" w:eastAsia="fr-SN"/>
                <w14:ligatures w14:val="none"/>
              </w:rPr>
              <w:t>c</w:t>
            </w:r>
          </w:p>
        </w:tc>
        <w:tc>
          <w:tcPr>
            <w:tcW w:w="1116" w:type="dxa"/>
            <w:tcBorders>
              <w:top w:val="nil"/>
              <w:left w:val="nil"/>
              <w:bottom w:val="single" w:sz="8" w:space="0" w:color="auto"/>
              <w:right w:val="nil"/>
            </w:tcBorders>
            <w:shd w:val="clear" w:color="auto" w:fill="auto"/>
            <w:noWrap/>
            <w:vAlign w:val="center"/>
            <w:hideMark/>
          </w:tcPr>
          <w:p w14:paraId="22AE2F9E"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39,03</w:t>
            </w:r>
          </w:p>
        </w:tc>
        <w:tc>
          <w:tcPr>
            <w:tcW w:w="701" w:type="dxa"/>
            <w:tcBorders>
              <w:top w:val="nil"/>
              <w:left w:val="nil"/>
              <w:bottom w:val="single" w:sz="8" w:space="0" w:color="auto"/>
              <w:right w:val="nil"/>
            </w:tcBorders>
            <w:shd w:val="clear" w:color="auto" w:fill="auto"/>
            <w:noWrap/>
            <w:vAlign w:val="center"/>
            <w:hideMark/>
          </w:tcPr>
          <w:p w14:paraId="0F657CF2"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0,05</w:t>
            </w:r>
            <w:r w:rsidRPr="008C39BE">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single" w:sz="8" w:space="0" w:color="auto"/>
              <w:right w:val="nil"/>
            </w:tcBorders>
            <w:shd w:val="clear" w:color="auto" w:fill="auto"/>
            <w:noWrap/>
            <w:vAlign w:val="center"/>
            <w:hideMark/>
          </w:tcPr>
          <w:p w14:paraId="4376FA66"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0,07</w:t>
            </w:r>
            <w:r w:rsidRPr="008C39BE">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single" w:sz="8" w:space="0" w:color="auto"/>
              <w:right w:val="nil"/>
            </w:tcBorders>
            <w:shd w:val="clear" w:color="auto" w:fill="auto"/>
            <w:noWrap/>
            <w:vAlign w:val="center"/>
            <w:hideMark/>
          </w:tcPr>
          <w:p w14:paraId="4670F485"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0,07</w:t>
            </w:r>
            <w:r w:rsidRPr="008C39BE">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single" w:sz="8" w:space="0" w:color="auto"/>
              <w:right w:val="nil"/>
            </w:tcBorders>
            <w:shd w:val="clear" w:color="auto" w:fill="auto"/>
            <w:noWrap/>
            <w:vAlign w:val="center"/>
            <w:hideMark/>
          </w:tcPr>
          <w:p w14:paraId="76616782" w14:textId="77777777" w:rsidR="008C39BE" w:rsidRPr="008C39BE"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C39BE">
              <w:rPr>
                <w:rFonts w:ascii="Arial" w:eastAsia="Times New Roman" w:hAnsi="Arial" w:cs="Arial"/>
                <w:color w:val="000000"/>
                <w:kern w:val="0"/>
                <w:sz w:val="20"/>
                <w:szCs w:val="20"/>
                <w:lang w:val="fr-SN" w:eastAsia="fr-SN"/>
                <w14:ligatures w14:val="none"/>
              </w:rPr>
              <w:t>0</w:t>
            </w:r>
          </w:p>
        </w:tc>
      </w:tr>
    </w:tbl>
    <w:tbl>
      <w:tblPr>
        <w:tblW w:w="10166" w:type="dxa"/>
        <w:jc w:val="center"/>
        <w:tblCellMar>
          <w:left w:w="70" w:type="dxa"/>
          <w:right w:w="70" w:type="dxa"/>
        </w:tblCellMar>
        <w:tblLook w:val="04A0" w:firstRow="1" w:lastRow="0" w:firstColumn="1" w:lastColumn="0" w:noHBand="0" w:noVBand="1"/>
      </w:tblPr>
      <w:tblGrid>
        <w:gridCol w:w="1330"/>
        <w:gridCol w:w="713"/>
        <w:gridCol w:w="936"/>
        <w:gridCol w:w="916"/>
        <w:gridCol w:w="1107"/>
        <w:gridCol w:w="1221"/>
        <w:gridCol w:w="1221"/>
        <w:gridCol w:w="1221"/>
        <w:gridCol w:w="1501"/>
      </w:tblGrid>
      <w:tr w:rsidR="001C3CA6" w:rsidRPr="001C3CA6" w14:paraId="5E552537" w14:textId="77777777" w:rsidTr="001C3CA6">
        <w:trPr>
          <w:trHeight w:val="305"/>
          <w:jc w:val="center"/>
        </w:trPr>
        <w:tc>
          <w:tcPr>
            <w:tcW w:w="1330" w:type="dxa"/>
            <w:tcBorders>
              <w:top w:val="nil"/>
              <w:left w:val="nil"/>
              <w:bottom w:val="nil"/>
              <w:right w:val="nil"/>
            </w:tcBorders>
            <w:shd w:val="clear" w:color="auto" w:fill="auto"/>
            <w:noWrap/>
            <w:vAlign w:val="bottom"/>
            <w:hideMark/>
          </w:tcPr>
          <w:p w14:paraId="7BBDD1A1" w14:textId="77777777" w:rsidR="001C3CA6" w:rsidRPr="001C3CA6" w:rsidRDefault="001C3CA6" w:rsidP="001C3CA6">
            <w:pPr>
              <w:spacing w:after="0" w:line="240" w:lineRule="auto"/>
              <w:rPr>
                <w:rFonts w:ascii="Arial" w:eastAsia="Times New Roman" w:hAnsi="Arial" w:cs="Arial"/>
                <w:kern w:val="0"/>
                <w:sz w:val="20"/>
                <w:szCs w:val="20"/>
                <w:lang w:val="fr-SN" w:eastAsia="fr-SN"/>
                <w14:ligatures w14:val="none"/>
              </w:rPr>
            </w:pPr>
          </w:p>
        </w:tc>
        <w:tc>
          <w:tcPr>
            <w:tcW w:w="713" w:type="dxa"/>
            <w:tcBorders>
              <w:top w:val="nil"/>
              <w:left w:val="nil"/>
              <w:bottom w:val="single" w:sz="8" w:space="0" w:color="auto"/>
              <w:right w:val="nil"/>
            </w:tcBorders>
            <w:shd w:val="clear" w:color="auto" w:fill="auto"/>
            <w:noWrap/>
            <w:vAlign w:val="bottom"/>
            <w:hideMark/>
          </w:tcPr>
          <w:p w14:paraId="3C200F57" w14:textId="77777777" w:rsidR="001C3CA6" w:rsidRPr="001C3CA6"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 </w:t>
            </w:r>
          </w:p>
        </w:tc>
        <w:tc>
          <w:tcPr>
            <w:tcW w:w="936" w:type="dxa"/>
            <w:tcBorders>
              <w:top w:val="nil"/>
              <w:left w:val="nil"/>
              <w:bottom w:val="single" w:sz="8" w:space="0" w:color="auto"/>
              <w:right w:val="nil"/>
            </w:tcBorders>
            <w:shd w:val="clear" w:color="auto" w:fill="auto"/>
            <w:noWrap/>
            <w:vAlign w:val="bottom"/>
            <w:hideMark/>
          </w:tcPr>
          <w:p w14:paraId="34F94E34" w14:textId="77777777" w:rsidR="001C3CA6" w:rsidRPr="001C3CA6"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 </w:t>
            </w:r>
          </w:p>
        </w:tc>
        <w:tc>
          <w:tcPr>
            <w:tcW w:w="916" w:type="dxa"/>
            <w:tcBorders>
              <w:top w:val="nil"/>
              <w:left w:val="nil"/>
              <w:bottom w:val="single" w:sz="8" w:space="0" w:color="auto"/>
              <w:right w:val="nil"/>
            </w:tcBorders>
            <w:shd w:val="clear" w:color="auto" w:fill="auto"/>
            <w:noWrap/>
            <w:vAlign w:val="bottom"/>
            <w:hideMark/>
          </w:tcPr>
          <w:p w14:paraId="5B39F34F" w14:textId="77777777" w:rsidR="001C3CA6" w:rsidRPr="001C3CA6"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 </w:t>
            </w:r>
          </w:p>
        </w:tc>
        <w:tc>
          <w:tcPr>
            <w:tcW w:w="1107" w:type="dxa"/>
            <w:tcBorders>
              <w:top w:val="nil"/>
              <w:left w:val="nil"/>
              <w:bottom w:val="single" w:sz="8" w:space="0" w:color="auto"/>
              <w:right w:val="nil"/>
            </w:tcBorders>
            <w:shd w:val="clear" w:color="auto" w:fill="auto"/>
            <w:noWrap/>
            <w:vAlign w:val="bottom"/>
            <w:hideMark/>
          </w:tcPr>
          <w:p w14:paraId="59381668" w14:textId="77777777" w:rsidR="001C3CA6" w:rsidRPr="001C3CA6"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 </w:t>
            </w:r>
          </w:p>
        </w:tc>
        <w:tc>
          <w:tcPr>
            <w:tcW w:w="1221" w:type="dxa"/>
            <w:tcBorders>
              <w:top w:val="nil"/>
              <w:left w:val="nil"/>
              <w:bottom w:val="nil"/>
              <w:right w:val="nil"/>
            </w:tcBorders>
            <w:shd w:val="clear" w:color="auto" w:fill="auto"/>
            <w:noWrap/>
            <w:vAlign w:val="bottom"/>
            <w:hideMark/>
          </w:tcPr>
          <w:p w14:paraId="57C08585" w14:textId="77777777" w:rsidR="001C3CA6" w:rsidRPr="001C3CA6" w:rsidRDefault="001C3CA6" w:rsidP="001C3CA6">
            <w:pPr>
              <w:spacing w:after="0" w:line="240" w:lineRule="auto"/>
              <w:rPr>
                <w:rFonts w:ascii="Arial" w:eastAsia="Times New Roman" w:hAnsi="Arial" w:cs="Arial"/>
                <w:color w:val="000000"/>
                <w:kern w:val="0"/>
                <w:sz w:val="20"/>
                <w:szCs w:val="20"/>
                <w:lang w:val="fr-SN" w:eastAsia="fr-SN"/>
                <w14:ligatures w14:val="none"/>
              </w:rPr>
            </w:pPr>
          </w:p>
        </w:tc>
        <w:tc>
          <w:tcPr>
            <w:tcW w:w="1221" w:type="dxa"/>
            <w:tcBorders>
              <w:top w:val="nil"/>
              <w:left w:val="nil"/>
              <w:bottom w:val="nil"/>
              <w:right w:val="nil"/>
            </w:tcBorders>
            <w:shd w:val="clear" w:color="auto" w:fill="auto"/>
            <w:noWrap/>
            <w:vAlign w:val="bottom"/>
            <w:hideMark/>
          </w:tcPr>
          <w:p w14:paraId="0FCF352F" w14:textId="77777777" w:rsidR="001C3CA6" w:rsidRPr="001C3CA6" w:rsidRDefault="001C3CA6" w:rsidP="001C3CA6">
            <w:pPr>
              <w:spacing w:after="0" w:line="240" w:lineRule="auto"/>
              <w:rPr>
                <w:rFonts w:ascii="Arial" w:eastAsia="Times New Roman" w:hAnsi="Arial" w:cs="Arial"/>
                <w:kern w:val="0"/>
                <w:sz w:val="20"/>
                <w:szCs w:val="20"/>
                <w:lang w:val="fr-SN" w:eastAsia="fr-SN"/>
                <w14:ligatures w14:val="none"/>
              </w:rPr>
            </w:pPr>
          </w:p>
        </w:tc>
        <w:tc>
          <w:tcPr>
            <w:tcW w:w="1221" w:type="dxa"/>
            <w:tcBorders>
              <w:top w:val="nil"/>
              <w:left w:val="nil"/>
              <w:bottom w:val="nil"/>
              <w:right w:val="nil"/>
            </w:tcBorders>
            <w:shd w:val="clear" w:color="auto" w:fill="auto"/>
            <w:noWrap/>
            <w:vAlign w:val="bottom"/>
            <w:hideMark/>
          </w:tcPr>
          <w:p w14:paraId="1B37F4D6" w14:textId="77777777" w:rsidR="001C3CA6" w:rsidRPr="001C3CA6" w:rsidRDefault="001C3CA6" w:rsidP="001C3CA6">
            <w:pPr>
              <w:spacing w:after="0" w:line="240" w:lineRule="auto"/>
              <w:rPr>
                <w:rFonts w:ascii="Arial" w:eastAsia="Times New Roman" w:hAnsi="Arial" w:cs="Arial"/>
                <w:kern w:val="0"/>
                <w:sz w:val="20"/>
                <w:szCs w:val="20"/>
                <w:lang w:val="fr-SN" w:eastAsia="fr-SN"/>
                <w14:ligatures w14:val="none"/>
              </w:rPr>
            </w:pPr>
          </w:p>
        </w:tc>
        <w:tc>
          <w:tcPr>
            <w:tcW w:w="1501" w:type="dxa"/>
            <w:tcBorders>
              <w:top w:val="nil"/>
              <w:left w:val="nil"/>
              <w:bottom w:val="nil"/>
              <w:right w:val="nil"/>
            </w:tcBorders>
            <w:shd w:val="clear" w:color="auto" w:fill="auto"/>
            <w:noWrap/>
            <w:vAlign w:val="bottom"/>
            <w:hideMark/>
          </w:tcPr>
          <w:p w14:paraId="4CB88863" w14:textId="77777777" w:rsidR="001C3CA6" w:rsidRPr="001C3CA6" w:rsidRDefault="001C3CA6" w:rsidP="001C3CA6">
            <w:pPr>
              <w:spacing w:after="0" w:line="240" w:lineRule="auto"/>
              <w:rPr>
                <w:rFonts w:ascii="Arial" w:eastAsia="Times New Roman" w:hAnsi="Arial" w:cs="Arial"/>
                <w:kern w:val="0"/>
                <w:sz w:val="20"/>
                <w:szCs w:val="20"/>
                <w:lang w:val="fr-SN" w:eastAsia="fr-SN"/>
                <w14:ligatures w14:val="none"/>
              </w:rPr>
            </w:pPr>
          </w:p>
        </w:tc>
      </w:tr>
      <w:tr w:rsidR="001C3CA6" w:rsidRPr="001C3CA6" w14:paraId="339736EE" w14:textId="77777777" w:rsidTr="001C3CA6">
        <w:trPr>
          <w:trHeight w:val="305"/>
          <w:jc w:val="center"/>
        </w:trPr>
        <w:tc>
          <w:tcPr>
            <w:tcW w:w="1330" w:type="dxa"/>
            <w:tcBorders>
              <w:top w:val="single" w:sz="8" w:space="0" w:color="auto"/>
              <w:left w:val="nil"/>
              <w:bottom w:val="single" w:sz="8" w:space="0" w:color="auto"/>
              <w:right w:val="nil"/>
            </w:tcBorders>
            <w:shd w:val="clear" w:color="auto" w:fill="auto"/>
            <w:noWrap/>
            <w:vAlign w:val="center"/>
            <w:hideMark/>
          </w:tcPr>
          <w:p w14:paraId="0381945D" w14:textId="476AA4D5"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Treatements</w:t>
            </w:r>
          </w:p>
        </w:tc>
        <w:tc>
          <w:tcPr>
            <w:tcW w:w="3672" w:type="dxa"/>
            <w:gridSpan w:val="4"/>
            <w:tcBorders>
              <w:top w:val="nil"/>
              <w:left w:val="nil"/>
              <w:bottom w:val="single" w:sz="8" w:space="0" w:color="auto"/>
              <w:right w:val="nil"/>
            </w:tcBorders>
            <w:shd w:val="clear" w:color="auto" w:fill="auto"/>
            <w:noWrap/>
            <w:vAlign w:val="center"/>
            <w:hideMark/>
          </w:tcPr>
          <w:p w14:paraId="1D255E0C" w14:textId="77777777" w:rsidR="001C3CA6" w:rsidRPr="001C3CA6" w:rsidRDefault="001C3CA6" w:rsidP="001C3CA6">
            <w:pPr>
              <w:spacing w:after="0" w:line="240" w:lineRule="auto"/>
              <w:jc w:val="center"/>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CEC (meq/100g)</w:t>
            </w:r>
          </w:p>
        </w:tc>
        <w:tc>
          <w:tcPr>
            <w:tcW w:w="5164" w:type="dxa"/>
            <w:gridSpan w:val="4"/>
            <w:tcBorders>
              <w:top w:val="single" w:sz="8" w:space="0" w:color="000000"/>
              <w:left w:val="nil"/>
              <w:bottom w:val="single" w:sz="8" w:space="0" w:color="000000"/>
              <w:right w:val="nil"/>
            </w:tcBorders>
            <w:shd w:val="clear" w:color="auto" w:fill="auto"/>
            <w:noWrap/>
            <w:vAlign w:val="center"/>
            <w:hideMark/>
          </w:tcPr>
          <w:p w14:paraId="3D95B6EB" w14:textId="4754A2D0" w:rsidR="001C3CA6" w:rsidRPr="001C3CA6" w:rsidRDefault="001C3CA6" w:rsidP="001C3CA6">
            <w:pPr>
              <w:spacing w:after="0" w:line="240" w:lineRule="auto"/>
              <w:jc w:val="center"/>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Carbon %</w:t>
            </w:r>
          </w:p>
        </w:tc>
      </w:tr>
      <w:tr w:rsidR="001C3CA6" w:rsidRPr="001C3CA6" w14:paraId="6F2EB99D" w14:textId="77777777" w:rsidTr="001C3CA6">
        <w:trPr>
          <w:trHeight w:val="596"/>
          <w:jc w:val="center"/>
        </w:trPr>
        <w:tc>
          <w:tcPr>
            <w:tcW w:w="1330" w:type="dxa"/>
            <w:tcBorders>
              <w:top w:val="nil"/>
              <w:left w:val="nil"/>
              <w:bottom w:val="single" w:sz="8" w:space="0" w:color="auto"/>
              <w:right w:val="nil"/>
            </w:tcBorders>
            <w:shd w:val="clear" w:color="auto" w:fill="auto"/>
            <w:noWrap/>
            <w:vAlign w:val="center"/>
            <w:hideMark/>
          </w:tcPr>
          <w:p w14:paraId="4B230EF8" w14:textId="77777777" w:rsidR="001C3CA6" w:rsidRPr="001C3CA6"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 </w:t>
            </w:r>
          </w:p>
        </w:tc>
        <w:tc>
          <w:tcPr>
            <w:tcW w:w="713" w:type="dxa"/>
            <w:tcBorders>
              <w:top w:val="nil"/>
              <w:left w:val="nil"/>
              <w:bottom w:val="single" w:sz="8" w:space="0" w:color="auto"/>
              <w:right w:val="nil"/>
            </w:tcBorders>
            <w:shd w:val="clear" w:color="auto" w:fill="auto"/>
            <w:vAlign w:val="center"/>
            <w:hideMark/>
          </w:tcPr>
          <w:p w14:paraId="1B021703" w14:textId="77777777" w:rsidR="001C3CA6" w:rsidRPr="001C3CA6"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Initial</w:t>
            </w:r>
          </w:p>
        </w:tc>
        <w:tc>
          <w:tcPr>
            <w:tcW w:w="936" w:type="dxa"/>
            <w:tcBorders>
              <w:top w:val="nil"/>
              <w:left w:val="nil"/>
              <w:bottom w:val="single" w:sz="8" w:space="0" w:color="auto"/>
              <w:right w:val="nil"/>
            </w:tcBorders>
            <w:shd w:val="clear" w:color="auto" w:fill="auto"/>
            <w:vAlign w:val="center"/>
            <w:hideMark/>
          </w:tcPr>
          <w:p w14:paraId="3A399C8A" w14:textId="0D844BD9" w:rsidR="001C3CA6" w:rsidRPr="001C3CA6"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Year 1</w:t>
            </w:r>
          </w:p>
        </w:tc>
        <w:tc>
          <w:tcPr>
            <w:tcW w:w="916" w:type="dxa"/>
            <w:tcBorders>
              <w:top w:val="nil"/>
              <w:left w:val="nil"/>
              <w:bottom w:val="single" w:sz="8" w:space="0" w:color="auto"/>
              <w:right w:val="nil"/>
            </w:tcBorders>
            <w:shd w:val="clear" w:color="auto" w:fill="auto"/>
            <w:vAlign w:val="center"/>
            <w:hideMark/>
          </w:tcPr>
          <w:p w14:paraId="4F373ACA" w14:textId="3AFE9653" w:rsidR="001C3CA6" w:rsidRPr="001C3CA6"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Year 2</w:t>
            </w:r>
          </w:p>
        </w:tc>
        <w:tc>
          <w:tcPr>
            <w:tcW w:w="1107" w:type="dxa"/>
            <w:tcBorders>
              <w:top w:val="nil"/>
              <w:left w:val="nil"/>
              <w:bottom w:val="single" w:sz="8" w:space="0" w:color="auto"/>
              <w:right w:val="nil"/>
            </w:tcBorders>
            <w:shd w:val="clear" w:color="auto" w:fill="auto"/>
            <w:vAlign w:val="center"/>
            <w:hideMark/>
          </w:tcPr>
          <w:p w14:paraId="14D73D5D" w14:textId="2EF0290C" w:rsidR="001C3CA6" w:rsidRPr="001C3CA6" w:rsidRDefault="001C3CA6" w:rsidP="001C3CA6">
            <w:pPr>
              <w:spacing w:after="0" w:line="240" w:lineRule="auto"/>
              <w:jc w:val="center"/>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Diff(Year2-Year1)</w:t>
            </w:r>
          </w:p>
        </w:tc>
        <w:tc>
          <w:tcPr>
            <w:tcW w:w="1221" w:type="dxa"/>
            <w:tcBorders>
              <w:top w:val="nil"/>
              <w:left w:val="nil"/>
              <w:bottom w:val="single" w:sz="8" w:space="0" w:color="auto"/>
              <w:right w:val="nil"/>
            </w:tcBorders>
            <w:shd w:val="clear" w:color="auto" w:fill="auto"/>
            <w:noWrap/>
            <w:vAlign w:val="center"/>
            <w:hideMark/>
          </w:tcPr>
          <w:p w14:paraId="2059D46E" w14:textId="1E6BC9F0"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Initial</w:t>
            </w:r>
          </w:p>
        </w:tc>
        <w:tc>
          <w:tcPr>
            <w:tcW w:w="1221" w:type="dxa"/>
            <w:tcBorders>
              <w:top w:val="nil"/>
              <w:left w:val="nil"/>
              <w:bottom w:val="single" w:sz="8" w:space="0" w:color="auto"/>
              <w:right w:val="nil"/>
            </w:tcBorders>
            <w:shd w:val="clear" w:color="auto" w:fill="auto"/>
            <w:noWrap/>
            <w:vAlign w:val="center"/>
            <w:hideMark/>
          </w:tcPr>
          <w:p w14:paraId="313749EB" w14:textId="3191082C"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Year1</w:t>
            </w:r>
          </w:p>
        </w:tc>
        <w:tc>
          <w:tcPr>
            <w:tcW w:w="1221" w:type="dxa"/>
            <w:tcBorders>
              <w:top w:val="nil"/>
              <w:left w:val="nil"/>
              <w:bottom w:val="single" w:sz="8" w:space="0" w:color="auto"/>
              <w:right w:val="nil"/>
            </w:tcBorders>
            <w:shd w:val="clear" w:color="auto" w:fill="auto"/>
            <w:noWrap/>
            <w:vAlign w:val="center"/>
            <w:hideMark/>
          </w:tcPr>
          <w:p w14:paraId="311B7A90" w14:textId="60B263AD"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Year 2</w:t>
            </w:r>
          </w:p>
        </w:tc>
        <w:tc>
          <w:tcPr>
            <w:tcW w:w="1501" w:type="dxa"/>
            <w:tcBorders>
              <w:top w:val="nil"/>
              <w:left w:val="nil"/>
              <w:bottom w:val="single" w:sz="8" w:space="0" w:color="000000"/>
              <w:right w:val="nil"/>
            </w:tcBorders>
            <w:shd w:val="clear" w:color="auto" w:fill="auto"/>
            <w:noWrap/>
            <w:vAlign w:val="center"/>
            <w:hideMark/>
          </w:tcPr>
          <w:p w14:paraId="0639B704" w14:textId="1D6DC02B"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Diff(Year2-Year1)</w:t>
            </w:r>
          </w:p>
        </w:tc>
      </w:tr>
      <w:tr w:rsidR="001C3CA6" w:rsidRPr="001C3CA6" w14:paraId="09861C78" w14:textId="77777777" w:rsidTr="001C3CA6">
        <w:trPr>
          <w:trHeight w:val="305"/>
          <w:jc w:val="center"/>
        </w:trPr>
        <w:tc>
          <w:tcPr>
            <w:tcW w:w="1330" w:type="dxa"/>
            <w:tcBorders>
              <w:top w:val="nil"/>
              <w:left w:val="nil"/>
              <w:bottom w:val="single" w:sz="8" w:space="0" w:color="auto"/>
              <w:right w:val="nil"/>
            </w:tcBorders>
            <w:shd w:val="clear" w:color="auto" w:fill="auto"/>
            <w:noWrap/>
            <w:vAlign w:val="bottom"/>
            <w:hideMark/>
          </w:tcPr>
          <w:p w14:paraId="6E93BFD5" w14:textId="77777777" w:rsidR="001C3CA6" w:rsidRPr="001C3CA6"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 </w:t>
            </w:r>
          </w:p>
        </w:tc>
        <w:tc>
          <w:tcPr>
            <w:tcW w:w="8836" w:type="dxa"/>
            <w:gridSpan w:val="8"/>
            <w:tcBorders>
              <w:top w:val="nil"/>
              <w:left w:val="nil"/>
              <w:bottom w:val="single" w:sz="8" w:space="0" w:color="000000"/>
              <w:right w:val="nil"/>
            </w:tcBorders>
            <w:shd w:val="clear" w:color="auto" w:fill="auto"/>
            <w:vAlign w:val="center"/>
            <w:hideMark/>
          </w:tcPr>
          <w:p w14:paraId="35333BB3" w14:textId="77777777" w:rsidR="001C3CA6" w:rsidRPr="001C3CA6" w:rsidRDefault="001C3CA6" w:rsidP="001C3CA6">
            <w:pPr>
              <w:spacing w:after="0" w:line="240" w:lineRule="auto"/>
              <w:jc w:val="center"/>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Ndiaye Mberess</w:t>
            </w:r>
          </w:p>
        </w:tc>
      </w:tr>
      <w:tr w:rsidR="001C3CA6" w:rsidRPr="001C3CA6" w14:paraId="5392E7DD" w14:textId="77777777" w:rsidTr="001C3CA6">
        <w:trPr>
          <w:trHeight w:val="363"/>
          <w:jc w:val="center"/>
        </w:trPr>
        <w:tc>
          <w:tcPr>
            <w:tcW w:w="1330" w:type="dxa"/>
            <w:tcBorders>
              <w:top w:val="nil"/>
              <w:left w:val="nil"/>
              <w:bottom w:val="nil"/>
              <w:right w:val="nil"/>
            </w:tcBorders>
            <w:shd w:val="clear" w:color="auto" w:fill="auto"/>
            <w:noWrap/>
            <w:vAlign w:val="center"/>
            <w:hideMark/>
          </w:tcPr>
          <w:p w14:paraId="78FEE448"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Off5</w:t>
            </w:r>
          </w:p>
        </w:tc>
        <w:tc>
          <w:tcPr>
            <w:tcW w:w="713" w:type="dxa"/>
            <w:tcBorders>
              <w:top w:val="nil"/>
              <w:left w:val="nil"/>
              <w:bottom w:val="nil"/>
              <w:right w:val="nil"/>
            </w:tcBorders>
            <w:shd w:val="clear" w:color="auto" w:fill="auto"/>
            <w:noWrap/>
            <w:vAlign w:val="center"/>
            <w:hideMark/>
          </w:tcPr>
          <w:p w14:paraId="6588A34D"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13,01</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45EDB8A2"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15,62</w:t>
            </w:r>
            <w:r w:rsidRPr="001C3CA6">
              <w:rPr>
                <w:rFonts w:ascii="Arial" w:eastAsia="Times New Roman" w:hAnsi="Arial" w:cs="Arial"/>
                <w:color w:val="000000"/>
                <w:kern w:val="0"/>
                <w:sz w:val="20"/>
                <w:szCs w:val="20"/>
                <w:vertAlign w:val="superscript"/>
                <w:lang w:val="fr-SN" w:eastAsia="fr-SN"/>
                <w14:ligatures w14:val="none"/>
              </w:rPr>
              <w:t>ab</w:t>
            </w:r>
          </w:p>
        </w:tc>
        <w:tc>
          <w:tcPr>
            <w:tcW w:w="916" w:type="dxa"/>
            <w:tcBorders>
              <w:top w:val="nil"/>
              <w:left w:val="nil"/>
              <w:bottom w:val="nil"/>
              <w:right w:val="nil"/>
            </w:tcBorders>
            <w:shd w:val="clear" w:color="auto" w:fill="auto"/>
            <w:noWrap/>
            <w:vAlign w:val="center"/>
            <w:hideMark/>
          </w:tcPr>
          <w:p w14:paraId="4BD0FBC3"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17,04</w:t>
            </w:r>
            <w:r w:rsidRPr="001C3CA6">
              <w:rPr>
                <w:rFonts w:ascii="Arial" w:eastAsia="Times New Roman" w:hAnsi="Arial" w:cs="Arial"/>
                <w:color w:val="000000"/>
                <w:kern w:val="0"/>
                <w:sz w:val="20"/>
                <w:szCs w:val="20"/>
                <w:vertAlign w:val="superscript"/>
                <w:lang w:val="fr-SN" w:eastAsia="fr-SN"/>
                <w14:ligatures w14:val="none"/>
              </w:rPr>
              <w:t>ab</w:t>
            </w:r>
          </w:p>
        </w:tc>
        <w:tc>
          <w:tcPr>
            <w:tcW w:w="1107" w:type="dxa"/>
            <w:tcBorders>
              <w:top w:val="nil"/>
              <w:left w:val="nil"/>
              <w:bottom w:val="nil"/>
              <w:right w:val="nil"/>
            </w:tcBorders>
            <w:shd w:val="clear" w:color="auto" w:fill="auto"/>
            <w:noWrap/>
            <w:vAlign w:val="bottom"/>
            <w:hideMark/>
          </w:tcPr>
          <w:p w14:paraId="2B574AAC"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1,42</w:t>
            </w:r>
          </w:p>
        </w:tc>
        <w:tc>
          <w:tcPr>
            <w:tcW w:w="1221" w:type="dxa"/>
            <w:tcBorders>
              <w:top w:val="nil"/>
              <w:left w:val="nil"/>
              <w:bottom w:val="nil"/>
              <w:right w:val="nil"/>
            </w:tcBorders>
            <w:shd w:val="clear" w:color="auto" w:fill="auto"/>
            <w:noWrap/>
            <w:vAlign w:val="center"/>
            <w:hideMark/>
          </w:tcPr>
          <w:p w14:paraId="4ED8725D"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0,79</w:t>
            </w:r>
            <w:r w:rsidRPr="001C3CA6">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nil"/>
              <w:right w:val="nil"/>
            </w:tcBorders>
            <w:shd w:val="clear" w:color="auto" w:fill="auto"/>
            <w:noWrap/>
            <w:vAlign w:val="center"/>
            <w:hideMark/>
          </w:tcPr>
          <w:p w14:paraId="60A8375E"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0,83</w:t>
            </w:r>
            <w:r w:rsidRPr="001C3CA6">
              <w:rPr>
                <w:rFonts w:ascii="Arial" w:eastAsia="Times New Roman" w:hAnsi="Arial" w:cs="Arial"/>
                <w:color w:val="000000"/>
                <w:kern w:val="0"/>
                <w:sz w:val="20"/>
                <w:szCs w:val="20"/>
                <w:vertAlign w:val="superscript"/>
                <w:lang w:val="fr-SN" w:eastAsia="fr-SN"/>
                <w14:ligatures w14:val="none"/>
              </w:rPr>
              <w:t>fg</w:t>
            </w:r>
          </w:p>
        </w:tc>
        <w:tc>
          <w:tcPr>
            <w:tcW w:w="1221" w:type="dxa"/>
            <w:tcBorders>
              <w:top w:val="nil"/>
              <w:left w:val="nil"/>
              <w:bottom w:val="nil"/>
              <w:right w:val="nil"/>
            </w:tcBorders>
            <w:shd w:val="clear" w:color="auto" w:fill="auto"/>
            <w:noWrap/>
            <w:vAlign w:val="center"/>
            <w:hideMark/>
          </w:tcPr>
          <w:p w14:paraId="30610C55"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0,87</w:t>
            </w:r>
            <w:r w:rsidRPr="001C3CA6">
              <w:rPr>
                <w:rFonts w:ascii="Arial" w:eastAsia="Times New Roman" w:hAnsi="Arial" w:cs="Arial"/>
                <w:color w:val="000000"/>
                <w:kern w:val="0"/>
                <w:sz w:val="20"/>
                <w:szCs w:val="20"/>
                <w:vertAlign w:val="superscript"/>
                <w:lang w:val="fr-SN" w:eastAsia="fr-SN"/>
                <w14:ligatures w14:val="none"/>
              </w:rPr>
              <w:t>efg</w:t>
            </w:r>
          </w:p>
        </w:tc>
        <w:tc>
          <w:tcPr>
            <w:tcW w:w="1501" w:type="dxa"/>
            <w:tcBorders>
              <w:top w:val="nil"/>
              <w:left w:val="nil"/>
              <w:bottom w:val="nil"/>
              <w:right w:val="nil"/>
            </w:tcBorders>
            <w:shd w:val="clear" w:color="auto" w:fill="auto"/>
            <w:noWrap/>
            <w:vAlign w:val="bottom"/>
            <w:hideMark/>
          </w:tcPr>
          <w:p w14:paraId="1622E409"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0,04</w:t>
            </w:r>
          </w:p>
        </w:tc>
      </w:tr>
      <w:tr w:rsidR="001C3CA6" w:rsidRPr="001C3CA6" w14:paraId="15ACCDC3"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45D5E4C6"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Off10</w:t>
            </w:r>
          </w:p>
        </w:tc>
        <w:tc>
          <w:tcPr>
            <w:tcW w:w="713" w:type="dxa"/>
            <w:tcBorders>
              <w:top w:val="nil"/>
              <w:left w:val="nil"/>
              <w:bottom w:val="nil"/>
              <w:right w:val="nil"/>
            </w:tcBorders>
            <w:shd w:val="clear" w:color="auto" w:fill="auto"/>
            <w:noWrap/>
            <w:vAlign w:val="center"/>
            <w:hideMark/>
          </w:tcPr>
          <w:p w14:paraId="39B65174"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13,01</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225F9A98"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17,06</w:t>
            </w:r>
            <w:r w:rsidRPr="001C3CA6">
              <w:rPr>
                <w:rFonts w:ascii="Arial" w:eastAsia="Times New Roman" w:hAnsi="Arial" w:cs="Arial"/>
                <w:color w:val="000000"/>
                <w:kern w:val="0"/>
                <w:sz w:val="20"/>
                <w:szCs w:val="20"/>
                <w:vertAlign w:val="superscript"/>
                <w:lang w:val="fr-SN" w:eastAsia="fr-SN"/>
                <w14:ligatures w14:val="none"/>
              </w:rPr>
              <w:t>ab</w:t>
            </w:r>
          </w:p>
        </w:tc>
        <w:tc>
          <w:tcPr>
            <w:tcW w:w="916" w:type="dxa"/>
            <w:tcBorders>
              <w:top w:val="nil"/>
              <w:left w:val="nil"/>
              <w:bottom w:val="nil"/>
              <w:right w:val="nil"/>
            </w:tcBorders>
            <w:shd w:val="clear" w:color="auto" w:fill="auto"/>
            <w:noWrap/>
            <w:vAlign w:val="center"/>
            <w:hideMark/>
          </w:tcPr>
          <w:p w14:paraId="48BA8FB0"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18,26</w:t>
            </w:r>
            <w:r w:rsidRPr="001C3CA6">
              <w:rPr>
                <w:rFonts w:ascii="Arial" w:eastAsia="Times New Roman" w:hAnsi="Arial" w:cs="Arial"/>
                <w:color w:val="000000"/>
                <w:kern w:val="0"/>
                <w:sz w:val="20"/>
                <w:szCs w:val="20"/>
                <w:vertAlign w:val="superscript"/>
                <w:lang w:val="fr-SN" w:eastAsia="fr-SN"/>
                <w14:ligatures w14:val="none"/>
              </w:rPr>
              <w:t>ab</w:t>
            </w:r>
          </w:p>
        </w:tc>
        <w:tc>
          <w:tcPr>
            <w:tcW w:w="1107" w:type="dxa"/>
            <w:tcBorders>
              <w:top w:val="nil"/>
              <w:left w:val="nil"/>
              <w:bottom w:val="nil"/>
              <w:right w:val="nil"/>
            </w:tcBorders>
            <w:shd w:val="clear" w:color="auto" w:fill="auto"/>
            <w:noWrap/>
            <w:vAlign w:val="bottom"/>
            <w:hideMark/>
          </w:tcPr>
          <w:p w14:paraId="38271DF1"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1,2</w:t>
            </w:r>
          </w:p>
        </w:tc>
        <w:tc>
          <w:tcPr>
            <w:tcW w:w="1221" w:type="dxa"/>
            <w:tcBorders>
              <w:top w:val="nil"/>
              <w:left w:val="nil"/>
              <w:bottom w:val="nil"/>
              <w:right w:val="nil"/>
            </w:tcBorders>
            <w:shd w:val="clear" w:color="auto" w:fill="auto"/>
            <w:noWrap/>
            <w:vAlign w:val="center"/>
            <w:hideMark/>
          </w:tcPr>
          <w:p w14:paraId="4FB47992"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0,79</w:t>
            </w:r>
            <w:r w:rsidRPr="001C3CA6">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nil"/>
              <w:right w:val="nil"/>
            </w:tcBorders>
            <w:shd w:val="clear" w:color="auto" w:fill="auto"/>
            <w:noWrap/>
            <w:vAlign w:val="center"/>
            <w:hideMark/>
          </w:tcPr>
          <w:p w14:paraId="59A8B9C4"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0,88</w:t>
            </w:r>
            <w:r w:rsidRPr="001C3CA6">
              <w:rPr>
                <w:rFonts w:ascii="Arial" w:eastAsia="Times New Roman" w:hAnsi="Arial" w:cs="Arial"/>
                <w:color w:val="000000"/>
                <w:kern w:val="0"/>
                <w:sz w:val="20"/>
                <w:szCs w:val="20"/>
                <w:vertAlign w:val="superscript"/>
                <w:lang w:val="fr-SN" w:eastAsia="fr-SN"/>
                <w14:ligatures w14:val="none"/>
              </w:rPr>
              <w:t>efg</w:t>
            </w:r>
          </w:p>
        </w:tc>
        <w:tc>
          <w:tcPr>
            <w:tcW w:w="1221" w:type="dxa"/>
            <w:tcBorders>
              <w:top w:val="nil"/>
              <w:left w:val="nil"/>
              <w:bottom w:val="nil"/>
              <w:right w:val="nil"/>
            </w:tcBorders>
            <w:shd w:val="clear" w:color="auto" w:fill="auto"/>
            <w:noWrap/>
            <w:vAlign w:val="center"/>
            <w:hideMark/>
          </w:tcPr>
          <w:p w14:paraId="38EB8B57"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0,93</w:t>
            </w:r>
            <w:r w:rsidRPr="001C3CA6">
              <w:rPr>
                <w:rFonts w:ascii="Arial" w:eastAsia="Times New Roman" w:hAnsi="Arial" w:cs="Arial"/>
                <w:color w:val="000000"/>
                <w:kern w:val="0"/>
                <w:sz w:val="20"/>
                <w:szCs w:val="20"/>
                <w:vertAlign w:val="superscript"/>
                <w:lang w:val="fr-SN" w:eastAsia="fr-SN"/>
                <w14:ligatures w14:val="none"/>
              </w:rPr>
              <w:t>cde</w:t>
            </w:r>
          </w:p>
        </w:tc>
        <w:tc>
          <w:tcPr>
            <w:tcW w:w="1501" w:type="dxa"/>
            <w:tcBorders>
              <w:top w:val="nil"/>
              <w:left w:val="nil"/>
              <w:bottom w:val="nil"/>
              <w:right w:val="nil"/>
            </w:tcBorders>
            <w:shd w:val="clear" w:color="auto" w:fill="auto"/>
            <w:noWrap/>
            <w:vAlign w:val="bottom"/>
            <w:hideMark/>
          </w:tcPr>
          <w:p w14:paraId="3F4D5B1A"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0,05</w:t>
            </w:r>
          </w:p>
        </w:tc>
      </w:tr>
      <w:tr w:rsidR="001C3CA6" w:rsidRPr="001C3CA6" w14:paraId="66E49A1A"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215E7919"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Off15</w:t>
            </w:r>
          </w:p>
        </w:tc>
        <w:tc>
          <w:tcPr>
            <w:tcW w:w="713" w:type="dxa"/>
            <w:tcBorders>
              <w:top w:val="nil"/>
              <w:left w:val="nil"/>
              <w:bottom w:val="nil"/>
              <w:right w:val="nil"/>
            </w:tcBorders>
            <w:shd w:val="clear" w:color="auto" w:fill="auto"/>
            <w:noWrap/>
            <w:vAlign w:val="center"/>
            <w:hideMark/>
          </w:tcPr>
          <w:p w14:paraId="405883F5"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13,01</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1ECB199C"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21,37</w:t>
            </w:r>
            <w:r w:rsidRPr="001C3CA6">
              <w:rPr>
                <w:rFonts w:ascii="Arial" w:eastAsia="Times New Roman" w:hAnsi="Arial" w:cs="Arial"/>
                <w:color w:val="000000"/>
                <w:kern w:val="0"/>
                <w:sz w:val="20"/>
                <w:szCs w:val="20"/>
                <w:vertAlign w:val="superscript"/>
                <w:lang w:val="fr-SN" w:eastAsia="fr-SN"/>
                <w14:ligatures w14:val="none"/>
              </w:rPr>
              <w:t>b</w:t>
            </w:r>
          </w:p>
        </w:tc>
        <w:tc>
          <w:tcPr>
            <w:tcW w:w="916" w:type="dxa"/>
            <w:tcBorders>
              <w:top w:val="nil"/>
              <w:left w:val="nil"/>
              <w:bottom w:val="nil"/>
              <w:right w:val="nil"/>
            </w:tcBorders>
            <w:shd w:val="clear" w:color="auto" w:fill="auto"/>
            <w:noWrap/>
            <w:vAlign w:val="center"/>
            <w:hideMark/>
          </w:tcPr>
          <w:p w14:paraId="70A233B6"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21,76</w:t>
            </w:r>
            <w:r w:rsidRPr="001C3CA6">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19A6B63F"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0,39</w:t>
            </w:r>
          </w:p>
        </w:tc>
        <w:tc>
          <w:tcPr>
            <w:tcW w:w="1221" w:type="dxa"/>
            <w:tcBorders>
              <w:top w:val="nil"/>
              <w:left w:val="nil"/>
              <w:bottom w:val="nil"/>
              <w:right w:val="nil"/>
            </w:tcBorders>
            <w:shd w:val="clear" w:color="auto" w:fill="auto"/>
            <w:noWrap/>
            <w:vAlign w:val="center"/>
            <w:hideMark/>
          </w:tcPr>
          <w:p w14:paraId="2BAA3C5F"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0,79</w:t>
            </w:r>
            <w:r w:rsidRPr="001C3CA6">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nil"/>
              <w:right w:val="nil"/>
            </w:tcBorders>
            <w:shd w:val="clear" w:color="auto" w:fill="auto"/>
            <w:noWrap/>
            <w:vAlign w:val="center"/>
            <w:hideMark/>
          </w:tcPr>
          <w:p w14:paraId="3CDAC5CE"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w:t>
            </w:r>
            <w:r w:rsidRPr="001C3CA6">
              <w:rPr>
                <w:rFonts w:ascii="Arial" w:eastAsia="Times New Roman" w:hAnsi="Arial" w:cs="Arial"/>
                <w:color w:val="000000"/>
                <w:kern w:val="0"/>
                <w:sz w:val="20"/>
                <w:szCs w:val="20"/>
                <w:vertAlign w:val="superscript"/>
                <w:lang w:val="fr-SN" w:eastAsia="fr-SN"/>
                <w14:ligatures w14:val="none"/>
              </w:rPr>
              <w:t>def</w:t>
            </w:r>
          </w:p>
        </w:tc>
        <w:tc>
          <w:tcPr>
            <w:tcW w:w="1221" w:type="dxa"/>
            <w:tcBorders>
              <w:top w:val="nil"/>
              <w:left w:val="nil"/>
              <w:bottom w:val="nil"/>
              <w:right w:val="nil"/>
            </w:tcBorders>
            <w:shd w:val="clear" w:color="auto" w:fill="auto"/>
            <w:noWrap/>
            <w:vAlign w:val="center"/>
            <w:hideMark/>
          </w:tcPr>
          <w:p w14:paraId="2FE339A4"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0,94</w:t>
            </w:r>
            <w:r w:rsidRPr="001C3CA6">
              <w:rPr>
                <w:rFonts w:ascii="Arial" w:eastAsia="Times New Roman" w:hAnsi="Arial" w:cs="Arial"/>
                <w:color w:val="000000"/>
                <w:kern w:val="0"/>
                <w:sz w:val="20"/>
                <w:szCs w:val="20"/>
                <w:vertAlign w:val="superscript"/>
                <w:lang w:val="fr-SN" w:eastAsia="fr-SN"/>
                <w14:ligatures w14:val="none"/>
              </w:rPr>
              <w:t>cde</w:t>
            </w:r>
          </w:p>
        </w:tc>
        <w:tc>
          <w:tcPr>
            <w:tcW w:w="1501" w:type="dxa"/>
            <w:tcBorders>
              <w:top w:val="nil"/>
              <w:left w:val="nil"/>
              <w:bottom w:val="nil"/>
              <w:right w:val="nil"/>
            </w:tcBorders>
            <w:shd w:val="clear" w:color="auto" w:fill="auto"/>
            <w:noWrap/>
            <w:vAlign w:val="bottom"/>
            <w:hideMark/>
          </w:tcPr>
          <w:p w14:paraId="3B271F32"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0,04</w:t>
            </w:r>
          </w:p>
        </w:tc>
      </w:tr>
      <w:tr w:rsidR="001C3CA6" w:rsidRPr="001C3CA6" w14:paraId="43C86919"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6AF8C896"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Lab20</w:t>
            </w:r>
          </w:p>
        </w:tc>
        <w:tc>
          <w:tcPr>
            <w:tcW w:w="713" w:type="dxa"/>
            <w:tcBorders>
              <w:top w:val="nil"/>
              <w:left w:val="nil"/>
              <w:bottom w:val="nil"/>
              <w:right w:val="nil"/>
            </w:tcBorders>
            <w:shd w:val="clear" w:color="auto" w:fill="auto"/>
            <w:noWrap/>
            <w:vAlign w:val="center"/>
            <w:hideMark/>
          </w:tcPr>
          <w:p w14:paraId="653406F8"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13,01</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17FC4844"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17,80</w:t>
            </w:r>
            <w:r w:rsidRPr="001C3CA6">
              <w:rPr>
                <w:rFonts w:ascii="Arial" w:eastAsia="Times New Roman" w:hAnsi="Arial" w:cs="Arial"/>
                <w:color w:val="000000"/>
                <w:kern w:val="0"/>
                <w:sz w:val="20"/>
                <w:szCs w:val="20"/>
                <w:vertAlign w:val="superscript"/>
                <w:lang w:val="fr-SN" w:eastAsia="fr-SN"/>
                <w14:ligatures w14:val="none"/>
              </w:rPr>
              <w:t>ab</w:t>
            </w:r>
          </w:p>
        </w:tc>
        <w:tc>
          <w:tcPr>
            <w:tcW w:w="916" w:type="dxa"/>
            <w:tcBorders>
              <w:top w:val="nil"/>
              <w:left w:val="nil"/>
              <w:bottom w:val="nil"/>
              <w:right w:val="nil"/>
            </w:tcBorders>
            <w:shd w:val="clear" w:color="auto" w:fill="auto"/>
            <w:noWrap/>
            <w:vAlign w:val="center"/>
            <w:hideMark/>
          </w:tcPr>
          <w:p w14:paraId="446D08F5"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17,65</w:t>
            </w:r>
            <w:r w:rsidRPr="001C3CA6">
              <w:rPr>
                <w:rFonts w:ascii="Arial" w:eastAsia="Times New Roman" w:hAnsi="Arial" w:cs="Arial"/>
                <w:color w:val="000000"/>
                <w:kern w:val="0"/>
                <w:sz w:val="20"/>
                <w:szCs w:val="20"/>
                <w:vertAlign w:val="superscript"/>
                <w:lang w:val="fr-SN" w:eastAsia="fr-SN"/>
                <w14:ligatures w14:val="none"/>
              </w:rPr>
              <w:t>ab</w:t>
            </w:r>
          </w:p>
        </w:tc>
        <w:tc>
          <w:tcPr>
            <w:tcW w:w="1107" w:type="dxa"/>
            <w:tcBorders>
              <w:top w:val="nil"/>
              <w:left w:val="nil"/>
              <w:bottom w:val="nil"/>
              <w:right w:val="nil"/>
            </w:tcBorders>
            <w:shd w:val="clear" w:color="auto" w:fill="auto"/>
            <w:noWrap/>
            <w:vAlign w:val="bottom"/>
            <w:hideMark/>
          </w:tcPr>
          <w:p w14:paraId="25FD77F2"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-0,15</w:t>
            </w:r>
          </w:p>
        </w:tc>
        <w:tc>
          <w:tcPr>
            <w:tcW w:w="1221" w:type="dxa"/>
            <w:tcBorders>
              <w:top w:val="nil"/>
              <w:left w:val="nil"/>
              <w:bottom w:val="nil"/>
              <w:right w:val="nil"/>
            </w:tcBorders>
            <w:shd w:val="clear" w:color="auto" w:fill="auto"/>
            <w:noWrap/>
            <w:vAlign w:val="center"/>
            <w:hideMark/>
          </w:tcPr>
          <w:p w14:paraId="07EF49B2"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0,79</w:t>
            </w:r>
            <w:r w:rsidRPr="001C3CA6">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nil"/>
              <w:right w:val="nil"/>
            </w:tcBorders>
            <w:shd w:val="clear" w:color="auto" w:fill="auto"/>
            <w:noWrap/>
            <w:vAlign w:val="center"/>
            <w:hideMark/>
          </w:tcPr>
          <w:p w14:paraId="01EAEFC9"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1,01</w:t>
            </w:r>
            <w:r w:rsidRPr="001C3CA6">
              <w:rPr>
                <w:rFonts w:ascii="Arial" w:eastAsia="Times New Roman" w:hAnsi="Arial" w:cs="Arial"/>
                <w:color w:val="000000"/>
                <w:kern w:val="0"/>
                <w:sz w:val="20"/>
                <w:szCs w:val="20"/>
                <w:vertAlign w:val="superscript"/>
                <w:lang w:val="fr-SN" w:eastAsia="fr-SN"/>
                <w14:ligatures w14:val="none"/>
              </w:rPr>
              <w:t>abc</w:t>
            </w:r>
          </w:p>
        </w:tc>
        <w:tc>
          <w:tcPr>
            <w:tcW w:w="1221" w:type="dxa"/>
            <w:tcBorders>
              <w:top w:val="nil"/>
              <w:left w:val="nil"/>
              <w:bottom w:val="nil"/>
              <w:right w:val="nil"/>
            </w:tcBorders>
            <w:shd w:val="clear" w:color="auto" w:fill="auto"/>
            <w:noWrap/>
            <w:vAlign w:val="center"/>
            <w:hideMark/>
          </w:tcPr>
          <w:p w14:paraId="2CFD9563"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1,09</w:t>
            </w:r>
            <w:r w:rsidRPr="001C3CA6">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1758C69E"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0,08</w:t>
            </w:r>
          </w:p>
        </w:tc>
      </w:tr>
      <w:tr w:rsidR="001C3CA6" w:rsidRPr="001C3CA6" w14:paraId="200261F1"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7A74CBC8"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Lab30</w:t>
            </w:r>
          </w:p>
        </w:tc>
        <w:tc>
          <w:tcPr>
            <w:tcW w:w="713" w:type="dxa"/>
            <w:tcBorders>
              <w:top w:val="nil"/>
              <w:left w:val="nil"/>
              <w:bottom w:val="nil"/>
              <w:right w:val="nil"/>
            </w:tcBorders>
            <w:shd w:val="clear" w:color="auto" w:fill="auto"/>
            <w:noWrap/>
            <w:vAlign w:val="center"/>
            <w:hideMark/>
          </w:tcPr>
          <w:p w14:paraId="6DBAA07A"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13,01</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2BAB6D05"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17,07</w:t>
            </w:r>
            <w:r w:rsidRPr="001C3CA6">
              <w:rPr>
                <w:rFonts w:ascii="Arial" w:eastAsia="Times New Roman" w:hAnsi="Arial" w:cs="Arial"/>
                <w:color w:val="000000"/>
                <w:kern w:val="0"/>
                <w:sz w:val="20"/>
                <w:szCs w:val="20"/>
                <w:vertAlign w:val="superscript"/>
                <w:lang w:val="fr-SN" w:eastAsia="fr-SN"/>
                <w14:ligatures w14:val="none"/>
              </w:rPr>
              <w:t>ab</w:t>
            </w:r>
          </w:p>
        </w:tc>
        <w:tc>
          <w:tcPr>
            <w:tcW w:w="916" w:type="dxa"/>
            <w:tcBorders>
              <w:top w:val="nil"/>
              <w:left w:val="nil"/>
              <w:bottom w:val="nil"/>
              <w:right w:val="nil"/>
            </w:tcBorders>
            <w:shd w:val="clear" w:color="auto" w:fill="auto"/>
            <w:noWrap/>
            <w:vAlign w:val="center"/>
            <w:hideMark/>
          </w:tcPr>
          <w:p w14:paraId="6A8226AA"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17,54</w:t>
            </w:r>
            <w:r w:rsidRPr="001C3CA6">
              <w:rPr>
                <w:rFonts w:ascii="Arial" w:eastAsia="Times New Roman" w:hAnsi="Arial" w:cs="Arial"/>
                <w:color w:val="000000"/>
                <w:kern w:val="0"/>
                <w:sz w:val="20"/>
                <w:szCs w:val="20"/>
                <w:vertAlign w:val="superscript"/>
                <w:lang w:val="fr-SN" w:eastAsia="fr-SN"/>
                <w14:ligatures w14:val="none"/>
              </w:rPr>
              <w:t>ab</w:t>
            </w:r>
          </w:p>
        </w:tc>
        <w:tc>
          <w:tcPr>
            <w:tcW w:w="1107" w:type="dxa"/>
            <w:tcBorders>
              <w:top w:val="nil"/>
              <w:left w:val="nil"/>
              <w:bottom w:val="nil"/>
              <w:right w:val="nil"/>
            </w:tcBorders>
            <w:shd w:val="clear" w:color="auto" w:fill="auto"/>
            <w:noWrap/>
            <w:vAlign w:val="bottom"/>
            <w:hideMark/>
          </w:tcPr>
          <w:p w14:paraId="1E123D66"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0,47</w:t>
            </w:r>
          </w:p>
        </w:tc>
        <w:tc>
          <w:tcPr>
            <w:tcW w:w="1221" w:type="dxa"/>
            <w:tcBorders>
              <w:top w:val="nil"/>
              <w:left w:val="nil"/>
              <w:bottom w:val="nil"/>
              <w:right w:val="nil"/>
            </w:tcBorders>
            <w:shd w:val="clear" w:color="auto" w:fill="auto"/>
            <w:noWrap/>
            <w:vAlign w:val="center"/>
            <w:hideMark/>
          </w:tcPr>
          <w:p w14:paraId="3CCA2C46"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0,79</w:t>
            </w:r>
            <w:r w:rsidRPr="001C3CA6">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nil"/>
              <w:right w:val="nil"/>
            </w:tcBorders>
            <w:shd w:val="clear" w:color="auto" w:fill="auto"/>
            <w:noWrap/>
            <w:vAlign w:val="center"/>
            <w:hideMark/>
          </w:tcPr>
          <w:p w14:paraId="33115871"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0,92</w:t>
            </w:r>
            <w:r w:rsidRPr="001C3CA6">
              <w:rPr>
                <w:rFonts w:ascii="Arial" w:eastAsia="Times New Roman" w:hAnsi="Arial" w:cs="Arial"/>
                <w:color w:val="000000"/>
                <w:kern w:val="0"/>
                <w:sz w:val="20"/>
                <w:szCs w:val="20"/>
                <w:vertAlign w:val="superscript"/>
                <w:lang w:val="fr-SN" w:eastAsia="fr-SN"/>
                <w14:ligatures w14:val="none"/>
              </w:rPr>
              <w:t>cdef</w:t>
            </w:r>
          </w:p>
        </w:tc>
        <w:tc>
          <w:tcPr>
            <w:tcW w:w="1221" w:type="dxa"/>
            <w:tcBorders>
              <w:top w:val="nil"/>
              <w:left w:val="nil"/>
              <w:bottom w:val="nil"/>
              <w:right w:val="nil"/>
            </w:tcBorders>
            <w:shd w:val="clear" w:color="auto" w:fill="auto"/>
            <w:noWrap/>
            <w:vAlign w:val="center"/>
            <w:hideMark/>
          </w:tcPr>
          <w:p w14:paraId="3B7AA6D1"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0,98</w:t>
            </w:r>
            <w:r w:rsidRPr="001C3CA6">
              <w:rPr>
                <w:rFonts w:ascii="Arial" w:eastAsia="Times New Roman" w:hAnsi="Arial" w:cs="Arial"/>
                <w:color w:val="000000"/>
                <w:kern w:val="0"/>
                <w:sz w:val="20"/>
                <w:szCs w:val="20"/>
                <w:vertAlign w:val="superscript"/>
                <w:lang w:val="fr-SN" w:eastAsia="fr-SN"/>
                <w14:ligatures w14:val="none"/>
              </w:rPr>
              <w:t>bcd</w:t>
            </w:r>
          </w:p>
        </w:tc>
        <w:tc>
          <w:tcPr>
            <w:tcW w:w="1501" w:type="dxa"/>
            <w:tcBorders>
              <w:top w:val="nil"/>
              <w:left w:val="nil"/>
              <w:bottom w:val="nil"/>
              <w:right w:val="nil"/>
            </w:tcBorders>
            <w:shd w:val="clear" w:color="auto" w:fill="auto"/>
            <w:noWrap/>
            <w:vAlign w:val="bottom"/>
            <w:hideMark/>
          </w:tcPr>
          <w:p w14:paraId="6B5E6981"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0,06</w:t>
            </w:r>
          </w:p>
        </w:tc>
      </w:tr>
      <w:tr w:rsidR="001C3CA6" w:rsidRPr="001C3CA6" w14:paraId="48F81776" w14:textId="77777777" w:rsidTr="001C3CA6">
        <w:trPr>
          <w:trHeight w:val="363"/>
          <w:jc w:val="center"/>
        </w:trPr>
        <w:tc>
          <w:tcPr>
            <w:tcW w:w="1330" w:type="dxa"/>
            <w:tcBorders>
              <w:top w:val="nil"/>
              <w:left w:val="nil"/>
              <w:bottom w:val="single" w:sz="8" w:space="0" w:color="auto"/>
              <w:right w:val="nil"/>
            </w:tcBorders>
            <w:shd w:val="clear" w:color="auto" w:fill="auto"/>
            <w:noWrap/>
            <w:vAlign w:val="center"/>
            <w:hideMark/>
          </w:tcPr>
          <w:p w14:paraId="16741991"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Lab40</w:t>
            </w:r>
          </w:p>
        </w:tc>
        <w:tc>
          <w:tcPr>
            <w:tcW w:w="713" w:type="dxa"/>
            <w:tcBorders>
              <w:top w:val="nil"/>
              <w:left w:val="nil"/>
              <w:bottom w:val="single" w:sz="8" w:space="0" w:color="auto"/>
              <w:right w:val="nil"/>
            </w:tcBorders>
            <w:shd w:val="clear" w:color="auto" w:fill="auto"/>
            <w:noWrap/>
            <w:vAlign w:val="center"/>
            <w:hideMark/>
          </w:tcPr>
          <w:p w14:paraId="7F05A04C"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13,01</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single" w:sz="8" w:space="0" w:color="auto"/>
              <w:right w:val="nil"/>
            </w:tcBorders>
            <w:shd w:val="clear" w:color="auto" w:fill="auto"/>
            <w:noWrap/>
            <w:vAlign w:val="center"/>
            <w:hideMark/>
          </w:tcPr>
          <w:p w14:paraId="15E36E89"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11,69</w:t>
            </w:r>
            <w:r w:rsidRPr="001C3CA6">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single" w:sz="8" w:space="0" w:color="auto"/>
              <w:right w:val="nil"/>
            </w:tcBorders>
            <w:shd w:val="clear" w:color="auto" w:fill="auto"/>
            <w:noWrap/>
            <w:vAlign w:val="center"/>
            <w:hideMark/>
          </w:tcPr>
          <w:p w14:paraId="51143909"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12,27</w:t>
            </w:r>
            <w:r w:rsidRPr="001C3CA6">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single" w:sz="8" w:space="0" w:color="auto"/>
              <w:right w:val="nil"/>
            </w:tcBorders>
            <w:shd w:val="clear" w:color="auto" w:fill="auto"/>
            <w:noWrap/>
            <w:vAlign w:val="bottom"/>
            <w:hideMark/>
          </w:tcPr>
          <w:p w14:paraId="0FDD021D"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0,58</w:t>
            </w:r>
          </w:p>
        </w:tc>
        <w:tc>
          <w:tcPr>
            <w:tcW w:w="1221" w:type="dxa"/>
            <w:tcBorders>
              <w:top w:val="nil"/>
              <w:left w:val="nil"/>
              <w:bottom w:val="single" w:sz="8" w:space="0" w:color="000000"/>
              <w:right w:val="nil"/>
            </w:tcBorders>
            <w:shd w:val="clear" w:color="auto" w:fill="auto"/>
            <w:noWrap/>
            <w:vAlign w:val="center"/>
            <w:hideMark/>
          </w:tcPr>
          <w:p w14:paraId="2CA6BEF8"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0,79</w:t>
            </w:r>
            <w:r w:rsidRPr="001C3CA6">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single" w:sz="8" w:space="0" w:color="000000"/>
              <w:right w:val="nil"/>
            </w:tcBorders>
            <w:shd w:val="clear" w:color="auto" w:fill="auto"/>
            <w:noWrap/>
            <w:vAlign w:val="center"/>
            <w:hideMark/>
          </w:tcPr>
          <w:p w14:paraId="13F8FEEC"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0,95</w:t>
            </w:r>
            <w:r w:rsidRPr="001C3CA6">
              <w:rPr>
                <w:rFonts w:ascii="Arial" w:eastAsia="Times New Roman" w:hAnsi="Arial" w:cs="Arial"/>
                <w:color w:val="000000"/>
                <w:kern w:val="0"/>
                <w:sz w:val="20"/>
                <w:szCs w:val="20"/>
                <w:vertAlign w:val="superscript"/>
                <w:lang w:val="fr-SN" w:eastAsia="fr-SN"/>
                <w14:ligatures w14:val="none"/>
              </w:rPr>
              <w:t>cde</w:t>
            </w:r>
          </w:p>
        </w:tc>
        <w:tc>
          <w:tcPr>
            <w:tcW w:w="1221" w:type="dxa"/>
            <w:tcBorders>
              <w:top w:val="nil"/>
              <w:left w:val="nil"/>
              <w:bottom w:val="single" w:sz="8" w:space="0" w:color="000000"/>
              <w:right w:val="nil"/>
            </w:tcBorders>
            <w:shd w:val="clear" w:color="auto" w:fill="auto"/>
            <w:noWrap/>
            <w:vAlign w:val="center"/>
            <w:hideMark/>
          </w:tcPr>
          <w:p w14:paraId="52585A82"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1,07</w:t>
            </w:r>
            <w:r w:rsidRPr="001C3CA6">
              <w:rPr>
                <w:rFonts w:ascii="Arial" w:eastAsia="Times New Roman" w:hAnsi="Arial" w:cs="Arial"/>
                <w:color w:val="000000"/>
                <w:kern w:val="0"/>
                <w:sz w:val="20"/>
                <w:szCs w:val="20"/>
                <w:vertAlign w:val="superscript"/>
                <w:lang w:val="fr-SN" w:eastAsia="fr-SN"/>
                <w14:ligatures w14:val="none"/>
              </w:rPr>
              <w:t>ab</w:t>
            </w:r>
          </w:p>
        </w:tc>
        <w:tc>
          <w:tcPr>
            <w:tcW w:w="1501" w:type="dxa"/>
            <w:tcBorders>
              <w:top w:val="nil"/>
              <w:left w:val="nil"/>
              <w:bottom w:val="single" w:sz="8" w:space="0" w:color="000000"/>
              <w:right w:val="nil"/>
            </w:tcBorders>
            <w:shd w:val="clear" w:color="auto" w:fill="auto"/>
            <w:noWrap/>
            <w:vAlign w:val="bottom"/>
            <w:hideMark/>
          </w:tcPr>
          <w:p w14:paraId="2294FE9A"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0,12</w:t>
            </w:r>
          </w:p>
        </w:tc>
      </w:tr>
      <w:tr w:rsidR="001C3CA6" w:rsidRPr="001C3CA6" w14:paraId="6777D9F4" w14:textId="77777777" w:rsidTr="001C3CA6">
        <w:trPr>
          <w:trHeight w:val="305"/>
          <w:jc w:val="center"/>
        </w:trPr>
        <w:tc>
          <w:tcPr>
            <w:tcW w:w="1330" w:type="dxa"/>
            <w:tcBorders>
              <w:top w:val="nil"/>
              <w:left w:val="nil"/>
              <w:bottom w:val="single" w:sz="8" w:space="0" w:color="auto"/>
              <w:right w:val="nil"/>
            </w:tcBorders>
            <w:shd w:val="clear" w:color="auto" w:fill="auto"/>
            <w:noWrap/>
            <w:vAlign w:val="bottom"/>
            <w:hideMark/>
          </w:tcPr>
          <w:p w14:paraId="70A8E893" w14:textId="77777777" w:rsidR="001C3CA6" w:rsidRPr="001C3CA6"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 </w:t>
            </w:r>
          </w:p>
        </w:tc>
        <w:tc>
          <w:tcPr>
            <w:tcW w:w="8836" w:type="dxa"/>
            <w:gridSpan w:val="8"/>
            <w:tcBorders>
              <w:top w:val="nil"/>
              <w:left w:val="nil"/>
              <w:bottom w:val="single" w:sz="8" w:space="0" w:color="000000"/>
              <w:right w:val="nil"/>
            </w:tcBorders>
            <w:shd w:val="clear" w:color="auto" w:fill="auto"/>
            <w:vAlign w:val="center"/>
            <w:hideMark/>
          </w:tcPr>
          <w:p w14:paraId="1AEF4006" w14:textId="77777777" w:rsidR="001C3CA6" w:rsidRPr="001C3CA6" w:rsidRDefault="001C3CA6" w:rsidP="001C3CA6">
            <w:pPr>
              <w:spacing w:after="0" w:line="240" w:lineRule="auto"/>
              <w:jc w:val="center"/>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Lampsar</w:t>
            </w:r>
          </w:p>
        </w:tc>
      </w:tr>
      <w:tr w:rsidR="001C3CA6" w:rsidRPr="001C3CA6" w14:paraId="23A4ADA1"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7BF1532F"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Off5</w:t>
            </w:r>
          </w:p>
        </w:tc>
        <w:tc>
          <w:tcPr>
            <w:tcW w:w="713" w:type="dxa"/>
            <w:tcBorders>
              <w:top w:val="nil"/>
              <w:left w:val="nil"/>
              <w:bottom w:val="nil"/>
              <w:right w:val="nil"/>
            </w:tcBorders>
            <w:shd w:val="clear" w:color="auto" w:fill="auto"/>
            <w:noWrap/>
            <w:vAlign w:val="center"/>
            <w:hideMark/>
          </w:tcPr>
          <w:p w14:paraId="74112157"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17,12</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5038FCC4"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25,83</w:t>
            </w:r>
            <w:r w:rsidRPr="001C3CA6">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nil"/>
              <w:right w:val="nil"/>
            </w:tcBorders>
            <w:shd w:val="clear" w:color="auto" w:fill="auto"/>
            <w:noWrap/>
            <w:vAlign w:val="center"/>
            <w:hideMark/>
          </w:tcPr>
          <w:p w14:paraId="3545D647"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79,20</w:t>
            </w:r>
            <w:r w:rsidRPr="001C3CA6">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533A2AEC"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53,37</w:t>
            </w:r>
          </w:p>
        </w:tc>
        <w:tc>
          <w:tcPr>
            <w:tcW w:w="1221" w:type="dxa"/>
            <w:tcBorders>
              <w:top w:val="nil"/>
              <w:left w:val="nil"/>
              <w:bottom w:val="nil"/>
              <w:right w:val="nil"/>
            </w:tcBorders>
            <w:shd w:val="clear" w:color="auto" w:fill="auto"/>
            <w:noWrap/>
            <w:vAlign w:val="center"/>
            <w:hideMark/>
          </w:tcPr>
          <w:p w14:paraId="798D845C"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451BBB74"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0,74</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53F318B2"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0,80</w:t>
            </w:r>
            <w:r w:rsidRPr="001C3CA6">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3007506A"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0,06</w:t>
            </w:r>
          </w:p>
        </w:tc>
      </w:tr>
      <w:tr w:rsidR="001C3CA6" w:rsidRPr="001C3CA6" w14:paraId="667F8E1D"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7FA5B906"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Off10</w:t>
            </w:r>
          </w:p>
        </w:tc>
        <w:tc>
          <w:tcPr>
            <w:tcW w:w="713" w:type="dxa"/>
            <w:tcBorders>
              <w:top w:val="nil"/>
              <w:left w:val="nil"/>
              <w:bottom w:val="nil"/>
              <w:right w:val="nil"/>
            </w:tcBorders>
            <w:shd w:val="clear" w:color="auto" w:fill="auto"/>
            <w:noWrap/>
            <w:vAlign w:val="center"/>
            <w:hideMark/>
          </w:tcPr>
          <w:p w14:paraId="13B81C95"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17,12</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192D4E48"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22,75</w:t>
            </w:r>
            <w:r w:rsidRPr="001C3CA6">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nil"/>
              <w:right w:val="nil"/>
            </w:tcBorders>
            <w:shd w:val="clear" w:color="auto" w:fill="auto"/>
            <w:noWrap/>
            <w:vAlign w:val="center"/>
            <w:hideMark/>
          </w:tcPr>
          <w:p w14:paraId="7A20E4F0"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74,45</w:t>
            </w:r>
            <w:r w:rsidRPr="001C3CA6">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5AFBC1A6"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51,7</w:t>
            </w:r>
          </w:p>
        </w:tc>
        <w:tc>
          <w:tcPr>
            <w:tcW w:w="1221" w:type="dxa"/>
            <w:tcBorders>
              <w:top w:val="nil"/>
              <w:left w:val="nil"/>
              <w:bottom w:val="nil"/>
              <w:right w:val="nil"/>
            </w:tcBorders>
            <w:shd w:val="clear" w:color="auto" w:fill="auto"/>
            <w:noWrap/>
            <w:vAlign w:val="center"/>
            <w:hideMark/>
          </w:tcPr>
          <w:p w14:paraId="0740DDE4"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5E8D2C79"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0,73</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68F00415"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0,74</w:t>
            </w:r>
            <w:r w:rsidRPr="001C3CA6">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5AD98992"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0,01</w:t>
            </w:r>
          </w:p>
        </w:tc>
      </w:tr>
      <w:tr w:rsidR="001C3CA6" w:rsidRPr="001C3CA6" w14:paraId="4A05604A"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467BD3D7"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Off15</w:t>
            </w:r>
          </w:p>
        </w:tc>
        <w:tc>
          <w:tcPr>
            <w:tcW w:w="713" w:type="dxa"/>
            <w:tcBorders>
              <w:top w:val="nil"/>
              <w:left w:val="nil"/>
              <w:bottom w:val="nil"/>
              <w:right w:val="nil"/>
            </w:tcBorders>
            <w:shd w:val="clear" w:color="auto" w:fill="auto"/>
            <w:noWrap/>
            <w:vAlign w:val="center"/>
            <w:hideMark/>
          </w:tcPr>
          <w:p w14:paraId="177AA8C3"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17,12</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57A90985"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19,13</w:t>
            </w:r>
            <w:r w:rsidRPr="001C3CA6">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nil"/>
              <w:right w:val="nil"/>
            </w:tcBorders>
            <w:shd w:val="clear" w:color="auto" w:fill="auto"/>
            <w:noWrap/>
            <w:vAlign w:val="center"/>
            <w:hideMark/>
          </w:tcPr>
          <w:p w14:paraId="0ADF1481"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65,64</w:t>
            </w:r>
            <w:r w:rsidRPr="001C3CA6">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2B223C88"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46,51</w:t>
            </w:r>
          </w:p>
        </w:tc>
        <w:tc>
          <w:tcPr>
            <w:tcW w:w="1221" w:type="dxa"/>
            <w:tcBorders>
              <w:top w:val="nil"/>
              <w:left w:val="nil"/>
              <w:bottom w:val="nil"/>
              <w:right w:val="nil"/>
            </w:tcBorders>
            <w:shd w:val="clear" w:color="auto" w:fill="auto"/>
            <w:noWrap/>
            <w:vAlign w:val="center"/>
            <w:hideMark/>
          </w:tcPr>
          <w:p w14:paraId="5B78F290"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49FE7141"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0,85</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414B9684"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w:t>
            </w:r>
            <w:r w:rsidRPr="001C3CA6">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0BDA1FDF"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0,1</w:t>
            </w:r>
          </w:p>
        </w:tc>
      </w:tr>
      <w:tr w:rsidR="001C3CA6" w:rsidRPr="001C3CA6" w14:paraId="6D6B7848"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4B4BCC27"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Lab20</w:t>
            </w:r>
          </w:p>
        </w:tc>
        <w:tc>
          <w:tcPr>
            <w:tcW w:w="713" w:type="dxa"/>
            <w:tcBorders>
              <w:top w:val="nil"/>
              <w:left w:val="nil"/>
              <w:bottom w:val="nil"/>
              <w:right w:val="nil"/>
            </w:tcBorders>
            <w:shd w:val="clear" w:color="auto" w:fill="auto"/>
            <w:noWrap/>
            <w:vAlign w:val="center"/>
            <w:hideMark/>
          </w:tcPr>
          <w:p w14:paraId="35E3C2C5"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17,12</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7DB3C7CB"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23,12</w:t>
            </w:r>
            <w:r w:rsidRPr="001C3CA6">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nil"/>
              <w:right w:val="nil"/>
            </w:tcBorders>
            <w:shd w:val="clear" w:color="auto" w:fill="auto"/>
            <w:noWrap/>
            <w:vAlign w:val="center"/>
            <w:hideMark/>
          </w:tcPr>
          <w:p w14:paraId="7504BAD7"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76,14</w:t>
            </w:r>
            <w:r w:rsidRPr="001C3CA6">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5180D34C"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52,7</w:t>
            </w:r>
          </w:p>
        </w:tc>
        <w:tc>
          <w:tcPr>
            <w:tcW w:w="1221" w:type="dxa"/>
            <w:tcBorders>
              <w:top w:val="nil"/>
              <w:left w:val="nil"/>
              <w:bottom w:val="nil"/>
              <w:right w:val="nil"/>
            </w:tcBorders>
            <w:shd w:val="clear" w:color="auto" w:fill="auto"/>
            <w:noWrap/>
            <w:vAlign w:val="center"/>
            <w:hideMark/>
          </w:tcPr>
          <w:p w14:paraId="5636FAED"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16453AA7"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0,80</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78E7E95D"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0,91</w:t>
            </w:r>
            <w:r w:rsidRPr="001C3CA6">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73F086AC"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0,11</w:t>
            </w:r>
          </w:p>
        </w:tc>
      </w:tr>
      <w:tr w:rsidR="001C3CA6" w:rsidRPr="001C3CA6" w14:paraId="485F6D60"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4EF24F7A"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Lab30</w:t>
            </w:r>
          </w:p>
        </w:tc>
        <w:tc>
          <w:tcPr>
            <w:tcW w:w="713" w:type="dxa"/>
            <w:tcBorders>
              <w:top w:val="nil"/>
              <w:left w:val="nil"/>
              <w:bottom w:val="nil"/>
              <w:right w:val="nil"/>
            </w:tcBorders>
            <w:shd w:val="clear" w:color="auto" w:fill="auto"/>
            <w:noWrap/>
            <w:vAlign w:val="center"/>
            <w:hideMark/>
          </w:tcPr>
          <w:p w14:paraId="40DFD5C2"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17,12</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66185688"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24,44</w:t>
            </w:r>
            <w:r w:rsidRPr="001C3CA6">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nil"/>
              <w:right w:val="nil"/>
            </w:tcBorders>
            <w:shd w:val="clear" w:color="auto" w:fill="auto"/>
            <w:noWrap/>
            <w:vAlign w:val="center"/>
            <w:hideMark/>
          </w:tcPr>
          <w:p w14:paraId="4EBC7E31"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74,20</w:t>
            </w:r>
            <w:r w:rsidRPr="001C3CA6">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3041EF06"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49,76</w:t>
            </w:r>
          </w:p>
        </w:tc>
        <w:tc>
          <w:tcPr>
            <w:tcW w:w="1221" w:type="dxa"/>
            <w:tcBorders>
              <w:top w:val="nil"/>
              <w:left w:val="nil"/>
              <w:bottom w:val="nil"/>
              <w:right w:val="nil"/>
            </w:tcBorders>
            <w:shd w:val="clear" w:color="auto" w:fill="auto"/>
            <w:noWrap/>
            <w:vAlign w:val="center"/>
            <w:hideMark/>
          </w:tcPr>
          <w:p w14:paraId="6C7B8F1F"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5B2E7F36"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0,67</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21D32AA3"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0,72</w:t>
            </w:r>
            <w:r w:rsidRPr="001C3CA6">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3D1777E5"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0,05</w:t>
            </w:r>
          </w:p>
        </w:tc>
      </w:tr>
      <w:tr w:rsidR="001C3CA6" w:rsidRPr="001C3CA6" w14:paraId="6805CEB8" w14:textId="77777777" w:rsidTr="001C3CA6">
        <w:trPr>
          <w:trHeight w:val="363"/>
          <w:jc w:val="center"/>
        </w:trPr>
        <w:tc>
          <w:tcPr>
            <w:tcW w:w="1330" w:type="dxa"/>
            <w:tcBorders>
              <w:top w:val="nil"/>
              <w:left w:val="nil"/>
              <w:bottom w:val="single" w:sz="8" w:space="0" w:color="auto"/>
              <w:right w:val="nil"/>
            </w:tcBorders>
            <w:shd w:val="clear" w:color="auto" w:fill="auto"/>
            <w:noWrap/>
            <w:vAlign w:val="center"/>
            <w:hideMark/>
          </w:tcPr>
          <w:p w14:paraId="0FF3C5E8" w14:textId="77777777" w:rsidR="001C3CA6" w:rsidRPr="001C3CA6"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1C3CA6">
              <w:rPr>
                <w:rFonts w:ascii="Arial" w:eastAsia="Times New Roman" w:hAnsi="Arial" w:cs="Arial"/>
                <w:b/>
                <w:bCs/>
                <w:color w:val="000000"/>
                <w:kern w:val="0"/>
                <w:sz w:val="20"/>
                <w:szCs w:val="20"/>
                <w:lang w:val="fr-SN" w:eastAsia="fr-SN"/>
                <w14:ligatures w14:val="none"/>
              </w:rPr>
              <w:t>Lab40</w:t>
            </w:r>
          </w:p>
        </w:tc>
        <w:tc>
          <w:tcPr>
            <w:tcW w:w="713" w:type="dxa"/>
            <w:tcBorders>
              <w:top w:val="nil"/>
              <w:left w:val="nil"/>
              <w:bottom w:val="single" w:sz="8" w:space="0" w:color="auto"/>
              <w:right w:val="nil"/>
            </w:tcBorders>
            <w:shd w:val="clear" w:color="auto" w:fill="auto"/>
            <w:noWrap/>
            <w:vAlign w:val="center"/>
            <w:hideMark/>
          </w:tcPr>
          <w:p w14:paraId="15FC1A71"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17,12</w:t>
            </w:r>
            <w:r w:rsidRPr="001C3CA6">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single" w:sz="8" w:space="0" w:color="auto"/>
              <w:right w:val="nil"/>
            </w:tcBorders>
            <w:shd w:val="clear" w:color="auto" w:fill="auto"/>
            <w:noWrap/>
            <w:vAlign w:val="center"/>
            <w:hideMark/>
          </w:tcPr>
          <w:p w14:paraId="038F2DA2"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18,32</w:t>
            </w:r>
            <w:r w:rsidRPr="001C3CA6">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single" w:sz="8" w:space="0" w:color="auto"/>
              <w:right w:val="nil"/>
            </w:tcBorders>
            <w:shd w:val="clear" w:color="auto" w:fill="auto"/>
            <w:noWrap/>
            <w:vAlign w:val="center"/>
            <w:hideMark/>
          </w:tcPr>
          <w:p w14:paraId="26D64564"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68,97</w:t>
            </w:r>
            <w:r w:rsidRPr="001C3CA6">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single" w:sz="8" w:space="0" w:color="auto"/>
              <w:right w:val="nil"/>
            </w:tcBorders>
            <w:shd w:val="clear" w:color="auto" w:fill="auto"/>
            <w:noWrap/>
            <w:vAlign w:val="bottom"/>
            <w:hideMark/>
          </w:tcPr>
          <w:p w14:paraId="0530E73F"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50,65</w:t>
            </w:r>
          </w:p>
        </w:tc>
        <w:tc>
          <w:tcPr>
            <w:tcW w:w="1221" w:type="dxa"/>
            <w:tcBorders>
              <w:top w:val="nil"/>
              <w:left w:val="nil"/>
              <w:bottom w:val="single" w:sz="8" w:space="0" w:color="000000"/>
              <w:right w:val="nil"/>
            </w:tcBorders>
            <w:shd w:val="clear" w:color="auto" w:fill="auto"/>
            <w:noWrap/>
            <w:vAlign w:val="center"/>
            <w:hideMark/>
          </w:tcPr>
          <w:p w14:paraId="40240E2A"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0,9</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single" w:sz="8" w:space="0" w:color="000000"/>
              <w:right w:val="nil"/>
            </w:tcBorders>
            <w:shd w:val="clear" w:color="auto" w:fill="auto"/>
            <w:noWrap/>
            <w:vAlign w:val="center"/>
            <w:hideMark/>
          </w:tcPr>
          <w:p w14:paraId="42403687"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0,78</w:t>
            </w:r>
            <w:r w:rsidRPr="001C3CA6">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single" w:sz="8" w:space="0" w:color="000000"/>
              <w:right w:val="nil"/>
            </w:tcBorders>
            <w:shd w:val="clear" w:color="auto" w:fill="auto"/>
            <w:noWrap/>
            <w:vAlign w:val="center"/>
            <w:hideMark/>
          </w:tcPr>
          <w:p w14:paraId="3478A7A5" w14:textId="77777777" w:rsidR="001C3CA6" w:rsidRPr="001C3CA6"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0,86</w:t>
            </w:r>
            <w:r w:rsidRPr="001C3CA6">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single" w:sz="8" w:space="0" w:color="000000"/>
              <w:right w:val="nil"/>
            </w:tcBorders>
            <w:shd w:val="clear" w:color="auto" w:fill="auto"/>
            <w:noWrap/>
            <w:vAlign w:val="bottom"/>
            <w:hideMark/>
          </w:tcPr>
          <w:p w14:paraId="13C42D2D" w14:textId="77777777" w:rsidR="001C3CA6" w:rsidRPr="001C3CA6"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1C3CA6">
              <w:rPr>
                <w:rFonts w:ascii="Arial" w:eastAsia="Times New Roman" w:hAnsi="Arial" w:cs="Arial"/>
                <w:color w:val="000000"/>
                <w:kern w:val="0"/>
                <w:sz w:val="20"/>
                <w:szCs w:val="20"/>
                <w:lang w:val="fr-SN" w:eastAsia="fr-SN"/>
                <w14:ligatures w14:val="none"/>
              </w:rPr>
              <w:t>0,08</w:t>
            </w:r>
          </w:p>
        </w:tc>
      </w:tr>
    </w:tbl>
    <w:p w14:paraId="4C6AE937" w14:textId="3B5DE27F" w:rsidR="008C39BE" w:rsidRDefault="001C3CA6" w:rsidP="008C39BE">
      <w:pPr>
        <w:jc w:val="center"/>
        <w:rPr>
          <w:rFonts w:ascii="Arial" w:hAnsi="Arial" w:cs="Arial"/>
          <w:sz w:val="20"/>
          <w:szCs w:val="20"/>
        </w:rPr>
      </w:pPr>
      <w:r w:rsidRPr="001C3CA6">
        <w:rPr>
          <w:rFonts w:ascii="Arial" w:hAnsi="Arial" w:cs="Arial"/>
          <w:sz w:val="20"/>
          <w:szCs w:val="20"/>
        </w:rPr>
        <w:t>*Values in the same column with identical letters are not statistically different at the 5% threshold, Student-Newman-Keuls (SNK) test.</w:t>
      </w:r>
    </w:p>
    <w:p w14:paraId="3B503C68" w14:textId="2532A2CB" w:rsidR="001C3CA6" w:rsidRDefault="001C3CA6" w:rsidP="008C39BE">
      <w:pPr>
        <w:jc w:val="center"/>
        <w:rPr>
          <w:rFonts w:ascii="Arial" w:hAnsi="Arial" w:cs="Arial"/>
          <w:b/>
          <w:bCs/>
        </w:rPr>
      </w:pPr>
      <w:r w:rsidRPr="001C3CA6">
        <w:rPr>
          <w:rFonts w:ascii="Arial" w:hAnsi="Arial" w:cs="Arial"/>
          <w:b/>
          <w:bCs/>
        </w:rPr>
        <w:lastRenderedPageBreak/>
        <w:t>3.4. Correlation between the physico-chemical properties of the soil at the two sites as a function of treatments</w:t>
      </w:r>
    </w:p>
    <w:p w14:paraId="0ED68CE6" w14:textId="77777777" w:rsidR="001C3CA6" w:rsidRDefault="001C3CA6" w:rsidP="001C3CA6">
      <w:pPr>
        <w:jc w:val="both"/>
        <w:rPr>
          <w:rFonts w:ascii="Arial" w:hAnsi="Arial" w:cs="Arial"/>
          <w:sz w:val="20"/>
          <w:szCs w:val="20"/>
        </w:rPr>
      </w:pPr>
      <w:r w:rsidRPr="001C3CA6">
        <w:rPr>
          <w:rFonts w:ascii="Arial" w:hAnsi="Arial" w:cs="Arial"/>
          <w:sz w:val="20"/>
          <w:szCs w:val="20"/>
        </w:rPr>
        <w:t xml:space="preserve">The two axes of the principal component analysis (PCA) explain 84.3% of the variance. Following the axes, figure </w:t>
      </w:r>
      <w:r>
        <w:rPr>
          <w:rFonts w:ascii="Arial" w:hAnsi="Arial" w:cs="Arial"/>
          <w:sz w:val="20"/>
          <w:szCs w:val="20"/>
        </w:rPr>
        <w:t>16</w:t>
      </w:r>
      <w:r w:rsidRPr="001C3CA6">
        <w:rPr>
          <w:rFonts w:ascii="Arial" w:hAnsi="Arial" w:cs="Arial"/>
          <w:sz w:val="20"/>
          <w:szCs w:val="20"/>
        </w:rPr>
        <w:t xml:space="preserve"> can be subdivided into three (3) groups. Parameters such as pH, penetration resistance (ER), hydraulic conductivity (CH), bulk density (BD) and C/N ratio, located on the negative side, are more correlated with the reference or initial situation of the experimental areas. Cation exchange capacity (CEC), phosphorus (P) and nitrogen (N), located on the positive side, are correlated with the first year of experimentation, while structural stability, organic matter (OM), electrical conductivity (EC) and carbon (C) are correlated with year 2 of experimentation. In this figure, we can see that cation exchange capacity (CEC), phosphorus, nitrogen, pH, penetration resistance and hydraulic conductivity are more correlated with the Lampsar site. At the same site, cation exchange capacity (CEC), phosphorus and nitrogen are correlated with the Lab20 treatment, while pH, penetration resistance and hydraulic conductivity are correlated with the Lampsar treatment</w:t>
      </w:r>
      <w:r w:rsidRPr="001C3CA6">
        <w:t xml:space="preserve"> </w:t>
      </w:r>
      <w:r w:rsidRPr="001C3CA6">
        <w:rPr>
          <w:rFonts w:ascii="Arial" w:hAnsi="Arial" w:cs="Arial"/>
          <w:sz w:val="20"/>
          <w:szCs w:val="20"/>
        </w:rPr>
        <w:t>Lab30 and Off10 treatments. For the Ndiaye Mbress experimental site, the apparent density (AD) and C/N ratio parameters are most correlated with the Off15 treatment, while structural stability, organic matter, electrical conductivity and carbon are correlated with the Off5 and Lab40 treatments.</w:t>
      </w:r>
    </w:p>
    <w:p w14:paraId="6BFC3EA8" w14:textId="31813F91" w:rsidR="001C3CA6" w:rsidRDefault="001C3CA6" w:rsidP="001C3CA6">
      <w:pPr>
        <w:jc w:val="center"/>
        <w:rPr>
          <w:rFonts w:ascii="Arial" w:hAnsi="Arial" w:cs="Arial"/>
          <w:sz w:val="20"/>
          <w:szCs w:val="20"/>
        </w:rPr>
      </w:pPr>
      <w:r w:rsidRPr="001C3CA6">
        <w:rPr>
          <w:rFonts w:ascii="Calibri" w:eastAsia="Calibri" w:hAnsi="Calibri" w:cs="Times New Roman"/>
          <w:noProof/>
          <w:kern w:val="0"/>
          <w:lang w:val="en-US"/>
          <w14:ligatures w14:val="none"/>
        </w:rPr>
        <w:drawing>
          <wp:inline distT="0" distB="0" distL="0" distR="0" wp14:anchorId="5D57704B" wp14:editId="1B5A8130">
            <wp:extent cx="5495925" cy="47244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5925" cy="4724400"/>
                    </a:xfrm>
                    <a:prstGeom prst="rect">
                      <a:avLst/>
                    </a:prstGeom>
                  </pic:spPr>
                </pic:pic>
              </a:graphicData>
            </a:graphic>
          </wp:inline>
        </w:drawing>
      </w:r>
    </w:p>
    <w:p w14:paraId="72F7D85D" w14:textId="70496378" w:rsidR="001C3CA6" w:rsidRDefault="001C3CA6" w:rsidP="001C3CA6">
      <w:pPr>
        <w:jc w:val="center"/>
        <w:rPr>
          <w:rFonts w:ascii="Arial" w:hAnsi="Arial" w:cs="Arial"/>
          <w:sz w:val="20"/>
          <w:szCs w:val="20"/>
        </w:rPr>
      </w:pPr>
      <w:r w:rsidRPr="007D5712">
        <w:rPr>
          <w:rFonts w:ascii="Arial" w:hAnsi="Arial" w:cs="Arial"/>
          <w:b/>
          <w:bCs/>
          <w:sz w:val="20"/>
          <w:szCs w:val="20"/>
        </w:rPr>
        <w:t>Figure</w:t>
      </w:r>
      <w:r w:rsidR="002D7EC5" w:rsidRPr="007D5712">
        <w:rPr>
          <w:rFonts w:ascii="Arial" w:hAnsi="Arial" w:cs="Arial"/>
          <w:b/>
          <w:bCs/>
          <w:sz w:val="20"/>
          <w:szCs w:val="20"/>
        </w:rPr>
        <w:t xml:space="preserve"> 16</w:t>
      </w:r>
      <w:r w:rsidR="002D7EC5">
        <w:rPr>
          <w:rFonts w:ascii="Arial" w:hAnsi="Arial" w:cs="Arial"/>
          <w:sz w:val="20"/>
          <w:szCs w:val="20"/>
        </w:rPr>
        <w:t xml:space="preserve">. </w:t>
      </w:r>
      <w:r w:rsidR="002D7EC5" w:rsidRPr="002D7EC5">
        <w:rPr>
          <w:rFonts w:ascii="Arial" w:hAnsi="Arial" w:cs="Arial"/>
          <w:sz w:val="20"/>
          <w:szCs w:val="20"/>
        </w:rPr>
        <w:t>Correlation between soil physico-chemical properties and treatments</w:t>
      </w:r>
    </w:p>
    <w:p w14:paraId="5F10BA92" w14:textId="388FAD77" w:rsidR="002D7EC5" w:rsidRPr="002D7EC5" w:rsidRDefault="002D7EC5" w:rsidP="002D7EC5">
      <w:pPr>
        <w:pStyle w:val="ListParagraph"/>
        <w:numPr>
          <w:ilvl w:val="0"/>
          <w:numId w:val="1"/>
        </w:numPr>
        <w:jc w:val="both"/>
        <w:rPr>
          <w:rFonts w:ascii="Arial" w:hAnsi="Arial" w:cs="Arial"/>
          <w:b/>
          <w:bCs/>
        </w:rPr>
      </w:pPr>
      <w:r w:rsidRPr="002D7EC5">
        <w:rPr>
          <w:rFonts w:ascii="Arial" w:hAnsi="Arial" w:cs="Arial"/>
          <w:b/>
          <w:bCs/>
        </w:rPr>
        <w:t>Discussion</w:t>
      </w:r>
    </w:p>
    <w:p w14:paraId="483E56C6" w14:textId="1E834BF8" w:rsidR="002D7EC5" w:rsidRDefault="002D7EC5" w:rsidP="002D7EC5">
      <w:pPr>
        <w:pStyle w:val="ListParagraph"/>
        <w:numPr>
          <w:ilvl w:val="1"/>
          <w:numId w:val="1"/>
        </w:numPr>
        <w:jc w:val="both"/>
        <w:rPr>
          <w:rFonts w:ascii="Arial" w:hAnsi="Arial" w:cs="Arial"/>
          <w:b/>
          <w:bCs/>
        </w:rPr>
      </w:pPr>
      <w:r w:rsidRPr="002D7EC5">
        <w:rPr>
          <w:rFonts w:ascii="Arial" w:hAnsi="Arial" w:cs="Arial"/>
          <w:b/>
          <w:bCs/>
        </w:rPr>
        <w:t>Optimization</w:t>
      </w:r>
    </w:p>
    <w:p w14:paraId="12272D83" w14:textId="6A114809" w:rsidR="002D7EC5" w:rsidRDefault="002D7EC5" w:rsidP="002D7EC5">
      <w:pPr>
        <w:jc w:val="both"/>
        <w:rPr>
          <w:rFonts w:ascii="Arial" w:hAnsi="Arial" w:cs="Arial"/>
          <w:sz w:val="20"/>
          <w:szCs w:val="20"/>
        </w:rPr>
      </w:pPr>
      <w:r w:rsidRPr="002D7EC5">
        <w:rPr>
          <w:rFonts w:ascii="Arial" w:hAnsi="Arial" w:cs="Arial"/>
          <w:sz w:val="20"/>
          <w:szCs w:val="20"/>
        </w:rPr>
        <w:lastRenderedPageBreak/>
        <w:t>The results of this study show that mastery of agricultural machinery techniques and technology is necessary not only to reduce mechanization costs, but also to preserve the soil and guarantee good tillage in the Senegal River valley. A ballast of the order of 40-60% favours optimum performance from the tractor-implement combination. These results are in line with the work of Léral in 2007, who stipulates that for a 2-wheel drive tractor, the load distribution between front and rear axles should be 30-70%.  For old 4-wheel drive tractors, it is 40-60%, and for new 4-wheel drive tractors, 50-50%. Bernard, in his study on the basic rules of tractor use, reveals that the effective weight on the tractor's drive wheels determines the load it can tow or drag at different working speeds on agricultural soil. Depending on the physical condition and degree of compaction of the ground on which the tractor is working, the traction at the drawbar or at the ball joints of the hydraulic hitch varies from 40 to 60% of the weight resting on the wheels (40% with trailed implements such as disc sprayers, 60% for mounted implements such as mounted ploughs).</w:t>
      </w:r>
      <w:r>
        <w:rPr>
          <w:rFonts w:ascii="Arial" w:hAnsi="Arial" w:cs="Arial"/>
          <w:sz w:val="20"/>
          <w:szCs w:val="20"/>
        </w:rPr>
        <w:t xml:space="preserve"> </w:t>
      </w:r>
      <w:r w:rsidRPr="002D7EC5">
        <w:rPr>
          <w:rFonts w:ascii="Arial" w:hAnsi="Arial" w:cs="Arial"/>
          <w:sz w:val="20"/>
          <w:szCs w:val="20"/>
        </w:rPr>
        <w:t>Roca et al. 2019, argue that quantifying all forces and moments between a tractor and an implement, when they are connected by the three-point hitch, is of interest in a number of ways, including optimizing implement design, evaluating tractor settings or applying to precision farming. The tractor's forward speed in ploughing is 5 km/h and in off-tilling 12 km/h. Bernard (2012) states that forward speed modifies efficiency, and therefore results. Thus, ploughing at 4 km/h will be cloddier than at 6 km/h, and a cultivator is only effective above 6-7 km/h. Chehaibi et al. 2003, show that soil cultivation can be optimized by an appropriate choice of plough width (single or multi-body), gearbox ratio or practical forward speed. He adds that working at medium speed was marked by small clods on the surface in small quantities, and large clods at depth beyond the sprayer's zone of action. On the other hand, working at high speed produced fewer small clods and a lot of fine soil on the surface and in the sprayer's working depth. The whole was evenly distributed.</w:t>
      </w:r>
      <w:r>
        <w:rPr>
          <w:rFonts w:ascii="Arial" w:hAnsi="Arial" w:cs="Arial"/>
          <w:sz w:val="20"/>
          <w:szCs w:val="20"/>
        </w:rPr>
        <w:t xml:space="preserve"> </w:t>
      </w:r>
      <w:r w:rsidRPr="002D7EC5">
        <w:rPr>
          <w:rFonts w:ascii="Arial" w:hAnsi="Arial" w:cs="Arial"/>
          <w:sz w:val="20"/>
          <w:szCs w:val="20"/>
        </w:rPr>
        <w:t>However, the strip of land between the zone of action of the sprayer and that of the plough was characterized by the presence of large clods of a smaller size than those obtained when working at slow and medium speeds.</w:t>
      </w:r>
    </w:p>
    <w:p w14:paraId="510B7EBA" w14:textId="255D0DD5" w:rsidR="002D7EC5" w:rsidRDefault="002D7EC5" w:rsidP="002D7EC5">
      <w:pPr>
        <w:pStyle w:val="ListParagraph"/>
        <w:numPr>
          <w:ilvl w:val="1"/>
          <w:numId w:val="1"/>
        </w:numPr>
        <w:jc w:val="both"/>
        <w:rPr>
          <w:rFonts w:ascii="Arial" w:hAnsi="Arial" w:cs="Arial"/>
          <w:b/>
          <w:bCs/>
        </w:rPr>
      </w:pPr>
      <w:r w:rsidRPr="002D7EC5">
        <w:rPr>
          <w:rFonts w:ascii="Arial" w:hAnsi="Arial" w:cs="Arial"/>
          <w:b/>
          <w:bCs/>
        </w:rPr>
        <w:t>Effect of tillage on physical properties</w:t>
      </w:r>
    </w:p>
    <w:p w14:paraId="5CFBE3FB" w14:textId="2B3CA9B8" w:rsidR="002D7EC5" w:rsidRDefault="002D7EC5" w:rsidP="002D7EC5">
      <w:pPr>
        <w:jc w:val="both"/>
        <w:rPr>
          <w:rFonts w:ascii="Arial" w:hAnsi="Arial" w:cs="Arial"/>
          <w:sz w:val="20"/>
          <w:szCs w:val="20"/>
        </w:rPr>
      </w:pPr>
      <w:r w:rsidRPr="002D7EC5">
        <w:rPr>
          <w:rFonts w:ascii="Arial" w:hAnsi="Arial" w:cs="Arial"/>
          <w:sz w:val="20"/>
          <w:szCs w:val="20"/>
        </w:rPr>
        <w:t>Bulk density is a soil quality indicator that varies with the cultivation techniques adopted. It provides information on soil porosity, which is a major characteristic controlling soil hydrodynamic properties. Its value increases on compacted soils, which affects their quality and reduces porosity (Abdellaoui et al., 2010). The Lampsar and Ndiaye mberess sites show a similar trend of increasing bulk density for some treatments after rice harvesting, with variations depending on the treatments applied. In fact, before tillage, the bulk density of the sites was constant. According to Moussadek et al. (2011), apparent density is higher in semi-direct (no-till) than in semi-conventional (tillage). Fabrizzi et al. (2005) and El Mekkaoui et al. (2023) also show in their work that the apparent density under no-tillage is always higher than under tillage, but that it decreases over time. They also confirm that the value of apparent density is higher under no-tillage in sandy loams. Texture and structural stability also qualify the Lampsar and Ndiaye mberess soils as heavy soils susceptible to capping.</w:t>
      </w:r>
      <w:r w:rsidR="00BE299D" w:rsidRPr="00BE299D">
        <w:t xml:space="preserve"> </w:t>
      </w:r>
      <w:r w:rsidR="00BE299D" w:rsidRPr="00BE299D">
        <w:rPr>
          <w:rFonts w:ascii="Arial" w:hAnsi="Arial" w:cs="Arial"/>
          <w:sz w:val="20"/>
          <w:szCs w:val="20"/>
        </w:rPr>
        <w:t>The bulk density results are therefore in line with previous studies by Nzeyimana (2003) and Abdellaoui et al. (2010), which show the particular relationship between density and soil physical parameters (texture, porosity, hydraulic conductivity, etc.). Holthusen et al. (2018) support them in the sense that texture influences initial conditions as well as soil response to external loads. For example, silty to clayey soils compact more easily than sandy soils. Surface layers also have a lower density due to the higher organic matter content of the soil. In addition, they noted a much lower bulk density in forest soils than in agricultural soils, as well as high macroporosity. The texture of both sites is silty. They are also characterized by low clay contents and very high capping indices. As a result, the soil structure is highly unstable and susceptible to capping. As they are also heavy soils with hydraulic conductivity values of the order of 10-6, the permeability of these soils is poor. Given that the irrigation system for the plots is gravity-fed (by submersion), these soils are perfectly suited to this system, but not really for farming.</w:t>
      </w:r>
      <w:r w:rsidR="00BE299D">
        <w:rPr>
          <w:rFonts w:ascii="Arial" w:hAnsi="Arial" w:cs="Arial"/>
          <w:sz w:val="20"/>
          <w:szCs w:val="20"/>
        </w:rPr>
        <w:t xml:space="preserve"> </w:t>
      </w:r>
      <w:r w:rsidR="00BE299D" w:rsidRPr="00BE299D">
        <w:rPr>
          <w:rFonts w:ascii="Arial" w:hAnsi="Arial" w:cs="Arial"/>
          <w:sz w:val="20"/>
          <w:szCs w:val="20"/>
        </w:rPr>
        <w:t xml:space="preserve">They are sensitive to threshing and difficult to work, especially in wet conditions. The increase and decrease in penetration resistance observed for certain treatments during certain periods in correlation with bulk density at the sites is in line with the work of Dechef (2022) on the impact of tillage on the physical, chemical and biological parameters of the soil-plant system in spelt and wheat crops. In his study, he states that penetration resistance is a soil physical parameter that is highly sensitive to hydric variation, texture and soil structure. Fabrizzi et al (2005) also confirm the results in his study of soil water dynamics, physical properties and </w:t>
      </w:r>
      <w:r w:rsidR="00BE299D" w:rsidRPr="00BE299D">
        <w:rPr>
          <w:rFonts w:ascii="Arial" w:hAnsi="Arial" w:cs="Arial"/>
          <w:sz w:val="20"/>
          <w:szCs w:val="20"/>
        </w:rPr>
        <w:lastRenderedPageBreak/>
        <w:t>responses of maize and wheat to minimum-tillage and no-tillage systems in the southern Argentine Pampas. Moraes et al (2013) state in their study that resistance increases the higher the bulk density and the lower the moisture content. However, the permeability of both sites is poor and their retention capacity is quite high. In addition, the plots are managed using gravity irrigation (by submersion) and the soils are heavy and susceptible to capping.</w:t>
      </w:r>
    </w:p>
    <w:p w14:paraId="4789A32F" w14:textId="1C3EC74D" w:rsidR="00BE299D" w:rsidRDefault="00BE299D" w:rsidP="00BE299D">
      <w:pPr>
        <w:pStyle w:val="ListParagraph"/>
        <w:numPr>
          <w:ilvl w:val="1"/>
          <w:numId w:val="1"/>
        </w:numPr>
        <w:jc w:val="both"/>
        <w:rPr>
          <w:rFonts w:ascii="Arial" w:hAnsi="Arial" w:cs="Arial"/>
          <w:b/>
          <w:bCs/>
        </w:rPr>
      </w:pPr>
      <w:r w:rsidRPr="00BE299D">
        <w:rPr>
          <w:rFonts w:ascii="Arial" w:hAnsi="Arial" w:cs="Arial"/>
          <w:b/>
          <w:bCs/>
        </w:rPr>
        <w:t>Effect of tillage on chemical properties</w:t>
      </w:r>
    </w:p>
    <w:p w14:paraId="61C33DF8" w14:textId="507E973F" w:rsidR="00BE299D" w:rsidRDefault="00BE299D" w:rsidP="00BE299D">
      <w:pPr>
        <w:jc w:val="both"/>
        <w:rPr>
          <w:rFonts w:ascii="Arial" w:hAnsi="Arial" w:cs="Arial"/>
          <w:sz w:val="20"/>
          <w:szCs w:val="20"/>
        </w:rPr>
      </w:pPr>
      <w:r w:rsidRPr="00BE299D">
        <w:rPr>
          <w:rFonts w:ascii="Arial" w:hAnsi="Arial" w:cs="Arial"/>
          <w:sz w:val="20"/>
          <w:szCs w:val="20"/>
        </w:rPr>
        <w:t>On the other hand, the organic matter content of Lampsar and Ndiaye mberess is very low. According to Abdellaoui et al (2010), organic matter has a crucial influence on soil physical and chemical properties. Lampsar shows an increasing trend, while Ndiaye mberess shows an almost constant trend between the periods before and after the rice harvest. These results are in line with those of Abdellaoui et al (2010) for the Lampsar site and invalidated at the Ndiaye mberess site. At Lampsar, organic matter values for no-tillage treatments are higher than those for ploughing. At Ndiaye mberess, the organic matter content of ploughing is virtually constant and dominates that of no-till. These results are also confirmed by Nzeyimana (2003). Other authors, such as El Mekkaoui et al (2023), assert that conventional tillage reduces soil organic matter, while no-till increases it. These results could be linked to the way in which the plots are managed, as they are flooded several times a year over a long period. El Mekkaoui et al (2023) assert that the results of no-till (increase in organic matter) depend on the length of time the technique is adopted.</w:t>
      </w:r>
      <w:r>
        <w:rPr>
          <w:rFonts w:ascii="Arial" w:hAnsi="Arial" w:cs="Arial"/>
          <w:sz w:val="20"/>
          <w:szCs w:val="20"/>
        </w:rPr>
        <w:t xml:space="preserve"> </w:t>
      </w:r>
      <w:r w:rsidRPr="00BE299D">
        <w:rPr>
          <w:rFonts w:ascii="Arial" w:hAnsi="Arial" w:cs="Arial"/>
          <w:sz w:val="20"/>
          <w:szCs w:val="20"/>
        </w:rPr>
        <w:t>However, according to Kalla, 2023, these results on soil organic matter could explain the drop in rice yields observed in the zone in recent years. Disturbance of the surface layer may explain the dynamics of carbon, which evolves in tandem with other elements and is often estimated by modelling approaches such as Tschakert et al., 2004. These results show that soil disturbance affects the distribution and transformation of carbon in the soil, thus influencing soil physico-chemical properties.</w:t>
      </w:r>
    </w:p>
    <w:p w14:paraId="16647C7B" w14:textId="58FF8B54" w:rsidR="00BE299D" w:rsidRDefault="00BE299D" w:rsidP="00BE299D">
      <w:pPr>
        <w:pStyle w:val="ListParagraph"/>
        <w:numPr>
          <w:ilvl w:val="0"/>
          <w:numId w:val="1"/>
        </w:numPr>
        <w:jc w:val="both"/>
        <w:rPr>
          <w:rFonts w:ascii="Arial" w:hAnsi="Arial" w:cs="Arial"/>
          <w:b/>
          <w:bCs/>
        </w:rPr>
      </w:pPr>
      <w:r w:rsidRPr="00BE299D">
        <w:rPr>
          <w:rFonts w:ascii="Arial" w:hAnsi="Arial" w:cs="Arial"/>
          <w:b/>
          <w:bCs/>
        </w:rPr>
        <w:t>CONCLUSION</w:t>
      </w:r>
    </w:p>
    <w:p w14:paraId="53AAE867" w14:textId="77777777" w:rsidR="00BE299D" w:rsidRPr="00BE299D" w:rsidRDefault="00BE299D" w:rsidP="00BE299D">
      <w:pPr>
        <w:jc w:val="both"/>
        <w:rPr>
          <w:rFonts w:ascii="Arial" w:hAnsi="Arial" w:cs="Arial"/>
          <w:sz w:val="20"/>
          <w:szCs w:val="20"/>
        </w:rPr>
      </w:pPr>
      <w:r w:rsidRPr="00BE299D">
        <w:rPr>
          <w:rFonts w:ascii="Arial" w:hAnsi="Arial" w:cs="Arial"/>
          <w:sz w:val="20"/>
          <w:szCs w:val="20"/>
        </w:rPr>
        <w:t>At the end of the study, the soil was analyzed to assess its physico-chemical characteristics and determine its capacity to mobilize and supply mineral elements for plant development. In the context of climate change, which is a global phenomenon, it is no longer a question of producing good yields, but also of how to do so sustainably. This study is part of the process of discovering the changes brought about by motorized tillage on the soil. It has shown that to better preserve the soil and reduce the impact of machinery in the area, it is necessary to optimize the tractor-implement linkage. In view of the results obtained, we note that the tractor-plough load should be of the order of 1100 daN with a working width of 121.92 cm and a forward speed of 5 km/h for ploughing. For minimum tillage, the tractor-offset combination is of the order of 2010 daN. The tractor's forward speed when offset is 12 km/h. Structural stability, bulk density and penetration resistance varied significantly (p&lt;2e-16) for the Off5, Off10 and Lab40 offset treatments. These parameters (texture, stability) demonstrate that these soils are unstable and prone to compaction.</w:t>
      </w:r>
      <w:r>
        <w:rPr>
          <w:rFonts w:ascii="Arial" w:hAnsi="Arial" w:cs="Arial"/>
          <w:sz w:val="20"/>
          <w:szCs w:val="20"/>
        </w:rPr>
        <w:t xml:space="preserve"> </w:t>
      </w:r>
      <w:r w:rsidRPr="00BE299D">
        <w:rPr>
          <w:rFonts w:ascii="Arial" w:hAnsi="Arial" w:cs="Arial"/>
          <w:sz w:val="20"/>
          <w:szCs w:val="20"/>
        </w:rPr>
        <w:t xml:space="preserve">On the other hand, hydraulic conductivity dropped significantly (p&lt;2e-16), especially for the Off15 and Lab20 treatments at the Ndiaye Mberess site in the second year of experimentation. As for chemical parameters, the results show that organic matter (OM) and the C/N ratio increased significantly (p&lt;0.05), particularly at the Ndiaye Mberes site for the Off15 and Lab20 treatments. </w:t>
      </w:r>
    </w:p>
    <w:p w14:paraId="5EA28B7C" w14:textId="77777777" w:rsidR="00BE299D" w:rsidRPr="00BE299D" w:rsidRDefault="00BE299D" w:rsidP="00BE299D">
      <w:pPr>
        <w:jc w:val="both"/>
        <w:rPr>
          <w:rFonts w:ascii="Arial" w:hAnsi="Arial" w:cs="Arial"/>
          <w:sz w:val="20"/>
          <w:szCs w:val="20"/>
        </w:rPr>
      </w:pPr>
      <w:r w:rsidRPr="00BE299D">
        <w:rPr>
          <w:rFonts w:ascii="Arial" w:hAnsi="Arial" w:cs="Arial"/>
          <w:sz w:val="20"/>
          <w:szCs w:val="20"/>
        </w:rPr>
        <w:t>For future studies in this field, it is therefore recommended to :</w:t>
      </w:r>
    </w:p>
    <w:p w14:paraId="1CCE0C9C" w14:textId="601D7762" w:rsidR="00BE299D" w:rsidRPr="00BE299D" w:rsidRDefault="00BE299D" w:rsidP="00BE299D">
      <w:pPr>
        <w:pStyle w:val="ListParagraph"/>
        <w:numPr>
          <w:ilvl w:val="0"/>
          <w:numId w:val="3"/>
        </w:numPr>
        <w:jc w:val="both"/>
        <w:rPr>
          <w:rFonts w:ascii="Arial" w:hAnsi="Arial" w:cs="Arial"/>
          <w:sz w:val="20"/>
          <w:szCs w:val="20"/>
        </w:rPr>
      </w:pPr>
      <w:r w:rsidRPr="00BE299D">
        <w:rPr>
          <w:rFonts w:ascii="Arial" w:hAnsi="Arial" w:cs="Arial"/>
          <w:sz w:val="20"/>
          <w:szCs w:val="20"/>
        </w:rPr>
        <w:t>Carry out a long-term study of the effects of motorized tillage on the soil. This means monitoring soil parameters over several years (minimum 5 years) and campaigns to build up a good database.</w:t>
      </w:r>
    </w:p>
    <w:p w14:paraId="27C67A1D" w14:textId="52D24D18" w:rsidR="00BE299D" w:rsidRPr="00BE299D" w:rsidRDefault="00BE299D" w:rsidP="00BE299D">
      <w:pPr>
        <w:pStyle w:val="ListParagraph"/>
        <w:numPr>
          <w:ilvl w:val="0"/>
          <w:numId w:val="3"/>
        </w:numPr>
        <w:jc w:val="both"/>
        <w:rPr>
          <w:rFonts w:ascii="Arial" w:hAnsi="Arial" w:cs="Arial"/>
          <w:sz w:val="20"/>
          <w:szCs w:val="20"/>
        </w:rPr>
      </w:pPr>
      <w:r w:rsidRPr="00BE299D">
        <w:rPr>
          <w:rFonts w:ascii="Arial" w:hAnsi="Arial" w:cs="Arial"/>
          <w:sz w:val="20"/>
          <w:szCs w:val="20"/>
        </w:rPr>
        <w:t>As these soils are susceptible to capping, they need to be amended with a lot of organic matter to correct soil structure and improve soil fertility.</w:t>
      </w:r>
    </w:p>
    <w:p w14:paraId="5BEACB12" w14:textId="04478248" w:rsidR="00BE299D" w:rsidRDefault="00BE299D" w:rsidP="00BE299D">
      <w:pPr>
        <w:jc w:val="both"/>
        <w:rPr>
          <w:rFonts w:ascii="Arial" w:hAnsi="Arial" w:cs="Arial"/>
          <w:sz w:val="20"/>
          <w:szCs w:val="20"/>
        </w:rPr>
      </w:pPr>
      <w:r w:rsidRPr="00BE299D">
        <w:rPr>
          <w:rFonts w:ascii="Arial" w:hAnsi="Arial" w:cs="Arial"/>
          <w:sz w:val="20"/>
          <w:szCs w:val="20"/>
        </w:rPr>
        <w:t>In the future, it would be interesting to analyze the influence of motorized tillage on the frequency, cover and diversity of herbaceous plants, in order to clarify the soil's behavior with regard to the appearance of weeds.</w:t>
      </w:r>
    </w:p>
    <w:p w14:paraId="1A14273E" w14:textId="77777777" w:rsidR="00C75861" w:rsidRDefault="00C75861" w:rsidP="00BE299D">
      <w:pPr>
        <w:keepNext/>
        <w:spacing w:after="0" w:line="240" w:lineRule="auto"/>
        <w:jc w:val="both"/>
        <w:rPr>
          <w:rFonts w:ascii="Arial" w:eastAsia="Times New Roman" w:hAnsi="Arial" w:cs="Arial"/>
          <w:b/>
          <w:caps/>
          <w:kern w:val="0"/>
          <w:lang w:val="en-US"/>
          <w14:ligatures w14:val="none"/>
        </w:rPr>
      </w:pPr>
      <w:bookmarkStart w:id="5" w:name="_GoBack"/>
      <w:bookmarkEnd w:id="5"/>
    </w:p>
    <w:p w14:paraId="6308A8AE" w14:textId="3208E3B3" w:rsidR="00DD763F" w:rsidRPr="00BE299D" w:rsidRDefault="00DD763F" w:rsidP="00BE299D">
      <w:pPr>
        <w:keepNext/>
        <w:spacing w:after="0" w:line="240" w:lineRule="auto"/>
        <w:jc w:val="both"/>
        <w:rPr>
          <w:rFonts w:ascii="Arial" w:eastAsia="Times New Roman" w:hAnsi="Arial" w:cs="Arial"/>
          <w:b/>
          <w:caps/>
          <w:kern w:val="0"/>
          <w:lang w:val="en-US"/>
          <w14:ligatures w14:val="none"/>
        </w:rPr>
      </w:pPr>
      <w:r w:rsidRPr="00DD763F">
        <w:rPr>
          <w:rFonts w:ascii="Arial" w:eastAsia="Times New Roman" w:hAnsi="Arial" w:cs="Arial"/>
          <w:b/>
          <w:caps/>
          <w:kern w:val="0"/>
          <w:lang w:val="en-US"/>
          <w14:ligatures w14:val="none"/>
        </w:rPr>
        <w:t>References</w:t>
      </w:r>
    </w:p>
    <w:p w14:paraId="2D4324C7" w14:textId="67AE312B" w:rsidR="00BE299D" w:rsidRDefault="00C766AE" w:rsidP="00BE299D">
      <w:pPr>
        <w:jc w:val="both"/>
        <w:rPr>
          <w:rFonts w:ascii="Arial" w:hAnsi="Arial" w:cs="Arial"/>
          <w:sz w:val="20"/>
          <w:szCs w:val="20"/>
        </w:rPr>
      </w:pPr>
      <w:r w:rsidRPr="00C766AE">
        <w:rPr>
          <w:rFonts w:ascii="Arial" w:hAnsi="Arial" w:cs="Arial"/>
          <w:sz w:val="20"/>
          <w:szCs w:val="20"/>
        </w:rPr>
        <w:t>Abdellaoui, Z., Teskrat, H., &amp; Belhadj, A. 2010. Comparative study of the effect of conventional tillage, direct seeding and minimum tillage on the behavior of a durum wheat crop in the subhumid zone. CIHEAM,</w:t>
      </w:r>
      <w:r w:rsidRPr="00C766AE">
        <w:t xml:space="preserve"> </w:t>
      </w:r>
      <w:r w:rsidRPr="00C766AE">
        <w:rPr>
          <w:rFonts w:ascii="Arial" w:hAnsi="Arial" w:cs="Arial"/>
          <w:sz w:val="20"/>
          <w:szCs w:val="20"/>
        </w:rPr>
        <w:t>Mediterranean Options, A no. 96, 2010 ñ IV Mediterranean Direct Seeding Meeting, 18p.</w:t>
      </w:r>
    </w:p>
    <w:p w14:paraId="0ADDDDD6" w14:textId="78C716CB" w:rsidR="00C766AE" w:rsidRDefault="00736EBD" w:rsidP="00C766AE">
      <w:pPr>
        <w:jc w:val="both"/>
        <w:rPr>
          <w:rFonts w:ascii="Arial" w:hAnsi="Arial" w:cs="Arial"/>
          <w:sz w:val="20"/>
          <w:szCs w:val="20"/>
        </w:rPr>
      </w:pPr>
      <w:hyperlink r:id="rId33" w:history="1">
        <w:r w:rsidR="00C766AE" w:rsidRPr="00C766AE">
          <w:rPr>
            <w:rStyle w:val="Hyperlink"/>
            <w:rFonts w:ascii="Arial" w:hAnsi="Arial" w:cs="Arial"/>
            <w:sz w:val="20"/>
            <w:szCs w:val="20"/>
          </w:rPr>
          <w:t>http://om.ciheam.org/article.php?IDPDF=801420</w:t>
        </w:r>
      </w:hyperlink>
    </w:p>
    <w:p w14:paraId="141C6845" w14:textId="65495C25" w:rsidR="00C766AE" w:rsidRDefault="00C766AE" w:rsidP="00C766AE">
      <w:pPr>
        <w:jc w:val="both"/>
        <w:rPr>
          <w:rFonts w:ascii="Arial" w:hAnsi="Arial" w:cs="Arial"/>
          <w:sz w:val="20"/>
          <w:szCs w:val="20"/>
        </w:rPr>
      </w:pPr>
      <w:r w:rsidRPr="00C766AE">
        <w:rPr>
          <w:rFonts w:ascii="Arial" w:hAnsi="Arial" w:cs="Arial"/>
          <w:sz w:val="20"/>
          <w:szCs w:val="20"/>
        </w:rPr>
        <w:t>Alingo, S.; Kombele, F. 2013. Evolution of soil bulk density and C/N ratio under exotic and local cassava varieties under natural conditions in KISANGANI (DR Congo). Annals of the Yangambi Faculty of Agricultural Sciences, 2009, special (1). pp.197-214. hal-00877116. 15p.</w:t>
      </w:r>
    </w:p>
    <w:p w14:paraId="62E42416" w14:textId="066FF438" w:rsidR="00C766AE" w:rsidRDefault="00C766AE" w:rsidP="00C766AE">
      <w:pPr>
        <w:jc w:val="both"/>
        <w:rPr>
          <w:rFonts w:ascii="Arial" w:hAnsi="Arial" w:cs="Arial"/>
          <w:sz w:val="20"/>
          <w:szCs w:val="20"/>
        </w:rPr>
      </w:pPr>
      <w:r w:rsidRPr="00C766AE">
        <w:rPr>
          <w:rFonts w:ascii="Arial" w:hAnsi="Arial" w:cs="Arial"/>
          <w:sz w:val="20"/>
          <w:szCs w:val="20"/>
        </w:rPr>
        <w:t>AMARA. M., 2007</w:t>
      </w:r>
      <w:r>
        <w:rPr>
          <w:rFonts w:ascii="Arial" w:hAnsi="Arial" w:cs="Arial"/>
          <w:sz w:val="20"/>
          <w:szCs w:val="20"/>
        </w:rPr>
        <w:t xml:space="preserve">. </w:t>
      </w:r>
      <w:r w:rsidRPr="00C766AE">
        <w:rPr>
          <w:rFonts w:ascii="Arial" w:hAnsi="Arial" w:cs="Arial"/>
          <w:sz w:val="20"/>
          <w:szCs w:val="20"/>
        </w:rPr>
        <w:t>Contribution to the modelling of the Farming Tools - Soil interface; Optimization of the shape and tensile strength of plough bodies and tine tools.PhD thesis in Agronomic Sciences, El-Harrach Algeria, 260 p.</w:t>
      </w:r>
    </w:p>
    <w:p w14:paraId="56E7FAD4" w14:textId="2666F082" w:rsidR="00C766AE" w:rsidRDefault="00C766AE" w:rsidP="00C766AE">
      <w:pPr>
        <w:jc w:val="both"/>
        <w:rPr>
          <w:rFonts w:ascii="Arial" w:hAnsi="Arial" w:cs="Arial"/>
          <w:sz w:val="20"/>
          <w:szCs w:val="20"/>
        </w:rPr>
      </w:pPr>
      <w:r w:rsidRPr="00C766AE">
        <w:rPr>
          <w:rFonts w:ascii="Arial" w:hAnsi="Arial" w:cs="Arial"/>
          <w:sz w:val="20"/>
          <w:szCs w:val="20"/>
        </w:rPr>
        <w:t>ANCELIN, O., DURANEL, J., DERSIGNY, C., DUPARQUE, A., &amp; FLEUTRY, L. 2008.</w:t>
      </w:r>
      <w:r w:rsidRPr="00C766AE">
        <w:t xml:space="preserve"> </w:t>
      </w:r>
      <w:r w:rsidRPr="00C766AE">
        <w:rPr>
          <w:rFonts w:ascii="Arial" w:hAnsi="Arial" w:cs="Arial"/>
          <w:sz w:val="20"/>
          <w:szCs w:val="20"/>
        </w:rPr>
        <w:t>Momento Soil and Organic Matter.</w:t>
      </w:r>
    </w:p>
    <w:p w14:paraId="7A958E6B" w14:textId="4742438D" w:rsidR="00C766AE" w:rsidRDefault="00C766AE" w:rsidP="00C766AE">
      <w:pPr>
        <w:jc w:val="both"/>
        <w:rPr>
          <w:rFonts w:ascii="Arial" w:hAnsi="Arial" w:cs="Arial"/>
          <w:sz w:val="20"/>
          <w:szCs w:val="20"/>
        </w:rPr>
      </w:pPr>
      <w:r w:rsidRPr="00C766AE">
        <w:rPr>
          <w:rFonts w:ascii="Arial" w:hAnsi="Arial" w:cs="Arial"/>
          <w:sz w:val="20"/>
          <w:szCs w:val="20"/>
        </w:rPr>
        <w:t>ANSD. 2020.</w:t>
      </w:r>
      <w:r w:rsidRPr="00C766AE">
        <w:t xml:space="preserve"> </w:t>
      </w:r>
      <w:r w:rsidRPr="00C766AE">
        <w:rPr>
          <w:rFonts w:ascii="Arial" w:hAnsi="Arial" w:cs="Arial"/>
          <w:sz w:val="20"/>
          <w:szCs w:val="20"/>
        </w:rPr>
        <w:t>Annual report on the population of Senegal in</w:t>
      </w:r>
      <w:r>
        <w:rPr>
          <w:rFonts w:ascii="Arial" w:hAnsi="Arial" w:cs="Arial"/>
          <w:sz w:val="20"/>
          <w:szCs w:val="20"/>
        </w:rPr>
        <w:t xml:space="preserve"> 2020</w:t>
      </w:r>
      <w:r w:rsidRPr="00C766AE">
        <w:rPr>
          <w:rFonts w:ascii="Arial" w:hAnsi="Arial" w:cs="Arial"/>
          <w:sz w:val="20"/>
          <w:szCs w:val="20"/>
        </w:rPr>
        <w:t>.</w:t>
      </w:r>
      <w:r w:rsidRPr="00C766AE">
        <w:t xml:space="preserve"> </w:t>
      </w:r>
      <w:r w:rsidRPr="00C766AE">
        <w:rPr>
          <w:rFonts w:ascii="Arial" w:hAnsi="Arial" w:cs="Arial"/>
          <w:sz w:val="20"/>
          <w:szCs w:val="20"/>
        </w:rPr>
        <w:t>Senegal's National Statistics and Demography Agency (ANSD)</w:t>
      </w:r>
      <w:r>
        <w:rPr>
          <w:rFonts w:ascii="Arial" w:hAnsi="Arial" w:cs="Arial"/>
          <w:sz w:val="20"/>
          <w:szCs w:val="20"/>
        </w:rPr>
        <w:t>.</w:t>
      </w:r>
      <w:r w:rsidRPr="00C766AE">
        <w:rPr>
          <w:rFonts w:ascii="Arial" w:hAnsi="Arial" w:cs="Arial"/>
          <w:sz w:val="20"/>
          <w:szCs w:val="20"/>
        </w:rPr>
        <w:t xml:space="preserve"> 17p</w:t>
      </w:r>
    </w:p>
    <w:p w14:paraId="64E46DF9" w14:textId="6B33F9C3" w:rsidR="00C766AE" w:rsidRDefault="00736EBD" w:rsidP="00C766AE">
      <w:pPr>
        <w:jc w:val="both"/>
        <w:rPr>
          <w:rFonts w:ascii="Arial" w:hAnsi="Arial" w:cs="Arial"/>
          <w:sz w:val="20"/>
          <w:szCs w:val="20"/>
        </w:rPr>
      </w:pPr>
      <w:hyperlink r:id="rId34" w:history="1">
        <w:r w:rsidR="00C766AE" w:rsidRPr="00A57666">
          <w:rPr>
            <w:rStyle w:val="Hyperlink"/>
            <w:rFonts w:ascii="Arial" w:hAnsi="Arial" w:cs="Arial"/>
            <w:sz w:val="20"/>
            <w:szCs w:val="20"/>
          </w:rPr>
          <w:t>https://www.ansd.sn/node/13980</w:t>
        </w:r>
      </w:hyperlink>
    </w:p>
    <w:p w14:paraId="580A2D2F" w14:textId="23520FE7" w:rsidR="00C766AE" w:rsidRDefault="00C766AE" w:rsidP="00C766AE">
      <w:pPr>
        <w:jc w:val="both"/>
        <w:rPr>
          <w:rFonts w:ascii="Arial" w:hAnsi="Arial" w:cs="Arial"/>
          <w:sz w:val="20"/>
          <w:szCs w:val="20"/>
        </w:rPr>
      </w:pPr>
      <w:r w:rsidRPr="00C766AE">
        <w:rPr>
          <w:rFonts w:ascii="Arial" w:hAnsi="Arial" w:cs="Arial"/>
          <w:sz w:val="20"/>
          <w:szCs w:val="20"/>
        </w:rPr>
        <w:t>Berbard. A. 2012. Basic rules of tractor use. New Caledonia Chamber of Agriculture, Agricultural Machinery platform. 55p</w:t>
      </w:r>
      <w:r>
        <w:rPr>
          <w:rFonts w:ascii="Arial" w:hAnsi="Arial" w:cs="Arial"/>
          <w:sz w:val="20"/>
          <w:szCs w:val="20"/>
        </w:rPr>
        <w:t>.</w:t>
      </w:r>
    </w:p>
    <w:p w14:paraId="05206DDB" w14:textId="0743A608" w:rsidR="00C766AE" w:rsidRDefault="008B576D" w:rsidP="00C766AE">
      <w:pPr>
        <w:jc w:val="both"/>
        <w:rPr>
          <w:rFonts w:ascii="Arial" w:hAnsi="Arial" w:cs="Arial"/>
          <w:sz w:val="20"/>
          <w:szCs w:val="20"/>
        </w:rPr>
      </w:pPr>
      <w:r w:rsidRPr="008B576D">
        <w:rPr>
          <w:rFonts w:ascii="Arial" w:hAnsi="Arial" w:cs="Arial"/>
          <w:sz w:val="20"/>
          <w:szCs w:val="20"/>
        </w:rPr>
        <w:t>Chehaibi S., Pieters J.G. &amp; Verschoore R.A., 2003</w:t>
      </w:r>
      <w:r>
        <w:rPr>
          <w:rFonts w:ascii="Arial" w:hAnsi="Arial" w:cs="Arial"/>
          <w:sz w:val="20"/>
          <w:szCs w:val="20"/>
        </w:rPr>
        <w:t>.</w:t>
      </w:r>
      <w:r w:rsidRPr="008B576D">
        <w:rPr>
          <w:rFonts w:ascii="Arial" w:hAnsi="Arial" w:cs="Arial"/>
          <w:sz w:val="20"/>
          <w:szCs w:val="20"/>
        </w:rPr>
        <w:t xml:space="preserve"> Small-scale motorization and vegetable farms of limited size in the Tunisian Sahel. Part 1: Diagnostic study. Tropicultura, 21, 2, 86-91</w:t>
      </w:r>
      <w:r>
        <w:rPr>
          <w:rFonts w:ascii="Arial" w:hAnsi="Arial" w:cs="Arial"/>
          <w:sz w:val="20"/>
          <w:szCs w:val="20"/>
        </w:rPr>
        <w:t>.</w:t>
      </w:r>
    </w:p>
    <w:p w14:paraId="5B31FD48" w14:textId="1513A9DA" w:rsidR="008B576D" w:rsidRDefault="008B576D" w:rsidP="008B576D">
      <w:pPr>
        <w:jc w:val="both"/>
        <w:rPr>
          <w:rFonts w:ascii="Arial" w:hAnsi="Arial" w:cs="Arial"/>
          <w:sz w:val="20"/>
          <w:szCs w:val="20"/>
          <w:lang w:val="fr-SN"/>
        </w:rPr>
      </w:pPr>
      <w:r w:rsidRPr="008B576D">
        <w:rPr>
          <w:rFonts w:ascii="Arial" w:hAnsi="Arial" w:cs="Arial"/>
          <w:sz w:val="20"/>
          <w:szCs w:val="20"/>
        </w:rPr>
        <w:t>IFV. 2016. Hitch.</w:t>
      </w:r>
      <w:r>
        <w:rPr>
          <w:rFonts w:ascii="Arial" w:hAnsi="Arial" w:cs="Arial"/>
          <w:sz w:val="20"/>
          <w:szCs w:val="20"/>
        </w:rPr>
        <w:t xml:space="preserve"> </w:t>
      </w:r>
      <w:hyperlink r:id="rId35" w:history="1">
        <w:r w:rsidRPr="008B576D">
          <w:rPr>
            <w:rStyle w:val="Hyperlink"/>
            <w:rFonts w:ascii="Arial" w:hAnsi="Arial" w:cs="Arial"/>
            <w:sz w:val="20"/>
            <w:szCs w:val="20"/>
            <w:lang w:val="fr-SN"/>
          </w:rPr>
          <w:t>https://www.matevi-france.com/viticulture/traction/tracteur-interligne/1848-attelage.html</w:t>
        </w:r>
      </w:hyperlink>
      <w:r w:rsidRPr="008B576D">
        <w:rPr>
          <w:rFonts w:ascii="Arial" w:hAnsi="Arial" w:cs="Arial"/>
          <w:sz w:val="20"/>
          <w:szCs w:val="20"/>
          <w:lang w:val="fr-SN"/>
        </w:rPr>
        <w:t xml:space="preserve"> </w:t>
      </w:r>
    </w:p>
    <w:p w14:paraId="688C22CC" w14:textId="77777777" w:rsidR="008B576D" w:rsidRPr="008B576D" w:rsidRDefault="008B576D" w:rsidP="008B576D">
      <w:pPr>
        <w:jc w:val="both"/>
        <w:rPr>
          <w:rFonts w:ascii="Arial" w:hAnsi="Arial" w:cs="Arial"/>
          <w:sz w:val="20"/>
          <w:szCs w:val="20"/>
        </w:rPr>
      </w:pPr>
      <w:r w:rsidRPr="008B576D">
        <w:rPr>
          <w:rFonts w:ascii="Arial" w:hAnsi="Arial" w:cs="Arial"/>
          <w:sz w:val="20"/>
          <w:szCs w:val="20"/>
          <w:lang w:val="fr-SN"/>
        </w:rPr>
        <w:t>Dahou, M. N., Zokpodo, L.K.B., &amp; Glele Kakai, R. (2018). Impacts of motorized tillage on soil and crop yield: a critical review. Afrique SCIENCE 14(5) (2018) 378 - 389 378 ISSN 1813-548X</w:t>
      </w:r>
      <w:r>
        <w:rPr>
          <w:rFonts w:ascii="Arial" w:hAnsi="Arial" w:cs="Arial"/>
          <w:sz w:val="20"/>
          <w:szCs w:val="20"/>
          <w:lang w:val="fr-SN"/>
        </w:rPr>
        <w:t xml:space="preserve">. </w:t>
      </w:r>
      <w:hyperlink r:id="rId36" w:history="1">
        <w:r w:rsidRPr="008B576D">
          <w:rPr>
            <w:rStyle w:val="Hyperlink"/>
            <w:rFonts w:ascii="Arial" w:hAnsi="Arial" w:cs="Arial"/>
            <w:sz w:val="20"/>
            <w:szCs w:val="20"/>
          </w:rPr>
          <w:t>http://www.afriquescience.net</w:t>
        </w:r>
      </w:hyperlink>
    </w:p>
    <w:p w14:paraId="1945E6E4" w14:textId="64123463" w:rsidR="008B576D" w:rsidRDefault="008B576D" w:rsidP="008B576D">
      <w:pPr>
        <w:jc w:val="both"/>
        <w:rPr>
          <w:rFonts w:ascii="Arial" w:hAnsi="Arial" w:cs="Arial"/>
          <w:sz w:val="20"/>
          <w:szCs w:val="20"/>
        </w:rPr>
      </w:pPr>
      <w:r w:rsidRPr="008B576D">
        <w:rPr>
          <w:rFonts w:ascii="Arial" w:hAnsi="Arial" w:cs="Arial"/>
          <w:sz w:val="20"/>
          <w:szCs w:val="20"/>
          <w:lang w:val="fr-SN"/>
        </w:rPr>
        <w:t>Dechef, A. 2022.</w:t>
      </w:r>
      <w:r w:rsidRPr="008B576D">
        <w:t xml:space="preserve"> </w:t>
      </w:r>
      <w:r w:rsidRPr="008B576D">
        <w:rPr>
          <w:rFonts w:ascii="Arial" w:hAnsi="Arial" w:cs="Arial"/>
          <w:sz w:val="20"/>
          <w:szCs w:val="20"/>
          <w:lang w:val="fr-SN"/>
        </w:rPr>
        <w:t>Impact of tillage on the physical, chemical and biological parameters of the soil-plant system in spelt and wheat crops.</w:t>
      </w:r>
      <w:r w:rsidRPr="008B576D">
        <w:t xml:space="preserve"> </w:t>
      </w:r>
      <w:r w:rsidRPr="008B576D">
        <w:rPr>
          <w:rFonts w:ascii="Arial" w:hAnsi="Arial" w:cs="Arial"/>
          <w:sz w:val="20"/>
          <w:szCs w:val="20"/>
          <w:lang w:val="fr-SN"/>
        </w:rPr>
        <w:t>Catholic University of Leuven.</w:t>
      </w:r>
      <w:r w:rsidRPr="008B576D">
        <w:rPr>
          <w:rFonts w:ascii="Times New Roman" w:eastAsia="Calibri" w:hAnsi="Times New Roman" w:cs="Times New Roman"/>
          <w:sz w:val="24"/>
        </w:rPr>
        <w:t xml:space="preserve"> </w:t>
      </w:r>
      <w:hyperlink r:id="rId37" w:history="1">
        <w:r w:rsidRPr="00A57666">
          <w:rPr>
            <w:rStyle w:val="Hyperlink"/>
            <w:rFonts w:ascii="Arial" w:hAnsi="Arial" w:cs="Arial"/>
            <w:sz w:val="20"/>
            <w:szCs w:val="20"/>
          </w:rPr>
          <w:t>http://hdl.handle.net/2078.1/thesis:33963</w:t>
        </w:r>
      </w:hyperlink>
    </w:p>
    <w:p w14:paraId="23B5CBC0" w14:textId="5E1498A1" w:rsidR="008B576D" w:rsidRDefault="008B576D" w:rsidP="008B576D">
      <w:pPr>
        <w:jc w:val="both"/>
        <w:rPr>
          <w:rFonts w:ascii="Arial" w:hAnsi="Arial" w:cs="Arial"/>
          <w:sz w:val="20"/>
          <w:szCs w:val="20"/>
          <w:lang w:val="en-US"/>
        </w:rPr>
      </w:pPr>
      <w:r w:rsidRPr="008B576D">
        <w:rPr>
          <w:rFonts w:ascii="Arial" w:hAnsi="Arial" w:cs="Arial"/>
          <w:sz w:val="20"/>
          <w:szCs w:val="20"/>
        </w:rPr>
        <w:t>El Mekkaoui, A., Moussadek, R., Mrabet, R., Douaik, A., El Haddadi, R., Bouhlal, O., Elomari, M., Ganoudi, M., Zouahri, A., &amp; Chakiri, S. 2023. Effects of Tillage Systems on the Physical Properties of Soils in a Semi-Arid Region of Morocco</w:t>
      </w:r>
      <w:r>
        <w:rPr>
          <w:rFonts w:ascii="Arial" w:hAnsi="Arial" w:cs="Arial"/>
          <w:sz w:val="20"/>
          <w:szCs w:val="20"/>
        </w:rPr>
        <w:t>.</w:t>
      </w:r>
      <w:r w:rsidRPr="008B576D">
        <w:rPr>
          <w:rFonts w:ascii="Times New Roman" w:eastAsia="Calibri" w:hAnsi="Times New Roman" w:cs="Times New Roman"/>
          <w:i/>
          <w:iCs/>
          <w:sz w:val="24"/>
          <w:lang w:val="en-US"/>
        </w:rPr>
        <w:t xml:space="preserve"> </w:t>
      </w:r>
      <w:r w:rsidRPr="008B576D">
        <w:rPr>
          <w:rFonts w:ascii="Arial" w:hAnsi="Arial" w:cs="Arial"/>
          <w:i/>
          <w:iCs/>
          <w:sz w:val="20"/>
          <w:szCs w:val="20"/>
          <w:lang w:val="en-US"/>
        </w:rPr>
        <w:t>Agriculture</w:t>
      </w:r>
      <w:r w:rsidRPr="008B576D">
        <w:rPr>
          <w:rFonts w:ascii="Arial" w:hAnsi="Arial" w:cs="Arial"/>
          <w:sz w:val="20"/>
          <w:szCs w:val="20"/>
          <w:lang w:val="en-US"/>
        </w:rPr>
        <w:t xml:space="preserve">, </w:t>
      </w:r>
      <w:r w:rsidRPr="008B576D">
        <w:rPr>
          <w:rFonts w:ascii="Arial" w:hAnsi="Arial" w:cs="Arial"/>
          <w:i/>
          <w:iCs/>
          <w:sz w:val="20"/>
          <w:szCs w:val="20"/>
          <w:lang w:val="en-US"/>
        </w:rPr>
        <w:t>13</w:t>
      </w:r>
      <w:r w:rsidRPr="008B576D">
        <w:rPr>
          <w:rFonts w:ascii="Arial" w:hAnsi="Arial" w:cs="Arial"/>
          <w:sz w:val="20"/>
          <w:szCs w:val="20"/>
          <w:lang w:val="en-US"/>
        </w:rPr>
        <w:t xml:space="preserve">(3), Article 3. </w:t>
      </w:r>
      <w:hyperlink r:id="rId38" w:history="1">
        <w:r w:rsidRPr="00A57666">
          <w:rPr>
            <w:rStyle w:val="Hyperlink"/>
            <w:rFonts w:ascii="Arial" w:hAnsi="Arial" w:cs="Arial"/>
            <w:sz w:val="20"/>
            <w:szCs w:val="20"/>
            <w:lang w:val="en-US"/>
          </w:rPr>
          <w:t>https://doi.org/10.3390/agriculture13030683</w:t>
        </w:r>
      </w:hyperlink>
    </w:p>
    <w:p w14:paraId="3F1D105F" w14:textId="4C1EC090" w:rsidR="008B576D" w:rsidRDefault="008B576D" w:rsidP="008B576D">
      <w:pPr>
        <w:jc w:val="both"/>
        <w:rPr>
          <w:rFonts w:ascii="Arial" w:hAnsi="Arial" w:cs="Arial"/>
          <w:sz w:val="20"/>
          <w:szCs w:val="20"/>
          <w:lang w:val="en-US"/>
        </w:rPr>
      </w:pPr>
      <w:r w:rsidRPr="008B576D">
        <w:rPr>
          <w:rFonts w:ascii="Arial" w:hAnsi="Arial" w:cs="Arial"/>
          <w:sz w:val="20"/>
          <w:szCs w:val="20"/>
          <w:lang w:val="en-US"/>
        </w:rPr>
        <w:t xml:space="preserve">Fabrizzi, K. P., Garcı́a, F. O., Costa, J. L., &amp; Picone, L. I. 2005. Soil water dynamics, physical properties and corn and wheat responses to minimum and no-tillage systems in the southern Pampas of Argentina. </w:t>
      </w:r>
      <w:r w:rsidRPr="008B576D">
        <w:rPr>
          <w:rFonts w:ascii="Arial" w:hAnsi="Arial" w:cs="Arial"/>
          <w:i/>
          <w:iCs/>
          <w:sz w:val="20"/>
          <w:szCs w:val="20"/>
          <w:lang w:val="en-US"/>
        </w:rPr>
        <w:t>Soil and Tillage Research</w:t>
      </w:r>
      <w:r w:rsidRPr="008B576D">
        <w:rPr>
          <w:rFonts w:ascii="Arial" w:hAnsi="Arial" w:cs="Arial"/>
          <w:sz w:val="20"/>
          <w:szCs w:val="20"/>
          <w:lang w:val="en-US"/>
        </w:rPr>
        <w:t xml:space="preserve">, </w:t>
      </w:r>
      <w:r w:rsidRPr="008B576D">
        <w:rPr>
          <w:rFonts w:ascii="Arial" w:hAnsi="Arial" w:cs="Arial"/>
          <w:i/>
          <w:iCs/>
          <w:sz w:val="20"/>
          <w:szCs w:val="20"/>
          <w:lang w:val="en-US"/>
        </w:rPr>
        <w:t>81</w:t>
      </w:r>
      <w:r w:rsidRPr="008B576D">
        <w:rPr>
          <w:rFonts w:ascii="Arial" w:hAnsi="Arial" w:cs="Arial"/>
          <w:sz w:val="20"/>
          <w:szCs w:val="20"/>
          <w:lang w:val="en-US"/>
        </w:rPr>
        <w:t>(1), 57</w:t>
      </w:r>
      <w:r w:rsidRPr="008B576D">
        <w:rPr>
          <w:rFonts w:ascii="Cambria Math" w:hAnsi="Cambria Math" w:cs="Cambria Math"/>
          <w:sz w:val="20"/>
          <w:szCs w:val="20"/>
          <w:lang w:val="en-US"/>
        </w:rPr>
        <w:t>‑</w:t>
      </w:r>
      <w:r w:rsidRPr="008B576D">
        <w:rPr>
          <w:rFonts w:ascii="Arial" w:hAnsi="Arial" w:cs="Arial"/>
          <w:sz w:val="20"/>
          <w:szCs w:val="20"/>
          <w:lang w:val="en-US"/>
        </w:rPr>
        <w:t xml:space="preserve">69. </w:t>
      </w:r>
      <w:hyperlink r:id="rId39" w:history="1">
        <w:r w:rsidRPr="008B576D">
          <w:rPr>
            <w:rStyle w:val="Hyperlink"/>
            <w:rFonts w:ascii="Arial" w:hAnsi="Arial" w:cs="Arial"/>
            <w:sz w:val="20"/>
            <w:szCs w:val="20"/>
            <w:lang w:val="en-US"/>
          </w:rPr>
          <w:t>https://doi.org/10.1016/j.still.2004.05.001</w:t>
        </w:r>
      </w:hyperlink>
    </w:p>
    <w:p w14:paraId="197C12FB" w14:textId="55FC4DCA" w:rsidR="008B576D" w:rsidRDefault="008B576D" w:rsidP="008B576D">
      <w:pPr>
        <w:jc w:val="both"/>
        <w:rPr>
          <w:rFonts w:ascii="Arial" w:hAnsi="Arial" w:cs="Arial"/>
          <w:sz w:val="20"/>
          <w:szCs w:val="20"/>
          <w:lang w:val="en-US"/>
        </w:rPr>
      </w:pPr>
      <w:r w:rsidRPr="008B576D">
        <w:rPr>
          <w:rFonts w:ascii="Arial" w:hAnsi="Arial" w:cs="Arial"/>
          <w:sz w:val="20"/>
          <w:szCs w:val="20"/>
          <w:lang w:val="en-US"/>
        </w:rPr>
        <w:t>FAO. 2019. The state of food and agriculture. Going further in reducing food loss and waste. Rome. License: CC BY-NC-SA 3.0</w:t>
      </w:r>
      <w:r>
        <w:rPr>
          <w:rFonts w:ascii="Arial" w:hAnsi="Arial" w:cs="Arial"/>
          <w:sz w:val="20"/>
          <w:szCs w:val="20"/>
          <w:lang w:val="en-US"/>
        </w:rPr>
        <w:t>.</w:t>
      </w:r>
    </w:p>
    <w:p w14:paraId="1D33BE65" w14:textId="57053EAE" w:rsidR="008B576D" w:rsidRDefault="008B576D" w:rsidP="008B576D">
      <w:pPr>
        <w:jc w:val="both"/>
        <w:rPr>
          <w:rFonts w:ascii="Arial" w:hAnsi="Arial" w:cs="Arial"/>
          <w:sz w:val="20"/>
          <w:szCs w:val="20"/>
          <w:lang w:val="en-US"/>
        </w:rPr>
      </w:pPr>
      <w:r w:rsidRPr="008B576D">
        <w:rPr>
          <w:rFonts w:ascii="Arial" w:hAnsi="Arial" w:cs="Arial"/>
          <w:sz w:val="20"/>
          <w:szCs w:val="20"/>
          <w:lang w:val="en-US"/>
        </w:rPr>
        <w:t>IGO. ISBN 978-92-5-131855-3 © FAO 2019. 203p.</w:t>
      </w:r>
    </w:p>
    <w:p w14:paraId="61832A57" w14:textId="68C133A6" w:rsidR="008B576D" w:rsidRDefault="008B576D" w:rsidP="008B576D">
      <w:pPr>
        <w:jc w:val="both"/>
        <w:rPr>
          <w:rFonts w:ascii="Arial" w:hAnsi="Arial" w:cs="Arial"/>
          <w:sz w:val="20"/>
          <w:szCs w:val="20"/>
          <w:lang w:val="en-US"/>
        </w:rPr>
      </w:pPr>
      <w:r w:rsidRPr="008B576D">
        <w:rPr>
          <w:rFonts w:ascii="Arial" w:hAnsi="Arial" w:cs="Arial"/>
          <w:sz w:val="20"/>
          <w:szCs w:val="20"/>
          <w:lang w:val="en-US"/>
        </w:rPr>
        <w:t>FAO. 2007. The State of Food and Agriculture. 39p.</w:t>
      </w:r>
    </w:p>
    <w:p w14:paraId="0FE9FA90" w14:textId="45EAFA2D" w:rsidR="008B576D" w:rsidRDefault="008B576D" w:rsidP="008B576D">
      <w:pPr>
        <w:jc w:val="both"/>
        <w:rPr>
          <w:rFonts w:ascii="Arial" w:hAnsi="Arial" w:cs="Arial"/>
          <w:sz w:val="20"/>
          <w:szCs w:val="20"/>
          <w:lang w:val="en-US"/>
        </w:rPr>
      </w:pPr>
      <w:r w:rsidRPr="008B576D">
        <w:rPr>
          <w:rFonts w:ascii="Arial" w:hAnsi="Arial" w:cs="Arial"/>
          <w:sz w:val="20"/>
          <w:szCs w:val="20"/>
          <w:lang w:val="en-US"/>
        </w:rPr>
        <w:t>Gravel, A. 2016. Agroecological practices in urban and peri-urban farms for urban food security in sub-Saharan Africa. Sherbrooke</w:t>
      </w:r>
      <w:r>
        <w:rPr>
          <w:rFonts w:ascii="Arial" w:hAnsi="Arial" w:cs="Arial"/>
          <w:sz w:val="20"/>
          <w:szCs w:val="20"/>
          <w:lang w:val="en-US"/>
        </w:rPr>
        <w:t xml:space="preserve"> University</w:t>
      </w:r>
      <w:r w:rsidRPr="008B576D">
        <w:rPr>
          <w:rFonts w:ascii="Arial" w:hAnsi="Arial" w:cs="Arial"/>
          <w:sz w:val="20"/>
          <w:szCs w:val="20"/>
          <w:lang w:val="en-US"/>
        </w:rPr>
        <w:t>.</w:t>
      </w:r>
    </w:p>
    <w:p w14:paraId="4056BF29" w14:textId="0834D8E3" w:rsidR="008B576D" w:rsidRDefault="008B576D" w:rsidP="008B576D">
      <w:pPr>
        <w:jc w:val="both"/>
        <w:rPr>
          <w:rFonts w:ascii="Arial" w:hAnsi="Arial" w:cs="Arial"/>
          <w:sz w:val="20"/>
          <w:szCs w:val="20"/>
          <w:lang w:val="en-US"/>
        </w:rPr>
      </w:pPr>
      <w:r w:rsidRPr="008B576D">
        <w:rPr>
          <w:rFonts w:ascii="Arial" w:hAnsi="Arial" w:cs="Arial"/>
          <w:sz w:val="20"/>
          <w:szCs w:val="20"/>
          <w:lang w:val="en-US"/>
        </w:rPr>
        <w:t>GLOBE, 2005. Soil pH measurement protocol. 9 p.</w:t>
      </w:r>
    </w:p>
    <w:p w14:paraId="0ECF1991" w14:textId="12450078" w:rsidR="008B576D" w:rsidRDefault="008B576D" w:rsidP="008B576D">
      <w:pPr>
        <w:jc w:val="both"/>
        <w:rPr>
          <w:rFonts w:ascii="Arial" w:hAnsi="Arial" w:cs="Arial"/>
          <w:sz w:val="20"/>
          <w:szCs w:val="20"/>
          <w:lang w:val="en-US"/>
        </w:rPr>
      </w:pPr>
      <w:r w:rsidRPr="008B576D">
        <w:rPr>
          <w:rFonts w:ascii="Arial" w:hAnsi="Arial" w:cs="Arial"/>
          <w:sz w:val="20"/>
          <w:szCs w:val="20"/>
          <w:lang w:val="en-US"/>
        </w:rPr>
        <w:lastRenderedPageBreak/>
        <w:t>GRDR.2015.</w:t>
      </w:r>
      <w:r w:rsidRPr="008B576D">
        <w:t xml:space="preserve"> </w:t>
      </w:r>
      <w:r w:rsidRPr="008B576D">
        <w:rPr>
          <w:rFonts w:ascii="Arial" w:hAnsi="Arial" w:cs="Arial"/>
          <w:sz w:val="20"/>
          <w:szCs w:val="20"/>
          <w:lang w:val="en-US"/>
        </w:rPr>
        <w:t>The local dimension of the Migration and Development dialectic</w:t>
      </w:r>
      <w:r>
        <w:rPr>
          <w:rFonts w:ascii="Arial" w:hAnsi="Arial" w:cs="Arial"/>
          <w:sz w:val="20"/>
          <w:szCs w:val="20"/>
          <w:lang w:val="en-US"/>
        </w:rPr>
        <w:t xml:space="preserve">. </w:t>
      </w:r>
      <w:r w:rsidRPr="008B576D">
        <w:rPr>
          <w:rFonts w:ascii="Arial" w:hAnsi="Arial" w:cs="Arial"/>
          <w:sz w:val="20"/>
          <w:szCs w:val="20"/>
          <w:lang w:val="en-US"/>
        </w:rPr>
        <w:t xml:space="preserve">CAS FRANCE </w:t>
      </w:r>
      <w:r w:rsidRPr="008B576D">
        <w:rPr>
          <w:rFonts w:ascii="Cambria Math" w:hAnsi="Cambria Math" w:cs="Cambria Math"/>
          <w:sz w:val="20"/>
          <w:szCs w:val="20"/>
          <w:lang w:val="en-US"/>
        </w:rPr>
        <w:t>‐</w:t>
      </w:r>
      <w:r w:rsidRPr="008B576D">
        <w:rPr>
          <w:rFonts w:ascii="Arial" w:hAnsi="Arial" w:cs="Arial"/>
          <w:sz w:val="20"/>
          <w:szCs w:val="20"/>
          <w:lang w:val="en-US"/>
        </w:rPr>
        <w:t xml:space="preserve"> SENEGAL. 75p.</w:t>
      </w:r>
    </w:p>
    <w:p w14:paraId="012D95D0" w14:textId="42CA4B1D" w:rsidR="008B576D" w:rsidRDefault="008B576D" w:rsidP="008B576D">
      <w:pPr>
        <w:jc w:val="both"/>
        <w:rPr>
          <w:rFonts w:ascii="Arial" w:hAnsi="Arial" w:cs="Arial"/>
          <w:sz w:val="20"/>
          <w:szCs w:val="20"/>
          <w:lang w:val="en-US"/>
        </w:rPr>
      </w:pPr>
      <w:r w:rsidRPr="008B576D">
        <w:rPr>
          <w:rFonts w:ascii="Arial" w:hAnsi="Arial" w:cs="Arial"/>
          <w:sz w:val="20"/>
          <w:szCs w:val="20"/>
          <w:lang w:val="en-US"/>
        </w:rPr>
        <w:t xml:space="preserve">Holthusen, D., Brandt, A. A., Reichert, J. M., &amp; Horn, R. 2018. Soil porosity, permeability and static and dynamic strength parameters under native forest/grassland compared to no-tillage cropping. </w:t>
      </w:r>
      <w:r w:rsidRPr="008B576D">
        <w:rPr>
          <w:rFonts w:ascii="Arial" w:hAnsi="Arial" w:cs="Arial"/>
          <w:i/>
          <w:iCs/>
          <w:sz w:val="20"/>
          <w:szCs w:val="20"/>
          <w:lang w:val="en-US"/>
        </w:rPr>
        <w:t>Soil and Tillage Research</w:t>
      </w:r>
      <w:r w:rsidRPr="008B576D">
        <w:rPr>
          <w:rFonts w:ascii="Arial" w:hAnsi="Arial" w:cs="Arial"/>
          <w:sz w:val="20"/>
          <w:szCs w:val="20"/>
          <w:lang w:val="en-US"/>
        </w:rPr>
        <w:t xml:space="preserve">, </w:t>
      </w:r>
      <w:r w:rsidRPr="008B576D">
        <w:rPr>
          <w:rFonts w:ascii="Arial" w:hAnsi="Arial" w:cs="Arial"/>
          <w:i/>
          <w:iCs/>
          <w:sz w:val="20"/>
          <w:szCs w:val="20"/>
          <w:lang w:val="en-US"/>
        </w:rPr>
        <w:t>177</w:t>
      </w:r>
      <w:r w:rsidRPr="008B576D">
        <w:rPr>
          <w:rFonts w:ascii="Arial" w:hAnsi="Arial" w:cs="Arial"/>
          <w:sz w:val="20"/>
          <w:szCs w:val="20"/>
          <w:lang w:val="en-US"/>
        </w:rPr>
        <w:t>, 113</w:t>
      </w:r>
      <w:r w:rsidRPr="008B576D">
        <w:rPr>
          <w:rFonts w:ascii="Cambria Math" w:hAnsi="Cambria Math" w:cs="Cambria Math"/>
          <w:sz w:val="20"/>
          <w:szCs w:val="20"/>
          <w:lang w:val="en-US"/>
        </w:rPr>
        <w:t>‑</w:t>
      </w:r>
      <w:r w:rsidRPr="008B576D">
        <w:rPr>
          <w:rFonts w:ascii="Arial" w:hAnsi="Arial" w:cs="Arial"/>
          <w:sz w:val="20"/>
          <w:szCs w:val="20"/>
          <w:lang w:val="en-US"/>
        </w:rPr>
        <w:t xml:space="preserve">124. </w:t>
      </w:r>
      <w:hyperlink r:id="rId40" w:history="1">
        <w:r w:rsidRPr="008B576D">
          <w:rPr>
            <w:rStyle w:val="Hyperlink"/>
            <w:rFonts w:ascii="Arial" w:hAnsi="Arial" w:cs="Arial"/>
            <w:sz w:val="20"/>
            <w:szCs w:val="20"/>
            <w:lang w:val="en-US"/>
          </w:rPr>
          <w:t>https://doi.org/10.1016/j.still.2017.12.003</w:t>
        </w:r>
      </w:hyperlink>
    </w:p>
    <w:p w14:paraId="21AC8A01" w14:textId="51CCF293" w:rsidR="00235AA9" w:rsidRDefault="00235AA9" w:rsidP="00235AA9">
      <w:pPr>
        <w:jc w:val="both"/>
        <w:rPr>
          <w:rFonts w:ascii="Arial" w:hAnsi="Arial" w:cs="Arial"/>
          <w:sz w:val="20"/>
          <w:szCs w:val="20"/>
        </w:rPr>
      </w:pPr>
      <w:r w:rsidRPr="00235AA9">
        <w:rPr>
          <w:rFonts w:ascii="Arial" w:hAnsi="Arial" w:cs="Arial"/>
          <w:sz w:val="20"/>
          <w:szCs w:val="20"/>
          <w:lang w:val="en-US"/>
        </w:rPr>
        <w:t>Hodomihou, R. N.; Agbossou, E. K.; Amadji, G. L.; Nacrao, H. B. 2011. Effects of different doses of rock phosphate on the reduction of iron toxicity in Niaouli lowland soils in southern Benin. Faculty of Agronomic Sciences, University of Abomey-Calavi / Benin. International Journal of Biological and Chemical Sciences. 13 p.</w:t>
      </w:r>
      <w:r w:rsidRPr="00235AA9">
        <w:rPr>
          <w:rFonts w:ascii="Times New Roman" w:eastAsia="Calibri" w:hAnsi="Times New Roman" w:cs="Times New Roman"/>
          <w:sz w:val="24"/>
        </w:rPr>
        <w:t xml:space="preserve"> </w:t>
      </w:r>
      <w:hyperlink r:id="rId41" w:history="1">
        <w:r w:rsidRPr="00A57666">
          <w:rPr>
            <w:rStyle w:val="Hyperlink"/>
            <w:rFonts w:ascii="Arial" w:hAnsi="Arial" w:cs="Arial"/>
            <w:sz w:val="20"/>
            <w:szCs w:val="20"/>
          </w:rPr>
          <w:t>http://ajol.info/index.php/ijbcs</w:t>
        </w:r>
      </w:hyperlink>
    </w:p>
    <w:p w14:paraId="0953F328" w14:textId="2520E84F" w:rsidR="00235AA9" w:rsidRDefault="00235AA9" w:rsidP="00235AA9">
      <w:pPr>
        <w:jc w:val="both"/>
        <w:rPr>
          <w:rFonts w:ascii="Arial" w:hAnsi="Arial" w:cs="Arial"/>
          <w:sz w:val="20"/>
          <w:szCs w:val="20"/>
        </w:rPr>
      </w:pPr>
      <w:r w:rsidRPr="00235AA9">
        <w:rPr>
          <w:rFonts w:ascii="Arial" w:hAnsi="Arial" w:cs="Arial"/>
          <w:sz w:val="20"/>
          <w:szCs w:val="20"/>
        </w:rPr>
        <w:t>Kalla, A. B. 2023.</w:t>
      </w:r>
      <w:r>
        <w:rPr>
          <w:rFonts w:ascii="Arial" w:hAnsi="Arial" w:cs="Arial"/>
          <w:sz w:val="20"/>
          <w:szCs w:val="20"/>
        </w:rPr>
        <w:t xml:space="preserve"> </w:t>
      </w:r>
      <w:r w:rsidRPr="00235AA9">
        <w:rPr>
          <w:rFonts w:ascii="Arial" w:hAnsi="Arial" w:cs="Arial"/>
          <w:sz w:val="20"/>
          <w:szCs w:val="20"/>
        </w:rPr>
        <w:t>Evaluation of the fertility status of irrigated rice soils in departments of the Senegal River valley: (Dagana, Podor, Matam and Kanél).</w:t>
      </w:r>
    </w:p>
    <w:p w14:paraId="04836AA7" w14:textId="764FC7BE" w:rsidR="00235AA9" w:rsidRDefault="00235AA9" w:rsidP="00235AA9">
      <w:pPr>
        <w:jc w:val="both"/>
        <w:rPr>
          <w:rFonts w:ascii="Arial" w:hAnsi="Arial" w:cs="Arial"/>
          <w:sz w:val="20"/>
          <w:szCs w:val="20"/>
        </w:rPr>
      </w:pPr>
      <w:r w:rsidRPr="00235AA9">
        <w:rPr>
          <w:rFonts w:ascii="Arial" w:hAnsi="Arial" w:cs="Arial"/>
          <w:sz w:val="20"/>
          <w:szCs w:val="20"/>
        </w:rPr>
        <w:t>Kormawa, P., Mrema, G., Mhlanga, N., Fynn, M. K., Kienzle, J., &amp; Mpagalile, J. 2019. Sustainable agricultural mechanization: strategic framework for Africa. 154p.</w:t>
      </w:r>
    </w:p>
    <w:p w14:paraId="645FFA2D" w14:textId="15404EFA" w:rsidR="00235AA9" w:rsidRDefault="00235AA9" w:rsidP="00235AA9">
      <w:pPr>
        <w:jc w:val="both"/>
        <w:rPr>
          <w:rFonts w:ascii="Arial" w:hAnsi="Arial" w:cs="Arial"/>
          <w:sz w:val="20"/>
          <w:szCs w:val="20"/>
        </w:rPr>
      </w:pPr>
      <w:r w:rsidRPr="00235AA9">
        <w:rPr>
          <w:rFonts w:ascii="Arial" w:hAnsi="Arial" w:cs="Arial"/>
          <w:sz w:val="20"/>
          <w:szCs w:val="20"/>
        </w:rPr>
        <w:t>Lanoix, M.-L. B. 2017. Characterization of the hydrogeological properties of the flow control layer placed on the experimental waste rock dump at the Lac tio mine.</w:t>
      </w:r>
      <w:r>
        <w:rPr>
          <w:rFonts w:ascii="Arial" w:hAnsi="Arial" w:cs="Arial"/>
          <w:sz w:val="20"/>
          <w:szCs w:val="20"/>
        </w:rPr>
        <w:t xml:space="preserve"> Politechnique school of Montreal.</w:t>
      </w:r>
    </w:p>
    <w:p w14:paraId="4BA33E22" w14:textId="21AB1C75" w:rsidR="00235AA9" w:rsidRDefault="00235AA9" w:rsidP="00235AA9">
      <w:pPr>
        <w:jc w:val="both"/>
        <w:rPr>
          <w:rFonts w:ascii="Arial" w:hAnsi="Arial" w:cs="Arial"/>
          <w:sz w:val="20"/>
          <w:szCs w:val="20"/>
        </w:rPr>
      </w:pPr>
      <w:r w:rsidRPr="00235AA9">
        <w:rPr>
          <w:rFonts w:ascii="Arial" w:hAnsi="Arial" w:cs="Arial"/>
          <w:sz w:val="20"/>
          <w:szCs w:val="20"/>
        </w:rPr>
        <w:t>Lérat, P. 2007</w:t>
      </w:r>
      <w:r>
        <w:rPr>
          <w:rFonts w:ascii="Arial" w:hAnsi="Arial" w:cs="Arial"/>
          <w:sz w:val="20"/>
          <w:szCs w:val="20"/>
        </w:rPr>
        <w:t>.</w:t>
      </w:r>
      <w:r w:rsidRPr="00235AA9">
        <w:t xml:space="preserve"> </w:t>
      </w:r>
      <w:r w:rsidRPr="00235AA9">
        <w:rPr>
          <w:rFonts w:ascii="Arial" w:hAnsi="Arial" w:cs="Arial"/>
          <w:sz w:val="20"/>
          <w:szCs w:val="20"/>
        </w:rPr>
        <w:t>Agricultural machinery: operation and maintenance. Edition TEC et Doc. 2nd edition. Lavoisier collection. ISBN : 978-2-7430-0940-3. 391 p.</w:t>
      </w:r>
    </w:p>
    <w:p w14:paraId="1C927037" w14:textId="39A9C6AD" w:rsidR="00235AA9" w:rsidRDefault="00235AA9" w:rsidP="00235AA9">
      <w:pPr>
        <w:jc w:val="both"/>
        <w:rPr>
          <w:rFonts w:ascii="Arial" w:hAnsi="Arial" w:cs="Arial"/>
          <w:sz w:val="20"/>
          <w:szCs w:val="20"/>
        </w:rPr>
      </w:pPr>
      <w:r w:rsidRPr="00235AA9">
        <w:rPr>
          <w:rFonts w:ascii="Arial" w:hAnsi="Arial" w:cs="Arial"/>
          <w:sz w:val="20"/>
          <w:szCs w:val="20"/>
        </w:rPr>
        <w:t>Lage, M.: El Mourid, M. 1996. Water requirement and some irrigation management methods at the plot level of irrigated rice (Oriza Sativa L.).</w:t>
      </w:r>
      <w:r>
        <w:rPr>
          <w:rFonts w:ascii="Arial" w:hAnsi="Arial" w:cs="Arial"/>
          <w:sz w:val="20"/>
          <w:szCs w:val="20"/>
        </w:rPr>
        <w:t xml:space="preserve">   </w:t>
      </w:r>
      <w:r w:rsidRPr="00235AA9">
        <w:rPr>
          <w:rFonts w:ascii="Arial" w:hAnsi="Arial" w:cs="Arial"/>
          <w:sz w:val="20"/>
          <w:szCs w:val="20"/>
        </w:rPr>
        <w:t>Bibliographical review</w:t>
      </w:r>
      <w:r>
        <w:rPr>
          <w:rFonts w:ascii="Arial" w:hAnsi="Arial" w:cs="Arial"/>
          <w:sz w:val="20"/>
          <w:szCs w:val="20"/>
        </w:rPr>
        <w:t>.</w:t>
      </w:r>
      <w:r w:rsidRPr="00235AA9">
        <w:t xml:space="preserve"> </w:t>
      </w:r>
      <w:r w:rsidRPr="00235AA9">
        <w:rPr>
          <w:rFonts w:ascii="Arial" w:hAnsi="Arial" w:cs="Arial"/>
          <w:sz w:val="20"/>
          <w:szCs w:val="20"/>
        </w:rPr>
        <w:t>Regional Center for Agronomic Research</w:t>
      </w:r>
      <w:r>
        <w:rPr>
          <w:rFonts w:ascii="Arial" w:hAnsi="Arial" w:cs="Arial"/>
          <w:sz w:val="20"/>
          <w:szCs w:val="20"/>
        </w:rPr>
        <w:t xml:space="preserve"> </w:t>
      </w:r>
      <w:r w:rsidRPr="00235AA9">
        <w:rPr>
          <w:rFonts w:ascii="Arial" w:hAnsi="Arial" w:cs="Arial"/>
          <w:sz w:val="20"/>
          <w:szCs w:val="20"/>
        </w:rPr>
        <w:t>Al Awania 94. Septembre 1996. 22p.</w:t>
      </w:r>
    </w:p>
    <w:p w14:paraId="7833290A" w14:textId="1E832C94" w:rsidR="00235AA9" w:rsidRDefault="00235AA9" w:rsidP="00235AA9">
      <w:pPr>
        <w:jc w:val="both"/>
        <w:rPr>
          <w:rFonts w:ascii="Arial" w:hAnsi="Arial" w:cs="Arial"/>
          <w:sz w:val="20"/>
          <w:szCs w:val="20"/>
        </w:rPr>
      </w:pPr>
      <w:r w:rsidRPr="00235AA9">
        <w:rPr>
          <w:rFonts w:ascii="Arial" w:hAnsi="Arial" w:cs="Arial"/>
          <w:sz w:val="20"/>
          <w:szCs w:val="20"/>
        </w:rPr>
        <w:t>Meyer, N. 2016. Monitoring available water for vines: Evaluation of the STICS model in a Languedoc context.</w:t>
      </w:r>
    </w:p>
    <w:p w14:paraId="443CC9B9" w14:textId="424FBA85" w:rsidR="00235AA9" w:rsidRDefault="00235AA9" w:rsidP="00840E1B">
      <w:pPr>
        <w:jc w:val="both"/>
        <w:rPr>
          <w:rFonts w:ascii="Arial" w:hAnsi="Arial" w:cs="Arial"/>
          <w:sz w:val="20"/>
          <w:szCs w:val="20"/>
        </w:rPr>
      </w:pPr>
      <w:r w:rsidRPr="00235AA9">
        <w:rPr>
          <w:rFonts w:ascii="Arial" w:hAnsi="Arial" w:cs="Arial"/>
          <w:sz w:val="20"/>
          <w:szCs w:val="20"/>
        </w:rPr>
        <w:t>Montoro, J. P. 1997. Electrical conductivity of soil solution and aqueous soil extracts I Application to a dirty acid sulfate soil from Basse-Casamance (SenBgal).</w:t>
      </w:r>
      <w:r w:rsidR="00840E1B" w:rsidRPr="00840E1B">
        <w:t xml:space="preserve"> </w:t>
      </w:r>
      <w:r w:rsidR="00840E1B" w:rsidRPr="00840E1B">
        <w:rPr>
          <w:rFonts w:ascii="Arial" w:hAnsi="Arial" w:cs="Arial"/>
          <w:sz w:val="20"/>
          <w:szCs w:val="20"/>
        </w:rPr>
        <w:t>Study and Management of Soles</w:t>
      </w:r>
      <w:r w:rsidR="00840E1B">
        <w:rPr>
          <w:rFonts w:ascii="Arial" w:hAnsi="Arial" w:cs="Arial"/>
          <w:sz w:val="20"/>
          <w:szCs w:val="20"/>
        </w:rPr>
        <w:t xml:space="preserve"> </w:t>
      </w:r>
      <w:r w:rsidR="00840E1B" w:rsidRPr="00840E1B">
        <w:rPr>
          <w:rFonts w:ascii="Arial" w:hAnsi="Arial" w:cs="Arial"/>
          <w:sz w:val="20"/>
          <w:szCs w:val="20"/>
        </w:rPr>
        <w:t>4, 4, pages: 279-298</w:t>
      </w:r>
      <w:r w:rsidR="00840E1B">
        <w:rPr>
          <w:rFonts w:ascii="Arial" w:hAnsi="Arial" w:cs="Arial"/>
          <w:sz w:val="20"/>
          <w:szCs w:val="20"/>
        </w:rPr>
        <w:t>.</w:t>
      </w:r>
      <w:r w:rsidR="00840E1B" w:rsidRPr="00840E1B">
        <w:t xml:space="preserve"> </w:t>
      </w:r>
      <w:r w:rsidR="00840E1B" w:rsidRPr="00840E1B">
        <w:rPr>
          <w:rFonts w:ascii="Arial" w:hAnsi="Arial" w:cs="Arial"/>
          <w:sz w:val="20"/>
          <w:szCs w:val="20"/>
        </w:rPr>
        <w:t>ORSTOM lle-de-France Center</w:t>
      </w:r>
      <w:r w:rsidR="00840E1B">
        <w:rPr>
          <w:rFonts w:ascii="Arial" w:hAnsi="Arial" w:cs="Arial"/>
          <w:sz w:val="20"/>
          <w:szCs w:val="20"/>
        </w:rPr>
        <w:t xml:space="preserve">. </w:t>
      </w:r>
      <w:r w:rsidR="00840E1B" w:rsidRPr="00840E1B">
        <w:rPr>
          <w:rFonts w:ascii="Arial" w:hAnsi="Arial" w:cs="Arial"/>
          <w:sz w:val="20"/>
          <w:szCs w:val="20"/>
        </w:rPr>
        <w:t>Surficial formations laboratory</w:t>
      </w:r>
      <w:r w:rsidR="00840E1B">
        <w:rPr>
          <w:rFonts w:ascii="Arial" w:hAnsi="Arial" w:cs="Arial"/>
          <w:sz w:val="20"/>
          <w:szCs w:val="20"/>
        </w:rPr>
        <w:t xml:space="preserve">. </w:t>
      </w:r>
      <w:r w:rsidR="00840E1B" w:rsidRPr="00840E1B">
        <w:rPr>
          <w:rFonts w:ascii="Arial" w:hAnsi="Arial" w:cs="Arial"/>
          <w:sz w:val="20"/>
          <w:szCs w:val="20"/>
        </w:rPr>
        <w:t>32, Avenue Henri Varagnat, 931 43 BONDY Cedex.  document library ORSTOM Code: B 12719 Ex: 1. 20 p.</w:t>
      </w:r>
    </w:p>
    <w:p w14:paraId="19C87F01" w14:textId="2C5DE87F" w:rsidR="00840E1B" w:rsidRDefault="00840E1B" w:rsidP="00840E1B">
      <w:pPr>
        <w:jc w:val="both"/>
        <w:rPr>
          <w:rFonts w:ascii="Arial" w:hAnsi="Arial" w:cs="Arial"/>
          <w:sz w:val="20"/>
          <w:szCs w:val="20"/>
        </w:rPr>
      </w:pPr>
      <w:r w:rsidRPr="00840E1B">
        <w:rPr>
          <w:rFonts w:ascii="Arial" w:hAnsi="Arial" w:cs="Arial"/>
          <w:sz w:val="20"/>
          <w:szCs w:val="20"/>
        </w:rPr>
        <w:t xml:space="preserve">Moraes, M. T. de, Debiasi, H., Franchini, J. C., &amp; Silva, V. R. da. 2013. </w:t>
      </w:r>
      <w:r w:rsidRPr="00840E1B">
        <w:rPr>
          <w:rFonts w:ascii="Arial" w:hAnsi="Arial" w:cs="Arial"/>
          <w:sz w:val="20"/>
          <w:szCs w:val="20"/>
          <w:lang w:val="en-US"/>
        </w:rPr>
        <w:t xml:space="preserve">Soil penetration resistance in a rhodic eutrudox affected by machinery traffic and soil water content. </w:t>
      </w:r>
      <w:r w:rsidRPr="00840E1B">
        <w:rPr>
          <w:rFonts w:ascii="Arial" w:hAnsi="Arial" w:cs="Arial"/>
          <w:i/>
          <w:iCs/>
          <w:sz w:val="20"/>
          <w:szCs w:val="20"/>
        </w:rPr>
        <w:t>Engenharia Agrícola</w:t>
      </w:r>
      <w:r w:rsidRPr="00840E1B">
        <w:rPr>
          <w:rFonts w:ascii="Arial" w:hAnsi="Arial" w:cs="Arial"/>
          <w:sz w:val="20"/>
          <w:szCs w:val="20"/>
        </w:rPr>
        <w:t xml:space="preserve">, </w:t>
      </w:r>
      <w:r w:rsidRPr="00840E1B">
        <w:rPr>
          <w:rFonts w:ascii="Arial" w:hAnsi="Arial" w:cs="Arial"/>
          <w:i/>
          <w:iCs/>
          <w:sz w:val="20"/>
          <w:szCs w:val="20"/>
        </w:rPr>
        <w:t>33</w:t>
      </w:r>
      <w:r w:rsidRPr="00840E1B">
        <w:rPr>
          <w:rFonts w:ascii="Arial" w:hAnsi="Arial" w:cs="Arial"/>
          <w:sz w:val="20"/>
          <w:szCs w:val="20"/>
        </w:rPr>
        <w:t>, 748</w:t>
      </w:r>
      <w:r w:rsidRPr="00840E1B">
        <w:rPr>
          <w:rFonts w:ascii="Cambria Math" w:hAnsi="Cambria Math" w:cs="Cambria Math"/>
          <w:sz w:val="20"/>
          <w:szCs w:val="20"/>
        </w:rPr>
        <w:t>‑</w:t>
      </w:r>
      <w:r w:rsidRPr="00840E1B">
        <w:rPr>
          <w:rFonts w:ascii="Arial" w:hAnsi="Arial" w:cs="Arial"/>
          <w:sz w:val="20"/>
          <w:szCs w:val="20"/>
        </w:rPr>
        <w:t xml:space="preserve">757. </w:t>
      </w:r>
      <w:hyperlink r:id="rId42" w:history="1">
        <w:r w:rsidRPr="00840E1B">
          <w:rPr>
            <w:rStyle w:val="Hyperlink"/>
            <w:rFonts w:ascii="Arial" w:hAnsi="Arial" w:cs="Arial"/>
            <w:sz w:val="20"/>
            <w:szCs w:val="20"/>
          </w:rPr>
          <w:t>https://doi.org/10.1590/S0100-69162013000400014</w:t>
        </w:r>
      </w:hyperlink>
    </w:p>
    <w:p w14:paraId="0254C034" w14:textId="6D11F797" w:rsidR="00840E1B" w:rsidRDefault="00840E1B" w:rsidP="00840E1B">
      <w:pPr>
        <w:jc w:val="both"/>
        <w:rPr>
          <w:rFonts w:ascii="Arial" w:hAnsi="Arial" w:cs="Arial"/>
          <w:sz w:val="20"/>
          <w:szCs w:val="20"/>
        </w:rPr>
      </w:pPr>
      <w:r w:rsidRPr="00840E1B">
        <w:rPr>
          <w:rFonts w:ascii="Arial" w:hAnsi="Arial" w:cs="Arial"/>
          <w:sz w:val="20"/>
          <w:szCs w:val="20"/>
        </w:rPr>
        <w:t>Moussadek, R., Mrabet, R., &amp; Zante, P. 2011. Effects of tillage and residue management on soil properties and water erosion of a Mediterranean Vertisol. . Canadian Journal of Soil Science, 91(627-635), 10.</w:t>
      </w:r>
    </w:p>
    <w:p w14:paraId="04161B8A" w14:textId="1843ACF5" w:rsidR="00840E1B" w:rsidRDefault="00840E1B" w:rsidP="00840E1B">
      <w:pPr>
        <w:jc w:val="both"/>
        <w:rPr>
          <w:rFonts w:ascii="Arial" w:hAnsi="Arial" w:cs="Arial"/>
          <w:sz w:val="20"/>
          <w:szCs w:val="20"/>
          <w:lang w:val="en-US"/>
        </w:rPr>
      </w:pPr>
      <w:r w:rsidRPr="00840E1B">
        <w:rPr>
          <w:rFonts w:ascii="Arial" w:hAnsi="Arial" w:cs="Arial"/>
          <w:sz w:val="20"/>
          <w:szCs w:val="20"/>
          <w:lang w:val="en-US"/>
        </w:rPr>
        <w:t>MURHULA, E. M., KUTANGILA, S. M., BIRHENJIRA, E. M., &amp; MUYISA, S. K. 2019.</w:t>
      </w:r>
      <w:r w:rsidRPr="00840E1B">
        <w:t xml:space="preserve"> </w:t>
      </w:r>
      <w:r w:rsidRPr="00840E1B">
        <w:rPr>
          <w:rFonts w:ascii="Arial" w:hAnsi="Arial" w:cs="Arial"/>
          <w:sz w:val="20"/>
          <w:szCs w:val="20"/>
          <w:lang w:val="en-US"/>
        </w:rPr>
        <w:t>Hydrogeochemistry and susceptibility to groundwater contamination in the Panzi area, city of Bukavu, DR Congo.</w:t>
      </w:r>
      <w:r w:rsidRPr="00840E1B">
        <w:rPr>
          <w:rFonts w:ascii="Times New Roman" w:eastAsia="Calibri" w:hAnsi="Times New Roman" w:cs="Times New Roman"/>
          <w:i/>
          <w:iCs/>
          <w:sz w:val="24"/>
          <w:lang w:val="en-US"/>
        </w:rPr>
        <w:t xml:space="preserve"> </w:t>
      </w:r>
      <w:r w:rsidRPr="00840E1B">
        <w:rPr>
          <w:rFonts w:ascii="Arial" w:hAnsi="Arial" w:cs="Arial"/>
          <w:i/>
          <w:iCs/>
          <w:sz w:val="20"/>
          <w:szCs w:val="20"/>
          <w:lang w:val="en-US"/>
        </w:rPr>
        <w:t>ResearchGate</w:t>
      </w:r>
      <w:r w:rsidRPr="00840E1B">
        <w:rPr>
          <w:rFonts w:ascii="Arial" w:hAnsi="Arial" w:cs="Arial"/>
          <w:sz w:val="20"/>
          <w:szCs w:val="20"/>
          <w:lang w:val="en-US"/>
        </w:rPr>
        <w:t xml:space="preserve">, </w:t>
      </w:r>
      <w:r w:rsidRPr="00840E1B">
        <w:rPr>
          <w:rFonts w:ascii="Arial" w:hAnsi="Arial" w:cs="Arial"/>
          <w:i/>
          <w:iCs/>
          <w:sz w:val="20"/>
          <w:szCs w:val="20"/>
          <w:lang w:val="en-US"/>
        </w:rPr>
        <w:t>197</w:t>
      </w:r>
      <w:r w:rsidRPr="00840E1B">
        <w:rPr>
          <w:rFonts w:ascii="Cambria Math" w:hAnsi="Cambria Math" w:cs="Cambria Math"/>
          <w:i/>
          <w:iCs/>
          <w:sz w:val="20"/>
          <w:szCs w:val="20"/>
          <w:lang w:val="en-US"/>
        </w:rPr>
        <w:t>‑</w:t>
      </w:r>
      <w:r w:rsidRPr="00840E1B">
        <w:rPr>
          <w:rFonts w:ascii="Arial" w:hAnsi="Arial" w:cs="Arial"/>
          <w:i/>
          <w:iCs/>
          <w:sz w:val="20"/>
          <w:szCs w:val="20"/>
          <w:lang w:val="en-US"/>
        </w:rPr>
        <w:t>209</w:t>
      </w:r>
      <w:r w:rsidRPr="00840E1B">
        <w:rPr>
          <w:rFonts w:ascii="Arial" w:hAnsi="Arial" w:cs="Arial"/>
          <w:sz w:val="20"/>
          <w:szCs w:val="20"/>
          <w:lang w:val="en-US"/>
        </w:rPr>
        <w:t xml:space="preserve">. </w:t>
      </w:r>
      <w:hyperlink r:id="rId43" w:history="1">
        <w:r w:rsidRPr="00A57666">
          <w:rPr>
            <w:rStyle w:val="Hyperlink"/>
            <w:rFonts w:ascii="Arial" w:hAnsi="Arial" w:cs="Arial"/>
            <w:sz w:val="20"/>
            <w:szCs w:val="20"/>
            <w:lang w:val="en-US"/>
          </w:rPr>
          <w:t>https://www.researchgate.net/figure/Relation-entre-la-permeabilite-et-la-granulometrie-des-sols-RENARD-F-2002_fig4_333114736</w:t>
        </w:r>
      </w:hyperlink>
    </w:p>
    <w:p w14:paraId="278B3FC1" w14:textId="77777777" w:rsidR="00840E1B" w:rsidRPr="00840E1B" w:rsidRDefault="00840E1B" w:rsidP="00840E1B">
      <w:pPr>
        <w:jc w:val="both"/>
        <w:rPr>
          <w:rFonts w:ascii="Arial" w:hAnsi="Arial" w:cs="Arial"/>
          <w:sz w:val="20"/>
          <w:szCs w:val="20"/>
        </w:rPr>
      </w:pPr>
      <w:r w:rsidRPr="00840E1B">
        <w:rPr>
          <w:rFonts w:ascii="Arial" w:hAnsi="Arial" w:cs="Arial"/>
          <w:sz w:val="20"/>
          <w:szCs w:val="20"/>
          <w:lang w:val="en-US"/>
        </w:rPr>
        <w:t xml:space="preserve">Nzeyimana, I. 2003. An evaluation of conventional and no-tillage systems on soil physical conditions. </w:t>
      </w:r>
      <w:r w:rsidRPr="00840E1B">
        <w:rPr>
          <w:rFonts w:ascii="Arial" w:hAnsi="Arial" w:cs="Arial"/>
          <w:sz w:val="20"/>
          <w:szCs w:val="20"/>
        </w:rPr>
        <w:t>University of Natal.</w:t>
      </w:r>
    </w:p>
    <w:p w14:paraId="5F9C3638" w14:textId="36C54A91" w:rsidR="00840E1B" w:rsidRDefault="00840E1B" w:rsidP="00840E1B">
      <w:pPr>
        <w:jc w:val="both"/>
        <w:rPr>
          <w:rFonts w:ascii="Arial" w:hAnsi="Arial" w:cs="Arial"/>
          <w:sz w:val="20"/>
          <w:szCs w:val="20"/>
          <w:lang w:val="en-US"/>
        </w:rPr>
      </w:pPr>
      <w:r w:rsidRPr="00840E1B">
        <w:rPr>
          <w:rFonts w:ascii="Arial" w:hAnsi="Arial" w:cs="Arial"/>
          <w:sz w:val="20"/>
          <w:szCs w:val="20"/>
          <w:lang w:val="en-US"/>
        </w:rPr>
        <w:t>Peigné, J., Védie, H., Demeusy, J., Gerber, Vian, J. F., Gautronneau, Y., Cannavaccuiolo, M., Aveline, A., Giteau, L. L., &amp; Berry, D. 2009.  No-till techniques in organic farming.  Agronomic Innovations, 23-32, 10.</w:t>
      </w:r>
    </w:p>
    <w:p w14:paraId="496B2C37" w14:textId="77777777" w:rsidR="00840E1B" w:rsidRPr="00840E1B" w:rsidRDefault="00840E1B" w:rsidP="00840E1B">
      <w:pPr>
        <w:jc w:val="both"/>
        <w:rPr>
          <w:rFonts w:ascii="Arial" w:hAnsi="Arial" w:cs="Arial"/>
          <w:sz w:val="20"/>
          <w:szCs w:val="20"/>
          <w:lang w:val="en-US"/>
        </w:rPr>
      </w:pPr>
      <w:r w:rsidRPr="00840E1B">
        <w:rPr>
          <w:rFonts w:ascii="Arial" w:hAnsi="Arial" w:cs="Arial"/>
          <w:sz w:val="20"/>
          <w:szCs w:val="20"/>
        </w:rPr>
        <w:t xml:space="preserve">Roca, J. ; Comellas, M. ; Pijuan, J. ; Nogués, M. 2019. </w:t>
      </w:r>
      <w:r w:rsidRPr="00840E1B">
        <w:rPr>
          <w:rFonts w:ascii="Arial" w:hAnsi="Arial" w:cs="Arial"/>
          <w:sz w:val="20"/>
          <w:szCs w:val="20"/>
          <w:lang w:val="en-US"/>
        </w:rPr>
        <w:t>Development of an easily adaptable three-point hitch dynamometer for agricultural tractors. Analysis of the disruptive effects on the measurements.</w:t>
      </w:r>
      <w:r w:rsidRPr="00840E1B">
        <w:rPr>
          <w:rFonts w:ascii="Arial" w:hAnsi="Arial" w:cs="Arial"/>
          <w:sz w:val="20"/>
          <w:szCs w:val="20"/>
        </w:rPr>
        <w:t xml:space="preserve"> </w:t>
      </w:r>
      <w:hyperlink r:id="rId44" w:tooltip="Go to Soil and Tillage Research on ScienceDirect" w:history="1">
        <w:r w:rsidRPr="00840E1B">
          <w:rPr>
            <w:rStyle w:val="Hyperlink"/>
            <w:rFonts w:ascii="Arial" w:hAnsi="Arial" w:cs="Arial"/>
            <w:sz w:val="20"/>
            <w:szCs w:val="20"/>
            <w:lang w:val="en-US"/>
          </w:rPr>
          <w:t>Soil and Tillage Research</w:t>
        </w:r>
      </w:hyperlink>
      <w:r w:rsidRPr="00840E1B">
        <w:rPr>
          <w:rFonts w:ascii="Arial" w:hAnsi="Arial" w:cs="Arial"/>
          <w:sz w:val="20"/>
          <w:szCs w:val="20"/>
          <w:lang w:val="en-US"/>
        </w:rPr>
        <w:t xml:space="preserve">. </w:t>
      </w:r>
      <w:hyperlink r:id="rId45" w:tooltip="Go to table of contents for this volume/issue" w:history="1">
        <w:r w:rsidRPr="00840E1B">
          <w:rPr>
            <w:rStyle w:val="Hyperlink"/>
            <w:rFonts w:ascii="Arial" w:hAnsi="Arial" w:cs="Arial"/>
            <w:sz w:val="20"/>
            <w:szCs w:val="20"/>
            <w:lang w:val="en-US"/>
          </w:rPr>
          <w:t>Volume 194</w:t>
        </w:r>
      </w:hyperlink>
      <w:r w:rsidRPr="00840E1B">
        <w:rPr>
          <w:rFonts w:ascii="Arial" w:hAnsi="Arial" w:cs="Arial"/>
          <w:sz w:val="20"/>
          <w:szCs w:val="20"/>
          <w:lang w:val="en-US"/>
        </w:rPr>
        <w:t xml:space="preserve">, November 2019, 104323.  21p.  </w:t>
      </w:r>
    </w:p>
    <w:p w14:paraId="756B4C0E" w14:textId="0F666BA7" w:rsidR="00840E1B" w:rsidRDefault="00840E1B" w:rsidP="00840E1B">
      <w:pPr>
        <w:jc w:val="both"/>
        <w:rPr>
          <w:rFonts w:ascii="Arial" w:hAnsi="Arial" w:cs="Arial"/>
          <w:sz w:val="20"/>
          <w:szCs w:val="20"/>
          <w:lang w:val="en-US"/>
        </w:rPr>
      </w:pPr>
      <w:r w:rsidRPr="00840E1B">
        <w:rPr>
          <w:rFonts w:ascii="Arial" w:hAnsi="Arial" w:cs="Arial"/>
          <w:sz w:val="20"/>
          <w:szCs w:val="20"/>
          <w:lang w:val="en-US"/>
        </w:rPr>
        <w:t>SAED. 2001.</w:t>
      </w:r>
      <w:r w:rsidRPr="00840E1B">
        <w:t xml:space="preserve"> </w:t>
      </w:r>
      <w:r w:rsidRPr="00840E1B">
        <w:rPr>
          <w:rFonts w:ascii="Arial" w:hAnsi="Arial" w:cs="Arial"/>
          <w:sz w:val="20"/>
          <w:szCs w:val="20"/>
          <w:lang w:val="en-US"/>
        </w:rPr>
        <w:t>Riziculture data sheet</w:t>
      </w:r>
      <w:r>
        <w:rPr>
          <w:rFonts w:ascii="Arial" w:hAnsi="Arial" w:cs="Arial"/>
          <w:sz w:val="20"/>
          <w:szCs w:val="20"/>
          <w:lang w:val="en-US"/>
        </w:rPr>
        <w:t xml:space="preserve">. </w:t>
      </w:r>
      <w:r w:rsidRPr="00840E1B">
        <w:rPr>
          <w:rFonts w:ascii="Arial" w:hAnsi="Arial" w:cs="Arial"/>
          <w:sz w:val="20"/>
          <w:szCs w:val="20"/>
          <w:lang w:val="en-US"/>
        </w:rPr>
        <w:t>Produced with the support of the FAO/GCP/RAF/453/SPA project. 6p.</w:t>
      </w:r>
    </w:p>
    <w:p w14:paraId="1B530C0A" w14:textId="52C4E52B" w:rsidR="00840E1B" w:rsidRDefault="00840E1B" w:rsidP="00840E1B">
      <w:pPr>
        <w:jc w:val="both"/>
        <w:rPr>
          <w:rFonts w:ascii="Arial" w:hAnsi="Arial" w:cs="Arial"/>
          <w:sz w:val="20"/>
          <w:szCs w:val="20"/>
          <w:lang w:val="en-US"/>
        </w:rPr>
      </w:pPr>
      <w:r w:rsidRPr="00840E1B">
        <w:rPr>
          <w:rFonts w:ascii="Arial" w:hAnsi="Arial" w:cs="Arial"/>
          <w:sz w:val="20"/>
          <w:szCs w:val="20"/>
          <w:lang w:val="en-US"/>
        </w:rPr>
        <w:lastRenderedPageBreak/>
        <w:t>Sarr, M. S. 2013. Agricultural mechanization and productivity of cereal chains: the case of the groundnut basin. National School of Agriculture (ENSA). 88p.</w:t>
      </w:r>
    </w:p>
    <w:p w14:paraId="1C750476" w14:textId="2D777DEC" w:rsidR="006421CF" w:rsidRDefault="006421CF" w:rsidP="006421CF">
      <w:pPr>
        <w:jc w:val="both"/>
        <w:rPr>
          <w:rFonts w:ascii="Arial" w:hAnsi="Arial" w:cs="Arial"/>
          <w:sz w:val="20"/>
          <w:szCs w:val="20"/>
          <w:lang w:val="en-US"/>
        </w:rPr>
      </w:pPr>
      <w:r w:rsidRPr="006421CF">
        <w:rPr>
          <w:rFonts w:ascii="Arial" w:hAnsi="Arial" w:cs="Arial"/>
          <w:sz w:val="20"/>
          <w:szCs w:val="20"/>
          <w:lang w:val="en-US"/>
        </w:rPr>
        <w:t>Seck, P. A. 2014.</w:t>
      </w:r>
      <w:r>
        <w:rPr>
          <w:rFonts w:ascii="Arial" w:hAnsi="Arial" w:cs="Arial"/>
          <w:sz w:val="20"/>
          <w:szCs w:val="20"/>
          <w:lang w:val="en-US"/>
        </w:rPr>
        <w:t xml:space="preserve"> </w:t>
      </w:r>
      <w:r w:rsidRPr="006421CF">
        <w:rPr>
          <w:rFonts w:ascii="Arial" w:hAnsi="Arial" w:cs="Arial"/>
          <w:sz w:val="20"/>
          <w:szCs w:val="20"/>
          <w:lang w:val="en-US"/>
        </w:rPr>
        <w:t>Program to accelerate the pace of Senegalese agriculture</w:t>
      </w:r>
      <w:r>
        <w:rPr>
          <w:rFonts w:ascii="Arial" w:hAnsi="Arial" w:cs="Arial"/>
          <w:sz w:val="20"/>
          <w:szCs w:val="20"/>
          <w:lang w:val="en-US"/>
        </w:rPr>
        <w:t xml:space="preserve">. </w:t>
      </w:r>
      <w:r w:rsidRPr="006421CF">
        <w:rPr>
          <w:rFonts w:ascii="Arial" w:hAnsi="Arial" w:cs="Arial"/>
          <w:sz w:val="20"/>
          <w:szCs w:val="20"/>
          <w:lang w:val="en-US"/>
        </w:rPr>
        <w:t>Teeh and bio. 2015. Cation exchange capacity.</w:t>
      </w:r>
      <w:r w:rsidRPr="006421CF">
        <w:t xml:space="preserve"> </w:t>
      </w:r>
      <w:r w:rsidRPr="006421CF">
        <w:rPr>
          <w:rFonts w:ascii="Arial" w:hAnsi="Arial" w:cs="Arial"/>
          <w:sz w:val="20"/>
          <w:szCs w:val="20"/>
          <w:lang w:val="en-US"/>
        </w:rPr>
        <w:t>Technical data</w:t>
      </w:r>
      <w:r>
        <w:rPr>
          <w:rFonts w:ascii="Arial" w:hAnsi="Arial" w:cs="Arial"/>
          <w:sz w:val="20"/>
          <w:szCs w:val="20"/>
          <w:lang w:val="en-US"/>
        </w:rPr>
        <w:t xml:space="preserve">. </w:t>
      </w:r>
      <w:r w:rsidRPr="006421CF">
        <w:rPr>
          <w:rFonts w:ascii="Arial" w:hAnsi="Arial" w:cs="Arial"/>
          <w:sz w:val="20"/>
          <w:szCs w:val="20"/>
          <w:lang w:val="en-US"/>
        </w:rPr>
        <w:t>Drôme Chamber of Agriculture</w:t>
      </w:r>
      <w:r>
        <w:rPr>
          <w:rFonts w:ascii="Arial" w:hAnsi="Arial" w:cs="Arial"/>
          <w:sz w:val="20"/>
          <w:szCs w:val="20"/>
          <w:lang w:val="en-US"/>
        </w:rPr>
        <w:t xml:space="preserve"> </w:t>
      </w:r>
      <w:r w:rsidRPr="006421CF">
        <w:rPr>
          <w:rFonts w:ascii="Arial" w:hAnsi="Arial" w:cs="Arial"/>
          <w:sz w:val="20"/>
          <w:szCs w:val="20"/>
        </w:rPr>
        <w:t xml:space="preserve">– Tech et Bio 2015. </w:t>
      </w:r>
      <w:r w:rsidRPr="006421CF">
        <w:rPr>
          <w:rFonts w:ascii="Arial" w:hAnsi="Arial" w:cs="Arial"/>
          <w:sz w:val="20"/>
          <w:szCs w:val="20"/>
          <w:lang w:val="en-US"/>
        </w:rPr>
        <w:t>2 p.</w:t>
      </w:r>
    </w:p>
    <w:p w14:paraId="4F391BA3" w14:textId="77777777" w:rsidR="006421CF" w:rsidRPr="006421CF" w:rsidRDefault="006421CF" w:rsidP="006421CF">
      <w:pPr>
        <w:jc w:val="both"/>
        <w:rPr>
          <w:rFonts w:ascii="Arial" w:hAnsi="Arial" w:cs="Arial"/>
          <w:sz w:val="20"/>
          <w:szCs w:val="20"/>
        </w:rPr>
      </w:pPr>
      <w:r w:rsidRPr="006421CF">
        <w:rPr>
          <w:rFonts w:ascii="Arial" w:hAnsi="Arial" w:cs="Arial"/>
          <w:sz w:val="20"/>
          <w:szCs w:val="20"/>
          <w:lang w:val="en-CA"/>
        </w:rPr>
        <w:t xml:space="preserve">TSCHAKERT P., KHOUMA M., SÈNE M., 2004 Biophysical potential for soil carbon sequestration in agricultural systems of the Old Peanut Basin of Senegal. </w:t>
      </w:r>
      <w:r w:rsidRPr="006421CF">
        <w:rPr>
          <w:rFonts w:ascii="Arial" w:hAnsi="Arial" w:cs="Arial"/>
          <w:sz w:val="20"/>
          <w:szCs w:val="20"/>
        </w:rPr>
        <w:t>Journal of Arid Environments, 59 (3) : 511-533.</w:t>
      </w:r>
    </w:p>
    <w:p w14:paraId="4C700CAD" w14:textId="59890645" w:rsidR="006421CF" w:rsidRDefault="006421CF" w:rsidP="006421CF">
      <w:pPr>
        <w:jc w:val="both"/>
        <w:rPr>
          <w:rFonts w:ascii="Arial" w:hAnsi="Arial" w:cs="Arial"/>
          <w:sz w:val="20"/>
          <w:szCs w:val="20"/>
          <w:lang w:val="en-US"/>
        </w:rPr>
      </w:pPr>
      <w:r w:rsidRPr="006421CF">
        <w:rPr>
          <w:rFonts w:ascii="Arial" w:hAnsi="Arial" w:cs="Arial"/>
          <w:sz w:val="20"/>
          <w:szCs w:val="20"/>
          <w:lang w:val="en-US"/>
        </w:rPr>
        <w:t>Yoro, G. Godo, G. 1990. Apparent density measurement methods. Analysis of the dispersion of results within a given horizon.</w:t>
      </w:r>
      <w:r w:rsidRPr="006421CF">
        <w:t xml:space="preserve"> </w:t>
      </w:r>
      <w:r w:rsidRPr="006421CF">
        <w:rPr>
          <w:rFonts w:ascii="Arial" w:hAnsi="Arial" w:cs="Arial"/>
          <w:sz w:val="20"/>
          <w:szCs w:val="20"/>
          <w:lang w:val="en-US"/>
        </w:rPr>
        <w:t>Pedology Laboratory, Agronomy Laboratory</w:t>
      </w:r>
      <w:r>
        <w:rPr>
          <w:rFonts w:ascii="Arial" w:hAnsi="Arial" w:cs="Arial"/>
          <w:sz w:val="20"/>
          <w:szCs w:val="20"/>
          <w:lang w:val="en-US"/>
        </w:rPr>
        <w:t>.</w:t>
      </w:r>
      <w:r w:rsidRPr="006421CF">
        <w:rPr>
          <w:rFonts w:ascii="Arial" w:hAnsi="Arial" w:cs="Arial"/>
          <w:sz w:val="20"/>
          <w:szCs w:val="20"/>
          <w:lang w:val="en-US"/>
        </w:rPr>
        <w:t xml:space="preserve"> IIRSDA, BP V5I Abidjan, Ivory Coast. 7 p.</w:t>
      </w:r>
    </w:p>
    <w:p w14:paraId="6E88525E" w14:textId="77777777" w:rsidR="006421CF" w:rsidRPr="006421CF" w:rsidRDefault="00736EBD" w:rsidP="006421CF">
      <w:pPr>
        <w:jc w:val="both"/>
        <w:rPr>
          <w:rFonts w:ascii="Arial" w:hAnsi="Arial" w:cs="Arial"/>
          <w:sz w:val="20"/>
          <w:szCs w:val="20"/>
        </w:rPr>
      </w:pPr>
      <w:hyperlink r:id="rId46" w:history="1">
        <w:r w:rsidR="006421CF" w:rsidRPr="006421CF">
          <w:rPr>
            <w:rStyle w:val="Hyperlink"/>
            <w:rFonts w:ascii="Arial" w:hAnsi="Arial" w:cs="Arial"/>
            <w:sz w:val="20"/>
            <w:szCs w:val="20"/>
          </w:rPr>
          <w:t>https://horizon.documentation.ird.fr/exl-doc/pleins_textes/cahiers/PTP/34142.PDF</w:t>
        </w:r>
      </w:hyperlink>
    </w:p>
    <w:p w14:paraId="4461946F" w14:textId="77777777" w:rsidR="006421CF" w:rsidRPr="006421CF" w:rsidRDefault="006421CF" w:rsidP="006421CF">
      <w:pPr>
        <w:jc w:val="both"/>
        <w:rPr>
          <w:rFonts w:ascii="Arial" w:hAnsi="Arial" w:cs="Arial"/>
          <w:sz w:val="20"/>
          <w:szCs w:val="20"/>
          <w:lang w:val="en-US"/>
        </w:rPr>
      </w:pPr>
    </w:p>
    <w:p w14:paraId="0372A677" w14:textId="5038F2AA" w:rsidR="00840E1B" w:rsidRPr="00840E1B" w:rsidRDefault="00840E1B" w:rsidP="00840E1B">
      <w:pPr>
        <w:jc w:val="both"/>
        <w:rPr>
          <w:rFonts w:ascii="Arial" w:hAnsi="Arial" w:cs="Arial"/>
          <w:sz w:val="20"/>
          <w:szCs w:val="20"/>
          <w:lang w:val="en-US"/>
        </w:rPr>
      </w:pPr>
    </w:p>
    <w:p w14:paraId="6F038CB6" w14:textId="5F2B3DCB" w:rsidR="00840E1B" w:rsidRPr="00840E1B" w:rsidRDefault="00840E1B" w:rsidP="00840E1B">
      <w:pPr>
        <w:jc w:val="both"/>
        <w:rPr>
          <w:rFonts w:ascii="Arial" w:hAnsi="Arial" w:cs="Arial"/>
          <w:sz w:val="20"/>
          <w:szCs w:val="20"/>
        </w:rPr>
      </w:pPr>
    </w:p>
    <w:p w14:paraId="47796673" w14:textId="77777777" w:rsidR="00840E1B" w:rsidRPr="00235AA9" w:rsidRDefault="00840E1B" w:rsidP="00840E1B">
      <w:pPr>
        <w:jc w:val="both"/>
        <w:rPr>
          <w:rFonts w:ascii="Arial" w:hAnsi="Arial" w:cs="Arial"/>
          <w:sz w:val="20"/>
          <w:szCs w:val="20"/>
        </w:rPr>
      </w:pPr>
    </w:p>
    <w:p w14:paraId="4C5097BA" w14:textId="73370D12" w:rsidR="008B576D" w:rsidRDefault="008B576D" w:rsidP="008B576D">
      <w:pPr>
        <w:jc w:val="both"/>
        <w:rPr>
          <w:rFonts w:ascii="Arial" w:hAnsi="Arial" w:cs="Arial"/>
          <w:sz w:val="20"/>
          <w:szCs w:val="20"/>
          <w:lang w:val="en-US"/>
        </w:rPr>
      </w:pPr>
    </w:p>
    <w:p w14:paraId="3967E2F1" w14:textId="77777777" w:rsidR="00235AA9" w:rsidRPr="008B576D" w:rsidRDefault="00235AA9" w:rsidP="008B576D">
      <w:pPr>
        <w:jc w:val="both"/>
        <w:rPr>
          <w:rFonts w:ascii="Arial" w:hAnsi="Arial" w:cs="Arial"/>
          <w:sz w:val="20"/>
          <w:szCs w:val="20"/>
          <w:lang w:val="en-US"/>
        </w:rPr>
      </w:pPr>
    </w:p>
    <w:p w14:paraId="209F57ED" w14:textId="77777777" w:rsidR="008B576D" w:rsidRPr="008B576D" w:rsidRDefault="008B576D" w:rsidP="008B576D">
      <w:pPr>
        <w:jc w:val="both"/>
        <w:rPr>
          <w:rFonts w:ascii="Arial" w:hAnsi="Arial" w:cs="Arial"/>
          <w:sz w:val="20"/>
          <w:szCs w:val="20"/>
          <w:lang w:val="en-US"/>
        </w:rPr>
      </w:pPr>
    </w:p>
    <w:p w14:paraId="09EFCF14" w14:textId="77777777" w:rsidR="008B576D" w:rsidRPr="008B576D" w:rsidRDefault="008B576D" w:rsidP="008B576D">
      <w:pPr>
        <w:jc w:val="both"/>
        <w:rPr>
          <w:rFonts w:ascii="Arial" w:hAnsi="Arial" w:cs="Arial"/>
          <w:sz w:val="20"/>
          <w:szCs w:val="20"/>
          <w:lang w:val="en-US"/>
        </w:rPr>
      </w:pPr>
    </w:p>
    <w:p w14:paraId="6D97E06B" w14:textId="105651DB" w:rsidR="008B576D" w:rsidRPr="008B576D" w:rsidRDefault="008B576D" w:rsidP="008B576D">
      <w:pPr>
        <w:jc w:val="both"/>
        <w:rPr>
          <w:rFonts w:ascii="Arial" w:hAnsi="Arial" w:cs="Arial"/>
          <w:sz w:val="20"/>
          <w:szCs w:val="20"/>
        </w:rPr>
      </w:pPr>
    </w:p>
    <w:p w14:paraId="7C91490B" w14:textId="29B772AD" w:rsidR="008B576D" w:rsidRPr="008B576D" w:rsidRDefault="008B576D" w:rsidP="008B576D">
      <w:pPr>
        <w:jc w:val="both"/>
        <w:rPr>
          <w:rFonts w:ascii="Arial" w:hAnsi="Arial" w:cs="Arial"/>
          <w:sz w:val="20"/>
          <w:szCs w:val="20"/>
          <w:lang w:val="fr-SN"/>
        </w:rPr>
      </w:pPr>
    </w:p>
    <w:p w14:paraId="7CCC9E3B" w14:textId="77777777" w:rsidR="008B576D" w:rsidRDefault="008B576D" w:rsidP="00C766AE">
      <w:pPr>
        <w:jc w:val="both"/>
        <w:rPr>
          <w:rFonts w:ascii="Arial" w:hAnsi="Arial" w:cs="Arial"/>
          <w:sz w:val="20"/>
          <w:szCs w:val="20"/>
        </w:rPr>
      </w:pPr>
    </w:p>
    <w:p w14:paraId="183B2DFA" w14:textId="40E6C21E" w:rsidR="00C766AE" w:rsidRDefault="00C766AE" w:rsidP="00C766AE">
      <w:pPr>
        <w:jc w:val="both"/>
        <w:rPr>
          <w:rFonts w:ascii="Arial" w:hAnsi="Arial" w:cs="Arial"/>
          <w:sz w:val="20"/>
          <w:szCs w:val="20"/>
        </w:rPr>
      </w:pPr>
      <w:r w:rsidRPr="00C766AE">
        <w:rPr>
          <w:rFonts w:ascii="Arial" w:hAnsi="Arial" w:cs="Arial"/>
          <w:sz w:val="20"/>
          <w:szCs w:val="20"/>
        </w:rPr>
        <w:t>.</w:t>
      </w:r>
    </w:p>
    <w:p w14:paraId="5E7160E2" w14:textId="77777777" w:rsidR="00C766AE" w:rsidRPr="00C766AE" w:rsidRDefault="00C766AE" w:rsidP="00C766AE">
      <w:pPr>
        <w:jc w:val="both"/>
        <w:rPr>
          <w:rFonts w:ascii="Arial" w:hAnsi="Arial" w:cs="Arial"/>
          <w:sz w:val="20"/>
          <w:szCs w:val="20"/>
        </w:rPr>
      </w:pPr>
    </w:p>
    <w:p w14:paraId="60876947" w14:textId="77777777" w:rsidR="00C766AE" w:rsidRPr="00BE299D" w:rsidRDefault="00C766AE" w:rsidP="00BE299D">
      <w:pPr>
        <w:jc w:val="both"/>
        <w:rPr>
          <w:rFonts w:ascii="Arial" w:hAnsi="Arial" w:cs="Arial"/>
          <w:sz w:val="20"/>
          <w:szCs w:val="20"/>
        </w:rPr>
      </w:pPr>
    </w:p>
    <w:sectPr w:rsidR="00C766AE" w:rsidRPr="00BE299D" w:rsidSect="00E47146">
      <w:headerReference w:type="even" r:id="rId47"/>
      <w:headerReference w:type="default" r:id="rId48"/>
      <w:footerReference w:type="default" r:id="rId49"/>
      <w:headerReference w:type="first" r:id="rId5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D937D" w14:textId="77777777" w:rsidR="00736EBD" w:rsidRDefault="00736EBD" w:rsidP="00D6078C">
      <w:pPr>
        <w:spacing w:after="0" w:line="240" w:lineRule="auto"/>
      </w:pPr>
      <w:r>
        <w:separator/>
      </w:r>
    </w:p>
  </w:endnote>
  <w:endnote w:type="continuationSeparator" w:id="0">
    <w:p w14:paraId="6B0B6F3B" w14:textId="77777777" w:rsidR="00736EBD" w:rsidRDefault="00736EBD" w:rsidP="00D60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8D400" w14:textId="77777777" w:rsidR="00634381" w:rsidRDefault="00634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886060"/>
      <w:docPartObj>
        <w:docPartGallery w:val="Page Numbers (Bottom of Page)"/>
        <w:docPartUnique/>
      </w:docPartObj>
    </w:sdtPr>
    <w:sdtEndPr/>
    <w:sdtContent>
      <w:p w14:paraId="5935FFA4" w14:textId="43EDE0D3" w:rsidR="00D6078C" w:rsidRDefault="00072CE3">
        <w:pPr>
          <w:pStyle w:val="Footer"/>
        </w:pPr>
        <w:r>
          <w:rPr>
            <w:noProof/>
          </w:rPr>
          <mc:AlternateContent>
            <mc:Choice Requires="wps">
              <w:drawing>
                <wp:anchor distT="0" distB="0" distL="114300" distR="114300" simplePos="0" relativeHeight="251661312" behindDoc="0" locked="0" layoutInCell="0" allowOverlap="1" wp14:anchorId="4BF37691" wp14:editId="4B5B5E77">
                  <wp:simplePos x="0" y="0"/>
                  <wp:positionH relativeFrom="rightMargin">
                    <wp:align>left</wp:align>
                  </wp:positionH>
                  <mc:AlternateContent>
                    <mc:Choice Requires="wp14">
                      <wp:positionV relativeFrom="bottomMargin">
                        <wp14:pctPosVOffset>7000</wp14:pctPosVOffset>
                      </wp:positionV>
                    </mc:Choice>
                    <mc:Fallback>
                      <wp:positionV relativeFrom="page">
                        <wp:posOffset>9221470</wp:posOffset>
                      </wp:positionV>
                    </mc:Fallback>
                  </mc:AlternateContent>
                  <wp:extent cx="368300" cy="274320"/>
                  <wp:effectExtent l="9525" t="9525" r="12700" b="11430"/>
                  <wp:wrapNone/>
                  <wp:docPr id="1871865092" name="Rectangle : 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6186EB1" w14:textId="77777777" w:rsidR="00072CE3" w:rsidRDefault="00072CE3">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3769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 o:spid="_x0000_s1026"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" o:allowincell="f" adj="14135" strokecolor="gray" strokeweight=".25pt">
                  <v:textbox>
                    <w:txbxContent>
                      <w:p w14:paraId="56186EB1" w14:textId="77777777" w:rsidR="00072CE3" w:rsidRDefault="00072CE3">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60693" w14:textId="77777777" w:rsidR="00634381" w:rsidRDefault="006343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488070"/>
      <w:docPartObj>
        <w:docPartGallery w:val="Page Numbers (Bottom of Page)"/>
        <w:docPartUnique/>
      </w:docPartObj>
    </w:sdtPr>
    <w:sdtEndPr/>
    <w:sdtContent>
      <w:p w14:paraId="412F8FB1" w14:textId="4954FF9D" w:rsidR="00072CE3" w:rsidRDefault="00072CE3">
        <w:pPr>
          <w:pStyle w:val="Footer"/>
        </w:pPr>
        <w:r>
          <w:rPr>
            <w:noProof/>
          </w:rPr>
          <mc:AlternateContent>
            <mc:Choice Requires="wps">
              <w:drawing>
                <wp:anchor distT="0" distB="0" distL="114300" distR="114300" simplePos="0" relativeHeight="251659264" behindDoc="0" locked="0" layoutInCell="0" allowOverlap="1" wp14:anchorId="0D54FD8E" wp14:editId="215225E1">
                  <wp:simplePos x="0" y="0"/>
                  <wp:positionH relativeFrom="rightMargin">
                    <wp:posOffset>13970</wp:posOffset>
                  </wp:positionH>
                  <wp:positionV relativeFrom="bottomMargin">
                    <wp:posOffset>71119</wp:posOffset>
                  </wp:positionV>
                  <wp:extent cx="368300" cy="352425"/>
                  <wp:effectExtent l="0" t="0" r="12700" b="28575"/>
                  <wp:wrapNone/>
                  <wp:docPr id="1853142777" name="Rectangle : 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52425"/>
                          </a:xfrm>
                          <a:prstGeom prst="foldedCorner">
                            <a:avLst>
                              <a:gd name="adj" fmla="val 34560"/>
                            </a:avLst>
                          </a:prstGeom>
                          <a:solidFill>
                            <a:srgbClr val="FFFFFF"/>
                          </a:solidFill>
                          <a:ln w="3175">
                            <a:solidFill>
                              <a:srgbClr val="808080"/>
                            </a:solidFill>
                            <a:round/>
                            <a:headEnd/>
                            <a:tailEnd/>
                          </a:ln>
                        </wps:spPr>
                        <wps:txbx>
                          <w:txbxContent>
                            <w:p w14:paraId="108FF00E" w14:textId="77777777" w:rsidR="00072CE3" w:rsidRDefault="00072CE3">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4FD8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 o:spid="_x0000_s1027" type="#_x0000_t65" style="position:absolute;margin-left:1.1pt;margin-top:5.6pt;width:29pt;height:27.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" o:allowincell="f" adj="14135" strokecolor="gray" strokeweight=".25pt">
                  <v:textbox>
                    <w:txbxContent>
                      <w:p w14:paraId="108FF00E" w14:textId="77777777" w:rsidR="00072CE3" w:rsidRDefault="00072CE3">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3F23D" w14:textId="77777777" w:rsidR="00736EBD" w:rsidRDefault="00736EBD" w:rsidP="00D6078C">
      <w:pPr>
        <w:spacing w:after="0" w:line="240" w:lineRule="auto"/>
      </w:pPr>
      <w:r>
        <w:separator/>
      </w:r>
    </w:p>
  </w:footnote>
  <w:footnote w:type="continuationSeparator" w:id="0">
    <w:p w14:paraId="2B4AB832" w14:textId="77777777" w:rsidR="00736EBD" w:rsidRDefault="00736EBD" w:rsidP="00D60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367DF" w14:textId="1F0697E4" w:rsidR="00634381" w:rsidRDefault="00634381">
    <w:pPr>
      <w:pStyle w:val="Header"/>
    </w:pPr>
    <w:r>
      <w:rPr>
        <w:noProof/>
      </w:rPr>
      <w:pict w14:anchorId="0189D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10" o:spid="_x0000_s2050" type="#_x0000_t136" style="position:absolute;margin-left:0;margin-top:0;width:558.35pt;height:104.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328B2" w14:textId="5804E8E6" w:rsidR="00634381" w:rsidRDefault="00634381">
    <w:pPr>
      <w:pStyle w:val="Header"/>
    </w:pPr>
    <w:r>
      <w:rPr>
        <w:noProof/>
      </w:rPr>
      <w:pict w14:anchorId="0C028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11" o:spid="_x0000_s2051" type="#_x0000_t136" style="position:absolute;margin-left:0;margin-top:0;width:558.35pt;height:104.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715AD" w14:textId="7CDC2F4F" w:rsidR="00634381" w:rsidRDefault="00634381">
    <w:pPr>
      <w:pStyle w:val="Header"/>
    </w:pPr>
    <w:r>
      <w:rPr>
        <w:noProof/>
      </w:rPr>
      <w:pict w14:anchorId="38CBC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09" o:spid="_x0000_s2049"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94A86" w14:textId="4DC78664" w:rsidR="00634381" w:rsidRDefault="00634381">
    <w:pPr>
      <w:pStyle w:val="Header"/>
    </w:pPr>
    <w:r>
      <w:rPr>
        <w:noProof/>
      </w:rPr>
      <w:pict w14:anchorId="573CA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13" o:spid="_x0000_s2053" type="#_x0000_t136" style="position:absolute;margin-left:0;margin-top:0;width:558.35pt;height:104.6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4C86B" w14:textId="15E1AD6D" w:rsidR="00634381" w:rsidRDefault="00634381">
    <w:pPr>
      <w:pStyle w:val="Header"/>
    </w:pPr>
    <w:r>
      <w:rPr>
        <w:noProof/>
      </w:rPr>
      <w:pict w14:anchorId="0A666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14" o:spid="_x0000_s2054" type="#_x0000_t136" style="position:absolute;margin-left:0;margin-top:0;width:558.35pt;height:104.6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F3D5C" w14:textId="7CF526B3" w:rsidR="00634381" w:rsidRDefault="00634381">
    <w:pPr>
      <w:pStyle w:val="Header"/>
    </w:pPr>
    <w:r>
      <w:rPr>
        <w:noProof/>
      </w:rPr>
      <w:pict w14:anchorId="635CDF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12" o:spid="_x0000_s2052" type="#_x0000_t136" style="position:absolute;margin-left:0;margin-top:0;width:558.35pt;height:104.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D4892"/>
    <w:multiLevelType w:val="hybridMultilevel"/>
    <w:tmpl w:val="B09CDCA0"/>
    <w:lvl w:ilvl="0" w:tplc="280C000B">
      <w:start w:val="1"/>
      <w:numFmt w:val="bullet"/>
      <w:lvlText w:val=""/>
      <w:lvlJc w:val="left"/>
      <w:pPr>
        <w:ind w:left="765" w:hanging="360"/>
      </w:pPr>
      <w:rPr>
        <w:rFonts w:ascii="Wingdings" w:hAnsi="Wingdings" w:hint="default"/>
      </w:rPr>
    </w:lvl>
    <w:lvl w:ilvl="1" w:tplc="280C0003" w:tentative="1">
      <w:start w:val="1"/>
      <w:numFmt w:val="bullet"/>
      <w:lvlText w:val="o"/>
      <w:lvlJc w:val="left"/>
      <w:pPr>
        <w:ind w:left="1485" w:hanging="360"/>
      </w:pPr>
      <w:rPr>
        <w:rFonts w:ascii="Courier New" w:hAnsi="Courier New" w:cs="Courier New" w:hint="default"/>
      </w:rPr>
    </w:lvl>
    <w:lvl w:ilvl="2" w:tplc="280C0005" w:tentative="1">
      <w:start w:val="1"/>
      <w:numFmt w:val="bullet"/>
      <w:lvlText w:val=""/>
      <w:lvlJc w:val="left"/>
      <w:pPr>
        <w:ind w:left="2205" w:hanging="360"/>
      </w:pPr>
      <w:rPr>
        <w:rFonts w:ascii="Wingdings" w:hAnsi="Wingdings" w:hint="default"/>
      </w:rPr>
    </w:lvl>
    <w:lvl w:ilvl="3" w:tplc="280C0001" w:tentative="1">
      <w:start w:val="1"/>
      <w:numFmt w:val="bullet"/>
      <w:lvlText w:val=""/>
      <w:lvlJc w:val="left"/>
      <w:pPr>
        <w:ind w:left="2925" w:hanging="360"/>
      </w:pPr>
      <w:rPr>
        <w:rFonts w:ascii="Symbol" w:hAnsi="Symbol" w:hint="default"/>
      </w:rPr>
    </w:lvl>
    <w:lvl w:ilvl="4" w:tplc="280C0003" w:tentative="1">
      <w:start w:val="1"/>
      <w:numFmt w:val="bullet"/>
      <w:lvlText w:val="o"/>
      <w:lvlJc w:val="left"/>
      <w:pPr>
        <w:ind w:left="3645" w:hanging="360"/>
      </w:pPr>
      <w:rPr>
        <w:rFonts w:ascii="Courier New" w:hAnsi="Courier New" w:cs="Courier New" w:hint="default"/>
      </w:rPr>
    </w:lvl>
    <w:lvl w:ilvl="5" w:tplc="280C0005" w:tentative="1">
      <w:start w:val="1"/>
      <w:numFmt w:val="bullet"/>
      <w:lvlText w:val=""/>
      <w:lvlJc w:val="left"/>
      <w:pPr>
        <w:ind w:left="4365" w:hanging="360"/>
      </w:pPr>
      <w:rPr>
        <w:rFonts w:ascii="Wingdings" w:hAnsi="Wingdings" w:hint="default"/>
      </w:rPr>
    </w:lvl>
    <w:lvl w:ilvl="6" w:tplc="280C0001" w:tentative="1">
      <w:start w:val="1"/>
      <w:numFmt w:val="bullet"/>
      <w:lvlText w:val=""/>
      <w:lvlJc w:val="left"/>
      <w:pPr>
        <w:ind w:left="5085" w:hanging="360"/>
      </w:pPr>
      <w:rPr>
        <w:rFonts w:ascii="Symbol" w:hAnsi="Symbol" w:hint="default"/>
      </w:rPr>
    </w:lvl>
    <w:lvl w:ilvl="7" w:tplc="280C0003" w:tentative="1">
      <w:start w:val="1"/>
      <w:numFmt w:val="bullet"/>
      <w:lvlText w:val="o"/>
      <w:lvlJc w:val="left"/>
      <w:pPr>
        <w:ind w:left="5805" w:hanging="360"/>
      </w:pPr>
      <w:rPr>
        <w:rFonts w:ascii="Courier New" w:hAnsi="Courier New" w:cs="Courier New" w:hint="default"/>
      </w:rPr>
    </w:lvl>
    <w:lvl w:ilvl="8" w:tplc="280C0005" w:tentative="1">
      <w:start w:val="1"/>
      <w:numFmt w:val="bullet"/>
      <w:lvlText w:val=""/>
      <w:lvlJc w:val="left"/>
      <w:pPr>
        <w:ind w:left="6525" w:hanging="360"/>
      </w:pPr>
      <w:rPr>
        <w:rFonts w:ascii="Wingdings" w:hAnsi="Wingdings" w:hint="default"/>
      </w:rPr>
    </w:lvl>
  </w:abstractNum>
  <w:abstractNum w:abstractNumId="1" w15:restartNumberingAfterBreak="0">
    <w:nsid w:val="1EA56763"/>
    <w:multiLevelType w:val="multilevel"/>
    <w:tmpl w:val="FBA449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A466D15"/>
    <w:multiLevelType w:val="hybridMultilevel"/>
    <w:tmpl w:val="F60A9788"/>
    <w:lvl w:ilvl="0" w:tplc="280C0001">
      <w:start w:val="1"/>
      <w:numFmt w:val="bullet"/>
      <w:lvlText w:val=""/>
      <w:lvlJc w:val="left"/>
      <w:pPr>
        <w:ind w:left="780" w:hanging="360"/>
      </w:pPr>
      <w:rPr>
        <w:rFonts w:ascii="Symbol" w:hAnsi="Symbol" w:hint="default"/>
      </w:rPr>
    </w:lvl>
    <w:lvl w:ilvl="1" w:tplc="280C0003" w:tentative="1">
      <w:start w:val="1"/>
      <w:numFmt w:val="bullet"/>
      <w:lvlText w:val="o"/>
      <w:lvlJc w:val="left"/>
      <w:pPr>
        <w:ind w:left="1500" w:hanging="360"/>
      </w:pPr>
      <w:rPr>
        <w:rFonts w:ascii="Courier New" w:hAnsi="Courier New" w:cs="Courier New" w:hint="default"/>
      </w:rPr>
    </w:lvl>
    <w:lvl w:ilvl="2" w:tplc="280C0005" w:tentative="1">
      <w:start w:val="1"/>
      <w:numFmt w:val="bullet"/>
      <w:lvlText w:val=""/>
      <w:lvlJc w:val="left"/>
      <w:pPr>
        <w:ind w:left="2220" w:hanging="360"/>
      </w:pPr>
      <w:rPr>
        <w:rFonts w:ascii="Wingdings" w:hAnsi="Wingdings" w:hint="default"/>
      </w:rPr>
    </w:lvl>
    <w:lvl w:ilvl="3" w:tplc="280C0001" w:tentative="1">
      <w:start w:val="1"/>
      <w:numFmt w:val="bullet"/>
      <w:lvlText w:val=""/>
      <w:lvlJc w:val="left"/>
      <w:pPr>
        <w:ind w:left="2940" w:hanging="360"/>
      </w:pPr>
      <w:rPr>
        <w:rFonts w:ascii="Symbol" w:hAnsi="Symbol" w:hint="default"/>
      </w:rPr>
    </w:lvl>
    <w:lvl w:ilvl="4" w:tplc="280C0003" w:tentative="1">
      <w:start w:val="1"/>
      <w:numFmt w:val="bullet"/>
      <w:lvlText w:val="o"/>
      <w:lvlJc w:val="left"/>
      <w:pPr>
        <w:ind w:left="3660" w:hanging="360"/>
      </w:pPr>
      <w:rPr>
        <w:rFonts w:ascii="Courier New" w:hAnsi="Courier New" w:cs="Courier New" w:hint="default"/>
      </w:rPr>
    </w:lvl>
    <w:lvl w:ilvl="5" w:tplc="280C0005" w:tentative="1">
      <w:start w:val="1"/>
      <w:numFmt w:val="bullet"/>
      <w:lvlText w:val=""/>
      <w:lvlJc w:val="left"/>
      <w:pPr>
        <w:ind w:left="4380" w:hanging="360"/>
      </w:pPr>
      <w:rPr>
        <w:rFonts w:ascii="Wingdings" w:hAnsi="Wingdings" w:hint="default"/>
      </w:rPr>
    </w:lvl>
    <w:lvl w:ilvl="6" w:tplc="280C0001" w:tentative="1">
      <w:start w:val="1"/>
      <w:numFmt w:val="bullet"/>
      <w:lvlText w:val=""/>
      <w:lvlJc w:val="left"/>
      <w:pPr>
        <w:ind w:left="5100" w:hanging="360"/>
      </w:pPr>
      <w:rPr>
        <w:rFonts w:ascii="Symbol" w:hAnsi="Symbol" w:hint="default"/>
      </w:rPr>
    </w:lvl>
    <w:lvl w:ilvl="7" w:tplc="280C0003" w:tentative="1">
      <w:start w:val="1"/>
      <w:numFmt w:val="bullet"/>
      <w:lvlText w:val="o"/>
      <w:lvlJc w:val="left"/>
      <w:pPr>
        <w:ind w:left="5820" w:hanging="360"/>
      </w:pPr>
      <w:rPr>
        <w:rFonts w:ascii="Courier New" w:hAnsi="Courier New" w:cs="Courier New" w:hint="default"/>
      </w:rPr>
    </w:lvl>
    <w:lvl w:ilvl="8" w:tplc="280C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D7B"/>
    <w:rsid w:val="00072CE3"/>
    <w:rsid w:val="000911B5"/>
    <w:rsid w:val="000B2B35"/>
    <w:rsid w:val="00160F36"/>
    <w:rsid w:val="00175963"/>
    <w:rsid w:val="001A7E5E"/>
    <w:rsid w:val="001C3CA6"/>
    <w:rsid w:val="002120E5"/>
    <w:rsid w:val="00215802"/>
    <w:rsid w:val="00235AA9"/>
    <w:rsid w:val="002B6DC8"/>
    <w:rsid w:val="002D7EC5"/>
    <w:rsid w:val="002E33ED"/>
    <w:rsid w:val="002E6EC2"/>
    <w:rsid w:val="00326C8B"/>
    <w:rsid w:val="003307BD"/>
    <w:rsid w:val="003375AF"/>
    <w:rsid w:val="003A4979"/>
    <w:rsid w:val="003D35E2"/>
    <w:rsid w:val="003F0E8E"/>
    <w:rsid w:val="00417991"/>
    <w:rsid w:val="004371D3"/>
    <w:rsid w:val="00476DC8"/>
    <w:rsid w:val="004A4983"/>
    <w:rsid w:val="004D4EED"/>
    <w:rsid w:val="004E58EC"/>
    <w:rsid w:val="004F5660"/>
    <w:rsid w:val="004F5C95"/>
    <w:rsid w:val="005945D6"/>
    <w:rsid w:val="00622BB8"/>
    <w:rsid w:val="00634381"/>
    <w:rsid w:val="006421CF"/>
    <w:rsid w:val="00646648"/>
    <w:rsid w:val="00647E8F"/>
    <w:rsid w:val="00722DB2"/>
    <w:rsid w:val="00726433"/>
    <w:rsid w:val="00736EBD"/>
    <w:rsid w:val="00742A64"/>
    <w:rsid w:val="007430C7"/>
    <w:rsid w:val="00792BC6"/>
    <w:rsid w:val="007A3021"/>
    <w:rsid w:val="007D5712"/>
    <w:rsid w:val="00814B56"/>
    <w:rsid w:val="00827ED9"/>
    <w:rsid w:val="00840E1B"/>
    <w:rsid w:val="00864D88"/>
    <w:rsid w:val="00865580"/>
    <w:rsid w:val="00876FA9"/>
    <w:rsid w:val="008B576D"/>
    <w:rsid w:val="008C39BE"/>
    <w:rsid w:val="008D5FED"/>
    <w:rsid w:val="00986ABC"/>
    <w:rsid w:val="009C5367"/>
    <w:rsid w:val="00A41DC2"/>
    <w:rsid w:val="00A47300"/>
    <w:rsid w:val="00A5475B"/>
    <w:rsid w:val="00BB1F3A"/>
    <w:rsid w:val="00BE299D"/>
    <w:rsid w:val="00BF247D"/>
    <w:rsid w:val="00BF3D24"/>
    <w:rsid w:val="00C04D7B"/>
    <w:rsid w:val="00C241D7"/>
    <w:rsid w:val="00C4099B"/>
    <w:rsid w:val="00C53CA1"/>
    <w:rsid w:val="00C60481"/>
    <w:rsid w:val="00C75861"/>
    <w:rsid w:val="00C766AE"/>
    <w:rsid w:val="00D52304"/>
    <w:rsid w:val="00D6078C"/>
    <w:rsid w:val="00DD763F"/>
    <w:rsid w:val="00DE23D5"/>
    <w:rsid w:val="00E06861"/>
    <w:rsid w:val="00E14EF3"/>
    <w:rsid w:val="00E26D4C"/>
    <w:rsid w:val="00E47146"/>
    <w:rsid w:val="00EE6C24"/>
    <w:rsid w:val="00EF7C07"/>
    <w:rsid w:val="00F53F89"/>
    <w:rsid w:val="00F945DD"/>
    <w:rsid w:val="00FB3FC1"/>
    <w:rsid w:val="00FC2CCB"/>
    <w:rsid w:val="00FC449F"/>
    <w:rsid w:val="00FD7195"/>
    <w:rsid w:val="00FE4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CE9029D"/>
  <w15:chartTrackingRefBased/>
  <w15:docId w15:val="{2820F4C2-EF77-4697-BF03-3A6793C10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C04D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04D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04D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04D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04D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4D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D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D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D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D7B"/>
    <w:rPr>
      <w:rFonts w:asciiTheme="majorHAnsi" w:eastAsiaTheme="majorEastAsia" w:hAnsiTheme="majorHAnsi" w:cstheme="majorBidi"/>
      <w:color w:val="2F5496" w:themeColor="accent1" w:themeShade="BF"/>
      <w:sz w:val="40"/>
      <w:szCs w:val="40"/>
      <w:lang w:val="fr-FR"/>
    </w:rPr>
  </w:style>
  <w:style w:type="character" w:customStyle="1" w:styleId="Heading2Char">
    <w:name w:val="Heading 2 Char"/>
    <w:basedOn w:val="DefaultParagraphFont"/>
    <w:link w:val="Heading2"/>
    <w:uiPriority w:val="9"/>
    <w:semiHidden/>
    <w:rsid w:val="00C04D7B"/>
    <w:rPr>
      <w:rFonts w:asciiTheme="majorHAnsi" w:eastAsiaTheme="majorEastAsia" w:hAnsiTheme="majorHAnsi" w:cstheme="majorBidi"/>
      <w:color w:val="2F5496" w:themeColor="accent1" w:themeShade="BF"/>
      <w:sz w:val="32"/>
      <w:szCs w:val="32"/>
      <w:lang w:val="fr-FR"/>
    </w:rPr>
  </w:style>
  <w:style w:type="character" w:customStyle="1" w:styleId="Heading3Char">
    <w:name w:val="Heading 3 Char"/>
    <w:basedOn w:val="DefaultParagraphFont"/>
    <w:link w:val="Heading3"/>
    <w:uiPriority w:val="9"/>
    <w:semiHidden/>
    <w:rsid w:val="00C04D7B"/>
    <w:rPr>
      <w:rFonts w:eastAsiaTheme="majorEastAsia" w:cstheme="majorBidi"/>
      <w:color w:val="2F5496" w:themeColor="accent1" w:themeShade="BF"/>
      <w:sz w:val="28"/>
      <w:szCs w:val="28"/>
      <w:lang w:val="fr-FR"/>
    </w:rPr>
  </w:style>
  <w:style w:type="character" w:customStyle="1" w:styleId="Heading4Char">
    <w:name w:val="Heading 4 Char"/>
    <w:basedOn w:val="DefaultParagraphFont"/>
    <w:link w:val="Heading4"/>
    <w:uiPriority w:val="9"/>
    <w:semiHidden/>
    <w:rsid w:val="00C04D7B"/>
    <w:rPr>
      <w:rFonts w:eastAsiaTheme="majorEastAsia" w:cstheme="majorBidi"/>
      <w:i/>
      <w:iCs/>
      <w:color w:val="2F5496" w:themeColor="accent1" w:themeShade="BF"/>
      <w:lang w:val="fr-FR"/>
    </w:rPr>
  </w:style>
  <w:style w:type="character" w:customStyle="1" w:styleId="Heading5Char">
    <w:name w:val="Heading 5 Char"/>
    <w:basedOn w:val="DefaultParagraphFont"/>
    <w:link w:val="Heading5"/>
    <w:uiPriority w:val="9"/>
    <w:semiHidden/>
    <w:rsid w:val="00C04D7B"/>
    <w:rPr>
      <w:rFonts w:eastAsiaTheme="majorEastAsia" w:cstheme="majorBidi"/>
      <w:color w:val="2F5496" w:themeColor="accent1" w:themeShade="BF"/>
      <w:lang w:val="fr-FR"/>
    </w:rPr>
  </w:style>
  <w:style w:type="character" w:customStyle="1" w:styleId="Heading6Char">
    <w:name w:val="Heading 6 Char"/>
    <w:basedOn w:val="DefaultParagraphFont"/>
    <w:link w:val="Heading6"/>
    <w:uiPriority w:val="9"/>
    <w:semiHidden/>
    <w:rsid w:val="00C04D7B"/>
    <w:rPr>
      <w:rFonts w:eastAsiaTheme="majorEastAsia" w:cstheme="majorBidi"/>
      <w:i/>
      <w:iCs/>
      <w:color w:val="595959" w:themeColor="text1" w:themeTint="A6"/>
      <w:lang w:val="fr-FR"/>
    </w:rPr>
  </w:style>
  <w:style w:type="character" w:customStyle="1" w:styleId="Heading7Char">
    <w:name w:val="Heading 7 Char"/>
    <w:basedOn w:val="DefaultParagraphFont"/>
    <w:link w:val="Heading7"/>
    <w:uiPriority w:val="9"/>
    <w:semiHidden/>
    <w:rsid w:val="00C04D7B"/>
    <w:rPr>
      <w:rFonts w:eastAsiaTheme="majorEastAsia" w:cstheme="majorBidi"/>
      <w:color w:val="595959" w:themeColor="text1" w:themeTint="A6"/>
      <w:lang w:val="fr-FR"/>
    </w:rPr>
  </w:style>
  <w:style w:type="character" w:customStyle="1" w:styleId="Heading8Char">
    <w:name w:val="Heading 8 Char"/>
    <w:basedOn w:val="DefaultParagraphFont"/>
    <w:link w:val="Heading8"/>
    <w:uiPriority w:val="9"/>
    <w:semiHidden/>
    <w:rsid w:val="00C04D7B"/>
    <w:rPr>
      <w:rFonts w:eastAsiaTheme="majorEastAsia" w:cstheme="majorBidi"/>
      <w:i/>
      <w:iCs/>
      <w:color w:val="272727" w:themeColor="text1" w:themeTint="D8"/>
      <w:lang w:val="fr-FR"/>
    </w:rPr>
  </w:style>
  <w:style w:type="character" w:customStyle="1" w:styleId="Heading9Char">
    <w:name w:val="Heading 9 Char"/>
    <w:basedOn w:val="DefaultParagraphFont"/>
    <w:link w:val="Heading9"/>
    <w:uiPriority w:val="9"/>
    <w:semiHidden/>
    <w:rsid w:val="00C04D7B"/>
    <w:rPr>
      <w:rFonts w:eastAsiaTheme="majorEastAsia" w:cstheme="majorBidi"/>
      <w:color w:val="272727" w:themeColor="text1" w:themeTint="D8"/>
      <w:lang w:val="fr-FR"/>
    </w:rPr>
  </w:style>
  <w:style w:type="paragraph" w:styleId="Title">
    <w:name w:val="Title"/>
    <w:basedOn w:val="Normal"/>
    <w:next w:val="Normal"/>
    <w:link w:val="TitleChar"/>
    <w:uiPriority w:val="10"/>
    <w:qFormat/>
    <w:rsid w:val="00C04D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D7B"/>
    <w:rPr>
      <w:rFonts w:asciiTheme="majorHAnsi" w:eastAsiaTheme="majorEastAsia" w:hAnsiTheme="majorHAnsi" w:cstheme="majorBidi"/>
      <w:spacing w:val="-10"/>
      <w:kern w:val="28"/>
      <w:sz w:val="56"/>
      <w:szCs w:val="56"/>
      <w:lang w:val="fr-FR"/>
    </w:rPr>
  </w:style>
  <w:style w:type="paragraph" w:styleId="Subtitle">
    <w:name w:val="Subtitle"/>
    <w:basedOn w:val="Normal"/>
    <w:next w:val="Normal"/>
    <w:link w:val="SubtitleChar"/>
    <w:uiPriority w:val="11"/>
    <w:qFormat/>
    <w:rsid w:val="00C04D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D7B"/>
    <w:rPr>
      <w:rFonts w:eastAsiaTheme="majorEastAsia" w:cstheme="majorBidi"/>
      <w:color w:val="595959" w:themeColor="text1" w:themeTint="A6"/>
      <w:spacing w:val="15"/>
      <w:sz w:val="28"/>
      <w:szCs w:val="28"/>
      <w:lang w:val="fr-FR"/>
    </w:rPr>
  </w:style>
  <w:style w:type="paragraph" w:styleId="Quote">
    <w:name w:val="Quote"/>
    <w:basedOn w:val="Normal"/>
    <w:next w:val="Normal"/>
    <w:link w:val="QuoteChar"/>
    <w:uiPriority w:val="29"/>
    <w:qFormat/>
    <w:rsid w:val="00C04D7B"/>
    <w:pPr>
      <w:spacing w:before="160"/>
      <w:jc w:val="center"/>
    </w:pPr>
    <w:rPr>
      <w:i/>
      <w:iCs/>
      <w:color w:val="404040" w:themeColor="text1" w:themeTint="BF"/>
    </w:rPr>
  </w:style>
  <w:style w:type="character" w:customStyle="1" w:styleId="QuoteChar">
    <w:name w:val="Quote Char"/>
    <w:basedOn w:val="DefaultParagraphFont"/>
    <w:link w:val="Quote"/>
    <w:uiPriority w:val="29"/>
    <w:rsid w:val="00C04D7B"/>
    <w:rPr>
      <w:i/>
      <w:iCs/>
      <w:color w:val="404040" w:themeColor="text1" w:themeTint="BF"/>
      <w:lang w:val="fr-FR"/>
    </w:rPr>
  </w:style>
  <w:style w:type="paragraph" w:styleId="ListParagraph">
    <w:name w:val="List Paragraph"/>
    <w:basedOn w:val="Normal"/>
    <w:uiPriority w:val="34"/>
    <w:qFormat/>
    <w:rsid w:val="00C04D7B"/>
    <w:pPr>
      <w:ind w:left="720"/>
      <w:contextualSpacing/>
    </w:pPr>
  </w:style>
  <w:style w:type="character" w:styleId="IntenseEmphasis">
    <w:name w:val="Intense Emphasis"/>
    <w:basedOn w:val="DefaultParagraphFont"/>
    <w:uiPriority w:val="21"/>
    <w:qFormat/>
    <w:rsid w:val="00C04D7B"/>
    <w:rPr>
      <w:i/>
      <w:iCs/>
      <w:color w:val="2F5496" w:themeColor="accent1" w:themeShade="BF"/>
    </w:rPr>
  </w:style>
  <w:style w:type="paragraph" w:styleId="IntenseQuote">
    <w:name w:val="Intense Quote"/>
    <w:basedOn w:val="Normal"/>
    <w:next w:val="Normal"/>
    <w:link w:val="IntenseQuoteChar"/>
    <w:uiPriority w:val="30"/>
    <w:qFormat/>
    <w:rsid w:val="00C04D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4D7B"/>
    <w:rPr>
      <w:i/>
      <w:iCs/>
      <w:color w:val="2F5496" w:themeColor="accent1" w:themeShade="BF"/>
      <w:lang w:val="fr-FR"/>
    </w:rPr>
  </w:style>
  <w:style w:type="character" w:styleId="IntenseReference">
    <w:name w:val="Intense Reference"/>
    <w:basedOn w:val="DefaultParagraphFont"/>
    <w:uiPriority w:val="32"/>
    <w:qFormat/>
    <w:rsid w:val="00C04D7B"/>
    <w:rPr>
      <w:b/>
      <w:bCs/>
      <w:smallCaps/>
      <w:color w:val="2F5496" w:themeColor="accent1" w:themeShade="BF"/>
      <w:spacing w:val="5"/>
    </w:rPr>
  </w:style>
  <w:style w:type="paragraph" w:styleId="Header">
    <w:name w:val="header"/>
    <w:basedOn w:val="Normal"/>
    <w:link w:val="HeaderChar"/>
    <w:uiPriority w:val="99"/>
    <w:unhideWhenUsed/>
    <w:rsid w:val="00D6078C"/>
    <w:pPr>
      <w:tabs>
        <w:tab w:val="center" w:pos="4703"/>
        <w:tab w:val="right" w:pos="9406"/>
      </w:tabs>
      <w:spacing w:after="0" w:line="240" w:lineRule="auto"/>
    </w:pPr>
  </w:style>
  <w:style w:type="character" w:customStyle="1" w:styleId="HeaderChar">
    <w:name w:val="Header Char"/>
    <w:basedOn w:val="DefaultParagraphFont"/>
    <w:link w:val="Header"/>
    <w:uiPriority w:val="99"/>
    <w:rsid w:val="00D6078C"/>
    <w:rPr>
      <w:lang w:val="fr-FR"/>
    </w:rPr>
  </w:style>
  <w:style w:type="paragraph" w:styleId="Footer">
    <w:name w:val="footer"/>
    <w:basedOn w:val="Normal"/>
    <w:link w:val="FooterChar"/>
    <w:uiPriority w:val="99"/>
    <w:unhideWhenUsed/>
    <w:rsid w:val="00D6078C"/>
    <w:pPr>
      <w:tabs>
        <w:tab w:val="center" w:pos="4703"/>
        <w:tab w:val="right" w:pos="9406"/>
      </w:tabs>
      <w:spacing w:after="0" w:line="240" w:lineRule="auto"/>
    </w:pPr>
  </w:style>
  <w:style w:type="character" w:customStyle="1" w:styleId="FooterChar">
    <w:name w:val="Footer Char"/>
    <w:basedOn w:val="DefaultParagraphFont"/>
    <w:link w:val="Footer"/>
    <w:uiPriority w:val="99"/>
    <w:rsid w:val="00D6078C"/>
    <w:rPr>
      <w:lang w:val="fr-FR"/>
    </w:rPr>
  </w:style>
  <w:style w:type="character" w:styleId="Hyperlink">
    <w:name w:val="Hyperlink"/>
    <w:basedOn w:val="DefaultParagraphFont"/>
    <w:uiPriority w:val="99"/>
    <w:unhideWhenUsed/>
    <w:rsid w:val="00C766AE"/>
    <w:rPr>
      <w:color w:val="0563C1" w:themeColor="hyperlink"/>
      <w:u w:val="single"/>
    </w:rPr>
  </w:style>
  <w:style w:type="character" w:styleId="UnresolvedMention">
    <w:name w:val="Unresolved Mention"/>
    <w:basedOn w:val="DefaultParagraphFont"/>
    <w:uiPriority w:val="99"/>
    <w:semiHidden/>
    <w:unhideWhenUsed/>
    <w:rsid w:val="00C76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gif"/><Relationship Id="rId26" Type="http://schemas.openxmlformats.org/officeDocument/2006/relationships/chart" Target="charts/chart3.xml"/><Relationship Id="rId39" Type="http://schemas.openxmlformats.org/officeDocument/2006/relationships/hyperlink" Target="https://doi.org/10.1016/j.still.2004.05.001" TargetMode="External"/><Relationship Id="rId21" Type="http://schemas.openxmlformats.org/officeDocument/2006/relationships/image" Target="media/image8.jpg"/><Relationship Id="rId34" Type="http://schemas.openxmlformats.org/officeDocument/2006/relationships/hyperlink" Target="https://www.ansd.sn/node/13980" TargetMode="External"/><Relationship Id="rId42" Type="http://schemas.openxmlformats.org/officeDocument/2006/relationships/hyperlink" Target="https://doi.org/10.1590/S0100-69162013000400014"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6.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1.png"/><Relationship Id="rId37" Type="http://schemas.openxmlformats.org/officeDocument/2006/relationships/hyperlink" Target="http://hdl.handle.net/2078.1/thesis:33963" TargetMode="External"/><Relationship Id="rId40" Type="http://schemas.openxmlformats.org/officeDocument/2006/relationships/hyperlink" Target="https://doi.org/10.1016/j.still.2017.12.003" TargetMode="External"/><Relationship Id="rId45" Type="http://schemas.openxmlformats.org/officeDocument/2006/relationships/hyperlink" Target="https://www.sciencedirect.com/journal/soil-and-tillage-research/vol/194/suppl/C"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chart" Target="charts/chart5.xml"/><Relationship Id="rId36" Type="http://schemas.openxmlformats.org/officeDocument/2006/relationships/hyperlink" Target="http://www.afriquescience.net"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8.xml"/><Relationship Id="rId44" Type="http://schemas.openxmlformats.org/officeDocument/2006/relationships/hyperlink" Target="https://www.sciencedirect.com/journal/soil-and-tillage-research"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s://www.matevi-france.com/viticulture/traction/tracteur-interligne/1848-attelage.html" TargetMode="External"/><Relationship Id="rId43" Type="http://schemas.openxmlformats.org/officeDocument/2006/relationships/hyperlink" Target="https://www.researchgate.net/figure/Relation-entre-la-permeabilite-et-la-granulometrie-des-sols-RENARD-F-2002_fig4_333114736"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hyperlink" Target="http://om.ciheam.org/article.php?IDPDF=801420" TargetMode="External"/><Relationship Id="rId38" Type="http://schemas.openxmlformats.org/officeDocument/2006/relationships/hyperlink" Target="https://doi.org/10.3390/agriculture13030683" TargetMode="External"/><Relationship Id="rId46" Type="http://schemas.openxmlformats.org/officeDocument/2006/relationships/hyperlink" Target="https://horizon.documentation.ird.fr/exl-doc/pleins_textes/cahiers/PTP/34142.PDF" TargetMode="External"/><Relationship Id="rId20" Type="http://schemas.openxmlformats.org/officeDocument/2006/relationships/image" Target="media/image7.png"/><Relationship Id="rId41" Type="http://schemas.openxmlformats.org/officeDocument/2006/relationships/hyperlink" Target="http://ajol.info/index.php/ijbcs"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200">
                <a:solidFill>
                  <a:sysClr val="windowText" lastClr="000000"/>
                </a:solidFill>
                <a:latin typeface="Times New Roman" panose="02020603050405020304" pitchFamily="18" charset="0"/>
                <a:cs typeface="Times New Roman" panose="02020603050405020304" pitchFamily="18" charset="0"/>
              </a:rPr>
              <a:t>Working surface cm</a:t>
            </a:r>
            <a:r>
              <a:rPr lang="en-US" sz="1200" baseline="30000">
                <a:solidFill>
                  <a:sysClr val="windowText" lastClr="000000"/>
                </a:solidFill>
                <a:latin typeface="Times New Roman" panose="02020603050405020304" pitchFamily="18" charset="0"/>
                <a:cs typeface="Times New Roman" panose="02020603050405020304" pitchFamily="18" charset="0"/>
              </a:rPr>
              <a:t>2</a:t>
            </a:r>
          </a:p>
        </c:rich>
      </c:tx>
      <c:layout>
        <c:manualLayout>
          <c:xMode val="edge"/>
          <c:yMode val="edge"/>
          <c:x val="1.1111111111111112E-2"/>
          <c:y val="0.1805555555555555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Feuil2!$J$6</c:f>
              <c:strCache>
                <c:ptCount val="1"/>
                <c:pt idx="0">
                  <c:v>Working area</c:v>
                </c:pt>
              </c:strCache>
            </c:strRef>
          </c:tx>
          <c:spPr>
            <a:pattFill prst="plaid">
              <a:fgClr>
                <a:schemeClr val="tx1"/>
              </a:fgClr>
              <a:bgClr>
                <a:schemeClr val="bg1"/>
              </a:bgClr>
            </a:pattFill>
            <a:ln>
              <a:noFill/>
            </a:ln>
            <a:effectLst/>
            <a:sp3d/>
          </c:spPr>
          <c:invertIfNegative val="0"/>
          <c:dLbls>
            <c:dLbl>
              <c:idx val="0"/>
              <c:layout>
                <c:manualLayout>
                  <c:x val="0"/>
                  <c:y val="-6.9444444444444448E-2"/>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0-4399-40C1-A6A9-76A284046C33}"/>
                </c:ext>
              </c:extLst>
            </c:dLbl>
            <c:dLbl>
              <c:idx val="1"/>
              <c:layout>
                <c:manualLayout>
                  <c:x val="8.3333333333333332E-3"/>
                  <c:y val="-5.5555555555555552E-2"/>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4399-40C1-A6A9-76A284046C33}"/>
                </c:ext>
              </c:extLst>
            </c:dLbl>
            <c:dLbl>
              <c:idx val="2"/>
              <c:layout>
                <c:manualLayout>
                  <c:x val="1.3888888888888788E-2"/>
                  <c:y val="-5.0925925925925972E-2"/>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2-4399-40C1-A6A9-76A284046C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Feuil2!$I$7:$I$9</c:f>
              <c:strCache>
                <c:ptCount val="3"/>
                <c:pt idx="0">
                  <c:v>Lab20</c:v>
                </c:pt>
                <c:pt idx="1">
                  <c:v>Lab30</c:v>
                </c:pt>
                <c:pt idx="2">
                  <c:v>Lab40</c:v>
                </c:pt>
              </c:strCache>
            </c:strRef>
          </c:cat>
          <c:val>
            <c:numRef>
              <c:f>Feuil2!$J$7:$J$9</c:f>
              <c:numCache>
                <c:formatCode>General</c:formatCode>
                <c:ptCount val="3"/>
                <c:pt idx="0">
                  <c:v>2438.4</c:v>
                </c:pt>
                <c:pt idx="1">
                  <c:v>3657.6</c:v>
                </c:pt>
                <c:pt idx="2">
                  <c:v>4876.8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4399-40C1-A6A9-76A284046C33}"/>
            </c:ext>
          </c:extLst>
        </c:ser>
        <c:dLbls>
          <c:showLegendKey val="0"/>
          <c:showVal val="1"/>
          <c:showCatName val="0"/>
          <c:showSerName val="0"/>
          <c:showPercent val="0"/>
          <c:showBubbleSize val="0"/>
        </c:dLbls>
        <c:gapWidth val="150"/>
        <c:shape val="box"/>
        <c:axId val="334792752"/>
        <c:axId val="334787352"/>
        <c:axId val="544349960"/>
      </c:bar3DChart>
      <c:catAx>
        <c:axId val="334792752"/>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4787352"/>
        <c:crosses val="autoZero"/>
        <c:auto val="1"/>
        <c:lblAlgn val="ctr"/>
        <c:lblOffset val="100"/>
        <c:noMultiLvlLbl val="0"/>
      </c:catAx>
      <c:valAx>
        <c:axId val="334787352"/>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4792752"/>
        <c:crosses val="autoZero"/>
        <c:crossBetween val="between"/>
      </c:valAx>
      <c:serAx>
        <c:axId val="544349960"/>
        <c:scaling>
          <c:orientation val="minMax"/>
        </c:scaling>
        <c:delete val="1"/>
        <c:axPos val="b"/>
        <c:majorTickMark val="none"/>
        <c:minorTickMark val="none"/>
        <c:tickLblPos val="nextTo"/>
        <c:crossAx val="334787352"/>
        <c:crosses val="autoZero"/>
      </c:serAx>
      <c:spPr>
        <a:noFill/>
        <a:ln>
          <a:noFill/>
        </a:ln>
        <a:effectLst/>
      </c:spPr>
    </c:plotArea>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[Classeur3]Feuil10!Tableau croisé dynamique30</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7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lgConfetti">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7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lgConfetti">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7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lgConfetti">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manualLayout>
          <c:layoutTarget val="inner"/>
          <c:xMode val="edge"/>
          <c:yMode val="edge"/>
          <c:x val="8.5640389478678344E-2"/>
          <c:y val="3.0651340996168581E-2"/>
          <c:w val="0.79282607087049439"/>
          <c:h val="0.73870365342263256"/>
        </c:manualLayout>
      </c:layout>
      <c:barChart>
        <c:barDir val="col"/>
        <c:grouping val="clustered"/>
        <c:varyColors val="0"/>
        <c:ser>
          <c:idx val="0"/>
          <c:order val="0"/>
          <c:tx>
            <c:strRef>
              <c:f>Feuil10!$B$3:$B$4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Feuil10!$B$5:$B$13</c:f>
              <c:numCache>
                <c:formatCode>General</c:formatCode>
                <c:ptCount val="6"/>
                <c:pt idx="0">
                  <c:v>2.1</c:v>
                </c:pt>
                <c:pt idx="1">
                  <c:v>4.2</c:v>
                </c:pt>
                <c:pt idx="2">
                  <c:v>6</c:v>
                </c:pt>
                <c:pt idx="3">
                  <c:v>2.4</c:v>
                </c:pt>
                <c:pt idx="4">
                  <c:v>3.9</c:v>
                </c:pt>
                <c:pt idx="5">
                  <c:v>5.7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6963-43DE-AFEA-0232FED7FD9E}"/>
            </c:ext>
          </c:extLst>
        </c:ser>
        <c:ser>
          <c:idx val="1"/>
          <c:order val="1"/>
          <c:tx>
            <c:strRef>
              <c:f>Feuil10!$C$3:$C$4</c:f>
              <c:strCache>
                <c:ptCount val="1"/>
                <c:pt idx="0">
                  <c:v>Off10</c:v>
                </c:pt>
              </c:strCache>
            </c:strRef>
          </c:tx>
          <c:spPr>
            <a:pattFill prst="pct3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Feuil10!$C$5:$C$13</c:f>
              <c:numCache>
                <c:formatCode>General</c:formatCode>
                <c:ptCount val="6"/>
                <c:pt idx="0">
                  <c:v>2.1</c:v>
                </c:pt>
                <c:pt idx="1">
                  <c:v>3.7</c:v>
                </c:pt>
                <c:pt idx="2">
                  <c:v>4.5999999999999996</c:v>
                </c:pt>
                <c:pt idx="3">
                  <c:v>2.4</c:v>
                </c:pt>
                <c:pt idx="4">
                  <c:v>5.81</c:v>
                </c:pt>
                <c:pt idx="5">
                  <c:v>6.1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6963-43DE-AFEA-0232FED7FD9E}"/>
            </c:ext>
          </c:extLst>
        </c:ser>
        <c:ser>
          <c:idx val="2"/>
          <c:order val="2"/>
          <c:tx>
            <c:strRef>
              <c:f>Feuil10!$D$3:$D$4</c:f>
              <c:strCache>
                <c:ptCount val="1"/>
                <c:pt idx="0">
                  <c:v>Off15</c:v>
                </c:pt>
              </c:strCache>
            </c:strRef>
          </c:tx>
          <c:spPr>
            <a:pattFill prst="pct7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Feuil10!$D$5:$D$13</c:f>
              <c:numCache>
                <c:formatCode>General</c:formatCode>
                <c:ptCount val="6"/>
                <c:pt idx="0">
                  <c:v>2.1</c:v>
                </c:pt>
                <c:pt idx="1">
                  <c:v>3.98</c:v>
                </c:pt>
                <c:pt idx="2">
                  <c:v>4.9800000000000004</c:v>
                </c:pt>
                <c:pt idx="3">
                  <c:v>2.4</c:v>
                </c:pt>
                <c:pt idx="4">
                  <c:v>3.2</c:v>
                </c:pt>
                <c:pt idx="5">
                  <c:v>6.3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6963-43DE-AFEA-0232FED7FD9E}"/>
            </c:ext>
          </c:extLst>
        </c:ser>
        <c:ser>
          <c:idx val="3"/>
          <c:order val="3"/>
          <c:tx>
            <c:strRef>
              <c:f>Feuil10!$E$3:$E$4</c:f>
              <c:strCache>
                <c:ptCount val="1"/>
                <c:pt idx="0">
                  <c:v>Lab20</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Feuil10!$E$5:$E$13</c:f>
              <c:numCache>
                <c:formatCode>General</c:formatCode>
                <c:ptCount val="6"/>
                <c:pt idx="0">
                  <c:v>2.1</c:v>
                </c:pt>
                <c:pt idx="1">
                  <c:v>3.78</c:v>
                </c:pt>
                <c:pt idx="2">
                  <c:v>5.0999999999999996</c:v>
                </c:pt>
                <c:pt idx="3">
                  <c:v>2.4</c:v>
                </c:pt>
                <c:pt idx="4">
                  <c:v>4.01</c:v>
                </c:pt>
                <c:pt idx="5">
                  <c:v>5.0999999999999996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6963-43DE-AFEA-0232FED7FD9E}"/>
            </c:ext>
          </c:extLst>
        </c:ser>
        <c:ser>
          <c:idx val="4"/>
          <c:order val="4"/>
          <c:tx>
            <c:strRef>
              <c:f>Feuil10!$F$3:$F$4</c:f>
              <c:strCache>
                <c:ptCount val="1"/>
                <c:pt idx="0">
                  <c:v>Lab30</c:v>
                </c:pt>
              </c:strCache>
            </c:strRef>
          </c:tx>
          <c:spPr>
            <a:pattFill prst="lgConfetti">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Feuil10!$F$5:$F$13</c:f>
              <c:numCache>
                <c:formatCode>General</c:formatCode>
                <c:ptCount val="6"/>
                <c:pt idx="0">
                  <c:v>2.1</c:v>
                </c:pt>
                <c:pt idx="1">
                  <c:v>3.88</c:v>
                </c:pt>
                <c:pt idx="2">
                  <c:v>5</c:v>
                </c:pt>
                <c:pt idx="3">
                  <c:v>2.4</c:v>
                </c:pt>
                <c:pt idx="4">
                  <c:v>3.4</c:v>
                </c:pt>
                <c:pt idx="5">
                  <c:v>5.3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6963-43DE-AFEA-0232FED7FD9E}"/>
            </c:ext>
          </c:extLst>
        </c:ser>
        <c:ser>
          <c:idx val="5"/>
          <c:order val="5"/>
          <c:tx>
            <c:strRef>
              <c:f>Feuil10!$G$3:$G$4</c:f>
              <c:strCache>
                <c:ptCount val="1"/>
                <c:pt idx="0">
                  <c:v>Lab40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Feuil10!$G$5:$G$13</c:f>
              <c:numCache>
                <c:formatCode>General</c:formatCode>
                <c:ptCount val="6"/>
                <c:pt idx="0">
                  <c:v>2.1</c:v>
                </c:pt>
                <c:pt idx="1">
                  <c:v>5.4</c:v>
                </c:pt>
                <c:pt idx="2">
                  <c:v>6.5</c:v>
                </c:pt>
                <c:pt idx="3">
                  <c:v>2.4</c:v>
                </c:pt>
                <c:pt idx="4">
                  <c:v>3.0009999999999999</c:v>
                </c:pt>
                <c:pt idx="5">
                  <c:v>4.9800000000000004</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6963-43DE-AFEA-0232FED7FD9E}"/>
            </c:ext>
          </c:extLst>
        </c:ser>
        <c:dLbls>
          <c:showLegendKey val="0"/>
          <c:showVal val="0"/>
          <c:showCatName val="0"/>
          <c:showSerName val="0"/>
          <c:showPercent val="0"/>
          <c:showBubbleSize val="0"/>
        </c:dLbls>
        <c:gapWidth val="219"/>
        <c:overlap val="-27"/>
        <c:axId val="778137184"/>
        <c:axId val="778134664"/>
      </c:barChart>
      <c:catAx>
        <c:axId val="7781371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Treatment</a:t>
                </a:r>
              </a:p>
            </c:rich>
          </c:tx>
          <c:layout>
            <c:manualLayout>
              <c:xMode val="edge"/>
              <c:yMode val="edge"/>
              <c:x val="0.87136568307435847"/>
              <c:y val="0.224284474993601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8134664"/>
        <c:crosses val="autoZero"/>
        <c:auto val="1"/>
        <c:lblAlgn val="ctr"/>
        <c:lblOffset val="100"/>
        <c:noMultiLvlLbl val="0"/>
      </c:catAx>
      <c:valAx>
        <c:axId val="7781346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Structural_stability</a:t>
                </a:r>
              </a:p>
            </c:rich>
          </c:tx>
          <c:layout>
            <c:manualLayout>
              <c:xMode val="edge"/>
              <c:yMode val="edge"/>
              <c:x val="1.6666666666666666E-2"/>
              <c:y val="0.249012467191601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8137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[Classeur3]Feuil8!Tableau croisé dynamique29</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4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4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4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Feuil8!$B$3:$B$4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Feuil8!$B$5:$B$13</c:f>
              <c:numCache>
                <c:formatCode>General</c:formatCode>
                <c:ptCount val="6"/>
                <c:pt idx="0">
                  <c:v>1.5</c:v>
                </c:pt>
                <c:pt idx="1">
                  <c:v>1.38</c:v>
                </c:pt>
                <c:pt idx="2">
                  <c:v>1.5</c:v>
                </c:pt>
                <c:pt idx="3">
                  <c:v>2.2599999999999998</c:v>
                </c:pt>
                <c:pt idx="4">
                  <c:v>1.26</c:v>
                </c:pt>
                <c:pt idx="5">
                  <c:v>1.44</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D73E-4865-A148-1BA888437C16}"/>
            </c:ext>
          </c:extLst>
        </c:ser>
        <c:ser>
          <c:idx val="1"/>
          <c:order val="1"/>
          <c:tx>
            <c:strRef>
              <c:f>Feuil8!$C$3:$C$4</c:f>
              <c:strCache>
                <c:ptCount val="1"/>
                <c:pt idx="0">
                  <c:v>Off10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Feuil8!$C$5:$C$13</c:f>
              <c:numCache>
                <c:formatCode>General</c:formatCode>
                <c:ptCount val="6"/>
                <c:pt idx="0">
                  <c:v>1.5</c:v>
                </c:pt>
                <c:pt idx="1">
                  <c:v>1.41</c:v>
                </c:pt>
                <c:pt idx="2">
                  <c:v>1.7</c:v>
                </c:pt>
                <c:pt idx="3">
                  <c:v>2.2599999999999998</c:v>
                </c:pt>
                <c:pt idx="4">
                  <c:v>1.24</c:v>
                </c:pt>
                <c:pt idx="5">
                  <c:v>1.38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D73E-4865-A148-1BA888437C16}"/>
            </c:ext>
          </c:extLst>
        </c:ser>
        <c:ser>
          <c:idx val="2"/>
          <c:order val="2"/>
          <c:tx>
            <c:strRef>
              <c:f>Feuil8!$D$3:$D$4</c:f>
              <c:strCache>
                <c:ptCount val="1"/>
                <c:pt idx="0">
                  <c:v>Off15</c:v>
                </c:pt>
              </c:strCache>
            </c:strRef>
          </c:tx>
          <c:spPr>
            <a:pattFill prst="pct4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Feuil8!$D$5:$D$13</c:f>
              <c:numCache>
                <c:formatCode>General</c:formatCode>
                <c:ptCount val="6"/>
                <c:pt idx="0">
                  <c:v>1.5</c:v>
                </c:pt>
                <c:pt idx="1">
                  <c:v>1.47</c:v>
                </c:pt>
                <c:pt idx="2">
                  <c:v>1.39</c:v>
                </c:pt>
                <c:pt idx="3">
                  <c:v>2.2599999999999998</c:v>
                </c:pt>
                <c:pt idx="4">
                  <c:v>1.27</c:v>
                </c:pt>
                <c:pt idx="5">
                  <c:v>1.36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D73E-4865-A148-1BA888437C16}"/>
            </c:ext>
          </c:extLst>
        </c:ser>
        <c:ser>
          <c:idx val="3"/>
          <c:order val="3"/>
          <c:tx>
            <c:strRef>
              <c:f>Feuil8!$E$3:$E$4</c:f>
              <c:strCache>
                <c:ptCount val="1"/>
                <c:pt idx="0">
                  <c:v>Lab20</c:v>
                </c:pt>
              </c:strCache>
            </c:strRef>
          </c:tx>
          <c:spPr>
            <a:pattFill prst="pct6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Feuil8!$E$5:$E$13</c:f>
              <c:numCache>
                <c:formatCode>General</c:formatCode>
                <c:ptCount val="6"/>
                <c:pt idx="0">
                  <c:v>1.5</c:v>
                </c:pt>
                <c:pt idx="1">
                  <c:v>1.33</c:v>
                </c:pt>
                <c:pt idx="2">
                  <c:v>1.31</c:v>
                </c:pt>
                <c:pt idx="3">
                  <c:v>2.2599999999999998</c:v>
                </c:pt>
                <c:pt idx="4">
                  <c:v>1.3</c:v>
                </c:pt>
                <c:pt idx="5">
                  <c:v>1.5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D73E-4865-A148-1BA888437C16}"/>
            </c:ext>
          </c:extLst>
        </c:ser>
        <c:ser>
          <c:idx val="4"/>
          <c:order val="4"/>
          <c:tx>
            <c:strRef>
              <c:f>Feuil8!$F$3:$F$4</c:f>
              <c:strCache>
                <c:ptCount val="1"/>
                <c:pt idx="0">
                  <c:v>Lab30</c:v>
                </c:pt>
              </c:strCache>
            </c:strRef>
          </c:tx>
          <c:spPr>
            <a:pattFill prst="pct7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Feuil8!$F$5:$F$13</c:f>
              <c:numCache>
                <c:formatCode>General</c:formatCode>
                <c:ptCount val="6"/>
                <c:pt idx="0">
                  <c:v>1.5</c:v>
                </c:pt>
                <c:pt idx="1">
                  <c:v>1.24</c:v>
                </c:pt>
                <c:pt idx="2">
                  <c:v>1.51</c:v>
                </c:pt>
                <c:pt idx="3">
                  <c:v>2.2599999999999998</c:v>
                </c:pt>
                <c:pt idx="4">
                  <c:v>1.28</c:v>
                </c:pt>
                <c:pt idx="5">
                  <c:v>1.49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D73E-4865-A148-1BA888437C16}"/>
            </c:ext>
          </c:extLst>
        </c:ser>
        <c:ser>
          <c:idx val="5"/>
          <c:order val="5"/>
          <c:tx>
            <c:strRef>
              <c:f>Feuil8!$G$3:$G$4</c:f>
              <c:strCache>
                <c:ptCount val="1"/>
                <c:pt idx="0">
                  <c:v>Lab40</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Feuil8!$G$5:$G$13</c:f>
              <c:numCache>
                <c:formatCode>General</c:formatCode>
                <c:ptCount val="6"/>
                <c:pt idx="0">
                  <c:v>1.5</c:v>
                </c:pt>
                <c:pt idx="1">
                  <c:v>1.26</c:v>
                </c:pt>
                <c:pt idx="2">
                  <c:v>1.48</c:v>
                </c:pt>
                <c:pt idx="3">
                  <c:v>2.2599999999999998</c:v>
                </c:pt>
                <c:pt idx="4">
                  <c:v>1.22</c:v>
                </c:pt>
                <c:pt idx="5">
                  <c:v>1.37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D73E-4865-A148-1BA888437C16}"/>
            </c:ext>
          </c:extLst>
        </c:ser>
        <c:dLbls>
          <c:showLegendKey val="0"/>
          <c:showVal val="0"/>
          <c:showCatName val="0"/>
          <c:showSerName val="0"/>
          <c:showPercent val="0"/>
          <c:showBubbleSize val="0"/>
        </c:dLbls>
        <c:gapWidth val="219"/>
        <c:overlap val="-27"/>
        <c:axId val="777241032"/>
        <c:axId val="777241392"/>
      </c:barChart>
      <c:catAx>
        <c:axId val="7772410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Treatment</a:t>
                </a:r>
              </a:p>
            </c:rich>
          </c:tx>
          <c:layout>
            <c:manualLayout>
              <c:xMode val="edge"/>
              <c:yMode val="edge"/>
              <c:x val="0.87614438439097553"/>
              <c:y val="0.228870409890352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7241392"/>
        <c:crosses val="autoZero"/>
        <c:auto val="1"/>
        <c:lblAlgn val="ctr"/>
        <c:lblOffset val="100"/>
        <c:noMultiLvlLbl val="0"/>
      </c:catAx>
      <c:valAx>
        <c:axId val="7772413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Apparent_density </a:t>
                </a:r>
                <a:r>
                  <a:rPr lang="fr-SN" baseline="0">
                    <a:solidFill>
                      <a:sysClr val="windowText" lastClr="000000"/>
                    </a:solidFill>
                    <a:latin typeface="Arial" panose="020B0604020202020204" pitchFamily="34" charset="0"/>
                    <a:cs typeface="Arial" panose="020B0604020202020204" pitchFamily="34" charset="0"/>
                  </a:rPr>
                  <a:t>g/cm3</a:t>
                </a:r>
                <a:endParaRPr lang="fr-SN">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9444444444444445E-2"/>
              <c:y val="0.142497812773403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7241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[Classeur3]Feuil4!Tableau croisé dynamique27</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2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2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2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Feuil4!$B$3:$B$4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Feuil4!$B$5:$B$13</c:f>
              <c:numCache>
                <c:formatCode>General</c:formatCode>
                <c:ptCount val="6"/>
                <c:pt idx="0">
                  <c:v>1882.56</c:v>
                </c:pt>
                <c:pt idx="1">
                  <c:v>1255</c:v>
                </c:pt>
                <c:pt idx="2">
                  <c:v>1000</c:v>
                </c:pt>
                <c:pt idx="3">
                  <c:v>1695.89</c:v>
                </c:pt>
                <c:pt idx="4">
                  <c:v>1000</c:v>
                </c:pt>
                <c:pt idx="5">
                  <c:v>750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2354-4081-A3FA-EB51DA995615}"/>
            </c:ext>
          </c:extLst>
        </c:ser>
        <c:ser>
          <c:idx val="1"/>
          <c:order val="1"/>
          <c:tx>
            <c:strRef>
              <c:f>Feuil4!$C$3:$C$4</c:f>
              <c:strCache>
                <c:ptCount val="1"/>
                <c:pt idx="0">
                  <c:v>Off10</c:v>
                </c:pt>
              </c:strCache>
            </c:strRef>
          </c:tx>
          <c:spPr>
            <a:pattFill prst="pct2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Feuil4!$C$5:$C$13</c:f>
              <c:numCache>
                <c:formatCode>General</c:formatCode>
                <c:ptCount val="6"/>
                <c:pt idx="0">
                  <c:v>1882.56</c:v>
                </c:pt>
                <c:pt idx="1">
                  <c:v>1180</c:v>
                </c:pt>
                <c:pt idx="2">
                  <c:v>1060</c:v>
                </c:pt>
                <c:pt idx="3">
                  <c:v>1695.89</c:v>
                </c:pt>
                <c:pt idx="4">
                  <c:v>1004</c:v>
                </c:pt>
                <c:pt idx="5">
                  <c:v>800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2354-4081-A3FA-EB51DA995615}"/>
            </c:ext>
          </c:extLst>
        </c:ser>
        <c:ser>
          <c:idx val="2"/>
          <c:order val="2"/>
          <c:tx>
            <c:strRef>
              <c:f>Feuil4!$D$3:$D$4</c:f>
              <c:strCache>
                <c:ptCount val="1"/>
                <c:pt idx="0">
                  <c:v>Off15</c:v>
                </c:pt>
              </c:strCache>
            </c:strRef>
          </c:tx>
          <c:spPr>
            <a:pattFill prst="pct6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Feuil4!$D$5:$D$13</c:f>
              <c:numCache>
                <c:formatCode>General</c:formatCode>
                <c:ptCount val="6"/>
                <c:pt idx="0">
                  <c:v>1882.56</c:v>
                </c:pt>
                <c:pt idx="1">
                  <c:v>1170</c:v>
                </c:pt>
                <c:pt idx="2">
                  <c:v>990</c:v>
                </c:pt>
                <c:pt idx="3">
                  <c:v>1695.89</c:v>
                </c:pt>
                <c:pt idx="4">
                  <c:v>1100</c:v>
                </c:pt>
                <c:pt idx="5">
                  <c:v>900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2354-4081-A3FA-EB51DA995615}"/>
            </c:ext>
          </c:extLst>
        </c:ser>
        <c:ser>
          <c:idx val="3"/>
          <c:order val="3"/>
          <c:tx>
            <c:strRef>
              <c:f>Feuil4!$E$3:$E$4</c:f>
              <c:strCache>
                <c:ptCount val="1"/>
                <c:pt idx="0">
                  <c:v>Lab20</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Feuil4!$E$5:$E$13</c:f>
              <c:numCache>
                <c:formatCode>General</c:formatCode>
                <c:ptCount val="6"/>
                <c:pt idx="0">
                  <c:v>1882.56</c:v>
                </c:pt>
                <c:pt idx="1">
                  <c:v>1181</c:v>
                </c:pt>
                <c:pt idx="2">
                  <c:v>970</c:v>
                </c:pt>
                <c:pt idx="3">
                  <c:v>1695.89</c:v>
                </c:pt>
                <c:pt idx="4">
                  <c:v>1104</c:v>
                </c:pt>
                <c:pt idx="5">
                  <c:v>1000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2354-4081-A3FA-EB51DA995615}"/>
            </c:ext>
          </c:extLst>
        </c:ser>
        <c:ser>
          <c:idx val="4"/>
          <c:order val="4"/>
          <c:tx>
            <c:strRef>
              <c:f>Feuil4!$F$3:$F$4</c:f>
              <c:strCache>
                <c:ptCount val="1"/>
                <c:pt idx="0">
                  <c:v>Lab30</c:v>
                </c:pt>
              </c:strCache>
            </c:strRef>
          </c:tx>
          <c:spPr>
            <a:pattFill prst="pct7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Feuil4!$F$5:$F$13</c:f>
              <c:numCache>
                <c:formatCode>General</c:formatCode>
                <c:ptCount val="6"/>
                <c:pt idx="0">
                  <c:v>1882.56</c:v>
                </c:pt>
                <c:pt idx="1">
                  <c:v>1070</c:v>
                </c:pt>
                <c:pt idx="2">
                  <c:v>1110</c:v>
                </c:pt>
                <c:pt idx="3">
                  <c:v>1695.89</c:v>
                </c:pt>
                <c:pt idx="4">
                  <c:v>1109</c:v>
                </c:pt>
                <c:pt idx="5">
                  <c:v>880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2354-4081-A3FA-EB51DA995615}"/>
            </c:ext>
          </c:extLst>
        </c:ser>
        <c:ser>
          <c:idx val="5"/>
          <c:order val="5"/>
          <c:tx>
            <c:strRef>
              <c:f>Feuil4!$G$3:$G$4</c:f>
              <c:strCache>
                <c:ptCount val="1"/>
                <c:pt idx="0">
                  <c:v>Lab40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Feuil4!$G$5:$G$13</c:f>
              <c:numCache>
                <c:formatCode>General</c:formatCode>
                <c:ptCount val="6"/>
                <c:pt idx="0">
                  <c:v>1882.56</c:v>
                </c:pt>
                <c:pt idx="1">
                  <c:v>1090</c:v>
                </c:pt>
                <c:pt idx="2">
                  <c:v>752</c:v>
                </c:pt>
                <c:pt idx="3">
                  <c:v>1695.89</c:v>
                </c:pt>
                <c:pt idx="4">
                  <c:v>1107</c:v>
                </c:pt>
                <c:pt idx="5">
                  <c:v>795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2354-4081-A3FA-EB51DA995615}"/>
            </c:ext>
          </c:extLst>
        </c:ser>
        <c:dLbls>
          <c:showLegendKey val="0"/>
          <c:showVal val="0"/>
          <c:showCatName val="0"/>
          <c:showSerName val="0"/>
          <c:showPercent val="0"/>
          <c:showBubbleSize val="0"/>
        </c:dLbls>
        <c:gapWidth val="219"/>
        <c:overlap val="-27"/>
        <c:axId val="785794920"/>
        <c:axId val="785793120"/>
      </c:barChart>
      <c:catAx>
        <c:axId val="7857949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Treatment</a:t>
                </a:r>
              </a:p>
            </c:rich>
          </c:tx>
          <c:layout>
            <c:manualLayout>
              <c:xMode val="edge"/>
              <c:yMode val="edge"/>
              <c:x val="0.84973928258967624"/>
              <c:y val="0.196759259259259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5793120"/>
        <c:crosses val="autoZero"/>
        <c:auto val="1"/>
        <c:lblAlgn val="ctr"/>
        <c:lblOffset val="100"/>
        <c:noMultiLvlLbl val="0"/>
      </c:catAx>
      <c:valAx>
        <c:axId val="7857931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Penetration_resistance </a:t>
                </a:r>
                <a:r>
                  <a:rPr lang="fr-SN" baseline="0">
                    <a:solidFill>
                      <a:sysClr val="windowText" lastClr="000000"/>
                    </a:solidFill>
                    <a:latin typeface="Arial" panose="020B0604020202020204" pitchFamily="34" charset="0"/>
                    <a:cs typeface="Arial" panose="020B0604020202020204" pitchFamily="34" charset="0"/>
                  </a:rPr>
                  <a:t>(N)</a:t>
                </a:r>
                <a:endParaRPr lang="fr-SN">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6666666666666666E-2"/>
              <c:y val="0.137868183143773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5794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[Classeur3]Feuil6!Tableau croisé dynamique28</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Feuil6!$B$3:$B$4</c:f>
              <c:strCache>
                <c:ptCount val="1"/>
                <c:pt idx="0">
                  <c:v>Off5</c:v>
                </c:pt>
              </c:strCache>
            </c:strRef>
          </c:tx>
          <c:spPr>
            <a:pattFill prst="pct20">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Feuil6!$B$5:$B$13</c:f>
              <c:numCache>
                <c:formatCode>0.00E+00</c:formatCode>
                <c:ptCount val="6"/>
                <c:pt idx="0">
                  <c:v>5.9999999999999995E-4</c:v>
                </c:pt>
                <c:pt idx="1">
                  <c:v>7.6000000000000001E-6</c:v>
                </c:pt>
                <c:pt idx="2">
                  <c:v>6.2999999999999998E-6</c:v>
                </c:pt>
                <c:pt idx="3">
                  <c:v>4.0000000000000002E-4</c:v>
                </c:pt>
                <c:pt idx="4">
                  <c:v>6.2999999999999998E-6</c:v>
                </c:pt>
                <c:pt idx="5">
                  <c:v>3.4999999999999999E-6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17CE-468F-BA02-BDFF8E2839EE}"/>
            </c:ext>
          </c:extLst>
        </c:ser>
        <c:ser>
          <c:idx val="1"/>
          <c:order val="1"/>
          <c:tx>
            <c:strRef>
              <c:f>Feuil6!$C$3:$C$4</c:f>
              <c:strCache>
                <c:ptCount val="1"/>
                <c:pt idx="0">
                  <c:v>Off10</c:v>
                </c:pt>
              </c:strCache>
            </c:strRef>
          </c:tx>
          <c:spPr>
            <a:pattFill prst="pct30">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Feuil6!$C$5:$C$13</c:f>
              <c:numCache>
                <c:formatCode>0.00E+00</c:formatCode>
                <c:ptCount val="6"/>
                <c:pt idx="0">
                  <c:v>5.9999999999999995E-4</c:v>
                </c:pt>
                <c:pt idx="1">
                  <c:v>7.9999999999999996E-6</c:v>
                </c:pt>
                <c:pt idx="2">
                  <c:v>6.8000000000000001E-6</c:v>
                </c:pt>
                <c:pt idx="3">
                  <c:v>4.0000000000000002E-4</c:v>
                </c:pt>
                <c:pt idx="4">
                  <c:v>5.0000000000000004E-6</c:v>
                </c:pt>
                <c:pt idx="5">
                  <c:v>2.5000000000000002E-6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17CE-468F-BA02-BDFF8E2839EE}"/>
            </c:ext>
          </c:extLst>
        </c:ser>
        <c:ser>
          <c:idx val="2"/>
          <c:order val="2"/>
          <c:tx>
            <c:strRef>
              <c:f>Feuil6!$D$3:$D$4</c:f>
              <c:strCache>
                <c:ptCount val="1"/>
                <c:pt idx="0">
                  <c:v>Off15</c:v>
                </c:pt>
              </c:strCache>
            </c:strRef>
          </c:tx>
          <c:spPr>
            <a:pattFill prst="pct60">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Feuil6!$D$5:$D$13</c:f>
              <c:numCache>
                <c:formatCode>0.00E+00</c:formatCode>
                <c:ptCount val="6"/>
                <c:pt idx="0">
                  <c:v>5.9999999999999995E-4</c:v>
                </c:pt>
                <c:pt idx="1">
                  <c:v>7.4000000000000003E-6</c:v>
                </c:pt>
                <c:pt idx="2">
                  <c:v>7.43E-6</c:v>
                </c:pt>
                <c:pt idx="3">
                  <c:v>4.0000000000000002E-4</c:v>
                </c:pt>
                <c:pt idx="4">
                  <c:v>2.5000000000000002E-6</c:v>
                </c:pt>
                <c:pt idx="5">
                  <c:v>1.9999999999999999E-6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17CE-468F-BA02-BDFF8E2839EE}"/>
            </c:ext>
          </c:extLst>
        </c:ser>
        <c:ser>
          <c:idx val="3"/>
          <c:order val="3"/>
          <c:tx>
            <c:strRef>
              <c:f>Feuil6!$E$3:$E$4</c:f>
              <c:strCache>
                <c:ptCount val="1"/>
                <c:pt idx="0">
                  <c:v>Lab20</c:v>
                </c:pt>
              </c:strCache>
            </c:strRef>
          </c:tx>
          <c:spPr>
            <a:pattFill prst="pct75">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Feuil6!$E$5:$E$13</c:f>
              <c:numCache>
                <c:formatCode>0.00E+00</c:formatCode>
                <c:ptCount val="6"/>
                <c:pt idx="0">
                  <c:v>5.9999999999999995E-4</c:v>
                </c:pt>
                <c:pt idx="1">
                  <c:v>1.26E-5</c:v>
                </c:pt>
                <c:pt idx="2">
                  <c:v>6.9999999999999999E-6</c:v>
                </c:pt>
                <c:pt idx="3">
                  <c:v>4.0000000000000002E-4</c:v>
                </c:pt>
                <c:pt idx="4">
                  <c:v>5.9000000000000003E-6</c:v>
                </c:pt>
                <c:pt idx="5">
                  <c:v>2.3999999999999999E-6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17CE-468F-BA02-BDFF8E2839EE}"/>
            </c:ext>
          </c:extLst>
        </c:ser>
        <c:ser>
          <c:idx val="4"/>
          <c:order val="4"/>
          <c:tx>
            <c:strRef>
              <c:f>Feuil6!$F$3:$F$4</c:f>
              <c:strCache>
                <c:ptCount val="1"/>
                <c:pt idx="0">
                  <c:v>Lab30</c:v>
                </c:pt>
              </c:strCache>
            </c:strRef>
          </c:tx>
          <c:spPr>
            <a:pattFill prst="wdDnDiag">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Feuil6!$F$5:$F$13</c:f>
              <c:numCache>
                <c:formatCode>0.00E+00</c:formatCode>
                <c:ptCount val="6"/>
                <c:pt idx="0">
                  <c:v>5.9999999999999995E-4</c:v>
                </c:pt>
                <c:pt idx="1">
                  <c:v>1.7799999999999999E-5</c:v>
                </c:pt>
                <c:pt idx="2">
                  <c:v>8.1999999999999994E-6</c:v>
                </c:pt>
                <c:pt idx="3">
                  <c:v>4.0000000000000002E-4</c:v>
                </c:pt>
                <c:pt idx="4">
                  <c:v>6.0000000000000002E-6</c:v>
                </c:pt>
                <c:pt idx="5">
                  <c:v>2.5000000000000002E-6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17CE-468F-BA02-BDFF8E2839EE}"/>
            </c:ext>
          </c:extLst>
        </c:ser>
        <c:ser>
          <c:idx val="5"/>
          <c:order val="5"/>
          <c:tx>
            <c:strRef>
              <c:f>Feuil6!$G$3:$G$4</c:f>
              <c:strCache>
                <c:ptCount val="1"/>
                <c:pt idx="0">
                  <c:v>Lab40</c:v>
                </c:pt>
              </c:strCache>
            </c:strRef>
          </c:tx>
          <c:spPr>
            <a:pattFill prst="sphere">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Feuil6!$G$5:$G$13</c:f>
              <c:numCache>
                <c:formatCode>0.00E+00</c:formatCode>
                <c:ptCount val="6"/>
                <c:pt idx="0">
                  <c:v>5.9999999999999995E-4</c:v>
                </c:pt>
                <c:pt idx="1">
                  <c:v>7.4000000000000003E-6</c:v>
                </c:pt>
                <c:pt idx="2">
                  <c:v>7.0199999999999997E-6</c:v>
                </c:pt>
                <c:pt idx="3">
                  <c:v>4.0000000000000002E-4</c:v>
                </c:pt>
                <c:pt idx="4">
                  <c:v>4.8999999999999997E-6</c:v>
                </c:pt>
                <c:pt idx="5">
                  <c:v>2.6000000000000001E-6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17CE-468F-BA02-BDFF8E2839EE}"/>
            </c:ext>
          </c:extLst>
        </c:ser>
        <c:dLbls>
          <c:showLegendKey val="0"/>
          <c:showVal val="0"/>
          <c:showCatName val="0"/>
          <c:showSerName val="0"/>
          <c:showPercent val="0"/>
          <c:showBubbleSize val="0"/>
        </c:dLbls>
        <c:gapWidth val="219"/>
        <c:overlap val="-27"/>
        <c:axId val="736684688"/>
        <c:axId val="736682528"/>
      </c:barChart>
      <c:catAx>
        <c:axId val="736684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Treatment</a:t>
                </a:r>
              </a:p>
            </c:rich>
          </c:tx>
          <c:layout>
            <c:manualLayout>
              <c:xMode val="edge"/>
              <c:yMode val="edge"/>
              <c:x val="0.88188924404251434"/>
              <c:y val="0.240531042561499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6682528"/>
        <c:crosses val="autoZero"/>
        <c:auto val="1"/>
        <c:lblAlgn val="ctr"/>
        <c:lblOffset val="100"/>
        <c:noMultiLvlLbl val="0"/>
      </c:catAx>
      <c:valAx>
        <c:axId val="7366825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Hydraulic_conductivity </a:t>
                </a:r>
                <a:r>
                  <a:rPr lang="fr-SN" baseline="0">
                    <a:solidFill>
                      <a:sysClr val="windowText" lastClr="000000"/>
                    </a:solidFill>
                    <a:latin typeface="Arial" panose="020B0604020202020204" pitchFamily="34" charset="0"/>
                    <a:cs typeface="Arial" panose="020B0604020202020204" pitchFamily="34" charset="0"/>
                  </a:rPr>
                  <a:t>(m/s)</a:t>
                </a:r>
                <a:endParaRPr lang="fr-SN">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100109820411836E-2"/>
              <c:y val="0.145918209240811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6684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[Classeur3]Feuil15!Tableau croisé dynamique34</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Feuil15!$B$3:$B$4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Feuil15!$B$5:$B$13</c:f>
              <c:numCache>
                <c:formatCode>General</c:formatCode>
                <c:ptCount val="6"/>
                <c:pt idx="0">
                  <c:v>0.7</c:v>
                </c:pt>
                <c:pt idx="1">
                  <c:v>1.4</c:v>
                </c:pt>
                <c:pt idx="2">
                  <c:v>1.8</c:v>
                </c:pt>
                <c:pt idx="3">
                  <c:v>1.04</c:v>
                </c:pt>
                <c:pt idx="4">
                  <c:v>1.6</c:v>
                </c:pt>
                <c:pt idx="5">
                  <c:v>1.99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200E-4605-A398-DD8F6F3C823C}"/>
            </c:ext>
          </c:extLst>
        </c:ser>
        <c:ser>
          <c:idx val="1"/>
          <c:order val="1"/>
          <c:tx>
            <c:strRef>
              <c:f>Feuil15!$C$3:$C$4</c:f>
              <c:strCache>
                <c:ptCount val="1"/>
                <c:pt idx="0">
                  <c:v>Off10</c:v>
                </c:pt>
              </c:strCache>
            </c:strRef>
          </c:tx>
          <c:spPr>
            <a:pattFill prst="pct3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Feuil15!$C$5:$C$13</c:f>
              <c:numCache>
                <c:formatCode>General</c:formatCode>
                <c:ptCount val="6"/>
                <c:pt idx="0">
                  <c:v>0.7</c:v>
                </c:pt>
                <c:pt idx="1">
                  <c:v>1.5</c:v>
                </c:pt>
                <c:pt idx="2">
                  <c:v>1.7</c:v>
                </c:pt>
                <c:pt idx="3">
                  <c:v>1.04</c:v>
                </c:pt>
                <c:pt idx="4">
                  <c:v>1.3</c:v>
                </c:pt>
                <c:pt idx="5">
                  <c:v>1.7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200E-4605-A398-DD8F6F3C823C}"/>
            </c:ext>
          </c:extLst>
        </c:ser>
        <c:ser>
          <c:idx val="2"/>
          <c:order val="2"/>
          <c:tx>
            <c:strRef>
              <c:f>Feuil15!$D$3:$D$4</c:f>
              <c:strCache>
                <c:ptCount val="1"/>
                <c:pt idx="0">
                  <c:v>Off15</c:v>
                </c:pt>
              </c:strCache>
            </c:strRef>
          </c:tx>
          <c:spPr>
            <a:pattFill prst="pct6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Feuil15!$D$5:$D$13</c:f>
              <c:numCache>
                <c:formatCode>General</c:formatCode>
                <c:ptCount val="6"/>
                <c:pt idx="0">
                  <c:v>0.7</c:v>
                </c:pt>
                <c:pt idx="1">
                  <c:v>1.28</c:v>
                </c:pt>
                <c:pt idx="2">
                  <c:v>1.6</c:v>
                </c:pt>
                <c:pt idx="3">
                  <c:v>1.04</c:v>
                </c:pt>
                <c:pt idx="4">
                  <c:v>1.2</c:v>
                </c:pt>
                <c:pt idx="5">
                  <c:v>1.8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200E-4605-A398-DD8F6F3C823C}"/>
            </c:ext>
          </c:extLst>
        </c:ser>
        <c:ser>
          <c:idx val="3"/>
          <c:order val="3"/>
          <c:tx>
            <c:strRef>
              <c:f>Feuil15!$E$3:$E$4</c:f>
              <c:strCache>
                <c:ptCount val="1"/>
                <c:pt idx="0">
                  <c:v>Lab20</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Feuil15!$E$5:$E$13</c:f>
              <c:numCache>
                <c:formatCode>General</c:formatCode>
                <c:ptCount val="6"/>
                <c:pt idx="0">
                  <c:v>0.7</c:v>
                </c:pt>
                <c:pt idx="1">
                  <c:v>1.34</c:v>
                </c:pt>
                <c:pt idx="2">
                  <c:v>1.35</c:v>
                </c:pt>
                <c:pt idx="3">
                  <c:v>1.04</c:v>
                </c:pt>
                <c:pt idx="4">
                  <c:v>1.7</c:v>
                </c:pt>
                <c:pt idx="5">
                  <c:v>2.6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200E-4605-A398-DD8F6F3C823C}"/>
            </c:ext>
          </c:extLst>
        </c:ser>
        <c:ser>
          <c:idx val="4"/>
          <c:order val="4"/>
          <c:tx>
            <c:strRef>
              <c:f>Feuil15!$F$3:$F$4</c:f>
              <c:strCache>
                <c:ptCount val="1"/>
                <c:pt idx="0">
                  <c:v>Lab30</c:v>
                </c:pt>
              </c:strCache>
            </c:strRef>
          </c:tx>
          <c:spPr>
            <a:pattFill prst="pct7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Feuil15!$F$5:$F$13</c:f>
              <c:numCache>
                <c:formatCode>General</c:formatCode>
                <c:ptCount val="6"/>
                <c:pt idx="0">
                  <c:v>0.7</c:v>
                </c:pt>
                <c:pt idx="1">
                  <c:v>1.1599999999999999</c:v>
                </c:pt>
                <c:pt idx="2">
                  <c:v>1.22</c:v>
                </c:pt>
                <c:pt idx="3">
                  <c:v>1.04</c:v>
                </c:pt>
                <c:pt idx="4">
                  <c:v>1.33</c:v>
                </c:pt>
                <c:pt idx="5">
                  <c:v>1.8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200E-4605-A398-DD8F6F3C823C}"/>
            </c:ext>
          </c:extLst>
        </c:ser>
        <c:ser>
          <c:idx val="5"/>
          <c:order val="5"/>
          <c:tx>
            <c:strRef>
              <c:f>Feuil15!$G$3:$G$4</c:f>
              <c:strCache>
                <c:ptCount val="1"/>
                <c:pt idx="0">
                  <c:v>Lab40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Feuil15!$G$5:$G$13</c:f>
              <c:numCache>
                <c:formatCode>General</c:formatCode>
                <c:ptCount val="6"/>
                <c:pt idx="0">
                  <c:v>0.7</c:v>
                </c:pt>
                <c:pt idx="1">
                  <c:v>1.26</c:v>
                </c:pt>
                <c:pt idx="2">
                  <c:v>1.25</c:v>
                </c:pt>
                <c:pt idx="3">
                  <c:v>1.04</c:v>
                </c:pt>
                <c:pt idx="4">
                  <c:v>1.5</c:v>
                </c:pt>
                <c:pt idx="5">
                  <c:v>1.8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200E-4605-A398-DD8F6F3C823C}"/>
            </c:ext>
          </c:extLst>
        </c:ser>
        <c:dLbls>
          <c:showLegendKey val="0"/>
          <c:showVal val="0"/>
          <c:showCatName val="0"/>
          <c:showSerName val="0"/>
          <c:showPercent val="0"/>
          <c:showBubbleSize val="0"/>
        </c:dLbls>
        <c:gapWidth val="219"/>
        <c:overlap val="-27"/>
        <c:axId val="1224950496"/>
        <c:axId val="1224952656"/>
      </c:barChart>
      <c:catAx>
        <c:axId val="1224950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Treatment</a:t>
                </a:r>
              </a:p>
            </c:rich>
          </c:tx>
          <c:layout>
            <c:manualLayout>
              <c:xMode val="edge"/>
              <c:yMode val="edge"/>
              <c:x val="0.8728798333198039"/>
              <c:y val="0.241203356622675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4952656"/>
        <c:crosses val="autoZero"/>
        <c:auto val="1"/>
        <c:lblAlgn val="ctr"/>
        <c:lblOffset val="100"/>
        <c:noMultiLvlLbl val="0"/>
      </c:catAx>
      <c:valAx>
        <c:axId val="12249526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baseline="0">
                    <a:solidFill>
                      <a:sysClr val="windowText" lastClr="000000"/>
                    </a:solidFill>
                    <a:latin typeface="Arial" panose="020B0604020202020204" pitchFamily="34" charset="0"/>
                    <a:cs typeface="Arial" panose="020B0604020202020204" pitchFamily="34" charset="0"/>
                  </a:rPr>
                  <a:t>oraganic_material%</a:t>
                </a:r>
                <a:endParaRPr lang="fr-SN">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3888888888888888E-2"/>
              <c:y val="0.155111913094196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4950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[Classeur3]Feuil17!Tableau croisé dynamique35</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Feuil17!$B$3:$B$4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Feuil17!$B$5:$B$13</c:f>
              <c:numCache>
                <c:formatCode>General</c:formatCode>
                <c:ptCount val="6"/>
                <c:pt idx="0">
                  <c:v>18</c:v>
                </c:pt>
                <c:pt idx="1">
                  <c:v>12</c:v>
                </c:pt>
                <c:pt idx="2">
                  <c:v>13.5</c:v>
                </c:pt>
                <c:pt idx="3">
                  <c:v>25.03</c:v>
                </c:pt>
                <c:pt idx="4">
                  <c:v>19.3</c:v>
                </c:pt>
                <c:pt idx="5">
                  <c:v>20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AB3E-4273-821F-4BCF10B4076E}"/>
            </c:ext>
          </c:extLst>
        </c:ser>
        <c:ser>
          <c:idx val="1"/>
          <c:order val="1"/>
          <c:tx>
            <c:strRef>
              <c:f>Feuil17!$C$3:$C$4</c:f>
              <c:strCache>
                <c:ptCount val="1"/>
                <c:pt idx="0">
                  <c:v>Off10</c:v>
                </c:pt>
              </c:strCache>
            </c:strRef>
          </c:tx>
          <c:spPr>
            <a:pattFill prst="pct3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Feuil17!$C$5:$C$13</c:f>
              <c:numCache>
                <c:formatCode>General</c:formatCode>
                <c:ptCount val="6"/>
                <c:pt idx="0">
                  <c:v>18</c:v>
                </c:pt>
                <c:pt idx="1">
                  <c:v>14</c:v>
                </c:pt>
                <c:pt idx="2">
                  <c:v>11</c:v>
                </c:pt>
                <c:pt idx="3">
                  <c:v>25.03</c:v>
                </c:pt>
                <c:pt idx="4">
                  <c:v>16</c:v>
                </c:pt>
                <c:pt idx="5">
                  <c:v>16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AB3E-4273-821F-4BCF10B4076E}"/>
            </c:ext>
          </c:extLst>
        </c:ser>
        <c:ser>
          <c:idx val="2"/>
          <c:order val="2"/>
          <c:tx>
            <c:strRef>
              <c:f>Feuil17!$D$3:$D$4</c:f>
              <c:strCache>
                <c:ptCount val="1"/>
                <c:pt idx="0">
                  <c:v>Off15</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Feuil17!$D$5:$D$13</c:f>
              <c:numCache>
                <c:formatCode>General</c:formatCode>
                <c:ptCount val="6"/>
                <c:pt idx="0">
                  <c:v>18</c:v>
                </c:pt>
                <c:pt idx="1">
                  <c:v>12</c:v>
                </c:pt>
                <c:pt idx="2">
                  <c:v>12</c:v>
                </c:pt>
                <c:pt idx="3">
                  <c:v>25.03</c:v>
                </c:pt>
                <c:pt idx="4">
                  <c:v>21</c:v>
                </c:pt>
                <c:pt idx="5">
                  <c:v>21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AB3E-4273-821F-4BCF10B4076E}"/>
            </c:ext>
          </c:extLst>
        </c:ser>
        <c:ser>
          <c:idx val="3"/>
          <c:order val="3"/>
          <c:tx>
            <c:strRef>
              <c:f>Feuil17!$E$3:$E$4</c:f>
              <c:strCache>
                <c:ptCount val="1"/>
                <c:pt idx="0">
                  <c:v>Lab20</c:v>
                </c:pt>
              </c:strCache>
            </c:strRef>
          </c:tx>
          <c:spPr>
            <a:pattFill prst="pct6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Feuil17!$E$5:$E$13</c:f>
              <c:numCache>
                <c:formatCode>General</c:formatCode>
                <c:ptCount val="6"/>
                <c:pt idx="0">
                  <c:v>18</c:v>
                </c:pt>
                <c:pt idx="1">
                  <c:v>13</c:v>
                </c:pt>
                <c:pt idx="2">
                  <c:v>12.5</c:v>
                </c:pt>
                <c:pt idx="3">
                  <c:v>25.03</c:v>
                </c:pt>
                <c:pt idx="4">
                  <c:v>14</c:v>
                </c:pt>
                <c:pt idx="5">
                  <c:v>14.2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AB3E-4273-821F-4BCF10B4076E}"/>
            </c:ext>
          </c:extLst>
        </c:ser>
        <c:ser>
          <c:idx val="4"/>
          <c:order val="4"/>
          <c:tx>
            <c:strRef>
              <c:f>Feuil17!$F$3:$F$4</c:f>
              <c:strCache>
                <c:ptCount val="1"/>
                <c:pt idx="0">
                  <c:v>Lab30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Feuil17!$F$5:$F$13</c:f>
              <c:numCache>
                <c:formatCode>General</c:formatCode>
                <c:ptCount val="6"/>
                <c:pt idx="0">
                  <c:v>18</c:v>
                </c:pt>
                <c:pt idx="1">
                  <c:v>18</c:v>
                </c:pt>
                <c:pt idx="2">
                  <c:v>16</c:v>
                </c:pt>
                <c:pt idx="3">
                  <c:v>25.03</c:v>
                </c:pt>
                <c:pt idx="4">
                  <c:v>17</c:v>
                </c:pt>
                <c:pt idx="5">
                  <c:v>17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AB3E-4273-821F-4BCF10B4076E}"/>
            </c:ext>
          </c:extLst>
        </c:ser>
        <c:ser>
          <c:idx val="5"/>
          <c:order val="5"/>
          <c:tx>
            <c:strRef>
              <c:f>Feuil17!$G$3:$G$4</c:f>
              <c:strCache>
                <c:ptCount val="1"/>
                <c:pt idx="0">
                  <c:v>Lab40</c:v>
                </c:pt>
              </c:strCache>
            </c:strRef>
          </c:tx>
          <c:spPr>
            <a:pattFill prst="pct7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Feuil17!$G$5:$G$13</c:f>
              <c:numCache>
                <c:formatCode>General</c:formatCode>
                <c:ptCount val="6"/>
                <c:pt idx="0">
                  <c:v>18</c:v>
                </c:pt>
                <c:pt idx="1">
                  <c:v>12.5</c:v>
                </c:pt>
                <c:pt idx="2">
                  <c:v>12.5</c:v>
                </c:pt>
                <c:pt idx="3">
                  <c:v>25.03</c:v>
                </c:pt>
                <c:pt idx="4">
                  <c:v>18.5</c:v>
                </c:pt>
                <c:pt idx="5">
                  <c:v>16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AB3E-4273-821F-4BCF10B4076E}"/>
            </c:ext>
          </c:extLst>
        </c:ser>
        <c:dLbls>
          <c:showLegendKey val="0"/>
          <c:showVal val="0"/>
          <c:showCatName val="0"/>
          <c:showSerName val="0"/>
          <c:showPercent val="0"/>
          <c:showBubbleSize val="0"/>
        </c:dLbls>
        <c:gapWidth val="219"/>
        <c:overlap val="-27"/>
        <c:axId val="697565008"/>
        <c:axId val="697561768"/>
      </c:barChart>
      <c:catAx>
        <c:axId val="6975650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SN">
                    <a:solidFill>
                      <a:sysClr val="windowText" lastClr="000000"/>
                    </a:solidFill>
                    <a:latin typeface="Times New Roman" panose="02020603050405020304" pitchFamily="18" charset="0"/>
                    <a:cs typeface="Times New Roman" panose="02020603050405020304" pitchFamily="18" charset="0"/>
                  </a:rPr>
                  <a:t>Treatment</a:t>
                </a:r>
              </a:p>
            </c:rich>
          </c:tx>
          <c:layout>
            <c:manualLayout>
              <c:xMode val="edge"/>
              <c:yMode val="edge"/>
              <c:x val="0.8719987605715952"/>
              <c:y val="0.2264378936104061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61768"/>
        <c:crosses val="autoZero"/>
        <c:auto val="1"/>
        <c:lblAlgn val="ctr"/>
        <c:lblOffset val="100"/>
        <c:noMultiLvlLbl val="0"/>
      </c:catAx>
      <c:valAx>
        <c:axId val="6975617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SN">
                    <a:solidFill>
                      <a:sysClr val="windowText" lastClr="000000"/>
                    </a:solidFill>
                    <a:latin typeface="Times New Roman" panose="02020603050405020304" pitchFamily="18" charset="0"/>
                    <a:cs typeface="Times New Roman" panose="02020603050405020304" pitchFamily="18" charset="0"/>
                  </a:rPr>
                  <a:t>C/N</a:t>
                </a:r>
              </a:p>
            </c:rich>
          </c:tx>
          <c:layout>
            <c:manualLayout>
              <c:xMode val="edge"/>
              <c:yMode val="edge"/>
              <c:x val="1.9444444444444445E-2"/>
              <c:y val="0.306905803441236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65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[Classeur3]Feuil19!Tableau croisé dynamique36</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Feuil19!$B$3:$B$4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Feuil19!$B$5:$B$13</c:f>
              <c:numCache>
                <c:formatCode>General</c:formatCode>
                <c:ptCount val="6"/>
                <c:pt idx="0">
                  <c:v>1</c:v>
                </c:pt>
                <c:pt idx="1">
                  <c:v>1.7</c:v>
                </c:pt>
                <c:pt idx="2">
                  <c:v>2.5</c:v>
                </c:pt>
                <c:pt idx="3">
                  <c:v>1.1000000000000001</c:v>
                </c:pt>
                <c:pt idx="4">
                  <c:v>1.38</c:v>
                </c:pt>
                <c:pt idx="5">
                  <c:v>1.9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98AF-4CC3-B1FB-86FAEB50FB85}"/>
            </c:ext>
          </c:extLst>
        </c:ser>
        <c:ser>
          <c:idx val="1"/>
          <c:order val="1"/>
          <c:tx>
            <c:strRef>
              <c:f>Feuil19!$C$3:$C$4</c:f>
              <c:strCache>
                <c:ptCount val="1"/>
                <c:pt idx="0">
                  <c:v>Off10</c:v>
                </c:pt>
              </c:strCache>
            </c:strRef>
          </c:tx>
          <c:spPr>
            <a:pattFill prst="pct3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Feuil19!$C$5:$C$13</c:f>
              <c:numCache>
                <c:formatCode>General</c:formatCode>
                <c:ptCount val="6"/>
                <c:pt idx="0">
                  <c:v>1</c:v>
                </c:pt>
                <c:pt idx="1">
                  <c:v>1.1000000000000001</c:v>
                </c:pt>
                <c:pt idx="2">
                  <c:v>1.51</c:v>
                </c:pt>
                <c:pt idx="3">
                  <c:v>1.1000000000000001</c:v>
                </c:pt>
                <c:pt idx="4">
                  <c:v>1.7</c:v>
                </c:pt>
                <c:pt idx="5">
                  <c:v>2.4900000000000002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98AF-4CC3-B1FB-86FAEB50FB85}"/>
            </c:ext>
          </c:extLst>
        </c:ser>
        <c:ser>
          <c:idx val="2"/>
          <c:order val="2"/>
          <c:tx>
            <c:strRef>
              <c:f>Feuil19!$D$3:$D$4</c:f>
              <c:strCache>
                <c:ptCount val="1"/>
                <c:pt idx="0">
                  <c:v>Off15</c:v>
                </c:pt>
              </c:strCache>
            </c:strRef>
          </c:tx>
          <c:spPr>
            <a:pattFill prst="pct6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Feuil19!$D$5:$D$13</c:f>
              <c:numCache>
                <c:formatCode>General</c:formatCode>
                <c:ptCount val="6"/>
                <c:pt idx="0">
                  <c:v>1</c:v>
                </c:pt>
                <c:pt idx="1">
                  <c:v>1.4</c:v>
                </c:pt>
                <c:pt idx="2">
                  <c:v>1.7</c:v>
                </c:pt>
                <c:pt idx="3">
                  <c:v>1.1000000000000001</c:v>
                </c:pt>
                <c:pt idx="4">
                  <c:v>1.2</c:v>
                </c:pt>
                <c:pt idx="5">
                  <c:v>1.51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98AF-4CC3-B1FB-86FAEB50FB85}"/>
            </c:ext>
          </c:extLst>
        </c:ser>
        <c:ser>
          <c:idx val="3"/>
          <c:order val="3"/>
          <c:tx>
            <c:strRef>
              <c:f>Feuil19!$E$3:$E$4</c:f>
              <c:strCache>
                <c:ptCount val="1"/>
                <c:pt idx="0">
                  <c:v>Lab20</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Feuil19!$E$5:$E$13</c:f>
              <c:numCache>
                <c:formatCode>General</c:formatCode>
                <c:ptCount val="6"/>
                <c:pt idx="0">
                  <c:v>1</c:v>
                </c:pt>
                <c:pt idx="1">
                  <c:v>3.1</c:v>
                </c:pt>
                <c:pt idx="2">
                  <c:v>4.4000000000000004</c:v>
                </c:pt>
                <c:pt idx="3">
                  <c:v>1.1000000000000001</c:v>
                </c:pt>
                <c:pt idx="4">
                  <c:v>1.6</c:v>
                </c:pt>
                <c:pt idx="5">
                  <c:v>2.2999999999999998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98AF-4CC3-B1FB-86FAEB50FB85}"/>
            </c:ext>
          </c:extLst>
        </c:ser>
        <c:ser>
          <c:idx val="4"/>
          <c:order val="4"/>
          <c:tx>
            <c:strRef>
              <c:f>Feuil19!$F$3:$F$4</c:f>
              <c:strCache>
                <c:ptCount val="1"/>
                <c:pt idx="0">
                  <c:v>Lab30</c:v>
                </c:pt>
              </c:strCache>
            </c:strRef>
          </c:tx>
          <c:spPr>
            <a:pattFill prst="pct7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Feuil19!$F$5:$F$13</c:f>
              <c:numCache>
                <c:formatCode>General</c:formatCode>
                <c:ptCount val="6"/>
                <c:pt idx="0">
                  <c:v>1</c:v>
                </c:pt>
                <c:pt idx="1">
                  <c:v>3.3</c:v>
                </c:pt>
                <c:pt idx="2">
                  <c:v>4.3</c:v>
                </c:pt>
                <c:pt idx="3">
                  <c:v>1.1000000000000001</c:v>
                </c:pt>
                <c:pt idx="4">
                  <c:v>1.55</c:v>
                </c:pt>
                <c:pt idx="5">
                  <c:v>2.0099999999999998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98AF-4CC3-B1FB-86FAEB50FB85}"/>
            </c:ext>
          </c:extLst>
        </c:ser>
        <c:ser>
          <c:idx val="5"/>
          <c:order val="5"/>
          <c:tx>
            <c:strRef>
              <c:f>Feuil19!$G$3:$G$4</c:f>
              <c:strCache>
                <c:ptCount val="1"/>
                <c:pt idx="0">
                  <c:v>Lab40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Feuil19!$G$5:$G$13</c:f>
              <c:numCache>
                <c:formatCode>General</c:formatCode>
                <c:ptCount val="6"/>
                <c:pt idx="0">
                  <c:v>1</c:v>
                </c:pt>
                <c:pt idx="1">
                  <c:v>3.4</c:v>
                </c:pt>
                <c:pt idx="2">
                  <c:v>3.8</c:v>
                </c:pt>
                <c:pt idx="3">
                  <c:v>1.1000000000000001</c:v>
                </c:pt>
                <c:pt idx="4">
                  <c:v>1.6</c:v>
                </c:pt>
                <c:pt idx="5">
                  <c:v>2.42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98AF-4CC3-B1FB-86FAEB50FB85}"/>
            </c:ext>
          </c:extLst>
        </c:ser>
        <c:dLbls>
          <c:showLegendKey val="0"/>
          <c:showVal val="0"/>
          <c:showCatName val="0"/>
          <c:showSerName val="0"/>
          <c:showPercent val="0"/>
          <c:showBubbleSize val="0"/>
        </c:dLbls>
        <c:gapWidth val="219"/>
        <c:overlap val="-27"/>
        <c:axId val="804947496"/>
        <c:axId val="785794560"/>
      </c:barChart>
      <c:catAx>
        <c:axId val="804947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SN">
                    <a:solidFill>
                      <a:sysClr val="windowText" lastClr="000000"/>
                    </a:solidFill>
                    <a:latin typeface="Times New Roman" panose="02020603050405020304" pitchFamily="18" charset="0"/>
                    <a:cs typeface="Times New Roman" panose="02020603050405020304" pitchFamily="18" charset="0"/>
                  </a:rPr>
                  <a:t>Treatment</a:t>
                </a:r>
              </a:p>
            </c:rich>
          </c:tx>
          <c:layout>
            <c:manualLayout>
              <c:xMode val="edge"/>
              <c:yMode val="edge"/>
              <c:x val="0.86714770409796338"/>
              <c:y val="0.2286458524079839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5794560"/>
        <c:crosses val="autoZero"/>
        <c:auto val="1"/>
        <c:lblAlgn val="ctr"/>
        <c:lblOffset val="100"/>
        <c:noMultiLvlLbl val="0"/>
      </c:catAx>
      <c:valAx>
        <c:axId val="7857945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SN">
                    <a:solidFill>
                      <a:sysClr val="windowText" lastClr="000000"/>
                    </a:solidFill>
                    <a:latin typeface="Times New Roman" panose="02020603050405020304" pitchFamily="18" charset="0"/>
                    <a:cs typeface="Times New Roman" panose="02020603050405020304" pitchFamily="18" charset="0"/>
                  </a:rPr>
                  <a:t>Phospore_assimilable </a:t>
                </a:r>
                <a:r>
                  <a:rPr lang="fr-SN" baseline="0">
                    <a:solidFill>
                      <a:sysClr val="windowText" lastClr="000000"/>
                    </a:solidFill>
                    <a:latin typeface="Times New Roman" panose="02020603050405020304" pitchFamily="18" charset="0"/>
                    <a:cs typeface="Times New Roman" panose="02020603050405020304" pitchFamily="18" charset="0"/>
                  </a:rPr>
                  <a:t>(Pppm)</a:t>
                </a:r>
                <a:endParaRPr lang="fr-SN">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888888888888888E-2"/>
              <c:y val="0.114720034995625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04947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cdr:x>
      <cdr:y>0.89583</cdr:y>
    </cdr:from>
    <cdr:to>
      <cdr:x>0.6</cdr:x>
      <cdr:y>0.98264</cdr:y>
    </cdr:to>
    <cdr:sp macro="" textlink="">
      <cdr:nvSpPr>
        <cdr:cNvPr id="2" name="Rectangle 1">
          <a:extLst xmlns:a="http://schemas.openxmlformats.org/drawingml/2006/main">
            <a:ext uri="{FF2B5EF4-FFF2-40B4-BE49-F238E27FC236}">
              <a16:creationId xmlns:a16="http://schemas.microsoft.com/office/drawing/2014/main" id="{BC22D361-6E00-D09C-967D-D84FB8DF91A3}"/>
            </a:ext>
          </a:extLst>
        </cdr:cNvPr>
        <cdr:cNvSpPr/>
      </cdr:nvSpPr>
      <cdr:spPr>
        <a:xfrm xmlns:a="http://schemas.openxmlformats.org/drawingml/2006/main">
          <a:off x="1828785" y="2457450"/>
          <a:ext cx="914400" cy="238119"/>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200">
              <a:solidFill>
                <a:sysClr val="windowText" lastClr="000000"/>
              </a:solidFill>
              <a:latin typeface="Times New Roman" panose="02020603050405020304" pitchFamily="18" charset="0"/>
              <a:cs typeface="Times New Roman" panose="02020603050405020304" pitchFamily="18" charset="0"/>
            </a:rPr>
            <a:t>Treatments</a:t>
          </a:r>
        </a:p>
      </cdr:txBody>
    </cdr:sp>
  </cdr:relSizeAnchor>
</c:userShapes>
</file>

<file path=word/drawings/drawing2.xml><?xml version="1.0" encoding="utf-8"?>
<c:userShapes xmlns:c="http://schemas.openxmlformats.org/drawingml/2006/chart">
  <cdr:relSizeAnchor xmlns:cdr="http://schemas.openxmlformats.org/drawingml/2006/chartDrawing">
    <cdr:from>
      <cdr:x>0.08404</cdr:x>
      <cdr:y>0.42716</cdr:y>
    </cdr:from>
    <cdr:to>
      <cdr:x>0.14381</cdr:x>
      <cdr:y>0.54064</cdr:y>
    </cdr:to>
    <cdr:sp macro="" textlink="">
      <cdr:nvSpPr>
        <cdr:cNvPr id="3" name="Rectangle 2"/>
        <cdr:cNvSpPr/>
      </cdr:nvSpPr>
      <cdr:spPr>
        <a:xfrm xmlns:a="http://schemas.openxmlformats.org/drawingml/2006/main" rot="16200000">
          <a:off x="466260" y="14323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0.10394</cdr:x>
      <cdr:y>0.42429</cdr:y>
    </cdr:from>
    <cdr:to>
      <cdr:x>0.16371</cdr:x>
      <cdr:y>0.53777</cdr:y>
    </cdr:to>
    <cdr:sp macro="" textlink="">
      <cdr:nvSpPr>
        <cdr:cNvPr id="4" name="Rectangle 3"/>
        <cdr:cNvSpPr/>
      </cdr:nvSpPr>
      <cdr:spPr>
        <a:xfrm xmlns:a="http://schemas.openxmlformats.org/drawingml/2006/main" rot="16200000">
          <a:off x="580560" y="142280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0.12218</cdr:x>
      <cdr:y>0.43291</cdr:y>
    </cdr:from>
    <cdr:to>
      <cdr:x>0.18196</cdr:x>
      <cdr:y>0.54639</cdr:y>
    </cdr:to>
    <cdr:sp macro="" textlink="">
      <cdr:nvSpPr>
        <cdr:cNvPr id="5" name="Rectangle 4"/>
        <cdr:cNvSpPr/>
      </cdr:nvSpPr>
      <cdr:spPr>
        <a:xfrm xmlns:a="http://schemas.openxmlformats.org/drawingml/2006/main" rot="16200000">
          <a:off x="685335" y="145137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0.13876</cdr:x>
      <cdr:y>0.44441</cdr:y>
    </cdr:from>
    <cdr:to>
      <cdr:x>0.19854</cdr:x>
      <cdr:y>0.55788</cdr:y>
    </cdr:to>
    <cdr:sp macro="" textlink="">
      <cdr:nvSpPr>
        <cdr:cNvPr id="6" name="Rectangle 5"/>
        <cdr:cNvSpPr/>
      </cdr:nvSpPr>
      <cdr:spPr>
        <a:xfrm xmlns:a="http://schemas.openxmlformats.org/drawingml/2006/main" rot="16200000">
          <a:off x="780585" y="148947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0.15866</cdr:x>
      <cdr:y>0.43866</cdr:y>
    </cdr:from>
    <cdr:to>
      <cdr:x>0.21844</cdr:x>
      <cdr:y>0.55214</cdr:y>
    </cdr:to>
    <cdr:sp macro="" textlink="">
      <cdr:nvSpPr>
        <cdr:cNvPr id="7" name="Rectangle 6"/>
        <cdr:cNvSpPr/>
      </cdr:nvSpPr>
      <cdr:spPr>
        <a:xfrm xmlns:a="http://schemas.openxmlformats.org/drawingml/2006/main" rot="16200000">
          <a:off x="894885" y="14704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0.1769</cdr:x>
      <cdr:y>0.42142</cdr:y>
    </cdr:from>
    <cdr:to>
      <cdr:x>0.23668</cdr:x>
      <cdr:y>0.5349</cdr:y>
    </cdr:to>
    <cdr:sp macro="" textlink="">
      <cdr:nvSpPr>
        <cdr:cNvPr id="8" name="Rectangle 7"/>
        <cdr:cNvSpPr/>
      </cdr:nvSpPr>
      <cdr:spPr>
        <a:xfrm xmlns:a="http://schemas.openxmlformats.org/drawingml/2006/main" rot="16200000">
          <a:off x="999660" y="141327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0.21836</cdr:x>
      <cdr:y>0.21739</cdr:y>
    </cdr:from>
    <cdr:to>
      <cdr:x>0.27814</cdr:x>
      <cdr:y>0.33087</cdr:y>
    </cdr:to>
    <cdr:sp macro="" textlink="">
      <cdr:nvSpPr>
        <cdr:cNvPr id="9" name="Rectangle 8"/>
        <cdr:cNvSpPr/>
      </cdr:nvSpPr>
      <cdr:spPr>
        <a:xfrm xmlns:a="http://schemas.openxmlformats.org/drawingml/2006/main" rot="16200000">
          <a:off x="1237785" y="737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0.23218</cdr:x>
      <cdr:y>0.2787</cdr:y>
    </cdr:from>
    <cdr:to>
      <cdr:x>0.29196</cdr:x>
      <cdr:y>0.39218</cdr:y>
    </cdr:to>
    <cdr:sp macro="" textlink="">
      <cdr:nvSpPr>
        <cdr:cNvPr id="10" name="Rectangle 9"/>
        <cdr:cNvSpPr/>
      </cdr:nvSpPr>
      <cdr:spPr>
        <a:xfrm xmlns:a="http://schemas.openxmlformats.org/drawingml/2006/main" rot="16200000">
          <a:off x="1317161" y="9402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0.25043</cdr:x>
      <cdr:y>0.24421</cdr:y>
    </cdr:from>
    <cdr:to>
      <cdr:x>0.3102</cdr:x>
      <cdr:y>0.35769</cdr:y>
    </cdr:to>
    <cdr:sp macro="" textlink="">
      <cdr:nvSpPr>
        <cdr:cNvPr id="11" name="Rectangle 10"/>
        <cdr:cNvSpPr/>
      </cdr:nvSpPr>
      <cdr:spPr>
        <a:xfrm xmlns:a="http://schemas.openxmlformats.org/drawingml/2006/main" rot="16200000">
          <a:off x="1421936" y="8259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0.26535</cdr:x>
      <cdr:y>0.28157</cdr:y>
    </cdr:from>
    <cdr:to>
      <cdr:x>0.32513</cdr:x>
      <cdr:y>0.39505</cdr:y>
    </cdr:to>
    <cdr:sp macro="" textlink="">
      <cdr:nvSpPr>
        <cdr:cNvPr id="12" name="Rectangle 11"/>
        <cdr:cNvSpPr/>
      </cdr:nvSpPr>
      <cdr:spPr>
        <a:xfrm xmlns:a="http://schemas.openxmlformats.org/drawingml/2006/main" rot="16200000">
          <a:off x="1507661" y="9497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0.28691</cdr:x>
      <cdr:y>0.26146</cdr:y>
    </cdr:from>
    <cdr:to>
      <cdr:x>0.34669</cdr:x>
      <cdr:y>0.37493</cdr:y>
    </cdr:to>
    <cdr:sp macro="" textlink="">
      <cdr:nvSpPr>
        <cdr:cNvPr id="13" name="Rectangle 12"/>
        <cdr:cNvSpPr/>
      </cdr:nvSpPr>
      <cdr:spPr>
        <a:xfrm xmlns:a="http://schemas.openxmlformats.org/drawingml/2006/main" rot="16200000">
          <a:off x="1631486" y="8830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0.30349</cdr:x>
      <cdr:y>0.12065</cdr:y>
    </cdr:from>
    <cdr:to>
      <cdr:x>0.36327</cdr:x>
      <cdr:y>0.23413</cdr:y>
    </cdr:to>
    <cdr:sp macro="" textlink="">
      <cdr:nvSpPr>
        <cdr:cNvPr id="14" name="Rectangle 13"/>
        <cdr:cNvSpPr/>
      </cdr:nvSpPr>
      <cdr:spPr>
        <a:xfrm xmlns:a="http://schemas.openxmlformats.org/drawingml/2006/main" rot="16200000">
          <a:off x="1726736" y="4163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0.34495</cdr:x>
      <cdr:y>0.06893</cdr:y>
    </cdr:from>
    <cdr:to>
      <cdr:x>0.40473</cdr:x>
      <cdr:y>0.18241</cdr:y>
    </cdr:to>
    <cdr:sp macro="" textlink="">
      <cdr:nvSpPr>
        <cdr:cNvPr id="15" name="Rectangle 14"/>
        <cdr:cNvSpPr/>
      </cdr:nvSpPr>
      <cdr:spPr>
        <a:xfrm xmlns:a="http://schemas.openxmlformats.org/drawingml/2006/main" rot="16200000">
          <a:off x="1964861" y="2448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0.36651</cdr:x>
      <cdr:y>0.19249</cdr:y>
    </cdr:from>
    <cdr:to>
      <cdr:x>0.42629</cdr:x>
      <cdr:y>0.30597</cdr:y>
    </cdr:to>
    <cdr:sp macro="" textlink="">
      <cdr:nvSpPr>
        <cdr:cNvPr id="16" name="Rectangle 15"/>
        <cdr:cNvSpPr/>
      </cdr:nvSpPr>
      <cdr:spPr>
        <a:xfrm xmlns:a="http://schemas.openxmlformats.org/drawingml/2006/main" rot="16200000">
          <a:off x="2088686" y="6544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0.37978</cdr:x>
      <cdr:y>0.16375</cdr:y>
    </cdr:from>
    <cdr:to>
      <cdr:x>0.43956</cdr:x>
      <cdr:y>0.27723</cdr:y>
    </cdr:to>
    <cdr:sp macro="" textlink="">
      <cdr:nvSpPr>
        <cdr:cNvPr id="17" name="Rectangle 16"/>
        <cdr:cNvSpPr/>
      </cdr:nvSpPr>
      <cdr:spPr>
        <a:xfrm xmlns:a="http://schemas.openxmlformats.org/drawingml/2006/main" rot="16200000">
          <a:off x="2164886" y="5592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0.39968</cdr:x>
      <cdr:y>0.15513</cdr:y>
    </cdr:from>
    <cdr:to>
      <cdr:x>0.45946</cdr:x>
      <cdr:y>0.26861</cdr:y>
    </cdr:to>
    <cdr:sp macro="" textlink="">
      <cdr:nvSpPr>
        <cdr:cNvPr id="18" name="Rectangle 17"/>
        <cdr:cNvSpPr/>
      </cdr:nvSpPr>
      <cdr:spPr>
        <a:xfrm xmlns:a="http://schemas.openxmlformats.org/drawingml/2006/main" rot="16200000">
          <a:off x="2279186" y="5306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0.41958</cdr:x>
      <cdr:y>0.16088</cdr:y>
    </cdr:from>
    <cdr:to>
      <cdr:x>0.47936</cdr:x>
      <cdr:y>0.27436</cdr:y>
    </cdr:to>
    <cdr:sp macro="" textlink="">
      <cdr:nvSpPr>
        <cdr:cNvPr id="19" name="Rectangle 18"/>
        <cdr:cNvSpPr/>
      </cdr:nvSpPr>
      <cdr:spPr>
        <a:xfrm xmlns:a="http://schemas.openxmlformats.org/drawingml/2006/main" rot="16200000">
          <a:off x="2393486" y="54968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0.43451</cdr:x>
      <cdr:y>0.01146</cdr:y>
    </cdr:from>
    <cdr:to>
      <cdr:x>0.49428</cdr:x>
      <cdr:y>0.12493</cdr:y>
    </cdr:to>
    <cdr:sp macro="" textlink="">
      <cdr:nvSpPr>
        <cdr:cNvPr id="20" name="Rectangle 19"/>
        <cdr:cNvSpPr/>
      </cdr:nvSpPr>
      <cdr:spPr>
        <a:xfrm xmlns:a="http://schemas.openxmlformats.org/drawingml/2006/main" rot="16200000">
          <a:off x="2479211" y="543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0.47928</cdr:x>
      <cdr:y>0.40226</cdr:y>
    </cdr:from>
    <cdr:to>
      <cdr:x>0.53906</cdr:x>
      <cdr:y>0.51574</cdr:y>
    </cdr:to>
    <cdr:sp macro="" textlink="">
      <cdr:nvSpPr>
        <cdr:cNvPr id="21" name="Rectangle 20"/>
        <cdr:cNvSpPr/>
      </cdr:nvSpPr>
      <cdr:spPr>
        <a:xfrm xmlns:a="http://schemas.openxmlformats.org/drawingml/2006/main" rot="16200000">
          <a:off x="2736386" y="13497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0.49421</cdr:x>
      <cdr:y>0.38502</cdr:y>
    </cdr:from>
    <cdr:to>
      <cdr:x>0.55398</cdr:x>
      <cdr:y>0.4985</cdr:y>
    </cdr:to>
    <cdr:sp macro="" textlink="">
      <cdr:nvSpPr>
        <cdr:cNvPr id="22" name="Rectangle 21"/>
        <cdr:cNvSpPr/>
      </cdr:nvSpPr>
      <cdr:spPr>
        <a:xfrm xmlns:a="http://schemas.openxmlformats.org/drawingml/2006/main" rot="16200000">
          <a:off x="2822111" y="12926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0.51079</cdr:x>
      <cdr:y>0.39939</cdr:y>
    </cdr:from>
    <cdr:to>
      <cdr:x>0.57057</cdr:x>
      <cdr:y>0.51287</cdr:y>
    </cdr:to>
    <cdr:sp macro="" textlink="">
      <cdr:nvSpPr>
        <cdr:cNvPr id="23" name="Rectangle 22"/>
        <cdr:cNvSpPr/>
      </cdr:nvSpPr>
      <cdr:spPr>
        <a:xfrm xmlns:a="http://schemas.openxmlformats.org/drawingml/2006/main" rot="16200000">
          <a:off x="2917361" y="13402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0.53235</cdr:x>
      <cdr:y>0.41663</cdr:y>
    </cdr:from>
    <cdr:to>
      <cdr:x>0.59213</cdr:x>
      <cdr:y>0.53011</cdr:y>
    </cdr:to>
    <cdr:sp macro="" textlink="">
      <cdr:nvSpPr>
        <cdr:cNvPr id="24" name="Rectangle 23"/>
        <cdr:cNvSpPr/>
      </cdr:nvSpPr>
      <cdr:spPr>
        <a:xfrm xmlns:a="http://schemas.openxmlformats.org/drawingml/2006/main" rot="16200000">
          <a:off x="3041186" y="13974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0.55059</cdr:x>
      <cdr:y>0.41375</cdr:y>
    </cdr:from>
    <cdr:to>
      <cdr:x>0.61037</cdr:x>
      <cdr:y>0.52723</cdr:y>
    </cdr:to>
    <cdr:sp macro="" textlink="">
      <cdr:nvSpPr>
        <cdr:cNvPr id="25" name="Rectangle 24"/>
        <cdr:cNvSpPr/>
      </cdr:nvSpPr>
      <cdr:spPr>
        <a:xfrm xmlns:a="http://schemas.openxmlformats.org/drawingml/2006/main" rot="16200000">
          <a:off x="3145961" y="13878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0.56552</cdr:x>
      <cdr:y>0.39077</cdr:y>
    </cdr:from>
    <cdr:to>
      <cdr:x>0.62529</cdr:x>
      <cdr:y>0.50424</cdr:y>
    </cdr:to>
    <cdr:sp macro="" textlink="">
      <cdr:nvSpPr>
        <cdr:cNvPr id="26" name="Rectangle 25"/>
        <cdr:cNvSpPr/>
      </cdr:nvSpPr>
      <cdr:spPr>
        <a:xfrm xmlns:a="http://schemas.openxmlformats.org/drawingml/2006/main" rot="16200000">
          <a:off x="3231686" y="13116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0.60864</cdr:x>
      <cdr:y>0.25283</cdr:y>
    </cdr:from>
    <cdr:to>
      <cdr:x>0.66841</cdr:x>
      <cdr:y>0.36631</cdr:y>
    </cdr:to>
    <cdr:sp macro="" textlink="">
      <cdr:nvSpPr>
        <cdr:cNvPr id="27" name="Rectangle 26"/>
        <cdr:cNvSpPr/>
      </cdr:nvSpPr>
      <cdr:spPr>
        <a:xfrm xmlns:a="http://schemas.openxmlformats.org/drawingml/2006/main" rot="16200000">
          <a:off x="3479336" y="8544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0.62854</cdr:x>
      <cdr:y>0.08617</cdr:y>
    </cdr:from>
    <cdr:to>
      <cdr:x>0.68831</cdr:x>
      <cdr:y>0.19965</cdr:y>
    </cdr:to>
    <cdr:sp macro="" textlink="">
      <cdr:nvSpPr>
        <cdr:cNvPr id="28" name="Rectangle 27"/>
        <cdr:cNvSpPr/>
      </cdr:nvSpPr>
      <cdr:spPr>
        <a:xfrm xmlns:a="http://schemas.openxmlformats.org/drawingml/2006/main" rot="16200000">
          <a:off x="3593636" y="3020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0.65009</cdr:x>
      <cdr:y>0.3218</cdr:y>
    </cdr:from>
    <cdr:to>
      <cdr:x>0.70987</cdr:x>
      <cdr:y>0.43528</cdr:y>
    </cdr:to>
    <cdr:sp macro="" textlink="">
      <cdr:nvSpPr>
        <cdr:cNvPr id="29" name="Rectangle 28"/>
        <cdr:cNvSpPr/>
      </cdr:nvSpPr>
      <cdr:spPr>
        <a:xfrm xmlns:a="http://schemas.openxmlformats.org/drawingml/2006/main" rot="16200000">
          <a:off x="3717461" y="10830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0.6617</cdr:x>
      <cdr:y>0.25571</cdr:y>
    </cdr:from>
    <cdr:to>
      <cdr:x>0.72148</cdr:x>
      <cdr:y>0.36919</cdr:y>
    </cdr:to>
    <cdr:sp macro="" textlink="">
      <cdr:nvSpPr>
        <cdr:cNvPr id="30" name="Rectangle 29"/>
        <cdr:cNvSpPr/>
      </cdr:nvSpPr>
      <cdr:spPr>
        <a:xfrm xmlns:a="http://schemas.openxmlformats.org/drawingml/2006/main" rot="16200000">
          <a:off x="3784136" y="8640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0.67995</cdr:x>
      <cdr:y>0.31318</cdr:y>
    </cdr:from>
    <cdr:to>
      <cdr:x>0.73972</cdr:x>
      <cdr:y>0.42666</cdr:y>
    </cdr:to>
    <cdr:sp macro="" textlink="">
      <cdr:nvSpPr>
        <cdr:cNvPr id="31" name="Rectangle 30"/>
        <cdr:cNvSpPr/>
      </cdr:nvSpPr>
      <cdr:spPr>
        <a:xfrm xmlns:a="http://schemas.openxmlformats.org/drawingml/2006/main" rot="16200000">
          <a:off x="3888911" y="10545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0.69819</cdr:x>
      <cdr:y>0.33042</cdr:y>
    </cdr:from>
    <cdr:to>
      <cdr:x>0.75796</cdr:x>
      <cdr:y>0.4439</cdr:y>
    </cdr:to>
    <cdr:sp macro="" textlink="">
      <cdr:nvSpPr>
        <cdr:cNvPr id="32" name="Rectangle 31"/>
        <cdr:cNvSpPr/>
      </cdr:nvSpPr>
      <cdr:spPr>
        <a:xfrm xmlns:a="http://schemas.openxmlformats.org/drawingml/2006/main" rot="16200000">
          <a:off x="3993686" y="11116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0.74131</cdr:x>
      <cdr:y>0.10054</cdr:y>
    </cdr:from>
    <cdr:to>
      <cdr:x>0.80108</cdr:x>
      <cdr:y>0.21401</cdr:y>
    </cdr:to>
    <cdr:sp macro="" textlink="">
      <cdr:nvSpPr>
        <cdr:cNvPr id="33" name="Rectangle 32"/>
        <cdr:cNvSpPr/>
      </cdr:nvSpPr>
      <cdr:spPr>
        <a:xfrm xmlns:a="http://schemas.openxmlformats.org/drawingml/2006/main" rot="16200000">
          <a:off x="4241336" y="3496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0.75955</cdr:x>
      <cdr:y>0.05456</cdr:y>
    </cdr:from>
    <cdr:to>
      <cdr:x>0.81932</cdr:x>
      <cdr:y>0.16804</cdr:y>
    </cdr:to>
    <cdr:sp macro="" textlink="">
      <cdr:nvSpPr>
        <cdr:cNvPr id="34" name="Rectangle 33"/>
        <cdr:cNvSpPr/>
      </cdr:nvSpPr>
      <cdr:spPr>
        <a:xfrm xmlns:a="http://schemas.openxmlformats.org/drawingml/2006/main" rot="16200000">
          <a:off x="4346111" y="1972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0.77945</cdr:x>
      <cdr:y>0.03444</cdr:y>
    </cdr:from>
    <cdr:to>
      <cdr:x>0.83923</cdr:x>
      <cdr:y>0.14792</cdr:y>
    </cdr:to>
    <cdr:sp macro="" textlink="">
      <cdr:nvSpPr>
        <cdr:cNvPr id="35" name="Rectangle 34"/>
        <cdr:cNvSpPr/>
      </cdr:nvSpPr>
      <cdr:spPr>
        <a:xfrm xmlns:a="http://schemas.openxmlformats.org/drawingml/2006/main" rot="16200000">
          <a:off x="4460411" y="1305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0.79603</cdr:x>
      <cdr:y>0.16088</cdr:y>
    </cdr:from>
    <cdr:to>
      <cdr:x>0.85581</cdr:x>
      <cdr:y>0.27436</cdr:y>
    </cdr:to>
    <cdr:sp macro="" textlink="">
      <cdr:nvSpPr>
        <cdr:cNvPr id="36" name="Rectangle 35"/>
        <cdr:cNvSpPr/>
      </cdr:nvSpPr>
      <cdr:spPr>
        <a:xfrm xmlns:a="http://schemas.openxmlformats.org/drawingml/2006/main" rot="16200000">
          <a:off x="4555661" y="5496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0.81262</cdr:x>
      <cdr:y>0.13502</cdr:y>
    </cdr:from>
    <cdr:to>
      <cdr:x>0.87239</cdr:x>
      <cdr:y>0.2485</cdr:y>
    </cdr:to>
    <cdr:sp macro="" textlink="">
      <cdr:nvSpPr>
        <cdr:cNvPr id="37" name="Rectangle 36"/>
        <cdr:cNvSpPr/>
      </cdr:nvSpPr>
      <cdr:spPr>
        <a:xfrm xmlns:a="http://schemas.openxmlformats.org/drawingml/2006/main" rot="16200000">
          <a:off x="4650911" y="4639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0.83417</cdr:x>
      <cdr:y>0.14077</cdr:y>
    </cdr:from>
    <cdr:to>
      <cdr:x>0.89395</cdr:x>
      <cdr:y>0.25424</cdr:y>
    </cdr:to>
    <cdr:sp macro="" textlink="">
      <cdr:nvSpPr>
        <cdr:cNvPr id="38" name="Rectangle 37"/>
        <cdr:cNvSpPr/>
      </cdr:nvSpPr>
      <cdr:spPr>
        <a:xfrm xmlns:a="http://schemas.openxmlformats.org/drawingml/2006/main" rot="16200000">
          <a:off x="4774736" y="483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userShapes>
</file>

<file path=word/drawings/drawing3.xml><?xml version="1.0" encoding="utf-8"?>
<c:userShapes xmlns:c="http://schemas.openxmlformats.org/drawingml/2006/chart">
  <cdr:relSizeAnchor xmlns:cdr="http://schemas.openxmlformats.org/drawingml/2006/chartDrawing">
    <cdr:from>
      <cdr:x>0.1028</cdr:x>
      <cdr:y>0.26476</cdr:y>
    </cdr:from>
    <cdr:to>
      <cdr:x>0.1656</cdr:x>
      <cdr:y>0.38778</cdr:y>
    </cdr:to>
    <cdr:sp macro="" textlink="">
      <cdr:nvSpPr>
        <cdr:cNvPr id="2" name="Rectangle 1"/>
        <cdr:cNvSpPr/>
      </cdr:nvSpPr>
      <cdr:spPr>
        <a:xfrm xmlns:a="http://schemas.openxmlformats.org/drawingml/2006/main" rot="16200000">
          <a:off x="545629" y="8259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0.1208</cdr:x>
      <cdr:y>0.26891</cdr:y>
    </cdr:from>
    <cdr:to>
      <cdr:x>0.1836</cdr:x>
      <cdr:y>0.39193</cdr:y>
    </cdr:to>
    <cdr:sp macro="" textlink="">
      <cdr:nvSpPr>
        <cdr:cNvPr id="3" name="Rectangle 2"/>
        <cdr:cNvSpPr/>
      </cdr:nvSpPr>
      <cdr:spPr>
        <a:xfrm xmlns:a="http://schemas.openxmlformats.org/drawingml/2006/main" rot="16200000">
          <a:off x="644055" y="8386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0.13822</cdr:x>
      <cdr:y>0.26891</cdr:y>
    </cdr:from>
    <cdr:to>
      <cdr:x>0.20102</cdr:x>
      <cdr:y>0.39193</cdr:y>
    </cdr:to>
    <cdr:sp macro="" textlink="">
      <cdr:nvSpPr>
        <cdr:cNvPr id="4" name="Rectangle 3"/>
        <cdr:cNvSpPr/>
      </cdr:nvSpPr>
      <cdr:spPr>
        <a:xfrm xmlns:a="http://schemas.openxmlformats.org/drawingml/2006/main" rot="16200000">
          <a:off x="739305" y="8386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0.15564</cdr:x>
      <cdr:y>0.26891</cdr:y>
    </cdr:from>
    <cdr:to>
      <cdr:x>0.21844</cdr:x>
      <cdr:y>0.39193</cdr:y>
    </cdr:to>
    <cdr:sp macro="" textlink="">
      <cdr:nvSpPr>
        <cdr:cNvPr id="5" name="Rectangle 4"/>
        <cdr:cNvSpPr/>
      </cdr:nvSpPr>
      <cdr:spPr>
        <a:xfrm xmlns:a="http://schemas.openxmlformats.org/drawingml/2006/main" rot="16200000">
          <a:off x="834555" y="8386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0.17307</cdr:x>
      <cdr:y>0.26891</cdr:y>
    </cdr:from>
    <cdr:to>
      <cdr:x>0.23586</cdr:x>
      <cdr:y>0.39193</cdr:y>
    </cdr:to>
    <cdr:sp macro="" textlink="">
      <cdr:nvSpPr>
        <cdr:cNvPr id="6" name="Rectangle 5"/>
        <cdr:cNvSpPr/>
      </cdr:nvSpPr>
      <cdr:spPr>
        <a:xfrm xmlns:a="http://schemas.openxmlformats.org/drawingml/2006/main" rot="16200000">
          <a:off x="929805" y="8386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0.19223</cdr:x>
      <cdr:y>0.26579</cdr:y>
    </cdr:from>
    <cdr:to>
      <cdr:x>0.25503</cdr:x>
      <cdr:y>0.38882</cdr:y>
    </cdr:to>
    <cdr:sp macro="" textlink="">
      <cdr:nvSpPr>
        <cdr:cNvPr id="7" name="Rectangle 6"/>
        <cdr:cNvSpPr/>
      </cdr:nvSpPr>
      <cdr:spPr>
        <a:xfrm xmlns:a="http://schemas.openxmlformats.org/drawingml/2006/main" rot="16200000">
          <a:off x="1034580" y="8290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0.22882</cdr:x>
      <cdr:y>0.29072</cdr:y>
    </cdr:from>
    <cdr:to>
      <cdr:x>0.29161</cdr:x>
      <cdr:y>0.41374</cdr:y>
    </cdr:to>
    <cdr:sp macro="" textlink="">
      <cdr:nvSpPr>
        <cdr:cNvPr id="8" name="Rectangle 7"/>
        <cdr:cNvSpPr/>
      </cdr:nvSpPr>
      <cdr:spPr>
        <a:xfrm xmlns:a="http://schemas.openxmlformats.org/drawingml/2006/main" rot="16200000">
          <a:off x="1234605" y="9052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0.24798</cdr:x>
      <cdr:y>0.27514</cdr:y>
    </cdr:from>
    <cdr:to>
      <cdr:x>0.31078</cdr:x>
      <cdr:y>0.39816</cdr:y>
    </cdr:to>
    <cdr:sp macro="" textlink="">
      <cdr:nvSpPr>
        <cdr:cNvPr id="9" name="Rectangle 8"/>
        <cdr:cNvSpPr/>
      </cdr:nvSpPr>
      <cdr:spPr>
        <a:xfrm xmlns:a="http://schemas.openxmlformats.org/drawingml/2006/main" rot="16200000">
          <a:off x="1339380" y="8576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0.26888</cdr:x>
      <cdr:y>0.27514</cdr:y>
    </cdr:from>
    <cdr:to>
      <cdr:x>0.33168</cdr:x>
      <cdr:y>0.39816</cdr:y>
    </cdr:to>
    <cdr:sp macro="" textlink="">
      <cdr:nvSpPr>
        <cdr:cNvPr id="10" name="Rectangle 9"/>
        <cdr:cNvSpPr/>
      </cdr:nvSpPr>
      <cdr:spPr>
        <a:xfrm xmlns:a="http://schemas.openxmlformats.org/drawingml/2006/main" rot="16200000">
          <a:off x="1453680" y="8576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0.28108</cdr:x>
      <cdr:y>0.30629</cdr:y>
    </cdr:from>
    <cdr:to>
      <cdr:x>0.34388</cdr:x>
      <cdr:y>0.42932</cdr:y>
    </cdr:to>
    <cdr:sp macro="" textlink="">
      <cdr:nvSpPr>
        <cdr:cNvPr id="11" name="Rectangle 10"/>
        <cdr:cNvSpPr/>
      </cdr:nvSpPr>
      <cdr:spPr>
        <a:xfrm xmlns:a="http://schemas.openxmlformats.org/drawingml/2006/main" rot="16200000">
          <a:off x="1520355" y="9529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0.29676</cdr:x>
      <cdr:y>0.33121</cdr:y>
    </cdr:from>
    <cdr:to>
      <cdr:x>0.35956</cdr:x>
      <cdr:y>0.45424</cdr:y>
    </cdr:to>
    <cdr:sp macro="" textlink="">
      <cdr:nvSpPr>
        <cdr:cNvPr id="12" name="Rectangle 11"/>
        <cdr:cNvSpPr/>
      </cdr:nvSpPr>
      <cdr:spPr>
        <a:xfrm xmlns:a="http://schemas.openxmlformats.org/drawingml/2006/main" rot="16200000">
          <a:off x="1606080" y="10291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0.31244</cdr:x>
      <cdr:y>0.31875</cdr:y>
    </cdr:from>
    <cdr:to>
      <cdr:x>0.37524</cdr:x>
      <cdr:y>0.44178</cdr:y>
    </cdr:to>
    <cdr:sp macro="" textlink="">
      <cdr:nvSpPr>
        <cdr:cNvPr id="13" name="Rectangle 12"/>
        <cdr:cNvSpPr/>
      </cdr:nvSpPr>
      <cdr:spPr>
        <a:xfrm xmlns:a="http://schemas.openxmlformats.org/drawingml/2006/main" rot="16200000">
          <a:off x="1691805" y="991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0.35599</cdr:x>
      <cdr:y>0.26579</cdr:y>
    </cdr:from>
    <cdr:to>
      <cdr:x>0.41879</cdr:x>
      <cdr:y>0.38882</cdr:y>
    </cdr:to>
    <cdr:sp macro="" textlink="">
      <cdr:nvSpPr>
        <cdr:cNvPr id="14" name="Rectangle 13"/>
        <cdr:cNvSpPr/>
      </cdr:nvSpPr>
      <cdr:spPr>
        <a:xfrm xmlns:a="http://schemas.openxmlformats.org/drawingml/2006/main" rot="16200000">
          <a:off x="1929930" y="82907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0.374</cdr:x>
      <cdr:y>0.21387</cdr:y>
    </cdr:from>
    <cdr:to>
      <cdr:x>0.43679</cdr:x>
      <cdr:y>0.3369</cdr:y>
    </cdr:to>
    <cdr:sp macro="" textlink="">
      <cdr:nvSpPr>
        <cdr:cNvPr id="15" name="Rectangle 14"/>
        <cdr:cNvSpPr/>
      </cdr:nvSpPr>
      <cdr:spPr>
        <a:xfrm xmlns:a="http://schemas.openxmlformats.org/drawingml/2006/main" rot="16200000">
          <a:off x="2028356" y="6703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0.39316</cdr:x>
      <cdr:y>0.28864</cdr:y>
    </cdr:from>
    <cdr:to>
      <cdr:x>0.45596</cdr:x>
      <cdr:y>0.41166</cdr:y>
    </cdr:to>
    <cdr:sp macro="" textlink="">
      <cdr:nvSpPr>
        <cdr:cNvPr id="16" name="Rectangle 15"/>
        <cdr:cNvSpPr/>
      </cdr:nvSpPr>
      <cdr:spPr>
        <a:xfrm xmlns:a="http://schemas.openxmlformats.org/drawingml/2006/main" rot="16200000">
          <a:off x="2133131" y="8989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0.41058</cdr:x>
      <cdr:y>0.30422</cdr:y>
    </cdr:from>
    <cdr:to>
      <cdr:x>0.47338</cdr:x>
      <cdr:y>0.42724</cdr:y>
    </cdr:to>
    <cdr:sp macro="" textlink="">
      <cdr:nvSpPr>
        <cdr:cNvPr id="17" name="Rectangle 16"/>
        <cdr:cNvSpPr/>
      </cdr:nvSpPr>
      <cdr:spPr>
        <a:xfrm xmlns:a="http://schemas.openxmlformats.org/drawingml/2006/main" rot="16200000">
          <a:off x="2228381" y="94655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0.42452</cdr:x>
      <cdr:y>0.25437</cdr:y>
    </cdr:from>
    <cdr:to>
      <cdr:x>0.48732</cdr:x>
      <cdr:y>0.37739</cdr:y>
    </cdr:to>
    <cdr:sp macro="" textlink="">
      <cdr:nvSpPr>
        <cdr:cNvPr id="18" name="Rectangle 17"/>
        <cdr:cNvSpPr/>
      </cdr:nvSpPr>
      <cdr:spPr>
        <a:xfrm xmlns:a="http://schemas.openxmlformats.org/drawingml/2006/main" rot="16200000">
          <a:off x="2304581" y="79415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0.44368</cdr:x>
      <cdr:y>0.27306</cdr:y>
    </cdr:from>
    <cdr:to>
      <cdr:x>0.50648</cdr:x>
      <cdr:y>0.39609</cdr:y>
    </cdr:to>
    <cdr:sp macro="" textlink="">
      <cdr:nvSpPr>
        <cdr:cNvPr id="19" name="Rectangle 18"/>
        <cdr:cNvSpPr/>
      </cdr:nvSpPr>
      <cdr:spPr>
        <a:xfrm xmlns:a="http://schemas.openxmlformats.org/drawingml/2006/main" rot="16200000">
          <a:off x="2409356" y="85130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0.48027</cdr:x>
      <cdr:y>0.08303</cdr:y>
    </cdr:from>
    <cdr:to>
      <cdr:x>0.54306</cdr:x>
      <cdr:y>0.20605</cdr:y>
    </cdr:to>
    <cdr:sp macro="" textlink="">
      <cdr:nvSpPr>
        <cdr:cNvPr id="20" name="Rectangle 19"/>
        <cdr:cNvSpPr/>
      </cdr:nvSpPr>
      <cdr:spPr>
        <a:xfrm xmlns:a="http://schemas.openxmlformats.org/drawingml/2006/main" rot="16200000">
          <a:off x="2609382" y="27027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0.49653</cdr:x>
      <cdr:y>0.08407</cdr:y>
    </cdr:from>
    <cdr:to>
      <cdr:x>0.55932</cdr:x>
      <cdr:y>0.20709</cdr:y>
    </cdr:to>
    <cdr:sp macro="" textlink="">
      <cdr:nvSpPr>
        <cdr:cNvPr id="21" name="Rectangle 20"/>
        <cdr:cNvSpPr/>
      </cdr:nvSpPr>
      <cdr:spPr>
        <a:xfrm xmlns:a="http://schemas.openxmlformats.org/drawingml/2006/main" rot="16200000">
          <a:off x="2698283" y="27345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0.51569</cdr:x>
      <cdr:y>0.08407</cdr:y>
    </cdr:from>
    <cdr:to>
      <cdr:x>0.57849</cdr:x>
      <cdr:y>0.20709</cdr:y>
    </cdr:to>
    <cdr:sp macro="" textlink="">
      <cdr:nvSpPr>
        <cdr:cNvPr id="22" name="Rectangle 21"/>
        <cdr:cNvSpPr/>
      </cdr:nvSpPr>
      <cdr:spPr>
        <a:xfrm xmlns:a="http://schemas.openxmlformats.org/drawingml/2006/main" rot="16200000">
          <a:off x="2803057" y="27345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0.53485</cdr:x>
      <cdr:y>0.08095</cdr:y>
    </cdr:from>
    <cdr:to>
      <cdr:x>0.59765</cdr:x>
      <cdr:y>0.20398</cdr:y>
    </cdr:to>
    <cdr:sp macro="" textlink="">
      <cdr:nvSpPr>
        <cdr:cNvPr id="23" name="Rectangle 22"/>
        <cdr:cNvSpPr/>
      </cdr:nvSpPr>
      <cdr:spPr>
        <a:xfrm xmlns:a="http://schemas.openxmlformats.org/drawingml/2006/main" rot="16200000">
          <a:off x="2907832" y="2639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0.55053</cdr:x>
      <cdr:y>0.08095</cdr:y>
    </cdr:from>
    <cdr:to>
      <cdr:x>0.61333</cdr:x>
      <cdr:y>0.20398</cdr:y>
    </cdr:to>
    <cdr:sp macro="" textlink="">
      <cdr:nvSpPr>
        <cdr:cNvPr id="24" name="Rectangle 23"/>
        <cdr:cNvSpPr/>
      </cdr:nvSpPr>
      <cdr:spPr>
        <a:xfrm xmlns:a="http://schemas.openxmlformats.org/drawingml/2006/main" rot="16200000">
          <a:off x="2993557" y="2639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0.56796</cdr:x>
      <cdr:y>0.07784</cdr:y>
    </cdr:from>
    <cdr:to>
      <cdr:x>0.63075</cdr:x>
      <cdr:y>0.20086</cdr:y>
    </cdr:to>
    <cdr:sp macro="" textlink="">
      <cdr:nvSpPr>
        <cdr:cNvPr id="25" name="Rectangle 24"/>
        <cdr:cNvSpPr/>
      </cdr:nvSpPr>
      <cdr:spPr>
        <a:xfrm xmlns:a="http://schemas.openxmlformats.org/drawingml/2006/main" rot="16200000">
          <a:off x="3088807" y="25440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0.60919</cdr:x>
      <cdr:y>0.31979</cdr:y>
    </cdr:from>
    <cdr:to>
      <cdr:x>0.67198</cdr:x>
      <cdr:y>0.44282</cdr:y>
    </cdr:to>
    <cdr:sp macro="" textlink="">
      <cdr:nvSpPr>
        <cdr:cNvPr id="26" name="Rectangle 25"/>
        <cdr:cNvSpPr/>
      </cdr:nvSpPr>
      <cdr:spPr>
        <a:xfrm xmlns:a="http://schemas.openxmlformats.org/drawingml/2006/main" rot="16200000">
          <a:off x="3314231" y="9941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0.63009</cdr:x>
      <cdr:y>0.32602</cdr:y>
    </cdr:from>
    <cdr:to>
      <cdr:x>0.69289</cdr:x>
      <cdr:y>0.44905</cdr:y>
    </cdr:to>
    <cdr:sp macro="" textlink="">
      <cdr:nvSpPr>
        <cdr:cNvPr id="27" name="Rectangle 26"/>
        <cdr:cNvSpPr/>
      </cdr:nvSpPr>
      <cdr:spPr>
        <a:xfrm xmlns:a="http://schemas.openxmlformats.org/drawingml/2006/main" rot="16200000">
          <a:off x="3428531" y="10132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0.64403</cdr:x>
      <cdr:y>0.29799</cdr:y>
    </cdr:from>
    <cdr:to>
      <cdr:x>0.70683</cdr:x>
      <cdr:y>0.42101</cdr:y>
    </cdr:to>
    <cdr:sp macro="" textlink="">
      <cdr:nvSpPr>
        <cdr:cNvPr id="28" name="Rectangle 27"/>
        <cdr:cNvSpPr/>
      </cdr:nvSpPr>
      <cdr:spPr>
        <a:xfrm xmlns:a="http://schemas.openxmlformats.org/drawingml/2006/main" rot="16200000">
          <a:off x="3504731" y="9275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0.66552</cdr:x>
      <cdr:y>0.3146</cdr:y>
    </cdr:from>
    <cdr:to>
      <cdr:x>0.72831</cdr:x>
      <cdr:y>0.43762</cdr:y>
    </cdr:to>
    <cdr:sp macro="" textlink="">
      <cdr:nvSpPr>
        <cdr:cNvPr id="29" name="Rectangle 28"/>
        <cdr:cNvSpPr/>
      </cdr:nvSpPr>
      <cdr:spPr>
        <a:xfrm xmlns:a="http://schemas.openxmlformats.org/drawingml/2006/main" rot="16200000">
          <a:off x="3622207" y="9783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0.68468</cdr:x>
      <cdr:y>0.32083</cdr:y>
    </cdr:from>
    <cdr:to>
      <cdr:x>0.74748</cdr:x>
      <cdr:y>0.44385</cdr:y>
    </cdr:to>
    <cdr:sp macro="" textlink="">
      <cdr:nvSpPr>
        <cdr:cNvPr id="30" name="Rectangle 29"/>
        <cdr:cNvSpPr/>
      </cdr:nvSpPr>
      <cdr:spPr>
        <a:xfrm xmlns:a="http://schemas.openxmlformats.org/drawingml/2006/main" rot="16200000">
          <a:off x="3726982" y="9973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0.70036</cdr:x>
      <cdr:y>0.33329</cdr:y>
    </cdr:from>
    <cdr:to>
      <cdr:x>0.76316</cdr:x>
      <cdr:y>0.45631</cdr:y>
    </cdr:to>
    <cdr:sp macro="" textlink="">
      <cdr:nvSpPr>
        <cdr:cNvPr id="31" name="Rectangle 30"/>
        <cdr:cNvSpPr/>
      </cdr:nvSpPr>
      <cdr:spPr>
        <a:xfrm xmlns:a="http://schemas.openxmlformats.org/drawingml/2006/main" rot="16200000">
          <a:off x="3812707" y="10354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0.74043</cdr:x>
      <cdr:y>0.2741</cdr:y>
    </cdr:from>
    <cdr:to>
      <cdr:x>0.80323</cdr:x>
      <cdr:y>0.39712</cdr:y>
    </cdr:to>
    <cdr:sp macro="" textlink="">
      <cdr:nvSpPr>
        <cdr:cNvPr id="32" name="Rectangle 31"/>
        <cdr:cNvSpPr/>
      </cdr:nvSpPr>
      <cdr:spPr>
        <a:xfrm xmlns:a="http://schemas.openxmlformats.org/drawingml/2006/main" rot="16200000">
          <a:off x="4031782" y="8544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0.75959</cdr:x>
      <cdr:y>0.29279</cdr:y>
    </cdr:from>
    <cdr:to>
      <cdr:x>0.82239</cdr:x>
      <cdr:y>0.41582</cdr:y>
    </cdr:to>
    <cdr:sp macro="" textlink="">
      <cdr:nvSpPr>
        <cdr:cNvPr id="33" name="Rectangle 32"/>
        <cdr:cNvSpPr/>
      </cdr:nvSpPr>
      <cdr:spPr>
        <a:xfrm xmlns:a="http://schemas.openxmlformats.org/drawingml/2006/main" rot="16200000">
          <a:off x="4136557" y="9116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0.77527</cdr:x>
      <cdr:y>0.29902</cdr:y>
    </cdr:from>
    <cdr:to>
      <cdr:x>0.83807</cdr:x>
      <cdr:y>0.42205</cdr:y>
    </cdr:to>
    <cdr:sp macro="" textlink="">
      <cdr:nvSpPr>
        <cdr:cNvPr id="34" name="Rectangle 33"/>
        <cdr:cNvSpPr/>
      </cdr:nvSpPr>
      <cdr:spPr>
        <a:xfrm xmlns:a="http://schemas.openxmlformats.org/drawingml/2006/main" rot="16200000">
          <a:off x="4222282" y="9306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0.78921</cdr:x>
      <cdr:y>0.25541</cdr:y>
    </cdr:from>
    <cdr:to>
      <cdr:x>0.85201</cdr:x>
      <cdr:y>0.37843</cdr:y>
    </cdr:to>
    <cdr:sp macro="" textlink="">
      <cdr:nvSpPr>
        <cdr:cNvPr id="35" name="Rectangle 34"/>
        <cdr:cNvSpPr/>
      </cdr:nvSpPr>
      <cdr:spPr>
        <a:xfrm xmlns:a="http://schemas.openxmlformats.org/drawingml/2006/main" rot="16200000">
          <a:off x="4298482" y="7973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0.81186</cdr:x>
      <cdr:y>0.26164</cdr:y>
    </cdr:from>
    <cdr:to>
      <cdr:x>0.87466</cdr:x>
      <cdr:y>0.38466</cdr:y>
    </cdr:to>
    <cdr:sp macro="" textlink="">
      <cdr:nvSpPr>
        <cdr:cNvPr id="36" name="Rectangle 35"/>
        <cdr:cNvSpPr/>
      </cdr:nvSpPr>
      <cdr:spPr>
        <a:xfrm xmlns:a="http://schemas.openxmlformats.org/drawingml/2006/main" rot="16200000">
          <a:off x="4422307" y="8163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0.82754</cdr:x>
      <cdr:y>0.29591</cdr:y>
    </cdr:from>
    <cdr:to>
      <cdr:x>0.89033</cdr:x>
      <cdr:y>0.41893</cdr:y>
    </cdr:to>
    <cdr:sp macro="" textlink="">
      <cdr:nvSpPr>
        <cdr:cNvPr id="37" name="Rectangle 36"/>
        <cdr:cNvSpPr/>
      </cdr:nvSpPr>
      <cdr:spPr>
        <a:xfrm xmlns:a="http://schemas.openxmlformats.org/drawingml/2006/main" rot="16200000">
          <a:off x="4508032" y="9211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userShapes>
</file>

<file path=word/drawings/drawing4.xml><?xml version="1.0" encoding="utf-8"?>
<c:userShapes xmlns:c="http://schemas.openxmlformats.org/drawingml/2006/chart">
  <cdr:relSizeAnchor xmlns:cdr="http://schemas.openxmlformats.org/drawingml/2006/chartDrawing">
    <cdr:from>
      <cdr:x>0.11791</cdr:x>
      <cdr:y>0.05093</cdr:y>
    </cdr:from>
    <cdr:to>
      <cdr:x>0.1843</cdr:x>
      <cdr:y>0.18256</cdr:y>
    </cdr:to>
    <cdr:sp macro="" textlink="">
      <cdr:nvSpPr>
        <cdr:cNvPr id="2" name="Rectangle 1"/>
        <cdr:cNvSpPr/>
      </cdr:nvSpPr>
      <cdr:spPr>
        <a:xfrm xmlns:a="http://schemas.openxmlformats.org/drawingml/2006/main" rot="16200000">
          <a:off x="593450" y="161929"/>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0.13691</cdr:x>
      <cdr:y>0.0544</cdr:y>
    </cdr:from>
    <cdr:to>
      <cdr:x>0.20329</cdr:x>
      <cdr:y>0.18603</cdr:y>
    </cdr:to>
    <cdr:sp macro="" textlink="">
      <cdr:nvSpPr>
        <cdr:cNvPr id="3" name="Rectangle 2"/>
        <cdr:cNvSpPr/>
      </cdr:nvSpPr>
      <cdr:spPr>
        <a:xfrm xmlns:a="http://schemas.openxmlformats.org/drawingml/2006/main" rot="16200000">
          <a:off x="691677" y="17185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0.15565</cdr:x>
      <cdr:y>0.05093</cdr:y>
    </cdr:from>
    <cdr:to>
      <cdr:x>0.22204</cdr:x>
      <cdr:y>0.18256</cdr:y>
    </cdr:to>
    <cdr:sp macro="" textlink="">
      <cdr:nvSpPr>
        <cdr:cNvPr id="4" name="Rectangle 3"/>
        <cdr:cNvSpPr/>
      </cdr:nvSpPr>
      <cdr:spPr>
        <a:xfrm xmlns:a="http://schemas.openxmlformats.org/drawingml/2006/main" rot="16200000">
          <a:off x="788653" y="161929"/>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0.17072</cdr:x>
      <cdr:y>0.05079</cdr:y>
    </cdr:from>
    <cdr:to>
      <cdr:x>0.2371</cdr:x>
      <cdr:y>0.18242</cdr:y>
    </cdr:to>
    <cdr:sp macro="" textlink="">
      <cdr:nvSpPr>
        <cdr:cNvPr id="5" name="Rectangle 4"/>
        <cdr:cNvSpPr/>
      </cdr:nvSpPr>
      <cdr:spPr>
        <a:xfrm xmlns:a="http://schemas.openxmlformats.org/drawingml/2006/main" rot="16200000">
          <a:off x="866581" y="16153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0.18739</cdr:x>
      <cdr:y>0.05412</cdr:y>
    </cdr:from>
    <cdr:to>
      <cdr:x>0.25377</cdr:x>
      <cdr:y>0.18576</cdr:y>
    </cdr:to>
    <cdr:sp macro="" textlink="">
      <cdr:nvSpPr>
        <cdr:cNvPr id="6" name="Rectangle 5"/>
        <cdr:cNvSpPr/>
      </cdr:nvSpPr>
      <cdr:spPr>
        <a:xfrm xmlns:a="http://schemas.openxmlformats.org/drawingml/2006/main" rot="16200000">
          <a:off x="952782" y="17105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0.20406</cdr:x>
      <cdr:y>0.05079</cdr:y>
    </cdr:from>
    <cdr:to>
      <cdr:x>0.27044</cdr:x>
      <cdr:y>0.18242</cdr:y>
    </cdr:to>
    <cdr:sp macro="" textlink="">
      <cdr:nvSpPr>
        <cdr:cNvPr id="7" name="Rectangle 6"/>
        <cdr:cNvSpPr/>
      </cdr:nvSpPr>
      <cdr:spPr>
        <a:xfrm xmlns:a="http://schemas.openxmlformats.org/drawingml/2006/main" rot="16200000">
          <a:off x="1038983" y="161532"/>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0.24334</cdr:x>
      <cdr:y>0.22889</cdr:y>
    </cdr:from>
    <cdr:to>
      <cdr:x>0.30202</cdr:x>
      <cdr:y>0.35526</cdr:y>
    </cdr:to>
    <cdr:sp macro="" textlink="">
      <cdr:nvSpPr>
        <cdr:cNvPr id="8" name="Rectangle 7"/>
        <cdr:cNvSpPr/>
      </cdr:nvSpPr>
      <cdr:spPr>
        <a:xfrm xmlns:a="http://schemas.openxmlformats.org/drawingml/2006/main" rot="16200000">
          <a:off x="1229775" y="68285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0.26421</cdr:x>
      <cdr:y>0.25</cdr:y>
    </cdr:from>
    <cdr:to>
      <cdr:x>0.32289</cdr:x>
      <cdr:y>0.37637</cdr:y>
    </cdr:to>
    <cdr:sp macro="" textlink="">
      <cdr:nvSpPr>
        <cdr:cNvPr id="9" name="Rectangle 8"/>
        <cdr:cNvSpPr/>
      </cdr:nvSpPr>
      <cdr:spPr>
        <a:xfrm xmlns:a="http://schemas.openxmlformats.org/drawingml/2006/main" rot="16200000">
          <a:off x="1337726" y="74317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0.28079</cdr:x>
      <cdr:y>0.26667</cdr:y>
    </cdr:from>
    <cdr:to>
      <cdr:x>0.33947</cdr:x>
      <cdr:y>0.39304</cdr:y>
    </cdr:to>
    <cdr:sp macro="" textlink="">
      <cdr:nvSpPr>
        <cdr:cNvPr id="10" name="Rectangle 9"/>
        <cdr:cNvSpPr/>
      </cdr:nvSpPr>
      <cdr:spPr>
        <a:xfrm xmlns:a="http://schemas.openxmlformats.org/drawingml/2006/main" rot="16200000">
          <a:off x="1423451" y="79080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0.30104</cdr:x>
      <cdr:y>0.27</cdr:y>
    </cdr:from>
    <cdr:to>
      <cdr:x>0.35973</cdr:x>
      <cdr:y>0.39637</cdr:y>
    </cdr:to>
    <cdr:sp macro="" textlink="">
      <cdr:nvSpPr>
        <cdr:cNvPr id="11" name="Rectangle 10"/>
        <cdr:cNvSpPr/>
      </cdr:nvSpPr>
      <cdr:spPr>
        <a:xfrm xmlns:a="http://schemas.openxmlformats.org/drawingml/2006/main" rot="16200000">
          <a:off x="1528226" y="8003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0.30841</cdr:x>
      <cdr:y>0.3</cdr:y>
    </cdr:from>
    <cdr:to>
      <cdr:x>0.36709</cdr:x>
      <cdr:y>0.42637</cdr:y>
    </cdr:to>
    <cdr:sp macro="" textlink="">
      <cdr:nvSpPr>
        <cdr:cNvPr id="12" name="Rectangle 11"/>
        <cdr:cNvSpPr/>
      </cdr:nvSpPr>
      <cdr:spPr>
        <a:xfrm xmlns:a="http://schemas.openxmlformats.org/drawingml/2006/main" rot="16200000">
          <a:off x="1566327" y="88605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0.32867</cdr:x>
      <cdr:y>0.28</cdr:y>
    </cdr:from>
    <cdr:to>
      <cdr:x>0.38735</cdr:x>
      <cdr:y>0.40637</cdr:y>
    </cdr:to>
    <cdr:sp macro="" textlink="">
      <cdr:nvSpPr>
        <cdr:cNvPr id="13" name="Rectangle 12"/>
        <cdr:cNvSpPr/>
      </cdr:nvSpPr>
      <cdr:spPr>
        <a:xfrm xmlns:a="http://schemas.openxmlformats.org/drawingml/2006/main" rot="16200000">
          <a:off x="1671101" y="82890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0.36427</cdr:x>
      <cdr:y>0.30111</cdr:y>
    </cdr:from>
    <cdr:to>
      <cdr:x>0.42295</cdr:x>
      <cdr:y>0.42748</cdr:y>
    </cdr:to>
    <cdr:sp macro="" textlink="">
      <cdr:nvSpPr>
        <cdr:cNvPr id="14" name="Rectangle 13"/>
        <cdr:cNvSpPr/>
      </cdr:nvSpPr>
      <cdr:spPr>
        <a:xfrm xmlns:a="http://schemas.openxmlformats.org/drawingml/2006/main" rot="16200000">
          <a:off x="1855253" y="8892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0.38453</cdr:x>
      <cdr:y>0.29111</cdr:y>
    </cdr:from>
    <cdr:to>
      <cdr:x>0.44321</cdr:x>
      <cdr:y>0.41748</cdr:y>
    </cdr:to>
    <cdr:sp macro="" textlink="">
      <cdr:nvSpPr>
        <cdr:cNvPr id="15" name="Rectangle 14"/>
        <cdr:cNvSpPr/>
      </cdr:nvSpPr>
      <cdr:spPr>
        <a:xfrm xmlns:a="http://schemas.openxmlformats.org/drawingml/2006/main" rot="16200000">
          <a:off x="1960028" y="86065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0.40111</cdr:x>
      <cdr:y>0.31445</cdr:y>
    </cdr:from>
    <cdr:to>
      <cdr:x>0.45979</cdr:x>
      <cdr:y>0.44081</cdr:y>
    </cdr:to>
    <cdr:sp macro="" textlink="">
      <cdr:nvSpPr>
        <cdr:cNvPr id="16" name="Rectangle 15"/>
        <cdr:cNvSpPr/>
      </cdr:nvSpPr>
      <cdr:spPr>
        <a:xfrm xmlns:a="http://schemas.openxmlformats.org/drawingml/2006/main" rot="16200000">
          <a:off x="2045753" y="9273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0.41584</cdr:x>
      <cdr:y>0.32778</cdr:y>
    </cdr:from>
    <cdr:to>
      <cdr:x>0.47452</cdr:x>
      <cdr:y>0.45415</cdr:y>
    </cdr:to>
    <cdr:sp macro="" textlink="">
      <cdr:nvSpPr>
        <cdr:cNvPr id="17" name="Rectangle 16"/>
        <cdr:cNvSpPr/>
      </cdr:nvSpPr>
      <cdr:spPr>
        <a:xfrm xmlns:a="http://schemas.openxmlformats.org/drawingml/2006/main" rot="16200000">
          <a:off x="2121953" y="9654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0.43057</cdr:x>
      <cdr:y>0.26445</cdr:y>
    </cdr:from>
    <cdr:to>
      <cdr:x>0.48925</cdr:x>
      <cdr:y>0.39081</cdr:y>
    </cdr:to>
    <cdr:sp macro="" textlink="">
      <cdr:nvSpPr>
        <cdr:cNvPr id="18" name="Rectangle 17"/>
        <cdr:cNvSpPr/>
      </cdr:nvSpPr>
      <cdr:spPr>
        <a:xfrm xmlns:a="http://schemas.openxmlformats.org/drawingml/2006/main" rot="16200000">
          <a:off x="2198153" y="78445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0.44899</cdr:x>
      <cdr:y>0.36778</cdr:y>
    </cdr:from>
    <cdr:to>
      <cdr:x>0.50767</cdr:x>
      <cdr:y>0.49415</cdr:y>
    </cdr:to>
    <cdr:sp macro="" textlink="">
      <cdr:nvSpPr>
        <cdr:cNvPr id="19" name="Rectangle 18"/>
        <cdr:cNvSpPr/>
      </cdr:nvSpPr>
      <cdr:spPr>
        <a:xfrm xmlns:a="http://schemas.openxmlformats.org/drawingml/2006/main" rot="16200000">
          <a:off x="2293403" y="10797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0.61289</cdr:x>
      <cdr:y>0.30445</cdr:y>
    </cdr:from>
    <cdr:to>
      <cdr:x>0.67157</cdr:x>
      <cdr:y>0.43082</cdr:y>
    </cdr:to>
    <cdr:sp macro="" textlink="">
      <cdr:nvSpPr>
        <cdr:cNvPr id="20" name="Rectangle 19"/>
        <cdr:cNvSpPr/>
      </cdr:nvSpPr>
      <cdr:spPr>
        <a:xfrm xmlns:a="http://schemas.openxmlformats.org/drawingml/2006/main" rot="16200000">
          <a:off x="3141128" y="898754"/>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0.62947</cdr:x>
      <cdr:y>0.31111</cdr:y>
    </cdr:from>
    <cdr:to>
      <cdr:x>0.68815</cdr:x>
      <cdr:y>0.43748</cdr:y>
    </cdr:to>
    <cdr:sp macro="" textlink="">
      <cdr:nvSpPr>
        <cdr:cNvPr id="21" name="Rectangle 20"/>
        <cdr:cNvSpPr/>
      </cdr:nvSpPr>
      <cdr:spPr>
        <a:xfrm xmlns:a="http://schemas.openxmlformats.org/drawingml/2006/main" rot="16200000">
          <a:off x="3226853" y="917804"/>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0.6442</cdr:x>
      <cdr:y>0.27111</cdr:y>
    </cdr:from>
    <cdr:to>
      <cdr:x>0.70288</cdr:x>
      <cdr:y>0.39748</cdr:y>
    </cdr:to>
    <cdr:sp macro="" textlink="">
      <cdr:nvSpPr>
        <cdr:cNvPr id="22" name="Rectangle 21"/>
        <cdr:cNvSpPr/>
      </cdr:nvSpPr>
      <cdr:spPr>
        <a:xfrm xmlns:a="http://schemas.openxmlformats.org/drawingml/2006/main" rot="16200000">
          <a:off x="3303055" y="803504"/>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0.66323</cdr:x>
      <cdr:y>0.28889</cdr:y>
    </cdr:from>
    <cdr:to>
      <cdr:x>0.72191</cdr:x>
      <cdr:y>0.41526</cdr:y>
    </cdr:to>
    <cdr:sp macro="" textlink="">
      <cdr:nvSpPr>
        <cdr:cNvPr id="23" name="Rectangle 22"/>
        <cdr:cNvSpPr/>
      </cdr:nvSpPr>
      <cdr:spPr>
        <a:xfrm xmlns:a="http://schemas.openxmlformats.org/drawingml/2006/main" rot="16200000">
          <a:off x="3401480" y="854304"/>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0.68349</cdr:x>
      <cdr:y>0.26222</cdr:y>
    </cdr:from>
    <cdr:to>
      <cdr:x>0.74217</cdr:x>
      <cdr:y>0.38859</cdr:y>
    </cdr:to>
    <cdr:sp macro="" textlink="">
      <cdr:nvSpPr>
        <cdr:cNvPr id="24" name="Rectangle 23"/>
        <cdr:cNvSpPr/>
      </cdr:nvSpPr>
      <cdr:spPr>
        <a:xfrm xmlns:a="http://schemas.openxmlformats.org/drawingml/2006/main" rot="16200000">
          <a:off x="3506255" y="778104"/>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0.69822</cdr:x>
      <cdr:y>0.27889</cdr:y>
    </cdr:from>
    <cdr:to>
      <cdr:x>0.7569</cdr:x>
      <cdr:y>0.40526</cdr:y>
    </cdr:to>
    <cdr:sp macro="" textlink="">
      <cdr:nvSpPr>
        <cdr:cNvPr id="25" name="Rectangle 24"/>
        <cdr:cNvSpPr/>
      </cdr:nvSpPr>
      <cdr:spPr>
        <a:xfrm xmlns:a="http://schemas.openxmlformats.org/drawingml/2006/main" rot="16200000">
          <a:off x="3582456" y="82572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0.48828</cdr:x>
      <cdr:y>0.1119</cdr:y>
    </cdr:from>
    <cdr:to>
      <cdr:x>0.54696</cdr:x>
      <cdr:y>0.24353</cdr:y>
    </cdr:to>
    <cdr:sp macro="" textlink="">
      <cdr:nvSpPr>
        <cdr:cNvPr id="26" name="Rectangle 25"/>
        <cdr:cNvSpPr/>
      </cdr:nvSpPr>
      <cdr:spPr>
        <a:xfrm xmlns:a="http://schemas.openxmlformats.org/drawingml/2006/main" rot="16200000">
          <a:off x="2489096" y="356068"/>
          <a:ext cx="376147" cy="3035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0.50731</cdr:x>
      <cdr:y>0.11301</cdr:y>
    </cdr:from>
    <cdr:to>
      <cdr:x>0.55801</cdr:x>
      <cdr:y>0.24464</cdr:y>
    </cdr:to>
    <cdr:sp macro="" textlink="">
      <cdr:nvSpPr>
        <cdr:cNvPr id="27" name="Rectangle 26"/>
        <cdr:cNvSpPr/>
      </cdr:nvSpPr>
      <cdr:spPr>
        <a:xfrm xmlns:a="http://schemas.openxmlformats.org/drawingml/2006/main" rot="16200000">
          <a:off x="2566884" y="379881"/>
          <a:ext cx="376147" cy="2622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0.52572</cdr:x>
      <cdr:y>0.11301</cdr:y>
    </cdr:from>
    <cdr:to>
      <cdr:x>0.59211</cdr:x>
      <cdr:y>0.24464</cdr:y>
    </cdr:to>
    <cdr:sp macro="" textlink="">
      <cdr:nvSpPr>
        <cdr:cNvPr id="28" name="Rectangle 27"/>
        <cdr:cNvSpPr/>
      </cdr:nvSpPr>
      <cdr:spPr>
        <a:xfrm xmlns:a="http://schemas.openxmlformats.org/drawingml/2006/main" rot="16200000">
          <a:off x="2702683" y="339332"/>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0.54414</cdr:x>
      <cdr:y>0.11301</cdr:y>
    </cdr:from>
    <cdr:to>
      <cdr:x>0.61052</cdr:x>
      <cdr:y>0.24464</cdr:y>
    </cdr:to>
    <cdr:sp macro="" textlink="">
      <cdr:nvSpPr>
        <cdr:cNvPr id="29" name="Rectangle 28"/>
        <cdr:cNvSpPr/>
      </cdr:nvSpPr>
      <cdr:spPr>
        <a:xfrm xmlns:a="http://schemas.openxmlformats.org/drawingml/2006/main" rot="16200000">
          <a:off x="2797933" y="339332"/>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0.55887</cdr:x>
      <cdr:y>0.11301</cdr:y>
    </cdr:from>
    <cdr:to>
      <cdr:x>0.62526</cdr:x>
      <cdr:y>0.24464</cdr:y>
    </cdr:to>
    <cdr:sp macro="" textlink="">
      <cdr:nvSpPr>
        <cdr:cNvPr id="30" name="Rectangle 29"/>
        <cdr:cNvSpPr/>
      </cdr:nvSpPr>
      <cdr:spPr>
        <a:xfrm xmlns:a="http://schemas.openxmlformats.org/drawingml/2006/main" rot="16200000">
          <a:off x="2874133" y="339332"/>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0.57545</cdr:x>
      <cdr:y>0.10634</cdr:y>
    </cdr:from>
    <cdr:to>
      <cdr:x>0.64183</cdr:x>
      <cdr:y>0.23798</cdr:y>
    </cdr:to>
    <cdr:sp macro="" textlink="">
      <cdr:nvSpPr>
        <cdr:cNvPr id="31" name="Rectangle 30"/>
        <cdr:cNvSpPr/>
      </cdr:nvSpPr>
      <cdr:spPr>
        <a:xfrm xmlns:a="http://schemas.openxmlformats.org/drawingml/2006/main" rot="16200000">
          <a:off x="2959858" y="320282"/>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0.73505</cdr:x>
      <cdr:y>0.37889</cdr:y>
    </cdr:from>
    <cdr:to>
      <cdr:x>0.79373</cdr:x>
      <cdr:y>0.50526</cdr:y>
    </cdr:to>
    <cdr:sp macro="" textlink="">
      <cdr:nvSpPr>
        <cdr:cNvPr id="32" name="Rectangle 31"/>
        <cdr:cNvSpPr/>
      </cdr:nvSpPr>
      <cdr:spPr>
        <a:xfrm xmlns:a="http://schemas.openxmlformats.org/drawingml/2006/main" rot="16200000">
          <a:off x="3772954" y="111147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0.74979</cdr:x>
      <cdr:y>0.35889</cdr:y>
    </cdr:from>
    <cdr:to>
      <cdr:x>0.80847</cdr:x>
      <cdr:y>0.48526</cdr:y>
    </cdr:to>
    <cdr:sp macro="" textlink="">
      <cdr:nvSpPr>
        <cdr:cNvPr id="33" name="Rectangle 32"/>
        <cdr:cNvSpPr/>
      </cdr:nvSpPr>
      <cdr:spPr>
        <a:xfrm xmlns:a="http://schemas.openxmlformats.org/drawingml/2006/main" rot="16200000">
          <a:off x="3849154" y="105432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0.76452</cdr:x>
      <cdr:y>0.33222</cdr:y>
    </cdr:from>
    <cdr:to>
      <cdr:x>0.8232</cdr:x>
      <cdr:y>0.45859</cdr:y>
    </cdr:to>
    <cdr:sp macro="" textlink="">
      <cdr:nvSpPr>
        <cdr:cNvPr id="34" name="Rectangle 33"/>
        <cdr:cNvSpPr/>
      </cdr:nvSpPr>
      <cdr:spPr>
        <a:xfrm xmlns:a="http://schemas.openxmlformats.org/drawingml/2006/main" rot="16200000">
          <a:off x="3925354" y="97812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0.78478</cdr:x>
      <cdr:y>0.30556</cdr:y>
    </cdr:from>
    <cdr:to>
      <cdr:x>0.84346</cdr:x>
      <cdr:y>0.43193</cdr:y>
    </cdr:to>
    <cdr:sp macro="" textlink="">
      <cdr:nvSpPr>
        <cdr:cNvPr id="35" name="Rectangle 34"/>
        <cdr:cNvSpPr/>
      </cdr:nvSpPr>
      <cdr:spPr>
        <a:xfrm xmlns:a="http://schemas.openxmlformats.org/drawingml/2006/main" rot="16200000">
          <a:off x="4030129" y="90192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0.79951</cdr:x>
      <cdr:y>0.33889</cdr:y>
    </cdr:from>
    <cdr:to>
      <cdr:x>0.85819</cdr:x>
      <cdr:y>0.46526</cdr:y>
    </cdr:to>
    <cdr:sp macro="" textlink="">
      <cdr:nvSpPr>
        <cdr:cNvPr id="36" name="Rectangle 35"/>
        <cdr:cNvSpPr/>
      </cdr:nvSpPr>
      <cdr:spPr>
        <a:xfrm xmlns:a="http://schemas.openxmlformats.org/drawingml/2006/main" rot="16200000">
          <a:off x="4106329" y="99717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0.3741</cdr:x>
      <cdr:y>0.31889</cdr:y>
    </cdr:from>
    <cdr:to>
      <cdr:x>0.43278</cdr:x>
      <cdr:y>0.44526</cdr:y>
    </cdr:to>
    <cdr:sp macro="" textlink="">
      <cdr:nvSpPr>
        <cdr:cNvPr id="37" name="Rectangle 36"/>
        <cdr:cNvSpPr/>
      </cdr:nvSpPr>
      <cdr:spPr>
        <a:xfrm xmlns:a="http://schemas.openxmlformats.org/drawingml/2006/main" rot="16200000">
          <a:off x="1906053" y="9400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0.81793</cdr:x>
      <cdr:y>0.35889</cdr:y>
    </cdr:from>
    <cdr:to>
      <cdr:x>0.87661</cdr:x>
      <cdr:y>0.48526</cdr:y>
    </cdr:to>
    <cdr:sp macro="" textlink="">
      <cdr:nvSpPr>
        <cdr:cNvPr id="38" name="Rectangle 37"/>
        <cdr:cNvSpPr/>
      </cdr:nvSpPr>
      <cdr:spPr>
        <a:xfrm xmlns:a="http://schemas.openxmlformats.org/drawingml/2006/main" rot="16200000">
          <a:off x="4201579" y="105432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userShapes>
</file>

<file path=word/drawings/drawing5.xml><?xml version="1.0" encoding="utf-8"?>
<c:userShapes xmlns:c="http://schemas.openxmlformats.org/drawingml/2006/chart">
  <cdr:relSizeAnchor xmlns:cdr="http://schemas.openxmlformats.org/drawingml/2006/chartDrawing">
    <cdr:from>
      <cdr:x>0.14963</cdr:x>
      <cdr:y>0.04877</cdr:y>
    </cdr:from>
    <cdr:to>
      <cdr:x>0.20911</cdr:x>
      <cdr:y>0.16442</cdr:y>
    </cdr:to>
    <cdr:sp macro="" textlink="">
      <cdr:nvSpPr>
        <cdr:cNvPr id="2" name="Rectangle 1"/>
        <cdr:cNvSpPr/>
      </cdr:nvSpPr>
      <cdr:spPr>
        <a:xfrm xmlns:a="http://schemas.openxmlformats.org/drawingml/2006/main" rot="16200000">
          <a:off x="847253" y="1750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0.16283</cdr:x>
      <cdr:y>0.04877</cdr:y>
    </cdr:from>
    <cdr:to>
      <cdr:x>0.22231</cdr:x>
      <cdr:y>0.16442</cdr:y>
    </cdr:to>
    <cdr:sp macro="" textlink="">
      <cdr:nvSpPr>
        <cdr:cNvPr id="3" name="Rectangle 2"/>
        <cdr:cNvSpPr/>
      </cdr:nvSpPr>
      <cdr:spPr>
        <a:xfrm xmlns:a="http://schemas.openxmlformats.org/drawingml/2006/main" rot="16200000">
          <a:off x="923453" y="1750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0.17768</cdr:x>
      <cdr:y>0.04584</cdr:y>
    </cdr:from>
    <cdr:to>
      <cdr:x>0.23716</cdr:x>
      <cdr:y>0.16149</cdr:y>
    </cdr:to>
    <cdr:sp macro="" textlink="">
      <cdr:nvSpPr>
        <cdr:cNvPr id="4" name="Rectangle 3"/>
        <cdr:cNvSpPr/>
      </cdr:nvSpPr>
      <cdr:spPr>
        <a:xfrm xmlns:a="http://schemas.openxmlformats.org/drawingml/2006/main" rot="16200000">
          <a:off x="1009178" y="1655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0.19583</cdr:x>
      <cdr:y>0.04584</cdr:y>
    </cdr:from>
    <cdr:to>
      <cdr:x>0.25531</cdr:x>
      <cdr:y>0.16149</cdr:y>
    </cdr:to>
    <cdr:sp macro="" textlink="">
      <cdr:nvSpPr>
        <cdr:cNvPr id="5" name="Rectangle 4"/>
        <cdr:cNvSpPr/>
      </cdr:nvSpPr>
      <cdr:spPr>
        <a:xfrm xmlns:a="http://schemas.openxmlformats.org/drawingml/2006/main" rot="16200000">
          <a:off x="1113952" y="1655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0.21233</cdr:x>
      <cdr:y>0.04584</cdr:y>
    </cdr:from>
    <cdr:to>
      <cdr:x>0.27181</cdr:x>
      <cdr:y>0.16149</cdr:y>
    </cdr:to>
    <cdr:sp macro="" textlink="">
      <cdr:nvSpPr>
        <cdr:cNvPr id="6" name="Rectangle 5"/>
        <cdr:cNvSpPr/>
      </cdr:nvSpPr>
      <cdr:spPr>
        <a:xfrm xmlns:a="http://schemas.openxmlformats.org/drawingml/2006/main" rot="16200000">
          <a:off x="1209202" y="1655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0.22718</cdr:x>
      <cdr:y>0.04877</cdr:y>
    </cdr:from>
    <cdr:to>
      <cdr:x>0.28666</cdr:x>
      <cdr:y>0.16442</cdr:y>
    </cdr:to>
    <cdr:sp macro="" textlink="">
      <cdr:nvSpPr>
        <cdr:cNvPr id="7" name="Rectangle 6"/>
        <cdr:cNvSpPr/>
      </cdr:nvSpPr>
      <cdr:spPr>
        <a:xfrm xmlns:a="http://schemas.openxmlformats.org/drawingml/2006/main" rot="16200000">
          <a:off x="1294927" y="1750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0.51101</cdr:x>
      <cdr:y>0.2567</cdr:y>
    </cdr:from>
    <cdr:to>
      <cdr:x>0.57049</cdr:x>
      <cdr:y>0.37235</cdr:y>
    </cdr:to>
    <cdr:sp macro="" textlink="">
      <cdr:nvSpPr>
        <cdr:cNvPr id="8" name="Rectangle 7"/>
        <cdr:cNvSpPr/>
      </cdr:nvSpPr>
      <cdr:spPr>
        <a:xfrm xmlns:a="http://schemas.openxmlformats.org/drawingml/2006/main" rot="16200000">
          <a:off x="2933228" y="8513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0.52806</cdr:x>
      <cdr:y>0.2606</cdr:y>
    </cdr:from>
    <cdr:to>
      <cdr:x>0.58754</cdr:x>
      <cdr:y>0.37625</cdr:y>
    </cdr:to>
    <cdr:sp macro="" textlink="">
      <cdr:nvSpPr>
        <cdr:cNvPr id="9" name="Rectangle 8"/>
        <cdr:cNvSpPr/>
      </cdr:nvSpPr>
      <cdr:spPr>
        <a:xfrm xmlns:a="http://schemas.openxmlformats.org/drawingml/2006/main" rot="16200000">
          <a:off x="3031654" y="864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0.54457</cdr:x>
      <cdr:y>0.26353</cdr:y>
    </cdr:from>
    <cdr:to>
      <cdr:x>0.60405</cdr:x>
      <cdr:y>0.37918</cdr:y>
    </cdr:to>
    <cdr:sp macro="" textlink="">
      <cdr:nvSpPr>
        <cdr:cNvPr id="10" name="Rectangle 9"/>
        <cdr:cNvSpPr/>
      </cdr:nvSpPr>
      <cdr:spPr>
        <a:xfrm xmlns:a="http://schemas.openxmlformats.org/drawingml/2006/main" rot="16200000">
          <a:off x="3126904" y="8735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0.56107</cdr:x>
      <cdr:y>0.24889</cdr:y>
    </cdr:from>
    <cdr:to>
      <cdr:x>0.62055</cdr:x>
      <cdr:y>0.36454</cdr:y>
    </cdr:to>
    <cdr:sp macro="" textlink="">
      <cdr:nvSpPr>
        <cdr:cNvPr id="11" name="Rectangle 10"/>
        <cdr:cNvSpPr/>
      </cdr:nvSpPr>
      <cdr:spPr>
        <a:xfrm xmlns:a="http://schemas.openxmlformats.org/drawingml/2006/main" rot="16200000">
          <a:off x="3222154" y="8259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0.57757</cdr:x>
      <cdr:y>0.2606</cdr:y>
    </cdr:from>
    <cdr:to>
      <cdr:x>0.63705</cdr:x>
      <cdr:y>0.37625</cdr:y>
    </cdr:to>
    <cdr:sp macro="" textlink="">
      <cdr:nvSpPr>
        <cdr:cNvPr id="12" name="Rectangle 11"/>
        <cdr:cNvSpPr/>
      </cdr:nvSpPr>
      <cdr:spPr>
        <a:xfrm xmlns:a="http://schemas.openxmlformats.org/drawingml/2006/main" rot="16200000">
          <a:off x="3317404" y="864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0.59572</cdr:x>
      <cdr:y>0.26353</cdr:y>
    </cdr:from>
    <cdr:to>
      <cdr:x>0.6552</cdr:x>
      <cdr:y>0.37918</cdr:y>
    </cdr:to>
    <cdr:sp macro="" textlink="">
      <cdr:nvSpPr>
        <cdr:cNvPr id="13" name="Rectangle 12"/>
        <cdr:cNvSpPr/>
      </cdr:nvSpPr>
      <cdr:spPr>
        <a:xfrm xmlns:a="http://schemas.openxmlformats.org/drawingml/2006/main" rot="16200000">
          <a:off x="3422179" y="8735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0.26899</cdr:x>
      <cdr:y>0.66767</cdr:y>
    </cdr:from>
    <cdr:to>
      <cdr:x>0.32847</cdr:x>
      <cdr:y>0.78332</cdr:y>
    </cdr:to>
    <cdr:sp macro="" textlink="">
      <cdr:nvSpPr>
        <cdr:cNvPr id="14" name="Rectangle 13"/>
        <cdr:cNvSpPr/>
      </cdr:nvSpPr>
      <cdr:spPr>
        <a:xfrm xmlns:a="http://schemas.openxmlformats.org/drawingml/2006/main" rot="16200000">
          <a:off x="1536229" y="21879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0.28604</cdr:x>
      <cdr:y>0.62378</cdr:y>
    </cdr:from>
    <cdr:to>
      <cdr:x>0.34552</cdr:x>
      <cdr:y>0.77551</cdr:y>
    </cdr:to>
    <cdr:sp macro="" textlink="">
      <cdr:nvSpPr>
        <cdr:cNvPr id="15" name="Rectangle 14"/>
        <cdr:cNvSpPr/>
      </cdr:nvSpPr>
      <cdr:spPr>
        <a:xfrm xmlns:a="http://schemas.openxmlformats.org/drawingml/2006/main" rot="16200000">
          <a:off x="1575982" y="2103905"/>
          <a:ext cx="493494"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cde</a:t>
          </a:r>
        </a:p>
      </cdr:txBody>
    </cdr:sp>
  </cdr:relSizeAnchor>
  <cdr:relSizeAnchor xmlns:cdr="http://schemas.openxmlformats.org/drawingml/2006/chartDrawing">
    <cdr:from>
      <cdr:x>0.30254</cdr:x>
      <cdr:y>0.66864</cdr:y>
    </cdr:from>
    <cdr:to>
      <cdr:x>0.36202</cdr:x>
      <cdr:y>0.78429</cdr:y>
    </cdr:to>
    <cdr:sp macro="" textlink="">
      <cdr:nvSpPr>
        <cdr:cNvPr id="16" name="Rectangle 15"/>
        <cdr:cNvSpPr/>
      </cdr:nvSpPr>
      <cdr:spPr>
        <a:xfrm xmlns:a="http://schemas.openxmlformats.org/drawingml/2006/main" rot="16200000">
          <a:off x="1729905" y="21911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0.31904</cdr:x>
      <cdr:y>0.64814</cdr:y>
    </cdr:from>
    <cdr:to>
      <cdr:x>0.37852</cdr:x>
      <cdr:y>0.76379</cdr:y>
    </cdr:to>
    <cdr:sp macro="" textlink="">
      <cdr:nvSpPr>
        <cdr:cNvPr id="17" name="Rectangle 16"/>
        <cdr:cNvSpPr/>
      </cdr:nvSpPr>
      <cdr:spPr>
        <a:xfrm xmlns:a="http://schemas.openxmlformats.org/drawingml/2006/main" rot="16200000">
          <a:off x="1825155" y="21244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0.33554</cdr:x>
      <cdr:y>0.65693</cdr:y>
    </cdr:from>
    <cdr:to>
      <cdr:x>0.39503</cdr:x>
      <cdr:y>0.77258</cdr:y>
    </cdr:to>
    <cdr:sp macro="" textlink="">
      <cdr:nvSpPr>
        <cdr:cNvPr id="18" name="Rectangle 17"/>
        <cdr:cNvSpPr/>
      </cdr:nvSpPr>
      <cdr:spPr>
        <a:xfrm xmlns:a="http://schemas.openxmlformats.org/drawingml/2006/main" rot="16200000">
          <a:off x="1920405" y="21530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this</a:t>
          </a:r>
        </a:p>
      </cdr:txBody>
    </cdr:sp>
  </cdr:relSizeAnchor>
  <cdr:relSizeAnchor xmlns:cdr="http://schemas.openxmlformats.org/drawingml/2006/chartDrawing">
    <cdr:from>
      <cdr:x>0.35535</cdr:x>
      <cdr:y>0.66279</cdr:y>
    </cdr:from>
    <cdr:to>
      <cdr:x>0.41483</cdr:x>
      <cdr:y>0.77844</cdr:y>
    </cdr:to>
    <cdr:sp macro="" textlink="">
      <cdr:nvSpPr>
        <cdr:cNvPr id="19" name="Rectangle 18"/>
        <cdr:cNvSpPr/>
      </cdr:nvSpPr>
      <cdr:spPr>
        <a:xfrm xmlns:a="http://schemas.openxmlformats.org/drawingml/2006/main" rot="16200000">
          <a:off x="2034705" y="21721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0.39</cdr:x>
      <cdr:y>0.66572</cdr:y>
    </cdr:from>
    <cdr:to>
      <cdr:x>0.44948</cdr:x>
      <cdr:y>0.78137</cdr:y>
    </cdr:to>
    <cdr:sp macro="" textlink="">
      <cdr:nvSpPr>
        <cdr:cNvPr id="20" name="Rectangle 19"/>
        <cdr:cNvSpPr/>
      </cdr:nvSpPr>
      <cdr:spPr>
        <a:xfrm xmlns:a="http://schemas.openxmlformats.org/drawingml/2006/main" rot="16200000">
          <a:off x="2234730" y="21816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0.4065</cdr:x>
      <cdr:y>0.66279</cdr:y>
    </cdr:from>
    <cdr:to>
      <cdr:x>0.46598</cdr:x>
      <cdr:y>0.77844</cdr:y>
    </cdr:to>
    <cdr:sp macro="" textlink="">
      <cdr:nvSpPr>
        <cdr:cNvPr id="21" name="Rectangle 20"/>
        <cdr:cNvSpPr/>
      </cdr:nvSpPr>
      <cdr:spPr>
        <a:xfrm xmlns:a="http://schemas.openxmlformats.org/drawingml/2006/main" rot="16200000">
          <a:off x="2329980" y="21721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0.4263</cdr:x>
      <cdr:y>0.66279</cdr:y>
    </cdr:from>
    <cdr:to>
      <cdr:x>0.48578</cdr:x>
      <cdr:y>0.77844</cdr:y>
    </cdr:to>
    <cdr:sp macro="" textlink="">
      <cdr:nvSpPr>
        <cdr:cNvPr id="22" name="Rectangle 21"/>
        <cdr:cNvSpPr/>
      </cdr:nvSpPr>
      <cdr:spPr>
        <a:xfrm xmlns:a="http://schemas.openxmlformats.org/drawingml/2006/main" rot="16200000">
          <a:off x="2444280" y="21721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0.44446</cdr:x>
      <cdr:y>0.66572</cdr:y>
    </cdr:from>
    <cdr:to>
      <cdr:x>0.50394</cdr:x>
      <cdr:y>0.78137</cdr:y>
    </cdr:to>
    <cdr:sp macro="" textlink="">
      <cdr:nvSpPr>
        <cdr:cNvPr id="23" name="Rectangle 22"/>
        <cdr:cNvSpPr/>
      </cdr:nvSpPr>
      <cdr:spPr>
        <a:xfrm xmlns:a="http://schemas.openxmlformats.org/drawingml/2006/main" rot="16200000">
          <a:off x="2549055" y="21816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0.46426</cdr:x>
      <cdr:y>0.66279</cdr:y>
    </cdr:from>
    <cdr:to>
      <cdr:x>0.52374</cdr:x>
      <cdr:y>0.77844</cdr:y>
    </cdr:to>
    <cdr:sp macro="" textlink="">
      <cdr:nvSpPr>
        <cdr:cNvPr id="24" name="Rectangle 23"/>
        <cdr:cNvSpPr/>
      </cdr:nvSpPr>
      <cdr:spPr>
        <a:xfrm xmlns:a="http://schemas.openxmlformats.org/drawingml/2006/main" rot="16200000">
          <a:off x="2663355" y="21721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0.48076</cdr:x>
      <cdr:y>0.66572</cdr:y>
    </cdr:from>
    <cdr:to>
      <cdr:x>0.54024</cdr:x>
      <cdr:y>0.78137</cdr:y>
    </cdr:to>
    <cdr:sp macro="" textlink="">
      <cdr:nvSpPr>
        <cdr:cNvPr id="25" name="Rectangle 24"/>
        <cdr:cNvSpPr/>
      </cdr:nvSpPr>
      <cdr:spPr>
        <a:xfrm xmlns:a="http://schemas.openxmlformats.org/drawingml/2006/main" rot="16200000">
          <a:off x="2758605" y="21816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0.62762</cdr:x>
      <cdr:y>0.66864</cdr:y>
    </cdr:from>
    <cdr:to>
      <cdr:x>0.6871</cdr:x>
      <cdr:y>0.78429</cdr:y>
    </cdr:to>
    <cdr:sp macro="" textlink="">
      <cdr:nvSpPr>
        <cdr:cNvPr id="26" name="Rectangle 25"/>
        <cdr:cNvSpPr/>
      </cdr:nvSpPr>
      <cdr:spPr>
        <a:xfrm xmlns:a="http://schemas.openxmlformats.org/drawingml/2006/main" rot="16200000">
          <a:off x="3606330" y="21911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0.64413</cdr:x>
      <cdr:y>0.66572</cdr:y>
    </cdr:from>
    <cdr:to>
      <cdr:x>0.70361</cdr:x>
      <cdr:y>0.78137</cdr:y>
    </cdr:to>
    <cdr:sp macro="" textlink="">
      <cdr:nvSpPr>
        <cdr:cNvPr id="27" name="Rectangle 26"/>
        <cdr:cNvSpPr/>
      </cdr:nvSpPr>
      <cdr:spPr>
        <a:xfrm xmlns:a="http://schemas.openxmlformats.org/drawingml/2006/main" rot="16200000">
          <a:off x="3701580" y="21816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0.66393</cdr:x>
      <cdr:y>0.6745</cdr:y>
    </cdr:from>
    <cdr:to>
      <cdr:x>0.72341</cdr:x>
      <cdr:y>0.79015</cdr:y>
    </cdr:to>
    <cdr:sp macro="" textlink="">
      <cdr:nvSpPr>
        <cdr:cNvPr id="28" name="Rectangle 27"/>
        <cdr:cNvSpPr/>
      </cdr:nvSpPr>
      <cdr:spPr>
        <a:xfrm xmlns:a="http://schemas.openxmlformats.org/drawingml/2006/main" rot="16200000">
          <a:off x="3815880" y="22102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0.68208</cdr:x>
      <cdr:y>0.67743</cdr:y>
    </cdr:from>
    <cdr:to>
      <cdr:x>0.74156</cdr:x>
      <cdr:y>0.79308</cdr:y>
    </cdr:to>
    <cdr:sp macro="" textlink="">
      <cdr:nvSpPr>
        <cdr:cNvPr id="29" name="Rectangle 28"/>
        <cdr:cNvSpPr/>
      </cdr:nvSpPr>
      <cdr:spPr>
        <a:xfrm xmlns:a="http://schemas.openxmlformats.org/drawingml/2006/main" rot="16200000">
          <a:off x="3920655" y="22197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0.70023</cdr:x>
      <cdr:y>0.66864</cdr:y>
    </cdr:from>
    <cdr:to>
      <cdr:x>0.75971</cdr:x>
      <cdr:y>0.78429</cdr:y>
    </cdr:to>
    <cdr:sp macro="" textlink="">
      <cdr:nvSpPr>
        <cdr:cNvPr id="30" name="Rectangle 29"/>
        <cdr:cNvSpPr/>
      </cdr:nvSpPr>
      <cdr:spPr>
        <a:xfrm xmlns:a="http://schemas.openxmlformats.org/drawingml/2006/main" rot="16200000">
          <a:off x="4025430" y="21911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0.71673</cdr:x>
      <cdr:y>0.67743</cdr:y>
    </cdr:from>
    <cdr:to>
      <cdr:x>0.77621</cdr:x>
      <cdr:y>0.79308</cdr:y>
    </cdr:to>
    <cdr:sp macro="" textlink="">
      <cdr:nvSpPr>
        <cdr:cNvPr id="31" name="Rectangle 30"/>
        <cdr:cNvSpPr/>
      </cdr:nvSpPr>
      <cdr:spPr>
        <a:xfrm xmlns:a="http://schemas.openxmlformats.org/drawingml/2006/main" rot="16200000">
          <a:off x="4120680" y="22197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0.76184</cdr:x>
      <cdr:y>0.68134</cdr:y>
    </cdr:from>
    <cdr:to>
      <cdr:x>0.82132</cdr:x>
      <cdr:y>0.79698</cdr:y>
    </cdr:to>
    <cdr:sp macro="" textlink="">
      <cdr:nvSpPr>
        <cdr:cNvPr id="32" name="Rectangle 31"/>
        <cdr:cNvSpPr/>
      </cdr:nvSpPr>
      <cdr:spPr>
        <a:xfrm xmlns:a="http://schemas.openxmlformats.org/drawingml/2006/main" rot="16200000">
          <a:off x="4381031" y="22324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0.77559</cdr:x>
      <cdr:y>0.68231</cdr:y>
    </cdr:from>
    <cdr:to>
      <cdr:x>0.83507</cdr:x>
      <cdr:y>0.79796</cdr:y>
    </cdr:to>
    <cdr:sp macro="" textlink="">
      <cdr:nvSpPr>
        <cdr:cNvPr id="33" name="Rectangle 32"/>
        <cdr:cNvSpPr/>
      </cdr:nvSpPr>
      <cdr:spPr>
        <a:xfrm xmlns:a="http://schemas.openxmlformats.org/drawingml/2006/main" rot="16200000">
          <a:off x="4460407" y="22356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0.78879</cdr:x>
      <cdr:y>0.67938</cdr:y>
    </cdr:from>
    <cdr:to>
      <cdr:x>0.84827</cdr:x>
      <cdr:y>0.79503</cdr:y>
    </cdr:to>
    <cdr:sp macro="" textlink="">
      <cdr:nvSpPr>
        <cdr:cNvPr id="34" name="Rectangle 33"/>
        <cdr:cNvSpPr/>
      </cdr:nvSpPr>
      <cdr:spPr>
        <a:xfrm xmlns:a="http://schemas.openxmlformats.org/drawingml/2006/main" rot="16200000">
          <a:off x="4536607" y="22260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0.80199</cdr:x>
      <cdr:y>0.68231</cdr:y>
    </cdr:from>
    <cdr:to>
      <cdr:x>0.86147</cdr:x>
      <cdr:y>0.79796</cdr:y>
    </cdr:to>
    <cdr:sp macro="" textlink="">
      <cdr:nvSpPr>
        <cdr:cNvPr id="35" name="Rectangle 34"/>
        <cdr:cNvSpPr/>
      </cdr:nvSpPr>
      <cdr:spPr>
        <a:xfrm xmlns:a="http://schemas.openxmlformats.org/drawingml/2006/main" rot="16200000">
          <a:off x="4612807" y="22356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0.81519</cdr:x>
      <cdr:y>0.68231</cdr:y>
    </cdr:from>
    <cdr:to>
      <cdr:x>0.87467</cdr:x>
      <cdr:y>0.79796</cdr:y>
    </cdr:to>
    <cdr:sp macro="" textlink="">
      <cdr:nvSpPr>
        <cdr:cNvPr id="36" name="Rectangle 35"/>
        <cdr:cNvSpPr/>
      </cdr:nvSpPr>
      <cdr:spPr>
        <a:xfrm xmlns:a="http://schemas.openxmlformats.org/drawingml/2006/main" rot="16200000">
          <a:off x="4689007" y="22356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0.82839</cdr:x>
      <cdr:y>0.67938</cdr:y>
    </cdr:from>
    <cdr:to>
      <cdr:x>0.88788</cdr:x>
      <cdr:y>0.79503</cdr:y>
    </cdr:to>
    <cdr:sp macro="" textlink="">
      <cdr:nvSpPr>
        <cdr:cNvPr id="37" name="Rectangle 36"/>
        <cdr:cNvSpPr/>
      </cdr:nvSpPr>
      <cdr:spPr>
        <a:xfrm xmlns:a="http://schemas.openxmlformats.org/drawingml/2006/main" rot="16200000">
          <a:off x="4765207" y="22260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userShapes>
</file>

<file path=word/drawings/drawing6.xml><?xml version="1.0" encoding="utf-8"?>
<c:userShapes xmlns:c="http://schemas.openxmlformats.org/drawingml/2006/chart">
  <cdr:relSizeAnchor xmlns:cdr="http://schemas.openxmlformats.org/drawingml/2006/chartDrawing">
    <cdr:from>
      <cdr:x>0.09795</cdr:x>
      <cdr:y>0.49292</cdr:y>
    </cdr:from>
    <cdr:to>
      <cdr:x>0.15988</cdr:x>
      <cdr:y>0.60416</cdr:y>
    </cdr:to>
    <cdr:sp macro="" textlink="">
      <cdr:nvSpPr>
        <cdr:cNvPr id="2" name="Rectangle 1"/>
        <cdr:cNvSpPr/>
      </cdr:nvSpPr>
      <cdr:spPr>
        <a:xfrm xmlns:a="http://schemas.openxmlformats.org/drawingml/2006/main" rot="16200000">
          <a:off x="526579" y="16831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0.1157</cdr:x>
      <cdr:y>0.51358</cdr:y>
    </cdr:from>
    <cdr:to>
      <cdr:x>0.17764</cdr:x>
      <cdr:y>0.62482</cdr:y>
    </cdr:to>
    <cdr:sp macro="" textlink="">
      <cdr:nvSpPr>
        <cdr:cNvPr id="3" name="Rectangle 2"/>
        <cdr:cNvSpPr/>
      </cdr:nvSpPr>
      <cdr:spPr>
        <a:xfrm xmlns:a="http://schemas.openxmlformats.org/drawingml/2006/main" rot="16200000">
          <a:off x="625005" y="1753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0.1346</cdr:x>
      <cdr:y>0.50513</cdr:y>
    </cdr:from>
    <cdr:to>
      <cdr:x>0.19654</cdr:x>
      <cdr:y>0.61637</cdr:y>
    </cdr:to>
    <cdr:sp macro="" textlink="">
      <cdr:nvSpPr>
        <cdr:cNvPr id="4" name="Rectangle 3"/>
        <cdr:cNvSpPr/>
      </cdr:nvSpPr>
      <cdr:spPr>
        <a:xfrm xmlns:a="http://schemas.openxmlformats.org/drawingml/2006/main" rot="16200000">
          <a:off x="729780" y="17244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0.1535</cdr:x>
      <cdr:y>0.48541</cdr:y>
    </cdr:from>
    <cdr:to>
      <cdr:x>0.21544</cdr:x>
      <cdr:y>0.59665</cdr:y>
    </cdr:to>
    <cdr:sp macro="" textlink="">
      <cdr:nvSpPr>
        <cdr:cNvPr id="5" name="Rectangle 4"/>
        <cdr:cNvSpPr/>
      </cdr:nvSpPr>
      <cdr:spPr>
        <a:xfrm xmlns:a="http://schemas.openxmlformats.org/drawingml/2006/main" rot="16200000">
          <a:off x="834555" y="16577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0.17069</cdr:x>
      <cdr:y>0.51358</cdr:y>
    </cdr:from>
    <cdr:to>
      <cdr:x>0.23262</cdr:x>
      <cdr:y>0.62482</cdr:y>
    </cdr:to>
    <cdr:sp macro="" textlink="">
      <cdr:nvSpPr>
        <cdr:cNvPr id="6" name="Rectangle 5"/>
        <cdr:cNvSpPr/>
      </cdr:nvSpPr>
      <cdr:spPr>
        <a:xfrm xmlns:a="http://schemas.openxmlformats.org/drawingml/2006/main" rot="16200000">
          <a:off x="929805" y="1753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0.18959</cdr:x>
      <cdr:y>0.49668</cdr:y>
    </cdr:from>
    <cdr:to>
      <cdr:x>0.25152</cdr:x>
      <cdr:y>0.60792</cdr:y>
    </cdr:to>
    <cdr:sp macro="" textlink="">
      <cdr:nvSpPr>
        <cdr:cNvPr id="7" name="Rectangle 6"/>
        <cdr:cNvSpPr/>
      </cdr:nvSpPr>
      <cdr:spPr>
        <a:xfrm xmlns:a="http://schemas.openxmlformats.org/drawingml/2006/main" rot="16200000">
          <a:off x="1034580" y="16958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0.22911</cdr:x>
      <cdr:y>0.27606</cdr:y>
    </cdr:from>
    <cdr:to>
      <cdr:x>0.29104</cdr:x>
      <cdr:y>0.44172</cdr:y>
    </cdr:to>
    <cdr:sp macro="" textlink="">
      <cdr:nvSpPr>
        <cdr:cNvPr id="8" name="Rectangle 7"/>
        <cdr:cNvSpPr/>
      </cdr:nvSpPr>
      <cdr:spPr>
        <a:xfrm xmlns:a="http://schemas.openxmlformats.org/drawingml/2006/main" rot="16200000">
          <a:off x="1161644" y="10418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0.24858</cdr:x>
      <cdr:y>0.27981</cdr:y>
    </cdr:from>
    <cdr:to>
      <cdr:x>0.31051</cdr:x>
      <cdr:y>0.44547</cdr:y>
    </cdr:to>
    <cdr:sp macro="" textlink="">
      <cdr:nvSpPr>
        <cdr:cNvPr id="9" name="Rectangle 8"/>
        <cdr:cNvSpPr/>
      </cdr:nvSpPr>
      <cdr:spPr>
        <a:xfrm xmlns:a="http://schemas.openxmlformats.org/drawingml/2006/main" rot="16200000">
          <a:off x="1269595" y="10545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0.26748</cdr:x>
      <cdr:y>0.32207</cdr:y>
    </cdr:from>
    <cdr:to>
      <cdr:x>0.32941</cdr:x>
      <cdr:y>0.48773</cdr:y>
    </cdr:to>
    <cdr:sp macro="" textlink="">
      <cdr:nvSpPr>
        <cdr:cNvPr id="10" name="Rectangle 9"/>
        <cdr:cNvSpPr/>
      </cdr:nvSpPr>
      <cdr:spPr>
        <a:xfrm xmlns:a="http://schemas.openxmlformats.org/drawingml/2006/main" rot="16200000">
          <a:off x="1374371" y="119744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0.28638</cdr:x>
      <cdr:y>0.27981</cdr:y>
    </cdr:from>
    <cdr:to>
      <cdr:x>0.34831</cdr:x>
      <cdr:y>0.44547</cdr:y>
    </cdr:to>
    <cdr:sp macro="" textlink="">
      <cdr:nvSpPr>
        <cdr:cNvPr id="11" name="Rectangle 10"/>
        <cdr:cNvSpPr/>
      </cdr:nvSpPr>
      <cdr:spPr>
        <a:xfrm xmlns:a="http://schemas.openxmlformats.org/drawingml/2006/main" rot="16200000">
          <a:off x="1479145" y="10545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0.29841</cdr:x>
      <cdr:y>0.35869</cdr:y>
    </cdr:from>
    <cdr:to>
      <cdr:x>0.36034</cdr:x>
      <cdr:y>0.52435</cdr:y>
    </cdr:to>
    <cdr:sp macro="" textlink="">
      <cdr:nvSpPr>
        <cdr:cNvPr id="12" name="Rectangle 11"/>
        <cdr:cNvSpPr/>
      </cdr:nvSpPr>
      <cdr:spPr>
        <a:xfrm xmlns:a="http://schemas.openxmlformats.org/drawingml/2006/main" rot="16200000">
          <a:off x="1545820" y="13212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0.31387</cdr:x>
      <cdr:y>0.31643</cdr:y>
    </cdr:from>
    <cdr:to>
      <cdr:x>0.37581</cdr:x>
      <cdr:y>0.48209</cdr:y>
    </cdr:to>
    <cdr:sp macro="" textlink="">
      <cdr:nvSpPr>
        <cdr:cNvPr id="13" name="Rectangle 12"/>
        <cdr:cNvSpPr/>
      </cdr:nvSpPr>
      <cdr:spPr>
        <a:xfrm xmlns:a="http://schemas.openxmlformats.org/drawingml/2006/main" rot="16200000">
          <a:off x="1631545" y="117839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0.35167</cdr:x>
      <cdr:y>0.20939</cdr:y>
    </cdr:from>
    <cdr:to>
      <cdr:x>0.41361</cdr:x>
      <cdr:y>0.37505</cdr:y>
    </cdr:to>
    <cdr:sp macro="" textlink="">
      <cdr:nvSpPr>
        <cdr:cNvPr id="14" name="Rectangle 13"/>
        <cdr:cNvSpPr/>
      </cdr:nvSpPr>
      <cdr:spPr>
        <a:xfrm xmlns:a="http://schemas.openxmlformats.org/drawingml/2006/main" rot="16200000">
          <a:off x="1841095" y="81644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0.37229</cdr:x>
      <cdr:y>0.23192</cdr:y>
    </cdr:from>
    <cdr:to>
      <cdr:x>0.43422</cdr:x>
      <cdr:y>0.39759</cdr:y>
    </cdr:to>
    <cdr:sp macro="" textlink="">
      <cdr:nvSpPr>
        <cdr:cNvPr id="15" name="Rectangle 14"/>
        <cdr:cNvSpPr/>
      </cdr:nvSpPr>
      <cdr:spPr>
        <a:xfrm xmlns:a="http://schemas.openxmlformats.org/drawingml/2006/main" rot="16200000">
          <a:off x="1955395" y="89264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0.39119</cdr:x>
      <cdr:y>0.25446</cdr:y>
    </cdr:from>
    <cdr:to>
      <cdr:x>0.45313</cdr:x>
      <cdr:y>0.42012</cdr:y>
    </cdr:to>
    <cdr:sp macro="" textlink="">
      <cdr:nvSpPr>
        <cdr:cNvPr id="16" name="Rectangle 15"/>
        <cdr:cNvSpPr/>
      </cdr:nvSpPr>
      <cdr:spPr>
        <a:xfrm xmlns:a="http://schemas.openxmlformats.org/drawingml/2006/main" rot="16200000">
          <a:off x="2060170" y="96884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0.40837</cdr:x>
      <cdr:y>0.28826</cdr:y>
    </cdr:from>
    <cdr:to>
      <cdr:x>0.47031</cdr:x>
      <cdr:y>0.45393</cdr:y>
    </cdr:to>
    <cdr:sp macro="" textlink="">
      <cdr:nvSpPr>
        <cdr:cNvPr id="17" name="Rectangle 16"/>
        <cdr:cNvSpPr/>
      </cdr:nvSpPr>
      <cdr:spPr>
        <a:xfrm xmlns:a="http://schemas.openxmlformats.org/drawingml/2006/main" rot="16200000">
          <a:off x="2155420" y="108314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0.42727</cdr:x>
      <cdr:y>0.34742</cdr:y>
    </cdr:from>
    <cdr:to>
      <cdr:x>0.48921</cdr:x>
      <cdr:y>0.51308</cdr:y>
    </cdr:to>
    <cdr:sp macro="" textlink="">
      <cdr:nvSpPr>
        <cdr:cNvPr id="18" name="Rectangle 17"/>
        <cdr:cNvSpPr/>
      </cdr:nvSpPr>
      <cdr:spPr>
        <a:xfrm xmlns:a="http://schemas.openxmlformats.org/drawingml/2006/main" rot="16200000">
          <a:off x="2260195" y="12831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0.44789</cdr:x>
      <cdr:y>0.3277</cdr:y>
    </cdr:from>
    <cdr:to>
      <cdr:x>0.50983</cdr:x>
      <cdr:y>0.49336</cdr:y>
    </cdr:to>
    <cdr:sp macro="" textlink="">
      <cdr:nvSpPr>
        <cdr:cNvPr id="19" name="Rectangle 18"/>
        <cdr:cNvSpPr/>
      </cdr:nvSpPr>
      <cdr:spPr>
        <a:xfrm xmlns:a="http://schemas.openxmlformats.org/drawingml/2006/main" rot="16200000">
          <a:off x="2374495" y="121649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0.48283</cdr:x>
      <cdr:y>0.37371</cdr:y>
    </cdr:from>
    <cdr:to>
      <cdr:x>0.54476</cdr:x>
      <cdr:y>0.53937</cdr:y>
    </cdr:to>
    <cdr:sp macro="" textlink="">
      <cdr:nvSpPr>
        <cdr:cNvPr id="20" name="Rectangle 19"/>
        <cdr:cNvSpPr/>
      </cdr:nvSpPr>
      <cdr:spPr>
        <a:xfrm xmlns:a="http://schemas.openxmlformats.org/drawingml/2006/main" rot="16200000">
          <a:off x="2568171" y="1372068"/>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0.50345</cdr:x>
      <cdr:y>0.38216</cdr:y>
    </cdr:from>
    <cdr:to>
      <cdr:x>0.56538</cdr:x>
      <cdr:y>0.54782</cdr:y>
    </cdr:to>
    <cdr:sp macro="" textlink="">
      <cdr:nvSpPr>
        <cdr:cNvPr id="21" name="Rectangle 20"/>
        <cdr:cNvSpPr/>
      </cdr:nvSpPr>
      <cdr:spPr>
        <a:xfrm xmlns:a="http://schemas.openxmlformats.org/drawingml/2006/main" rot="16200000">
          <a:off x="2682471" y="1400644"/>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0.52235</cdr:x>
      <cdr:y>0.37089</cdr:y>
    </cdr:from>
    <cdr:to>
      <cdr:x>0.58428</cdr:x>
      <cdr:y>0.53656</cdr:y>
    </cdr:to>
    <cdr:sp macro="" textlink="">
      <cdr:nvSpPr>
        <cdr:cNvPr id="22" name="Rectangle 21"/>
        <cdr:cNvSpPr/>
      </cdr:nvSpPr>
      <cdr:spPr>
        <a:xfrm xmlns:a="http://schemas.openxmlformats.org/drawingml/2006/main" rot="16200000">
          <a:off x="2787246" y="1362544"/>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0.54297</cdr:x>
      <cdr:y>0.34836</cdr:y>
    </cdr:from>
    <cdr:to>
      <cdr:x>0.6049</cdr:x>
      <cdr:y>0.51402</cdr:y>
    </cdr:to>
    <cdr:sp macro="" textlink="">
      <cdr:nvSpPr>
        <cdr:cNvPr id="23" name="Rectangle 22"/>
        <cdr:cNvSpPr/>
      </cdr:nvSpPr>
      <cdr:spPr>
        <a:xfrm xmlns:a="http://schemas.openxmlformats.org/drawingml/2006/main" rot="16200000">
          <a:off x="2901546" y="1286343"/>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0.55843</cdr:x>
      <cdr:y>0.38216</cdr:y>
    </cdr:from>
    <cdr:to>
      <cdr:x>0.62036</cdr:x>
      <cdr:y>0.54782</cdr:y>
    </cdr:to>
    <cdr:sp macro="" textlink="">
      <cdr:nvSpPr>
        <cdr:cNvPr id="24" name="Rectangle 23"/>
        <cdr:cNvSpPr/>
      </cdr:nvSpPr>
      <cdr:spPr>
        <a:xfrm xmlns:a="http://schemas.openxmlformats.org/drawingml/2006/main" rot="16200000">
          <a:off x="2987270" y="1400644"/>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0.57733</cdr:x>
      <cdr:y>0.38779</cdr:y>
    </cdr:from>
    <cdr:to>
      <cdr:x>0.63926</cdr:x>
      <cdr:y>0.55346</cdr:y>
    </cdr:to>
    <cdr:sp macro="" textlink="">
      <cdr:nvSpPr>
        <cdr:cNvPr id="25" name="Rectangle 24"/>
        <cdr:cNvSpPr/>
      </cdr:nvSpPr>
      <cdr:spPr>
        <a:xfrm xmlns:a="http://schemas.openxmlformats.org/drawingml/2006/main" rot="16200000">
          <a:off x="3092045" y="1419694"/>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0.60826</cdr:x>
      <cdr:y>0.25258</cdr:y>
    </cdr:from>
    <cdr:to>
      <cdr:x>0.67019</cdr:x>
      <cdr:y>0.41825</cdr:y>
    </cdr:to>
    <cdr:sp macro="" textlink="">
      <cdr:nvSpPr>
        <cdr:cNvPr id="26" name="Rectangle 25"/>
        <cdr:cNvSpPr/>
      </cdr:nvSpPr>
      <cdr:spPr>
        <a:xfrm xmlns:a="http://schemas.openxmlformats.org/drawingml/2006/main" rot="16200000">
          <a:off x="3263497" y="962493"/>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0.62888</cdr:x>
      <cdr:y>0.32864</cdr:y>
    </cdr:from>
    <cdr:to>
      <cdr:x>0.69081</cdr:x>
      <cdr:y>0.4943</cdr:y>
    </cdr:to>
    <cdr:sp macro="" textlink="">
      <cdr:nvSpPr>
        <cdr:cNvPr id="27" name="Rectangle 26"/>
        <cdr:cNvSpPr/>
      </cdr:nvSpPr>
      <cdr:spPr>
        <a:xfrm xmlns:a="http://schemas.openxmlformats.org/drawingml/2006/main" rot="16200000">
          <a:off x="3377796" y="1219669"/>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0.64778</cdr:x>
      <cdr:y>0.34836</cdr:y>
    </cdr:from>
    <cdr:to>
      <cdr:x>0.70971</cdr:x>
      <cdr:y>0.51402</cdr:y>
    </cdr:to>
    <cdr:sp macro="" textlink="">
      <cdr:nvSpPr>
        <cdr:cNvPr id="28" name="Rectangle 27"/>
        <cdr:cNvSpPr/>
      </cdr:nvSpPr>
      <cdr:spPr>
        <a:xfrm xmlns:a="http://schemas.openxmlformats.org/drawingml/2006/main" rot="16200000">
          <a:off x="3482570" y="1286344"/>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0.66496</cdr:x>
      <cdr:y>0.21596</cdr:y>
    </cdr:from>
    <cdr:to>
      <cdr:x>0.72689</cdr:x>
      <cdr:y>0.38163</cdr:y>
    </cdr:to>
    <cdr:sp macro="" textlink="">
      <cdr:nvSpPr>
        <cdr:cNvPr id="29" name="Rectangle 28"/>
        <cdr:cNvSpPr/>
      </cdr:nvSpPr>
      <cdr:spPr>
        <a:xfrm xmlns:a="http://schemas.openxmlformats.org/drawingml/2006/main" rot="16200000">
          <a:off x="3577821" y="838668"/>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0.68214</cdr:x>
      <cdr:y>0.31737</cdr:y>
    </cdr:from>
    <cdr:to>
      <cdr:x>0.74408</cdr:x>
      <cdr:y>0.48303</cdr:y>
    </cdr:to>
    <cdr:sp macro="" textlink="">
      <cdr:nvSpPr>
        <cdr:cNvPr id="30" name="Rectangle 29"/>
        <cdr:cNvSpPr/>
      </cdr:nvSpPr>
      <cdr:spPr>
        <a:xfrm xmlns:a="http://schemas.openxmlformats.org/drawingml/2006/main" rot="16200000">
          <a:off x="3673071" y="1181568"/>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0.70276</cdr:x>
      <cdr:y>0.27793</cdr:y>
    </cdr:from>
    <cdr:to>
      <cdr:x>0.76469</cdr:x>
      <cdr:y>0.4436</cdr:y>
    </cdr:to>
    <cdr:sp macro="" textlink="">
      <cdr:nvSpPr>
        <cdr:cNvPr id="31" name="Rectangle 30"/>
        <cdr:cNvSpPr/>
      </cdr:nvSpPr>
      <cdr:spPr>
        <a:xfrm xmlns:a="http://schemas.openxmlformats.org/drawingml/2006/main" rot="16200000">
          <a:off x="3787371" y="104821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0.73884</cdr:x>
      <cdr:y>0.17371</cdr:y>
    </cdr:from>
    <cdr:to>
      <cdr:x>0.80078</cdr:x>
      <cdr:y>0.33937</cdr:y>
    </cdr:to>
    <cdr:sp macro="" textlink="">
      <cdr:nvSpPr>
        <cdr:cNvPr id="32" name="Rectangle 31"/>
        <cdr:cNvSpPr/>
      </cdr:nvSpPr>
      <cdr:spPr>
        <a:xfrm xmlns:a="http://schemas.openxmlformats.org/drawingml/2006/main" rot="16200000">
          <a:off x="3987396" y="69579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0.75431</cdr:x>
      <cdr:y>0.2385</cdr:y>
    </cdr:from>
    <cdr:to>
      <cdr:x>0.81624</cdr:x>
      <cdr:y>0.40416</cdr:y>
    </cdr:to>
    <cdr:sp macro="" textlink="">
      <cdr:nvSpPr>
        <cdr:cNvPr id="33" name="Rectangle 32"/>
        <cdr:cNvSpPr/>
      </cdr:nvSpPr>
      <cdr:spPr>
        <a:xfrm xmlns:a="http://schemas.openxmlformats.org/drawingml/2006/main" rot="16200000">
          <a:off x="4073122" y="9148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0.77149</cdr:x>
      <cdr:y>0.21596</cdr:y>
    </cdr:from>
    <cdr:to>
      <cdr:x>0.83342</cdr:x>
      <cdr:y>0.38163</cdr:y>
    </cdr:to>
    <cdr:sp macro="" textlink="">
      <cdr:nvSpPr>
        <cdr:cNvPr id="34" name="Rectangle 33"/>
        <cdr:cNvSpPr/>
      </cdr:nvSpPr>
      <cdr:spPr>
        <a:xfrm xmlns:a="http://schemas.openxmlformats.org/drawingml/2006/main" rot="16200000">
          <a:off x="4168372" y="8386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0.78867</cdr:x>
      <cdr:y>0.02441</cdr:y>
    </cdr:from>
    <cdr:to>
      <cdr:x>0.85061</cdr:x>
      <cdr:y>0.19008</cdr:y>
    </cdr:to>
    <cdr:sp macro="" textlink="">
      <cdr:nvSpPr>
        <cdr:cNvPr id="35" name="Rectangle 34"/>
        <cdr:cNvSpPr/>
      </cdr:nvSpPr>
      <cdr:spPr>
        <a:xfrm xmlns:a="http://schemas.openxmlformats.org/drawingml/2006/main" rot="16200000">
          <a:off x="4263622" y="190966"/>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0.81158</cdr:x>
      <cdr:y>0.22535</cdr:y>
    </cdr:from>
    <cdr:to>
      <cdr:x>0.87352</cdr:x>
      <cdr:y>0.39101</cdr:y>
    </cdr:to>
    <cdr:sp macro="" textlink="">
      <cdr:nvSpPr>
        <cdr:cNvPr id="36" name="Rectangle 35"/>
        <cdr:cNvSpPr/>
      </cdr:nvSpPr>
      <cdr:spPr>
        <a:xfrm xmlns:a="http://schemas.openxmlformats.org/drawingml/2006/main" rot="16200000">
          <a:off x="4390623" y="87041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0.82876</cdr:x>
      <cdr:y>0.21408</cdr:y>
    </cdr:from>
    <cdr:to>
      <cdr:x>0.8907</cdr:x>
      <cdr:y>0.37975</cdr:y>
    </cdr:to>
    <cdr:sp macro="" textlink="">
      <cdr:nvSpPr>
        <cdr:cNvPr id="37" name="Rectangle 36"/>
        <cdr:cNvSpPr/>
      </cdr:nvSpPr>
      <cdr:spPr>
        <a:xfrm xmlns:a="http://schemas.openxmlformats.org/drawingml/2006/main" rot="16200000">
          <a:off x="4485873" y="83231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userShapes>
</file>

<file path=word/drawings/drawing7.xml><?xml version="1.0" encoding="utf-8"?>
<c:userShapes xmlns:c="http://schemas.openxmlformats.org/drawingml/2006/chart">
  <cdr:relSizeAnchor xmlns:cdr="http://schemas.openxmlformats.org/drawingml/2006/chartDrawing">
    <cdr:from>
      <cdr:x>0.09434</cdr:x>
      <cdr:y>0.18821</cdr:y>
    </cdr:from>
    <cdr:to>
      <cdr:x>0.15692</cdr:x>
      <cdr:y>0.297</cdr:y>
    </cdr:to>
    <cdr:sp macro="" textlink="">
      <cdr:nvSpPr>
        <cdr:cNvPr id="2" name="Rectangle 1"/>
        <cdr:cNvSpPr/>
      </cdr:nvSpPr>
      <cdr:spPr>
        <a:xfrm xmlns:a="http://schemas.openxmlformats.org/drawingml/2006/main" rot="16200000">
          <a:off x="501179" y="6671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0.11054</cdr:x>
      <cdr:y>0.20015</cdr:y>
    </cdr:from>
    <cdr:to>
      <cdr:x>0.17312</cdr:x>
      <cdr:y>0.30894</cdr:y>
    </cdr:to>
    <cdr:sp macro="" textlink="">
      <cdr:nvSpPr>
        <cdr:cNvPr id="3" name="Rectangle 2"/>
        <cdr:cNvSpPr/>
      </cdr:nvSpPr>
      <cdr:spPr>
        <a:xfrm xmlns:a="http://schemas.openxmlformats.org/drawingml/2006/main" rot="16200000">
          <a:off x="590080" y="7084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0.13138</cdr:x>
      <cdr:y>0.19739</cdr:y>
    </cdr:from>
    <cdr:to>
      <cdr:x>0.19396</cdr:x>
      <cdr:y>0.30618</cdr:y>
    </cdr:to>
    <cdr:sp macro="" textlink="">
      <cdr:nvSpPr>
        <cdr:cNvPr id="4" name="Rectangle 3"/>
        <cdr:cNvSpPr/>
      </cdr:nvSpPr>
      <cdr:spPr>
        <a:xfrm xmlns:a="http://schemas.openxmlformats.org/drawingml/2006/main" rot="16200000">
          <a:off x="704380" y="6989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0.147</cdr:x>
      <cdr:y>0.20015</cdr:y>
    </cdr:from>
    <cdr:to>
      <cdr:x>0.20958</cdr:x>
      <cdr:y>0.30894</cdr:y>
    </cdr:to>
    <cdr:sp macro="" textlink="">
      <cdr:nvSpPr>
        <cdr:cNvPr id="5" name="Rectangle 4"/>
        <cdr:cNvSpPr/>
      </cdr:nvSpPr>
      <cdr:spPr>
        <a:xfrm xmlns:a="http://schemas.openxmlformats.org/drawingml/2006/main" rot="16200000">
          <a:off x="790105" y="7084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0.1661</cdr:x>
      <cdr:y>0.21392</cdr:y>
    </cdr:from>
    <cdr:to>
      <cdr:x>0.22868</cdr:x>
      <cdr:y>0.32271</cdr:y>
    </cdr:to>
    <cdr:sp macro="" textlink="">
      <cdr:nvSpPr>
        <cdr:cNvPr id="6" name="Rectangle 5"/>
        <cdr:cNvSpPr/>
      </cdr:nvSpPr>
      <cdr:spPr>
        <a:xfrm xmlns:a="http://schemas.openxmlformats.org/drawingml/2006/main" rot="16200000">
          <a:off x="894880" y="7560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0.18172</cdr:x>
      <cdr:y>0.19464</cdr:y>
    </cdr:from>
    <cdr:to>
      <cdr:x>0.2443</cdr:x>
      <cdr:y>0.30343</cdr:y>
    </cdr:to>
    <cdr:sp macro="" textlink="">
      <cdr:nvSpPr>
        <cdr:cNvPr id="7" name="Rectangle 6"/>
        <cdr:cNvSpPr/>
      </cdr:nvSpPr>
      <cdr:spPr>
        <a:xfrm xmlns:a="http://schemas.openxmlformats.org/drawingml/2006/main" rot="16200000">
          <a:off x="980605" y="6893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0.22339</cdr:x>
      <cdr:y>0.33789</cdr:y>
    </cdr:from>
    <cdr:to>
      <cdr:x>0.28597</cdr:x>
      <cdr:y>0.44668</cdr:y>
    </cdr:to>
    <cdr:sp macro="" textlink="">
      <cdr:nvSpPr>
        <cdr:cNvPr id="8" name="Rectangle 7"/>
        <cdr:cNvSpPr/>
      </cdr:nvSpPr>
      <cdr:spPr>
        <a:xfrm xmlns:a="http://schemas.openxmlformats.org/drawingml/2006/main" rot="16200000">
          <a:off x="1209205" y="11846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0.23728</cdr:x>
      <cdr:y>0.2883</cdr:y>
    </cdr:from>
    <cdr:to>
      <cdr:x>0.29986</cdr:x>
      <cdr:y>0.39709</cdr:y>
    </cdr:to>
    <cdr:sp macro="" textlink="">
      <cdr:nvSpPr>
        <cdr:cNvPr id="9" name="Rectangle 8"/>
        <cdr:cNvSpPr/>
      </cdr:nvSpPr>
      <cdr:spPr>
        <a:xfrm xmlns:a="http://schemas.openxmlformats.org/drawingml/2006/main" rot="16200000">
          <a:off x="1285405" y="10132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0.25811</cdr:x>
      <cdr:y>0.33789</cdr:y>
    </cdr:from>
    <cdr:to>
      <cdr:x>0.32069</cdr:x>
      <cdr:y>0.44668</cdr:y>
    </cdr:to>
    <cdr:sp macro="" textlink="">
      <cdr:nvSpPr>
        <cdr:cNvPr id="10" name="Rectangle 9"/>
        <cdr:cNvSpPr/>
      </cdr:nvSpPr>
      <cdr:spPr>
        <a:xfrm xmlns:a="http://schemas.openxmlformats.org/drawingml/2006/main" rot="16200000">
          <a:off x="1399705" y="11846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0.27721</cdr:x>
      <cdr:y>0.31309</cdr:y>
    </cdr:from>
    <cdr:to>
      <cdr:x>0.33979</cdr:x>
      <cdr:y>0.42188</cdr:y>
    </cdr:to>
    <cdr:sp macro="" textlink="">
      <cdr:nvSpPr>
        <cdr:cNvPr id="11" name="Rectangle 10"/>
        <cdr:cNvSpPr/>
      </cdr:nvSpPr>
      <cdr:spPr>
        <a:xfrm xmlns:a="http://schemas.openxmlformats.org/drawingml/2006/main" rot="16200000">
          <a:off x="1504480" y="10989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0.28936</cdr:x>
      <cdr:y>0.21668</cdr:y>
    </cdr:from>
    <cdr:to>
      <cdr:x>0.35194</cdr:x>
      <cdr:y>0.32546</cdr:y>
    </cdr:to>
    <cdr:sp macro="" textlink="">
      <cdr:nvSpPr>
        <cdr:cNvPr id="12" name="Rectangle 11"/>
        <cdr:cNvSpPr/>
      </cdr:nvSpPr>
      <cdr:spPr>
        <a:xfrm xmlns:a="http://schemas.openxmlformats.org/drawingml/2006/main" rot="16200000">
          <a:off x="1571156" y="7655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0.3102</cdr:x>
      <cdr:y>0.32687</cdr:y>
    </cdr:from>
    <cdr:to>
      <cdr:x>0.37278</cdr:x>
      <cdr:y>0.43566</cdr:y>
    </cdr:to>
    <cdr:sp macro="" textlink="">
      <cdr:nvSpPr>
        <cdr:cNvPr id="13" name="Rectangle 12"/>
        <cdr:cNvSpPr/>
      </cdr:nvSpPr>
      <cdr:spPr>
        <a:xfrm xmlns:a="http://schemas.openxmlformats.org/drawingml/2006/main" rot="16200000">
          <a:off x="1685455" y="11465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0.35186</cdr:x>
      <cdr:y>0.30483</cdr:y>
    </cdr:from>
    <cdr:to>
      <cdr:x>0.41444</cdr:x>
      <cdr:y>0.41362</cdr:y>
    </cdr:to>
    <cdr:sp macro="" textlink="">
      <cdr:nvSpPr>
        <cdr:cNvPr id="14" name="Rectangle 13"/>
        <cdr:cNvSpPr/>
      </cdr:nvSpPr>
      <cdr:spPr>
        <a:xfrm xmlns:a="http://schemas.openxmlformats.org/drawingml/2006/main" rot="16200000">
          <a:off x="1914055" y="10703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0.3727</cdr:x>
      <cdr:y>0.36544</cdr:y>
    </cdr:from>
    <cdr:to>
      <cdr:x>0.43528</cdr:x>
      <cdr:y>0.47423</cdr:y>
    </cdr:to>
    <cdr:sp macro="" textlink="">
      <cdr:nvSpPr>
        <cdr:cNvPr id="15" name="Rectangle 14"/>
        <cdr:cNvSpPr/>
      </cdr:nvSpPr>
      <cdr:spPr>
        <a:xfrm xmlns:a="http://schemas.openxmlformats.org/drawingml/2006/main" rot="16200000">
          <a:off x="2028355" y="12799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0.38485</cdr:x>
      <cdr:y>0.33789</cdr:y>
    </cdr:from>
    <cdr:to>
      <cdr:x>0.44743</cdr:x>
      <cdr:y>0.44668</cdr:y>
    </cdr:to>
    <cdr:sp macro="" textlink="">
      <cdr:nvSpPr>
        <cdr:cNvPr id="16" name="Rectangle 15"/>
        <cdr:cNvSpPr/>
      </cdr:nvSpPr>
      <cdr:spPr>
        <a:xfrm xmlns:a="http://schemas.openxmlformats.org/drawingml/2006/main" rot="16200000">
          <a:off x="2095030" y="11846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0.40568</cdr:x>
      <cdr:y>0.33238</cdr:y>
    </cdr:from>
    <cdr:to>
      <cdr:x>0.46826</cdr:x>
      <cdr:y>0.44117</cdr:y>
    </cdr:to>
    <cdr:sp macro="" textlink="">
      <cdr:nvSpPr>
        <cdr:cNvPr id="17" name="Rectangle 16"/>
        <cdr:cNvSpPr/>
      </cdr:nvSpPr>
      <cdr:spPr>
        <a:xfrm xmlns:a="http://schemas.openxmlformats.org/drawingml/2006/main" rot="16200000">
          <a:off x="2209330" y="11656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0.41957</cdr:x>
      <cdr:y>0.26075</cdr:y>
    </cdr:from>
    <cdr:to>
      <cdr:x>0.48215</cdr:x>
      <cdr:y>0.36954</cdr:y>
    </cdr:to>
    <cdr:sp macro="" textlink="">
      <cdr:nvSpPr>
        <cdr:cNvPr id="18" name="Rectangle 17"/>
        <cdr:cNvSpPr/>
      </cdr:nvSpPr>
      <cdr:spPr>
        <a:xfrm xmlns:a="http://schemas.openxmlformats.org/drawingml/2006/main" rot="16200000">
          <a:off x="2285530" y="9179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0.43693</cdr:x>
      <cdr:y>0.33513</cdr:y>
    </cdr:from>
    <cdr:to>
      <cdr:x>0.49951</cdr:x>
      <cdr:y>0.44392</cdr:y>
    </cdr:to>
    <cdr:sp macro="" textlink="">
      <cdr:nvSpPr>
        <cdr:cNvPr id="19" name="Rectangle 18"/>
        <cdr:cNvSpPr/>
      </cdr:nvSpPr>
      <cdr:spPr>
        <a:xfrm xmlns:a="http://schemas.openxmlformats.org/drawingml/2006/main" rot="16200000">
          <a:off x="2380780" y="11751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0.48207</cdr:x>
      <cdr:y>0.02384</cdr:y>
    </cdr:from>
    <cdr:to>
      <cdr:x>0.54465</cdr:x>
      <cdr:y>0.13263</cdr:y>
    </cdr:to>
    <cdr:sp macro="" textlink="">
      <cdr:nvSpPr>
        <cdr:cNvPr id="20" name="Rectangle 19"/>
        <cdr:cNvSpPr/>
      </cdr:nvSpPr>
      <cdr:spPr>
        <a:xfrm xmlns:a="http://schemas.openxmlformats.org/drawingml/2006/main" rot="16200000">
          <a:off x="2628430" y="988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0.4977</cdr:x>
      <cdr:y>0.02659</cdr:y>
    </cdr:from>
    <cdr:to>
      <cdr:x>0.56028</cdr:x>
      <cdr:y>0.13538</cdr:y>
    </cdr:to>
    <cdr:sp macro="" textlink="">
      <cdr:nvSpPr>
        <cdr:cNvPr id="21" name="Rectangle 20"/>
        <cdr:cNvSpPr/>
      </cdr:nvSpPr>
      <cdr:spPr>
        <a:xfrm xmlns:a="http://schemas.openxmlformats.org/drawingml/2006/main" rot="16200000">
          <a:off x="2714155" y="1083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0.51679</cdr:x>
      <cdr:y>0.02108</cdr:y>
    </cdr:from>
    <cdr:to>
      <cdr:x>0.57937</cdr:x>
      <cdr:y>0.12987</cdr:y>
    </cdr:to>
    <cdr:sp macro="" textlink="">
      <cdr:nvSpPr>
        <cdr:cNvPr id="22" name="Rectangle 21"/>
        <cdr:cNvSpPr/>
      </cdr:nvSpPr>
      <cdr:spPr>
        <a:xfrm xmlns:a="http://schemas.openxmlformats.org/drawingml/2006/main" rot="16200000">
          <a:off x="2818930" y="893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0.53068</cdr:x>
      <cdr:y>0.02384</cdr:y>
    </cdr:from>
    <cdr:to>
      <cdr:x>0.59326</cdr:x>
      <cdr:y>0.13263</cdr:y>
    </cdr:to>
    <cdr:sp macro="" textlink="">
      <cdr:nvSpPr>
        <cdr:cNvPr id="23" name="Rectangle 22"/>
        <cdr:cNvSpPr/>
      </cdr:nvSpPr>
      <cdr:spPr>
        <a:xfrm xmlns:a="http://schemas.openxmlformats.org/drawingml/2006/main" rot="16200000">
          <a:off x="2895130" y="988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0.55152</cdr:x>
      <cdr:y>0.03486</cdr:y>
    </cdr:from>
    <cdr:to>
      <cdr:x>0.6141</cdr:x>
      <cdr:y>0.14365</cdr:y>
    </cdr:to>
    <cdr:sp macro="" textlink="">
      <cdr:nvSpPr>
        <cdr:cNvPr id="24" name="Rectangle 23"/>
        <cdr:cNvSpPr/>
      </cdr:nvSpPr>
      <cdr:spPr>
        <a:xfrm xmlns:a="http://schemas.openxmlformats.org/drawingml/2006/main" rot="16200000">
          <a:off x="3009430" y="1369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0.5654</cdr:x>
      <cdr:y>0.02384</cdr:y>
    </cdr:from>
    <cdr:to>
      <cdr:x>0.62798</cdr:x>
      <cdr:y>0.13263</cdr:y>
    </cdr:to>
    <cdr:sp macro="" textlink="">
      <cdr:nvSpPr>
        <cdr:cNvPr id="25" name="Rectangle 24"/>
        <cdr:cNvSpPr/>
      </cdr:nvSpPr>
      <cdr:spPr>
        <a:xfrm xmlns:a="http://schemas.openxmlformats.org/drawingml/2006/main" rot="16200000">
          <a:off x="3085630" y="988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0.61054</cdr:x>
      <cdr:y>0.16158</cdr:y>
    </cdr:from>
    <cdr:to>
      <cdr:x>0.67312</cdr:x>
      <cdr:y>0.27037</cdr:y>
    </cdr:to>
    <cdr:sp macro="" textlink="">
      <cdr:nvSpPr>
        <cdr:cNvPr id="26" name="Rectangle 25"/>
        <cdr:cNvSpPr/>
      </cdr:nvSpPr>
      <cdr:spPr>
        <a:xfrm xmlns:a="http://schemas.openxmlformats.org/drawingml/2006/main" rot="16200000">
          <a:off x="3333280" y="5750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0.62964</cdr:x>
      <cdr:y>0.23871</cdr:y>
    </cdr:from>
    <cdr:to>
      <cdr:x>0.69222</cdr:x>
      <cdr:y>0.3475</cdr:y>
    </cdr:to>
    <cdr:sp macro="" textlink="">
      <cdr:nvSpPr>
        <cdr:cNvPr id="27" name="Rectangle 26"/>
        <cdr:cNvSpPr/>
      </cdr:nvSpPr>
      <cdr:spPr>
        <a:xfrm xmlns:a="http://schemas.openxmlformats.org/drawingml/2006/main" rot="16200000">
          <a:off x="3438055" y="8417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0.63832</cdr:x>
      <cdr:y>0.1175</cdr:y>
    </cdr:from>
    <cdr:to>
      <cdr:x>0.7009</cdr:x>
      <cdr:y>0.22629</cdr:y>
    </cdr:to>
    <cdr:sp macro="" textlink="">
      <cdr:nvSpPr>
        <cdr:cNvPr id="28" name="Rectangle 27"/>
        <cdr:cNvSpPr/>
      </cdr:nvSpPr>
      <cdr:spPr>
        <a:xfrm xmlns:a="http://schemas.openxmlformats.org/drawingml/2006/main" rot="16200000">
          <a:off x="3485680" y="4226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0.66263</cdr:x>
      <cdr:y>0.28004</cdr:y>
    </cdr:from>
    <cdr:to>
      <cdr:x>0.72521</cdr:x>
      <cdr:y>0.38883</cdr:y>
    </cdr:to>
    <cdr:sp macro="" textlink="">
      <cdr:nvSpPr>
        <cdr:cNvPr id="29" name="Rectangle 28"/>
        <cdr:cNvSpPr/>
      </cdr:nvSpPr>
      <cdr:spPr>
        <a:xfrm xmlns:a="http://schemas.openxmlformats.org/drawingml/2006/main" rot="16200000">
          <a:off x="3619030" y="9846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0.67999</cdr:x>
      <cdr:y>0.23596</cdr:y>
    </cdr:from>
    <cdr:to>
      <cdr:x>0.74257</cdr:x>
      <cdr:y>0.34475</cdr:y>
    </cdr:to>
    <cdr:sp macro="" textlink="">
      <cdr:nvSpPr>
        <cdr:cNvPr id="30" name="Rectangle 29"/>
        <cdr:cNvSpPr/>
      </cdr:nvSpPr>
      <cdr:spPr>
        <a:xfrm xmlns:a="http://schemas.openxmlformats.org/drawingml/2006/main" rot="16200000">
          <a:off x="3714280" y="8322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0.69388</cdr:x>
      <cdr:y>0.18086</cdr:y>
    </cdr:from>
    <cdr:to>
      <cdr:x>0.75646</cdr:x>
      <cdr:y>0.28965</cdr:y>
    </cdr:to>
    <cdr:sp macro="" textlink="">
      <cdr:nvSpPr>
        <cdr:cNvPr id="31" name="Rectangle 30"/>
        <cdr:cNvSpPr/>
      </cdr:nvSpPr>
      <cdr:spPr>
        <a:xfrm xmlns:a="http://schemas.openxmlformats.org/drawingml/2006/main" rot="16200000">
          <a:off x="3790480" y="6417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0.74075</cdr:x>
      <cdr:y>0.1423</cdr:y>
    </cdr:from>
    <cdr:to>
      <cdr:x>0.80333</cdr:x>
      <cdr:y>0.25108</cdr:y>
    </cdr:to>
    <cdr:sp macro="" textlink="">
      <cdr:nvSpPr>
        <cdr:cNvPr id="32" name="Rectangle 31"/>
        <cdr:cNvSpPr/>
      </cdr:nvSpPr>
      <cdr:spPr>
        <a:xfrm xmlns:a="http://schemas.openxmlformats.org/drawingml/2006/main" rot="16200000">
          <a:off x="4047655" y="5084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0.75811</cdr:x>
      <cdr:y>0.24147</cdr:y>
    </cdr:from>
    <cdr:to>
      <cdr:x>0.82069</cdr:x>
      <cdr:y>0.35026</cdr:y>
    </cdr:to>
    <cdr:sp macro="" textlink="">
      <cdr:nvSpPr>
        <cdr:cNvPr id="33" name="Rectangle 32"/>
        <cdr:cNvSpPr/>
      </cdr:nvSpPr>
      <cdr:spPr>
        <a:xfrm xmlns:a="http://schemas.openxmlformats.org/drawingml/2006/main" rot="16200000">
          <a:off x="4142905" y="8513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0.76853</cdr:x>
      <cdr:y>0.11199</cdr:y>
    </cdr:from>
    <cdr:to>
      <cdr:x>0.83111</cdr:x>
      <cdr:y>0.22078</cdr:y>
    </cdr:to>
    <cdr:sp macro="" textlink="">
      <cdr:nvSpPr>
        <cdr:cNvPr id="34" name="Rectangle 33"/>
        <cdr:cNvSpPr/>
      </cdr:nvSpPr>
      <cdr:spPr>
        <a:xfrm xmlns:a="http://schemas.openxmlformats.org/drawingml/2006/main" rot="16200000">
          <a:off x="4200055" y="4036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0.78936</cdr:x>
      <cdr:y>0.2883</cdr:y>
    </cdr:from>
    <cdr:to>
      <cdr:x>0.85194</cdr:x>
      <cdr:y>0.39709</cdr:y>
    </cdr:to>
    <cdr:sp macro="" textlink="">
      <cdr:nvSpPr>
        <cdr:cNvPr id="35" name="Rectangle 34"/>
        <cdr:cNvSpPr/>
      </cdr:nvSpPr>
      <cdr:spPr>
        <a:xfrm xmlns:a="http://schemas.openxmlformats.org/drawingml/2006/main" rot="16200000">
          <a:off x="4314355" y="10132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0.80152</cdr:x>
      <cdr:y>0.23596</cdr:y>
    </cdr:from>
    <cdr:to>
      <cdr:x>0.8641</cdr:x>
      <cdr:y>0.34475</cdr:y>
    </cdr:to>
    <cdr:sp macro="" textlink="">
      <cdr:nvSpPr>
        <cdr:cNvPr id="36" name="Rectangle 35"/>
        <cdr:cNvSpPr/>
      </cdr:nvSpPr>
      <cdr:spPr>
        <a:xfrm xmlns:a="http://schemas.openxmlformats.org/drawingml/2006/main" rot="16200000">
          <a:off x="4381030" y="8322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0.82756</cdr:x>
      <cdr:y>0.24147</cdr:y>
    </cdr:from>
    <cdr:to>
      <cdr:x>0.89014</cdr:x>
      <cdr:y>0.35026</cdr:y>
    </cdr:to>
    <cdr:sp macro="" textlink="">
      <cdr:nvSpPr>
        <cdr:cNvPr id="37" name="Rectangle 36"/>
        <cdr:cNvSpPr/>
      </cdr:nvSpPr>
      <cdr:spPr>
        <a:xfrm xmlns:a="http://schemas.openxmlformats.org/drawingml/2006/main" rot="16200000">
          <a:off x="4523905" y="8513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userShapes>
</file>

<file path=word/drawings/drawing8.xml><?xml version="1.0" encoding="utf-8"?>
<c:userShapes xmlns:c="http://schemas.openxmlformats.org/drawingml/2006/chart">
  <cdr:relSizeAnchor xmlns:cdr="http://schemas.openxmlformats.org/drawingml/2006/chartDrawing">
    <cdr:from>
      <cdr:x>0.0848</cdr:x>
      <cdr:y>0.52225</cdr:y>
    </cdr:from>
    <cdr:to>
      <cdr:x>0.14759</cdr:x>
      <cdr:y>0.63705</cdr:y>
    </cdr:to>
    <cdr:sp macro="" textlink="">
      <cdr:nvSpPr>
        <cdr:cNvPr id="2" name="Rectangle 1"/>
        <cdr:cNvSpPr/>
      </cdr:nvSpPr>
      <cdr:spPr>
        <a:xfrm xmlns:a="http://schemas.openxmlformats.org/drawingml/2006/main" rot="16200000">
          <a:off x="447205" y="17276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0.10454</cdr:x>
      <cdr:y>0.52903</cdr:y>
    </cdr:from>
    <cdr:to>
      <cdr:x>0.16734</cdr:x>
      <cdr:y>0.64383</cdr:y>
    </cdr:to>
    <cdr:sp macro="" textlink="">
      <cdr:nvSpPr>
        <cdr:cNvPr id="3" name="Rectangle 2"/>
        <cdr:cNvSpPr/>
      </cdr:nvSpPr>
      <cdr:spPr>
        <a:xfrm xmlns:a="http://schemas.openxmlformats.org/drawingml/2006/main" rot="16200000">
          <a:off x="555156" y="17498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0.12022</cdr:x>
      <cdr:y>0.54938</cdr:y>
    </cdr:from>
    <cdr:to>
      <cdr:x>0.18302</cdr:x>
      <cdr:y>0.66418</cdr:y>
    </cdr:to>
    <cdr:sp macro="" textlink="">
      <cdr:nvSpPr>
        <cdr:cNvPr id="4" name="Rectangle 3"/>
        <cdr:cNvSpPr/>
      </cdr:nvSpPr>
      <cdr:spPr>
        <a:xfrm xmlns:a="http://schemas.openxmlformats.org/drawingml/2006/main" rot="16200000">
          <a:off x="640881" y="18165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0.1359</cdr:x>
      <cdr:y>0.49415</cdr:y>
    </cdr:from>
    <cdr:to>
      <cdr:x>0.1987</cdr:x>
      <cdr:y>0.60894</cdr:y>
    </cdr:to>
    <cdr:sp macro="" textlink="">
      <cdr:nvSpPr>
        <cdr:cNvPr id="5" name="Rectangle 4"/>
        <cdr:cNvSpPr/>
      </cdr:nvSpPr>
      <cdr:spPr>
        <a:xfrm xmlns:a="http://schemas.openxmlformats.org/drawingml/2006/main" rot="16200000">
          <a:off x="726606" y="16355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0.15506</cdr:x>
      <cdr:y>0.49705</cdr:y>
    </cdr:from>
    <cdr:to>
      <cdr:x>0.21786</cdr:x>
      <cdr:y>0.61185</cdr:y>
    </cdr:to>
    <cdr:sp macro="" textlink="">
      <cdr:nvSpPr>
        <cdr:cNvPr id="6" name="Rectangle 5"/>
        <cdr:cNvSpPr/>
      </cdr:nvSpPr>
      <cdr:spPr>
        <a:xfrm xmlns:a="http://schemas.openxmlformats.org/drawingml/2006/main" rot="16200000">
          <a:off x="831381" y="16450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0.17771</cdr:x>
      <cdr:y>0.49705</cdr:y>
    </cdr:from>
    <cdr:to>
      <cdr:x>0.24051</cdr:x>
      <cdr:y>0.61185</cdr:y>
    </cdr:to>
    <cdr:sp macro="" textlink="">
      <cdr:nvSpPr>
        <cdr:cNvPr id="7" name="Rectangle 6"/>
        <cdr:cNvSpPr/>
      </cdr:nvSpPr>
      <cdr:spPr>
        <a:xfrm xmlns:a="http://schemas.openxmlformats.org/drawingml/2006/main" rot="16200000">
          <a:off x="955206" y="16450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0.21778</cdr:x>
      <cdr:y>0.4331</cdr:y>
    </cdr:from>
    <cdr:to>
      <cdr:x>0.28058</cdr:x>
      <cdr:y>0.5479</cdr:y>
    </cdr:to>
    <cdr:sp macro="" textlink="">
      <cdr:nvSpPr>
        <cdr:cNvPr id="8" name="Rectangle 7"/>
        <cdr:cNvSpPr/>
      </cdr:nvSpPr>
      <cdr:spPr>
        <a:xfrm xmlns:a="http://schemas.openxmlformats.org/drawingml/2006/main" rot="16200000">
          <a:off x="1174281" y="14355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0.23346</cdr:x>
      <cdr:y>0.5174</cdr:y>
    </cdr:from>
    <cdr:to>
      <cdr:x>0.29626</cdr:x>
      <cdr:y>0.6322</cdr:y>
    </cdr:to>
    <cdr:sp macro="" textlink="">
      <cdr:nvSpPr>
        <cdr:cNvPr id="9" name="Rectangle 8"/>
        <cdr:cNvSpPr/>
      </cdr:nvSpPr>
      <cdr:spPr>
        <a:xfrm xmlns:a="http://schemas.openxmlformats.org/drawingml/2006/main" rot="16200000">
          <a:off x="1260006" y="17117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0.25088</cdr:x>
      <cdr:y>0.48543</cdr:y>
    </cdr:from>
    <cdr:to>
      <cdr:x>0.31368</cdr:x>
      <cdr:y>0.60022</cdr:y>
    </cdr:to>
    <cdr:sp macro="" textlink="">
      <cdr:nvSpPr>
        <cdr:cNvPr id="10" name="Rectangle 9"/>
        <cdr:cNvSpPr/>
      </cdr:nvSpPr>
      <cdr:spPr>
        <a:xfrm xmlns:a="http://schemas.openxmlformats.org/drawingml/2006/main" rot="16200000">
          <a:off x="1355256" y="16069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0.2683</cdr:x>
      <cdr:y>0.13663</cdr:y>
    </cdr:from>
    <cdr:to>
      <cdr:x>0.3311</cdr:x>
      <cdr:y>0.35313</cdr:y>
    </cdr:to>
    <cdr:sp macro="" textlink="">
      <cdr:nvSpPr>
        <cdr:cNvPr id="11" name="Rectangle 10"/>
        <cdr:cNvSpPr/>
      </cdr:nvSpPr>
      <cdr:spPr>
        <a:xfrm xmlns:a="http://schemas.openxmlformats.org/drawingml/2006/main" rot="16200000">
          <a:off x="1283883" y="630705"/>
          <a:ext cx="709394"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0.28805</cdr:x>
      <cdr:y>0.11434</cdr:y>
    </cdr:from>
    <cdr:to>
      <cdr:x>0.35085</cdr:x>
      <cdr:y>0.33084</cdr:y>
    </cdr:to>
    <cdr:sp macro="" textlink="">
      <cdr:nvSpPr>
        <cdr:cNvPr id="12" name="Rectangle 11"/>
        <cdr:cNvSpPr/>
      </cdr:nvSpPr>
      <cdr:spPr>
        <a:xfrm xmlns:a="http://schemas.openxmlformats.org/drawingml/2006/main" rot="16200000">
          <a:off x="1391833" y="557680"/>
          <a:ext cx="709394"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0.30721</cdr:x>
      <cdr:y>0.11143</cdr:y>
    </cdr:from>
    <cdr:to>
      <cdr:x>0.37001</cdr:x>
      <cdr:y>0.32794</cdr:y>
    </cdr:to>
    <cdr:sp macro="" textlink="">
      <cdr:nvSpPr>
        <cdr:cNvPr id="13" name="Rectangle 12"/>
        <cdr:cNvSpPr/>
      </cdr:nvSpPr>
      <cdr:spPr>
        <a:xfrm xmlns:a="http://schemas.openxmlformats.org/drawingml/2006/main" rot="16200000">
          <a:off x="1496608" y="548155"/>
          <a:ext cx="709394"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0.34728</cdr:x>
      <cdr:y>0.24225</cdr:y>
    </cdr:from>
    <cdr:to>
      <cdr:x>0.41008</cdr:x>
      <cdr:y>0.45875</cdr:y>
    </cdr:to>
    <cdr:sp macro="" textlink="">
      <cdr:nvSpPr>
        <cdr:cNvPr id="14" name="Rectangle 13"/>
        <cdr:cNvSpPr/>
      </cdr:nvSpPr>
      <cdr:spPr>
        <a:xfrm xmlns:a="http://schemas.openxmlformats.org/drawingml/2006/main" rot="16200000">
          <a:off x="1715683" y="976780"/>
          <a:ext cx="709394"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0.36296</cdr:x>
      <cdr:y>0.46895</cdr:y>
    </cdr:from>
    <cdr:to>
      <cdr:x>0.42576</cdr:x>
      <cdr:y>0.58375</cdr:y>
    </cdr:to>
    <cdr:sp macro="" textlink="">
      <cdr:nvSpPr>
        <cdr:cNvPr id="15" name="Rectangle 14"/>
        <cdr:cNvSpPr/>
      </cdr:nvSpPr>
      <cdr:spPr>
        <a:xfrm xmlns:a="http://schemas.openxmlformats.org/drawingml/2006/main" rot="16200000">
          <a:off x="1968032" y="15529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0.38213</cdr:x>
      <cdr:y>0.45442</cdr:y>
    </cdr:from>
    <cdr:to>
      <cdr:x>0.44492</cdr:x>
      <cdr:y>0.56922</cdr:y>
    </cdr:to>
    <cdr:sp macro="" textlink="">
      <cdr:nvSpPr>
        <cdr:cNvPr id="16" name="Rectangle 15"/>
        <cdr:cNvSpPr/>
      </cdr:nvSpPr>
      <cdr:spPr>
        <a:xfrm xmlns:a="http://schemas.openxmlformats.org/drawingml/2006/main" rot="16200000">
          <a:off x="2072807" y="15053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0.39955</cdr:x>
      <cdr:y>0.06488</cdr:y>
    </cdr:from>
    <cdr:to>
      <cdr:x>0.46234</cdr:x>
      <cdr:y>0.17968</cdr:y>
    </cdr:to>
    <cdr:sp macro="" textlink="">
      <cdr:nvSpPr>
        <cdr:cNvPr id="17" name="Rectangle 16"/>
        <cdr:cNvSpPr/>
      </cdr:nvSpPr>
      <cdr:spPr>
        <a:xfrm xmlns:a="http://schemas.openxmlformats.org/drawingml/2006/main" rot="16200000">
          <a:off x="2168057" y="229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0.41871</cdr:x>
      <cdr:y>0.08523</cdr:y>
    </cdr:from>
    <cdr:to>
      <cdr:x>0.48151</cdr:x>
      <cdr:y>0.20003</cdr:y>
    </cdr:to>
    <cdr:sp macro="" textlink="">
      <cdr:nvSpPr>
        <cdr:cNvPr id="18" name="Rectangle 17"/>
        <cdr:cNvSpPr/>
      </cdr:nvSpPr>
      <cdr:spPr>
        <a:xfrm xmlns:a="http://schemas.openxmlformats.org/drawingml/2006/main" rot="16200000">
          <a:off x="2272832" y="2956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0.43439</cdr:x>
      <cdr:y>0.15791</cdr:y>
    </cdr:from>
    <cdr:to>
      <cdr:x>0.49719</cdr:x>
      <cdr:y>0.2727</cdr:y>
    </cdr:to>
    <cdr:sp macro="" textlink="">
      <cdr:nvSpPr>
        <cdr:cNvPr id="19" name="Rectangle 18"/>
        <cdr:cNvSpPr/>
      </cdr:nvSpPr>
      <cdr:spPr>
        <a:xfrm xmlns:a="http://schemas.openxmlformats.org/drawingml/2006/main" rot="16200000">
          <a:off x="2358557" y="5338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0.47388</cdr:x>
      <cdr:y>0.5145</cdr:y>
    </cdr:from>
    <cdr:to>
      <cdr:x>0.53668</cdr:x>
      <cdr:y>0.62929</cdr:y>
    </cdr:to>
    <cdr:sp macro="" textlink="">
      <cdr:nvSpPr>
        <cdr:cNvPr id="20" name="Rectangle 19"/>
        <cdr:cNvSpPr/>
      </cdr:nvSpPr>
      <cdr:spPr>
        <a:xfrm xmlns:a="http://schemas.openxmlformats.org/drawingml/2006/main" rot="16200000">
          <a:off x="2574456" y="17022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0.49304</cdr:x>
      <cdr:y>0.50578</cdr:y>
    </cdr:from>
    <cdr:to>
      <cdr:x>0.55584</cdr:x>
      <cdr:y>0.62057</cdr:y>
    </cdr:to>
    <cdr:sp macro="" textlink="">
      <cdr:nvSpPr>
        <cdr:cNvPr id="21" name="Rectangle 20"/>
        <cdr:cNvSpPr/>
      </cdr:nvSpPr>
      <cdr:spPr>
        <a:xfrm xmlns:a="http://schemas.openxmlformats.org/drawingml/2006/main" rot="16200000">
          <a:off x="2679231" y="167363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0.51221</cdr:x>
      <cdr:y>0.53194</cdr:y>
    </cdr:from>
    <cdr:to>
      <cdr:x>0.575</cdr:x>
      <cdr:y>0.64674</cdr:y>
    </cdr:to>
    <cdr:sp macro="" textlink="">
      <cdr:nvSpPr>
        <cdr:cNvPr id="22" name="Rectangle 21"/>
        <cdr:cNvSpPr/>
      </cdr:nvSpPr>
      <cdr:spPr>
        <a:xfrm xmlns:a="http://schemas.openxmlformats.org/drawingml/2006/main" rot="16200000">
          <a:off x="2784006" y="1759355"/>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0.5244</cdr:x>
      <cdr:y>0.47671</cdr:y>
    </cdr:from>
    <cdr:to>
      <cdr:x>0.5872</cdr:x>
      <cdr:y>0.5915</cdr:y>
    </cdr:to>
    <cdr:sp macro="" textlink="">
      <cdr:nvSpPr>
        <cdr:cNvPr id="23" name="Rectangle 22"/>
        <cdr:cNvSpPr/>
      </cdr:nvSpPr>
      <cdr:spPr>
        <a:xfrm xmlns:a="http://schemas.openxmlformats.org/drawingml/2006/main" rot="16200000">
          <a:off x="2850681" y="157838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0.54705</cdr:x>
      <cdr:y>0.47961</cdr:y>
    </cdr:from>
    <cdr:to>
      <cdr:x>0.60985</cdr:x>
      <cdr:y>0.59441</cdr:y>
    </cdr:to>
    <cdr:sp macro="" textlink="">
      <cdr:nvSpPr>
        <cdr:cNvPr id="24" name="Rectangle 23"/>
        <cdr:cNvSpPr/>
      </cdr:nvSpPr>
      <cdr:spPr>
        <a:xfrm xmlns:a="http://schemas.openxmlformats.org/drawingml/2006/main" rot="16200000">
          <a:off x="2974506" y="1587905"/>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0.56796</cdr:x>
      <cdr:y>0.47671</cdr:y>
    </cdr:from>
    <cdr:to>
      <cdr:x>0.63075</cdr:x>
      <cdr:y>0.5915</cdr:y>
    </cdr:to>
    <cdr:sp macro="" textlink="">
      <cdr:nvSpPr>
        <cdr:cNvPr id="25" name="Rectangle 24"/>
        <cdr:cNvSpPr/>
      </cdr:nvSpPr>
      <cdr:spPr>
        <a:xfrm xmlns:a="http://schemas.openxmlformats.org/drawingml/2006/main" rot="16200000">
          <a:off x="3088806" y="157838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0.6028</cdr:x>
      <cdr:y>0.47671</cdr:y>
    </cdr:from>
    <cdr:to>
      <cdr:x>0.6656</cdr:x>
      <cdr:y>0.5915</cdr:y>
    </cdr:to>
    <cdr:sp macro="" textlink="">
      <cdr:nvSpPr>
        <cdr:cNvPr id="26" name="Rectangle 25"/>
        <cdr:cNvSpPr/>
      </cdr:nvSpPr>
      <cdr:spPr>
        <a:xfrm xmlns:a="http://schemas.openxmlformats.org/drawingml/2006/main" rot="16200000">
          <a:off x="3279306" y="157838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0.62545</cdr:x>
      <cdr:y>0.4186</cdr:y>
    </cdr:from>
    <cdr:to>
      <cdr:x>0.68824</cdr:x>
      <cdr:y>0.55081</cdr:y>
    </cdr:to>
    <cdr:sp macro="" textlink="">
      <cdr:nvSpPr>
        <cdr:cNvPr id="27" name="Rectangle 26"/>
        <cdr:cNvSpPr/>
      </cdr:nvSpPr>
      <cdr:spPr>
        <a:xfrm xmlns:a="http://schemas.openxmlformats.org/drawingml/2006/main" rot="16200000">
          <a:off x="3374620" y="1416518"/>
          <a:ext cx="433171"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0.64635</cdr:x>
      <cdr:y>0.50578</cdr:y>
    </cdr:from>
    <cdr:to>
      <cdr:x>0.70915</cdr:x>
      <cdr:y>0.62057</cdr:y>
    </cdr:to>
    <cdr:sp macro="" textlink="">
      <cdr:nvSpPr>
        <cdr:cNvPr id="28" name="Rectangle 27"/>
        <cdr:cNvSpPr/>
      </cdr:nvSpPr>
      <cdr:spPr>
        <a:xfrm xmlns:a="http://schemas.openxmlformats.org/drawingml/2006/main" rot="16200000">
          <a:off x="3517431" y="167363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0.65506</cdr:x>
      <cdr:y>0.40694</cdr:y>
    </cdr:from>
    <cdr:to>
      <cdr:x>0.71786</cdr:x>
      <cdr:y>0.52174</cdr:y>
    </cdr:to>
    <cdr:sp macro="" textlink="">
      <cdr:nvSpPr>
        <cdr:cNvPr id="29" name="Rectangle 28"/>
        <cdr:cNvSpPr/>
      </cdr:nvSpPr>
      <cdr:spPr>
        <a:xfrm xmlns:a="http://schemas.openxmlformats.org/drawingml/2006/main" rot="16200000">
          <a:off x="3565057" y="134978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0.67423</cdr:x>
      <cdr:y>0.40984</cdr:y>
    </cdr:from>
    <cdr:to>
      <cdr:x>0.73702</cdr:x>
      <cdr:y>0.52464</cdr:y>
    </cdr:to>
    <cdr:sp macro="" textlink="">
      <cdr:nvSpPr>
        <cdr:cNvPr id="30" name="Rectangle 29"/>
        <cdr:cNvSpPr/>
      </cdr:nvSpPr>
      <cdr:spPr>
        <a:xfrm xmlns:a="http://schemas.openxmlformats.org/drawingml/2006/main" rot="16200000">
          <a:off x="3669832" y="1359305"/>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0.69513</cdr:x>
      <cdr:y>0.42147</cdr:y>
    </cdr:from>
    <cdr:to>
      <cdr:x>0.75793</cdr:x>
      <cdr:y>0.53627</cdr:y>
    </cdr:to>
    <cdr:sp macro="" textlink="">
      <cdr:nvSpPr>
        <cdr:cNvPr id="31" name="Rectangle 30"/>
        <cdr:cNvSpPr/>
      </cdr:nvSpPr>
      <cdr:spPr>
        <a:xfrm xmlns:a="http://schemas.openxmlformats.org/drawingml/2006/main" rot="16200000">
          <a:off x="3784131" y="1397405"/>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0.73346</cdr:x>
      <cdr:y>0.3343</cdr:y>
    </cdr:from>
    <cdr:to>
      <cdr:x>0.79626</cdr:x>
      <cdr:y>0.52174</cdr:y>
    </cdr:to>
    <cdr:sp macro="" textlink="">
      <cdr:nvSpPr>
        <cdr:cNvPr id="32" name="Rectangle 31"/>
        <cdr:cNvSpPr/>
      </cdr:nvSpPr>
      <cdr:spPr>
        <a:xfrm xmlns:a="http://schemas.openxmlformats.org/drawingml/2006/main" rot="16200000">
          <a:off x="3874682" y="1230781"/>
          <a:ext cx="614146"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0.75495</cdr:x>
      <cdr:y>0.27713</cdr:y>
    </cdr:from>
    <cdr:to>
      <cdr:x>0.81774</cdr:x>
      <cdr:y>0.46457</cdr:y>
    </cdr:to>
    <cdr:sp macro="" textlink="">
      <cdr:nvSpPr>
        <cdr:cNvPr id="33" name="Rectangle 32"/>
        <cdr:cNvSpPr/>
      </cdr:nvSpPr>
      <cdr:spPr>
        <a:xfrm xmlns:a="http://schemas.openxmlformats.org/drawingml/2006/main" rot="16200000">
          <a:off x="3992157" y="1043456"/>
          <a:ext cx="614146"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0.79153</cdr:x>
      <cdr:y>0.25969</cdr:y>
    </cdr:from>
    <cdr:to>
      <cdr:x>0.85433</cdr:x>
      <cdr:y>0.44712</cdr:y>
    </cdr:to>
    <cdr:sp macro="" textlink="">
      <cdr:nvSpPr>
        <cdr:cNvPr id="34" name="Rectangle 33"/>
        <cdr:cNvSpPr/>
      </cdr:nvSpPr>
      <cdr:spPr>
        <a:xfrm xmlns:a="http://schemas.openxmlformats.org/drawingml/2006/main" rot="16200000">
          <a:off x="4192182" y="986306"/>
          <a:ext cx="614146"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0.80895</cdr:x>
      <cdr:y>0.29457</cdr:y>
    </cdr:from>
    <cdr:to>
      <cdr:x>0.87175</cdr:x>
      <cdr:y>0.48201</cdr:y>
    </cdr:to>
    <cdr:sp macro="" textlink="">
      <cdr:nvSpPr>
        <cdr:cNvPr id="35" name="Rectangle 34"/>
        <cdr:cNvSpPr/>
      </cdr:nvSpPr>
      <cdr:spPr>
        <a:xfrm xmlns:a="http://schemas.openxmlformats.org/drawingml/2006/main" rot="16200000">
          <a:off x="4287432" y="1100606"/>
          <a:ext cx="614146"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0.82986</cdr:x>
      <cdr:y>0.24806</cdr:y>
    </cdr:from>
    <cdr:to>
      <cdr:x>0.89266</cdr:x>
      <cdr:y>0.4355</cdr:y>
    </cdr:to>
    <cdr:sp macro="" textlink="">
      <cdr:nvSpPr>
        <cdr:cNvPr id="36" name="Rectangle 35"/>
        <cdr:cNvSpPr/>
      </cdr:nvSpPr>
      <cdr:spPr>
        <a:xfrm xmlns:a="http://schemas.openxmlformats.org/drawingml/2006/main" rot="16200000">
          <a:off x="4401732" y="948206"/>
          <a:ext cx="614146"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0.77237</cdr:x>
      <cdr:y>0.47767</cdr:y>
    </cdr:from>
    <cdr:to>
      <cdr:x>0.83517</cdr:x>
      <cdr:y>0.59247</cdr:y>
    </cdr:to>
    <cdr:sp macro="" textlink="">
      <cdr:nvSpPr>
        <cdr:cNvPr id="37" name="Rectangle 36"/>
        <cdr:cNvSpPr/>
      </cdr:nvSpPr>
      <cdr:spPr>
        <a:xfrm xmlns:a="http://schemas.openxmlformats.org/drawingml/2006/main" rot="16200000">
          <a:off x="4206407" y="1581555"/>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246C0-DA60-489F-940E-CF371AEC0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25</Pages>
  <Words>7970</Words>
  <Characters>45435</Characters>
  <Application>Microsoft Office Word</Application>
  <DocSecurity>0</DocSecurity>
  <Lines>378</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Cheick Atab MANE</dc:creator>
  <cp:keywords/>
  <dc:description/>
  <cp:lastModifiedBy>SDI 1084</cp:lastModifiedBy>
  <cp:revision>38</cp:revision>
  <dcterms:created xsi:type="dcterms:W3CDTF">2025-01-29T12:07:00Z</dcterms:created>
  <dcterms:modified xsi:type="dcterms:W3CDTF">2025-02-15T05:40:00Z</dcterms:modified>
</cp:coreProperties>
</file>