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28328" w14:textId="77777777" w:rsidR="00135017" w:rsidRPr="00161ACA" w:rsidRDefault="00135017" w:rsidP="00161ACA">
      <w:pPr>
        <w:spacing w:after="120" w:line="360" w:lineRule="auto"/>
        <w:jc w:val="center"/>
        <w:rPr>
          <w:rFonts w:ascii="Times New Roman" w:hAnsi="Times New Roman" w:cs="Times New Roman"/>
          <w:b/>
          <w:bCs/>
          <w:color w:val="FF0000"/>
          <w:sz w:val="32"/>
          <w:szCs w:val="32"/>
        </w:rPr>
      </w:pPr>
      <w:r w:rsidRPr="00161ACA">
        <w:rPr>
          <w:rFonts w:ascii="Times New Roman" w:hAnsi="Times New Roman" w:cs="Times New Roman"/>
          <w:b/>
          <w:bCs/>
          <w:sz w:val="32"/>
          <w:szCs w:val="32"/>
        </w:rPr>
        <w:t>Influence of Irrigation Schedules and Cow Urine Spray on Density and Dry Biomass</w:t>
      </w:r>
      <w:r w:rsidR="00161ACA" w:rsidRPr="00161ACA">
        <w:rPr>
          <w:rFonts w:ascii="Times New Roman" w:hAnsi="Times New Roman" w:cs="Times New Roman"/>
          <w:b/>
          <w:bCs/>
          <w:sz w:val="32"/>
          <w:szCs w:val="32"/>
        </w:rPr>
        <w:t xml:space="preserve"> of </w:t>
      </w:r>
      <w:proofErr w:type="spellStart"/>
      <w:r w:rsidR="00161ACA" w:rsidRPr="00161ACA">
        <w:rPr>
          <w:rFonts w:ascii="Times New Roman" w:hAnsi="Times New Roman" w:cs="Times New Roman"/>
          <w:b/>
          <w:bCs/>
          <w:i/>
          <w:iCs/>
          <w:sz w:val="32"/>
          <w:szCs w:val="32"/>
        </w:rPr>
        <w:t>Cynodon</w:t>
      </w:r>
      <w:proofErr w:type="spellEnd"/>
      <w:r w:rsidR="00161ACA" w:rsidRPr="00161ACA">
        <w:rPr>
          <w:rFonts w:ascii="Times New Roman" w:hAnsi="Times New Roman" w:cs="Times New Roman"/>
          <w:b/>
          <w:bCs/>
          <w:i/>
          <w:iCs/>
          <w:sz w:val="32"/>
          <w:szCs w:val="32"/>
        </w:rPr>
        <w:t xml:space="preserve"> </w:t>
      </w:r>
      <w:proofErr w:type="spellStart"/>
      <w:r w:rsidR="00161ACA" w:rsidRPr="00161ACA">
        <w:rPr>
          <w:rFonts w:ascii="Times New Roman" w:hAnsi="Times New Roman" w:cs="Times New Roman"/>
          <w:b/>
          <w:bCs/>
          <w:i/>
          <w:iCs/>
          <w:sz w:val="32"/>
          <w:szCs w:val="32"/>
        </w:rPr>
        <w:t>dactylon</w:t>
      </w:r>
      <w:proofErr w:type="spellEnd"/>
    </w:p>
    <w:p w14:paraId="1F5EEECE" w14:textId="77777777" w:rsidR="005203A6" w:rsidRDefault="005203A6" w:rsidP="0032423A">
      <w:pPr>
        <w:spacing w:after="120" w:line="360" w:lineRule="auto"/>
        <w:jc w:val="both"/>
        <w:rPr>
          <w:rFonts w:ascii="Times New Roman" w:hAnsi="Times New Roman" w:cs="Times New Roman"/>
          <w:b/>
          <w:sz w:val="24"/>
          <w:szCs w:val="24"/>
        </w:rPr>
      </w:pPr>
    </w:p>
    <w:p w14:paraId="0A80FFAC" w14:textId="64D01FC0" w:rsidR="00FC7797" w:rsidRPr="008860FE" w:rsidRDefault="00FC7797" w:rsidP="0032423A">
      <w:pPr>
        <w:spacing w:after="120" w:line="360" w:lineRule="auto"/>
        <w:jc w:val="both"/>
        <w:rPr>
          <w:rFonts w:ascii="Times New Roman" w:hAnsi="Times New Roman" w:cs="Times New Roman"/>
          <w:b/>
          <w:sz w:val="24"/>
          <w:szCs w:val="24"/>
        </w:rPr>
      </w:pPr>
      <w:r w:rsidRPr="008860FE">
        <w:rPr>
          <w:rFonts w:ascii="Times New Roman" w:hAnsi="Times New Roman" w:cs="Times New Roman"/>
          <w:b/>
          <w:sz w:val="24"/>
          <w:szCs w:val="24"/>
        </w:rPr>
        <w:t xml:space="preserve">ABSTRACT </w:t>
      </w:r>
    </w:p>
    <w:tbl>
      <w:tblPr>
        <w:tblStyle w:val="TableGrid"/>
        <w:tblW w:w="0" w:type="auto"/>
        <w:tblLook w:val="04A0" w:firstRow="1" w:lastRow="0" w:firstColumn="1" w:lastColumn="0" w:noHBand="0" w:noVBand="1"/>
      </w:tblPr>
      <w:tblGrid>
        <w:gridCol w:w="9576"/>
      </w:tblGrid>
      <w:tr w:rsidR="006F4AC4" w:rsidRPr="0006142C" w14:paraId="6D4A9CE7" w14:textId="77777777" w:rsidTr="006F4AC4">
        <w:tc>
          <w:tcPr>
            <w:tcW w:w="9576" w:type="dxa"/>
          </w:tcPr>
          <w:p w14:paraId="11DD2E6C" w14:textId="77777777" w:rsidR="006F4AC4" w:rsidRPr="007E7BEE" w:rsidRDefault="00C261C8" w:rsidP="00C261C8">
            <w:pPr>
              <w:pStyle w:val="NormalWeb"/>
              <w:jc w:val="both"/>
            </w:pPr>
            <w:r>
              <w:t xml:space="preserve">The study aimed to assess the combined effect of irrigation scheduling and cow urine application on weed dynamics, focusing on the density and dry biomass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in wheat during the rabi seasons of 2019–20 and 2020–21 at the research farm of the Institute of Agricultural Sciences, Banaras Hindu University, Varanasi. A split-plot design was used with three main plots representing different irrigation schedules (I1: IW/CPE 0.7, I2: IW/CPE 1.0, I3: IW/CPE 1.2) and seven subplots representing cow urine sprays at various growth stages of wheat (C1: Control, C2: CRI, C3: CRI + Tillering, C4: CRI + Tillering + Late Jointing, C5: CRI + Tillering + Late Jointing + Flowering, C6: CRI + Tillering + Late Jointing + Flowering + Milking, and C7: CRI + Tillering + Late Jointing + Flowering + Milking + Maturity), replicated thrice. Each treatment received a total of 4000 liters of cow urine per hectare, applied in equal doses at designated stages. Observations on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density and dry biomass were recorded, and data were analyzed using ANOVA with mean separation by LSD at a 5% significance level. The results revealed that neither irrigation schedules nor cow urine sprays significantly affected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density or dry biomass across different growth stages during both years of the study. At 90 DAS, the minimum density was recorded under I1 in the first year and I2 in the second year, while the maximum occurred under I1 in both years. The lowest dry biomass was observed under I3 in the first year and I2 in the second year, whereas the highest dry biomass occurred under I1 across both years. For cow urine treatments, the minimum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density was found in C6 during the first year and C2 during the second year, while the maximum density was recorded under C7 in both years. The study concluded that irrigation schedules and cow urine sprays at different wheat growth stages had no significant impact on the density or dry biomass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in either year.</w:t>
            </w:r>
          </w:p>
        </w:tc>
      </w:tr>
    </w:tbl>
    <w:p w14:paraId="6272488C" w14:textId="77777777" w:rsidR="002331EF" w:rsidRPr="0006142C" w:rsidRDefault="002331EF" w:rsidP="007D5394">
      <w:pPr>
        <w:spacing w:after="120" w:line="360" w:lineRule="auto"/>
        <w:jc w:val="both"/>
        <w:rPr>
          <w:rFonts w:ascii="Times New Roman" w:hAnsi="Times New Roman" w:cs="Times New Roman"/>
          <w:b/>
          <w:bCs/>
          <w:color w:val="FF0000"/>
          <w:sz w:val="24"/>
          <w:szCs w:val="24"/>
        </w:rPr>
      </w:pPr>
      <w:r w:rsidRPr="00135017">
        <w:rPr>
          <w:rFonts w:ascii="Times New Roman" w:hAnsi="Times New Roman" w:cs="Times New Roman"/>
          <w:b/>
          <w:bCs/>
          <w:sz w:val="24"/>
          <w:szCs w:val="24"/>
        </w:rPr>
        <w:t xml:space="preserve">Key Words: </w:t>
      </w:r>
      <w:r w:rsidR="00161ACA">
        <w:rPr>
          <w:rFonts w:ascii="Times New Roman" w:hAnsi="Times New Roman" w:cs="Times New Roman"/>
          <w:sz w:val="24"/>
          <w:szCs w:val="24"/>
        </w:rPr>
        <w:t>Irrigation Schedules</w:t>
      </w:r>
      <w:r w:rsidRPr="00135017">
        <w:rPr>
          <w:rFonts w:ascii="Times New Roman" w:hAnsi="Times New Roman" w:cs="Times New Roman"/>
          <w:sz w:val="24"/>
          <w:szCs w:val="24"/>
        </w:rPr>
        <w:t>, Cow Urine, Dry, Biomass, Weed, Density, Experiment</w:t>
      </w:r>
      <w:r w:rsidRPr="0006142C">
        <w:rPr>
          <w:rFonts w:ascii="Times New Roman" w:hAnsi="Times New Roman" w:cs="Times New Roman"/>
          <w:color w:val="FF0000"/>
          <w:sz w:val="24"/>
          <w:szCs w:val="24"/>
        </w:rPr>
        <w:t>,</w:t>
      </w:r>
      <w:r w:rsidRPr="0006142C">
        <w:rPr>
          <w:rFonts w:ascii="Times New Roman" w:hAnsi="Times New Roman" w:cs="Times New Roman"/>
          <w:b/>
          <w:bCs/>
          <w:color w:val="FF0000"/>
          <w:sz w:val="24"/>
          <w:szCs w:val="24"/>
        </w:rPr>
        <w:t xml:space="preserve"> </w:t>
      </w:r>
    </w:p>
    <w:p w14:paraId="5555FBCC" w14:textId="77777777" w:rsidR="00E37C80" w:rsidRPr="00135017" w:rsidRDefault="000E1A3D" w:rsidP="00AB737A">
      <w:pPr>
        <w:pStyle w:val="Heading1"/>
        <w:spacing w:before="190" w:line="360" w:lineRule="auto"/>
        <w:ind w:left="44"/>
        <w:rPr>
          <w:rFonts w:ascii="Times New Roman" w:hAnsi="Times New Roman" w:cs="Times New Roman"/>
          <w:sz w:val="24"/>
          <w:szCs w:val="24"/>
        </w:rPr>
      </w:pPr>
      <w:r w:rsidRPr="00135017">
        <w:rPr>
          <w:rFonts w:ascii="Times New Roman" w:hAnsi="Times New Roman" w:cs="Times New Roman"/>
          <w:spacing w:val="-2"/>
          <w:sz w:val="24"/>
          <w:szCs w:val="24"/>
        </w:rPr>
        <w:t xml:space="preserve">1. </w:t>
      </w:r>
      <w:r w:rsidR="00E37C80" w:rsidRPr="00135017">
        <w:rPr>
          <w:rFonts w:ascii="Times New Roman" w:hAnsi="Times New Roman" w:cs="Times New Roman"/>
          <w:spacing w:val="-2"/>
          <w:sz w:val="24"/>
          <w:szCs w:val="24"/>
        </w:rPr>
        <w:t>Introduction</w:t>
      </w:r>
    </w:p>
    <w:p w14:paraId="5EA9B240"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Wheat is one of the most important cereals in the world. In India, wheat is the second most important staple food after rice, consumed by nearly 65% of the Indian population, and ranks first in dietary shares in northern India represented by the Gangetic plains. Presently, wheat accounts for 96.64 MT. The productivity of wheat depends upon several factors such as crop establishment techniques, weed management, irrigation, cultural practices, fertilizer management, and others. Among these factors, the hidden war with crops starts with weeds, causing up to 90% crop loss. According to world estimates, about 50% of losses in crop yield are due to different abiotic stresses under changing climatic conditions. The current weed problem has been aggravated due to the cultivation of high-yielding dwarf varieties, the use of high doses of fertilizers, frequent irrigation, and an increase in cropping intensity. However, the growth in production has led to India becoming the world’s second-largest producer of wheat.</w:t>
      </w:r>
    </w:p>
    <w:p w14:paraId="2F2825BB"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lastRenderedPageBreak/>
        <w:t xml:space="preserve">The concept of organic farming has been gaining momentum with the use of different manures, as liquid organic manures can help maintain optimum crop yield by preserving soil fertility. The integrated use of inorganic fertilizers with liquid organic manures, such as cow urine, can support sustainable crop production. Cow urine contains 95% water, 2.5% urea, and 2.5% minerals, salts, hormones, and enzymes. It also contains essential minerals like iron, calcium, phosphorus, carbonic acid, potash, nitrogen, ammonia, manganese, </w:t>
      </w:r>
      <w:proofErr w:type="spellStart"/>
      <w:r w:rsidRPr="007E7BEE">
        <w:rPr>
          <w:rFonts w:ascii="Times New Roman" w:eastAsia="Times New Roman" w:hAnsi="Times New Roman" w:cs="Times New Roman"/>
          <w:sz w:val="24"/>
          <w:szCs w:val="24"/>
        </w:rPr>
        <w:t>sulphur</w:t>
      </w:r>
      <w:proofErr w:type="spellEnd"/>
      <w:r w:rsidRPr="007E7BEE">
        <w:rPr>
          <w:rFonts w:ascii="Times New Roman" w:eastAsia="Times New Roman" w:hAnsi="Times New Roman" w:cs="Times New Roman"/>
          <w:sz w:val="24"/>
          <w:szCs w:val="24"/>
        </w:rPr>
        <w:t>, phosphates, potassium, urea, uric acid, amino acids, enzymes, cytokinin, and lactose [1]. Research shows that only 20% of nitrogenous materials consumed by cattle are absorbed, while 80% are excreted in urine and dung. The beneficial effects of cow urine application have been reported on several crops such as mustard [2, 3, 4], maize [5], sweet corn [6], and vegetables/fruits like watermelon [7] and lablab bean [8].</w:t>
      </w:r>
    </w:p>
    <w:p w14:paraId="323C40AA"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Considering these facts, the present study was carried out with the objective of determining the effect of irrigation schedules and cow urine spray on the density and dry biomass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and the growth attributes of wheat.</w:t>
      </w:r>
    </w:p>
    <w:p w14:paraId="4C898968" w14:textId="77777777" w:rsidR="000545A0" w:rsidRPr="0084517D" w:rsidRDefault="000E1A3D" w:rsidP="0032423A">
      <w:pPr>
        <w:spacing w:after="120" w:line="360" w:lineRule="auto"/>
        <w:jc w:val="both"/>
        <w:rPr>
          <w:rFonts w:ascii="Times New Roman" w:hAnsi="Times New Roman" w:cs="Times New Roman"/>
          <w:b/>
          <w:sz w:val="24"/>
          <w:szCs w:val="24"/>
        </w:rPr>
      </w:pPr>
      <w:r w:rsidRPr="0084517D">
        <w:rPr>
          <w:rFonts w:ascii="Times New Roman" w:hAnsi="Times New Roman" w:cs="Times New Roman"/>
          <w:b/>
          <w:sz w:val="24"/>
          <w:szCs w:val="24"/>
        </w:rPr>
        <w:t xml:space="preserve">2. </w:t>
      </w:r>
      <w:r w:rsidR="000545A0" w:rsidRPr="0084517D">
        <w:rPr>
          <w:rFonts w:ascii="Times New Roman" w:hAnsi="Times New Roman" w:cs="Times New Roman"/>
          <w:b/>
          <w:sz w:val="24"/>
          <w:szCs w:val="24"/>
        </w:rPr>
        <w:t xml:space="preserve">Materials and Methods </w:t>
      </w:r>
    </w:p>
    <w:p w14:paraId="536937D7" w14:textId="77777777" w:rsidR="007E7BEE" w:rsidRPr="007E7BEE" w:rsidRDefault="007E7BEE" w:rsidP="007E7BEE">
      <w:pPr>
        <w:pStyle w:val="BodyText2"/>
      </w:pPr>
      <w:r w:rsidRPr="007E7BEE">
        <w:t>The experiment was carried out at the Agricultural Research Farm, Institute of Agricultural Sciences, Banaras Hindu University, Varanasi, during the rabi seasons of 2019-20 and 2020-21, using the wheat variety HD2967. A split-plot design was employed, consisting of three main plots and seven subplots, replicated three times. The main plot treatments included three irrigation levels: I1 - Irrigation Water (IW)/Cumulative Pan Evaporation (CPE) 0.7, I2 - IW/CPE 1.0, and I3 - IW/CPE 1.2.</w:t>
      </w:r>
    </w:p>
    <w:p w14:paraId="069023E0"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The subplots involved different cow urine spray treatments at various growth stages of wheat: C1 - Control (no cow urine), C2 - Spray at the CRI stage, C3 - Spray at CRI + tillering, C4 - Spray at CRI + tillering + late jointing, C5 - Spray at CRI + tillering + late jointing + flowering, C6 - Spray at CRI + tillering + late jointing + flowering + milking, and C7 - Spray at CRI + tillering + late jointing + flowering + milking + maturity stages. Each treatment received a total of 4000 liters of cow urine per hectare. For instance, in treatment C3, cow urine was applied at the rate of 2000 liters per hectare during the CRI stage and another 2000 liters per hectare at the tillering stage.</w:t>
      </w:r>
    </w:p>
    <w:p w14:paraId="62BD0A03" w14:textId="77777777" w:rsidR="007E7BEE" w:rsidRPr="007E7BEE" w:rsidRDefault="007E7BEE" w:rsidP="007E7BEE">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Observations focused on the density and dry biomass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The collected data were analyzed using analysis of variance (ANOVA), and means were compared using the least significant difference (LSD) test at a 5% significance level.</w:t>
      </w:r>
    </w:p>
    <w:p w14:paraId="0935F36E" w14:textId="77777777" w:rsidR="001A4A7A" w:rsidRPr="0084517D" w:rsidRDefault="000E1A3D" w:rsidP="0032423A">
      <w:pPr>
        <w:spacing w:after="120" w:line="360" w:lineRule="auto"/>
        <w:jc w:val="both"/>
        <w:rPr>
          <w:rFonts w:ascii="Times New Roman" w:hAnsi="Times New Roman" w:cs="Times New Roman"/>
          <w:bCs/>
          <w:sz w:val="24"/>
          <w:szCs w:val="24"/>
        </w:rPr>
      </w:pPr>
      <w:r w:rsidRPr="0084517D">
        <w:rPr>
          <w:rFonts w:ascii="Times New Roman" w:hAnsi="Times New Roman" w:cs="Times New Roman"/>
          <w:b/>
          <w:sz w:val="24"/>
          <w:szCs w:val="24"/>
        </w:rPr>
        <w:t xml:space="preserve">3. </w:t>
      </w:r>
      <w:r w:rsidR="000517DD" w:rsidRPr="0084517D">
        <w:rPr>
          <w:rFonts w:ascii="Times New Roman" w:hAnsi="Times New Roman" w:cs="Times New Roman"/>
          <w:b/>
          <w:sz w:val="24"/>
          <w:szCs w:val="24"/>
        </w:rPr>
        <w:t>Results and Discussion</w:t>
      </w:r>
      <w:r w:rsidR="001A4A7A" w:rsidRPr="0084517D">
        <w:rPr>
          <w:rFonts w:ascii="Times New Roman" w:hAnsi="Times New Roman" w:cs="Times New Roman"/>
          <w:bCs/>
          <w:sz w:val="24"/>
          <w:szCs w:val="24"/>
        </w:rPr>
        <w:t xml:space="preserve"> </w:t>
      </w:r>
    </w:p>
    <w:p w14:paraId="75C86A5F" w14:textId="77777777" w:rsidR="00C261C8" w:rsidRDefault="007E7BEE" w:rsidP="00C261C8">
      <w:pPr>
        <w:spacing w:before="100" w:beforeAutospacing="1" w:after="100" w:afterAutospacing="1" w:line="240" w:lineRule="auto"/>
        <w:jc w:val="both"/>
        <w:rPr>
          <w:rFonts w:ascii="Times New Roman" w:eastAsia="Times New Roman" w:hAnsi="Times New Roman" w:cs="Times New Roman"/>
          <w:b/>
          <w:bCs/>
          <w:i/>
          <w:iCs/>
          <w:sz w:val="24"/>
          <w:szCs w:val="24"/>
        </w:rPr>
      </w:pPr>
      <w:r w:rsidRPr="007E7BEE">
        <w:rPr>
          <w:rFonts w:ascii="Times New Roman" w:eastAsia="Times New Roman" w:hAnsi="Times New Roman" w:cs="Times New Roman"/>
          <w:b/>
          <w:bCs/>
          <w:sz w:val="24"/>
          <w:szCs w:val="24"/>
        </w:rPr>
        <w:t xml:space="preserve">3.1 Effect on Density of </w:t>
      </w:r>
      <w:proofErr w:type="spellStart"/>
      <w:r w:rsidRPr="007E7BEE">
        <w:rPr>
          <w:rFonts w:ascii="Times New Roman" w:eastAsia="Times New Roman" w:hAnsi="Times New Roman" w:cs="Times New Roman"/>
          <w:b/>
          <w:bCs/>
          <w:i/>
          <w:iCs/>
          <w:sz w:val="24"/>
          <w:szCs w:val="24"/>
        </w:rPr>
        <w:t>Cynodon</w:t>
      </w:r>
      <w:proofErr w:type="spellEnd"/>
      <w:r w:rsidRPr="007E7BEE">
        <w:rPr>
          <w:rFonts w:ascii="Times New Roman" w:eastAsia="Times New Roman" w:hAnsi="Times New Roman" w:cs="Times New Roman"/>
          <w:b/>
          <w:bCs/>
          <w:i/>
          <w:iCs/>
          <w:sz w:val="24"/>
          <w:szCs w:val="24"/>
        </w:rPr>
        <w:t xml:space="preserve"> </w:t>
      </w:r>
      <w:proofErr w:type="spellStart"/>
      <w:r w:rsidRPr="007E7BEE">
        <w:rPr>
          <w:rFonts w:ascii="Times New Roman" w:eastAsia="Times New Roman" w:hAnsi="Times New Roman" w:cs="Times New Roman"/>
          <w:b/>
          <w:bCs/>
          <w:i/>
          <w:iCs/>
          <w:sz w:val="24"/>
          <w:szCs w:val="24"/>
        </w:rPr>
        <w:t>dactylon</w:t>
      </w:r>
      <w:proofErr w:type="spellEnd"/>
    </w:p>
    <w:p w14:paraId="24A5AD2F"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The results indicated that the density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was not significantly affected by different irrigation schedules (I) and cow urine (CU) applications at various intervals in the wheat crop during both experimental years.</w:t>
      </w:r>
    </w:p>
    <w:p w14:paraId="02F1A27E" w14:textId="77777777" w:rsidR="00C261C8" w:rsidRDefault="007E7BEE"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7E7BEE">
        <w:rPr>
          <w:rFonts w:ascii="Times New Roman" w:eastAsia="Times New Roman" w:hAnsi="Times New Roman" w:cs="Times New Roman"/>
          <w:b/>
          <w:bCs/>
          <w:sz w:val="24"/>
          <w:szCs w:val="24"/>
        </w:rPr>
        <w:lastRenderedPageBreak/>
        <w:t xml:space="preserve">3.1.1 Effect on Density of </w:t>
      </w:r>
      <w:proofErr w:type="spellStart"/>
      <w:r w:rsidRPr="007E7BEE">
        <w:rPr>
          <w:rFonts w:ascii="Times New Roman" w:eastAsia="Times New Roman" w:hAnsi="Times New Roman" w:cs="Times New Roman"/>
          <w:b/>
          <w:bCs/>
          <w:i/>
          <w:iCs/>
          <w:sz w:val="24"/>
          <w:szCs w:val="24"/>
        </w:rPr>
        <w:t>Cynodon</w:t>
      </w:r>
      <w:proofErr w:type="spellEnd"/>
      <w:r w:rsidRPr="007E7BEE">
        <w:rPr>
          <w:rFonts w:ascii="Times New Roman" w:eastAsia="Times New Roman" w:hAnsi="Times New Roman" w:cs="Times New Roman"/>
          <w:b/>
          <w:bCs/>
          <w:i/>
          <w:iCs/>
          <w:sz w:val="24"/>
          <w:szCs w:val="24"/>
        </w:rPr>
        <w:t xml:space="preserve"> </w:t>
      </w:r>
      <w:proofErr w:type="spellStart"/>
      <w:r w:rsidRPr="007E7BEE">
        <w:rPr>
          <w:rFonts w:ascii="Times New Roman" w:eastAsia="Times New Roman" w:hAnsi="Times New Roman" w:cs="Times New Roman"/>
          <w:b/>
          <w:bCs/>
          <w:i/>
          <w:iCs/>
          <w:sz w:val="24"/>
          <w:szCs w:val="24"/>
        </w:rPr>
        <w:t>dactylon</w:t>
      </w:r>
      <w:proofErr w:type="spellEnd"/>
      <w:r w:rsidRPr="007E7BEE">
        <w:rPr>
          <w:rFonts w:ascii="Times New Roman" w:eastAsia="Times New Roman" w:hAnsi="Times New Roman" w:cs="Times New Roman"/>
          <w:b/>
          <w:bCs/>
          <w:sz w:val="24"/>
          <w:szCs w:val="24"/>
        </w:rPr>
        <w:t xml:space="preserve"> at 30 DAS</w:t>
      </w:r>
    </w:p>
    <w:p w14:paraId="0AF37B04"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Regarding irrigation schedules, the lowest densities of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were observed under </w:t>
      </w:r>
      <w:r w:rsidRPr="007E7BEE">
        <w:rPr>
          <w:rFonts w:ascii="Times New Roman" w:eastAsia="Times New Roman" w:hAnsi="Times New Roman" w:cs="Times New Roman"/>
          <w:b/>
          <w:bCs/>
          <w:sz w:val="24"/>
          <w:szCs w:val="24"/>
        </w:rPr>
        <w:t>I3 (IW/CPE 1.2)</w:t>
      </w:r>
      <w:r w:rsidRPr="007E7BEE">
        <w:rPr>
          <w:rFonts w:ascii="Times New Roman" w:eastAsia="Times New Roman" w:hAnsi="Times New Roman" w:cs="Times New Roman"/>
          <w:sz w:val="24"/>
          <w:szCs w:val="24"/>
        </w:rPr>
        <w:t xml:space="preserve">, recording </w:t>
      </w:r>
      <w:r w:rsidRPr="007E7BEE">
        <w:rPr>
          <w:rFonts w:ascii="Times New Roman" w:eastAsia="Times New Roman" w:hAnsi="Times New Roman" w:cs="Times New Roman"/>
          <w:b/>
          <w:bCs/>
          <w:sz w:val="24"/>
          <w:szCs w:val="24"/>
        </w:rPr>
        <w:t>8.42</w:t>
      </w:r>
      <w:r w:rsidRPr="007E7BEE">
        <w:rPr>
          <w:rFonts w:ascii="Times New Roman" w:eastAsia="Times New Roman" w:hAnsi="Times New Roman" w:cs="Times New Roman"/>
          <w:sz w:val="24"/>
          <w:szCs w:val="24"/>
        </w:rPr>
        <w:t xml:space="preserve"> in the first year, and under </w:t>
      </w:r>
      <w:r w:rsidRPr="007E7BEE">
        <w:rPr>
          <w:rFonts w:ascii="Times New Roman" w:eastAsia="Times New Roman" w:hAnsi="Times New Roman" w:cs="Times New Roman"/>
          <w:b/>
          <w:bCs/>
          <w:sz w:val="24"/>
          <w:szCs w:val="24"/>
        </w:rPr>
        <w:t>I1 (IW/CPE 0.7)</w:t>
      </w:r>
      <w:r w:rsidRPr="007E7BEE">
        <w:rPr>
          <w:rFonts w:ascii="Times New Roman" w:eastAsia="Times New Roman" w:hAnsi="Times New Roman" w:cs="Times New Roman"/>
          <w:sz w:val="24"/>
          <w:szCs w:val="24"/>
        </w:rPr>
        <w:t xml:space="preserve">, recording </w:t>
      </w:r>
      <w:r w:rsidRPr="007E7BEE">
        <w:rPr>
          <w:rFonts w:ascii="Times New Roman" w:eastAsia="Times New Roman" w:hAnsi="Times New Roman" w:cs="Times New Roman"/>
          <w:b/>
          <w:bCs/>
          <w:sz w:val="24"/>
          <w:szCs w:val="24"/>
        </w:rPr>
        <w:t>10.27</w:t>
      </w:r>
      <w:r w:rsidRPr="007E7BEE">
        <w:rPr>
          <w:rFonts w:ascii="Times New Roman" w:eastAsia="Times New Roman" w:hAnsi="Times New Roman" w:cs="Times New Roman"/>
          <w:sz w:val="24"/>
          <w:szCs w:val="24"/>
        </w:rPr>
        <w:t xml:space="preserve"> in the second year of the trial (Fig. 1). Conversely, the highest densities were noted under </w:t>
      </w:r>
      <w:r w:rsidRPr="007E7BEE">
        <w:rPr>
          <w:rFonts w:ascii="Times New Roman" w:eastAsia="Times New Roman" w:hAnsi="Times New Roman" w:cs="Times New Roman"/>
          <w:b/>
          <w:bCs/>
          <w:sz w:val="24"/>
          <w:szCs w:val="24"/>
        </w:rPr>
        <w:t>I1 (IW/CPE 0.7)</w:t>
      </w:r>
      <w:r w:rsidRPr="007E7BEE">
        <w:rPr>
          <w:rFonts w:ascii="Times New Roman" w:eastAsia="Times New Roman" w:hAnsi="Times New Roman" w:cs="Times New Roman"/>
          <w:sz w:val="24"/>
          <w:szCs w:val="24"/>
        </w:rPr>
        <w:t xml:space="preserve"> in the first year (</w:t>
      </w:r>
      <w:r w:rsidRPr="007E7BEE">
        <w:rPr>
          <w:rFonts w:ascii="Times New Roman" w:eastAsia="Times New Roman" w:hAnsi="Times New Roman" w:cs="Times New Roman"/>
          <w:b/>
          <w:bCs/>
          <w:sz w:val="24"/>
          <w:szCs w:val="24"/>
        </w:rPr>
        <w:t>8.09</w:t>
      </w:r>
      <w:r w:rsidRPr="007E7BEE">
        <w:rPr>
          <w:rFonts w:ascii="Times New Roman" w:eastAsia="Times New Roman" w:hAnsi="Times New Roman" w:cs="Times New Roman"/>
          <w:sz w:val="24"/>
          <w:szCs w:val="24"/>
        </w:rPr>
        <w:t xml:space="preserve">) and under </w:t>
      </w:r>
      <w:r w:rsidRPr="007E7BEE">
        <w:rPr>
          <w:rFonts w:ascii="Times New Roman" w:eastAsia="Times New Roman" w:hAnsi="Times New Roman" w:cs="Times New Roman"/>
          <w:b/>
          <w:bCs/>
          <w:sz w:val="24"/>
          <w:szCs w:val="24"/>
        </w:rPr>
        <w:t>I3 (IW/CPE 1.2)</w:t>
      </w:r>
      <w:r w:rsidRPr="007E7BEE">
        <w:rPr>
          <w:rFonts w:ascii="Times New Roman" w:eastAsia="Times New Roman" w:hAnsi="Times New Roman" w:cs="Times New Roman"/>
          <w:sz w:val="24"/>
          <w:szCs w:val="24"/>
        </w:rPr>
        <w:t xml:space="preserve"> in the second year (</w:t>
      </w:r>
      <w:r w:rsidRPr="007E7BEE">
        <w:rPr>
          <w:rFonts w:ascii="Times New Roman" w:eastAsia="Times New Roman" w:hAnsi="Times New Roman" w:cs="Times New Roman"/>
          <w:b/>
          <w:bCs/>
          <w:sz w:val="24"/>
          <w:szCs w:val="24"/>
        </w:rPr>
        <w:t>11.09</w:t>
      </w:r>
      <w:r w:rsidRPr="007E7BEE">
        <w:rPr>
          <w:rFonts w:ascii="Times New Roman" w:eastAsia="Times New Roman" w:hAnsi="Times New Roman" w:cs="Times New Roman"/>
          <w:sz w:val="24"/>
          <w:szCs w:val="24"/>
        </w:rPr>
        <w:t>) (Fig. 1).</w:t>
      </w:r>
    </w:p>
    <w:p w14:paraId="39C3079F" w14:textId="77777777" w:rsidR="007E7BEE" w:rsidRPr="007E7BEE" w:rsidRDefault="007E7BEE" w:rsidP="00C261C8">
      <w:pPr>
        <w:spacing w:before="100" w:beforeAutospacing="1" w:after="100" w:afterAutospacing="1" w:line="240" w:lineRule="auto"/>
        <w:jc w:val="both"/>
        <w:rPr>
          <w:rFonts w:ascii="Times New Roman" w:eastAsia="Times New Roman" w:hAnsi="Times New Roman" w:cs="Times New Roman"/>
          <w:sz w:val="24"/>
          <w:szCs w:val="24"/>
        </w:rPr>
      </w:pPr>
      <w:r w:rsidRPr="007E7BEE">
        <w:rPr>
          <w:rFonts w:ascii="Times New Roman" w:eastAsia="Times New Roman" w:hAnsi="Times New Roman" w:cs="Times New Roman"/>
          <w:sz w:val="24"/>
          <w:szCs w:val="24"/>
        </w:rPr>
        <w:t xml:space="preserve">In terms of cow urine application, the minimum </w:t>
      </w:r>
      <w:proofErr w:type="spellStart"/>
      <w:r w:rsidRPr="007E7BEE">
        <w:rPr>
          <w:rFonts w:ascii="Times New Roman" w:eastAsia="Times New Roman" w:hAnsi="Times New Roman" w:cs="Times New Roman"/>
          <w:i/>
          <w:iCs/>
          <w:sz w:val="24"/>
          <w:szCs w:val="24"/>
        </w:rPr>
        <w:t>Cynodon</w:t>
      </w:r>
      <w:proofErr w:type="spellEnd"/>
      <w:r w:rsidRPr="007E7BEE">
        <w:rPr>
          <w:rFonts w:ascii="Times New Roman" w:eastAsia="Times New Roman" w:hAnsi="Times New Roman" w:cs="Times New Roman"/>
          <w:i/>
          <w:iCs/>
          <w:sz w:val="24"/>
          <w:szCs w:val="24"/>
        </w:rPr>
        <w:t xml:space="preserve"> </w:t>
      </w:r>
      <w:proofErr w:type="spellStart"/>
      <w:r w:rsidRPr="007E7BEE">
        <w:rPr>
          <w:rFonts w:ascii="Times New Roman" w:eastAsia="Times New Roman" w:hAnsi="Times New Roman" w:cs="Times New Roman"/>
          <w:i/>
          <w:iCs/>
          <w:sz w:val="24"/>
          <w:szCs w:val="24"/>
        </w:rPr>
        <w:t>dactylon</w:t>
      </w:r>
      <w:proofErr w:type="spellEnd"/>
      <w:r w:rsidRPr="007E7BEE">
        <w:rPr>
          <w:rFonts w:ascii="Times New Roman" w:eastAsia="Times New Roman" w:hAnsi="Times New Roman" w:cs="Times New Roman"/>
          <w:sz w:val="24"/>
          <w:szCs w:val="24"/>
        </w:rPr>
        <w:t xml:space="preserve"> density was recorded under </w:t>
      </w:r>
      <w:r w:rsidRPr="007E7BEE">
        <w:rPr>
          <w:rFonts w:ascii="Times New Roman" w:eastAsia="Times New Roman" w:hAnsi="Times New Roman" w:cs="Times New Roman"/>
          <w:b/>
          <w:bCs/>
          <w:sz w:val="24"/>
          <w:szCs w:val="24"/>
        </w:rPr>
        <w:t>C2</w:t>
      </w:r>
      <w:r w:rsidRPr="007E7BEE">
        <w:rPr>
          <w:rFonts w:ascii="Times New Roman" w:eastAsia="Times New Roman" w:hAnsi="Times New Roman" w:cs="Times New Roman"/>
          <w:sz w:val="24"/>
          <w:szCs w:val="24"/>
        </w:rPr>
        <w:t xml:space="preserve"> (cow urine @ 4000 L at CRI) during both years of the study. On the other hand, the maximum density was observed in </w:t>
      </w:r>
      <w:r w:rsidRPr="007E7BEE">
        <w:rPr>
          <w:rFonts w:ascii="Times New Roman" w:eastAsia="Times New Roman" w:hAnsi="Times New Roman" w:cs="Times New Roman"/>
          <w:b/>
          <w:bCs/>
          <w:sz w:val="24"/>
          <w:szCs w:val="24"/>
        </w:rPr>
        <w:t>C1</w:t>
      </w:r>
      <w:r w:rsidRPr="007E7BEE">
        <w:rPr>
          <w:rFonts w:ascii="Times New Roman" w:eastAsia="Times New Roman" w:hAnsi="Times New Roman" w:cs="Times New Roman"/>
          <w:sz w:val="24"/>
          <w:szCs w:val="24"/>
        </w:rPr>
        <w:t xml:space="preserve"> (Control) during the first year and in </w:t>
      </w:r>
      <w:r w:rsidRPr="007E7BEE">
        <w:rPr>
          <w:rFonts w:ascii="Times New Roman" w:eastAsia="Times New Roman" w:hAnsi="Times New Roman" w:cs="Times New Roman"/>
          <w:b/>
          <w:bCs/>
          <w:sz w:val="24"/>
          <w:szCs w:val="24"/>
        </w:rPr>
        <w:t>C4</w:t>
      </w:r>
      <w:r w:rsidRPr="007E7BEE">
        <w:rPr>
          <w:rFonts w:ascii="Times New Roman" w:eastAsia="Times New Roman" w:hAnsi="Times New Roman" w:cs="Times New Roman"/>
          <w:sz w:val="24"/>
          <w:szCs w:val="24"/>
        </w:rPr>
        <w:t xml:space="preserve"> (cow urine @ 4000 L at CRI + Tillering + Late Jointing) during the second year.</w:t>
      </w:r>
    </w:p>
    <w:p w14:paraId="0A082DF5" w14:textId="77777777" w:rsidR="00DD0BEC" w:rsidRPr="001B2C11" w:rsidRDefault="000412D4" w:rsidP="000952C9">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D5E9980">
          <v:shapetype id="_x0000_t202" coordsize="21600,21600" o:spt="202" path="m,l,21600r21600,l21600,xe">
            <v:stroke joinstyle="miter"/>
            <v:path gradientshapeok="t" o:connecttype="rect"/>
          </v:shapetype>
          <v:shape id="_x0000_s1032" type="#_x0000_t202" style="position:absolute;left:0;text-align:left;margin-left:190.35pt;margin-top:157.3pt;width:22.5pt;height:11.25pt;z-index:251664384" fillcolor="white [3212]" strokecolor="white [3212]">
            <v:textbox>
              <w:txbxContent>
                <w:p w14:paraId="663AD64C" w14:textId="77777777" w:rsidR="00161ACA" w:rsidRDefault="00161ACA"/>
              </w:txbxContent>
            </v:textbox>
          </v:shape>
        </w:pict>
      </w:r>
      <w:r w:rsidR="004868DC" w:rsidRPr="004868DC">
        <w:rPr>
          <w:rFonts w:ascii="Times New Roman" w:hAnsi="Times New Roman" w:cs="Times New Roman"/>
          <w:noProof/>
          <w:sz w:val="24"/>
          <w:szCs w:val="24"/>
          <w:lang w:bidi="ar-SA"/>
        </w:rPr>
        <w:drawing>
          <wp:inline distT="0" distB="0" distL="0" distR="0" wp14:anchorId="01337974" wp14:editId="2EC7023A">
            <wp:extent cx="59436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D7B3F7" w14:textId="77777777" w:rsidR="00D4179F" w:rsidRPr="0049110B" w:rsidRDefault="008623F0" w:rsidP="0049110B">
      <w:pPr>
        <w:spacing w:after="120" w:line="240" w:lineRule="auto"/>
        <w:jc w:val="both"/>
        <w:rPr>
          <w:rFonts w:ascii="Times New Roman" w:hAnsi="Times New Roman" w:cs="Times New Roman"/>
          <w:bCs/>
          <w:sz w:val="24"/>
          <w:szCs w:val="24"/>
        </w:rPr>
      </w:pPr>
      <w:r w:rsidRPr="008623F0">
        <w:rPr>
          <w:rFonts w:ascii="Times New Roman" w:hAnsi="Times New Roman" w:cs="Times New Roman"/>
          <w:bCs/>
          <w:sz w:val="24"/>
          <w:szCs w:val="24"/>
        </w:rPr>
        <w:t>Fig.1: D</w:t>
      </w:r>
      <w:r w:rsidR="00DD0BEC" w:rsidRPr="008623F0">
        <w:rPr>
          <w:rFonts w:ascii="Times New Roman" w:hAnsi="Times New Roman" w:cs="Times New Roman"/>
          <w:bCs/>
          <w:sz w:val="24"/>
          <w:szCs w:val="24"/>
        </w:rPr>
        <w:t xml:space="preserve">ensity of </w:t>
      </w:r>
      <w:proofErr w:type="spellStart"/>
      <w:r w:rsidR="0084517D" w:rsidRPr="008623F0">
        <w:rPr>
          <w:rFonts w:ascii="Times New Roman" w:hAnsi="Times New Roman" w:cs="Times New Roman"/>
          <w:bCs/>
          <w:i/>
          <w:iCs/>
          <w:sz w:val="24"/>
          <w:szCs w:val="24"/>
        </w:rPr>
        <w:t>Cynodon</w:t>
      </w:r>
      <w:proofErr w:type="spellEnd"/>
      <w:r w:rsidR="0084517D" w:rsidRPr="008623F0">
        <w:rPr>
          <w:rFonts w:ascii="Times New Roman" w:hAnsi="Times New Roman" w:cs="Times New Roman"/>
          <w:bCs/>
          <w:i/>
          <w:iCs/>
          <w:sz w:val="24"/>
          <w:szCs w:val="24"/>
        </w:rPr>
        <w:t xml:space="preserve"> </w:t>
      </w:r>
      <w:proofErr w:type="spellStart"/>
      <w:r w:rsidR="0084517D" w:rsidRPr="008623F0">
        <w:rPr>
          <w:rFonts w:ascii="Times New Roman" w:hAnsi="Times New Roman" w:cs="Times New Roman"/>
          <w:bCs/>
          <w:i/>
          <w:iCs/>
          <w:sz w:val="24"/>
          <w:szCs w:val="24"/>
        </w:rPr>
        <w:t>dactylon</w:t>
      </w:r>
      <w:proofErr w:type="spellEnd"/>
      <w:r w:rsidR="0084517D" w:rsidRPr="008623F0">
        <w:rPr>
          <w:rFonts w:ascii="Times New Roman" w:hAnsi="Times New Roman" w:cs="Times New Roman"/>
          <w:bCs/>
          <w:sz w:val="24"/>
          <w:szCs w:val="24"/>
        </w:rPr>
        <w:t xml:space="preserve"> </w:t>
      </w:r>
      <w:r w:rsidR="00DD0BEC" w:rsidRPr="008623F0">
        <w:rPr>
          <w:rFonts w:ascii="Times New Roman" w:hAnsi="Times New Roman" w:cs="Times New Roman"/>
          <w:bCs/>
          <w:sz w:val="24"/>
          <w:szCs w:val="24"/>
        </w:rPr>
        <w:t xml:space="preserve">as influenced by irrigation schedules (I) and cow urine (CU) at 30 </w:t>
      </w:r>
      <w:r w:rsidRPr="008623F0">
        <w:rPr>
          <w:rFonts w:ascii="Times New Roman" w:hAnsi="Times New Roman" w:cs="Times New Roman"/>
          <w:bCs/>
          <w:sz w:val="24"/>
          <w:szCs w:val="24"/>
        </w:rPr>
        <w:t>days after sowing</w:t>
      </w:r>
    </w:p>
    <w:p w14:paraId="4C201220" w14:textId="77777777" w:rsidR="007E7BEE" w:rsidRDefault="007E7BEE" w:rsidP="000952C9">
      <w:pPr>
        <w:spacing w:after="120" w:line="360" w:lineRule="auto"/>
        <w:jc w:val="both"/>
        <w:rPr>
          <w:rStyle w:val="Strong"/>
        </w:rPr>
      </w:pPr>
      <w:r>
        <w:rPr>
          <w:rStyle w:val="Strong"/>
        </w:rPr>
        <w:t xml:space="preserve">3.1.2 Effect on Density of </w:t>
      </w:r>
      <w:proofErr w:type="spellStart"/>
      <w:r>
        <w:rPr>
          <w:rStyle w:val="Emphasis"/>
          <w:b/>
          <w:bCs/>
        </w:rPr>
        <w:t>Cynodon</w:t>
      </w:r>
      <w:proofErr w:type="spellEnd"/>
      <w:r>
        <w:rPr>
          <w:rStyle w:val="Emphasis"/>
          <w:b/>
          <w:bCs/>
        </w:rPr>
        <w:t xml:space="preserve"> </w:t>
      </w:r>
      <w:proofErr w:type="spellStart"/>
      <w:r>
        <w:rPr>
          <w:rStyle w:val="Emphasis"/>
          <w:b/>
          <w:bCs/>
        </w:rPr>
        <w:t>dactylon</w:t>
      </w:r>
      <w:proofErr w:type="spellEnd"/>
      <w:r>
        <w:rPr>
          <w:rStyle w:val="Strong"/>
        </w:rPr>
        <w:t xml:space="preserve"> at 60 DAS</w:t>
      </w:r>
    </w:p>
    <w:p w14:paraId="05643829" w14:textId="77777777" w:rsidR="00E8690B" w:rsidRPr="0006142C" w:rsidRDefault="007E7BEE" w:rsidP="000952C9">
      <w:pPr>
        <w:spacing w:after="120" w:line="360" w:lineRule="auto"/>
        <w:jc w:val="both"/>
        <w:rPr>
          <w:rFonts w:ascii="Times New Roman" w:hAnsi="Times New Roman" w:cs="Times New Roman"/>
          <w:color w:val="FF0000"/>
          <w:sz w:val="24"/>
          <w:szCs w:val="24"/>
        </w:rPr>
      </w:pPr>
      <w:r>
        <w:t xml:space="preserve">The lowest density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was recorded under </w:t>
      </w:r>
      <w:r>
        <w:rPr>
          <w:rStyle w:val="Strong"/>
        </w:rPr>
        <w:t>I3</w:t>
      </w:r>
      <w:r>
        <w:t xml:space="preserve"> in the first year and under </w:t>
      </w:r>
      <w:r>
        <w:rPr>
          <w:rStyle w:val="Strong"/>
        </w:rPr>
        <w:t>I1</w:t>
      </w:r>
      <w:r>
        <w:t xml:space="preserve"> in the second year of the trial, as shown in </w:t>
      </w:r>
      <w:r>
        <w:rPr>
          <w:rStyle w:val="Strong"/>
        </w:rPr>
        <w:t>Figure 2</w:t>
      </w:r>
      <w:r>
        <w:t xml:space="preserve">. In contrast, the highest density was observed under </w:t>
      </w:r>
      <w:r>
        <w:rPr>
          <w:rStyle w:val="Strong"/>
        </w:rPr>
        <w:t>I1</w:t>
      </w:r>
      <w:r>
        <w:t xml:space="preserve"> during the first year and under </w:t>
      </w:r>
      <w:r>
        <w:rPr>
          <w:rStyle w:val="Strong"/>
        </w:rPr>
        <w:t>I3</w:t>
      </w:r>
      <w:r>
        <w:t xml:space="preserve"> during the second year. Regarding cow urine application, the </w:t>
      </w:r>
      <w:r>
        <w:lastRenderedPageBreak/>
        <w:t xml:space="preserve">maximum density of </w:t>
      </w:r>
      <w:proofErr w:type="spellStart"/>
      <w:r>
        <w:rPr>
          <w:rStyle w:val="Emphasis"/>
        </w:rPr>
        <w:t>Cynodon</w:t>
      </w:r>
      <w:proofErr w:type="spellEnd"/>
      <w:r>
        <w:rPr>
          <w:rStyle w:val="Emphasis"/>
        </w:rPr>
        <w:t xml:space="preserve"> </w:t>
      </w:r>
      <w:proofErr w:type="spellStart"/>
      <w:r>
        <w:rPr>
          <w:rStyle w:val="Emphasis"/>
        </w:rPr>
        <w:t>dactylon</w:t>
      </w:r>
      <w:proofErr w:type="spellEnd"/>
      <w:r>
        <w:t xml:space="preserve"> was noted under </w:t>
      </w:r>
      <w:r>
        <w:rPr>
          <w:rStyle w:val="Strong"/>
        </w:rPr>
        <w:t>C2</w:t>
      </w:r>
      <w:r>
        <w:t xml:space="preserve"> in both years of the experiment (</w:t>
      </w:r>
      <w:r>
        <w:rPr>
          <w:rStyle w:val="Strong"/>
        </w:rPr>
        <w:t>Figure 2</w:t>
      </w:r>
      <w:r>
        <w:t>).</w:t>
      </w:r>
      <w:r w:rsidR="000412D4">
        <w:rPr>
          <w:rFonts w:ascii="Times New Roman" w:hAnsi="Times New Roman" w:cs="Times New Roman"/>
          <w:noProof/>
          <w:color w:val="FFFF00"/>
          <w:sz w:val="24"/>
          <w:szCs w:val="24"/>
        </w:rPr>
        <w:pict w14:anchorId="23AD2F8F">
          <v:shape id="_x0000_s1031" type="#_x0000_t202" style="position:absolute;left:0;text-align:left;margin-left:189.7pt;margin-top:157.9pt;width:16.3pt;height:10pt;z-index:251663360;mso-position-horizontal-relative:text;mso-position-vertical-relative:text" fillcolor="white [3212]" strokecolor="white [3212]">
            <v:textbox>
              <w:txbxContent>
                <w:p w14:paraId="6CB3DF38" w14:textId="77777777" w:rsidR="00161ACA" w:rsidRDefault="00161ACA"/>
              </w:txbxContent>
            </v:textbox>
          </v:shape>
        </w:pict>
      </w:r>
      <w:r w:rsidR="000412D4">
        <w:rPr>
          <w:rFonts w:ascii="Times New Roman" w:hAnsi="Times New Roman" w:cs="Times New Roman"/>
          <w:noProof/>
          <w:color w:val="FFFF00"/>
          <w:sz w:val="24"/>
          <w:szCs w:val="24"/>
        </w:rPr>
        <w:pict w14:anchorId="460640AD">
          <v:shape id="_x0000_s1028" type="#_x0000_t202" style="position:absolute;left:0;text-align:left;margin-left:52.6pt;margin-top:155.35pt;width:20.65pt;height:16.3pt;z-index:251660288;mso-position-horizontal-relative:text;mso-position-vertical-relative:text" fillcolor="white [3212]" strokecolor="white [3212]">
            <v:textbox>
              <w:txbxContent>
                <w:p w14:paraId="22F2CAC0" w14:textId="77777777" w:rsidR="00161ACA" w:rsidRDefault="00161ACA"/>
              </w:txbxContent>
            </v:textbox>
          </v:shape>
        </w:pict>
      </w:r>
      <w:r w:rsidR="00283969" w:rsidRPr="00283969">
        <w:rPr>
          <w:rFonts w:ascii="Times New Roman" w:hAnsi="Times New Roman" w:cs="Times New Roman"/>
          <w:noProof/>
          <w:color w:val="FFFF00"/>
          <w:sz w:val="24"/>
          <w:szCs w:val="24"/>
          <w:lang w:bidi="ar-SA"/>
        </w:rPr>
        <w:drawing>
          <wp:inline distT="0" distB="0" distL="0" distR="0" wp14:anchorId="78EC061F" wp14:editId="11B3D08C">
            <wp:extent cx="588645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CB2AE6" w14:textId="77777777" w:rsidR="00703726" w:rsidRPr="004E7583" w:rsidRDefault="00E8690B" w:rsidP="00E8690B">
      <w:pPr>
        <w:spacing w:after="120" w:line="240" w:lineRule="auto"/>
        <w:jc w:val="both"/>
        <w:rPr>
          <w:rFonts w:ascii="Times New Roman" w:hAnsi="Times New Roman" w:cs="Times New Roman"/>
          <w:bCs/>
          <w:sz w:val="24"/>
          <w:szCs w:val="24"/>
        </w:rPr>
      </w:pPr>
      <w:r w:rsidRPr="004E7583">
        <w:rPr>
          <w:rFonts w:ascii="Times New Roman" w:hAnsi="Times New Roman" w:cs="Times New Roman"/>
          <w:bCs/>
          <w:sz w:val="24"/>
          <w:szCs w:val="24"/>
        </w:rPr>
        <w:t>Fig.</w:t>
      </w:r>
      <w:r w:rsidR="00136A2D" w:rsidRPr="004E7583">
        <w:rPr>
          <w:rFonts w:ascii="Times New Roman" w:hAnsi="Times New Roman" w:cs="Times New Roman"/>
          <w:bCs/>
          <w:sz w:val="24"/>
          <w:szCs w:val="24"/>
        </w:rPr>
        <w:t>2</w:t>
      </w:r>
      <w:r w:rsidRPr="004E7583">
        <w:rPr>
          <w:rFonts w:ascii="Times New Roman" w:hAnsi="Times New Roman" w:cs="Times New Roman"/>
          <w:bCs/>
          <w:sz w:val="24"/>
          <w:szCs w:val="24"/>
        </w:rPr>
        <w:t xml:space="preserve">: Weed density of </w:t>
      </w:r>
      <w:proofErr w:type="spellStart"/>
      <w:r w:rsidR="008860FE" w:rsidRPr="004E7583">
        <w:rPr>
          <w:rFonts w:ascii="Times New Roman" w:hAnsi="Times New Roman" w:cs="Times New Roman"/>
          <w:bCs/>
          <w:i/>
          <w:iCs/>
          <w:sz w:val="24"/>
          <w:szCs w:val="24"/>
        </w:rPr>
        <w:t>Cynodon</w:t>
      </w:r>
      <w:proofErr w:type="spellEnd"/>
      <w:r w:rsidR="008860FE" w:rsidRPr="004E7583">
        <w:rPr>
          <w:rFonts w:ascii="Times New Roman" w:hAnsi="Times New Roman" w:cs="Times New Roman"/>
          <w:bCs/>
          <w:i/>
          <w:iCs/>
          <w:sz w:val="24"/>
          <w:szCs w:val="24"/>
        </w:rPr>
        <w:t xml:space="preserve"> </w:t>
      </w:r>
      <w:proofErr w:type="spellStart"/>
      <w:r w:rsidR="008860FE" w:rsidRPr="004E7583">
        <w:rPr>
          <w:rFonts w:ascii="Times New Roman" w:hAnsi="Times New Roman" w:cs="Times New Roman"/>
          <w:bCs/>
          <w:i/>
          <w:iCs/>
          <w:sz w:val="24"/>
          <w:szCs w:val="24"/>
        </w:rPr>
        <w:t>dactylon</w:t>
      </w:r>
      <w:proofErr w:type="spellEnd"/>
      <w:r w:rsidR="008860FE" w:rsidRPr="004E7583">
        <w:rPr>
          <w:rFonts w:ascii="Times New Roman" w:hAnsi="Times New Roman" w:cs="Times New Roman"/>
          <w:bCs/>
          <w:sz w:val="24"/>
          <w:szCs w:val="24"/>
        </w:rPr>
        <w:t xml:space="preserve"> </w:t>
      </w:r>
      <w:r w:rsidRPr="004E7583">
        <w:rPr>
          <w:rFonts w:ascii="Times New Roman" w:hAnsi="Times New Roman" w:cs="Times New Roman"/>
          <w:bCs/>
          <w:sz w:val="24"/>
          <w:szCs w:val="24"/>
        </w:rPr>
        <w:t>as influenced by irrigation schedules (I) and cow urine (CU) at 60 DAS</w:t>
      </w:r>
    </w:p>
    <w:p w14:paraId="3D39A7A0" w14:textId="77777777" w:rsidR="00C261C8" w:rsidRPr="00C261C8" w:rsidRDefault="00C261C8" w:rsidP="00C261C8">
      <w:pPr>
        <w:spacing w:before="100" w:beforeAutospacing="1" w:after="100" w:afterAutospacing="1" w:line="240" w:lineRule="auto"/>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The highest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2</w:t>
      </w:r>
      <w:r w:rsidRPr="00C261C8">
        <w:rPr>
          <w:rFonts w:ascii="Times New Roman" w:eastAsia="Times New Roman" w:hAnsi="Times New Roman" w:cs="Times New Roman"/>
          <w:sz w:val="24"/>
          <w:szCs w:val="24"/>
        </w:rPr>
        <w:t>).</w:t>
      </w:r>
    </w:p>
    <w:p w14:paraId="67E07885"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3.1.3 Effect on Density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90 DAS</w:t>
      </w:r>
    </w:p>
    <w:p w14:paraId="297C6687"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As shown in </w:t>
      </w:r>
      <w:r w:rsidRPr="00C261C8">
        <w:rPr>
          <w:rFonts w:ascii="Times New Roman" w:eastAsia="Times New Roman" w:hAnsi="Times New Roman" w:cs="Times New Roman"/>
          <w:b/>
          <w:bCs/>
          <w:sz w:val="24"/>
          <w:szCs w:val="24"/>
        </w:rPr>
        <w:t>Figure 3</w:t>
      </w:r>
      <w:r w:rsidRPr="00C261C8">
        <w:rPr>
          <w:rFonts w:ascii="Times New Roman" w:eastAsia="Times New Roman" w:hAnsi="Times New Roman" w:cs="Times New Roman"/>
          <w:sz w:val="24"/>
          <w:szCs w:val="24"/>
        </w:rPr>
        <w:t xml:space="preserve">, at </w:t>
      </w:r>
      <w:r w:rsidRPr="00C261C8">
        <w:rPr>
          <w:rFonts w:ascii="Times New Roman" w:eastAsia="Times New Roman" w:hAnsi="Times New Roman" w:cs="Times New Roman"/>
          <w:b/>
          <w:bCs/>
          <w:sz w:val="24"/>
          <w:szCs w:val="24"/>
        </w:rPr>
        <w:t>90 days after sowing (DAS)</w:t>
      </w:r>
      <w:r w:rsidRPr="00C261C8">
        <w:rPr>
          <w:rFonts w:ascii="Times New Roman" w:eastAsia="Times New Roman" w:hAnsi="Times New Roman" w:cs="Times New Roman"/>
          <w:sz w:val="24"/>
          <w:szCs w:val="24"/>
        </w:rPr>
        <w:t xml:space="preserve">, the lowest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I2</w:t>
      </w:r>
      <w:r w:rsidRPr="00C261C8">
        <w:rPr>
          <w:rFonts w:ascii="Times New Roman" w:eastAsia="Times New Roman" w:hAnsi="Times New Roman" w:cs="Times New Roman"/>
          <w:sz w:val="24"/>
          <w:szCs w:val="24"/>
        </w:rPr>
        <w:t xml:space="preserve"> in the second year of the study. In contrast, the highest density was recorded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during both years of the trial (</w:t>
      </w:r>
      <w:r w:rsidRPr="00C261C8">
        <w:rPr>
          <w:rFonts w:ascii="Times New Roman" w:eastAsia="Times New Roman" w:hAnsi="Times New Roman" w:cs="Times New Roman"/>
          <w:b/>
          <w:bCs/>
          <w:sz w:val="24"/>
          <w:szCs w:val="24"/>
        </w:rPr>
        <w:t>Fig. 3</w:t>
      </w:r>
      <w:r w:rsidRPr="00C261C8">
        <w:rPr>
          <w:rFonts w:ascii="Times New Roman" w:eastAsia="Times New Roman" w:hAnsi="Times New Roman" w:cs="Times New Roman"/>
          <w:sz w:val="24"/>
          <w:szCs w:val="24"/>
        </w:rPr>
        <w:t>).</w:t>
      </w:r>
    </w:p>
    <w:p w14:paraId="24760536"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For cow urine application at </w:t>
      </w:r>
      <w:r w:rsidRPr="00C261C8">
        <w:rPr>
          <w:rFonts w:ascii="Times New Roman" w:eastAsia="Times New Roman" w:hAnsi="Times New Roman" w:cs="Times New Roman"/>
          <w:b/>
          <w:bCs/>
          <w:sz w:val="24"/>
          <w:szCs w:val="24"/>
        </w:rPr>
        <w:t>90 DAS</w:t>
      </w:r>
      <w:r w:rsidRPr="00C261C8">
        <w:rPr>
          <w:rFonts w:ascii="Times New Roman" w:eastAsia="Times New Roman" w:hAnsi="Times New Roman" w:cs="Times New Roman"/>
          <w:sz w:val="24"/>
          <w:szCs w:val="24"/>
        </w:rPr>
        <w:t xml:space="preserve">, the minimum density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observed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second year. Conversely, the maximum density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C3</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3</w:t>
      </w:r>
      <w:r w:rsidRPr="00C261C8">
        <w:rPr>
          <w:rFonts w:ascii="Times New Roman" w:eastAsia="Times New Roman" w:hAnsi="Times New Roman" w:cs="Times New Roman"/>
          <w:sz w:val="24"/>
          <w:szCs w:val="24"/>
        </w:rPr>
        <w:t>).</w:t>
      </w:r>
    </w:p>
    <w:p w14:paraId="5EB2BCFC" w14:textId="77777777" w:rsidR="002D59D2" w:rsidRDefault="002D59D2" w:rsidP="00136A2D">
      <w:pPr>
        <w:spacing w:after="120" w:line="360" w:lineRule="auto"/>
        <w:jc w:val="both"/>
        <w:rPr>
          <w:rFonts w:ascii="Times New Roman" w:hAnsi="Times New Roman" w:cs="Times New Roman"/>
          <w:sz w:val="24"/>
          <w:szCs w:val="24"/>
        </w:rPr>
      </w:pPr>
    </w:p>
    <w:p w14:paraId="0A08FD9F" w14:textId="77777777" w:rsidR="00DA4AE9" w:rsidRDefault="000412D4" w:rsidP="00136A2D">
      <w:pPr>
        <w:spacing w:after="12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pict w14:anchorId="3A5432F2">
          <v:shape id="_x0000_s1030" type="#_x0000_t202" style="position:absolute;left:0;text-align:left;margin-left:207.25pt;margin-top:128.95pt;width:19.4pt;height:14.4pt;z-index:251662336" fillcolor="white [3212]" strokecolor="white [3212]">
            <v:textbox>
              <w:txbxContent>
                <w:p w14:paraId="0743AD38" w14:textId="77777777" w:rsidR="00161ACA" w:rsidRDefault="00161ACA"/>
              </w:txbxContent>
            </v:textbox>
          </v:shape>
        </w:pict>
      </w:r>
      <w:r>
        <w:rPr>
          <w:rFonts w:ascii="Times New Roman" w:hAnsi="Times New Roman" w:cs="Times New Roman"/>
          <w:noProof/>
          <w:color w:val="FF0000"/>
          <w:sz w:val="24"/>
          <w:szCs w:val="24"/>
        </w:rPr>
        <w:pict w14:anchorId="4B334E92">
          <v:shape id="_x0000_s1027" type="#_x0000_t202" style="position:absolute;left:0;text-align:left;margin-left:78.9pt;margin-top:127.7pt;width:26.9pt;height:19.45pt;z-index:251659264" fillcolor="white [3212]" strokecolor="white [3212]">
            <v:textbox>
              <w:txbxContent>
                <w:p w14:paraId="526BCAD4" w14:textId="77777777" w:rsidR="00161ACA" w:rsidRDefault="00161ACA"/>
              </w:txbxContent>
            </v:textbox>
          </v:shape>
        </w:pict>
      </w:r>
      <w:r w:rsidR="00DA4AE9" w:rsidRPr="00DA4AE9">
        <w:rPr>
          <w:rFonts w:ascii="Times New Roman" w:hAnsi="Times New Roman" w:cs="Times New Roman"/>
          <w:noProof/>
          <w:color w:val="FF0000"/>
          <w:sz w:val="24"/>
          <w:szCs w:val="24"/>
          <w:lang w:bidi="ar-SA"/>
        </w:rPr>
        <w:drawing>
          <wp:inline distT="0" distB="0" distL="0" distR="0" wp14:anchorId="0A5A1D05" wp14:editId="3E180476">
            <wp:extent cx="6210300" cy="2438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F669B9" w14:textId="77777777" w:rsidR="0049110B" w:rsidRDefault="00DC38AC" w:rsidP="0049110B">
      <w:pPr>
        <w:spacing w:after="120" w:line="240" w:lineRule="auto"/>
        <w:jc w:val="both"/>
        <w:rPr>
          <w:rFonts w:ascii="Times New Roman" w:hAnsi="Times New Roman" w:cs="Times New Roman"/>
          <w:bCs/>
          <w:sz w:val="24"/>
          <w:szCs w:val="24"/>
        </w:rPr>
      </w:pPr>
      <w:r w:rsidRPr="00DC38AC">
        <w:rPr>
          <w:rFonts w:ascii="Times New Roman" w:hAnsi="Times New Roman" w:cs="Times New Roman"/>
          <w:bCs/>
          <w:sz w:val="24"/>
          <w:szCs w:val="24"/>
        </w:rPr>
        <w:t xml:space="preserve">Fig.3: Weed density of </w:t>
      </w:r>
      <w:proofErr w:type="spellStart"/>
      <w:r w:rsidRPr="00DC38AC">
        <w:rPr>
          <w:rFonts w:ascii="Times New Roman" w:hAnsi="Times New Roman" w:cs="Times New Roman"/>
          <w:bCs/>
          <w:i/>
          <w:iCs/>
          <w:sz w:val="24"/>
          <w:szCs w:val="24"/>
        </w:rPr>
        <w:t>Cynodon</w:t>
      </w:r>
      <w:proofErr w:type="spellEnd"/>
      <w:r w:rsidRPr="00DC38AC">
        <w:rPr>
          <w:rFonts w:ascii="Times New Roman" w:hAnsi="Times New Roman" w:cs="Times New Roman"/>
          <w:bCs/>
          <w:i/>
          <w:iCs/>
          <w:sz w:val="24"/>
          <w:szCs w:val="24"/>
        </w:rPr>
        <w:t xml:space="preserve"> </w:t>
      </w:r>
      <w:proofErr w:type="spellStart"/>
      <w:r w:rsidRPr="00DC38AC">
        <w:rPr>
          <w:rFonts w:ascii="Times New Roman" w:hAnsi="Times New Roman" w:cs="Times New Roman"/>
          <w:bCs/>
          <w:i/>
          <w:iCs/>
          <w:sz w:val="24"/>
          <w:szCs w:val="24"/>
        </w:rPr>
        <w:t>dactylon</w:t>
      </w:r>
      <w:proofErr w:type="spellEnd"/>
      <w:r w:rsidRPr="00DC38AC">
        <w:rPr>
          <w:rFonts w:ascii="Times New Roman" w:hAnsi="Times New Roman" w:cs="Times New Roman"/>
          <w:bCs/>
          <w:sz w:val="24"/>
          <w:szCs w:val="24"/>
        </w:rPr>
        <w:t xml:space="preserve"> as influenced by irrigation schedules (I) and cow urine (CU) at 90 DAS</w:t>
      </w:r>
      <w:r w:rsidR="002D59D2">
        <w:rPr>
          <w:rFonts w:ascii="Times New Roman" w:hAnsi="Times New Roman" w:cs="Times New Roman"/>
          <w:bCs/>
          <w:sz w:val="24"/>
          <w:szCs w:val="24"/>
        </w:rPr>
        <w:t xml:space="preserve"> </w:t>
      </w:r>
    </w:p>
    <w:p w14:paraId="29429116"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i/>
          <w:iCs/>
          <w:sz w:val="24"/>
          <w:szCs w:val="24"/>
        </w:rPr>
      </w:pPr>
      <w:r w:rsidRPr="00C261C8">
        <w:rPr>
          <w:rFonts w:ascii="Times New Roman" w:eastAsia="Times New Roman" w:hAnsi="Times New Roman" w:cs="Times New Roman"/>
          <w:b/>
          <w:bCs/>
          <w:sz w:val="24"/>
          <w:szCs w:val="24"/>
        </w:rPr>
        <w:t xml:space="preserve">3.2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p>
    <w:p w14:paraId="79C4B947"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The results indicated that the dry biomass of </w:t>
      </w:r>
      <w:proofErr w:type="spellStart"/>
      <w:r w:rsidRPr="00C261C8">
        <w:rPr>
          <w:rFonts w:ascii="Times New Roman" w:eastAsia="Times New Roman" w:hAnsi="Times New Roman" w:cs="Times New Roman"/>
          <w:i/>
          <w:iCs/>
          <w:sz w:val="24"/>
          <w:szCs w:val="24"/>
        </w:rPr>
        <w:t>Cynodon</w:t>
      </w:r>
      <w:proofErr w:type="spellEnd"/>
      <w:r w:rsidRPr="00C261C8">
        <w:rPr>
          <w:rFonts w:ascii="Times New Roman" w:eastAsia="Times New Roman" w:hAnsi="Times New Roman" w:cs="Times New Roman"/>
          <w:i/>
          <w:iCs/>
          <w:sz w:val="24"/>
          <w:szCs w:val="24"/>
        </w:rPr>
        <w:t xml:space="preserve"> </w:t>
      </w:r>
      <w:proofErr w:type="spellStart"/>
      <w:r w:rsidRPr="00C261C8">
        <w:rPr>
          <w:rFonts w:ascii="Times New Roman" w:eastAsia="Times New Roman" w:hAnsi="Times New Roman" w:cs="Times New Roman"/>
          <w:i/>
          <w:iCs/>
          <w:sz w:val="24"/>
          <w:szCs w:val="24"/>
        </w:rPr>
        <w:t>dactylon</w:t>
      </w:r>
      <w:proofErr w:type="spellEnd"/>
      <w:r w:rsidRPr="00C261C8">
        <w:rPr>
          <w:rFonts w:ascii="Times New Roman" w:eastAsia="Times New Roman" w:hAnsi="Times New Roman" w:cs="Times New Roman"/>
          <w:sz w:val="24"/>
          <w:szCs w:val="24"/>
        </w:rPr>
        <w:t xml:space="preserve"> was not significantly affected by different irrigation schedules and cow urine sprays at various intervals during both years of the experiment.</w:t>
      </w:r>
    </w:p>
    <w:p w14:paraId="0B04D328"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3.2.1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30 DAS</w:t>
      </w:r>
    </w:p>
    <w:p w14:paraId="53254A78"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Regarding irrigation schedules, the lowest dry biomass was recorded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second year of the trial. Conversely, the highest dry biomass was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second year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58A6CC7D"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As for cow urine application, the minimum dry biomass was noted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second year. On the other hand, the highest dry biomass was recorded under </w:t>
      </w:r>
      <w:r w:rsidRPr="00C261C8">
        <w:rPr>
          <w:rFonts w:ascii="Times New Roman" w:eastAsia="Times New Roman" w:hAnsi="Times New Roman" w:cs="Times New Roman"/>
          <w:b/>
          <w:bCs/>
          <w:sz w:val="24"/>
          <w:szCs w:val="24"/>
        </w:rPr>
        <w:t>C1</w:t>
      </w:r>
      <w:r w:rsidRPr="00C261C8">
        <w:rPr>
          <w:rFonts w:ascii="Times New Roman" w:eastAsia="Times New Roman" w:hAnsi="Times New Roman" w:cs="Times New Roman"/>
          <w:sz w:val="24"/>
          <w:szCs w:val="24"/>
        </w:rPr>
        <w:t xml:space="preserve"> during the first year and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in the second year of the experiment.</w:t>
      </w:r>
    </w:p>
    <w:p w14:paraId="11FFAAA9"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3.2.2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60 DAS</w:t>
      </w:r>
    </w:p>
    <w:p w14:paraId="1842C14E"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At </w:t>
      </w:r>
      <w:r w:rsidRPr="00C261C8">
        <w:rPr>
          <w:rFonts w:ascii="Times New Roman" w:eastAsia="Times New Roman" w:hAnsi="Times New Roman" w:cs="Times New Roman"/>
          <w:b/>
          <w:bCs/>
          <w:sz w:val="24"/>
          <w:szCs w:val="24"/>
        </w:rPr>
        <w:t>60 DAS</w:t>
      </w:r>
      <w:r w:rsidRPr="00C261C8">
        <w:rPr>
          <w:rFonts w:ascii="Times New Roman" w:eastAsia="Times New Roman" w:hAnsi="Times New Roman" w:cs="Times New Roman"/>
          <w:sz w:val="24"/>
          <w:szCs w:val="24"/>
        </w:rPr>
        <w:t xml:space="preserve">, the lowest dry biomass was observed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second year of the trial. In contrast, the highest dry biomass was recorded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second year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53FE91BF"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In terms of cow urine application, the minimum dry biomass was noted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first year, followed by </w:t>
      </w:r>
      <w:r w:rsidRPr="00C261C8">
        <w:rPr>
          <w:rFonts w:ascii="Times New Roman" w:eastAsia="Times New Roman" w:hAnsi="Times New Roman" w:cs="Times New Roman"/>
          <w:b/>
          <w:bCs/>
          <w:sz w:val="24"/>
          <w:szCs w:val="24"/>
        </w:rPr>
        <w:t>C3</w:t>
      </w:r>
      <w:r w:rsidRPr="00C261C8">
        <w:rPr>
          <w:rFonts w:ascii="Times New Roman" w:eastAsia="Times New Roman" w:hAnsi="Times New Roman" w:cs="Times New Roman"/>
          <w:sz w:val="24"/>
          <w:szCs w:val="24"/>
        </w:rPr>
        <w:t xml:space="preserve"> in the second year. Conversely, the maximum dry biomass was observed under </w:t>
      </w:r>
      <w:r w:rsidRPr="00C261C8">
        <w:rPr>
          <w:rFonts w:ascii="Times New Roman" w:eastAsia="Times New Roman" w:hAnsi="Times New Roman" w:cs="Times New Roman"/>
          <w:b/>
          <w:bCs/>
          <w:sz w:val="24"/>
          <w:szCs w:val="24"/>
        </w:rPr>
        <w:t>C4</w:t>
      </w:r>
      <w:r w:rsidRPr="00C261C8">
        <w:rPr>
          <w:rFonts w:ascii="Times New Roman" w:eastAsia="Times New Roman" w:hAnsi="Times New Roman" w:cs="Times New Roman"/>
          <w:sz w:val="24"/>
          <w:szCs w:val="24"/>
        </w:rPr>
        <w:t xml:space="preserve"> during both years of the experiment.</w:t>
      </w:r>
    </w:p>
    <w:p w14:paraId="682A2001" w14:textId="77777777" w:rsidR="00C261C8" w:rsidRDefault="00C261C8" w:rsidP="00C261C8">
      <w:pPr>
        <w:spacing w:before="100" w:beforeAutospacing="1" w:after="100" w:afterAutospacing="1" w:line="240" w:lineRule="auto"/>
        <w:jc w:val="both"/>
        <w:rPr>
          <w:rFonts w:ascii="Times New Roman" w:eastAsia="Times New Roman" w:hAnsi="Times New Roman" w:cs="Times New Roman"/>
          <w:b/>
          <w:bCs/>
          <w:sz w:val="24"/>
          <w:szCs w:val="24"/>
        </w:rPr>
      </w:pPr>
      <w:r w:rsidRPr="00C261C8">
        <w:rPr>
          <w:rFonts w:ascii="Times New Roman" w:eastAsia="Times New Roman" w:hAnsi="Times New Roman" w:cs="Times New Roman"/>
          <w:b/>
          <w:bCs/>
          <w:sz w:val="24"/>
          <w:szCs w:val="24"/>
        </w:rPr>
        <w:t xml:space="preserve">3.2.3 Effect on Dry Biomass of </w:t>
      </w:r>
      <w:proofErr w:type="spellStart"/>
      <w:r w:rsidRPr="00C261C8">
        <w:rPr>
          <w:rFonts w:ascii="Times New Roman" w:eastAsia="Times New Roman" w:hAnsi="Times New Roman" w:cs="Times New Roman"/>
          <w:b/>
          <w:bCs/>
          <w:i/>
          <w:iCs/>
          <w:sz w:val="24"/>
          <w:szCs w:val="24"/>
        </w:rPr>
        <w:t>Cynodon</w:t>
      </w:r>
      <w:proofErr w:type="spellEnd"/>
      <w:r w:rsidRPr="00C261C8">
        <w:rPr>
          <w:rFonts w:ascii="Times New Roman" w:eastAsia="Times New Roman" w:hAnsi="Times New Roman" w:cs="Times New Roman"/>
          <w:b/>
          <w:bCs/>
          <w:i/>
          <w:iCs/>
          <w:sz w:val="24"/>
          <w:szCs w:val="24"/>
        </w:rPr>
        <w:t xml:space="preserve"> </w:t>
      </w:r>
      <w:proofErr w:type="spellStart"/>
      <w:r w:rsidRPr="00C261C8">
        <w:rPr>
          <w:rFonts w:ascii="Times New Roman" w:eastAsia="Times New Roman" w:hAnsi="Times New Roman" w:cs="Times New Roman"/>
          <w:b/>
          <w:bCs/>
          <w:i/>
          <w:iCs/>
          <w:sz w:val="24"/>
          <w:szCs w:val="24"/>
        </w:rPr>
        <w:t>dactylon</w:t>
      </w:r>
      <w:proofErr w:type="spellEnd"/>
      <w:r w:rsidRPr="00C261C8">
        <w:rPr>
          <w:rFonts w:ascii="Times New Roman" w:eastAsia="Times New Roman" w:hAnsi="Times New Roman" w:cs="Times New Roman"/>
          <w:b/>
          <w:bCs/>
          <w:sz w:val="24"/>
          <w:szCs w:val="24"/>
        </w:rPr>
        <w:t xml:space="preserve"> at 90 DAS</w:t>
      </w:r>
    </w:p>
    <w:p w14:paraId="331ABB7A"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lastRenderedPageBreak/>
        <w:t xml:space="preserve">At </w:t>
      </w:r>
      <w:r w:rsidRPr="00C261C8">
        <w:rPr>
          <w:rFonts w:ascii="Times New Roman" w:eastAsia="Times New Roman" w:hAnsi="Times New Roman" w:cs="Times New Roman"/>
          <w:b/>
          <w:bCs/>
          <w:sz w:val="24"/>
          <w:szCs w:val="24"/>
        </w:rPr>
        <w:t>90 DAS</w:t>
      </w:r>
      <w:r w:rsidRPr="00C261C8">
        <w:rPr>
          <w:rFonts w:ascii="Times New Roman" w:eastAsia="Times New Roman" w:hAnsi="Times New Roman" w:cs="Times New Roman"/>
          <w:sz w:val="24"/>
          <w:szCs w:val="24"/>
        </w:rPr>
        <w:t xml:space="preserve">, the lowest dry biomass was recorded under </w:t>
      </w:r>
      <w:r w:rsidRPr="00C261C8">
        <w:rPr>
          <w:rFonts w:ascii="Times New Roman" w:eastAsia="Times New Roman" w:hAnsi="Times New Roman" w:cs="Times New Roman"/>
          <w:b/>
          <w:bCs/>
          <w:sz w:val="24"/>
          <w:szCs w:val="24"/>
        </w:rPr>
        <w:t>I3</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I2</w:t>
      </w:r>
      <w:r w:rsidRPr="00C261C8">
        <w:rPr>
          <w:rFonts w:ascii="Times New Roman" w:eastAsia="Times New Roman" w:hAnsi="Times New Roman" w:cs="Times New Roman"/>
          <w:sz w:val="24"/>
          <w:szCs w:val="24"/>
        </w:rPr>
        <w:t xml:space="preserve"> in the second year of the trial. In contrast, the highest dry biomass was consistently observed under </w:t>
      </w:r>
      <w:r w:rsidRPr="00C261C8">
        <w:rPr>
          <w:rFonts w:ascii="Times New Roman" w:eastAsia="Times New Roman" w:hAnsi="Times New Roman" w:cs="Times New Roman"/>
          <w:b/>
          <w:bCs/>
          <w:sz w:val="24"/>
          <w:szCs w:val="24"/>
        </w:rPr>
        <w:t>I1</w:t>
      </w:r>
      <w:r w:rsidRPr="00C261C8">
        <w:rPr>
          <w:rFonts w:ascii="Times New Roman" w:eastAsia="Times New Roman" w:hAnsi="Times New Roman" w:cs="Times New Roman"/>
          <w:sz w:val="24"/>
          <w:szCs w:val="24"/>
        </w:rPr>
        <w:t xml:space="preserve"> during both years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23970D7D" w14:textId="77777777" w:rsidR="00C261C8" w:rsidRPr="00C261C8" w:rsidRDefault="00C261C8" w:rsidP="00C261C8">
      <w:pPr>
        <w:spacing w:before="100" w:beforeAutospacing="1" w:after="100" w:afterAutospacing="1" w:line="240" w:lineRule="auto"/>
        <w:jc w:val="both"/>
        <w:rPr>
          <w:rFonts w:ascii="Times New Roman" w:eastAsia="Times New Roman" w:hAnsi="Times New Roman" w:cs="Times New Roman"/>
          <w:sz w:val="24"/>
          <w:szCs w:val="24"/>
        </w:rPr>
      </w:pPr>
      <w:r w:rsidRPr="00C261C8">
        <w:rPr>
          <w:rFonts w:ascii="Times New Roman" w:eastAsia="Times New Roman" w:hAnsi="Times New Roman" w:cs="Times New Roman"/>
          <w:sz w:val="24"/>
          <w:szCs w:val="24"/>
        </w:rPr>
        <w:t xml:space="preserve">Regarding cow urine application, the minimum dry biomass was observed under </w:t>
      </w:r>
      <w:r w:rsidRPr="00C261C8">
        <w:rPr>
          <w:rFonts w:ascii="Times New Roman" w:eastAsia="Times New Roman" w:hAnsi="Times New Roman" w:cs="Times New Roman"/>
          <w:b/>
          <w:bCs/>
          <w:sz w:val="24"/>
          <w:szCs w:val="24"/>
        </w:rPr>
        <w:t>C6</w:t>
      </w:r>
      <w:r w:rsidRPr="00C261C8">
        <w:rPr>
          <w:rFonts w:ascii="Times New Roman" w:eastAsia="Times New Roman" w:hAnsi="Times New Roman" w:cs="Times New Roman"/>
          <w:sz w:val="24"/>
          <w:szCs w:val="24"/>
        </w:rPr>
        <w:t xml:space="preserve"> in the first year and under </w:t>
      </w:r>
      <w:r w:rsidRPr="00C261C8">
        <w:rPr>
          <w:rFonts w:ascii="Times New Roman" w:eastAsia="Times New Roman" w:hAnsi="Times New Roman" w:cs="Times New Roman"/>
          <w:b/>
          <w:bCs/>
          <w:sz w:val="24"/>
          <w:szCs w:val="24"/>
        </w:rPr>
        <w:t>C2</w:t>
      </w:r>
      <w:r w:rsidRPr="00C261C8">
        <w:rPr>
          <w:rFonts w:ascii="Times New Roman" w:eastAsia="Times New Roman" w:hAnsi="Times New Roman" w:cs="Times New Roman"/>
          <w:sz w:val="24"/>
          <w:szCs w:val="24"/>
        </w:rPr>
        <w:t xml:space="preserve"> in the second year. Conversely, the maximum dry biomass was recorded under </w:t>
      </w:r>
      <w:r w:rsidRPr="00C261C8">
        <w:rPr>
          <w:rFonts w:ascii="Times New Roman" w:eastAsia="Times New Roman" w:hAnsi="Times New Roman" w:cs="Times New Roman"/>
          <w:b/>
          <w:bCs/>
          <w:sz w:val="24"/>
          <w:szCs w:val="24"/>
        </w:rPr>
        <w:t>C7</w:t>
      </w:r>
      <w:r w:rsidRPr="00C261C8">
        <w:rPr>
          <w:rFonts w:ascii="Times New Roman" w:eastAsia="Times New Roman" w:hAnsi="Times New Roman" w:cs="Times New Roman"/>
          <w:sz w:val="24"/>
          <w:szCs w:val="24"/>
        </w:rPr>
        <w:t xml:space="preserve"> in both years of the experiment (</w:t>
      </w:r>
      <w:r w:rsidRPr="00C261C8">
        <w:rPr>
          <w:rFonts w:ascii="Times New Roman" w:eastAsia="Times New Roman" w:hAnsi="Times New Roman" w:cs="Times New Roman"/>
          <w:b/>
          <w:bCs/>
          <w:sz w:val="24"/>
          <w:szCs w:val="24"/>
        </w:rPr>
        <w:t>Fig. 4</w:t>
      </w:r>
      <w:r w:rsidRPr="00C261C8">
        <w:rPr>
          <w:rFonts w:ascii="Times New Roman" w:eastAsia="Times New Roman" w:hAnsi="Times New Roman" w:cs="Times New Roman"/>
          <w:sz w:val="24"/>
          <w:szCs w:val="24"/>
        </w:rPr>
        <w:t>).</w:t>
      </w:r>
    </w:p>
    <w:p w14:paraId="74ED49E7" w14:textId="77777777" w:rsidR="009B78B0" w:rsidRDefault="000412D4" w:rsidP="0006142C">
      <w:pPr>
        <w:pStyle w:val="Default"/>
        <w:spacing w:after="120" w:line="360" w:lineRule="auto"/>
        <w:jc w:val="both"/>
        <w:rPr>
          <w:b/>
          <w:color w:val="auto"/>
        </w:rPr>
      </w:pPr>
      <w:r>
        <w:rPr>
          <w:b/>
          <w:noProof/>
          <w:color w:val="auto"/>
          <w:lang w:bidi="hi-IN"/>
        </w:rPr>
        <w:pict w14:anchorId="3A6FECD2">
          <v:shape id="_x0000_s1029" type="#_x0000_t202" style="position:absolute;left:0;text-align:left;margin-left:139pt;margin-top:177.85pt;width:23.8pt;height:15pt;z-index:251661312" fillcolor="white [3212]" strokecolor="white [3212]">
            <v:textbox>
              <w:txbxContent>
                <w:p w14:paraId="1D04A76E" w14:textId="77777777" w:rsidR="00161ACA" w:rsidRDefault="00161ACA"/>
              </w:txbxContent>
            </v:textbox>
          </v:shape>
        </w:pict>
      </w:r>
      <w:r>
        <w:rPr>
          <w:b/>
          <w:noProof/>
          <w:color w:val="auto"/>
          <w:lang w:bidi="hi-IN"/>
        </w:rPr>
        <w:pict w14:anchorId="72DD18D7">
          <v:shape id="_x0000_s1026" type="#_x0000_t202" style="position:absolute;left:0;text-align:left;margin-left:52.6pt;margin-top:175.95pt;width:21.9pt;height:15.65pt;z-index:251658240" fillcolor="white [3212]" strokecolor="white [3212]">
            <v:textbox>
              <w:txbxContent>
                <w:p w14:paraId="1A05B37A" w14:textId="77777777" w:rsidR="00161ACA" w:rsidRDefault="00161ACA"/>
              </w:txbxContent>
            </v:textbox>
          </v:shape>
        </w:pict>
      </w:r>
      <w:r w:rsidR="006F5810" w:rsidRPr="006F5810">
        <w:rPr>
          <w:b/>
          <w:noProof/>
          <w:color w:val="auto"/>
        </w:rPr>
        <w:drawing>
          <wp:inline distT="0" distB="0" distL="0" distR="0" wp14:anchorId="270EE72B" wp14:editId="01C7283A">
            <wp:extent cx="6219825" cy="25146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39066C" w14:textId="36A00C05" w:rsidR="0032423A" w:rsidRPr="00146B96" w:rsidRDefault="00146B96" w:rsidP="0032423A">
      <w:pPr>
        <w:pStyle w:val="Default"/>
        <w:spacing w:after="120" w:line="360" w:lineRule="auto"/>
        <w:jc w:val="both"/>
        <w:rPr>
          <w:bCs/>
          <w:color w:val="auto"/>
        </w:rPr>
      </w:pPr>
      <w:r w:rsidRPr="00146B96">
        <w:rPr>
          <w:bCs/>
          <w:color w:val="auto"/>
        </w:rPr>
        <w:t xml:space="preserve">Fig.4 </w:t>
      </w:r>
      <w:r w:rsidR="000E0E42" w:rsidRPr="005C08BA">
        <w:rPr>
          <w:bCs/>
          <w:color w:val="auto"/>
          <w:highlight w:val="green"/>
        </w:rPr>
        <w:t xml:space="preserve">Showing the </w:t>
      </w:r>
      <w:r w:rsidR="00942E71" w:rsidRPr="005C08BA">
        <w:rPr>
          <w:bCs/>
          <w:color w:val="auto"/>
          <w:highlight w:val="green"/>
        </w:rPr>
        <w:t xml:space="preserve">Effect of Different Days After Sowing (DAS) on the Dry Biomass of </w:t>
      </w:r>
      <w:proofErr w:type="spellStart"/>
      <w:r w:rsidR="00942E71" w:rsidRPr="003A655C">
        <w:rPr>
          <w:bCs/>
          <w:i/>
          <w:color w:val="auto"/>
          <w:highlight w:val="green"/>
        </w:rPr>
        <w:t>Cynodon</w:t>
      </w:r>
      <w:proofErr w:type="spellEnd"/>
      <w:r w:rsidR="00942E71" w:rsidRPr="003A655C">
        <w:rPr>
          <w:bCs/>
          <w:i/>
          <w:color w:val="auto"/>
          <w:highlight w:val="green"/>
        </w:rPr>
        <w:t xml:space="preserve"> </w:t>
      </w:r>
      <w:proofErr w:type="spellStart"/>
      <w:r w:rsidR="00942E71" w:rsidRPr="003A655C">
        <w:rPr>
          <w:bCs/>
          <w:i/>
          <w:color w:val="auto"/>
          <w:highlight w:val="green"/>
        </w:rPr>
        <w:t>dactylon</w:t>
      </w:r>
      <w:proofErr w:type="spellEnd"/>
    </w:p>
    <w:p w14:paraId="7CB83F76" w14:textId="77777777" w:rsidR="00C261C8" w:rsidRPr="00C261C8" w:rsidRDefault="001057A2" w:rsidP="00C261C8">
      <w:pPr>
        <w:pStyle w:val="NormalWeb"/>
        <w:jc w:val="both"/>
      </w:pPr>
      <w:r w:rsidRPr="0006142C">
        <w:rPr>
          <w:b/>
        </w:rPr>
        <w:t xml:space="preserve">4. Conclusion:  </w:t>
      </w:r>
      <w:r w:rsidR="00C261C8" w:rsidRPr="00C261C8">
        <w:t xml:space="preserve">The findings indicated that the density and dry biomass of </w:t>
      </w:r>
      <w:proofErr w:type="spellStart"/>
      <w:r w:rsidR="00C261C8" w:rsidRPr="00C261C8">
        <w:rPr>
          <w:i/>
          <w:iCs/>
        </w:rPr>
        <w:t>Cynodon</w:t>
      </w:r>
      <w:proofErr w:type="spellEnd"/>
      <w:r w:rsidR="00C261C8" w:rsidRPr="00C261C8">
        <w:rPr>
          <w:i/>
          <w:iCs/>
        </w:rPr>
        <w:t xml:space="preserve"> </w:t>
      </w:r>
      <w:proofErr w:type="spellStart"/>
      <w:r w:rsidR="00C261C8" w:rsidRPr="00C261C8">
        <w:rPr>
          <w:i/>
          <w:iCs/>
        </w:rPr>
        <w:t>dactylon</w:t>
      </w:r>
      <w:proofErr w:type="spellEnd"/>
      <w:r w:rsidR="00C261C8" w:rsidRPr="00C261C8">
        <w:t xml:space="preserve"> were not significantly affected by different irrigation schedules or cow urine applications at various intervals during both years of the experiment.</w:t>
      </w:r>
    </w:p>
    <w:p w14:paraId="3D1C5C9C" w14:textId="77777777" w:rsidR="005203A6" w:rsidRDefault="005203A6" w:rsidP="00C261C8">
      <w:pPr>
        <w:pStyle w:val="Default"/>
        <w:spacing w:after="120" w:line="360" w:lineRule="auto"/>
        <w:jc w:val="both"/>
        <w:rPr>
          <w:bCs/>
        </w:rPr>
      </w:pPr>
    </w:p>
    <w:p w14:paraId="781C25B1" w14:textId="17FC1773" w:rsidR="00EC6FF5" w:rsidRDefault="00EC6FF5" w:rsidP="00C261C8">
      <w:pPr>
        <w:pStyle w:val="Default"/>
        <w:spacing w:after="120" w:line="360" w:lineRule="auto"/>
        <w:jc w:val="both"/>
        <w:rPr>
          <w:bCs/>
        </w:rPr>
      </w:pPr>
      <w:bookmarkStart w:id="0" w:name="_GoBack"/>
      <w:bookmarkEnd w:id="0"/>
      <w:r>
        <w:rPr>
          <w:bCs/>
        </w:rPr>
        <w:t>REFERENCES</w:t>
      </w:r>
    </w:p>
    <w:p w14:paraId="6ADEFD6C"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804F8A">
        <w:rPr>
          <w:rFonts w:ascii="Times New Roman" w:hAnsi="Times New Roman" w:cs="Times New Roman"/>
          <w:bCs/>
          <w:sz w:val="24"/>
          <w:szCs w:val="24"/>
        </w:rPr>
        <w:t xml:space="preserve">Aher, S. B., </w:t>
      </w:r>
      <w:proofErr w:type="spellStart"/>
      <w:r w:rsidRPr="00804F8A">
        <w:rPr>
          <w:rFonts w:ascii="Times New Roman" w:hAnsi="Times New Roman" w:cs="Times New Roman"/>
          <w:bCs/>
          <w:sz w:val="24"/>
          <w:szCs w:val="24"/>
        </w:rPr>
        <w:t>Lakaria</w:t>
      </w:r>
      <w:proofErr w:type="spellEnd"/>
      <w:r w:rsidRPr="00804F8A">
        <w:rPr>
          <w:rFonts w:ascii="Times New Roman" w:hAnsi="Times New Roman" w:cs="Times New Roman"/>
          <w:bCs/>
          <w:sz w:val="24"/>
          <w:szCs w:val="24"/>
        </w:rPr>
        <w:t>, B. L., Kaleshananda, S., &amp; Singh, A. B. (2022). Yield, nutrient uptake and economics of soybean–wheat cropping system under organic nutrient management in Central India. </w:t>
      </w:r>
      <w:r w:rsidRPr="00804F8A">
        <w:rPr>
          <w:rFonts w:ascii="Times New Roman" w:hAnsi="Times New Roman" w:cs="Times New Roman"/>
          <w:bCs/>
          <w:i/>
          <w:iCs/>
          <w:sz w:val="24"/>
          <w:szCs w:val="24"/>
        </w:rPr>
        <w:t>Journal of Plant Nutrition</w:t>
      </w:r>
      <w:r w:rsidRPr="00804F8A">
        <w:rPr>
          <w:rFonts w:ascii="Times New Roman" w:hAnsi="Times New Roman" w:cs="Times New Roman"/>
          <w:bCs/>
          <w:sz w:val="24"/>
          <w:szCs w:val="24"/>
        </w:rPr>
        <w:t>, </w:t>
      </w:r>
      <w:r w:rsidRPr="00804F8A">
        <w:rPr>
          <w:rFonts w:ascii="Times New Roman" w:hAnsi="Times New Roman" w:cs="Times New Roman"/>
          <w:bCs/>
          <w:i/>
          <w:iCs/>
          <w:sz w:val="24"/>
          <w:szCs w:val="24"/>
        </w:rPr>
        <w:t>45</w:t>
      </w:r>
      <w:r w:rsidRPr="00804F8A">
        <w:rPr>
          <w:rFonts w:ascii="Times New Roman" w:hAnsi="Times New Roman" w:cs="Times New Roman"/>
          <w:bCs/>
          <w:sz w:val="24"/>
          <w:szCs w:val="24"/>
        </w:rPr>
        <w:t>(6), 904-919.</w:t>
      </w:r>
    </w:p>
    <w:p w14:paraId="07ACF779"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Bhadauria</w:t>
      </w:r>
      <w:proofErr w:type="spellEnd"/>
      <w:r w:rsidRPr="00AD30F0">
        <w:rPr>
          <w:rFonts w:ascii="Times New Roman" w:hAnsi="Times New Roman" w:cs="Times New Roman"/>
          <w:bCs/>
          <w:sz w:val="24"/>
          <w:szCs w:val="24"/>
        </w:rPr>
        <w:t>, H. (2002). Cow urine-a</w:t>
      </w:r>
      <w:r>
        <w:rPr>
          <w:rFonts w:ascii="Times New Roman" w:hAnsi="Times New Roman" w:cs="Times New Roman"/>
          <w:bCs/>
          <w:sz w:val="24"/>
          <w:szCs w:val="24"/>
        </w:rPr>
        <w:t xml:space="preserve"> </w:t>
      </w:r>
      <w:r w:rsidRPr="00AD30F0">
        <w:rPr>
          <w:rFonts w:ascii="Times New Roman" w:hAnsi="Times New Roman" w:cs="Times New Roman"/>
          <w:bCs/>
          <w:sz w:val="24"/>
          <w:szCs w:val="24"/>
        </w:rPr>
        <w:t>magical therapy. International Journal of Cow Science, 1:32-36.</w:t>
      </w:r>
    </w:p>
    <w:p w14:paraId="119E8B57"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Burubhai</w:t>
      </w:r>
      <w:proofErr w:type="spellEnd"/>
      <w:r w:rsidRPr="00AD30F0">
        <w:rPr>
          <w:rFonts w:ascii="Times New Roman" w:hAnsi="Times New Roman" w:cs="Times New Roman"/>
          <w:bCs/>
          <w:sz w:val="24"/>
          <w:szCs w:val="24"/>
        </w:rPr>
        <w:t xml:space="preserve">, W., and </w:t>
      </w:r>
      <w:proofErr w:type="spellStart"/>
      <w:r w:rsidRPr="00AD30F0">
        <w:rPr>
          <w:rFonts w:ascii="Times New Roman" w:hAnsi="Times New Roman" w:cs="Times New Roman"/>
          <w:bCs/>
          <w:sz w:val="24"/>
          <w:szCs w:val="24"/>
        </w:rPr>
        <w:t>Eribo</w:t>
      </w:r>
      <w:proofErr w:type="spellEnd"/>
      <w:r w:rsidRPr="00AD30F0">
        <w:rPr>
          <w:rFonts w:ascii="Times New Roman" w:hAnsi="Times New Roman" w:cs="Times New Roman"/>
          <w:bCs/>
          <w:sz w:val="24"/>
          <w:szCs w:val="24"/>
        </w:rPr>
        <w:t>, M. (2012).</w:t>
      </w:r>
      <w:r>
        <w:rPr>
          <w:rFonts w:ascii="Times New Roman" w:hAnsi="Times New Roman" w:cs="Times New Roman"/>
          <w:bCs/>
          <w:sz w:val="24"/>
          <w:szCs w:val="24"/>
        </w:rPr>
        <w:t xml:space="preserve"> </w:t>
      </w:r>
      <w:r w:rsidRPr="00AD30F0">
        <w:rPr>
          <w:rFonts w:ascii="Times New Roman" w:hAnsi="Times New Roman" w:cs="Times New Roman"/>
          <w:bCs/>
          <w:sz w:val="24"/>
          <w:szCs w:val="24"/>
        </w:rPr>
        <w:t>Influence of incubation periods</w:t>
      </w:r>
      <w:r>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Pr>
          <w:rFonts w:ascii="Times New Roman" w:hAnsi="Times New Roman" w:cs="Times New Roman"/>
          <w:bCs/>
          <w:sz w:val="24"/>
          <w:szCs w:val="24"/>
        </w:rPr>
        <w:t xml:space="preserve"> </w:t>
      </w:r>
      <w:r w:rsidRPr="00AD30F0">
        <w:rPr>
          <w:rFonts w:ascii="Times New Roman" w:hAnsi="Times New Roman" w:cs="Times New Roman"/>
          <w:bCs/>
          <w:sz w:val="24"/>
          <w:szCs w:val="24"/>
        </w:rPr>
        <w:t>dosage</w:t>
      </w:r>
      <w:r>
        <w:rPr>
          <w:rFonts w:ascii="Times New Roman" w:hAnsi="Times New Roman" w:cs="Times New Roman"/>
          <w:bCs/>
          <w:sz w:val="24"/>
          <w:szCs w:val="24"/>
        </w:rPr>
        <w:t xml:space="preserve"> </w:t>
      </w:r>
      <w:r w:rsidRPr="00AD30F0">
        <w:rPr>
          <w:rFonts w:ascii="Times New Roman" w:hAnsi="Times New Roman" w:cs="Times New Roman"/>
          <w:bCs/>
          <w:sz w:val="24"/>
          <w:szCs w:val="24"/>
        </w:rPr>
        <w:t>on</w:t>
      </w:r>
      <w:r>
        <w:rPr>
          <w:rFonts w:ascii="Times New Roman" w:hAnsi="Times New Roman" w:cs="Times New Roman"/>
          <w:bCs/>
          <w:sz w:val="24"/>
          <w:szCs w:val="24"/>
        </w:rPr>
        <w:t xml:space="preserve"> </w:t>
      </w:r>
      <w:r w:rsidRPr="00AD30F0">
        <w:rPr>
          <w:rFonts w:ascii="Times New Roman" w:hAnsi="Times New Roman" w:cs="Times New Roman"/>
          <w:bCs/>
          <w:sz w:val="24"/>
          <w:szCs w:val="24"/>
        </w:rPr>
        <w:t>the</w:t>
      </w:r>
      <w:r>
        <w:rPr>
          <w:rFonts w:ascii="Times New Roman" w:hAnsi="Times New Roman" w:cs="Times New Roman"/>
          <w:bCs/>
          <w:sz w:val="24"/>
          <w:szCs w:val="24"/>
        </w:rPr>
        <w:t xml:space="preserve"> </w:t>
      </w:r>
      <w:r w:rsidRPr="00AD30F0">
        <w:rPr>
          <w:rFonts w:ascii="Times New Roman" w:hAnsi="Times New Roman" w:cs="Times New Roman"/>
          <w:bCs/>
          <w:sz w:val="24"/>
          <w:szCs w:val="24"/>
        </w:rPr>
        <w:t>bio</w:t>
      </w:r>
      <w:r>
        <w:rPr>
          <w:rFonts w:ascii="Times New Roman" w:hAnsi="Times New Roman" w:cs="Times New Roman"/>
          <w:bCs/>
          <w:sz w:val="24"/>
          <w:szCs w:val="24"/>
        </w:rPr>
        <w:t>-</w:t>
      </w:r>
      <w:r w:rsidRPr="00AD30F0">
        <w:rPr>
          <w:rFonts w:ascii="Times New Roman" w:hAnsi="Times New Roman" w:cs="Times New Roman"/>
          <w:bCs/>
          <w:sz w:val="24"/>
          <w:szCs w:val="24"/>
        </w:rPr>
        <w:t>efficacy</w:t>
      </w:r>
      <w:r>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Pr>
          <w:rFonts w:ascii="Times New Roman" w:hAnsi="Times New Roman" w:cs="Times New Roman"/>
          <w:bCs/>
          <w:sz w:val="24"/>
          <w:szCs w:val="24"/>
        </w:rPr>
        <w:t xml:space="preserve"> </w:t>
      </w:r>
      <w:r w:rsidRPr="00AD30F0">
        <w:rPr>
          <w:rFonts w:ascii="Times New Roman" w:hAnsi="Times New Roman" w:cs="Times New Roman"/>
          <w:bCs/>
          <w:sz w:val="24"/>
          <w:szCs w:val="24"/>
        </w:rPr>
        <w:t>cow</w:t>
      </w:r>
      <w:r>
        <w:rPr>
          <w:rFonts w:ascii="Times New Roman" w:hAnsi="Times New Roman" w:cs="Times New Roman"/>
          <w:bCs/>
          <w:sz w:val="24"/>
          <w:szCs w:val="24"/>
        </w:rPr>
        <w:t xml:space="preserve"> </w:t>
      </w:r>
      <w:r w:rsidRPr="00AD30F0">
        <w:rPr>
          <w:rFonts w:ascii="Times New Roman" w:hAnsi="Times New Roman" w:cs="Times New Roman"/>
          <w:bCs/>
          <w:sz w:val="24"/>
          <w:szCs w:val="24"/>
        </w:rPr>
        <w:t>urine</w:t>
      </w:r>
      <w:r>
        <w:rPr>
          <w:rFonts w:ascii="Times New Roman" w:hAnsi="Times New Roman" w:cs="Times New Roman"/>
          <w:bCs/>
          <w:sz w:val="24"/>
          <w:szCs w:val="24"/>
        </w:rPr>
        <w:t xml:space="preserve"> </w:t>
      </w:r>
      <w:r w:rsidRPr="00AD30F0">
        <w:rPr>
          <w:rFonts w:ascii="Times New Roman" w:hAnsi="Times New Roman" w:cs="Times New Roman"/>
          <w:bCs/>
          <w:sz w:val="24"/>
          <w:szCs w:val="24"/>
        </w:rPr>
        <w:t>against melon aphids (</w:t>
      </w:r>
      <w:r w:rsidRPr="00AD30F0">
        <w:rPr>
          <w:rFonts w:ascii="Times New Roman" w:hAnsi="Times New Roman" w:cs="Times New Roman"/>
          <w:bCs/>
          <w:i/>
          <w:iCs/>
          <w:sz w:val="24"/>
          <w:szCs w:val="24"/>
        </w:rPr>
        <w:t>Aphis gossypii</w:t>
      </w:r>
      <w:r w:rsidRPr="00AD30F0">
        <w:rPr>
          <w:rFonts w:ascii="Times New Roman" w:hAnsi="Times New Roman" w:cs="Times New Roman"/>
          <w:bCs/>
          <w:sz w:val="24"/>
          <w:szCs w:val="24"/>
        </w:rPr>
        <w:t xml:space="preserve">) and pickleworms </w:t>
      </w:r>
      <w:r w:rsidRPr="00AD30F0">
        <w:rPr>
          <w:rFonts w:ascii="Times New Roman" w:hAnsi="Times New Roman" w:cs="Times New Roman"/>
          <w:bCs/>
          <w:sz w:val="24"/>
          <w:szCs w:val="24"/>
        </w:rPr>
        <w:lastRenderedPageBreak/>
        <w:t>(</w:t>
      </w:r>
      <w:proofErr w:type="spellStart"/>
      <w:r w:rsidRPr="00AD30F0">
        <w:rPr>
          <w:rFonts w:ascii="Times New Roman" w:hAnsi="Times New Roman" w:cs="Times New Roman"/>
          <w:bCs/>
          <w:sz w:val="24"/>
          <w:szCs w:val="24"/>
        </w:rPr>
        <w:t>Diaphaniahyalinata</w:t>
      </w:r>
      <w:proofErr w:type="spellEnd"/>
      <w:r w:rsidRPr="00AD30F0">
        <w:rPr>
          <w:rFonts w:ascii="Times New Roman" w:hAnsi="Times New Roman" w:cs="Times New Roman"/>
          <w:bCs/>
          <w:sz w:val="24"/>
          <w:szCs w:val="24"/>
        </w:rPr>
        <w:t>)</w:t>
      </w:r>
      <w:r>
        <w:rPr>
          <w:rFonts w:ascii="Times New Roman" w:hAnsi="Times New Roman" w:cs="Times New Roman"/>
          <w:bCs/>
          <w:sz w:val="24"/>
          <w:szCs w:val="24"/>
        </w:rPr>
        <w:t xml:space="preserve"> </w:t>
      </w:r>
      <w:r w:rsidRPr="00AD30F0">
        <w:rPr>
          <w:rFonts w:ascii="Times New Roman" w:hAnsi="Times New Roman" w:cs="Times New Roman"/>
          <w:bCs/>
          <w:sz w:val="24"/>
          <w:szCs w:val="24"/>
        </w:rPr>
        <w:t>in</w:t>
      </w:r>
      <w:r>
        <w:rPr>
          <w:rFonts w:ascii="Times New Roman" w:hAnsi="Times New Roman" w:cs="Times New Roman"/>
          <w:bCs/>
          <w:sz w:val="24"/>
          <w:szCs w:val="24"/>
        </w:rPr>
        <w:t xml:space="preserve"> </w:t>
      </w:r>
      <w:r w:rsidRPr="00AD30F0">
        <w:rPr>
          <w:rFonts w:ascii="Times New Roman" w:hAnsi="Times New Roman" w:cs="Times New Roman"/>
          <w:bCs/>
          <w:sz w:val="24"/>
          <w:szCs w:val="24"/>
        </w:rPr>
        <w:t>water</w:t>
      </w:r>
      <w:r>
        <w:rPr>
          <w:rFonts w:ascii="Times New Roman" w:hAnsi="Times New Roman" w:cs="Times New Roman"/>
          <w:bCs/>
          <w:sz w:val="24"/>
          <w:szCs w:val="24"/>
        </w:rPr>
        <w:t xml:space="preserve"> </w:t>
      </w:r>
      <w:r w:rsidRPr="00AD30F0">
        <w:rPr>
          <w:rFonts w:ascii="Times New Roman" w:hAnsi="Times New Roman" w:cs="Times New Roman"/>
          <w:bCs/>
          <w:sz w:val="24"/>
          <w:szCs w:val="24"/>
        </w:rPr>
        <w:t>melon</w:t>
      </w:r>
      <w:r>
        <w:rPr>
          <w:rFonts w:ascii="Times New Roman" w:hAnsi="Times New Roman" w:cs="Times New Roman"/>
          <w:bCs/>
          <w:sz w:val="24"/>
          <w:szCs w:val="24"/>
        </w:rPr>
        <w:t xml:space="preserve"> </w:t>
      </w:r>
      <w:r w:rsidRPr="00AD30F0">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AD30F0">
        <w:rPr>
          <w:rFonts w:ascii="Times New Roman" w:hAnsi="Times New Roman" w:cs="Times New Roman"/>
          <w:bCs/>
          <w:sz w:val="24"/>
          <w:szCs w:val="24"/>
        </w:rPr>
        <w:t>Research Journal of Applied Sciences, Engineering and Technology,4(4):269-272.</w:t>
      </w:r>
    </w:p>
    <w:p w14:paraId="0A544CCB"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F17DBE">
        <w:rPr>
          <w:rFonts w:ascii="Times New Roman" w:hAnsi="Times New Roman" w:cs="Times New Roman"/>
          <w:bCs/>
          <w:sz w:val="24"/>
          <w:szCs w:val="24"/>
        </w:rPr>
        <w:t xml:space="preserve">Devakumar, N., Shubha, S., Rao, G.G.E. and Imran Khan (2014). Studies on Soil fertility, Cow urine and </w:t>
      </w:r>
      <w:proofErr w:type="spellStart"/>
      <w:r w:rsidRPr="00F17DBE">
        <w:rPr>
          <w:rFonts w:ascii="Times New Roman" w:hAnsi="Times New Roman" w:cs="Times New Roman"/>
          <w:bCs/>
          <w:sz w:val="24"/>
          <w:szCs w:val="24"/>
        </w:rPr>
        <w:t>Panchagavya</w:t>
      </w:r>
      <w:proofErr w:type="spellEnd"/>
      <w:r w:rsidRPr="00F17DBE">
        <w:rPr>
          <w:rFonts w:ascii="Times New Roman" w:hAnsi="Times New Roman" w:cs="Times New Roman"/>
          <w:bCs/>
          <w:sz w:val="24"/>
          <w:szCs w:val="24"/>
        </w:rPr>
        <w:t xml:space="preserve"> levels on Growth and Yield of Maize. 4th ISOFARScientificcongress.BuildingOrganicBridges,4: 627-629.</w:t>
      </w:r>
    </w:p>
    <w:p w14:paraId="5F12C676"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Dotaniya</w:t>
      </w:r>
      <w:proofErr w:type="spellEnd"/>
      <w:r w:rsidRPr="00AD30F0">
        <w:rPr>
          <w:rFonts w:ascii="Times New Roman" w:hAnsi="Times New Roman" w:cs="Times New Roman"/>
          <w:bCs/>
          <w:sz w:val="24"/>
          <w:szCs w:val="24"/>
        </w:rPr>
        <w:t xml:space="preserve">, C. K., </w:t>
      </w:r>
      <w:proofErr w:type="spellStart"/>
      <w:r w:rsidRPr="00AD30F0">
        <w:rPr>
          <w:rFonts w:ascii="Times New Roman" w:hAnsi="Times New Roman" w:cs="Times New Roman"/>
          <w:bCs/>
          <w:sz w:val="24"/>
          <w:szCs w:val="24"/>
        </w:rPr>
        <w:t>Lakaria</w:t>
      </w:r>
      <w:proofErr w:type="spellEnd"/>
      <w:r w:rsidRPr="00AD30F0">
        <w:rPr>
          <w:rFonts w:ascii="Times New Roman" w:hAnsi="Times New Roman" w:cs="Times New Roman"/>
          <w:bCs/>
          <w:sz w:val="24"/>
          <w:szCs w:val="24"/>
        </w:rPr>
        <w:t xml:space="preserve">, B. L., Sharma, Y., Meena, B. P., Aher, S. B., </w:t>
      </w:r>
      <w:proofErr w:type="spellStart"/>
      <w:r w:rsidRPr="00AD30F0">
        <w:rPr>
          <w:rFonts w:ascii="Times New Roman" w:hAnsi="Times New Roman" w:cs="Times New Roman"/>
          <w:bCs/>
          <w:sz w:val="24"/>
          <w:szCs w:val="24"/>
        </w:rPr>
        <w:t>Shirale</w:t>
      </w:r>
      <w:proofErr w:type="spellEnd"/>
      <w:r w:rsidRPr="00AD30F0">
        <w:rPr>
          <w:rFonts w:ascii="Times New Roman" w:hAnsi="Times New Roman" w:cs="Times New Roman"/>
          <w:bCs/>
          <w:sz w:val="24"/>
          <w:szCs w:val="24"/>
        </w:rPr>
        <w:t xml:space="preserve">, A. O., ... &amp; Lata, M. (2022). Performance of chickpea (Cicer arietinum L.) in maize-chickpea sequence under various integrated nutrient modules in a </w:t>
      </w:r>
      <w:proofErr w:type="spellStart"/>
      <w:r w:rsidRPr="00AD30F0">
        <w:rPr>
          <w:rFonts w:ascii="Times New Roman" w:hAnsi="Times New Roman" w:cs="Times New Roman"/>
          <w:bCs/>
          <w:sz w:val="24"/>
          <w:szCs w:val="24"/>
        </w:rPr>
        <w:t>Vertisol</w:t>
      </w:r>
      <w:proofErr w:type="spellEnd"/>
      <w:r w:rsidRPr="00AD30F0">
        <w:rPr>
          <w:rFonts w:ascii="Times New Roman" w:hAnsi="Times New Roman" w:cs="Times New Roman"/>
          <w:bCs/>
          <w:sz w:val="24"/>
          <w:szCs w:val="24"/>
        </w:rPr>
        <w:t xml:space="preserve"> of Central India. </w:t>
      </w:r>
      <w:proofErr w:type="spellStart"/>
      <w:r w:rsidRPr="00AD30F0">
        <w:rPr>
          <w:rFonts w:ascii="Times New Roman" w:hAnsi="Times New Roman" w:cs="Times New Roman"/>
          <w:bCs/>
          <w:i/>
          <w:iCs/>
          <w:sz w:val="24"/>
          <w:szCs w:val="24"/>
        </w:rPr>
        <w:t>Plos</w:t>
      </w:r>
      <w:proofErr w:type="spellEnd"/>
      <w:r w:rsidRPr="00AD30F0">
        <w:rPr>
          <w:rFonts w:ascii="Times New Roman" w:hAnsi="Times New Roman" w:cs="Times New Roman"/>
          <w:bCs/>
          <w:i/>
          <w:iCs/>
          <w:sz w:val="24"/>
          <w:szCs w:val="24"/>
        </w:rPr>
        <w:t xml:space="preserve"> one</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17</w:t>
      </w:r>
      <w:r w:rsidRPr="00AD30F0">
        <w:rPr>
          <w:rFonts w:ascii="Times New Roman" w:hAnsi="Times New Roman" w:cs="Times New Roman"/>
          <w:bCs/>
          <w:sz w:val="24"/>
          <w:szCs w:val="24"/>
        </w:rPr>
        <w:t>(2), e0262652.</w:t>
      </w:r>
    </w:p>
    <w:p w14:paraId="6E5477FA"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Dotaniya</w:t>
      </w:r>
      <w:proofErr w:type="spellEnd"/>
      <w:r w:rsidRPr="00AD30F0">
        <w:rPr>
          <w:rFonts w:ascii="Times New Roman" w:hAnsi="Times New Roman" w:cs="Times New Roman"/>
          <w:bCs/>
          <w:sz w:val="24"/>
          <w:szCs w:val="24"/>
        </w:rPr>
        <w:t xml:space="preserve">, C.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Aher, S. B., Rajput, P. S., </w:t>
      </w:r>
      <w:proofErr w:type="spellStart"/>
      <w:r w:rsidRPr="00AD30F0">
        <w:rPr>
          <w:rFonts w:ascii="Times New Roman" w:hAnsi="Times New Roman" w:cs="Times New Roman"/>
          <w:bCs/>
          <w:sz w:val="24"/>
          <w:szCs w:val="24"/>
        </w:rPr>
        <w:t>Doutaniya</w:t>
      </w:r>
      <w:proofErr w:type="spellEnd"/>
      <w:r w:rsidRPr="00AD30F0">
        <w:rPr>
          <w:rFonts w:ascii="Times New Roman" w:hAnsi="Times New Roman" w:cs="Times New Roman"/>
          <w:bCs/>
          <w:sz w:val="24"/>
          <w:szCs w:val="24"/>
        </w:rPr>
        <w:t xml:space="preserve">, R. K., Lata, M., &amp; </w:t>
      </w:r>
      <w:proofErr w:type="spellStart"/>
      <w:r w:rsidRPr="00AD30F0">
        <w:rPr>
          <w:rFonts w:ascii="Times New Roman" w:hAnsi="Times New Roman" w:cs="Times New Roman"/>
          <w:bCs/>
          <w:sz w:val="24"/>
          <w:szCs w:val="24"/>
        </w:rPr>
        <w:t>Mohbe</w:t>
      </w:r>
      <w:proofErr w:type="spellEnd"/>
      <w:r w:rsidRPr="00AD30F0">
        <w:rPr>
          <w:rFonts w:ascii="Times New Roman" w:hAnsi="Times New Roman" w:cs="Times New Roman"/>
          <w:bCs/>
          <w:sz w:val="24"/>
          <w:szCs w:val="24"/>
        </w:rPr>
        <w:t>, S. (2020). Crop performance and soil properties under organic nutrient management. </w:t>
      </w:r>
      <w:r w:rsidRPr="00AD30F0">
        <w:rPr>
          <w:rFonts w:ascii="Times New Roman" w:hAnsi="Times New Roman" w:cs="Times New Roman"/>
          <w:bCs/>
          <w:i/>
          <w:iCs/>
          <w:sz w:val="24"/>
          <w:szCs w:val="24"/>
        </w:rPr>
        <w:t>International Journal of Current Microbiology and Applied Sciences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9</w:t>
      </w:r>
      <w:r w:rsidRPr="00AD30F0">
        <w:rPr>
          <w:rFonts w:ascii="Times New Roman" w:hAnsi="Times New Roman" w:cs="Times New Roman"/>
          <w:bCs/>
          <w:sz w:val="24"/>
          <w:szCs w:val="24"/>
        </w:rPr>
        <w:t>(4), 1055-1065.</w:t>
      </w:r>
    </w:p>
    <w:p w14:paraId="398BAD3A"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Khandagle</w:t>
      </w:r>
      <w:proofErr w:type="spellEnd"/>
      <w:r w:rsidRPr="00AD30F0">
        <w:rPr>
          <w:rFonts w:ascii="Times New Roman" w:hAnsi="Times New Roman" w:cs="Times New Roman"/>
          <w:bCs/>
          <w:sz w:val="24"/>
          <w:szCs w:val="24"/>
        </w:rPr>
        <w:t xml:space="preserve">, A., Dwivedi, B. S., Aher, S. B., Dwivedi, A.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D. S., &amp; Jat, D. (2019a). Effect of long-term application of fertilizers and manure on soil properties. </w:t>
      </w:r>
      <w:r w:rsidRPr="00AD30F0">
        <w:rPr>
          <w:rFonts w:ascii="Times New Roman" w:hAnsi="Times New Roman" w:cs="Times New Roman"/>
          <w:bCs/>
          <w:i/>
          <w:iCs/>
          <w:sz w:val="24"/>
          <w:szCs w:val="24"/>
        </w:rPr>
        <w:t>Journal of Soils and Crops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29</w:t>
      </w:r>
      <w:r w:rsidRPr="00AD30F0">
        <w:rPr>
          <w:rFonts w:ascii="Times New Roman" w:hAnsi="Times New Roman" w:cs="Times New Roman"/>
          <w:bCs/>
          <w:sz w:val="24"/>
          <w:szCs w:val="24"/>
        </w:rPr>
        <w:t>(1), 97-104.</w:t>
      </w:r>
    </w:p>
    <w:p w14:paraId="3E816A34"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Khandagle</w:t>
      </w:r>
      <w:proofErr w:type="spellEnd"/>
      <w:r w:rsidRPr="00AD30F0">
        <w:rPr>
          <w:rFonts w:ascii="Times New Roman" w:hAnsi="Times New Roman" w:cs="Times New Roman"/>
          <w:bCs/>
          <w:sz w:val="24"/>
          <w:szCs w:val="24"/>
        </w:rPr>
        <w:t xml:space="preserve">, A., Dwivedi, B. S., Aher, S. B., Dwivedi, A. K., </w:t>
      </w: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w:t>
      </w:r>
      <w:proofErr w:type="spellStart"/>
      <w:r w:rsidRPr="00AD30F0">
        <w:rPr>
          <w:rFonts w:ascii="Times New Roman" w:hAnsi="Times New Roman" w:cs="Times New Roman"/>
          <w:bCs/>
          <w:sz w:val="24"/>
          <w:szCs w:val="24"/>
        </w:rPr>
        <w:t>Mohbe</w:t>
      </w:r>
      <w:proofErr w:type="spellEnd"/>
      <w:r w:rsidRPr="00AD30F0">
        <w:rPr>
          <w:rFonts w:ascii="Times New Roman" w:hAnsi="Times New Roman" w:cs="Times New Roman"/>
          <w:bCs/>
          <w:sz w:val="24"/>
          <w:szCs w:val="24"/>
        </w:rPr>
        <w:t xml:space="preserve">, S., &amp; Panwar, S. (2019b). Distribution of nitrogen fractions under long term fertilizer and manure application in a </w:t>
      </w:r>
      <w:proofErr w:type="spellStart"/>
      <w:r w:rsidRPr="00AD30F0">
        <w:rPr>
          <w:rFonts w:ascii="Times New Roman" w:hAnsi="Times New Roman" w:cs="Times New Roman"/>
          <w:bCs/>
          <w:sz w:val="24"/>
          <w:szCs w:val="24"/>
        </w:rPr>
        <w:t>vertisol</w:t>
      </w:r>
      <w:proofErr w:type="spellEnd"/>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Bioscience Biotechnology Research Communications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12</w:t>
      </w:r>
      <w:r w:rsidRPr="00AD30F0">
        <w:rPr>
          <w:rFonts w:ascii="Times New Roman" w:hAnsi="Times New Roman" w:cs="Times New Roman"/>
          <w:bCs/>
          <w:sz w:val="24"/>
          <w:szCs w:val="24"/>
        </w:rPr>
        <w:t>(1), 186-193.</w:t>
      </w:r>
    </w:p>
    <w:p w14:paraId="05D42875"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proofErr w:type="gramStart"/>
      <w:r w:rsidRPr="00AD30F0">
        <w:rPr>
          <w:rFonts w:ascii="Times New Roman" w:hAnsi="Times New Roman" w:cs="Times New Roman"/>
          <w:bCs/>
          <w:sz w:val="24"/>
          <w:szCs w:val="24"/>
        </w:rPr>
        <w:t>Maheswari,V.N</w:t>
      </w:r>
      <w:proofErr w:type="spellEnd"/>
      <w:r w:rsidRPr="00AD30F0">
        <w:rPr>
          <w:rFonts w:ascii="Times New Roman" w:hAnsi="Times New Roman" w:cs="Times New Roman"/>
          <w:bCs/>
          <w:sz w:val="24"/>
          <w:szCs w:val="24"/>
        </w:rPr>
        <w:t>.</w:t>
      </w:r>
      <w:proofErr w:type="gramEnd"/>
      <w:r w:rsidRPr="00AD30F0">
        <w:rPr>
          <w:rFonts w:ascii="Times New Roman" w:hAnsi="Times New Roman" w:cs="Times New Roman"/>
          <w:bCs/>
          <w:sz w:val="24"/>
          <w:szCs w:val="24"/>
        </w:rPr>
        <w:t xml:space="preserve">, Kaleena, P.K., Srikumaran, M.P., Rekha, G.S. and Elumalai, D.(2017). Influence of vermin wash and </w:t>
      </w:r>
      <w:proofErr w:type="spellStart"/>
      <w:r w:rsidRPr="00AD30F0">
        <w:rPr>
          <w:rFonts w:ascii="Times New Roman" w:hAnsi="Times New Roman" w:cs="Times New Roman"/>
          <w:bCs/>
          <w:sz w:val="24"/>
          <w:szCs w:val="24"/>
        </w:rPr>
        <w:t>panchagavya</w:t>
      </w:r>
      <w:proofErr w:type="spellEnd"/>
      <w:r w:rsidRPr="00AD30F0">
        <w:rPr>
          <w:rFonts w:ascii="Times New Roman" w:hAnsi="Times New Roman" w:cs="Times New Roman"/>
          <w:bCs/>
          <w:sz w:val="24"/>
          <w:szCs w:val="24"/>
        </w:rPr>
        <w:t xml:space="preserve"> on lablab beans under pot experimental conditions</w:t>
      </w:r>
      <w:r w:rsidRPr="00D57634">
        <w:rPr>
          <w:rFonts w:ascii="Times New Roman" w:hAnsi="Times New Roman" w:cs="Times New Roman"/>
          <w:bCs/>
          <w:i/>
          <w:iCs/>
          <w:sz w:val="24"/>
          <w:szCs w:val="24"/>
        </w:rPr>
        <w:t>. International Journal of Advances Research. On Biological.Sciences</w:t>
      </w:r>
      <w:r w:rsidRPr="00AD30F0">
        <w:rPr>
          <w:rFonts w:ascii="Times New Roman" w:hAnsi="Times New Roman" w:cs="Times New Roman"/>
          <w:bCs/>
          <w:sz w:val="24"/>
          <w:szCs w:val="24"/>
        </w:rPr>
        <w:t>,4(2),20.</w:t>
      </w:r>
    </w:p>
    <w:p w14:paraId="3720C2A2"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Mandale</w:t>
      </w:r>
      <w:proofErr w:type="spellEnd"/>
      <w:r w:rsidRPr="00AD30F0">
        <w:rPr>
          <w:rFonts w:ascii="Times New Roman" w:hAnsi="Times New Roman" w:cs="Times New Roman"/>
          <w:bCs/>
          <w:sz w:val="24"/>
          <w:szCs w:val="24"/>
        </w:rPr>
        <w:t xml:space="preserve">, P., </w:t>
      </w:r>
      <w:proofErr w:type="spellStart"/>
      <w:r w:rsidRPr="00AD30F0">
        <w:rPr>
          <w:rFonts w:ascii="Times New Roman" w:hAnsi="Times New Roman" w:cs="Times New Roman"/>
          <w:bCs/>
          <w:sz w:val="24"/>
          <w:szCs w:val="24"/>
        </w:rPr>
        <w:t>Lakaria</w:t>
      </w:r>
      <w:proofErr w:type="spellEnd"/>
      <w:r w:rsidRPr="00AD30F0">
        <w:rPr>
          <w:rFonts w:ascii="Times New Roman" w:hAnsi="Times New Roman" w:cs="Times New Roman"/>
          <w:bCs/>
          <w:sz w:val="24"/>
          <w:szCs w:val="24"/>
        </w:rPr>
        <w:t>, B. L., Aher, S. B., Singh, A. B., &amp; Gupta, S. C. (2018). Potassium concentration, uptake and partitioning in maize (</w:t>
      </w:r>
      <w:proofErr w:type="spellStart"/>
      <w:r w:rsidRPr="00AD30F0">
        <w:rPr>
          <w:rFonts w:ascii="Times New Roman" w:hAnsi="Times New Roman" w:cs="Times New Roman"/>
          <w:bCs/>
          <w:sz w:val="24"/>
          <w:szCs w:val="24"/>
        </w:rPr>
        <w:t>Zea</w:t>
      </w:r>
      <w:proofErr w:type="spellEnd"/>
      <w:r w:rsidRPr="00AD30F0">
        <w:rPr>
          <w:rFonts w:ascii="Times New Roman" w:hAnsi="Times New Roman" w:cs="Times New Roman"/>
          <w:bCs/>
          <w:sz w:val="24"/>
          <w:szCs w:val="24"/>
        </w:rPr>
        <w:t xml:space="preserve"> mays L.) cultivars grown in organic agriculture. </w:t>
      </w:r>
      <w:r w:rsidRPr="00AD30F0">
        <w:rPr>
          <w:rFonts w:ascii="Times New Roman" w:hAnsi="Times New Roman" w:cs="Times New Roman"/>
          <w:bCs/>
          <w:i/>
          <w:iCs/>
          <w:sz w:val="24"/>
          <w:szCs w:val="24"/>
        </w:rPr>
        <w:t>Research on Crops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19</w:t>
      </w:r>
      <w:r w:rsidRPr="00AD30F0">
        <w:rPr>
          <w:rFonts w:ascii="Times New Roman" w:hAnsi="Times New Roman" w:cs="Times New Roman"/>
          <w:bCs/>
          <w:sz w:val="24"/>
          <w:szCs w:val="24"/>
        </w:rPr>
        <w:t>(4), 587-592.</w:t>
      </w:r>
    </w:p>
    <w:p w14:paraId="7ED7882E"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bCs/>
          <w:sz w:val="24"/>
          <w:szCs w:val="24"/>
        </w:rPr>
        <w:t>Meena, H.,</w:t>
      </w:r>
      <w:r>
        <w:rPr>
          <w:rFonts w:ascii="Times New Roman" w:hAnsi="Times New Roman" w:cs="Times New Roman"/>
          <w:bCs/>
          <w:sz w:val="24"/>
          <w:szCs w:val="24"/>
        </w:rPr>
        <w:t xml:space="preserve"> </w:t>
      </w:r>
      <w:r w:rsidRPr="00AD30F0">
        <w:rPr>
          <w:rFonts w:ascii="Times New Roman" w:hAnsi="Times New Roman" w:cs="Times New Roman"/>
          <w:bCs/>
          <w:sz w:val="24"/>
          <w:szCs w:val="24"/>
        </w:rPr>
        <w:t>Singh,</w:t>
      </w:r>
      <w:r>
        <w:rPr>
          <w:rFonts w:ascii="Times New Roman" w:hAnsi="Times New Roman" w:cs="Times New Roman"/>
          <w:bCs/>
          <w:sz w:val="24"/>
          <w:szCs w:val="24"/>
        </w:rPr>
        <w:t xml:space="preserve"> </w:t>
      </w:r>
      <w:r w:rsidRPr="00AD30F0">
        <w:rPr>
          <w:rFonts w:ascii="Times New Roman" w:hAnsi="Times New Roman" w:cs="Times New Roman"/>
          <w:bCs/>
          <w:sz w:val="24"/>
          <w:szCs w:val="24"/>
        </w:rPr>
        <w:t>S.P.</w:t>
      </w:r>
      <w:r>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Pr>
          <w:rFonts w:ascii="Times New Roman" w:hAnsi="Times New Roman" w:cs="Times New Roman"/>
          <w:bCs/>
          <w:sz w:val="24"/>
          <w:szCs w:val="24"/>
        </w:rPr>
        <w:t xml:space="preserve"> </w:t>
      </w:r>
      <w:r w:rsidRPr="00AD30F0">
        <w:rPr>
          <w:rFonts w:ascii="Times New Roman" w:hAnsi="Times New Roman" w:cs="Times New Roman"/>
          <w:bCs/>
          <w:sz w:val="24"/>
          <w:szCs w:val="24"/>
        </w:rPr>
        <w:t>Nagar,</w:t>
      </w:r>
      <w:r>
        <w:rPr>
          <w:rFonts w:ascii="Times New Roman" w:hAnsi="Times New Roman" w:cs="Times New Roman"/>
          <w:bCs/>
          <w:sz w:val="24"/>
          <w:szCs w:val="24"/>
        </w:rPr>
        <w:t xml:space="preserve"> </w:t>
      </w:r>
      <w:r w:rsidRPr="00AD30F0">
        <w:rPr>
          <w:rFonts w:ascii="Times New Roman" w:hAnsi="Times New Roman" w:cs="Times New Roman"/>
          <w:bCs/>
          <w:sz w:val="24"/>
          <w:szCs w:val="24"/>
        </w:rPr>
        <w:t>R.</w:t>
      </w:r>
      <w:r>
        <w:rPr>
          <w:rFonts w:ascii="Times New Roman" w:hAnsi="Times New Roman" w:cs="Times New Roman"/>
          <w:bCs/>
          <w:sz w:val="24"/>
          <w:szCs w:val="24"/>
        </w:rPr>
        <w:t xml:space="preserve"> </w:t>
      </w:r>
      <w:r w:rsidRPr="00AD30F0">
        <w:rPr>
          <w:rFonts w:ascii="Times New Roman" w:hAnsi="Times New Roman" w:cs="Times New Roman"/>
          <w:bCs/>
          <w:sz w:val="24"/>
          <w:szCs w:val="24"/>
        </w:rPr>
        <w:t>(2013).</w:t>
      </w:r>
      <w:r>
        <w:rPr>
          <w:rFonts w:ascii="Times New Roman" w:hAnsi="Times New Roman" w:cs="Times New Roman"/>
          <w:bCs/>
          <w:sz w:val="24"/>
          <w:szCs w:val="24"/>
        </w:rPr>
        <w:t xml:space="preserve"> </w:t>
      </w:r>
      <w:r w:rsidRPr="00AD30F0">
        <w:rPr>
          <w:rFonts w:ascii="Times New Roman" w:hAnsi="Times New Roman" w:cs="Times New Roman"/>
          <w:bCs/>
          <w:sz w:val="24"/>
          <w:szCs w:val="24"/>
        </w:rPr>
        <w:t>Evaluation</w:t>
      </w:r>
      <w:r>
        <w:rPr>
          <w:rFonts w:ascii="Times New Roman" w:hAnsi="Times New Roman" w:cs="Times New Roman"/>
          <w:bCs/>
          <w:sz w:val="24"/>
          <w:szCs w:val="24"/>
        </w:rPr>
        <w:t xml:space="preserve"> </w:t>
      </w:r>
      <w:r w:rsidRPr="00AD30F0">
        <w:rPr>
          <w:rFonts w:ascii="Times New Roman" w:hAnsi="Times New Roman" w:cs="Times New Roman"/>
          <w:bCs/>
          <w:sz w:val="24"/>
          <w:szCs w:val="24"/>
        </w:rPr>
        <w:t>of microbial agents and bio</w:t>
      </w:r>
      <w:r>
        <w:rPr>
          <w:rFonts w:ascii="Times New Roman" w:hAnsi="Times New Roman" w:cs="Times New Roman"/>
          <w:bCs/>
          <w:sz w:val="24"/>
          <w:szCs w:val="24"/>
        </w:rPr>
        <w:t xml:space="preserve"> </w:t>
      </w:r>
      <w:r w:rsidRPr="00AD30F0">
        <w:rPr>
          <w:rFonts w:ascii="Times New Roman" w:hAnsi="Times New Roman" w:cs="Times New Roman"/>
          <w:bCs/>
          <w:sz w:val="24"/>
          <w:szCs w:val="24"/>
        </w:rPr>
        <w:t>products for the management of mustard</w:t>
      </w:r>
      <w:r>
        <w:rPr>
          <w:rFonts w:ascii="Times New Roman" w:hAnsi="Times New Roman" w:cs="Times New Roman"/>
          <w:bCs/>
          <w:sz w:val="24"/>
          <w:szCs w:val="24"/>
        </w:rPr>
        <w:t xml:space="preserve"> </w:t>
      </w:r>
      <w:r w:rsidRPr="00AD30F0">
        <w:rPr>
          <w:rFonts w:ascii="Times New Roman" w:hAnsi="Times New Roman" w:cs="Times New Roman"/>
          <w:bCs/>
          <w:sz w:val="24"/>
          <w:szCs w:val="24"/>
        </w:rPr>
        <w:t>aphid,</w:t>
      </w:r>
      <w:r>
        <w:rPr>
          <w:rFonts w:ascii="Times New Roman" w:hAnsi="Times New Roman" w:cs="Times New Roman"/>
          <w:bCs/>
          <w:sz w:val="24"/>
          <w:szCs w:val="24"/>
        </w:rPr>
        <w:t xml:space="preserve"> </w:t>
      </w:r>
      <w:proofErr w:type="spellStart"/>
      <w:r w:rsidRPr="00D57634">
        <w:rPr>
          <w:rFonts w:ascii="Times New Roman" w:hAnsi="Times New Roman" w:cs="Times New Roman"/>
          <w:bCs/>
          <w:i/>
          <w:iCs/>
          <w:sz w:val="24"/>
          <w:szCs w:val="24"/>
        </w:rPr>
        <w:t>Lipaphis</w:t>
      </w:r>
      <w:proofErr w:type="spellEnd"/>
      <w:r w:rsidRPr="00D57634">
        <w:rPr>
          <w:rFonts w:ascii="Times New Roman" w:hAnsi="Times New Roman" w:cs="Times New Roman"/>
          <w:bCs/>
          <w:i/>
          <w:iCs/>
          <w:sz w:val="24"/>
          <w:szCs w:val="24"/>
        </w:rPr>
        <w:t xml:space="preserve"> </w:t>
      </w:r>
      <w:proofErr w:type="spellStart"/>
      <w:r w:rsidRPr="00D57634">
        <w:rPr>
          <w:rFonts w:ascii="Times New Roman" w:hAnsi="Times New Roman" w:cs="Times New Roman"/>
          <w:bCs/>
          <w:i/>
          <w:iCs/>
          <w:sz w:val="24"/>
          <w:szCs w:val="24"/>
        </w:rPr>
        <w:t>erysimi</w:t>
      </w:r>
      <w:proofErr w:type="spellEnd"/>
      <w:r>
        <w:rPr>
          <w:rFonts w:ascii="Times New Roman" w:hAnsi="Times New Roman" w:cs="Times New Roman"/>
          <w:bCs/>
          <w:sz w:val="24"/>
          <w:szCs w:val="24"/>
        </w:rPr>
        <w:t xml:space="preserve"> </w:t>
      </w:r>
      <w:r w:rsidRPr="00AD30F0">
        <w:rPr>
          <w:rFonts w:ascii="Times New Roman" w:hAnsi="Times New Roman" w:cs="Times New Roman"/>
          <w:bCs/>
          <w:sz w:val="24"/>
          <w:szCs w:val="24"/>
        </w:rPr>
        <w:t>(</w:t>
      </w:r>
      <w:proofErr w:type="spellStart"/>
      <w:r w:rsidRPr="00AD30F0">
        <w:rPr>
          <w:rFonts w:ascii="Times New Roman" w:hAnsi="Times New Roman" w:cs="Times New Roman"/>
          <w:bCs/>
          <w:sz w:val="24"/>
          <w:szCs w:val="24"/>
        </w:rPr>
        <w:t>Kalt</w:t>
      </w:r>
      <w:proofErr w:type="spellEnd"/>
      <w:r w:rsidRPr="00AD30F0">
        <w:rPr>
          <w:rFonts w:ascii="Times New Roman" w:hAnsi="Times New Roman" w:cs="Times New Roman"/>
          <w:bCs/>
          <w:sz w:val="24"/>
          <w:szCs w:val="24"/>
        </w:rPr>
        <w:t>).</w:t>
      </w:r>
      <w:r>
        <w:rPr>
          <w:rFonts w:ascii="Times New Roman" w:hAnsi="Times New Roman" w:cs="Times New Roman"/>
          <w:bCs/>
          <w:sz w:val="24"/>
          <w:szCs w:val="24"/>
        </w:rPr>
        <w:t xml:space="preserve"> </w:t>
      </w:r>
      <w:r w:rsidRPr="00D57634">
        <w:rPr>
          <w:rFonts w:ascii="Times New Roman" w:hAnsi="Times New Roman" w:cs="Times New Roman"/>
          <w:bCs/>
          <w:i/>
          <w:iCs/>
          <w:sz w:val="24"/>
          <w:szCs w:val="24"/>
        </w:rPr>
        <w:t>The Bioscan</w:t>
      </w:r>
      <w:r w:rsidRPr="00AD30F0">
        <w:rPr>
          <w:rFonts w:ascii="Times New Roman" w:hAnsi="Times New Roman" w:cs="Times New Roman"/>
          <w:bCs/>
          <w:sz w:val="24"/>
          <w:szCs w:val="24"/>
        </w:rPr>
        <w:t>,</w:t>
      </w:r>
      <w:r>
        <w:rPr>
          <w:rFonts w:ascii="Times New Roman" w:hAnsi="Times New Roman" w:cs="Times New Roman"/>
          <w:bCs/>
          <w:sz w:val="24"/>
          <w:szCs w:val="24"/>
        </w:rPr>
        <w:t xml:space="preserve"> </w:t>
      </w:r>
      <w:r w:rsidRPr="00AD30F0">
        <w:rPr>
          <w:rFonts w:ascii="Times New Roman" w:hAnsi="Times New Roman" w:cs="Times New Roman"/>
          <w:bCs/>
          <w:sz w:val="24"/>
          <w:szCs w:val="24"/>
        </w:rPr>
        <w:t>8(3): 747-750.</w:t>
      </w:r>
    </w:p>
    <w:p w14:paraId="2D9049EB" w14:textId="77777777" w:rsidR="00EC6FF5" w:rsidRPr="00AD30F0"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color w:val="000000"/>
          <w:sz w:val="24"/>
          <w:szCs w:val="24"/>
        </w:rPr>
        <w:t xml:space="preserve">Meena, K., Singh, R.K., Meena, R. N., Aakash, Meena, R., </w:t>
      </w:r>
      <w:proofErr w:type="spellStart"/>
      <w:r w:rsidRPr="00AD30F0">
        <w:rPr>
          <w:rFonts w:ascii="Times New Roman" w:hAnsi="Times New Roman" w:cs="Times New Roman"/>
          <w:color w:val="000000"/>
          <w:sz w:val="24"/>
          <w:szCs w:val="24"/>
        </w:rPr>
        <w:t>Bhayal</w:t>
      </w:r>
      <w:proofErr w:type="spellEnd"/>
      <w:r w:rsidRPr="00AD30F0">
        <w:rPr>
          <w:rFonts w:ascii="Times New Roman" w:hAnsi="Times New Roman" w:cs="Times New Roman"/>
          <w:color w:val="000000"/>
          <w:sz w:val="24"/>
          <w:szCs w:val="24"/>
        </w:rPr>
        <w:t xml:space="preserve"> L., Kumar, A., and Meena B.L., 2022. Effect of Irrigation Schedules and Cow Urine Spray on </w:t>
      </w:r>
      <w:r w:rsidRPr="004A175B">
        <w:rPr>
          <w:rFonts w:ascii="Times New Roman" w:hAnsi="Times New Roman" w:cs="Times New Roman"/>
          <w:i/>
          <w:iCs/>
          <w:color w:val="000000"/>
          <w:sz w:val="24"/>
          <w:szCs w:val="24"/>
        </w:rPr>
        <w:t xml:space="preserve">Phalaris </w:t>
      </w:r>
      <w:r w:rsidRPr="004A175B">
        <w:rPr>
          <w:rFonts w:ascii="Times New Roman" w:hAnsi="Times New Roman" w:cs="Times New Roman"/>
          <w:i/>
          <w:iCs/>
          <w:color w:val="000000"/>
          <w:sz w:val="24"/>
          <w:szCs w:val="24"/>
        </w:rPr>
        <w:lastRenderedPageBreak/>
        <w:t>minor</w:t>
      </w:r>
      <w:r w:rsidRPr="00AD30F0">
        <w:rPr>
          <w:rFonts w:ascii="Times New Roman" w:hAnsi="Times New Roman" w:cs="Times New Roman"/>
          <w:color w:val="000000"/>
          <w:sz w:val="24"/>
          <w:szCs w:val="24"/>
        </w:rPr>
        <w:t xml:space="preserve"> and Growth of Wheat (</w:t>
      </w:r>
      <w:r w:rsidRPr="00AD30F0">
        <w:rPr>
          <w:rFonts w:ascii="Times New Roman" w:hAnsi="Times New Roman" w:cs="Times New Roman"/>
          <w:i/>
          <w:iCs/>
          <w:color w:val="000000"/>
          <w:sz w:val="24"/>
          <w:szCs w:val="24"/>
        </w:rPr>
        <w:t>Triticum aestivum</w:t>
      </w:r>
      <w:r w:rsidRPr="00AD30F0">
        <w:rPr>
          <w:rFonts w:ascii="Times New Roman" w:hAnsi="Times New Roman" w:cs="Times New Roman"/>
          <w:color w:val="000000"/>
          <w:sz w:val="24"/>
          <w:szCs w:val="24"/>
        </w:rPr>
        <w:t xml:space="preserve"> L.), </w:t>
      </w:r>
      <w:r w:rsidRPr="00D57634">
        <w:rPr>
          <w:rFonts w:ascii="Times New Roman" w:hAnsi="Times New Roman" w:cs="Times New Roman"/>
          <w:i/>
          <w:iCs/>
          <w:color w:val="000000"/>
          <w:sz w:val="24"/>
          <w:szCs w:val="24"/>
        </w:rPr>
        <w:t>Frontier in Crop Improvement</w:t>
      </w:r>
      <w:r w:rsidRPr="00AD30F0">
        <w:rPr>
          <w:rFonts w:ascii="Times New Roman" w:hAnsi="Times New Roman" w:cs="Times New Roman"/>
          <w:color w:val="000000"/>
          <w:sz w:val="24"/>
          <w:szCs w:val="24"/>
        </w:rPr>
        <w:t>, Vol.10:1232-1236.</w:t>
      </w:r>
    </w:p>
    <w:p w14:paraId="137083EE" w14:textId="249BCA84"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bCs/>
          <w:sz w:val="24"/>
          <w:szCs w:val="24"/>
        </w:rPr>
        <w:t>Pradhan, S., Bohra, J.S., Bahadur, S., Singh, M.K. and Ram, L. (2016). Effect of fertility levels and cow urine application</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on</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the</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growth</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and</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uptake</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nutrients</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of</w:t>
      </w:r>
      <w:r w:rsidR="00D32AA8">
        <w:rPr>
          <w:rFonts w:ascii="Times New Roman" w:hAnsi="Times New Roman" w:cs="Times New Roman"/>
          <w:bCs/>
          <w:sz w:val="24"/>
          <w:szCs w:val="24"/>
        </w:rPr>
        <w:t xml:space="preserve"> </w:t>
      </w:r>
      <w:r w:rsidRPr="00AD30F0">
        <w:rPr>
          <w:rFonts w:ascii="Times New Roman" w:hAnsi="Times New Roman" w:cs="Times New Roman"/>
          <w:bCs/>
          <w:sz w:val="24"/>
          <w:szCs w:val="24"/>
        </w:rPr>
        <w:t>Indian mustard [</w:t>
      </w:r>
      <w:r w:rsidRPr="00AD30F0">
        <w:rPr>
          <w:rFonts w:ascii="Times New Roman" w:hAnsi="Times New Roman" w:cs="Times New Roman"/>
          <w:bCs/>
          <w:i/>
          <w:iCs/>
          <w:sz w:val="24"/>
          <w:szCs w:val="24"/>
        </w:rPr>
        <w:t>Brassica juncea</w:t>
      </w:r>
      <w:r w:rsidRPr="00AD30F0">
        <w:rPr>
          <w:rFonts w:ascii="Times New Roman" w:hAnsi="Times New Roman" w:cs="Times New Roman"/>
          <w:bCs/>
          <w:sz w:val="24"/>
          <w:szCs w:val="24"/>
        </w:rPr>
        <w:t xml:space="preserve"> (</w:t>
      </w:r>
      <w:r w:rsidRPr="00AD30F0">
        <w:rPr>
          <w:rFonts w:ascii="Times New Roman" w:hAnsi="Times New Roman" w:cs="Times New Roman"/>
          <w:bCs/>
          <w:i/>
          <w:iCs/>
          <w:sz w:val="24"/>
          <w:szCs w:val="24"/>
        </w:rPr>
        <w:t>L.)</w:t>
      </w:r>
      <w:proofErr w:type="spellStart"/>
      <w:r w:rsidRPr="00AD30F0">
        <w:rPr>
          <w:rFonts w:ascii="Times New Roman" w:hAnsi="Times New Roman" w:cs="Times New Roman"/>
          <w:bCs/>
          <w:sz w:val="24"/>
          <w:szCs w:val="24"/>
        </w:rPr>
        <w:t>Czern</w:t>
      </w:r>
      <w:proofErr w:type="spellEnd"/>
      <w:r w:rsidRPr="00AD30F0">
        <w:rPr>
          <w:rFonts w:ascii="Times New Roman" w:hAnsi="Times New Roman" w:cs="Times New Roman"/>
          <w:bCs/>
          <w:sz w:val="24"/>
          <w:szCs w:val="24"/>
        </w:rPr>
        <w:t>. &amp; Coss]. Research onCrops,17(4):77-84.</w:t>
      </w:r>
    </w:p>
    <w:p w14:paraId="5E8206D8" w14:textId="77777777" w:rsidR="00EC6FF5" w:rsidRDefault="00EC6FF5" w:rsidP="00EC6FF5">
      <w:pPr>
        <w:pStyle w:val="ListParagraph"/>
        <w:numPr>
          <w:ilvl w:val="0"/>
          <w:numId w:val="4"/>
        </w:numPr>
        <w:spacing w:after="120" w:line="360" w:lineRule="auto"/>
        <w:jc w:val="both"/>
        <w:rPr>
          <w:rFonts w:ascii="Times New Roman" w:hAnsi="Times New Roman" w:cs="Times New Roman"/>
          <w:bCs/>
          <w:sz w:val="24"/>
          <w:szCs w:val="24"/>
        </w:rPr>
      </w:pPr>
      <w:r w:rsidRPr="00AD30F0">
        <w:rPr>
          <w:rFonts w:ascii="Times New Roman" w:hAnsi="Times New Roman" w:cs="Times New Roman"/>
          <w:bCs/>
          <w:sz w:val="24"/>
          <w:szCs w:val="24"/>
        </w:rPr>
        <w:t xml:space="preserve">Pande, S., Naik, M.R., and Naidu, S.M. (2015). Effect of Different Sources of Organic </w:t>
      </w:r>
      <w:proofErr w:type="spellStart"/>
      <w:r w:rsidRPr="00AD30F0">
        <w:rPr>
          <w:rFonts w:ascii="Times New Roman" w:hAnsi="Times New Roman" w:cs="Times New Roman"/>
          <w:bCs/>
          <w:sz w:val="24"/>
          <w:szCs w:val="24"/>
        </w:rPr>
        <w:t>Manuries</w:t>
      </w:r>
      <w:proofErr w:type="spellEnd"/>
      <w:r w:rsidRPr="00AD30F0">
        <w:rPr>
          <w:rFonts w:ascii="Times New Roman" w:hAnsi="Times New Roman" w:cs="Times New Roman"/>
          <w:bCs/>
          <w:sz w:val="24"/>
          <w:szCs w:val="24"/>
        </w:rPr>
        <w:t xml:space="preserve"> on Sweet Corn (</w:t>
      </w:r>
      <w:proofErr w:type="spellStart"/>
      <w:r w:rsidRPr="00AD30F0">
        <w:rPr>
          <w:rFonts w:ascii="Times New Roman" w:hAnsi="Times New Roman" w:cs="Times New Roman"/>
          <w:bCs/>
          <w:i/>
          <w:iCs/>
          <w:sz w:val="24"/>
          <w:szCs w:val="24"/>
        </w:rPr>
        <w:t>Zea</w:t>
      </w:r>
      <w:proofErr w:type="spellEnd"/>
      <w:r w:rsidRPr="00AD30F0">
        <w:rPr>
          <w:rFonts w:ascii="Times New Roman" w:hAnsi="Times New Roman" w:cs="Times New Roman"/>
          <w:bCs/>
          <w:i/>
          <w:iCs/>
          <w:sz w:val="24"/>
          <w:szCs w:val="24"/>
        </w:rPr>
        <w:t xml:space="preserve"> mays </w:t>
      </w:r>
      <w:proofErr w:type="spellStart"/>
      <w:r w:rsidRPr="00AD30F0">
        <w:rPr>
          <w:rFonts w:ascii="Times New Roman" w:hAnsi="Times New Roman" w:cs="Times New Roman"/>
          <w:bCs/>
          <w:i/>
          <w:iCs/>
          <w:sz w:val="24"/>
          <w:szCs w:val="24"/>
        </w:rPr>
        <w:t>Saccharata</w:t>
      </w:r>
      <w:proofErr w:type="spellEnd"/>
      <w:r w:rsidRPr="00AD30F0">
        <w:rPr>
          <w:rFonts w:ascii="Times New Roman" w:hAnsi="Times New Roman" w:cs="Times New Roman"/>
          <w:bCs/>
          <w:sz w:val="24"/>
          <w:szCs w:val="24"/>
        </w:rPr>
        <w:t>).Environment and Ecology, 33(2A),810-813</w:t>
      </w:r>
    </w:p>
    <w:p w14:paraId="3D4D6DF3" w14:textId="77777777" w:rsidR="00EC6FF5" w:rsidRPr="00AD30F0" w:rsidRDefault="00EC6FF5" w:rsidP="00EC6FF5">
      <w:pPr>
        <w:pStyle w:val="ListParagraph"/>
        <w:numPr>
          <w:ilvl w:val="0"/>
          <w:numId w:val="4"/>
        </w:numPr>
        <w:spacing w:after="120" w:line="360" w:lineRule="auto"/>
        <w:jc w:val="both"/>
        <w:rPr>
          <w:rFonts w:ascii="Times New Roman" w:hAnsi="Times New Roman" w:cs="Times New Roman"/>
          <w:bCs/>
          <w:sz w:val="24"/>
          <w:szCs w:val="24"/>
        </w:rPr>
      </w:pPr>
      <w:proofErr w:type="spellStart"/>
      <w:r w:rsidRPr="00AD30F0">
        <w:rPr>
          <w:rFonts w:ascii="Times New Roman" w:hAnsi="Times New Roman" w:cs="Times New Roman"/>
          <w:bCs/>
          <w:sz w:val="24"/>
          <w:szCs w:val="24"/>
        </w:rPr>
        <w:t>Yashona</w:t>
      </w:r>
      <w:proofErr w:type="spellEnd"/>
      <w:r w:rsidRPr="00AD30F0">
        <w:rPr>
          <w:rFonts w:ascii="Times New Roman" w:hAnsi="Times New Roman" w:cs="Times New Roman"/>
          <w:bCs/>
          <w:sz w:val="24"/>
          <w:szCs w:val="24"/>
        </w:rPr>
        <w:t xml:space="preserve">, D. S., Mishra, U. S., Aher, S. B., </w:t>
      </w:r>
      <w:proofErr w:type="spellStart"/>
      <w:r w:rsidRPr="00AD30F0">
        <w:rPr>
          <w:rFonts w:ascii="Times New Roman" w:hAnsi="Times New Roman" w:cs="Times New Roman"/>
          <w:bCs/>
          <w:sz w:val="24"/>
          <w:szCs w:val="24"/>
        </w:rPr>
        <w:t>Sirothia</w:t>
      </w:r>
      <w:proofErr w:type="spellEnd"/>
      <w:r w:rsidRPr="00AD30F0">
        <w:rPr>
          <w:rFonts w:ascii="Times New Roman" w:hAnsi="Times New Roman" w:cs="Times New Roman"/>
          <w:bCs/>
          <w:sz w:val="24"/>
          <w:szCs w:val="24"/>
        </w:rPr>
        <w:t>, P., &amp; Mishra, S. P. (2020). Nutrient uptake, zinc use efficiency and yield of pigeon pea as influenced by various modes of zinc application under rainfed condition. </w:t>
      </w:r>
      <w:r w:rsidRPr="00AD30F0">
        <w:rPr>
          <w:rFonts w:ascii="Times New Roman" w:hAnsi="Times New Roman" w:cs="Times New Roman"/>
          <w:bCs/>
          <w:i/>
          <w:iCs/>
          <w:sz w:val="24"/>
          <w:szCs w:val="24"/>
        </w:rPr>
        <w:t>Journal of Food Legumes</w:t>
      </w:r>
      <w:r w:rsidRPr="00AD30F0">
        <w:rPr>
          <w:rFonts w:ascii="Times New Roman" w:hAnsi="Times New Roman" w:cs="Times New Roman"/>
          <w:bCs/>
          <w:sz w:val="24"/>
          <w:szCs w:val="24"/>
        </w:rPr>
        <w:t>, </w:t>
      </w:r>
      <w:r w:rsidRPr="00AD30F0">
        <w:rPr>
          <w:rFonts w:ascii="Times New Roman" w:hAnsi="Times New Roman" w:cs="Times New Roman"/>
          <w:bCs/>
          <w:i/>
          <w:iCs/>
          <w:sz w:val="24"/>
          <w:szCs w:val="24"/>
        </w:rPr>
        <w:t>33</w:t>
      </w:r>
      <w:r w:rsidRPr="00AD30F0">
        <w:rPr>
          <w:rFonts w:ascii="Times New Roman" w:hAnsi="Times New Roman" w:cs="Times New Roman"/>
          <w:bCs/>
          <w:sz w:val="24"/>
          <w:szCs w:val="24"/>
        </w:rPr>
        <w:t xml:space="preserve">(3), 151-159. </w:t>
      </w:r>
    </w:p>
    <w:p w14:paraId="5E7FE92E" w14:textId="77777777" w:rsidR="00DA4AE9" w:rsidRDefault="00DA4AE9" w:rsidP="0006142C">
      <w:pPr>
        <w:spacing w:after="120" w:line="360" w:lineRule="auto"/>
        <w:jc w:val="both"/>
        <w:rPr>
          <w:rFonts w:ascii="Times New Roman" w:hAnsi="Times New Roman" w:cs="Times New Roman"/>
          <w:b/>
          <w:sz w:val="24"/>
          <w:szCs w:val="24"/>
        </w:rPr>
      </w:pPr>
    </w:p>
    <w:p w14:paraId="6C2164BF" w14:textId="77777777" w:rsidR="006F5810" w:rsidRDefault="006F5810" w:rsidP="006F5810">
      <w:pPr>
        <w:pStyle w:val="Default"/>
        <w:spacing w:after="120" w:line="360" w:lineRule="auto"/>
        <w:jc w:val="both"/>
        <w:rPr>
          <w:color w:val="auto"/>
        </w:rPr>
      </w:pPr>
    </w:p>
    <w:p w14:paraId="5822E7D3" w14:textId="77777777" w:rsidR="00B24FC4" w:rsidRDefault="00B24FC4" w:rsidP="006F5810">
      <w:pPr>
        <w:pStyle w:val="Default"/>
        <w:spacing w:after="120" w:line="360" w:lineRule="auto"/>
        <w:jc w:val="both"/>
        <w:rPr>
          <w:color w:val="auto"/>
        </w:rPr>
      </w:pPr>
    </w:p>
    <w:p w14:paraId="4E246DFB" w14:textId="77777777" w:rsidR="00B24FC4" w:rsidRDefault="00B24FC4" w:rsidP="006F5810">
      <w:pPr>
        <w:pStyle w:val="Default"/>
        <w:spacing w:after="120" w:line="360" w:lineRule="auto"/>
        <w:jc w:val="both"/>
        <w:rPr>
          <w:color w:val="auto"/>
        </w:rPr>
      </w:pPr>
    </w:p>
    <w:p w14:paraId="669C1856" w14:textId="77777777" w:rsidR="00B24FC4" w:rsidRDefault="00B24FC4" w:rsidP="006F5810">
      <w:pPr>
        <w:pStyle w:val="Default"/>
        <w:spacing w:after="120" w:line="360" w:lineRule="auto"/>
        <w:jc w:val="both"/>
        <w:rPr>
          <w:color w:val="auto"/>
        </w:rPr>
      </w:pPr>
    </w:p>
    <w:sectPr w:rsidR="00B24FC4" w:rsidSect="005A14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2C94" w14:textId="77777777" w:rsidR="000412D4" w:rsidRDefault="000412D4" w:rsidP="005203A6">
      <w:pPr>
        <w:spacing w:after="0" w:line="240" w:lineRule="auto"/>
      </w:pPr>
      <w:r>
        <w:separator/>
      </w:r>
    </w:p>
  </w:endnote>
  <w:endnote w:type="continuationSeparator" w:id="0">
    <w:p w14:paraId="2F683F16" w14:textId="77777777" w:rsidR="000412D4" w:rsidRDefault="000412D4" w:rsidP="0052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B96A" w14:textId="77777777" w:rsidR="005203A6" w:rsidRDefault="0052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E9D3" w14:textId="77777777" w:rsidR="005203A6" w:rsidRDefault="00520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FCAA" w14:textId="77777777" w:rsidR="005203A6" w:rsidRDefault="0052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60C9" w14:textId="77777777" w:rsidR="000412D4" w:rsidRDefault="000412D4" w:rsidP="005203A6">
      <w:pPr>
        <w:spacing w:after="0" w:line="240" w:lineRule="auto"/>
      </w:pPr>
      <w:r>
        <w:separator/>
      </w:r>
    </w:p>
  </w:footnote>
  <w:footnote w:type="continuationSeparator" w:id="0">
    <w:p w14:paraId="39FD2E25" w14:textId="77777777" w:rsidR="000412D4" w:rsidRDefault="000412D4" w:rsidP="0052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7BD5" w14:textId="05F826E1" w:rsidR="005203A6" w:rsidRDefault="005203A6">
    <w:pPr>
      <w:pStyle w:val="Header"/>
    </w:pPr>
    <w:r>
      <w:rPr>
        <w:noProof/>
      </w:rPr>
      <w:pict w14:anchorId="6EBA8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F475" w14:textId="0079A44C" w:rsidR="005203A6" w:rsidRDefault="005203A6">
    <w:pPr>
      <w:pStyle w:val="Header"/>
    </w:pPr>
    <w:r>
      <w:rPr>
        <w:noProof/>
      </w:rPr>
      <w:pict w14:anchorId="35F12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E991" w14:textId="2219813E" w:rsidR="005203A6" w:rsidRDefault="005203A6">
    <w:pPr>
      <w:pStyle w:val="Header"/>
    </w:pPr>
    <w:r>
      <w:rPr>
        <w:noProof/>
      </w:rPr>
      <w:pict w14:anchorId="287B6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340E5"/>
    <w:multiLevelType w:val="hybridMultilevel"/>
    <w:tmpl w:val="BA8C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C2E1E"/>
    <w:multiLevelType w:val="hybridMultilevel"/>
    <w:tmpl w:val="797026FA"/>
    <w:lvl w:ilvl="0" w:tplc="AB00933C">
      <w:start w:val="1"/>
      <w:numFmt w:val="decimal"/>
      <w:lvlText w:val="%1."/>
      <w:lvlJc w:val="left"/>
      <w:pPr>
        <w:ind w:left="404" w:hanging="360"/>
      </w:pPr>
      <w:rPr>
        <w:rFonts w:ascii="Arial MT" w:eastAsia="Arial MT" w:hAnsi="Arial MT" w:cs="Arial MT" w:hint="default"/>
        <w:b w:val="0"/>
        <w:bCs w:val="0"/>
        <w:i w:val="0"/>
        <w:iCs w:val="0"/>
        <w:color w:val="1E1916"/>
        <w:spacing w:val="0"/>
        <w:w w:val="100"/>
        <w:sz w:val="17"/>
        <w:szCs w:val="17"/>
        <w:lang w:val="en-US" w:eastAsia="en-US" w:bidi="ar-SA"/>
      </w:rPr>
    </w:lvl>
    <w:lvl w:ilvl="1" w:tplc="EC96EDD0">
      <w:numFmt w:val="bullet"/>
      <w:lvlText w:val="•"/>
      <w:lvlJc w:val="left"/>
      <w:pPr>
        <w:ind w:left="850" w:hanging="360"/>
      </w:pPr>
      <w:rPr>
        <w:rFonts w:hint="default"/>
        <w:lang w:val="en-US" w:eastAsia="en-US" w:bidi="ar-SA"/>
      </w:rPr>
    </w:lvl>
    <w:lvl w:ilvl="2" w:tplc="CD0CDEFA">
      <w:numFmt w:val="bullet"/>
      <w:lvlText w:val="•"/>
      <w:lvlJc w:val="left"/>
      <w:pPr>
        <w:ind w:left="1300" w:hanging="360"/>
      </w:pPr>
      <w:rPr>
        <w:rFonts w:hint="default"/>
        <w:lang w:val="en-US" w:eastAsia="en-US" w:bidi="ar-SA"/>
      </w:rPr>
    </w:lvl>
    <w:lvl w:ilvl="3" w:tplc="D9762224">
      <w:numFmt w:val="bullet"/>
      <w:lvlText w:val="•"/>
      <w:lvlJc w:val="left"/>
      <w:pPr>
        <w:ind w:left="1751" w:hanging="360"/>
      </w:pPr>
      <w:rPr>
        <w:rFonts w:hint="default"/>
        <w:lang w:val="en-US" w:eastAsia="en-US" w:bidi="ar-SA"/>
      </w:rPr>
    </w:lvl>
    <w:lvl w:ilvl="4" w:tplc="442CA1E4">
      <w:numFmt w:val="bullet"/>
      <w:lvlText w:val="•"/>
      <w:lvlJc w:val="left"/>
      <w:pPr>
        <w:ind w:left="2201" w:hanging="360"/>
      </w:pPr>
      <w:rPr>
        <w:rFonts w:hint="default"/>
        <w:lang w:val="en-US" w:eastAsia="en-US" w:bidi="ar-SA"/>
      </w:rPr>
    </w:lvl>
    <w:lvl w:ilvl="5" w:tplc="1FCE8FDC">
      <w:numFmt w:val="bullet"/>
      <w:lvlText w:val="•"/>
      <w:lvlJc w:val="left"/>
      <w:pPr>
        <w:ind w:left="2652" w:hanging="360"/>
      </w:pPr>
      <w:rPr>
        <w:rFonts w:hint="default"/>
        <w:lang w:val="en-US" w:eastAsia="en-US" w:bidi="ar-SA"/>
      </w:rPr>
    </w:lvl>
    <w:lvl w:ilvl="6" w:tplc="6EAE911E">
      <w:numFmt w:val="bullet"/>
      <w:lvlText w:val="•"/>
      <w:lvlJc w:val="left"/>
      <w:pPr>
        <w:ind w:left="3102" w:hanging="360"/>
      </w:pPr>
      <w:rPr>
        <w:rFonts w:hint="default"/>
        <w:lang w:val="en-US" w:eastAsia="en-US" w:bidi="ar-SA"/>
      </w:rPr>
    </w:lvl>
    <w:lvl w:ilvl="7" w:tplc="CBCCD0EC">
      <w:numFmt w:val="bullet"/>
      <w:lvlText w:val="•"/>
      <w:lvlJc w:val="left"/>
      <w:pPr>
        <w:ind w:left="3552" w:hanging="360"/>
      </w:pPr>
      <w:rPr>
        <w:rFonts w:hint="default"/>
        <w:lang w:val="en-US" w:eastAsia="en-US" w:bidi="ar-SA"/>
      </w:rPr>
    </w:lvl>
    <w:lvl w:ilvl="8" w:tplc="85BAB4E8">
      <w:numFmt w:val="bullet"/>
      <w:lvlText w:val="•"/>
      <w:lvlJc w:val="left"/>
      <w:pPr>
        <w:ind w:left="4003" w:hanging="360"/>
      </w:pPr>
      <w:rPr>
        <w:rFonts w:hint="default"/>
        <w:lang w:val="en-US" w:eastAsia="en-US" w:bidi="ar-SA"/>
      </w:rPr>
    </w:lvl>
  </w:abstractNum>
  <w:abstractNum w:abstractNumId="2" w15:restartNumberingAfterBreak="0">
    <w:nsid w:val="52A66652"/>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805EE"/>
    <w:multiLevelType w:val="multilevel"/>
    <w:tmpl w:val="43D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C4149"/>
    <w:multiLevelType w:val="multilevel"/>
    <w:tmpl w:val="953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D2CDB"/>
    <w:multiLevelType w:val="hybridMultilevel"/>
    <w:tmpl w:val="EF3E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1NDE2sDAwMTM2srBQ0lEKTi0uzszPAykwrAUA6PDjMCwAAAA="/>
  </w:docVars>
  <w:rsids>
    <w:rsidRoot w:val="0032423A"/>
    <w:rsid w:val="000412D4"/>
    <w:rsid w:val="000517DD"/>
    <w:rsid w:val="000545A0"/>
    <w:rsid w:val="00055AE6"/>
    <w:rsid w:val="0006142C"/>
    <w:rsid w:val="00086927"/>
    <w:rsid w:val="000952C9"/>
    <w:rsid w:val="000A4B9F"/>
    <w:rsid w:val="000E0E42"/>
    <w:rsid w:val="000E1130"/>
    <w:rsid w:val="000E1A3D"/>
    <w:rsid w:val="000F0DD2"/>
    <w:rsid w:val="001057A2"/>
    <w:rsid w:val="00135017"/>
    <w:rsid w:val="00136A2D"/>
    <w:rsid w:val="00146B96"/>
    <w:rsid w:val="00147976"/>
    <w:rsid w:val="00161ACA"/>
    <w:rsid w:val="00161EB0"/>
    <w:rsid w:val="00190406"/>
    <w:rsid w:val="001A156C"/>
    <w:rsid w:val="001A4A7A"/>
    <w:rsid w:val="001B2C11"/>
    <w:rsid w:val="00221D44"/>
    <w:rsid w:val="00230819"/>
    <w:rsid w:val="002331EF"/>
    <w:rsid w:val="00233EFE"/>
    <w:rsid w:val="00283969"/>
    <w:rsid w:val="002D59D2"/>
    <w:rsid w:val="0031061C"/>
    <w:rsid w:val="00317416"/>
    <w:rsid w:val="0032423A"/>
    <w:rsid w:val="00341657"/>
    <w:rsid w:val="00390418"/>
    <w:rsid w:val="003A655C"/>
    <w:rsid w:val="004339D3"/>
    <w:rsid w:val="0046653F"/>
    <w:rsid w:val="00477576"/>
    <w:rsid w:val="004868DC"/>
    <w:rsid w:val="0049110B"/>
    <w:rsid w:val="004B0081"/>
    <w:rsid w:val="004B2E0D"/>
    <w:rsid w:val="004C7305"/>
    <w:rsid w:val="004E7583"/>
    <w:rsid w:val="00511B5F"/>
    <w:rsid w:val="005203A6"/>
    <w:rsid w:val="005307B8"/>
    <w:rsid w:val="00550716"/>
    <w:rsid w:val="0055150F"/>
    <w:rsid w:val="00571C85"/>
    <w:rsid w:val="00573209"/>
    <w:rsid w:val="00594489"/>
    <w:rsid w:val="005A1481"/>
    <w:rsid w:val="005B698A"/>
    <w:rsid w:val="005C08BA"/>
    <w:rsid w:val="005C33B8"/>
    <w:rsid w:val="005C3FA2"/>
    <w:rsid w:val="005C7B0E"/>
    <w:rsid w:val="005E07A2"/>
    <w:rsid w:val="0067711F"/>
    <w:rsid w:val="006C3284"/>
    <w:rsid w:val="006F4AC4"/>
    <w:rsid w:val="006F5810"/>
    <w:rsid w:val="00700C0B"/>
    <w:rsid w:val="00701DE4"/>
    <w:rsid w:val="00703726"/>
    <w:rsid w:val="00705F0C"/>
    <w:rsid w:val="00707A50"/>
    <w:rsid w:val="00763FFB"/>
    <w:rsid w:val="007967D2"/>
    <w:rsid w:val="007B23EF"/>
    <w:rsid w:val="007B6EC6"/>
    <w:rsid w:val="007D19FF"/>
    <w:rsid w:val="007D5394"/>
    <w:rsid w:val="007E41C6"/>
    <w:rsid w:val="007E7BEE"/>
    <w:rsid w:val="00806D93"/>
    <w:rsid w:val="00844B6A"/>
    <w:rsid w:val="0084517D"/>
    <w:rsid w:val="008623F0"/>
    <w:rsid w:val="008860FE"/>
    <w:rsid w:val="008D143D"/>
    <w:rsid w:val="008E139E"/>
    <w:rsid w:val="008E67B5"/>
    <w:rsid w:val="008F68A5"/>
    <w:rsid w:val="00904403"/>
    <w:rsid w:val="0092359A"/>
    <w:rsid w:val="00942E71"/>
    <w:rsid w:val="00991861"/>
    <w:rsid w:val="009A7C3B"/>
    <w:rsid w:val="009B2707"/>
    <w:rsid w:val="009B72EF"/>
    <w:rsid w:val="009B78B0"/>
    <w:rsid w:val="009D1E3D"/>
    <w:rsid w:val="00A06084"/>
    <w:rsid w:val="00A20C09"/>
    <w:rsid w:val="00A56894"/>
    <w:rsid w:val="00AB737A"/>
    <w:rsid w:val="00AB7902"/>
    <w:rsid w:val="00AF3366"/>
    <w:rsid w:val="00B24FC4"/>
    <w:rsid w:val="00B43F58"/>
    <w:rsid w:val="00B65BCC"/>
    <w:rsid w:val="00B746B1"/>
    <w:rsid w:val="00BA2B5D"/>
    <w:rsid w:val="00BC080A"/>
    <w:rsid w:val="00BC0DB7"/>
    <w:rsid w:val="00BC6D4C"/>
    <w:rsid w:val="00BE247E"/>
    <w:rsid w:val="00C00648"/>
    <w:rsid w:val="00C261C8"/>
    <w:rsid w:val="00C954BA"/>
    <w:rsid w:val="00CC4EB9"/>
    <w:rsid w:val="00CD32AD"/>
    <w:rsid w:val="00CD5AE2"/>
    <w:rsid w:val="00CE0168"/>
    <w:rsid w:val="00D01DE4"/>
    <w:rsid w:val="00D230BD"/>
    <w:rsid w:val="00D32AA8"/>
    <w:rsid w:val="00D4179F"/>
    <w:rsid w:val="00D44B0C"/>
    <w:rsid w:val="00D934E7"/>
    <w:rsid w:val="00D96E9A"/>
    <w:rsid w:val="00DA4AE9"/>
    <w:rsid w:val="00DA5394"/>
    <w:rsid w:val="00DC38AC"/>
    <w:rsid w:val="00DD0BEC"/>
    <w:rsid w:val="00DF1094"/>
    <w:rsid w:val="00DF4706"/>
    <w:rsid w:val="00E37A23"/>
    <w:rsid w:val="00E37C80"/>
    <w:rsid w:val="00E677C3"/>
    <w:rsid w:val="00E8690B"/>
    <w:rsid w:val="00E924BC"/>
    <w:rsid w:val="00E94D28"/>
    <w:rsid w:val="00EB520E"/>
    <w:rsid w:val="00EC6FF5"/>
    <w:rsid w:val="00EF281F"/>
    <w:rsid w:val="00F048D0"/>
    <w:rsid w:val="00F17DBE"/>
    <w:rsid w:val="00F31A18"/>
    <w:rsid w:val="00F73958"/>
    <w:rsid w:val="00FC77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103FAA"/>
  <w15:docId w15:val="{B448A1C0-6B77-47AE-8CE4-08ED2A15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481"/>
  </w:style>
  <w:style w:type="paragraph" w:styleId="Heading1">
    <w:name w:val="heading 1"/>
    <w:basedOn w:val="Normal"/>
    <w:link w:val="Heading1Char"/>
    <w:uiPriority w:val="1"/>
    <w:qFormat/>
    <w:rsid w:val="00E37C80"/>
    <w:pPr>
      <w:widowControl w:val="0"/>
      <w:autoSpaceDE w:val="0"/>
      <w:autoSpaceDN w:val="0"/>
      <w:spacing w:before="149" w:after="0" w:line="240" w:lineRule="auto"/>
      <w:ind w:left="43"/>
      <w:outlineLvl w:val="0"/>
    </w:pPr>
    <w:rPr>
      <w:rFonts w:ascii="Arial" w:eastAsia="Arial" w:hAnsi="Arial" w:cs="Arial"/>
      <w:b/>
      <w:bCs/>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23A"/>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table" w:styleId="TableGrid">
    <w:name w:val="Table Grid"/>
    <w:basedOn w:val="TableNormal"/>
    <w:uiPriority w:val="39"/>
    <w:rsid w:val="0032423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37C80"/>
    <w:rPr>
      <w:rFonts w:ascii="Arial" w:eastAsia="Arial" w:hAnsi="Arial" w:cs="Arial"/>
      <w:b/>
      <w:bCs/>
      <w:sz w:val="21"/>
      <w:szCs w:val="21"/>
      <w:lang w:bidi="ar-SA"/>
    </w:rPr>
  </w:style>
  <w:style w:type="paragraph" w:styleId="BodyText">
    <w:name w:val="Body Text"/>
    <w:basedOn w:val="Normal"/>
    <w:link w:val="BodyTextChar"/>
    <w:uiPriority w:val="1"/>
    <w:qFormat/>
    <w:rsid w:val="00E37C80"/>
    <w:pPr>
      <w:widowControl w:val="0"/>
      <w:autoSpaceDE w:val="0"/>
      <w:autoSpaceDN w:val="0"/>
      <w:spacing w:after="0" w:line="240" w:lineRule="auto"/>
      <w:jc w:val="both"/>
    </w:pPr>
    <w:rPr>
      <w:rFonts w:ascii="Arial MT" w:eastAsia="Arial MT" w:hAnsi="Arial MT" w:cs="Arial MT"/>
      <w:sz w:val="19"/>
      <w:szCs w:val="19"/>
      <w:lang w:bidi="ar-SA"/>
    </w:rPr>
  </w:style>
  <w:style w:type="character" w:customStyle="1" w:styleId="BodyTextChar">
    <w:name w:val="Body Text Char"/>
    <w:basedOn w:val="DefaultParagraphFont"/>
    <w:link w:val="BodyText"/>
    <w:uiPriority w:val="1"/>
    <w:rsid w:val="00E37C80"/>
    <w:rPr>
      <w:rFonts w:ascii="Arial MT" w:eastAsia="Arial MT" w:hAnsi="Arial MT" w:cs="Arial MT"/>
      <w:sz w:val="19"/>
      <w:szCs w:val="19"/>
      <w:lang w:bidi="ar-SA"/>
    </w:rPr>
  </w:style>
  <w:style w:type="paragraph" w:styleId="NormalWeb">
    <w:name w:val="Normal (Web)"/>
    <w:basedOn w:val="Normal"/>
    <w:uiPriority w:val="99"/>
    <w:unhideWhenUsed/>
    <w:rsid w:val="00095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2C9"/>
    <w:rPr>
      <w:i/>
      <w:iCs/>
    </w:rPr>
  </w:style>
  <w:style w:type="paragraph" w:styleId="BalloonText">
    <w:name w:val="Balloon Text"/>
    <w:basedOn w:val="Normal"/>
    <w:link w:val="BalloonTextChar"/>
    <w:uiPriority w:val="99"/>
    <w:semiHidden/>
    <w:unhideWhenUsed/>
    <w:rsid w:val="00DD0BE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0BEC"/>
    <w:rPr>
      <w:rFonts w:ascii="Tahoma" w:hAnsi="Tahoma" w:cs="Mangal"/>
      <w:sz w:val="16"/>
      <w:szCs w:val="14"/>
    </w:rPr>
  </w:style>
  <w:style w:type="paragraph" w:styleId="ListParagraph">
    <w:name w:val="List Paragraph"/>
    <w:basedOn w:val="Normal"/>
    <w:uiPriority w:val="1"/>
    <w:qFormat/>
    <w:rsid w:val="00F17DBE"/>
    <w:pPr>
      <w:ind w:left="720"/>
      <w:contextualSpacing/>
    </w:pPr>
  </w:style>
  <w:style w:type="character" w:styleId="Strong">
    <w:name w:val="Strong"/>
    <w:basedOn w:val="DefaultParagraphFont"/>
    <w:uiPriority w:val="22"/>
    <w:qFormat/>
    <w:rsid w:val="007B23EF"/>
    <w:rPr>
      <w:b/>
      <w:bCs/>
    </w:rPr>
  </w:style>
  <w:style w:type="paragraph" w:styleId="BodyText2">
    <w:name w:val="Body Text 2"/>
    <w:basedOn w:val="Normal"/>
    <w:link w:val="BodyText2Char"/>
    <w:uiPriority w:val="99"/>
    <w:unhideWhenUsed/>
    <w:rsid w:val="007E7BE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E7BE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6B96"/>
    <w:rPr>
      <w:color w:val="0000FF" w:themeColor="hyperlink"/>
      <w:u w:val="single"/>
    </w:rPr>
  </w:style>
  <w:style w:type="character" w:customStyle="1" w:styleId="UnresolvedMention1">
    <w:name w:val="Unresolved Mention1"/>
    <w:basedOn w:val="DefaultParagraphFont"/>
    <w:uiPriority w:val="99"/>
    <w:semiHidden/>
    <w:unhideWhenUsed/>
    <w:rsid w:val="00146B96"/>
    <w:rPr>
      <w:color w:val="605E5C"/>
      <w:shd w:val="clear" w:color="auto" w:fill="E1DFDD"/>
    </w:rPr>
  </w:style>
  <w:style w:type="paragraph" w:styleId="Header">
    <w:name w:val="header"/>
    <w:basedOn w:val="Normal"/>
    <w:link w:val="HeaderChar"/>
    <w:uiPriority w:val="99"/>
    <w:unhideWhenUsed/>
    <w:rsid w:val="00520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A6"/>
  </w:style>
  <w:style w:type="paragraph" w:styleId="Footer">
    <w:name w:val="footer"/>
    <w:basedOn w:val="Normal"/>
    <w:link w:val="FooterChar"/>
    <w:uiPriority w:val="99"/>
    <w:unhideWhenUsed/>
    <w:rsid w:val="0052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6561">
      <w:bodyDiv w:val="1"/>
      <w:marLeft w:val="0"/>
      <w:marRight w:val="0"/>
      <w:marTop w:val="0"/>
      <w:marBottom w:val="0"/>
      <w:divBdr>
        <w:top w:val="none" w:sz="0" w:space="0" w:color="auto"/>
        <w:left w:val="none" w:sz="0" w:space="0" w:color="auto"/>
        <w:bottom w:val="none" w:sz="0" w:space="0" w:color="auto"/>
        <w:right w:val="none" w:sz="0" w:space="0" w:color="auto"/>
      </w:divBdr>
    </w:div>
    <w:div w:id="462381123">
      <w:bodyDiv w:val="1"/>
      <w:marLeft w:val="0"/>
      <w:marRight w:val="0"/>
      <w:marTop w:val="0"/>
      <w:marBottom w:val="0"/>
      <w:divBdr>
        <w:top w:val="none" w:sz="0" w:space="0" w:color="auto"/>
        <w:left w:val="none" w:sz="0" w:space="0" w:color="auto"/>
        <w:bottom w:val="none" w:sz="0" w:space="0" w:color="auto"/>
        <w:right w:val="none" w:sz="0" w:space="0" w:color="auto"/>
      </w:divBdr>
    </w:div>
    <w:div w:id="504438606">
      <w:bodyDiv w:val="1"/>
      <w:marLeft w:val="0"/>
      <w:marRight w:val="0"/>
      <w:marTop w:val="0"/>
      <w:marBottom w:val="0"/>
      <w:divBdr>
        <w:top w:val="none" w:sz="0" w:space="0" w:color="auto"/>
        <w:left w:val="none" w:sz="0" w:space="0" w:color="auto"/>
        <w:bottom w:val="none" w:sz="0" w:space="0" w:color="auto"/>
        <w:right w:val="none" w:sz="0" w:space="0" w:color="auto"/>
      </w:divBdr>
    </w:div>
    <w:div w:id="546333041">
      <w:bodyDiv w:val="1"/>
      <w:marLeft w:val="0"/>
      <w:marRight w:val="0"/>
      <w:marTop w:val="0"/>
      <w:marBottom w:val="0"/>
      <w:divBdr>
        <w:top w:val="none" w:sz="0" w:space="0" w:color="auto"/>
        <w:left w:val="none" w:sz="0" w:space="0" w:color="auto"/>
        <w:bottom w:val="none" w:sz="0" w:space="0" w:color="auto"/>
        <w:right w:val="none" w:sz="0" w:space="0" w:color="auto"/>
      </w:divBdr>
    </w:div>
    <w:div w:id="564147214">
      <w:bodyDiv w:val="1"/>
      <w:marLeft w:val="0"/>
      <w:marRight w:val="0"/>
      <w:marTop w:val="0"/>
      <w:marBottom w:val="0"/>
      <w:divBdr>
        <w:top w:val="none" w:sz="0" w:space="0" w:color="auto"/>
        <w:left w:val="none" w:sz="0" w:space="0" w:color="auto"/>
        <w:bottom w:val="none" w:sz="0" w:space="0" w:color="auto"/>
        <w:right w:val="none" w:sz="0" w:space="0" w:color="auto"/>
      </w:divBdr>
    </w:div>
    <w:div w:id="661087114">
      <w:bodyDiv w:val="1"/>
      <w:marLeft w:val="0"/>
      <w:marRight w:val="0"/>
      <w:marTop w:val="0"/>
      <w:marBottom w:val="0"/>
      <w:divBdr>
        <w:top w:val="none" w:sz="0" w:space="0" w:color="auto"/>
        <w:left w:val="none" w:sz="0" w:space="0" w:color="auto"/>
        <w:bottom w:val="none" w:sz="0" w:space="0" w:color="auto"/>
        <w:right w:val="none" w:sz="0" w:space="0" w:color="auto"/>
      </w:divBdr>
    </w:div>
    <w:div w:id="768506547">
      <w:bodyDiv w:val="1"/>
      <w:marLeft w:val="0"/>
      <w:marRight w:val="0"/>
      <w:marTop w:val="0"/>
      <w:marBottom w:val="0"/>
      <w:divBdr>
        <w:top w:val="none" w:sz="0" w:space="0" w:color="auto"/>
        <w:left w:val="none" w:sz="0" w:space="0" w:color="auto"/>
        <w:bottom w:val="none" w:sz="0" w:space="0" w:color="auto"/>
        <w:right w:val="none" w:sz="0" w:space="0" w:color="auto"/>
      </w:divBdr>
    </w:div>
    <w:div w:id="1219513423">
      <w:bodyDiv w:val="1"/>
      <w:marLeft w:val="0"/>
      <w:marRight w:val="0"/>
      <w:marTop w:val="0"/>
      <w:marBottom w:val="0"/>
      <w:divBdr>
        <w:top w:val="none" w:sz="0" w:space="0" w:color="auto"/>
        <w:left w:val="none" w:sz="0" w:space="0" w:color="auto"/>
        <w:bottom w:val="none" w:sz="0" w:space="0" w:color="auto"/>
        <w:right w:val="none" w:sz="0" w:space="0" w:color="auto"/>
      </w:divBdr>
    </w:div>
    <w:div w:id="1298953386">
      <w:bodyDiv w:val="1"/>
      <w:marLeft w:val="0"/>
      <w:marRight w:val="0"/>
      <w:marTop w:val="0"/>
      <w:marBottom w:val="0"/>
      <w:divBdr>
        <w:top w:val="none" w:sz="0" w:space="0" w:color="auto"/>
        <w:left w:val="none" w:sz="0" w:space="0" w:color="auto"/>
        <w:bottom w:val="none" w:sz="0" w:space="0" w:color="auto"/>
        <w:right w:val="none" w:sz="0" w:space="0" w:color="auto"/>
      </w:divBdr>
    </w:div>
    <w:div w:id="1603345209">
      <w:bodyDiv w:val="1"/>
      <w:marLeft w:val="0"/>
      <w:marRight w:val="0"/>
      <w:marTop w:val="0"/>
      <w:marBottom w:val="0"/>
      <w:divBdr>
        <w:top w:val="none" w:sz="0" w:space="0" w:color="auto"/>
        <w:left w:val="none" w:sz="0" w:space="0" w:color="auto"/>
        <w:bottom w:val="none" w:sz="0" w:space="0" w:color="auto"/>
        <w:right w:val="none" w:sz="0" w:space="0" w:color="auto"/>
      </w:divBdr>
    </w:div>
    <w:div w:id="18783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mlesh\Desktop\Paper%20under%20progress%20Paddy%20paper%202025\Thesis%20Paper\Vici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lesh\Desktop\Paper%20under%20progress%20Paddy%20paper%202025\Thesis%20Paper\Vici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Sheet1!$D$754:$D$756</c:f>
              <c:strCache>
                <c:ptCount val="1"/>
                <c:pt idx="0">
                  <c:v>Density of Cynodon dactylon  (No. m-² ) 30 DAS 2019-20</c:v>
                </c:pt>
              </c:strCache>
            </c:strRef>
          </c:tx>
          <c:cat>
            <c:strRef>
              <c:f>Sheet1!$C$757:$C$768</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Sheet1!$D$757:$D$768</c:f>
              <c:numCache>
                <c:formatCode>General</c:formatCode>
                <c:ptCount val="12"/>
                <c:pt idx="1">
                  <c:v>9.0300000000000011</c:v>
                </c:pt>
                <c:pt idx="2">
                  <c:v>8.7900000000000009</c:v>
                </c:pt>
                <c:pt idx="3">
                  <c:v>8.42</c:v>
                </c:pt>
                <c:pt idx="5">
                  <c:v>8.75</c:v>
                </c:pt>
                <c:pt idx="6">
                  <c:v>7.94</c:v>
                </c:pt>
                <c:pt idx="7">
                  <c:v>7.98</c:v>
                </c:pt>
                <c:pt idx="8">
                  <c:v>8.68</c:v>
                </c:pt>
                <c:pt idx="9">
                  <c:v>8.67</c:v>
                </c:pt>
                <c:pt idx="10">
                  <c:v>8.629999999999999</c:v>
                </c:pt>
                <c:pt idx="11">
                  <c:v>8.6</c:v>
                </c:pt>
              </c:numCache>
            </c:numRef>
          </c:val>
          <c:smooth val="0"/>
          <c:extLst>
            <c:ext xmlns:c16="http://schemas.microsoft.com/office/drawing/2014/chart" uri="{C3380CC4-5D6E-409C-BE32-E72D297353CC}">
              <c16:uniqueId val="{00000000-A7BF-400B-A218-221B61B1F4DF}"/>
            </c:ext>
          </c:extLst>
        </c:ser>
        <c:ser>
          <c:idx val="1"/>
          <c:order val="1"/>
          <c:tx>
            <c:strRef>
              <c:f>Sheet1!$E$754:$E$756</c:f>
              <c:strCache>
                <c:ptCount val="1"/>
                <c:pt idx="0">
                  <c:v>Density of Cynodon dactylon  (No. m-² ) 30 DAS 2020-21</c:v>
                </c:pt>
              </c:strCache>
            </c:strRef>
          </c:tx>
          <c:cat>
            <c:strRef>
              <c:f>Sheet1!$C$757:$C$768</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Sheet1!$E$757:$E$768</c:f>
              <c:numCache>
                <c:formatCode>General</c:formatCode>
                <c:ptCount val="12"/>
                <c:pt idx="1">
                  <c:v>10.27</c:v>
                </c:pt>
                <c:pt idx="2">
                  <c:v>11.02</c:v>
                </c:pt>
                <c:pt idx="3">
                  <c:v>11.09</c:v>
                </c:pt>
                <c:pt idx="5">
                  <c:v>10.43</c:v>
                </c:pt>
                <c:pt idx="6">
                  <c:v>9.8800000000000008</c:v>
                </c:pt>
                <c:pt idx="7">
                  <c:v>10.25</c:v>
                </c:pt>
                <c:pt idx="8">
                  <c:v>10.62</c:v>
                </c:pt>
                <c:pt idx="9">
                  <c:v>10.47</c:v>
                </c:pt>
                <c:pt idx="10">
                  <c:v>10.38</c:v>
                </c:pt>
                <c:pt idx="11">
                  <c:v>10.54</c:v>
                </c:pt>
              </c:numCache>
            </c:numRef>
          </c:val>
          <c:smooth val="0"/>
          <c:extLst>
            <c:ext xmlns:c16="http://schemas.microsoft.com/office/drawing/2014/chart" uri="{C3380CC4-5D6E-409C-BE32-E72D297353CC}">
              <c16:uniqueId val="{00000001-A7BF-400B-A218-221B61B1F4DF}"/>
            </c:ext>
          </c:extLst>
        </c:ser>
        <c:dLbls>
          <c:showLegendKey val="0"/>
          <c:showVal val="0"/>
          <c:showCatName val="0"/>
          <c:showSerName val="0"/>
          <c:showPercent val="0"/>
          <c:showBubbleSize val="0"/>
        </c:dLbls>
        <c:marker val="1"/>
        <c:smooth val="0"/>
        <c:axId val="98800384"/>
        <c:axId val="98833152"/>
      </c:lineChart>
      <c:catAx>
        <c:axId val="98800384"/>
        <c:scaling>
          <c:orientation val="minMax"/>
        </c:scaling>
        <c:delete val="0"/>
        <c:axPos val="b"/>
        <c:majorGridlines/>
        <c:minorGridlines/>
        <c:numFmt formatCode="General" sourceLinked="0"/>
        <c:majorTickMark val="none"/>
        <c:minorTickMark val="none"/>
        <c:tickLblPos val="nextTo"/>
        <c:crossAx val="98833152"/>
        <c:crosses val="autoZero"/>
        <c:auto val="1"/>
        <c:lblAlgn val="ctr"/>
        <c:lblOffset val="100"/>
        <c:noMultiLvlLbl val="0"/>
      </c:catAx>
      <c:valAx>
        <c:axId val="98833152"/>
        <c:scaling>
          <c:orientation val="minMax"/>
        </c:scaling>
        <c:delete val="0"/>
        <c:axPos val="l"/>
        <c:min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Density of </a:t>
                </a:r>
                <a:r>
                  <a:rPr lang="en-US" sz="1200" i="1">
                    <a:latin typeface="Times New Roman" pitchFamily="18" charset="0"/>
                    <a:cs typeface="Times New Roman" pitchFamily="18" charset="0"/>
                  </a:rPr>
                  <a:t>Cynodon dyctylon</a:t>
                </a:r>
              </a:p>
            </c:rich>
          </c:tx>
          <c:overlay val="0"/>
        </c:title>
        <c:numFmt formatCode="General" sourceLinked="1"/>
        <c:majorTickMark val="none"/>
        <c:minorTickMark val="none"/>
        <c:tickLblPos val="nextTo"/>
        <c:spPr>
          <a:ln w="9525">
            <a:noFill/>
          </a:ln>
        </c:spPr>
        <c:crossAx val="98800384"/>
        <c:crosses val="autoZero"/>
        <c:crossBetween val="between"/>
      </c:valAx>
    </c:plotArea>
    <c:legend>
      <c:legendPos val="b"/>
      <c:legendEntry>
        <c:idx val="1"/>
        <c:txPr>
          <a:bodyPr/>
          <a:lstStyle/>
          <a:p>
            <a:pPr>
              <a:defRPr sz="1000">
                <a:latin typeface="Times New Roman" pitchFamily="18" charset="0"/>
                <a:cs typeface="Times New Roman" pitchFamily="18" charset="0"/>
              </a:defRPr>
            </a:pPr>
            <a:endParaRPr lang="en-US"/>
          </a:p>
        </c:txPr>
      </c:legendEntry>
      <c:overlay val="0"/>
      <c:txPr>
        <a:bodyPr/>
        <a:lstStyle/>
        <a:p>
          <a:pPr>
            <a:defRPr sz="1000"/>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Sheet1!$D$773:$D$775</c:f>
              <c:strCache>
                <c:ptCount val="1"/>
                <c:pt idx="0">
                  <c:v>Density of Cynodon dactylon  (No. m-² ) 60 DAS 2019-20</c:v>
                </c:pt>
              </c:strCache>
            </c:strRef>
          </c:tx>
          <c:spPr>
            <a:solidFill>
              <a:srgbClr val="002060"/>
            </a:solidFill>
          </c:spPr>
          <c:invertIfNegative val="0"/>
          <c:cat>
            <c:strRef>
              <c:f>Sheet1!$C$776:$C$787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Sheet1!$D$776:$D$787</c:f>
              <c:numCache>
                <c:formatCode>General</c:formatCode>
                <c:ptCount val="12"/>
                <c:pt idx="1">
                  <c:v>6.07</c:v>
                </c:pt>
                <c:pt idx="2">
                  <c:v>5.91</c:v>
                </c:pt>
                <c:pt idx="3">
                  <c:v>5.6599999999999975</c:v>
                </c:pt>
                <c:pt idx="5">
                  <c:v>5.22</c:v>
                </c:pt>
                <c:pt idx="6">
                  <c:v>5.34</c:v>
                </c:pt>
                <c:pt idx="7">
                  <c:v>5.3599999999999985</c:v>
                </c:pt>
                <c:pt idx="8">
                  <c:v>5.83</c:v>
                </c:pt>
                <c:pt idx="9">
                  <c:v>5.83</c:v>
                </c:pt>
                <c:pt idx="10">
                  <c:v>5.8</c:v>
                </c:pt>
                <c:pt idx="11">
                  <c:v>5.7700000000000014</c:v>
                </c:pt>
              </c:numCache>
            </c:numRef>
          </c:val>
          <c:extLst>
            <c:ext xmlns:c16="http://schemas.microsoft.com/office/drawing/2014/chart" uri="{C3380CC4-5D6E-409C-BE32-E72D297353CC}">
              <c16:uniqueId val="{00000000-6EB1-49DF-8988-AAE5DEE19CDA}"/>
            </c:ext>
          </c:extLst>
        </c:ser>
        <c:ser>
          <c:idx val="1"/>
          <c:order val="1"/>
          <c:tx>
            <c:strRef>
              <c:f>Sheet1!$E$773:$E$775</c:f>
              <c:strCache>
                <c:ptCount val="1"/>
                <c:pt idx="0">
                  <c:v>Density of Cynodon dactylon  (No. m-² ) 60 DAS 2020-21</c:v>
                </c:pt>
              </c:strCache>
            </c:strRef>
          </c:tx>
          <c:invertIfNegative val="0"/>
          <c:cat>
            <c:strRef>
              <c:f>Sheet1!$C$776:$C$787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Sheet1!$E$776:$E$787</c:f>
              <c:numCache>
                <c:formatCode>General</c:formatCode>
                <c:ptCount val="12"/>
                <c:pt idx="1">
                  <c:v>4.5999999999999996</c:v>
                </c:pt>
                <c:pt idx="2">
                  <c:v>5.0599999999999996</c:v>
                </c:pt>
                <c:pt idx="3">
                  <c:v>5.08</c:v>
                </c:pt>
                <c:pt idx="5">
                  <c:v>4.3899999999999997</c:v>
                </c:pt>
                <c:pt idx="6">
                  <c:v>4.17</c:v>
                </c:pt>
                <c:pt idx="7">
                  <c:v>4.29</c:v>
                </c:pt>
                <c:pt idx="8">
                  <c:v>4.4400000000000004</c:v>
                </c:pt>
                <c:pt idx="9">
                  <c:v>4.38</c:v>
                </c:pt>
                <c:pt idx="10">
                  <c:v>4.34</c:v>
                </c:pt>
                <c:pt idx="11">
                  <c:v>4.41</c:v>
                </c:pt>
              </c:numCache>
            </c:numRef>
          </c:val>
          <c:extLst>
            <c:ext xmlns:c16="http://schemas.microsoft.com/office/drawing/2014/chart" uri="{C3380CC4-5D6E-409C-BE32-E72D297353CC}">
              <c16:uniqueId val="{00000001-6EB1-49DF-8988-AAE5DEE19CDA}"/>
            </c:ext>
          </c:extLst>
        </c:ser>
        <c:dLbls>
          <c:showLegendKey val="0"/>
          <c:showVal val="0"/>
          <c:showCatName val="0"/>
          <c:showSerName val="0"/>
          <c:showPercent val="0"/>
          <c:showBubbleSize val="0"/>
        </c:dLbls>
        <c:gapWidth val="75"/>
        <c:axId val="101735424"/>
        <c:axId val="97440512"/>
      </c:barChart>
      <c:catAx>
        <c:axId val="101735424"/>
        <c:scaling>
          <c:orientation val="minMax"/>
        </c:scaling>
        <c:delete val="0"/>
        <c:axPos val="b"/>
        <c:majorGridlines/>
        <c:minorGridlines/>
        <c:numFmt formatCode="General" sourceLinked="0"/>
        <c:majorTickMark val="none"/>
        <c:minorTickMark val="none"/>
        <c:tickLblPos val="nextTo"/>
        <c:crossAx val="97440512"/>
        <c:crosses val="autoZero"/>
        <c:auto val="1"/>
        <c:lblAlgn val="ctr"/>
        <c:lblOffset val="100"/>
        <c:noMultiLvlLbl val="0"/>
      </c:catAx>
      <c:valAx>
        <c:axId val="97440512"/>
        <c:scaling>
          <c:orientation val="minMax"/>
        </c:scaling>
        <c:delete val="0"/>
        <c:axPos val="l"/>
        <c:majorGridlines/>
        <c:minorGridlines/>
        <c:title>
          <c:tx>
            <c:rich>
              <a:bodyPr rot="-5400000" vert="horz"/>
              <a:lstStyle/>
              <a:p>
                <a:pPr>
                  <a:defRPr/>
                </a:pPr>
                <a:r>
                  <a:rPr lang="en-US"/>
                  <a:t>Density of </a:t>
                </a:r>
                <a:r>
                  <a:rPr lang="en-US" i="1"/>
                  <a:t>Cynodon dactylon</a:t>
                </a:r>
              </a:p>
            </c:rich>
          </c:tx>
          <c:overlay val="0"/>
        </c:title>
        <c:numFmt formatCode="General" sourceLinked="1"/>
        <c:majorTickMark val="none"/>
        <c:minorTickMark val="none"/>
        <c:tickLblPos val="nextTo"/>
        <c:spPr>
          <a:ln w="9525">
            <a:noFill/>
          </a:ln>
        </c:spPr>
        <c:crossAx val="10173542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Sheet1!$D$793:$D$795</c:f>
              <c:strCache>
                <c:ptCount val="1"/>
                <c:pt idx="0">
                  <c:v>Density of Cynodon dactylon  (No. m-² ) 90 DAS 2019-20</c:v>
                </c:pt>
              </c:strCache>
            </c:strRef>
          </c:tx>
          <c:spPr>
            <a:solidFill>
              <a:srgbClr val="C00000"/>
            </a:solidFill>
          </c:spPr>
          <c:invertIfNegative val="0"/>
          <c:cat>
            <c:strRef>
              <c:f>Sheet1!$C$796:$C$807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Sheet1!$D$796:$D$807</c:f>
              <c:numCache>
                <c:formatCode>General</c:formatCode>
                <c:ptCount val="12"/>
                <c:pt idx="1">
                  <c:v>3.52</c:v>
                </c:pt>
                <c:pt idx="2">
                  <c:v>3.42</c:v>
                </c:pt>
                <c:pt idx="3">
                  <c:v>3.27</c:v>
                </c:pt>
                <c:pt idx="5">
                  <c:v>3.38</c:v>
                </c:pt>
                <c:pt idx="6">
                  <c:v>3.3099999999999987</c:v>
                </c:pt>
                <c:pt idx="7">
                  <c:v>3.3299999999999987</c:v>
                </c:pt>
                <c:pt idx="8">
                  <c:v>3.24</c:v>
                </c:pt>
                <c:pt idx="9">
                  <c:v>3.2</c:v>
                </c:pt>
                <c:pt idx="10">
                  <c:v>3.18</c:v>
                </c:pt>
                <c:pt idx="11">
                  <c:v>3.17</c:v>
                </c:pt>
              </c:numCache>
            </c:numRef>
          </c:val>
          <c:extLst>
            <c:ext xmlns:c16="http://schemas.microsoft.com/office/drawing/2014/chart" uri="{C3380CC4-5D6E-409C-BE32-E72D297353CC}">
              <c16:uniqueId val="{00000000-D649-42C1-BC1D-3906EDEB4BB7}"/>
            </c:ext>
          </c:extLst>
        </c:ser>
        <c:ser>
          <c:idx val="1"/>
          <c:order val="1"/>
          <c:tx>
            <c:strRef>
              <c:f>Sheet1!$E$793:$E$795</c:f>
              <c:strCache>
                <c:ptCount val="1"/>
                <c:pt idx="0">
                  <c:v>Density of Cynodon dactylon  (No. m-² ) 90 DAS 2020-21</c:v>
                </c:pt>
              </c:strCache>
            </c:strRef>
          </c:tx>
          <c:spPr>
            <a:solidFill>
              <a:schemeClr val="tx1"/>
            </a:solidFill>
          </c:spPr>
          <c:invertIfNegative val="0"/>
          <c:cat>
            <c:strRef>
              <c:f>Sheet1!$C$796:$C$807</c:f>
              <c:strCache>
                <c:ptCount val="12"/>
                <c:pt idx="0">
                  <c:v>I</c:v>
                </c:pt>
                <c:pt idx="1">
                  <c:v>I₁</c:v>
                </c:pt>
                <c:pt idx="2">
                  <c:v>I₂</c:v>
                </c:pt>
                <c:pt idx="3">
                  <c:v>I₃</c:v>
                </c:pt>
                <c:pt idx="4">
                  <c:v>UC</c:v>
                </c:pt>
                <c:pt idx="5">
                  <c:v>C₁</c:v>
                </c:pt>
                <c:pt idx="6">
                  <c:v>C₂</c:v>
                </c:pt>
                <c:pt idx="7">
                  <c:v>C₃</c:v>
                </c:pt>
                <c:pt idx="8">
                  <c:v>C₄ </c:v>
                </c:pt>
                <c:pt idx="9">
                  <c:v>C₅ </c:v>
                </c:pt>
                <c:pt idx="10">
                  <c:v>C₆ </c:v>
                </c:pt>
                <c:pt idx="11">
                  <c:v>C₇</c:v>
                </c:pt>
              </c:strCache>
            </c:strRef>
          </c:cat>
          <c:val>
            <c:numRef>
              <c:f>Sheet1!$E$796:$E$807</c:f>
              <c:numCache>
                <c:formatCode>General</c:formatCode>
                <c:ptCount val="12"/>
                <c:pt idx="1">
                  <c:v>1.9900000000000022</c:v>
                </c:pt>
                <c:pt idx="2">
                  <c:v>1.9200000000000019</c:v>
                </c:pt>
                <c:pt idx="3">
                  <c:v>1.9300000000000019</c:v>
                </c:pt>
                <c:pt idx="5">
                  <c:v>1.54</c:v>
                </c:pt>
                <c:pt idx="6">
                  <c:v>1.57</c:v>
                </c:pt>
                <c:pt idx="7">
                  <c:v>1.76</c:v>
                </c:pt>
                <c:pt idx="8">
                  <c:v>1.62</c:v>
                </c:pt>
                <c:pt idx="9">
                  <c:v>1.6700000000000019</c:v>
                </c:pt>
                <c:pt idx="10">
                  <c:v>1.6600000000000001</c:v>
                </c:pt>
                <c:pt idx="11">
                  <c:v>1.6900000000000019</c:v>
                </c:pt>
              </c:numCache>
            </c:numRef>
          </c:val>
          <c:extLst>
            <c:ext xmlns:c16="http://schemas.microsoft.com/office/drawing/2014/chart" uri="{C3380CC4-5D6E-409C-BE32-E72D297353CC}">
              <c16:uniqueId val="{00000001-D649-42C1-BC1D-3906EDEB4BB7}"/>
            </c:ext>
          </c:extLst>
        </c:ser>
        <c:dLbls>
          <c:showLegendKey val="0"/>
          <c:showVal val="0"/>
          <c:showCatName val="0"/>
          <c:showSerName val="0"/>
          <c:showPercent val="0"/>
          <c:showBubbleSize val="0"/>
        </c:dLbls>
        <c:gapWidth val="75"/>
        <c:shape val="cone"/>
        <c:axId val="97499776"/>
        <c:axId val="98763136"/>
        <c:axId val="0"/>
      </c:bar3DChart>
      <c:catAx>
        <c:axId val="97499776"/>
        <c:scaling>
          <c:orientation val="minMax"/>
        </c:scaling>
        <c:delete val="0"/>
        <c:axPos val="b"/>
        <c:majorGridlines/>
        <c:minorGridlines/>
        <c:numFmt formatCode="General" sourceLinked="0"/>
        <c:majorTickMark val="none"/>
        <c:minorTickMark val="none"/>
        <c:tickLblPos val="nextTo"/>
        <c:crossAx val="98763136"/>
        <c:crosses val="autoZero"/>
        <c:auto val="1"/>
        <c:lblAlgn val="ctr"/>
        <c:lblOffset val="100"/>
        <c:noMultiLvlLbl val="0"/>
      </c:catAx>
      <c:valAx>
        <c:axId val="98763136"/>
        <c:scaling>
          <c:orientation val="minMax"/>
        </c:scaling>
        <c:delete val="0"/>
        <c:axPos val="l"/>
        <c:majorGridlines/>
        <c:minorGridlines/>
        <c:title>
          <c:tx>
            <c:rich>
              <a:bodyPr rot="-5400000" vert="horz"/>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Density of Cynodon dactylon</a:t>
                </a:r>
              </a:p>
            </c:rich>
          </c:tx>
          <c:overlay val="0"/>
        </c:title>
        <c:numFmt formatCode="General" sourceLinked="1"/>
        <c:majorTickMark val="none"/>
        <c:minorTickMark val="none"/>
        <c:tickLblPos val="nextTo"/>
        <c:spPr>
          <a:ln w="9525">
            <a:noFill/>
          </a:ln>
        </c:spPr>
        <c:crossAx val="97499776"/>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Sheet1!$E$822:$E$824</c:f>
              <c:strCache>
                <c:ptCount val="1"/>
                <c:pt idx="0">
                  <c:v>Dry biomass of Cynodon dactylon  (g. m-² ) 30 DAS 2019-20</c:v>
                </c:pt>
              </c:strCache>
            </c:strRef>
          </c:tx>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Sheet1!$E$825:$E$836</c:f>
              <c:numCache>
                <c:formatCode>General</c:formatCode>
                <c:ptCount val="12"/>
                <c:pt idx="1">
                  <c:v>7.8599999999999985</c:v>
                </c:pt>
                <c:pt idx="2">
                  <c:v>7.6499999999999995</c:v>
                </c:pt>
                <c:pt idx="3">
                  <c:v>7.33</c:v>
                </c:pt>
                <c:pt idx="5">
                  <c:v>7.9</c:v>
                </c:pt>
                <c:pt idx="6">
                  <c:v>7.6499999999999995</c:v>
                </c:pt>
                <c:pt idx="7">
                  <c:v>7.71</c:v>
                </c:pt>
                <c:pt idx="8">
                  <c:v>7.55</c:v>
                </c:pt>
                <c:pt idx="9">
                  <c:v>7.54</c:v>
                </c:pt>
                <c:pt idx="10">
                  <c:v>7.51</c:v>
                </c:pt>
                <c:pt idx="11">
                  <c:v>7.48</c:v>
                </c:pt>
              </c:numCache>
            </c:numRef>
          </c:val>
          <c:smooth val="0"/>
          <c:extLst>
            <c:ext xmlns:c16="http://schemas.microsoft.com/office/drawing/2014/chart" uri="{C3380CC4-5D6E-409C-BE32-E72D297353CC}">
              <c16:uniqueId val="{00000000-F07D-4730-A7F7-5D60638472F2}"/>
            </c:ext>
          </c:extLst>
        </c:ser>
        <c:ser>
          <c:idx val="1"/>
          <c:order val="1"/>
          <c:tx>
            <c:strRef>
              <c:f>Sheet1!$F$822:$F$824</c:f>
              <c:strCache>
                <c:ptCount val="1"/>
                <c:pt idx="0">
                  <c:v>Density of Cynodon dactylon  (No. m-² ) 30 DAS 2020-21</c:v>
                </c:pt>
              </c:strCache>
            </c:strRef>
          </c:tx>
          <c:marker>
            <c:spPr>
              <a:solidFill>
                <a:srgbClr val="FF000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Sheet1!$F$825:$F$836</c:f>
              <c:numCache>
                <c:formatCode>General</c:formatCode>
                <c:ptCount val="12"/>
                <c:pt idx="1">
                  <c:v>10.48</c:v>
                </c:pt>
                <c:pt idx="2">
                  <c:v>11.25</c:v>
                </c:pt>
                <c:pt idx="3">
                  <c:v>11.31</c:v>
                </c:pt>
                <c:pt idx="5">
                  <c:v>10.7</c:v>
                </c:pt>
                <c:pt idx="6">
                  <c:v>10.08</c:v>
                </c:pt>
                <c:pt idx="7">
                  <c:v>10.46</c:v>
                </c:pt>
                <c:pt idx="8">
                  <c:v>10.83</c:v>
                </c:pt>
                <c:pt idx="9">
                  <c:v>10.68</c:v>
                </c:pt>
                <c:pt idx="10">
                  <c:v>10.59</c:v>
                </c:pt>
                <c:pt idx="11">
                  <c:v>10.75</c:v>
                </c:pt>
              </c:numCache>
            </c:numRef>
          </c:val>
          <c:smooth val="0"/>
          <c:extLst>
            <c:ext xmlns:c16="http://schemas.microsoft.com/office/drawing/2014/chart" uri="{C3380CC4-5D6E-409C-BE32-E72D297353CC}">
              <c16:uniqueId val="{00000001-F07D-4730-A7F7-5D60638472F2}"/>
            </c:ext>
          </c:extLst>
        </c:ser>
        <c:ser>
          <c:idx val="2"/>
          <c:order val="2"/>
          <c:tx>
            <c:strRef>
              <c:f>Sheet1!$G$822:$G$824</c:f>
              <c:strCache>
                <c:ptCount val="1"/>
                <c:pt idx="0">
                  <c:v>Density of Cynodon dactylon  (No. m-² ) 60 DAS 2019-20</c:v>
                </c:pt>
              </c:strCache>
            </c:strRef>
          </c:tx>
          <c:marker>
            <c:spPr>
              <a:solidFill>
                <a:srgbClr val="00B05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Sheet1!$G$825:$G$836</c:f>
              <c:numCache>
                <c:formatCode>General</c:formatCode>
                <c:ptCount val="12"/>
                <c:pt idx="1">
                  <c:v>8.620000000000001</c:v>
                </c:pt>
                <c:pt idx="2">
                  <c:v>8.39</c:v>
                </c:pt>
                <c:pt idx="3">
                  <c:v>8.0400000000000009</c:v>
                </c:pt>
                <c:pt idx="5">
                  <c:v>8.26</c:v>
                </c:pt>
                <c:pt idx="6">
                  <c:v>7.58</c:v>
                </c:pt>
                <c:pt idx="7">
                  <c:v>7.6199999999999966</c:v>
                </c:pt>
                <c:pt idx="8">
                  <c:v>8.2900000000000009</c:v>
                </c:pt>
                <c:pt idx="9">
                  <c:v>8.2800000000000011</c:v>
                </c:pt>
                <c:pt idx="10">
                  <c:v>8.2399999999999984</c:v>
                </c:pt>
                <c:pt idx="11">
                  <c:v>8.2100000000000009</c:v>
                </c:pt>
              </c:numCache>
            </c:numRef>
          </c:val>
          <c:smooth val="0"/>
          <c:extLst>
            <c:ext xmlns:c16="http://schemas.microsoft.com/office/drawing/2014/chart" uri="{C3380CC4-5D6E-409C-BE32-E72D297353CC}">
              <c16:uniqueId val="{00000002-F07D-4730-A7F7-5D60638472F2}"/>
            </c:ext>
          </c:extLst>
        </c:ser>
        <c:ser>
          <c:idx val="3"/>
          <c:order val="3"/>
          <c:tx>
            <c:strRef>
              <c:f>Sheet1!$H$822:$H$824</c:f>
              <c:strCache>
                <c:ptCount val="1"/>
                <c:pt idx="0">
                  <c:v>Density of Cynodon dactylon  (No. m-² ) 60 DAS 2020-21</c:v>
                </c:pt>
              </c:strCache>
            </c:strRef>
          </c:tx>
          <c:marker>
            <c:spPr>
              <a:solidFill>
                <a:schemeClr val="tx1"/>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Sheet1!$H$825:$H$836</c:f>
              <c:numCache>
                <c:formatCode>General</c:formatCode>
                <c:ptCount val="12"/>
                <c:pt idx="1">
                  <c:v>6.08</c:v>
                </c:pt>
                <c:pt idx="2">
                  <c:v>6.68</c:v>
                </c:pt>
                <c:pt idx="3">
                  <c:v>6.72</c:v>
                </c:pt>
                <c:pt idx="5">
                  <c:v>5.76</c:v>
                </c:pt>
                <c:pt idx="6">
                  <c:v>5.83</c:v>
                </c:pt>
                <c:pt idx="7">
                  <c:v>5.6599999999999975</c:v>
                </c:pt>
                <c:pt idx="8">
                  <c:v>5.87</c:v>
                </c:pt>
                <c:pt idx="9">
                  <c:v>5.78</c:v>
                </c:pt>
                <c:pt idx="10">
                  <c:v>5.73</c:v>
                </c:pt>
                <c:pt idx="11">
                  <c:v>5.8199999999999985</c:v>
                </c:pt>
              </c:numCache>
            </c:numRef>
          </c:val>
          <c:smooth val="0"/>
          <c:extLst>
            <c:ext xmlns:c16="http://schemas.microsoft.com/office/drawing/2014/chart" uri="{C3380CC4-5D6E-409C-BE32-E72D297353CC}">
              <c16:uniqueId val="{00000003-F07D-4730-A7F7-5D60638472F2}"/>
            </c:ext>
          </c:extLst>
        </c:ser>
        <c:ser>
          <c:idx val="4"/>
          <c:order val="4"/>
          <c:tx>
            <c:strRef>
              <c:f>Sheet1!$I$822:$I$824</c:f>
              <c:strCache>
                <c:ptCount val="1"/>
                <c:pt idx="0">
                  <c:v>Density of Cynodon dactylon  (No. m-² ) 90 DAS 2019-20</c:v>
                </c:pt>
              </c:strCache>
            </c:strRef>
          </c:tx>
          <c:marker>
            <c:spPr>
              <a:solidFill>
                <a:srgbClr val="00206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Sheet1!$I$825:$I$836</c:f>
              <c:numCache>
                <c:formatCode>General</c:formatCode>
                <c:ptCount val="12"/>
                <c:pt idx="1">
                  <c:v>6.6499999999999995</c:v>
                </c:pt>
                <c:pt idx="2">
                  <c:v>6.46</c:v>
                </c:pt>
                <c:pt idx="3">
                  <c:v>6.17</c:v>
                </c:pt>
                <c:pt idx="5">
                  <c:v>6.48</c:v>
                </c:pt>
                <c:pt idx="6">
                  <c:v>6.26</c:v>
                </c:pt>
                <c:pt idx="7">
                  <c:v>6.29</c:v>
                </c:pt>
                <c:pt idx="8">
                  <c:v>6.74</c:v>
                </c:pt>
                <c:pt idx="9">
                  <c:v>6.25</c:v>
                </c:pt>
                <c:pt idx="10">
                  <c:v>6.21</c:v>
                </c:pt>
                <c:pt idx="11">
                  <c:v>6.8</c:v>
                </c:pt>
              </c:numCache>
            </c:numRef>
          </c:val>
          <c:smooth val="0"/>
          <c:extLst>
            <c:ext xmlns:c16="http://schemas.microsoft.com/office/drawing/2014/chart" uri="{C3380CC4-5D6E-409C-BE32-E72D297353CC}">
              <c16:uniqueId val="{00000004-F07D-4730-A7F7-5D60638472F2}"/>
            </c:ext>
          </c:extLst>
        </c:ser>
        <c:ser>
          <c:idx val="5"/>
          <c:order val="5"/>
          <c:tx>
            <c:strRef>
              <c:f>Sheet1!$J$822:$J$824</c:f>
              <c:strCache>
                <c:ptCount val="1"/>
                <c:pt idx="0">
                  <c:v>Density of Cynodon dactylon  (No. m-² ) 90 DAS 2020-21</c:v>
                </c:pt>
              </c:strCache>
            </c:strRef>
          </c:tx>
          <c:marker>
            <c:spPr>
              <a:solidFill>
                <a:srgbClr val="FFFF00"/>
              </a:solidFill>
            </c:spPr>
          </c:marker>
          <c:cat>
            <c:strRef>
              <c:f>Sheet1!$D$825:$D$836</c:f>
              <c:strCache>
                <c:ptCount val="12"/>
                <c:pt idx="0">
                  <c:v>I</c:v>
                </c:pt>
                <c:pt idx="1">
                  <c:v>I₁</c:v>
                </c:pt>
                <c:pt idx="2">
                  <c:v>I₂</c:v>
                </c:pt>
                <c:pt idx="3">
                  <c:v>I₃</c:v>
                </c:pt>
                <c:pt idx="4">
                  <c:v>CU</c:v>
                </c:pt>
                <c:pt idx="5">
                  <c:v>C₁</c:v>
                </c:pt>
                <c:pt idx="6">
                  <c:v>C₂</c:v>
                </c:pt>
                <c:pt idx="7">
                  <c:v>C₃</c:v>
                </c:pt>
                <c:pt idx="8">
                  <c:v>C₄ </c:v>
                </c:pt>
                <c:pt idx="9">
                  <c:v>C₅ </c:v>
                </c:pt>
                <c:pt idx="10">
                  <c:v>C₆ </c:v>
                </c:pt>
                <c:pt idx="11">
                  <c:v>C₇</c:v>
                </c:pt>
              </c:strCache>
            </c:strRef>
          </c:cat>
          <c:val>
            <c:numRef>
              <c:f>Sheet1!$J$825:$J$836</c:f>
              <c:numCache>
                <c:formatCode>General</c:formatCode>
                <c:ptCount val="12"/>
                <c:pt idx="1">
                  <c:v>3.52</c:v>
                </c:pt>
                <c:pt idx="2">
                  <c:v>3.3899999999999997</c:v>
                </c:pt>
                <c:pt idx="3">
                  <c:v>3.4099999999999997</c:v>
                </c:pt>
                <c:pt idx="5">
                  <c:v>2.88</c:v>
                </c:pt>
                <c:pt idx="6">
                  <c:v>2.8499999999999988</c:v>
                </c:pt>
                <c:pt idx="7">
                  <c:v>2.71</c:v>
                </c:pt>
                <c:pt idx="8">
                  <c:v>2.86</c:v>
                </c:pt>
                <c:pt idx="9">
                  <c:v>2.96</c:v>
                </c:pt>
                <c:pt idx="10">
                  <c:v>2.94</c:v>
                </c:pt>
                <c:pt idx="11">
                  <c:v>2.98</c:v>
                </c:pt>
              </c:numCache>
            </c:numRef>
          </c:val>
          <c:smooth val="0"/>
          <c:extLst>
            <c:ext xmlns:c16="http://schemas.microsoft.com/office/drawing/2014/chart" uri="{C3380CC4-5D6E-409C-BE32-E72D297353CC}">
              <c16:uniqueId val="{00000005-F07D-4730-A7F7-5D60638472F2}"/>
            </c:ext>
          </c:extLst>
        </c:ser>
        <c:dLbls>
          <c:showLegendKey val="0"/>
          <c:showVal val="0"/>
          <c:showCatName val="0"/>
          <c:showSerName val="0"/>
          <c:showPercent val="0"/>
          <c:showBubbleSize val="0"/>
        </c:dLbls>
        <c:marker val="1"/>
        <c:smooth val="0"/>
        <c:axId val="98844032"/>
        <c:axId val="98854400"/>
      </c:lineChart>
      <c:catAx>
        <c:axId val="98844032"/>
        <c:scaling>
          <c:orientation val="minMax"/>
        </c:scaling>
        <c:delete val="0"/>
        <c:axPos val="b"/>
        <c:numFmt formatCode="General" sourceLinked="0"/>
        <c:majorTickMark val="out"/>
        <c:minorTickMark val="none"/>
        <c:tickLblPos val="nextTo"/>
        <c:crossAx val="98854400"/>
        <c:crosses val="autoZero"/>
        <c:auto val="1"/>
        <c:lblAlgn val="ctr"/>
        <c:lblOffset val="100"/>
        <c:noMultiLvlLbl val="0"/>
      </c:catAx>
      <c:valAx>
        <c:axId val="98854400"/>
        <c:scaling>
          <c:orientation val="minMax"/>
        </c:scaling>
        <c:delete val="0"/>
        <c:axPos val="l"/>
        <c:majorGridlines/>
        <c:title>
          <c:tx>
            <c:rich>
              <a:bodyPr rot="-5400000" vert="horz"/>
              <a:lstStyle/>
              <a:p>
                <a:pPr>
                  <a:defRPr/>
                </a:pPr>
                <a:r>
                  <a:rPr lang="en-US"/>
                  <a:t>Dry biomass (g)</a:t>
                </a:r>
              </a:p>
            </c:rich>
          </c:tx>
          <c:overlay val="0"/>
        </c:title>
        <c:numFmt formatCode="General" sourceLinked="1"/>
        <c:majorTickMark val="out"/>
        <c:minorTickMark val="none"/>
        <c:tickLblPos val="nextTo"/>
        <c:crossAx val="98844032"/>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0.12308</cdr:x>
      <cdr:y>0.70435</cdr:y>
    </cdr:from>
    <cdr:to>
      <cdr:x>0.16054</cdr:x>
      <cdr:y>0.78551</cdr:y>
    </cdr:to>
    <cdr:sp macro="" textlink="">
      <cdr:nvSpPr>
        <cdr:cNvPr id="2" name="Text Box 1"/>
        <cdr:cNvSpPr txBox="1"/>
      </cdr:nvSpPr>
      <cdr:spPr>
        <a:xfrm xmlns:a="http://schemas.openxmlformats.org/drawingml/2006/main">
          <a:off x="731520" y="1932167"/>
          <a:ext cx="222636" cy="222636"/>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8</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SDI 1084</cp:lastModifiedBy>
  <cp:revision>59</cp:revision>
  <dcterms:created xsi:type="dcterms:W3CDTF">2025-02-19T10:20:00Z</dcterms:created>
  <dcterms:modified xsi:type="dcterms:W3CDTF">2025-03-15T13:59:00Z</dcterms:modified>
</cp:coreProperties>
</file>