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B18A0" w14:textId="5BA07845" w:rsidR="00754C9A" w:rsidRDefault="004E4B0D" w:rsidP="00441B6F">
      <w:pPr>
        <w:pStyle w:val="Title"/>
        <w:spacing w:after="0"/>
        <w:jc w:val="both"/>
        <w:rPr>
          <w:rFonts w:ascii="Arial" w:hAnsi="Arial" w:cs="Arial"/>
          <w:bCs/>
          <w:i/>
          <w:iCs/>
          <w:u w:val="single"/>
        </w:rPr>
      </w:pPr>
      <w:r w:rsidRPr="004E4B0D">
        <w:rPr>
          <w:rFonts w:ascii="Arial" w:hAnsi="Arial" w:cs="Arial"/>
          <w:bCs/>
          <w:i/>
          <w:iCs/>
          <w:u w:val="single"/>
        </w:rPr>
        <w:t>Original Research Article</w:t>
      </w:r>
    </w:p>
    <w:p w14:paraId="6718155F" w14:textId="77777777" w:rsidR="004E4B0D" w:rsidRDefault="004E4B0D" w:rsidP="00441B6F">
      <w:pPr>
        <w:pStyle w:val="Title"/>
        <w:spacing w:after="0"/>
        <w:jc w:val="both"/>
        <w:rPr>
          <w:rFonts w:ascii="Arial" w:hAnsi="Arial" w:cs="Arial"/>
        </w:rPr>
      </w:pPr>
    </w:p>
    <w:p w14:paraId="4A4C6D8B" w14:textId="77777777" w:rsidR="005A229F" w:rsidRDefault="005A229F" w:rsidP="007D6371">
      <w:pPr>
        <w:spacing w:line="360" w:lineRule="auto"/>
        <w:jc w:val="right"/>
        <w:rPr>
          <w:rFonts w:ascii="Times New Roman" w:hAnsi="Times New Roman"/>
          <w:b/>
          <w:sz w:val="24"/>
          <w:szCs w:val="24"/>
          <w:lang w:val="en-GB"/>
        </w:rPr>
      </w:pPr>
      <w:bookmarkStart w:id="0" w:name="_Hlk190421351"/>
      <w:r w:rsidRPr="00B146DB">
        <w:rPr>
          <w:rFonts w:ascii="Times New Roman" w:hAnsi="Times New Roman"/>
          <w:b/>
          <w:sz w:val="24"/>
          <w:szCs w:val="24"/>
          <w:lang w:val="en-GB"/>
        </w:rPr>
        <w:t>Advances in the Diagnosis of Chronic Lymphoid Neoplasms in Côte d'Ivoire: Toward Improvement</w:t>
      </w:r>
    </w:p>
    <w:bookmarkEnd w:id="0"/>
    <w:p w14:paraId="711348E8" w14:textId="77777777" w:rsidR="00A258C3" w:rsidRPr="00790ADA" w:rsidRDefault="00A258C3" w:rsidP="00441B6F">
      <w:pPr>
        <w:pStyle w:val="Author"/>
        <w:spacing w:line="240" w:lineRule="auto"/>
        <w:jc w:val="both"/>
        <w:rPr>
          <w:rFonts w:ascii="Arial" w:hAnsi="Arial" w:cs="Arial"/>
          <w:sz w:val="36"/>
        </w:rPr>
      </w:pPr>
    </w:p>
    <w:p w14:paraId="141C9389" w14:textId="77777777" w:rsidR="002C57D2" w:rsidRPr="00FB3A86" w:rsidRDefault="002C57D2" w:rsidP="00441B6F">
      <w:pPr>
        <w:pStyle w:val="Affiliation"/>
        <w:spacing w:after="0" w:line="240" w:lineRule="auto"/>
        <w:jc w:val="both"/>
        <w:rPr>
          <w:rFonts w:ascii="Arial" w:hAnsi="Arial" w:cs="Arial"/>
        </w:rPr>
      </w:pPr>
    </w:p>
    <w:p w14:paraId="2754B115" w14:textId="77777777" w:rsidR="00B01FCD" w:rsidRPr="00FB3A86" w:rsidRDefault="007D6371" w:rsidP="00441B6F">
      <w:pPr>
        <w:pStyle w:val="Copyright"/>
        <w:spacing w:after="0" w:line="240" w:lineRule="auto"/>
        <w:jc w:val="both"/>
        <w:rPr>
          <w:rFonts w:ascii="Arial" w:hAnsi="Arial" w:cs="Arial"/>
        </w:rPr>
        <w:sectPr w:rsidR="00B01FCD" w:rsidRPr="00FB3A86" w:rsidSect="005D52F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B830358" wp14:editId="7C243064">
                <wp:extent cx="5303520" cy="635"/>
                <wp:effectExtent l="13335" t="10160" r="17145" b="18415"/>
                <wp:docPr id="8146653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2966D6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58759B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96"/>
      </w:tblGrid>
      <w:tr w:rsidR="00296529" w:rsidRPr="001E44FE" w14:paraId="7B03BEEC" w14:textId="77777777" w:rsidTr="001E44FE">
        <w:tc>
          <w:tcPr>
            <w:tcW w:w="9576" w:type="dxa"/>
            <w:shd w:val="clear" w:color="auto" w:fill="F2F2F2"/>
          </w:tcPr>
          <w:p w14:paraId="7488A70D" w14:textId="77777777" w:rsidR="005A229F" w:rsidRPr="00F37187" w:rsidRDefault="005A229F" w:rsidP="005A229F">
            <w:pPr>
              <w:spacing w:line="360" w:lineRule="auto"/>
              <w:jc w:val="both"/>
              <w:rPr>
                <w:rFonts w:ascii="Arial" w:hAnsi="Arial" w:cs="Arial"/>
                <w:sz w:val="22"/>
                <w:szCs w:val="22"/>
                <w:lang w:val="en-GB"/>
              </w:rPr>
            </w:pPr>
            <w:r w:rsidRPr="00F37187">
              <w:rPr>
                <w:rFonts w:ascii="Arial" w:hAnsi="Arial" w:cs="Arial"/>
                <w:b/>
                <w:sz w:val="22"/>
                <w:szCs w:val="22"/>
                <w:lang w:val="en-GB"/>
              </w:rPr>
              <w:t>ABSTRACT</w:t>
            </w:r>
            <w:r w:rsidRPr="00F37187">
              <w:rPr>
                <w:rFonts w:ascii="Arial" w:hAnsi="Arial" w:cs="Arial"/>
                <w:sz w:val="22"/>
                <w:szCs w:val="22"/>
                <w:lang w:val="en-GB"/>
              </w:rPr>
              <w:t xml:space="preserve"> </w:t>
            </w:r>
          </w:p>
          <w:p w14:paraId="397D9010" w14:textId="77777777" w:rsidR="005A229F" w:rsidRPr="00F37187" w:rsidRDefault="005A229F" w:rsidP="005A229F">
            <w:pPr>
              <w:spacing w:line="360" w:lineRule="auto"/>
              <w:jc w:val="both"/>
              <w:rPr>
                <w:rFonts w:ascii="Arial" w:hAnsi="Arial" w:cs="Arial"/>
                <w:sz w:val="22"/>
                <w:szCs w:val="22"/>
                <w:lang w:val="en-GB"/>
              </w:rPr>
            </w:pPr>
            <w:r w:rsidRPr="00F37187">
              <w:rPr>
                <w:rFonts w:ascii="Arial" w:hAnsi="Arial" w:cs="Arial"/>
                <w:sz w:val="22"/>
                <w:szCs w:val="22"/>
                <w:lang w:val="en-GB"/>
              </w:rPr>
              <w:t>This study aims to provide a comprehensive overview of chronic lymphoid neoplasms (CLNs) in Côte d'Ivoire, focusing on recent advancements in diagnostic techniques to improve patient management. The study characterizes chronic lymphoid neoplasms (CLNs) in Côte d'Ivoire, highlighting advancements in diagnostic methods that may enhance patient care. A cross-sectional study was conducted, including 51 patients with lymphocytosis &gt;5000/mm³. Cytological and immunophenotypic analyses were performed using flow cytometry to identify and classify CLNs. The results showed that among the 51 cases of CLNs identified, B-cell proliferations accounted for 82%, while 18% were T-cell proliferations. Chronic lymphocytic leukaemia (CLL) was predominant. Immunophenotyping revealed distinct marker profiles, enabling subtype differentiation. While cytology remains relevant, emphasis was placed on integrating immunophenotyping and molecular techniques for accurate diagnosis. The combination of flow cytometry with other molecular biology techniques has been recognized as a significant advancement in the field. Further integration of cytogenetics and molecular biology aims to refine diagnostic accuracy and treatment strategies.</w:t>
            </w:r>
          </w:p>
          <w:p w14:paraId="210C96D9" w14:textId="77777777" w:rsidR="00505F06" w:rsidRPr="00F37187" w:rsidRDefault="005A229F" w:rsidP="00F37187">
            <w:pPr>
              <w:spacing w:line="360" w:lineRule="auto"/>
              <w:jc w:val="both"/>
              <w:rPr>
                <w:rFonts w:ascii="Arial" w:hAnsi="Arial" w:cs="Arial"/>
                <w:sz w:val="22"/>
                <w:szCs w:val="22"/>
                <w:lang w:val="en-GB"/>
              </w:rPr>
            </w:pPr>
            <w:r w:rsidRPr="00F37187">
              <w:rPr>
                <w:rFonts w:ascii="Arial" w:hAnsi="Arial" w:cs="Arial"/>
                <w:b/>
                <w:sz w:val="22"/>
                <w:szCs w:val="22"/>
                <w:lang w:val="en-GB"/>
              </w:rPr>
              <w:t>Keywords</w:t>
            </w:r>
            <w:r w:rsidRPr="00F37187">
              <w:rPr>
                <w:rFonts w:ascii="Arial" w:hAnsi="Arial" w:cs="Arial"/>
                <w:sz w:val="22"/>
                <w:szCs w:val="22"/>
                <w:lang w:val="en-GB"/>
              </w:rPr>
              <w:t>: Chronic lymphoid neoplasms, immunophenotyping, flow cytometry, haematology, Côte d'Ivoire.</w:t>
            </w:r>
          </w:p>
        </w:tc>
      </w:tr>
    </w:tbl>
    <w:p w14:paraId="59C0577F" w14:textId="77777777" w:rsidR="00636EB2" w:rsidRDefault="00636EB2" w:rsidP="00441B6F">
      <w:pPr>
        <w:pStyle w:val="Body"/>
        <w:spacing w:after="0"/>
        <w:rPr>
          <w:rFonts w:ascii="Arial" w:hAnsi="Arial" w:cs="Arial"/>
          <w:i/>
        </w:rPr>
      </w:pPr>
    </w:p>
    <w:p w14:paraId="42E99567" w14:textId="77777777" w:rsidR="00505F06" w:rsidRPr="00A24E7E" w:rsidRDefault="00505F06" w:rsidP="00441B6F">
      <w:pPr>
        <w:pStyle w:val="Body"/>
        <w:spacing w:after="0"/>
        <w:rPr>
          <w:rFonts w:ascii="Arial" w:hAnsi="Arial" w:cs="Arial"/>
          <w:i/>
        </w:rPr>
      </w:pPr>
    </w:p>
    <w:p w14:paraId="16156A56"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E9D1785" w14:textId="77777777" w:rsidR="00F37187" w:rsidRPr="00F37187" w:rsidRDefault="00F37187" w:rsidP="00F37187">
      <w:pPr>
        <w:pStyle w:val="completed"/>
        <w:spacing w:before="0" w:beforeAutospacing="0" w:after="0" w:afterAutospacing="0" w:line="360" w:lineRule="auto"/>
        <w:jc w:val="both"/>
        <w:rPr>
          <w:rFonts w:ascii="Arial" w:hAnsi="Arial" w:cs="Arial"/>
          <w:sz w:val="22"/>
          <w:szCs w:val="22"/>
          <w:lang w:val="en-GB"/>
        </w:rPr>
      </w:pPr>
      <w:r w:rsidRPr="00F37187">
        <w:rPr>
          <w:rFonts w:ascii="Arial" w:hAnsi="Arial" w:cs="Arial"/>
          <w:sz w:val="22"/>
          <w:szCs w:val="22"/>
          <w:lang w:val="en-GB"/>
        </w:rPr>
        <w:t xml:space="preserve">Chronic lymphoid neoplasms (CLNs) are a heterogeneous group of disorders characterized by the uncontrolled proliferation of mature lymphocytes at various stages of differentiation. These conditions are identified by their clinical, immunophenotypic, and molecular profiles, making precise diagnosis and classification essential for the optimal management of patients. Initially, the diagnosis of CLN relied on histological analysis; however, this approach has evolved significantly with the integration of immunological data from flow cytometry, as well as conventional and </w:t>
      </w:r>
      <w:r w:rsidRPr="00F37187">
        <w:rPr>
          <w:rFonts w:ascii="Arial" w:hAnsi="Arial" w:cs="Arial"/>
          <w:sz w:val="22"/>
          <w:szCs w:val="22"/>
          <w:lang w:val="en-GB"/>
        </w:rPr>
        <w:lastRenderedPageBreak/>
        <w:t>molecular cytogenetics, including fluorescence in situ hybridization (FISH). Advances in modern molecular biology, particularly next-generation sequencing (NGS), have enhanced our understanding of lymphomagenesis mechanisms, offering new perspectives for patient care.</w:t>
      </w:r>
    </w:p>
    <w:p w14:paraId="7B9C1E95" w14:textId="77777777" w:rsidR="00F37187" w:rsidRPr="00F37187" w:rsidRDefault="00F37187" w:rsidP="00F37187">
      <w:pPr>
        <w:spacing w:line="360" w:lineRule="auto"/>
        <w:jc w:val="both"/>
        <w:rPr>
          <w:rFonts w:ascii="Arial" w:hAnsi="Arial" w:cs="Arial"/>
          <w:sz w:val="22"/>
          <w:szCs w:val="22"/>
          <w:lang w:val="en-GB"/>
        </w:rPr>
      </w:pPr>
      <w:r w:rsidRPr="00F37187">
        <w:rPr>
          <w:rFonts w:ascii="Arial" w:hAnsi="Arial" w:cs="Arial"/>
          <w:sz w:val="22"/>
          <w:szCs w:val="22"/>
          <w:lang w:val="en-GB"/>
        </w:rPr>
        <w:t>In Côte d'Ivoire, the primary diagnostic modality for CLNs remains cytology, which provides critical insights into cellular morphology. However, its limitations in terms of specificity hinder the ability to differentiate between various lymphoproliferative disorders. On the other hand, immunophenotyping, a precise diagnostic tool that identifies specific markers, enables more accurate characterization of lymphocytosis. Despite its potential, the integration of immunophenotyping into routine practice in Côte d'Ivoire faces financial, technical, and logistical challenges. This study aims to characterize various CLNs using flow cytometry.</w:t>
      </w:r>
    </w:p>
    <w:p w14:paraId="2F4E2F18" w14:textId="77777777" w:rsidR="00790ADA" w:rsidRPr="00FB3A86" w:rsidRDefault="00790ADA" w:rsidP="00441B6F">
      <w:pPr>
        <w:pStyle w:val="Body"/>
        <w:spacing w:after="0"/>
        <w:rPr>
          <w:rFonts w:ascii="Arial" w:hAnsi="Arial" w:cs="Arial"/>
        </w:rPr>
      </w:pPr>
    </w:p>
    <w:p w14:paraId="65717406" w14:textId="77777777" w:rsidR="00790ADA" w:rsidRPr="00CD46C8" w:rsidRDefault="00902823" w:rsidP="00441B6F">
      <w:pPr>
        <w:pStyle w:val="AbstHead"/>
        <w:spacing w:after="0"/>
        <w:jc w:val="both"/>
        <w:rPr>
          <w:rFonts w:ascii="Arial" w:hAnsi="Arial" w:cs="Arial"/>
          <w:sz w:val="20"/>
        </w:rPr>
      </w:pPr>
      <w:r w:rsidRPr="00CD46C8">
        <w:rPr>
          <w:rFonts w:ascii="Arial" w:hAnsi="Arial" w:cs="Arial"/>
          <w:sz w:val="20"/>
        </w:rPr>
        <w:t>2. material and method</w:t>
      </w:r>
      <w:r w:rsidR="00000F8F" w:rsidRPr="00CD46C8">
        <w:rPr>
          <w:rFonts w:ascii="Arial" w:hAnsi="Arial" w:cs="Arial"/>
          <w:sz w:val="20"/>
        </w:rPr>
        <w:t xml:space="preserve">s </w:t>
      </w:r>
    </w:p>
    <w:p w14:paraId="4C7CEEE2"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Study Design and Setting</w:t>
      </w:r>
    </w:p>
    <w:p w14:paraId="6FE532BC"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This descriptive cross-sectional study was conducted in collaboration with </w:t>
      </w:r>
      <w:proofErr w:type="spellStart"/>
      <w:r w:rsidRPr="00CD46C8">
        <w:rPr>
          <w:rFonts w:ascii="Arial" w:hAnsi="Arial" w:cs="Arial"/>
          <w:lang w:val="en-GB"/>
        </w:rPr>
        <w:t>Longchamps</w:t>
      </w:r>
      <w:proofErr w:type="spellEnd"/>
      <w:r w:rsidRPr="00CD46C8">
        <w:rPr>
          <w:rFonts w:ascii="Arial" w:hAnsi="Arial" w:cs="Arial"/>
          <w:lang w:val="en-GB"/>
        </w:rPr>
        <w:t xml:space="preserve">, </w:t>
      </w:r>
      <w:proofErr w:type="spellStart"/>
      <w:r w:rsidRPr="00CD46C8">
        <w:rPr>
          <w:rFonts w:ascii="Arial" w:hAnsi="Arial" w:cs="Arial"/>
          <w:lang w:val="en-GB"/>
        </w:rPr>
        <w:t>CeDReS</w:t>
      </w:r>
      <w:proofErr w:type="spellEnd"/>
      <w:r w:rsidRPr="00CD46C8">
        <w:rPr>
          <w:rFonts w:ascii="Arial" w:hAnsi="Arial" w:cs="Arial"/>
          <w:lang w:val="en-GB"/>
        </w:rPr>
        <w:t xml:space="preserve">, and </w:t>
      </w:r>
      <w:proofErr w:type="spellStart"/>
      <w:r w:rsidRPr="00CD46C8">
        <w:rPr>
          <w:rFonts w:ascii="Arial" w:hAnsi="Arial" w:cs="Arial"/>
          <w:lang w:val="en-GB"/>
        </w:rPr>
        <w:t>Cerba</w:t>
      </w:r>
      <w:proofErr w:type="spellEnd"/>
      <w:r w:rsidRPr="00CD46C8">
        <w:rPr>
          <w:rFonts w:ascii="Arial" w:hAnsi="Arial" w:cs="Arial"/>
          <w:lang w:val="en-GB"/>
        </w:rPr>
        <w:t xml:space="preserve"> laboratories from January 2023 to October 2024.</w:t>
      </w:r>
    </w:p>
    <w:p w14:paraId="46D83FF2"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Study Population</w:t>
      </w:r>
    </w:p>
    <w:p w14:paraId="711A053F"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A total of 51 patients with lymphocytosis exceeding 5000/mm³ were included in the study, following informed consent obtained after </w:t>
      </w:r>
      <w:proofErr w:type="spellStart"/>
      <w:r w:rsidRPr="00CD46C8">
        <w:rPr>
          <w:rFonts w:ascii="Arial" w:hAnsi="Arial" w:cs="Arial"/>
          <w:lang w:val="en-GB"/>
        </w:rPr>
        <w:t>counseling</w:t>
      </w:r>
      <w:proofErr w:type="spellEnd"/>
      <w:r w:rsidRPr="00CD46C8">
        <w:rPr>
          <w:rFonts w:ascii="Arial" w:hAnsi="Arial" w:cs="Arial"/>
          <w:lang w:val="en-GB"/>
        </w:rPr>
        <w:t xml:space="preserve"> on the study's purpose and requirements.</w:t>
      </w:r>
    </w:p>
    <w:p w14:paraId="0E483607" w14:textId="77777777" w:rsidR="00F37187" w:rsidRPr="00CD46C8" w:rsidRDefault="00F37187" w:rsidP="00F37187">
      <w:pPr>
        <w:spacing w:line="360" w:lineRule="auto"/>
        <w:jc w:val="both"/>
        <w:rPr>
          <w:rFonts w:ascii="Arial" w:hAnsi="Arial" w:cs="Arial"/>
          <w:b/>
        </w:rPr>
      </w:pPr>
      <w:r w:rsidRPr="00CD46C8">
        <w:rPr>
          <w:rFonts w:ascii="Arial" w:hAnsi="Arial" w:cs="Arial"/>
          <w:b/>
        </w:rPr>
        <w:t>Inclusion Criteria</w:t>
      </w:r>
    </w:p>
    <w:p w14:paraId="034D7301"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All patients with lymphocytosis were included.</w:t>
      </w:r>
    </w:p>
    <w:p w14:paraId="4D419347"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Sample Collection and Analysis</w:t>
      </w:r>
    </w:p>
    <w:p w14:paraId="67BBE12F"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Four to five </w:t>
      </w:r>
      <w:proofErr w:type="spellStart"/>
      <w:r w:rsidRPr="00CD46C8">
        <w:rPr>
          <w:rFonts w:ascii="Arial" w:hAnsi="Arial" w:cs="Arial"/>
          <w:lang w:val="en-GB"/>
        </w:rPr>
        <w:t>milliliters</w:t>
      </w:r>
      <w:proofErr w:type="spellEnd"/>
      <w:r w:rsidRPr="00CD46C8">
        <w:rPr>
          <w:rFonts w:ascii="Arial" w:hAnsi="Arial" w:cs="Arial"/>
          <w:lang w:val="en-GB"/>
        </w:rPr>
        <w:t xml:space="preserve"> of peripheral blood was collected in EDTA tubes according to standard laboratory protocols to maintain cellular integrity for cytological analyses and lymphocyte typing.</w:t>
      </w:r>
    </w:p>
    <w:p w14:paraId="2DBAC97A" w14:textId="77777777" w:rsidR="00F37187" w:rsidRPr="00CD46C8" w:rsidRDefault="00F37187" w:rsidP="00F37187">
      <w:pPr>
        <w:spacing w:line="360" w:lineRule="auto"/>
        <w:jc w:val="both"/>
        <w:rPr>
          <w:rFonts w:ascii="Arial" w:hAnsi="Arial" w:cs="Arial"/>
          <w:b/>
          <w:lang w:val="en-GB"/>
        </w:rPr>
      </w:pPr>
      <w:proofErr w:type="spellStart"/>
      <w:r w:rsidRPr="00CD46C8">
        <w:rPr>
          <w:rFonts w:ascii="Arial" w:hAnsi="Arial" w:cs="Arial"/>
          <w:b/>
          <w:lang w:val="en-GB"/>
        </w:rPr>
        <w:t>Hematological</w:t>
      </w:r>
      <w:proofErr w:type="spellEnd"/>
      <w:r w:rsidRPr="00CD46C8">
        <w:rPr>
          <w:rFonts w:ascii="Arial" w:hAnsi="Arial" w:cs="Arial"/>
          <w:b/>
          <w:lang w:val="en-GB"/>
        </w:rPr>
        <w:t xml:space="preserve"> Analysis</w:t>
      </w:r>
    </w:p>
    <w:p w14:paraId="71D01B65"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Complete blood counts were conducted using a Sysmex XN 550® </w:t>
      </w:r>
      <w:proofErr w:type="spellStart"/>
      <w:r w:rsidRPr="00CD46C8">
        <w:rPr>
          <w:rFonts w:ascii="Arial" w:hAnsi="Arial" w:cs="Arial"/>
          <w:lang w:val="en-GB"/>
        </w:rPr>
        <w:t>hematology</w:t>
      </w:r>
      <w:proofErr w:type="spellEnd"/>
      <w:r w:rsidRPr="00CD46C8">
        <w:rPr>
          <w:rFonts w:ascii="Arial" w:hAnsi="Arial" w:cs="Arial"/>
          <w:lang w:val="en-GB"/>
        </w:rPr>
        <w:t xml:space="preserve"> </w:t>
      </w:r>
      <w:proofErr w:type="spellStart"/>
      <w:r w:rsidRPr="00CD46C8">
        <w:rPr>
          <w:rFonts w:ascii="Arial" w:hAnsi="Arial" w:cs="Arial"/>
          <w:lang w:val="en-GB"/>
        </w:rPr>
        <w:t>analyzer</w:t>
      </w:r>
      <w:proofErr w:type="spellEnd"/>
      <w:r w:rsidRPr="00CD46C8">
        <w:rPr>
          <w:rFonts w:ascii="Arial" w:hAnsi="Arial" w:cs="Arial"/>
          <w:lang w:val="en-GB"/>
        </w:rPr>
        <w:t xml:space="preserve"> (Sysmex, Japan) to quantify blood components and assess the leukocyte differential. Lymphocytosis was verified through a subsequent complete blood count.</w:t>
      </w:r>
    </w:p>
    <w:p w14:paraId="57B7D5DF"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Cytological Examination</w:t>
      </w:r>
    </w:p>
    <w:p w14:paraId="4294A04E"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Cytological analyses were performed on blood smears stained using May-Grünwald-Giemsa (MGG) or RAL 555 techniques. Morphological characteristics of chronic lymphocytic neoplasms (CLNs), including cell size, shape, cytoplasmic and nuclear features (such as nuclear shape, chromatin density, and the presence of nucleoli), were </w:t>
      </w:r>
      <w:proofErr w:type="spellStart"/>
      <w:r w:rsidRPr="00CD46C8">
        <w:rPr>
          <w:rFonts w:ascii="Arial" w:hAnsi="Arial" w:cs="Arial"/>
          <w:lang w:val="en-GB"/>
        </w:rPr>
        <w:t>analyzed</w:t>
      </w:r>
      <w:proofErr w:type="spellEnd"/>
      <w:r w:rsidRPr="00CD46C8">
        <w:rPr>
          <w:rFonts w:ascii="Arial" w:hAnsi="Arial" w:cs="Arial"/>
          <w:lang w:val="en-GB"/>
        </w:rPr>
        <w:t xml:space="preserve"> using an optical microscope with bright-field illumination.</w:t>
      </w:r>
    </w:p>
    <w:p w14:paraId="5AD6B770" w14:textId="77777777" w:rsidR="00F37187" w:rsidRPr="00CD46C8" w:rsidRDefault="00F37187" w:rsidP="00F37187">
      <w:pPr>
        <w:spacing w:line="360" w:lineRule="auto"/>
        <w:jc w:val="both"/>
        <w:rPr>
          <w:rFonts w:ascii="Arial" w:hAnsi="Arial" w:cs="Arial"/>
          <w:b/>
          <w:lang w:val="en-GB"/>
        </w:rPr>
      </w:pPr>
      <w:r w:rsidRPr="00CD46C8">
        <w:rPr>
          <w:rFonts w:ascii="Arial" w:hAnsi="Arial" w:cs="Arial"/>
          <w:b/>
          <w:lang w:val="en-GB"/>
        </w:rPr>
        <w:t>Flow Cytometry Immunophenotyping</w:t>
      </w:r>
    </w:p>
    <w:p w14:paraId="7A481B20"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Lymphocyte immunophenotyping was conducted using a FACS Lyric® cytometer (Becton Dickinson, USA). A panel of monoclonal antibodies targeting differentiation antigens (CD markers) and conjugated with fluorochromes such as </w:t>
      </w:r>
      <w:proofErr w:type="spellStart"/>
      <w:r w:rsidRPr="00CD46C8">
        <w:rPr>
          <w:rFonts w:ascii="Arial" w:hAnsi="Arial" w:cs="Arial"/>
          <w:lang w:val="en-GB"/>
        </w:rPr>
        <w:t>Allo</w:t>
      </w:r>
      <w:proofErr w:type="spellEnd"/>
      <w:r w:rsidRPr="00CD46C8">
        <w:rPr>
          <w:rFonts w:ascii="Arial" w:hAnsi="Arial" w:cs="Arial"/>
          <w:lang w:val="en-GB"/>
        </w:rPr>
        <w:t>-Phyco-Cyanine (APC), Peridinin-Chlorophyll-Protein Complex (</w:t>
      </w:r>
      <w:proofErr w:type="spellStart"/>
      <w:r w:rsidRPr="00CD46C8">
        <w:rPr>
          <w:rFonts w:ascii="Arial" w:hAnsi="Arial" w:cs="Arial"/>
          <w:lang w:val="en-GB"/>
        </w:rPr>
        <w:t>PerCP</w:t>
      </w:r>
      <w:proofErr w:type="spellEnd"/>
      <w:r w:rsidRPr="00CD46C8">
        <w:rPr>
          <w:rFonts w:ascii="Arial" w:hAnsi="Arial" w:cs="Arial"/>
          <w:lang w:val="en-GB"/>
        </w:rPr>
        <w:t xml:space="preserve">), Fluorescein Isothiocyanate (FITC), and Phycoerythrin (PE) was employed to characterize the proliferative </w:t>
      </w:r>
      <w:r w:rsidRPr="00CD46C8">
        <w:rPr>
          <w:rFonts w:ascii="Arial" w:hAnsi="Arial" w:cs="Arial"/>
          <w:lang w:val="en-GB"/>
        </w:rPr>
        <w:lastRenderedPageBreak/>
        <w:t>cell lineages. Clonality was assessed using CD19/Kappa and CD19/Lambda markers for B-cell proliferations and TCR</w:t>
      </w:r>
      <w:r w:rsidRPr="00CD46C8">
        <w:rPr>
          <w:rFonts w:ascii="Arial" w:hAnsi="Arial" w:cs="Arial"/>
        </w:rPr>
        <w:t>αβ</w:t>
      </w:r>
      <w:r w:rsidRPr="00CD46C8">
        <w:rPr>
          <w:rFonts w:ascii="Arial" w:hAnsi="Arial" w:cs="Arial"/>
          <w:lang w:val="en-GB"/>
        </w:rPr>
        <w:t>/TCR</w:t>
      </w:r>
      <w:proofErr w:type="spellStart"/>
      <w:r w:rsidRPr="00CD46C8">
        <w:rPr>
          <w:rFonts w:ascii="Arial" w:hAnsi="Arial" w:cs="Arial"/>
        </w:rPr>
        <w:t>γδ</w:t>
      </w:r>
      <w:proofErr w:type="spellEnd"/>
      <w:r w:rsidRPr="00CD46C8">
        <w:rPr>
          <w:rFonts w:ascii="Arial" w:hAnsi="Arial" w:cs="Arial"/>
          <w:lang w:val="en-GB"/>
        </w:rPr>
        <w:t xml:space="preserve"> markers for T-cell proliferations. Identification of proliferative lineages was facilitated by the use of specific markers, including CD19, CD5, CD22, CD20, CD23, CD79b, CD38, FMC7, CD11c, and CD10 for B cells, as well as CD5, CD3, CD7, CD25, CD4, CD8, CD56, and CD57 for T cells.</w:t>
      </w:r>
    </w:p>
    <w:p w14:paraId="3B4599DB" w14:textId="77777777" w:rsidR="00F37187" w:rsidRPr="00CD46C8" w:rsidRDefault="00F37187" w:rsidP="00F37187">
      <w:pPr>
        <w:spacing w:line="360" w:lineRule="auto"/>
        <w:jc w:val="both"/>
        <w:rPr>
          <w:rFonts w:ascii="Arial" w:hAnsi="Arial" w:cs="Arial"/>
          <w:b/>
        </w:rPr>
      </w:pPr>
      <w:proofErr w:type="spellStart"/>
      <w:r w:rsidRPr="00CD46C8">
        <w:rPr>
          <w:rFonts w:ascii="Arial" w:hAnsi="Arial" w:cs="Arial"/>
          <w:b/>
        </w:rPr>
        <w:t>Matutes</w:t>
      </w:r>
      <w:proofErr w:type="spellEnd"/>
      <w:r w:rsidRPr="00CD46C8">
        <w:rPr>
          <w:rFonts w:ascii="Arial" w:hAnsi="Arial" w:cs="Arial"/>
          <w:b/>
        </w:rPr>
        <w:t xml:space="preserve"> Scoring</w:t>
      </w:r>
    </w:p>
    <w:p w14:paraId="782C2A84"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The </w:t>
      </w:r>
      <w:proofErr w:type="spellStart"/>
      <w:r w:rsidRPr="00CD46C8">
        <w:rPr>
          <w:rFonts w:ascii="Arial" w:hAnsi="Arial" w:cs="Arial"/>
          <w:lang w:val="en-GB"/>
        </w:rPr>
        <w:t>Matutes</w:t>
      </w:r>
      <w:proofErr w:type="spellEnd"/>
      <w:r w:rsidRPr="00CD46C8">
        <w:rPr>
          <w:rFonts w:ascii="Arial" w:hAnsi="Arial" w:cs="Arial"/>
          <w:lang w:val="en-GB"/>
        </w:rPr>
        <w:t xml:space="preserve"> score is an evaluation system used in </w:t>
      </w:r>
      <w:proofErr w:type="spellStart"/>
      <w:r w:rsidRPr="00CD46C8">
        <w:rPr>
          <w:rFonts w:ascii="Arial" w:hAnsi="Arial" w:cs="Arial"/>
          <w:lang w:val="en-GB"/>
        </w:rPr>
        <w:t>analyzing</w:t>
      </w:r>
      <w:proofErr w:type="spellEnd"/>
      <w:r w:rsidRPr="00CD46C8">
        <w:rPr>
          <w:rFonts w:ascii="Arial" w:hAnsi="Arial" w:cs="Arial"/>
          <w:lang w:val="en-GB"/>
        </w:rPr>
        <w:t xml:space="preserve"> chronic B-cell neoplasms. It assigns a point for the presence of CD5, CD23, weak surface immunoglobulin expression (</w:t>
      </w:r>
      <w:proofErr w:type="spellStart"/>
      <w:r w:rsidRPr="00CD46C8">
        <w:rPr>
          <w:rFonts w:ascii="Arial" w:hAnsi="Arial" w:cs="Arial"/>
          <w:lang w:val="en-GB"/>
        </w:rPr>
        <w:t>IgS</w:t>
      </w:r>
      <w:proofErr w:type="spellEnd"/>
      <w:r w:rsidRPr="00CD46C8">
        <w:rPr>
          <w:rFonts w:ascii="Arial" w:hAnsi="Arial" w:cs="Arial"/>
          <w:lang w:val="en-GB"/>
        </w:rPr>
        <w:t>: kappa or lambda), and absent or weak FMC7 expression.</w:t>
      </w:r>
    </w:p>
    <w:p w14:paraId="5168007D" w14:textId="77777777" w:rsidR="00F37187" w:rsidRPr="00CD46C8" w:rsidRDefault="00F37187" w:rsidP="00F37187">
      <w:pPr>
        <w:spacing w:line="360" w:lineRule="auto"/>
        <w:jc w:val="both"/>
        <w:rPr>
          <w:rFonts w:ascii="Arial" w:hAnsi="Arial" w:cs="Arial"/>
          <w:b/>
        </w:rPr>
      </w:pPr>
      <w:r w:rsidRPr="00CD46C8">
        <w:rPr>
          <w:rFonts w:ascii="Arial" w:hAnsi="Arial" w:cs="Arial"/>
          <w:b/>
        </w:rPr>
        <w:t>Statistical Analysis</w:t>
      </w:r>
    </w:p>
    <w:p w14:paraId="1DE7A30A" w14:textId="77777777" w:rsidR="00F37187" w:rsidRPr="00CD46C8" w:rsidRDefault="00F37187" w:rsidP="00F37187">
      <w:pPr>
        <w:spacing w:line="360" w:lineRule="auto"/>
        <w:jc w:val="both"/>
        <w:rPr>
          <w:rFonts w:ascii="Arial" w:hAnsi="Arial" w:cs="Arial"/>
          <w:lang w:val="en-GB"/>
        </w:rPr>
      </w:pPr>
      <w:r w:rsidRPr="00CD46C8">
        <w:rPr>
          <w:rFonts w:ascii="Arial" w:hAnsi="Arial" w:cs="Arial"/>
          <w:lang w:val="en-GB"/>
        </w:rPr>
        <w:t xml:space="preserve">Data were collected using structured survey forms and </w:t>
      </w:r>
      <w:proofErr w:type="spellStart"/>
      <w:r w:rsidRPr="00CD46C8">
        <w:rPr>
          <w:rFonts w:ascii="Arial" w:hAnsi="Arial" w:cs="Arial"/>
          <w:lang w:val="en-GB"/>
        </w:rPr>
        <w:t>analyzed</w:t>
      </w:r>
      <w:proofErr w:type="spellEnd"/>
      <w:r w:rsidRPr="00CD46C8">
        <w:rPr>
          <w:rFonts w:ascii="Arial" w:hAnsi="Arial" w:cs="Arial"/>
          <w:lang w:val="en-GB"/>
        </w:rPr>
        <w:t xml:space="preserve"> in Excel. Quantitative variables were expressed as means ± standard deviations, while qualitative variables were presented as percentages. The findings were interpreted according to the World Health Organization (WHO) diagnostic criteria for CLNs.</w:t>
      </w:r>
    </w:p>
    <w:p w14:paraId="5A667220" w14:textId="77777777" w:rsidR="00790ADA" w:rsidRPr="00FB3A86" w:rsidRDefault="00790ADA" w:rsidP="00441B6F">
      <w:pPr>
        <w:pStyle w:val="Body"/>
        <w:spacing w:after="0"/>
        <w:rPr>
          <w:rFonts w:ascii="Arial" w:hAnsi="Arial" w:cs="Arial"/>
        </w:rPr>
      </w:pPr>
    </w:p>
    <w:p w14:paraId="27351802" w14:textId="77777777" w:rsidR="00902823" w:rsidRPr="00CD46C8" w:rsidRDefault="00000F8F" w:rsidP="00441B6F">
      <w:pPr>
        <w:pStyle w:val="Head1"/>
        <w:spacing w:after="0"/>
        <w:jc w:val="both"/>
        <w:rPr>
          <w:rFonts w:ascii="Arial" w:hAnsi="Arial" w:cs="Arial"/>
          <w:szCs w:val="22"/>
        </w:rPr>
      </w:pPr>
      <w:r w:rsidRPr="00CD46C8">
        <w:rPr>
          <w:rFonts w:ascii="Arial" w:hAnsi="Arial" w:cs="Arial"/>
          <w:szCs w:val="22"/>
        </w:rPr>
        <w:t>3</w:t>
      </w:r>
      <w:r w:rsidR="00902823" w:rsidRPr="00CD46C8">
        <w:rPr>
          <w:rFonts w:ascii="Arial" w:hAnsi="Arial" w:cs="Arial"/>
          <w:szCs w:val="22"/>
        </w:rPr>
        <w:t xml:space="preserve">. </w:t>
      </w:r>
      <w:r w:rsidRPr="00CD46C8">
        <w:rPr>
          <w:rFonts w:ascii="Arial" w:hAnsi="Arial" w:cs="Arial"/>
          <w:szCs w:val="22"/>
        </w:rPr>
        <w:t>results and discussion</w:t>
      </w:r>
    </w:p>
    <w:p w14:paraId="3AE6CB29" w14:textId="77777777"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In this study, 51 cases of chronic lymphoid neoplasms were identified, demonstrating a male predominance with a sex ratio of 1.4. The mean age of the patients was 57.02 years, with a range of 25 to 84 years. The most common clinical manifestations were lymphadenopathy and splenomegaly, which were observed in 43% and 25% of patients, respectively.</w:t>
      </w:r>
    </w:p>
    <w:p w14:paraId="430CB3D8" w14:textId="77777777"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 xml:space="preserve">From a </w:t>
      </w:r>
      <w:proofErr w:type="spellStart"/>
      <w:r w:rsidRPr="00CD46C8">
        <w:rPr>
          <w:rFonts w:ascii="Arial" w:hAnsi="Arial" w:cs="Arial"/>
          <w:bCs/>
          <w:sz w:val="22"/>
          <w:szCs w:val="22"/>
          <w:lang w:val="en-GB"/>
        </w:rPr>
        <w:t>hematological</w:t>
      </w:r>
      <w:proofErr w:type="spellEnd"/>
      <w:r w:rsidRPr="00CD46C8">
        <w:rPr>
          <w:rFonts w:ascii="Arial" w:hAnsi="Arial" w:cs="Arial"/>
          <w:bCs/>
          <w:sz w:val="22"/>
          <w:szCs w:val="22"/>
          <w:lang w:val="en-GB"/>
        </w:rPr>
        <w:t xml:space="preserve"> perspective, the complete blood count analysis revealed lymphocytosis, with an average lymphocyte count of 90,746/mm³ (reference range: 5,205–494,190/mm³). Notably, 53% of patients exhibited lymphocyte counts exceeding 50,000/mm³, while 52% had counts surpassing 100,000/mm³. Cytological examination showed a monomorphic population of lymphocytes in blood smears, characterized by mature lymphocytes with variable features. Predominantly, these cells were small to medium in size, with a thin basophilic cytoplasmic rim, large nuclei containing dense chromatin, and nuclear shadows (Gumprecht shadows). Additionally, atypical lymphocytes were identified, including </w:t>
      </w:r>
      <w:proofErr w:type="spellStart"/>
      <w:r w:rsidRPr="00CD46C8">
        <w:rPr>
          <w:rFonts w:ascii="Arial" w:hAnsi="Arial" w:cs="Arial"/>
          <w:bCs/>
          <w:sz w:val="22"/>
          <w:szCs w:val="22"/>
          <w:lang w:val="en-GB"/>
        </w:rPr>
        <w:t>monocytoid</w:t>
      </w:r>
      <w:proofErr w:type="spellEnd"/>
      <w:r w:rsidRPr="00CD46C8">
        <w:rPr>
          <w:rFonts w:ascii="Arial" w:hAnsi="Arial" w:cs="Arial"/>
          <w:bCs/>
          <w:sz w:val="22"/>
          <w:szCs w:val="22"/>
          <w:lang w:val="en-GB"/>
        </w:rPr>
        <w:t xml:space="preserve"> cells, prolymphocytes (which featured prominent nucleoli), cloverleaf-shaped nuclei, and vacuolated cytoplasm.</w:t>
      </w:r>
    </w:p>
    <w:p w14:paraId="595C380A" w14:textId="77777777" w:rsidR="00CD46C8" w:rsidRPr="00CD46C8" w:rsidRDefault="00CD46C8" w:rsidP="00CD46C8">
      <w:pPr>
        <w:spacing w:line="360" w:lineRule="auto"/>
        <w:jc w:val="both"/>
        <w:rPr>
          <w:rFonts w:ascii="Arial" w:hAnsi="Arial" w:cs="Arial"/>
          <w:bCs/>
          <w:sz w:val="22"/>
          <w:szCs w:val="22"/>
          <w:lang w:val="en-GB"/>
        </w:rPr>
      </w:pPr>
      <w:r w:rsidRPr="00CD46C8">
        <w:rPr>
          <w:rFonts w:ascii="Arial" w:hAnsi="Arial" w:cs="Arial"/>
          <w:bCs/>
          <w:sz w:val="22"/>
          <w:szCs w:val="22"/>
          <w:lang w:val="en-GB"/>
        </w:rPr>
        <w:t>Immunophenotyping by flow cytometry identified a population of mature cells characterized by strong CD45 fluorescence. The mean CD45+ cell count was 87,000/mm³ (± 70,086). B-cell monoclonality was predominant, with kappa light chain clonality detected in 63% (26 out of 42) of cases. Regarding T-cell proliferations, all cases expressed CD3+ and CD4+ markers and were of the TCRαβ subtype. All these data are summarized in Table 1. Overall, 82% (42 cases) were classified as B-cell proliferations, while 18% (9 cases) were identified as T-cell proliferations.</w:t>
      </w:r>
    </w:p>
    <w:p w14:paraId="41DEB7EA" w14:textId="77777777" w:rsidR="00CD46C8" w:rsidRPr="00CD46C8" w:rsidRDefault="00CD46C8" w:rsidP="00CD46C8">
      <w:pPr>
        <w:spacing w:line="360" w:lineRule="auto"/>
        <w:jc w:val="both"/>
        <w:rPr>
          <w:rFonts w:ascii="Arial" w:hAnsi="Arial" w:cs="Arial"/>
          <w:sz w:val="22"/>
          <w:szCs w:val="22"/>
          <w:lang w:val="en-GB"/>
        </w:rPr>
      </w:pPr>
      <w:r w:rsidRPr="00CD46C8">
        <w:rPr>
          <w:rFonts w:ascii="Arial" w:hAnsi="Arial" w:cs="Arial"/>
          <w:b/>
          <w:bCs/>
          <w:sz w:val="22"/>
          <w:szCs w:val="22"/>
          <w:lang w:val="en-GB"/>
        </w:rPr>
        <w:t xml:space="preserve">Table 1: </w:t>
      </w:r>
      <w:r w:rsidRPr="00CD46C8">
        <w:rPr>
          <w:rFonts w:ascii="Arial" w:hAnsi="Arial" w:cs="Arial"/>
          <w:sz w:val="22"/>
          <w:szCs w:val="22"/>
          <w:lang w:val="en-GB"/>
        </w:rPr>
        <w:t>Summary of marker expression and statistical parameters</w:t>
      </w:r>
    </w:p>
    <w:tbl>
      <w:tblPr>
        <w:tblW w:w="9649" w:type="dxa"/>
        <w:tblCellSpacing w:w="15" w:type="dxa"/>
        <w:tblCellMar>
          <w:top w:w="15" w:type="dxa"/>
          <w:left w:w="15" w:type="dxa"/>
          <w:bottom w:w="15" w:type="dxa"/>
          <w:right w:w="15" w:type="dxa"/>
        </w:tblCellMar>
        <w:tblLook w:val="04A0" w:firstRow="1" w:lastRow="0" w:firstColumn="1" w:lastColumn="0" w:noHBand="0" w:noVBand="1"/>
      </w:tblPr>
      <w:tblGrid>
        <w:gridCol w:w="3149"/>
        <w:gridCol w:w="1125"/>
        <w:gridCol w:w="2238"/>
        <w:gridCol w:w="1111"/>
        <w:gridCol w:w="1258"/>
        <w:gridCol w:w="768"/>
      </w:tblGrid>
      <w:tr w:rsidR="00CD46C8" w:rsidRPr="00CD46C8" w14:paraId="4EBD2AB8" w14:textId="77777777" w:rsidTr="002D58A7">
        <w:trPr>
          <w:trHeight w:val="445"/>
          <w:tblHeader/>
          <w:tblCellSpacing w:w="15" w:type="dxa"/>
        </w:trPr>
        <w:tc>
          <w:tcPr>
            <w:tcW w:w="0" w:type="auto"/>
            <w:tcBorders>
              <w:top w:val="single" w:sz="4" w:space="0" w:color="auto"/>
              <w:bottom w:val="single" w:sz="4" w:space="0" w:color="auto"/>
            </w:tcBorders>
            <w:vAlign w:val="center"/>
            <w:hideMark/>
          </w:tcPr>
          <w:p w14:paraId="18427582" w14:textId="77777777" w:rsidR="00CD46C8" w:rsidRPr="00CD46C8" w:rsidRDefault="00CD46C8" w:rsidP="002D58A7">
            <w:pPr>
              <w:spacing w:line="360" w:lineRule="auto"/>
              <w:jc w:val="both"/>
              <w:rPr>
                <w:rFonts w:ascii="Arial" w:hAnsi="Arial" w:cs="Arial"/>
                <w:b/>
                <w:bCs/>
                <w:sz w:val="22"/>
                <w:szCs w:val="22"/>
              </w:rPr>
            </w:pPr>
            <w:r w:rsidRPr="00CD46C8">
              <w:rPr>
                <w:rFonts w:ascii="Arial" w:hAnsi="Arial" w:cs="Arial"/>
                <w:b/>
                <w:bCs/>
                <w:sz w:val="22"/>
                <w:szCs w:val="22"/>
              </w:rPr>
              <w:lastRenderedPageBreak/>
              <w:t>Marker</w:t>
            </w:r>
          </w:p>
        </w:tc>
        <w:tc>
          <w:tcPr>
            <w:tcW w:w="0" w:type="auto"/>
            <w:tcBorders>
              <w:top w:val="single" w:sz="4" w:space="0" w:color="auto"/>
              <w:bottom w:val="single" w:sz="4" w:space="0" w:color="auto"/>
            </w:tcBorders>
            <w:vAlign w:val="center"/>
            <w:hideMark/>
          </w:tcPr>
          <w:p w14:paraId="48A2CC79"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Mean</w:t>
            </w:r>
          </w:p>
        </w:tc>
        <w:tc>
          <w:tcPr>
            <w:tcW w:w="0" w:type="auto"/>
            <w:tcBorders>
              <w:top w:val="single" w:sz="4" w:space="0" w:color="auto"/>
              <w:bottom w:val="single" w:sz="4" w:space="0" w:color="auto"/>
            </w:tcBorders>
            <w:vAlign w:val="center"/>
            <w:hideMark/>
          </w:tcPr>
          <w:p w14:paraId="288B2C67"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Standard Deviation</w:t>
            </w:r>
          </w:p>
        </w:tc>
        <w:tc>
          <w:tcPr>
            <w:tcW w:w="0" w:type="auto"/>
            <w:tcBorders>
              <w:top w:val="single" w:sz="4" w:space="0" w:color="auto"/>
              <w:bottom w:val="single" w:sz="4" w:space="0" w:color="auto"/>
            </w:tcBorders>
            <w:vAlign w:val="center"/>
            <w:hideMark/>
          </w:tcPr>
          <w:p w14:paraId="7E333B37"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Minimum</w:t>
            </w:r>
          </w:p>
        </w:tc>
        <w:tc>
          <w:tcPr>
            <w:tcW w:w="0" w:type="auto"/>
            <w:tcBorders>
              <w:top w:val="single" w:sz="4" w:space="0" w:color="auto"/>
              <w:bottom w:val="single" w:sz="4" w:space="0" w:color="auto"/>
            </w:tcBorders>
            <w:vAlign w:val="center"/>
            <w:hideMark/>
          </w:tcPr>
          <w:p w14:paraId="0E7397FB"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Maximum</w:t>
            </w:r>
          </w:p>
        </w:tc>
        <w:tc>
          <w:tcPr>
            <w:tcW w:w="0" w:type="auto"/>
            <w:tcBorders>
              <w:top w:val="single" w:sz="4" w:space="0" w:color="auto"/>
              <w:bottom w:val="single" w:sz="4" w:space="0" w:color="auto"/>
            </w:tcBorders>
            <w:vAlign w:val="center"/>
            <w:hideMark/>
          </w:tcPr>
          <w:p w14:paraId="039A3A59" w14:textId="77777777" w:rsidR="00CD46C8" w:rsidRPr="00CD46C8" w:rsidRDefault="00CD46C8" w:rsidP="002D58A7">
            <w:pPr>
              <w:spacing w:line="360" w:lineRule="auto"/>
              <w:jc w:val="center"/>
              <w:rPr>
                <w:rFonts w:ascii="Arial" w:hAnsi="Arial" w:cs="Arial"/>
                <w:b/>
                <w:bCs/>
                <w:sz w:val="22"/>
                <w:szCs w:val="22"/>
              </w:rPr>
            </w:pPr>
            <w:r w:rsidRPr="00CD46C8">
              <w:rPr>
                <w:rFonts w:ascii="Arial" w:hAnsi="Arial" w:cs="Arial"/>
                <w:b/>
                <w:bCs/>
                <w:sz w:val="22"/>
                <w:szCs w:val="22"/>
              </w:rPr>
              <w:t>Count</w:t>
            </w:r>
          </w:p>
        </w:tc>
      </w:tr>
      <w:tr w:rsidR="00CD46C8" w:rsidRPr="00CD46C8" w14:paraId="12BAA1F5" w14:textId="77777777" w:rsidTr="002D58A7">
        <w:trPr>
          <w:trHeight w:val="457"/>
          <w:tblCellSpacing w:w="15" w:type="dxa"/>
        </w:trPr>
        <w:tc>
          <w:tcPr>
            <w:tcW w:w="0" w:type="auto"/>
            <w:vAlign w:val="center"/>
            <w:hideMark/>
          </w:tcPr>
          <w:p w14:paraId="4A1CAC23"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CD45</w:t>
            </w:r>
          </w:p>
        </w:tc>
        <w:tc>
          <w:tcPr>
            <w:tcW w:w="0" w:type="auto"/>
            <w:vAlign w:val="center"/>
            <w:hideMark/>
          </w:tcPr>
          <w:p w14:paraId="490485A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85 414.91</w:t>
            </w:r>
          </w:p>
        </w:tc>
        <w:tc>
          <w:tcPr>
            <w:tcW w:w="0" w:type="auto"/>
            <w:vAlign w:val="center"/>
            <w:hideMark/>
          </w:tcPr>
          <w:p w14:paraId="4D87D6F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70 086.78</w:t>
            </w:r>
          </w:p>
        </w:tc>
        <w:tc>
          <w:tcPr>
            <w:tcW w:w="0" w:type="auto"/>
            <w:vAlign w:val="center"/>
            <w:hideMark/>
          </w:tcPr>
          <w:p w14:paraId="6F4FB61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312.3</w:t>
            </w:r>
          </w:p>
        </w:tc>
        <w:tc>
          <w:tcPr>
            <w:tcW w:w="0" w:type="auto"/>
            <w:vAlign w:val="center"/>
            <w:hideMark/>
          </w:tcPr>
          <w:p w14:paraId="600ABA0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479 364.3</w:t>
            </w:r>
          </w:p>
        </w:tc>
        <w:tc>
          <w:tcPr>
            <w:tcW w:w="0" w:type="auto"/>
            <w:vAlign w:val="center"/>
            <w:hideMark/>
          </w:tcPr>
          <w:p w14:paraId="168F4E46"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51</w:t>
            </w:r>
          </w:p>
        </w:tc>
      </w:tr>
      <w:tr w:rsidR="00CD46C8" w:rsidRPr="00CD46C8" w14:paraId="6B45FFE1" w14:textId="77777777" w:rsidTr="002D58A7">
        <w:trPr>
          <w:trHeight w:val="445"/>
          <w:tblCellSpacing w:w="15" w:type="dxa"/>
        </w:trPr>
        <w:tc>
          <w:tcPr>
            <w:tcW w:w="0" w:type="auto"/>
            <w:vAlign w:val="center"/>
            <w:hideMark/>
          </w:tcPr>
          <w:p w14:paraId="1CE3F545"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CD19+ Light Chains Kappa</w:t>
            </w:r>
          </w:p>
        </w:tc>
        <w:tc>
          <w:tcPr>
            <w:tcW w:w="0" w:type="auto"/>
            <w:vAlign w:val="center"/>
            <w:hideMark/>
          </w:tcPr>
          <w:p w14:paraId="7045138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73 979.57</w:t>
            </w:r>
          </w:p>
        </w:tc>
        <w:tc>
          <w:tcPr>
            <w:tcW w:w="0" w:type="auto"/>
            <w:vAlign w:val="center"/>
            <w:hideMark/>
          </w:tcPr>
          <w:p w14:paraId="250C375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78 108.21</w:t>
            </w:r>
          </w:p>
        </w:tc>
        <w:tc>
          <w:tcPr>
            <w:tcW w:w="0" w:type="auto"/>
            <w:vAlign w:val="center"/>
            <w:hideMark/>
          </w:tcPr>
          <w:p w14:paraId="60B37E6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610472E1"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404 928.00</w:t>
            </w:r>
          </w:p>
        </w:tc>
        <w:tc>
          <w:tcPr>
            <w:tcW w:w="0" w:type="auto"/>
            <w:vAlign w:val="center"/>
            <w:hideMark/>
          </w:tcPr>
          <w:p w14:paraId="02B8168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26</w:t>
            </w:r>
          </w:p>
        </w:tc>
      </w:tr>
      <w:tr w:rsidR="00CD46C8" w:rsidRPr="00CD46C8" w14:paraId="5E5F175E" w14:textId="77777777" w:rsidTr="002D58A7">
        <w:trPr>
          <w:trHeight w:val="445"/>
          <w:tblCellSpacing w:w="15" w:type="dxa"/>
        </w:trPr>
        <w:tc>
          <w:tcPr>
            <w:tcW w:w="0" w:type="auto"/>
            <w:vAlign w:val="center"/>
            <w:hideMark/>
          </w:tcPr>
          <w:p w14:paraId="777640B7"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CD19+ Light Chains Lambda</w:t>
            </w:r>
          </w:p>
        </w:tc>
        <w:tc>
          <w:tcPr>
            <w:tcW w:w="0" w:type="auto"/>
            <w:vAlign w:val="center"/>
            <w:hideMark/>
          </w:tcPr>
          <w:p w14:paraId="0E9DA57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12 289.05</w:t>
            </w:r>
          </w:p>
        </w:tc>
        <w:tc>
          <w:tcPr>
            <w:tcW w:w="0" w:type="auto"/>
            <w:vAlign w:val="center"/>
            <w:hideMark/>
          </w:tcPr>
          <w:p w14:paraId="50E293B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18 930.31</w:t>
            </w:r>
          </w:p>
        </w:tc>
        <w:tc>
          <w:tcPr>
            <w:tcW w:w="0" w:type="auto"/>
            <w:vAlign w:val="center"/>
            <w:hideMark/>
          </w:tcPr>
          <w:p w14:paraId="1F4A7FA5"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080FA97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187 138.22</w:t>
            </w:r>
          </w:p>
        </w:tc>
        <w:tc>
          <w:tcPr>
            <w:tcW w:w="0" w:type="auto"/>
            <w:vAlign w:val="center"/>
            <w:hideMark/>
          </w:tcPr>
          <w:p w14:paraId="5BE43F59"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w:t>
            </w:r>
          </w:p>
        </w:tc>
      </w:tr>
      <w:tr w:rsidR="00CD46C8" w:rsidRPr="00CD46C8" w14:paraId="74B3F69A" w14:textId="77777777" w:rsidTr="002D58A7">
        <w:trPr>
          <w:trHeight w:val="445"/>
          <w:tblCellSpacing w:w="15" w:type="dxa"/>
        </w:trPr>
        <w:tc>
          <w:tcPr>
            <w:tcW w:w="0" w:type="auto"/>
            <w:vAlign w:val="center"/>
            <w:hideMark/>
          </w:tcPr>
          <w:p w14:paraId="0110496B"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Absence of Light Chains</w:t>
            </w:r>
          </w:p>
        </w:tc>
        <w:tc>
          <w:tcPr>
            <w:tcW w:w="0" w:type="auto"/>
            <w:vAlign w:val="center"/>
            <w:hideMark/>
          </w:tcPr>
          <w:p w14:paraId="68DD404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0AF886D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7B58D1BF"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197373B7"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w:t>
            </w:r>
          </w:p>
        </w:tc>
        <w:tc>
          <w:tcPr>
            <w:tcW w:w="0" w:type="auto"/>
            <w:vAlign w:val="center"/>
            <w:hideMark/>
          </w:tcPr>
          <w:p w14:paraId="7D2AF989"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7</w:t>
            </w:r>
          </w:p>
        </w:tc>
      </w:tr>
      <w:tr w:rsidR="00CD46C8" w:rsidRPr="00CD46C8" w14:paraId="27A01D96" w14:textId="77777777" w:rsidTr="002D58A7">
        <w:trPr>
          <w:trHeight w:val="445"/>
          <w:tblCellSpacing w:w="15" w:type="dxa"/>
        </w:trPr>
        <w:tc>
          <w:tcPr>
            <w:tcW w:w="0" w:type="auto"/>
            <w:vAlign w:val="center"/>
            <w:hideMark/>
          </w:tcPr>
          <w:p w14:paraId="37085946"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CD3 TCR αβ</w:t>
            </w:r>
          </w:p>
        </w:tc>
        <w:tc>
          <w:tcPr>
            <w:tcW w:w="0" w:type="auto"/>
            <w:vAlign w:val="center"/>
            <w:hideMark/>
          </w:tcPr>
          <w:p w14:paraId="5655987D"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25 560.75</w:t>
            </w:r>
          </w:p>
        </w:tc>
        <w:tc>
          <w:tcPr>
            <w:tcW w:w="0" w:type="auto"/>
            <w:vAlign w:val="center"/>
            <w:hideMark/>
          </w:tcPr>
          <w:p w14:paraId="2CC7C6E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17 259.42</w:t>
            </w:r>
          </w:p>
        </w:tc>
        <w:tc>
          <w:tcPr>
            <w:tcW w:w="0" w:type="auto"/>
            <w:vAlign w:val="center"/>
            <w:hideMark/>
          </w:tcPr>
          <w:p w14:paraId="07258CEB"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vAlign w:val="center"/>
            <w:hideMark/>
          </w:tcPr>
          <w:p w14:paraId="469BCB6B"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83 015.8</w:t>
            </w:r>
          </w:p>
        </w:tc>
        <w:tc>
          <w:tcPr>
            <w:tcW w:w="0" w:type="auto"/>
            <w:vAlign w:val="center"/>
            <w:hideMark/>
          </w:tcPr>
          <w:p w14:paraId="61D79C9D"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w:t>
            </w:r>
          </w:p>
        </w:tc>
      </w:tr>
      <w:tr w:rsidR="00CD46C8" w:rsidRPr="00CD46C8" w14:paraId="30B1FDA2" w14:textId="77777777" w:rsidTr="002D58A7">
        <w:trPr>
          <w:trHeight w:val="457"/>
          <w:tblCellSpacing w:w="15" w:type="dxa"/>
        </w:trPr>
        <w:tc>
          <w:tcPr>
            <w:tcW w:w="0" w:type="auto"/>
            <w:tcBorders>
              <w:bottom w:val="single" w:sz="4" w:space="0" w:color="auto"/>
            </w:tcBorders>
            <w:vAlign w:val="center"/>
            <w:hideMark/>
          </w:tcPr>
          <w:p w14:paraId="449BC235" w14:textId="77777777" w:rsidR="00CD46C8" w:rsidRPr="00CD46C8" w:rsidRDefault="00CD46C8" w:rsidP="002D58A7">
            <w:pPr>
              <w:spacing w:line="360" w:lineRule="auto"/>
              <w:jc w:val="both"/>
              <w:rPr>
                <w:rFonts w:ascii="Arial" w:hAnsi="Arial" w:cs="Arial"/>
                <w:sz w:val="22"/>
                <w:szCs w:val="22"/>
              </w:rPr>
            </w:pPr>
            <w:r w:rsidRPr="00CD46C8">
              <w:rPr>
                <w:rFonts w:ascii="Arial" w:hAnsi="Arial" w:cs="Arial"/>
                <w:sz w:val="22"/>
                <w:szCs w:val="22"/>
              </w:rPr>
              <w:t xml:space="preserve">CD3 TCR </w:t>
            </w:r>
            <w:proofErr w:type="spellStart"/>
            <w:r w:rsidRPr="00CD46C8">
              <w:rPr>
                <w:rFonts w:ascii="Arial" w:hAnsi="Arial" w:cs="Arial"/>
                <w:sz w:val="22"/>
                <w:szCs w:val="22"/>
              </w:rPr>
              <w:t>δγ</w:t>
            </w:r>
            <w:proofErr w:type="spellEnd"/>
          </w:p>
        </w:tc>
        <w:tc>
          <w:tcPr>
            <w:tcW w:w="0" w:type="auto"/>
            <w:tcBorders>
              <w:bottom w:val="single" w:sz="4" w:space="0" w:color="auto"/>
            </w:tcBorders>
            <w:vAlign w:val="center"/>
            <w:hideMark/>
          </w:tcPr>
          <w:p w14:paraId="2676465E"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208.26</w:t>
            </w:r>
          </w:p>
        </w:tc>
        <w:tc>
          <w:tcPr>
            <w:tcW w:w="0" w:type="auto"/>
            <w:tcBorders>
              <w:bottom w:val="single" w:sz="4" w:space="0" w:color="auto"/>
            </w:tcBorders>
            <w:vAlign w:val="center"/>
            <w:hideMark/>
          </w:tcPr>
          <w:p w14:paraId="22765932"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194.04</w:t>
            </w:r>
          </w:p>
        </w:tc>
        <w:tc>
          <w:tcPr>
            <w:tcW w:w="0" w:type="auto"/>
            <w:tcBorders>
              <w:bottom w:val="single" w:sz="4" w:space="0" w:color="auto"/>
            </w:tcBorders>
            <w:vAlign w:val="center"/>
            <w:hideMark/>
          </w:tcPr>
          <w:p w14:paraId="31488CDC"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c>
          <w:tcPr>
            <w:tcW w:w="0" w:type="auto"/>
            <w:tcBorders>
              <w:bottom w:val="single" w:sz="4" w:space="0" w:color="auto"/>
            </w:tcBorders>
            <w:vAlign w:val="center"/>
            <w:hideMark/>
          </w:tcPr>
          <w:p w14:paraId="4750A884"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928.74</w:t>
            </w:r>
          </w:p>
        </w:tc>
        <w:tc>
          <w:tcPr>
            <w:tcW w:w="0" w:type="auto"/>
            <w:tcBorders>
              <w:bottom w:val="single" w:sz="4" w:space="0" w:color="auto"/>
            </w:tcBorders>
            <w:vAlign w:val="center"/>
            <w:hideMark/>
          </w:tcPr>
          <w:p w14:paraId="7C5DAC90" w14:textId="77777777" w:rsidR="00CD46C8" w:rsidRPr="00CD46C8" w:rsidRDefault="00CD46C8" w:rsidP="002D58A7">
            <w:pPr>
              <w:spacing w:line="360" w:lineRule="auto"/>
              <w:jc w:val="center"/>
              <w:rPr>
                <w:rFonts w:ascii="Arial" w:hAnsi="Arial" w:cs="Arial"/>
                <w:sz w:val="22"/>
                <w:szCs w:val="22"/>
              </w:rPr>
            </w:pPr>
            <w:r w:rsidRPr="00CD46C8">
              <w:rPr>
                <w:rFonts w:ascii="Arial" w:hAnsi="Arial" w:cs="Arial"/>
                <w:sz w:val="22"/>
                <w:szCs w:val="22"/>
              </w:rPr>
              <w:t>0</w:t>
            </w:r>
          </w:p>
        </w:tc>
      </w:tr>
    </w:tbl>
    <w:p w14:paraId="375C0A4A" w14:textId="77777777" w:rsidR="00790ADA" w:rsidRPr="00CD46C8" w:rsidRDefault="00790ADA" w:rsidP="00441B6F">
      <w:pPr>
        <w:pStyle w:val="Head1"/>
        <w:spacing w:after="0"/>
        <w:jc w:val="both"/>
        <w:rPr>
          <w:rFonts w:ascii="Arial" w:hAnsi="Arial" w:cs="Arial"/>
          <w:szCs w:val="22"/>
        </w:rPr>
      </w:pPr>
    </w:p>
    <w:p w14:paraId="61039BF0" w14:textId="77777777" w:rsidR="00CD46C8" w:rsidRPr="00CD46C8" w:rsidRDefault="00CD46C8" w:rsidP="00CD46C8">
      <w:pPr>
        <w:spacing w:line="360" w:lineRule="auto"/>
        <w:jc w:val="both"/>
        <w:rPr>
          <w:rFonts w:ascii="Arial" w:hAnsi="Arial" w:cs="Arial"/>
          <w:sz w:val="22"/>
          <w:szCs w:val="22"/>
          <w:lang w:val="en-GB"/>
        </w:rPr>
      </w:pPr>
      <w:r w:rsidRPr="00CD46C8">
        <w:rPr>
          <w:rFonts w:ascii="Arial" w:hAnsi="Arial" w:cs="Arial"/>
          <w:sz w:val="22"/>
          <w:szCs w:val="22"/>
          <w:lang w:val="en-GB"/>
        </w:rPr>
        <w:t>B proliferations were dominated by chronic lymphocytic leukaemia, as shown in the following histogram 1.</w:t>
      </w:r>
    </w:p>
    <w:p w14:paraId="628224F8" w14:textId="77777777" w:rsidR="00CD46C8" w:rsidRDefault="00CD46C8" w:rsidP="00441B6F">
      <w:pPr>
        <w:pStyle w:val="Head1"/>
        <w:spacing w:after="0"/>
        <w:jc w:val="both"/>
        <w:rPr>
          <w:rFonts w:ascii="Arial" w:hAnsi="Arial" w:cs="Arial"/>
          <w:szCs w:val="22"/>
        </w:rPr>
      </w:pPr>
      <w:r w:rsidRPr="00683597">
        <w:rPr>
          <w:rFonts w:ascii="Arial" w:hAnsi="Arial" w:cs="Arial"/>
          <w:noProof/>
          <w:szCs w:val="22"/>
        </w:rPr>
        <w:drawing>
          <wp:inline distT="0" distB="0" distL="0" distR="0" wp14:anchorId="13615BF9" wp14:editId="19122BD0">
            <wp:extent cx="5059680" cy="3352800"/>
            <wp:effectExtent l="0" t="0" r="7620" b="0"/>
            <wp:docPr id="782537538" name="Graphique 1">
              <a:extLst xmlns:a="http://schemas.openxmlformats.org/drawingml/2006/main">
                <a:ext uri="{FF2B5EF4-FFF2-40B4-BE49-F238E27FC236}">
                  <a16:creationId xmlns:a16="http://schemas.microsoft.com/office/drawing/2014/main" id="{87177051-1AE4-DD59-8DAA-5785A2A8B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123872" w14:textId="77777777" w:rsidR="004E4B0D" w:rsidRDefault="004E4B0D" w:rsidP="00441B6F">
      <w:pPr>
        <w:pStyle w:val="Head1"/>
        <w:spacing w:after="0"/>
        <w:jc w:val="both"/>
        <w:rPr>
          <w:rFonts w:ascii="Arial" w:hAnsi="Arial" w:cs="Arial"/>
          <w:szCs w:val="22"/>
        </w:rPr>
      </w:pPr>
    </w:p>
    <w:p w14:paraId="1884B3D5" w14:textId="55402DB9" w:rsidR="004E4B0D" w:rsidRDefault="004E4B0D" w:rsidP="00441B6F">
      <w:pPr>
        <w:pStyle w:val="Head1"/>
        <w:spacing w:after="0"/>
        <w:jc w:val="both"/>
        <w:rPr>
          <w:rFonts w:ascii="Arial" w:hAnsi="Arial" w:cs="Arial"/>
          <w:szCs w:val="22"/>
        </w:rPr>
      </w:pPr>
      <w:r>
        <w:rPr>
          <w:rFonts w:ascii="Arial" w:hAnsi="Arial" w:cs="Arial"/>
          <w:szCs w:val="22"/>
        </w:rPr>
        <w:t>f</w:t>
      </w:r>
      <w:r>
        <w:rPr>
          <w:rFonts w:ascii="Arial" w:hAnsi="Arial" w:cs="Arial"/>
          <w:caps w:val="0"/>
          <w:szCs w:val="22"/>
        </w:rPr>
        <w:t xml:space="preserve">ig </w:t>
      </w:r>
      <w:r>
        <w:rPr>
          <w:rFonts w:ascii="Arial" w:hAnsi="Arial" w:cs="Arial"/>
          <w:szCs w:val="22"/>
        </w:rPr>
        <w:t xml:space="preserve">.1 </w:t>
      </w:r>
      <w:r w:rsidR="0062395B">
        <w:rPr>
          <w:rFonts w:ascii="Arial" w:hAnsi="Arial" w:cs="Arial"/>
          <w:szCs w:val="22"/>
        </w:rPr>
        <w:t xml:space="preserve">Pie chart showing </w:t>
      </w:r>
      <w:r w:rsidR="0062395B" w:rsidRPr="0062395B">
        <w:rPr>
          <w:rFonts w:ascii="Arial" w:hAnsi="Arial" w:cs="Arial"/>
          <w:szCs w:val="22"/>
        </w:rPr>
        <w:t>chronic lymphocytic leukaemia</w:t>
      </w:r>
    </w:p>
    <w:p w14:paraId="46AABEE6" w14:textId="77777777" w:rsidR="004E4B0D" w:rsidRPr="00683597" w:rsidRDefault="004E4B0D" w:rsidP="00441B6F">
      <w:pPr>
        <w:pStyle w:val="Head1"/>
        <w:spacing w:after="0"/>
        <w:jc w:val="both"/>
        <w:rPr>
          <w:rFonts w:ascii="Arial" w:hAnsi="Arial" w:cs="Arial"/>
          <w:szCs w:val="22"/>
        </w:rPr>
      </w:pPr>
    </w:p>
    <w:p w14:paraId="35D135AE" w14:textId="77777777" w:rsidR="00CD46C8" w:rsidRPr="00683597" w:rsidRDefault="00CD46C8" w:rsidP="00CD46C8">
      <w:pPr>
        <w:spacing w:line="360" w:lineRule="auto"/>
        <w:jc w:val="both"/>
        <w:rPr>
          <w:rFonts w:ascii="Arial" w:hAnsi="Arial" w:cs="Arial"/>
          <w:sz w:val="22"/>
          <w:szCs w:val="22"/>
          <w:lang w:val="en-GB"/>
        </w:rPr>
      </w:pPr>
      <w:r w:rsidRPr="00683597">
        <w:rPr>
          <w:rFonts w:ascii="Arial" w:hAnsi="Arial" w:cs="Arial"/>
          <w:sz w:val="22"/>
          <w:szCs w:val="22"/>
          <w:lang w:val="en-GB"/>
        </w:rPr>
        <w:t>CLL: chronic lymphocytic leukaemia; MZL: marginal zone lymphoma/MZL/LLP: marginal zone lymphoma or lymphoplasmacytic lymphoma; SLLV: splenic lymphocytic lymphoma/ML: mantle cell lymphoma.</w:t>
      </w:r>
    </w:p>
    <w:p w14:paraId="36052A28" w14:textId="77777777" w:rsidR="00CD46C8" w:rsidRPr="00683597" w:rsidRDefault="00CD46C8" w:rsidP="00CD46C8">
      <w:pPr>
        <w:spacing w:line="360" w:lineRule="auto"/>
        <w:jc w:val="both"/>
        <w:rPr>
          <w:rFonts w:ascii="Arial" w:hAnsi="Arial" w:cs="Arial"/>
          <w:sz w:val="22"/>
          <w:szCs w:val="22"/>
          <w:lang w:val="en-GB"/>
        </w:rPr>
      </w:pPr>
      <w:r w:rsidRPr="00683597">
        <w:rPr>
          <w:rFonts w:ascii="Arial" w:hAnsi="Arial" w:cs="Arial"/>
          <w:sz w:val="22"/>
          <w:szCs w:val="22"/>
          <w:lang w:val="en-GB"/>
        </w:rPr>
        <w:t>As shown in Table 2, most B-cell proliferations were diagnosed as chronic lymphocytic leukaemia (CLL), marked by CD19+, CD5+, CD23+, CD79b-, FMC7-, and low surface immunoglobulin. Notably, four CLL cases lacked CD5 expression, and another four had no surface immunoglobulin.</w:t>
      </w:r>
    </w:p>
    <w:p w14:paraId="7F2F011E" w14:textId="77777777" w:rsidR="00CD46C8" w:rsidRPr="00683597" w:rsidRDefault="00CD46C8" w:rsidP="00CD46C8">
      <w:pPr>
        <w:spacing w:line="360" w:lineRule="auto"/>
        <w:jc w:val="both"/>
        <w:rPr>
          <w:rFonts w:ascii="Arial" w:hAnsi="Arial" w:cs="Arial"/>
          <w:sz w:val="22"/>
          <w:szCs w:val="22"/>
          <w:lang w:val="en-GB"/>
        </w:rPr>
      </w:pPr>
      <w:r w:rsidRPr="00683597">
        <w:rPr>
          <w:rFonts w:ascii="Arial" w:hAnsi="Arial" w:cs="Arial"/>
          <w:b/>
          <w:bCs/>
          <w:sz w:val="22"/>
          <w:szCs w:val="22"/>
          <w:lang w:val="en-GB"/>
        </w:rPr>
        <w:lastRenderedPageBreak/>
        <w:t xml:space="preserve">Table 2: </w:t>
      </w:r>
      <w:r w:rsidRPr="00683597">
        <w:rPr>
          <w:rFonts w:ascii="Arial" w:hAnsi="Arial" w:cs="Arial"/>
          <w:sz w:val="22"/>
          <w:szCs w:val="22"/>
          <w:lang w:val="en-GB"/>
        </w:rPr>
        <w:t>Marker expression by chronic lymphoid neoplasm type</w:t>
      </w:r>
    </w:p>
    <w:tbl>
      <w:tblPr>
        <w:tblW w:w="9715" w:type="dxa"/>
        <w:tblCellSpacing w:w="15" w:type="dxa"/>
        <w:tblCellMar>
          <w:top w:w="15" w:type="dxa"/>
          <w:left w:w="15" w:type="dxa"/>
          <w:bottom w:w="15" w:type="dxa"/>
          <w:right w:w="15" w:type="dxa"/>
        </w:tblCellMar>
        <w:tblLook w:val="04A0" w:firstRow="1" w:lastRow="0" w:firstColumn="1" w:lastColumn="0" w:noHBand="0" w:noVBand="1"/>
      </w:tblPr>
      <w:tblGrid>
        <w:gridCol w:w="1419"/>
        <w:gridCol w:w="751"/>
        <w:gridCol w:w="629"/>
        <w:gridCol w:w="751"/>
        <w:gridCol w:w="831"/>
        <w:gridCol w:w="733"/>
        <w:gridCol w:w="1010"/>
        <w:gridCol w:w="1077"/>
        <w:gridCol w:w="874"/>
        <w:gridCol w:w="874"/>
        <w:gridCol w:w="766"/>
      </w:tblGrid>
      <w:tr w:rsidR="00CD46C8" w:rsidRPr="00683597" w14:paraId="490E7777" w14:textId="77777777" w:rsidTr="002D58A7">
        <w:trPr>
          <w:trHeight w:val="720"/>
          <w:tblHeader/>
          <w:tblCellSpacing w:w="15" w:type="dxa"/>
        </w:trPr>
        <w:tc>
          <w:tcPr>
            <w:tcW w:w="0" w:type="auto"/>
            <w:tcBorders>
              <w:top w:val="single" w:sz="4" w:space="0" w:color="auto"/>
              <w:bottom w:val="single" w:sz="4" w:space="0" w:color="auto"/>
            </w:tcBorders>
            <w:vAlign w:val="center"/>
            <w:hideMark/>
          </w:tcPr>
          <w:p w14:paraId="494ACBC4"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Marker</w:t>
            </w:r>
          </w:p>
        </w:tc>
        <w:tc>
          <w:tcPr>
            <w:tcW w:w="0" w:type="auto"/>
            <w:tcBorders>
              <w:top w:val="single" w:sz="4" w:space="0" w:color="auto"/>
              <w:bottom w:val="single" w:sz="4" w:space="0" w:color="auto"/>
            </w:tcBorders>
            <w:vAlign w:val="center"/>
            <w:hideMark/>
          </w:tcPr>
          <w:p w14:paraId="5577FF62"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CD19+</w:t>
            </w:r>
          </w:p>
        </w:tc>
        <w:tc>
          <w:tcPr>
            <w:tcW w:w="0" w:type="auto"/>
            <w:tcBorders>
              <w:top w:val="single" w:sz="4" w:space="0" w:color="auto"/>
              <w:bottom w:val="single" w:sz="4" w:space="0" w:color="auto"/>
            </w:tcBorders>
            <w:vAlign w:val="center"/>
            <w:hideMark/>
          </w:tcPr>
          <w:p w14:paraId="778D42FE"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CD5+</w:t>
            </w:r>
          </w:p>
        </w:tc>
        <w:tc>
          <w:tcPr>
            <w:tcW w:w="0" w:type="auto"/>
            <w:tcBorders>
              <w:top w:val="single" w:sz="4" w:space="0" w:color="auto"/>
              <w:bottom w:val="single" w:sz="4" w:space="0" w:color="auto"/>
            </w:tcBorders>
            <w:vAlign w:val="center"/>
            <w:hideMark/>
          </w:tcPr>
          <w:p w14:paraId="014FF5CD"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CD23+</w:t>
            </w:r>
          </w:p>
        </w:tc>
        <w:tc>
          <w:tcPr>
            <w:tcW w:w="0" w:type="auto"/>
            <w:tcBorders>
              <w:top w:val="single" w:sz="4" w:space="0" w:color="auto"/>
              <w:bottom w:val="single" w:sz="4" w:space="0" w:color="auto"/>
            </w:tcBorders>
            <w:vAlign w:val="center"/>
            <w:hideMark/>
          </w:tcPr>
          <w:p w14:paraId="73955FC2"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CD79b-</w:t>
            </w:r>
          </w:p>
        </w:tc>
        <w:tc>
          <w:tcPr>
            <w:tcW w:w="0" w:type="auto"/>
            <w:tcBorders>
              <w:top w:val="single" w:sz="4" w:space="0" w:color="auto"/>
              <w:bottom w:val="single" w:sz="4" w:space="0" w:color="auto"/>
            </w:tcBorders>
            <w:vAlign w:val="center"/>
            <w:hideMark/>
          </w:tcPr>
          <w:p w14:paraId="44878EB6"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FMC7-</w:t>
            </w:r>
          </w:p>
        </w:tc>
        <w:tc>
          <w:tcPr>
            <w:tcW w:w="0" w:type="auto"/>
            <w:tcBorders>
              <w:top w:val="single" w:sz="4" w:space="0" w:color="auto"/>
              <w:bottom w:val="single" w:sz="4" w:space="0" w:color="auto"/>
            </w:tcBorders>
            <w:vAlign w:val="center"/>
            <w:hideMark/>
          </w:tcPr>
          <w:p w14:paraId="1F7ABD74"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Light chains +/-</w:t>
            </w:r>
          </w:p>
        </w:tc>
        <w:tc>
          <w:tcPr>
            <w:tcW w:w="0" w:type="auto"/>
            <w:tcBorders>
              <w:top w:val="single" w:sz="4" w:space="0" w:color="auto"/>
              <w:bottom w:val="single" w:sz="4" w:space="0" w:color="auto"/>
            </w:tcBorders>
            <w:vAlign w:val="center"/>
            <w:hideMark/>
          </w:tcPr>
          <w:p w14:paraId="42C2BCBE" w14:textId="77777777" w:rsidR="00CD46C8" w:rsidRPr="00683597" w:rsidRDefault="00CD46C8" w:rsidP="002D58A7">
            <w:pPr>
              <w:spacing w:line="360" w:lineRule="auto"/>
              <w:jc w:val="both"/>
              <w:rPr>
                <w:rFonts w:ascii="Arial" w:hAnsi="Arial" w:cs="Arial"/>
                <w:b/>
                <w:bCs/>
                <w:sz w:val="22"/>
                <w:szCs w:val="22"/>
              </w:rPr>
            </w:pPr>
            <w:proofErr w:type="spellStart"/>
            <w:r w:rsidRPr="00683597">
              <w:rPr>
                <w:rFonts w:ascii="Arial" w:hAnsi="Arial" w:cs="Arial"/>
                <w:b/>
                <w:bCs/>
                <w:sz w:val="22"/>
                <w:szCs w:val="22"/>
              </w:rPr>
              <w:t>Matutes</w:t>
            </w:r>
            <w:proofErr w:type="spellEnd"/>
            <w:r w:rsidRPr="00683597">
              <w:rPr>
                <w:rFonts w:ascii="Arial" w:hAnsi="Arial" w:cs="Arial"/>
                <w:b/>
                <w:bCs/>
                <w:sz w:val="22"/>
                <w:szCs w:val="22"/>
              </w:rPr>
              <w:t xml:space="preserve"> Score</w:t>
            </w:r>
          </w:p>
        </w:tc>
        <w:tc>
          <w:tcPr>
            <w:tcW w:w="0" w:type="auto"/>
            <w:tcBorders>
              <w:top w:val="single" w:sz="4" w:space="0" w:color="auto"/>
              <w:bottom w:val="single" w:sz="4" w:space="0" w:color="auto"/>
            </w:tcBorders>
            <w:vAlign w:val="center"/>
            <w:hideMark/>
          </w:tcPr>
          <w:p w14:paraId="43CFA84E"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CD200+</w:t>
            </w:r>
          </w:p>
        </w:tc>
        <w:tc>
          <w:tcPr>
            <w:tcW w:w="0" w:type="auto"/>
            <w:tcBorders>
              <w:top w:val="single" w:sz="4" w:space="0" w:color="auto"/>
              <w:bottom w:val="single" w:sz="4" w:space="0" w:color="auto"/>
            </w:tcBorders>
            <w:vAlign w:val="center"/>
            <w:hideMark/>
          </w:tcPr>
          <w:p w14:paraId="107885AA"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CD180+</w:t>
            </w:r>
          </w:p>
        </w:tc>
        <w:tc>
          <w:tcPr>
            <w:tcW w:w="0" w:type="auto"/>
            <w:tcBorders>
              <w:top w:val="single" w:sz="4" w:space="0" w:color="auto"/>
              <w:bottom w:val="single" w:sz="4" w:space="0" w:color="auto"/>
            </w:tcBorders>
            <w:vAlign w:val="center"/>
            <w:hideMark/>
          </w:tcPr>
          <w:p w14:paraId="7AAC8F9D" w14:textId="77777777" w:rsidR="00CD46C8" w:rsidRPr="00683597" w:rsidRDefault="00CD46C8" w:rsidP="002D58A7">
            <w:pPr>
              <w:spacing w:line="360" w:lineRule="auto"/>
              <w:jc w:val="both"/>
              <w:rPr>
                <w:rFonts w:ascii="Arial" w:hAnsi="Arial" w:cs="Arial"/>
                <w:b/>
                <w:bCs/>
                <w:sz w:val="22"/>
                <w:szCs w:val="22"/>
              </w:rPr>
            </w:pPr>
            <w:r w:rsidRPr="00683597">
              <w:rPr>
                <w:rFonts w:ascii="Arial" w:hAnsi="Arial" w:cs="Arial"/>
                <w:b/>
                <w:bCs/>
                <w:sz w:val="22"/>
                <w:szCs w:val="22"/>
              </w:rPr>
              <w:t>CD43+</w:t>
            </w:r>
          </w:p>
        </w:tc>
      </w:tr>
      <w:tr w:rsidR="00CD46C8" w:rsidRPr="00683597" w14:paraId="77F8049C" w14:textId="77777777" w:rsidTr="002D58A7">
        <w:trPr>
          <w:trHeight w:val="1055"/>
          <w:tblCellSpacing w:w="15" w:type="dxa"/>
        </w:trPr>
        <w:tc>
          <w:tcPr>
            <w:tcW w:w="0" w:type="auto"/>
            <w:vAlign w:val="center"/>
            <w:hideMark/>
          </w:tcPr>
          <w:p w14:paraId="4B09ECC4"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Positive Expression</w:t>
            </w:r>
          </w:p>
        </w:tc>
        <w:tc>
          <w:tcPr>
            <w:tcW w:w="0" w:type="auto"/>
            <w:vAlign w:val="center"/>
            <w:hideMark/>
          </w:tcPr>
          <w:p w14:paraId="56CD018E"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11C18313"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16</w:t>
            </w:r>
          </w:p>
        </w:tc>
        <w:tc>
          <w:tcPr>
            <w:tcW w:w="0" w:type="auto"/>
            <w:vAlign w:val="center"/>
            <w:hideMark/>
          </w:tcPr>
          <w:p w14:paraId="47CE2540"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4A77EEAD"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18</w:t>
            </w:r>
          </w:p>
        </w:tc>
        <w:tc>
          <w:tcPr>
            <w:tcW w:w="0" w:type="auto"/>
            <w:vAlign w:val="center"/>
            <w:hideMark/>
          </w:tcPr>
          <w:p w14:paraId="760C484C"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18</w:t>
            </w:r>
          </w:p>
        </w:tc>
        <w:tc>
          <w:tcPr>
            <w:tcW w:w="0" w:type="auto"/>
            <w:vAlign w:val="center"/>
            <w:hideMark/>
          </w:tcPr>
          <w:p w14:paraId="503E8990"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16</w:t>
            </w:r>
          </w:p>
        </w:tc>
        <w:tc>
          <w:tcPr>
            <w:tcW w:w="0" w:type="auto"/>
            <w:vAlign w:val="center"/>
            <w:hideMark/>
          </w:tcPr>
          <w:p w14:paraId="0A304031"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vAlign w:val="center"/>
            <w:hideMark/>
          </w:tcPr>
          <w:p w14:paraId="781B5A56"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4C657A78"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20</w:t>
            </w:r>
          </w:p>
        </w:tc>
        <w:tc>
          <w:tcPr>
            <w:tcW w:w="0" w:type="auto"/>
            <w:vAlign w:val="center"/>
            <w:hideMark/>
          </w:tcPr>
          <w:p w14:paraId="6C1836B7"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20</w:t>
            </w:r>
          </w:p>
        </w:tc>
      </w:tr>
      <w:tr w:rsidR="00CD46C8" w:rsidRPr="00683597" w14:paraId="571528C2" w14:textId="77777777" w:rsidTr="002D58A7">
        <w:trPr>
          <w:trHeight w:val="1055"/>
          <w:tblCellSpacing w:w="15" w:type="dxa"/>
        </w:trPr>
        <w:tc>
          <w:tcPr>
            <w:tcW w:w="0" w:type="auto"/>
            <w:tcBorders>
              <w:bottom w:val="single" w:sz="4" w:space="0" w:color="auto"/>
            </w:tcBorders>
            <w:vAlign w:val="center"/>
            <w:hideMark/>
          </w:tcPr>
          <w:p w14:paraId="00D5D7E0"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Negative Expression</w:t>
            </w:r>
          </w:p>
        </w:tc>
        <w:tc>
          <w:tcPr>
            <w:tcW w:w="0" w:type="auto"/>
            <w:tcBorders>
              <w:bottom w:val="single" w:sz="4" w:space="0" w:color="auto"/>
            </w:tcBorders>
            <w:vAlign w:val="center"/>
            <w:hideMark/>
          </w:tcPr>
          <w:p w14:paraId="26C761F3"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4A057C3F"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tcBorders>
              <w:bottom w:val="single" w:sz="4" w:space="0" w:color="auto"/>
            </w:tcBorders>
            <w:vAlign w:val="center"/>
            <w:hideMark/>
          </w:tcPr>
          <w:p w14:paraId="4F7C617A"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71B46CB8"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2</w:t>
            </w:r>
          </w:p>
        </w:tc>
        <w:tc>
          <w:tcPr>
            <w:tcW w:w="0" w:type="auto"/>
            <w:tcBorders>
              <w:bottom w:val="single" w:sz="4" w:space="0" w:color="auto"/>
            </w:tcBorders>
            <w:vAlign w:val="center"/>
            <w:hideMark/>
          </w:tcPr>
          <w:p w14:paraId="31BBC229"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2</w:t>
            </w:r>
          </w:p>
        </w:tc>
        <w:tc>
          <w:tcPr>
            <w:tcW w:w="0" w:type="auto"/>
            <w:tcBorders>
              <w:bottom w:val="single" w:sz="4" w:space="0" w:color="auto"/>
            </w:tcBorders>
            <w:vAlign w:val="center"/>
            <w:hideMark/>
          </w:tcPr>
          <w:p w14:paraId="0B14675B"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tcBorders>
              <w:bottom w:val="single" w:sz="4" w:space="0" w:color="auto"/>
            </w:tcBorders>
            <w:vAlign w:val="center"/>
            <w:hideMark/>
          </w:tcPr>
          <w:p w14:paraId="28CDB3F9"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≥4</w:t>
            </w:r>
          </w:p>
        </w:tc>
        <w:tc>
          <w:tcPr>
            <w:tcW w:w="0" w:type="auto"/>
            <w:tcBorders>
              <w:bottom w:val="single" w:sz="4" w:space="0" w:color="auto"/>
            </w:tcBorders>
            <w:vAlign w:val="center"/>
            <w:hideMark/>
          </w:tcPr>
          <w:p w14:paraId="767E2DD9"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61B1C83A"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0</w:t>
            </w:r>
          </w:p>
        </w:tc>
        <w:tc>
          <w:tcPr>
            <w:tcW w:w="0" w:type="auto"/>
            <w:tcBorders>
              <w:bottom w:val="single" w:sz="4" w:space="0" w:color="auto"/>
            </w:tcBorders>
            <w:vAlign w:val="center"/>
            <w:hideMark/>
          </w:tcPr>
          <w:p w14:paraId="7C5B5692" w14:textId="77777777" w:rsidR="00CD46C8" w:rsidRPr="00683597" w:rsidRDefault="00CD46C8" w:rsidP="002D58A7">
            <w:pPr>
              <w:spacing w:line="360" w:lineRule="auto"/>
              <w:jc w:val="both"/>
              <w:rPr>
                <w:rFonts w:ascii="Arial" w:hAnsi="Arial" w:cs="Arial"/>
                <w:sz w:val="22"/>
                <w:szCs w:val="22"/>
              </w:rPr>
            </w:pPr>
            <w:r w:rsidRPr="00683597">
              <w:rPr>
                <w:rFonts w:ascii="Arial" w:hAnsi="Arial" w:cs="Arial"/>
                <w:sz w:val="22"/>
                <w:szCs w:val="22"/>
              </w:rPr>
              <w:t>0</w:t>
            </w:r>
          </w:p>
        </w:tc>
      </w:tr>
    </w:tbl>
    <w:p w14:paraId="61C96EEB" w14:textId="77777777" w:rsidR="00CD46C8" w:rsidRPr="00683597" w:rsidRDefault="00CD46C8" w:rsidP="00441B6F">
      <w:pPr>
        <w:pStyle w:val="Head1"/>
        <w:spacing w:after="0"/>
        <w:jc w:val="both"/>
        <w:rPr>
          <w:rFonts w:ascii="Arial" w:hAnsi="Arial" w:cs="Arial"/>
          <w:szCs w:val="22"/>
        </w:rPr>
      </w:pPr>
    </w:p>
    <w:p w14:paraId="07B1226A" w14:textId="77777777" w:rsidR="00CD46C8" w:rsidRPr="00683597" w:rsidRDefault="00CD46C8"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Additionally, marginal zone lymphomas or lymphoplasmacytic lymphomas were identified by the absence of CD5, CD23, CD11c, and FMC7 markers. T-cell proliferations consisted of three distinct syndromes: three of Sezary cell type, one case of adult T-cell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-lymphoma (ATL) type, one case of large granular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and three case of undetermined T proliferation. CD3 T lymphocyte proliferation was also noted with the following markers: CD45, CD3-, </w:t>
      </w:r>
      <w:proofErr w:type="spellStart"/>
      <w:r w:rsidRPr="00683597">
        <w:rPr>
          <w:rFonts w:ascii="Arial" w:hAnsi="Arial" w:cs="Arial"/>
          <w:sz w:val="22"/>
          <w:szCs w:val="22"/>
          <w:lang w:val="en-GB"/>
        </w:rPr>
        <w:t>TdT</w:t>
      </w:r>
      <w:proofErr w:type="spellEnd"/>
      <w:r w:rsidRPr="00683597">
        <w:rPr>
          <w:rFonts w:ascii="Arial" w:hAnsi="Arial" w:cs="Arial"/>
          <w:sz w:val="22"/>
          <w:szCs w:val="22"/>
          <w:lang w:val="en-GB"/>
        </w:rPr>
        <w:t>-, CD4+/-, CD8-, CD2+, CD5+, CD7+, CD56-, CD57-, CD25-. The summary of cytological and phenotypic criteria is presented in Table 3 below:</w:t>
      </w:r>
    </w:p>
    <w:p w14:paraId="3181E558" w14:textId="77777777" w:rsidR="00683597" w:rsidRPr="00683597" w:rsidRDefault="00683597" w:rsidP="00441B6F">
      <w:pPr>
        <w:pStyle w:val="Head1"/>
        <w:spacing w:after="0"/>
        <w:jc w:val="both"/>
        <w:rPr>
          <w:rFonts w:ascii="Arial" w:hAnsi="Arial" w:cs="Arial"/>
          <w:szCs w:val="22"/>
        </w:rPr>
        <w:sectPr w:rsidR="00683597" w:rsidRPr="00683597" w:rsidSect="005D52F7">
          <w:type w:val="continuous"/>
          <w:pgSz w:w="12240" w:h="15840"/>
          <w:pgMar w:top="1417" w:right="1417" w:bottom="1417" w:left="1417" w:header="720" w:footer="1123" w:gutter="0"/>
          <w:cols w:space="720"/>
          <w:docGrid w:linePitch="272"/>
        </w:sectPr>
      </w:pPr>
    </w:p>
    <w:p w14:paraId="5F483A95" w14:textId="77777777" w:rsidR="00683597" w:rsidRPr="00683597" w:rsidRDefault="00683597" w:rsidP="00683597">
      <w:pPr>
        <w:spacing w:line="360" w:lineRule="auto"/>
        <w:jc w:val="both"/>
        <w:rPr>
          <w:rFonts w:ascii="Arial" w:hAnsi="Arial" w:cs="Arial"/>
          <w:b/>
          <w:sz w:val="22"/>
          <w:szCs w:val="22"/>
          <w:lang w:val="en-GB"/>
        </w:rPr>
      </w:pPr>
    </w:p>
    <w:p w14:paraId="70FC4942" w14:textId="77777777" w:rsidR="00CD46C8" w:rsidRPr="00683597" w:rsidRDefault="00683597" w:rsidP="00683597">
      <w:pPr>
        <w:spacing w:line="360" w:lineRule="auto"/>
        <w:jc w:val="both"/>
        <w:rPr>
          <w:rFonts w:ascii="Arial" w:hAnsi="Arial" w:cs="Arial"/>
          <w:sz w:val="22"/>
          <w:szCs w:val="22"/>
          <w:lang w:val="en-GB"/>
        </w:rPr>
      </w:pPr>
      <w:r w:rsidRPr="00683597">
        <w:rPr>
          <w:rFonts w:ascii="Arial" w:hAnsi="Arial" w:cs="Arial"/>
          <w:b/>
          <w:bCs/>
          <w:sz w:val="22"/>
          <w:szCs w:val="22"/>
          <w:lang w:val="en-GB"/>
        </w:rPr>
        <w:t xml:space="preserve">Table 3: </w:t>
      </w:r>
      <w:r w:rsidRPr="00683597">
        <w:rPr>
          <w:rFonts w:ascii="Arial" w:hAnsi="Arial" w:cs="Arial"/>
          <w:sz w:val="22"/>
          <w:szCs w:val="22"/>
          <w:lang w:val="en-GB"/>
        </w:rPr>
        <w:t>Cytological characteristics and immunophenotypic markers</w:t>
      </w:r>
    </w:p>
    <w:tbl>
      <w:tblPr>
        <w:tblpPr w:leftFromText="141" w:rightFromText="141" w:vertAnchor="text" w:horzAnchor="margin" w:tblpY="318"/>
        <w:tblW w:w="5000" w:type="pct"/>
        <w:tblBorders>
          <w:top w:val="single" w:sz="4" w:space="0" w:color="000000"/>
          <w:bottom w:val="single" w:sz="4" w:space="0" w:color="000000"/>
        </w:tblBorders>
        <w:tblCellMar>
          <w:left w:w="70" w:type="dxa"/>
          <w:right w:w="70" w:type="dxa"/>
        </w:tblCellMar>
        <w:tblLook w:val="04A0" w:firstRow="1" w:lastRow="0" w:firstColumn="1" w:lastColumn="0" w:noHBand="0" w:noVBand="1"/>
      </w:tblPr>
      <w:tblGrid>
        <w:gridCol w:w="3472"/>
        <w:gridCol w:w="18"/>
        <w:gridCol w:w="5301"/>
        <w:gridCol w:w="374"/>
        <w:gridCol w:w="3528"/>
        <w:gridCol w:w="313"/>
      </w:tblGrid>
      <w:tr w:rsidR="00683597" w:rsidRPr="00683597" w14:paraId="297675B4" w14:textId="77777777" w:rsidTr="00EA1195">
        <w:trPr>
          <w:trHeight w:val="362"/>
        </w:trPr>
        <w:tc>
          <w:tcPr>
            <w:tcW w:w="1126" w:type="pct"/>
            <w:gridSpan w:val="2"/>
            <w:tcBorders>
              <w:top w:val="single" w:sz="4" w:space="0" w:color="000000"/>
              <w:bottom w:val="nil"/>
            </w:tcBorders>
            <w:shd w:val="clear" w:color="auto" w:fill="auto"/>
            <w:vAlign w:val="center"/>
          </w:tcPr>
          <w:p w14:paraId="19934EBB" w14:textId="77777777" w:rsidR="00683597" w:rsidRPr="00683597" w:rsidRDefault="00683597" w:rsidP="002D58A7">
            <w:pPr>
              <w:spacing w:line="360" w:lineRule="auto"/>
              <w:rPr>
                <w:rFonts w:ascii="Arial" w:hAnsi="Arial" w:cs="Arial"/>
                <w:color w:val="000000"/>
                <w:sz w:val="22"/>
                <w:szCs w:val="22"/>
                <w:lang w:val="en-GB" w:eastAsia="fr-FR"/>
              </w:rPr>
            </w:pPr>
          </w:p>
        </w:tc>
        <w:tc>
          <w:tcPr>
            <w:tcW w:w="2092" w:type="pct"/>
            <w:tcBorders>
              <w:top w:val="single" w:sz="4" w:space="0" w:color="000000"/>
              <w:bottom w:val="nil"/>
            </w:tcBorders>
          </w:tcPr>
          <w:p w14:paraId="4340292F" w14:textId="77777777" w:rsidR="00683597" w:rsidRPr="00683597" w:rsidRDefault="00683597" w:rsidP="002D58A7">
            <w:pPr>
              <w:spacing w:line="360" w:lineRule="auto"/>
              <w:jc w:val="center"/>
              <w:rPr>
                <w:rFonts w:ascii="Arial" w:hAnsi="Arial" w:cs="Arial"/>
                <w:b/>
                <w:bCs/>
                <w:color w:val="000000"/>
                <w:sz w:val="22"/>
                <w:szCs w:val="22"/>
                <w:lang w:eastAsia="fr-FR"/>
              </w:rPr>
            </w:pPr>
            <w:r w:rsidRPr="00683597">
              <w:rPr>
                <w:rFonts w:ascii="Arial" w:hAnsi="Arial" w:cs="Arial"/>
                <w:b/>
                <w:bCs/>
                <w:sz w:val="22"/>
                <w:szCs w:val="22"/>
                <w:lang w:val="en-GB"/>
              </w:rPr>
              <w:t>Cytological Characteristics</w:t>
            </w:r>
          </w:p>
        </w:tc>
        <w:tc>
          <w:tcPr>
            <w:tcW w:w="1782" w:type="pct"/>
            <w:gridSpan w:val="3"/>
            <w:tcBorders>
              <w:top w:val="single" w:sz="4" w:space="0" w:color="000000"/>
              <w:bottom w:val="nil"/>
            </w:tcBorders>
          </w:tcPr>
          <w:p w14:paraId="0F78D455" w14:textId="77777777" w:rsidR="00683597" w:rsidRPr="00683597" w:rsidRDefault="00683597" w:rsidP="002D58A7">
            <w:pPr>
              <w:spacing w:line="360" w:lineRule="auto"/>
              <w:jc w:val="center"/>
              <w:rPr>
                <w:rFonts w:ascii="Arial" w:hAnsi="Arial" w:cs="Arial"/>
                <w:b/>
                <w:bCs/>
                <w:color w:val="000000"/>
                <w:sz w:val="22"/>
                <w:szCs w:val="22"/>
                <w:lang w:eastAsia="fr-FR"/>
              </w:rPr>
            </w:pPr>
            <w:r w:rsidRPr="00683597">
              <w:rPr>
                <w:rFonts w:ascii="Arial" w:hAnsi="Arial" w:cs="Arial"/>
                <w:b/>
                <w:bCs/>
                <w:sz w:val="22"/>
                <w:szCs w:val="22"/>
                <w:lang w:val="en-GB"/>
              </w:rPr>
              <w:t>Immunophenotypic Markers</w:t>
            </w:r>
          </w:p>
        </w:tc>
      </w:tr>
      <w:tr w:rsidR="00683597" w:rsidRPr="00683597" w14:paraId="2F95895B" w14:textId="77777777" w:rsidTr="00EA1195">
        <w:trPr>
          <w:trHeight w:val="193"/>
        </w:trPr>
        <w:tc>
          <w:tcPr>
            <w:tcW w:w="5000" w:type="pct"/>
            <w:gridSpan w:val="6"/>
            <w:tcBorders>
              <w:top w:val="nil"/>
              <w:bottom w:val="single" w:sz="4" w:space="0" w:color="000000"/>
            </w:tcBorders>
            <w:shd w:val="clear" w:color="auto" w:fill="auto"/>
            <w:vAlign w:val="center"/>
          </w:tcPr>
          <w:p w14:paraId="408E5667" w14:textId="77777777" w:rsidR="00683597" w:rsidRPr="00683597" w:rsidRDefault="00683597" w:rsidP="002D58A7">
            <w:pPr>
              <w:spacing w:line="360" w:lineRule="auto"/>
              <w:rPr>
                <w:rFonts w:ascii="Arial" w:hAnsi="Arial" w:cs="Arial"/>
                <w:b/>
                <w:bCs/>
                <w:sz w:val="22"/>
                <w:szCs w:val="22"/>
                <w:lang w:val="en-GB"/>
              </w:rPr>
            </w:pPr>
            <w:r w:rsidRPr="00683597">
              <w:rPr>
                <w:rFonts w:ascii="Arial" w:hAnsi="Arial" w:cs="Arial"/>
                <w:b/>
                <w:bCs/>
                <w:sz w:val="22"/>
                <w:szCs w:val="22"/>
                <w:lang w:val="en-GB"/>
              </w:rPr>
              <w:t>Subtypes of B-Cell Chronic Lymphoid Neoplasms (B-CLNs)</w:t>
            </w:r>
          </w:p>
        </w:tc>
      </w:tr>
      <w:tr w:rsidR="00683597" w:rsidRPr="00683597" w14:paraId="5629F67C" w14:textId="77777777" w:rsidTr="00EA1195">
        <w:trPr>
          <w:trHeight w:val="995"/>
        </w:trPr>
        <w:tc>
          <w:tcPr>
            <w:tcW w:w="1126" w:type="pct"/>
            <w:gridSpan w:val="2"/>
            <w:vMerge w:val="restart"/>
            <w:tcBorders>
              <w:top w:val="single" w:sz="4" w:space="0" w:color="000000"/>
            </w:tcBorders>
            <w:shd w:val="clear" w:color="auto" w:fill="auto"/>
            <w:vAlign w:val="center"/>
            <w:hideMark/>
          </w:tcPr>
          <w:p w14:paraId="16C33D0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Chronic Lymphocytic Leukemia (CLL)</w:t>
            </w:r>
          </w:p>
          <w:p w14:paraId="5B090EA2"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tcBorders>
              <w:top w:val="single" w:sz="4" w:space="0" w:color="000000"/>
            </w:tcBorders>
          </w:tcPr>
          <w:p w14:paraId="0583359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Small-to-medium mature lymphocytes with a thin basophilic cytoplasmic rim.</w:t>
            </w:r>
          </w:p>
        </w:tc>
        <w:tc>
          <w:tcPr>
            <w:tcW w:w="1782" w:type="pct"/>
            <w:gridSpan w:val="3"/>
            <w:tcBorders>
              <w:top w:val="single" w:sz="4" w:space="0" w:color="000000"/>
            </w:tcBorders>
          </w:tcPr>
          <w:p w14:paraId="15AAD7EA"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17292715" w14:textId="77777777" w:rsidTr="00EA1195">
        <w:trPr>
          <w:trHeight w:val="1417"/>
        </w:trPr>
        <w:tc>
          <w:tcPr>
            <w:tcW w:w="1126" w:type="pct"/>
            <w:gridSpan w:val="2"/>
            <w:vMerge/>
            <w:shd w:val="clear" w:color="auto" w:fill="auto"/>
            <w:vAlign w:val="center"/>
          </w:tcPr>
          <w:p w14:paraId="22E1E205" w14:textId="77777777" w:rsidR="00683597" w:rsidRPr="00683597" w:rsidRDefault="00683597" w:rsidP="002D58A7">
            <w:pPr>
              <w:spacing w:line="360" w:lineRule="auto"/>
              <w:rPr>
                <w:rFonts w:ascii="Arial" w:hAnsi="Arial" w:cs="Arial"/>
                <w:b/>
                <w:bCs/>
                <w:sz w:val="22"/>
                <w:szCs w:val="22"/>
              </w:rPr>
            </w:pPr>
          </w:p>
        </w:tc>
        <w:tc>
          <w:tcPr>
            <w:tcW w:w="2092" w:type="pct"/>
          </w:tcPr>
          <w:p w14:paraId="4EA88DAB"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Large nuclei with dense, occasionally cracked chromatin and nuclear shadows (Gumprecht shadows).</w:t>
            </w:r>
          </w:p>
          <w:p w14:paraId="334FA746"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Lymphocytes occasionally grouped in clusters of 4–6 cells</w:t>
            </w:r>
          </w:p>
        </w:tc>
        <w:tc>
          <w:tcPr>
            <w:tcW w:w="1782" w:type="pct"/>
            <w:gridSpan w:val="3"/>
          </w:tcPr>
          <w:p w14:paraId="11D0ED38"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6A0A8CC6" w14:textId="77777777" w:rsidTr="00EA1195">
        <w:trPr>
          <w:trHeight w:val="1164"/>
        </w:trPr>
        <w:tc>
          <w:tcPr>
            <w:tcW w:w="1126" w:type="pct"/>
            <w:gridSpan w:val="2"/>
            <w:shd w:val="clear" w:color="auto" w:fill="auto"/>
            <w:vAlign w:val="center"/>
            <w:hideMark/>
          </w:tcPr>
          <w:p w14:paraId="20CD0AC7"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Marginal Zone Lymphoma (MZL)</w:t>
            </w:r>
          </w:p>
          <w:p w14:paraId="752325F8"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vMerge w:val="restart"/>
            <w:vAlign w:val="center"/>
          </w:tcPr>
          <w:p w14:paraId="60748557"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Atypical lymphocytes (</w:t>
            </w:r>
            <w:proofErr w:type="spellStart"/>
            <w:r w:rsidRPr="00683597">
              <w:rPr>
                <w:rFonts w:ascii="Arial" w:hAnsi="Arial" w:cs="Arial"/>
                <w:sz w:val="22"/>
                <w:szCs w:val="22"/>
                <w:lang w:val="en-GB"/>
              </w:rPr>
              <w:t>monocytoid</w:t>
            </w:r>
            <w:proofErr w:type="spellEnd"/>
            <w:r w:rsidRPr="00683597">
              <w:rPr>
                <w:rFonts w:ascii="Arial" w:hAnsi="Arial" w:cs="Arial"/>
                <w:sz w:val="22"/>
                <w:szCs w:val="22"/>
                <w:lang w:val="en-GB"/>
              </w:rPr>
              <w:t xml:space="preserve"> type) of medium size, with variable cytoplasmic characteristics.</w:t>
            </w:r>
          </w:p>
          <w:p w14:paraId="712C4A5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Fine cytoplasmic villosities, sometimes polarized.</w:t>
            </w:r>
          </w:p>
          <w:p w14:paraId="4B2C255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Medium-sized nuclei with irregular contours and dense chromatin.</w:t>
            </w:r>
          </w:p>
        </w:tc>
        <w:tc>
          <w:tcPr>
            <w:tcW w:w="1782" w:type="pct"/>
            <w:gridSpan w:val="3"/>
          </w:tcPr>
          <w:p w14:paraId="77A0AC9A"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rPr>
              <w:t>CD5-, CD23-, FMC7+, CD79b+, CD10-, CD20+, CD180+, CD200-, CD43-, CD11c+, CD22+.</w:t>
            </w:r>
          </w:p>
        </w:tc>
      </w:tr>
      <w:tr w:rsidR="00683597" w:rsidRPr="00683597" w14:paraId="3E1B3C22" w14:textId="77777777" w:rsidTr="00EA1195">
        <w:trPr>
          <w:trHeight w:val="1244"/>
        </w:trPr>
        <w:tc>
          <w:tcPr>
            <w:tcW w:w="1126" w:type="pct"/>
            <w:gridSpan w:val="2"/>
            <w:shd w:val="clear" w:color="auto" w:fill="auto"/>
            <w:vAlign w:val="center"/>
            <w:hideMark/>
          </w:tcPr>
          <w:p w14:paraId="31C77972"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Marginal Zone Lymphoma/Lymphoplasmacytic Lymphoma (MZL/LPL)</w:t>
            </w:r>
          </w:p>
          <w:p w14:paraId="4C8AEB5F" w14:textId="77777777" w:rsidR="00683597" w:rsidRPr="00683597" w:rsidRDefault="00683597" w:rsidP="002D58A7">
            <w:pPr>
              <w:spacing w:line="360" w:lineRule="auto"/>
              <w:rPr>
                <w:rFonts w:ascii="Arial" w:hAnsi="Arial" w:cs="Arial"/>
                <w:color w:val="000000"/>
                <w:sz w:val="22"/>
                <w:szCs w:val="22"/>
                <w:lang w:eastAsia="fr-FR"/>
              </w:rPr>
            </w:pPr>
          </w:p>
        </w:tc>
        <w:tc>
          <w:tcPr>
            <w:tcW w:w="2092" w:type="pct"/>
            <w:vMerge/>
          </w:tcPr>
          <w:p w14:paraId="08747701" w14:textId="77777777" w:rsidR="00683597" w:rsidRPr="00683597" w:rsidRDefault="00683597" w:rsidP="002D58A7">
            <w:pPr>
              <w:spacing w:line="360" w:lineRule="auto"/>
              <w:jc w:val="center"/>
              <w:rPr>
                <w:rFonts w:ascii="Arial" w:hAnsi="Arial" w:cs="Arial"/>
                <w:color w:val="000000"/>
                <w:sz w:val="22"/>
                <w:szCs w:val="22"/>
                <w:lang w:eastAsia="fr-FR"/>
              </w:rPr>
            </w:pPr>
          </w:p>
        </w:tc>
        <w:tc>
          <w:tcPr>
            <w:tcW w:w="1782" w:type="pct"/>
            <w:gridSpan w:val="3"/>
          </w:tcPr>
          <w:p w14:paraId="77060C8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CD5-, CD23-, FMC7+, CD79b+, CD10-, CD20+, CD180+, CD200+/-, CD43-, CD11c+, CD22+.</w:t>
            </w:r>
          </w:p>
        </w:tc>
      </w:tr>
      <w:tr w:rsidR="00683597" w:rsidRPr="00683597" w14:paraId="656271A2" w14:textId="77777777" w:rsidTr="00EA1195">
        <w:trPr>
          <w:trHeight w:val="1570"/>
        </w:trPr>
        <w:tc>
          <w:tcPr>
            <w:tcW w:w="1126" w:type="pct"/>
            <w:gridSpan w:val="2"/>
            <w:tcBorders>
              <w:bottom w:val="nil"/>
            </w:tcBorders>
            <w:shd w:val="clear" w:color="auto" w:fill="auto"/>
            <w:vAlign w:val="center"/>
            <w:hideMark/>
          </w:tcPr>
          <w:p w14:paraId="35DEBAE5" w14:textId="77777777" w:rsidR="00683597" w:rsidRPr="00683597" w:rsidRDefault="00683597" w:rsidP="002D58A7">
            <w:pPr>
              <w:spacing w:line="360" w:lineRule="auto"/>
              <w:rPr>
                <w:rFonts w:ascii="Arial" w:hAnsi="Arial" w:cs="Arial"/>
                <w:color w:val="000000"/>
                <w:sz w:val="22"/>
                <w:szCs w:val="22"/>
                <w:lang w:eastAsia="fr-FR"/>
              </w:rPr>
            </w:pPr>
            <w:r w:rsidRPr="00683597">
              <w:rPr>
                <w:rFonts w:ascii="Arial" w:hAnsi="Arial" w:cs="Arial"/>
                <w:b/>
                <w:bCs/>
                <w:sz w:val="22"/>
                <w:szCs w:val="22"/>
              </w:rPr>
              <w:t>Splenic Marginal Zone Lymphoma (SMZL)</w:t>
            </w:r>
            <w:r w:rsidRPr="00683597">
              <w:rPr>
                <w:rFonts w:ascii="Arial" w:hAnsi="Arial" w:cs="Arial"/>
                <w:sz w:val="22"/>
                <w:szCs w:val="22"/>
              </w:rPr>
              <w:br/>
            </w:r>
          </w:p>
        </w:tc>
        <w:tc>
          <w:tcPr>
            <w:tcW w:w="2092" w:type="pct"/>
            <w:vMerge/>
            <w:tcBorders>
              <w:bottom w:val="nil"/>
            </w:tcBorders>
          </w:tcPr>
          <w:p w14:paraId="3CB4B52A" w14:textId="77777777" w:rsidR="00683597" w:rsidRPr="00683597" w:rsidRDefault="00683597" w:rsidP="002D58A7">
            <w:pPr>
              <w:spacing w:line="360" w:lineRule="auto"/>
              <w:jc w:val="center"/>
              <w:rPr>
                <w:rFonts w:ascii="Arial" w:hAnsi="Arial" w:cs="Arial"/>
                <w:color w:val="000000"/>
                <w:sz w:val="22"/>
                <w:szCs w:val="22"/>
                <w:lang w:eastAsia="fr-FR"/>
              </w:rPr>
            </w:pPr>
          </w:p>
        </w:tc>
        <w:tc>
          <w:tcPr>
            <w:tcW w:w="1782" w:type="pct"/>
            <w:gridSpan w:val="3"/>
            <w:tcBorders>
              <w:bottom w:val="nil"/>
            </w:tcBorders>
          </w:tcPr>
          <w:p w14:paraId="7B96DB27"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rPr>
              <w:t>CD5-, CD23-, FMC7+, CD79b+/-, CD10-, CD20+, CD180+, CD200-, CD43-, CD11c+, CD22-, CD103+.</w:t>
            </w:r>
          </w:p>
        </w:tc>
      </w:tr>
      <w:tr w:rsidR="00683597" w:rsidRPr="00683597" w14:paraId="1DAB3A23" w14:textId="77777777" w:rsidTr="00EA1195">
        <w:trPr>
          <w:trHeight w:val="508"/>
        </w:trPr>
        <w:tc>
          <w:tcPr>
            <w:tcW w:w="1126" w:type="pct"/>
            <w:gridSpan w:val="2"/>
            <w:tcBorders>
              <w:top w:val="nil"/>
              <w:bottom w:val="single" w:sz="4" w:space="0" w:color="000000"/>
            </w:tcBorders>
            <w:shd w:val="clear" w:color="auto" w:fill="auto"/>
            <w:vAlign w:val="center"/>
            <w:hideMark/>
          </w:tcPr>
          <w:p w14:paraId="0CAE477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lastRenderedPageBreak/>
              <w:t>Mantle Cell Lymphoma (MCL)</w:t>
            </w:r>
          </w:p>
        </w:tc>
        <w:tc>
          <w:tcPr>
            <w:tcW w:w="2092" w:type="pct"/>
            <w:tcBorders>
              <w:top w:val="nil"/>
              <w:bottom w:val="single" w:sz="4" w:space="0" w:color="000000"/>
            </w:tcBorders>
          </w:tcPr>
          <w:p w14:paraId="14F8847D"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Atypical lymphocytes with irregular shapes, monomorphic "</w:t>
            </w:r>
            <w:proofErr w:type="spellStart"/>
            <w:r w:rsidRPr="00683597">
              <w:rPr>
                <w:rFonts w:ascii="Arial" w:hAnsi="Arial" w:cs="Arial"/>
                <w:sz w:val="22"/>
                <w:szCs w:val="22"/>
                <w:lang w:val="en-GB"/>
              </w:rPr>
              <w:t>blastic</w:t>
            </w:r>
            <w:proofErr w:type="spellEnd"/>
            <w:r w:rsidRPr="00683597">
              <w:rPr>
                <w:rFonts w:ascii="Arial" w:hAnsi="Arial" w:cs="Arial"/>
                <w:sz w:val="22"/>
                <w:szCs w:val="22"/>
                <w:lang w:val="en-GB"/>
              </w:rPr>
              <w:t>" variants</w:t>
            </w:r>
          </w:p>
        </w:tc>
        <w:tc>
          <w:tcPr>
            <w:tcW w:w="1782" w:type="pct"/>
            <w:gridSpan w:val="3"/>
            <w:tcBorders>
              <w:top w:val="nil"/>
              <w:bottom w:val="single" w:sz="4" w:space="0" w:color="000000"/>
            </w:tcBorders>
          </w:tcPr>
          <w:p w14:paraId="1CFF643D" w14:textId="77777777" w:rsidR="00683597" w:rsidRPr="00683597" w:rsidRDefault="00683597" w:rsidP="002D58A7">
            <w:pPr>
              <w:spacing w:line="360" w:lineRule="auto"/>
              <w:rPr>
                <w:rFonts w:ascii="Arial" w:hAnsi="Arial" w:cs="Arial"/>
                <w:sz w:val="22"/>
                <w:szCs w:val="22"/>
              </w:rPr>
            </w:pPr>
            <w:r w:rsidRPr="00683597">
              <w:rPr>
                <w:rFonts w:ascii="Arial" w:hAnsi="Arial" w:cs="Arial"/>
                <w:sz w:val="22"/>
                <w:szCs w:val="22"/>
                <w:lang w:val="en-GB"/>
              </w:rPr>
              <w:t>CD5+, CD23-, FMC7+, CD79b+, CD10-, CD20+, CD180-, CD200-, CD43</w:t>
            </w:r>
            <w:r w:rsidRPr="00683597">
              <w:rPr>
                <w:rFonts w:ascii="Arial" w:hAnsi="Arial" w:cs="Arial"/>
                <w:sz w:val="22"/>
                <w:szCs w:val="22"/>
              </w:rPr>
              <w:t>-, CD11c-, CD22-.</w:t>
            </w:r>
          </w:p>
          <w:p w14:paraId="0CB52DD0" w14:textId="77777777" w:rsidR="00683597" w:rsidRPr="00683597" w:rsidRDefault="00683597" w:rsidP="002D58A7">
            <w:pPr>
              <w:spacing w:line="360" w:lineRule="auto"/>
              <w:rPr>
                <w:rFonts w:ascii="Arial" w:hAnsi="Arial" w:cs="Arial"/>
                <w:sz w:val="22"/>
                <w:szCs w:val="22"/>
              </w:rPr>
            </w:pPr>
          </w:p>
        </w:tc>
      </w:tr>
      <w:tr w:rsidR="00683597" w:rsidRPr="00683597" w14:paraId="1ACC83AB" w14:textId="77777777" w:rsidTr="00EA1195">
        <w:trPr>
          <w:trHeight w:val="528"/>
        </w:trPr>
        <w:tc>
          <w:tcPr>
            <w:tcW w:w="5000" w:type="pct"/>
            <w:gridSpan w:val="6"/>
            <w:tcBorders>
              <w:top w:val="single" w:sz="4" w:space="0" w:color="000000"/>
              <w:bottom w:val="single" w:sz="4" w:space="0" w:color="000000"/>
            </w:tcBorders>
            <w:shd w:val="clear" w:color="auto" w:fill="auto"/>
            <w:vAlign w:val="center"/>
            <w:hideMark/>
          </w:tcPr>
          <w:p w14:paraId="4CE225AF" w14:textId="77777777" w:rsidR="00683597" w:rsidRPr="00683597" w:rsidRDefault="00683597" w:rsidP="002D58A7">
            <w:pPr>
              <w:spacing w:line="360" w:lineRule="auto"/>
              <w:jc w:val="center"/>
              <w:rPr>
                <w:rFonts w:ascii="Arial" w:hAnsi="Arial" w:cs="Arial"/>
                <w:color w:val="000000"/>
                <w:sz w:val="22"/>
                <w:szCs w:val="22"/>
                <w:lang w:val="en-GB" w:eastAsia="fr-FR"/>
              </w:rPr>
            </w:pPr>
            <w:r w:rsidRPr="00683597">
              <w:rPr>
                <w:rFonts w:ascii="Arial" w:hAnsi="Arial" w:cs="Arial"/>
                <w:b/>
                <w:bCs/>
                <w:sz w:val="22"/>
                <w:szCs w:val="22"/>
                <w:lang w:val="en-GB"/>
              </w:rPr>
              <w:t>Subtypes of T-Cell Chronic Lymphoid Neoplasms (T-CLNs)</w:t>
            </w:r>
          </w:p>
        </w:tc>
      </w:tr>
      <w:tr w:rsidR="00683597" w:rsidRPr="00683597" w14:paraId="708F9F59" w14:textId="77777777" w:rsidTr="00EA1195">
        <w:trPr>
          <w:gridAfter w:val="1"/>
          <w:wAfter w:w="175" w:type="pct"/>
          <w:trHeight w:val="1588"/>
        </w:trPr>
        <w:tc>
          <w:tcPr>
            <w:tcW w:w="1120" w:type="pct"/>
            <w:shd w:val="clear" w:color="auto" w:fill="auto"/>
            <w:vAlign w:val="center"/>
          </w:tcPr>
          <w:p w14:paraId="32E3E979" w14:textId="77777777" w:rsidR="00683597" w:rsidRPr="00683597" w:rsidRDefault="00683597" w:rsidP="002D58A7">
            <w:pPr>
              <w:spacing w:line="360" w:lineRule="auto"/>
              <w:rPr>
                <w:rFonts w:ascii="Arial" w:hAnsi="Arial" w:cs="Arial"/>
                <w:sz w:val="22"/>
                <w:szCs w:val="22"/>
              </w:rPr>
            </w:pPr>
            <w:proofErr w:type="spellStart"/>
            <w:r w:rsidRPr="00683597">
              <w:rPr>
                <w:rFonts w:ascii="Arial" w:hAnsi="Arial" w:cs="Arial"/>
                <w:b/>
                <w:bCs/>
                <w:sz w:val="22"/>
                <w:szCs w:val="22"/>
              </w:rPr>
              <w:t>Sézary</w:t>
            </w:r>
            <w:proofErr w:type="spellEnd"/>
            <w:r w:rsidRPr="00683597">
              <w:rPr>
                <w:rFonts w:ascii="Arial" w:hAnsi="Arial" w:cs="Arial"/>
                <w:b/>
                <w:bCs/>
                <w:sz w:val="22"/>
                <w:szCs w:val="22"/>
              </w:rPr>
              <w:t xml:space="preserve"> Syndrome</w:t>
            </w:r>
          </w:p>
          <w:p w14:paraId="6C80A331" w14:textId="77777777" w:rsidR="00683597" w:rsidRPr="00683597" w:rsidRDefault="00683597" w:rsidP="002D58A7">
            <w:pPr>
              <w:spacing w:line="360" w:lineRule="auto"/>
              <w:rPr>
                <w:rFonts w:ascii="Arial" w:hAnsi="Arial" w:cs="Arial"/>
                <w:b/>
                <w:color w:val="000000"/>
                <w:sz w:val="22"/>
                <w:szCs w:val="22"/>
                <w:lang w:eastAsia="fr-FR"/>
              </w:rPr>
            </w:pPr>
          </w:p>
        </w:tc>
        <w:tc>
          <w:tcPr>
            <w:tcW w:w="2296" w:type="pct"/>
            <w:gridSpan w:val="3"/>
          </w:tcPr>
          <w:p w14:paraId="1E017FA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 xml:space="preserve">Atypical medium-sized lymphocytes with moderately abundant cytoplasm </w:t>
            </w:r>
          </w:p>
          <w:p w14:paraId="3A8AA5B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 xml:space="preserve">Cerebriform nuclei resembling </w:t>
            </w:r>
            <w:proofErr w:type="spellStart"/>
            <w:r w:rsidRPr="00683597">
              <w:rPr>
                <w:rFonts w:ascii="Arial" w:hAnsi="Arial" w:cs="Arial"/>
                <w:sz w:val="22"/>
                <w:szCs w:val="22"/>
                <w:lang w:val="en-GB"/>
              </w:rPr>
              <w:t>Sézary</w:t>
            </w:r>
            <w:proofErr w:type="spellEnd"/>
            <w:r w:rsidRPr="00683597">
              <w:rPr>
                <w:rFonts w:ascii="Arial" w:hAnsi="Arial" w:cs="Arial"/>
                <w:sz w:val="22"/>
                <w:szCs w:val="22"/>
                <w:lang w:val="en-GB"/>
              </w:rPr>
              <w:t xml:space="preserve"> cells with mottled chromatin.</w:t>
            </w:r>
          </w:p>
        </w:tc>
        <w:tc>
          <w:tcPr>
            <w:tcW w:w="1410" w:type="pct"/>
          </w:tcPr>
          <w:p w14:paraId="740385D0"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w:t>
            </w:r>
          </w:p>
          <w:p w14:paraId="463168D5" w14:textId="77777777" w:rsidR="00683597" w:rsidRPr="00683597" w:rsidRDefault="00683597" w:rsidP="002D58A7">
            <w:pPr>
              <w:spacing w:line="360" w:lineRule="auto"/>
              <w:rPr>
                <w:rFonts w:ascii="Arial" w:hAnsi="Arial" w:cs="Arial"/>
                <w:color w:val="000000"/>
                <w:sz w:val="22"/>
                <w:szCs w:val="22"/>
                <w:lang w:val="en-GB" w:eastAsia="fr-FR"/>
              </w:rPr>
            </w:pPr>
          </w:p>
        </w:tc>
      </w:tr>
      <w:tr w:rsidR="00683597" w:rsidRPr="00683597" w14:paraId="244AF818" w14:textId="77777777" w:rsidTr="00EA1195">
        <w:trPr>
          <w:gridAfter w:val="1"/>
          <w:wAfter w:w="175" w:type="pct"/>
          <w:trHeight w:val="1434"/>
        </w:trPr>
        <w:tc>
          <w:tcPr>
            <w:tcW w:w="1120" w:type="pct"/>
            <w:shd w:val="clear" w:color="auto" w:fill="auto"/>
            <w:vAlign w:val="center"/>
          </w:tcPr>
          <w:p w14:paraId="50E10FB8"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Adult T-Cell Leukemia/Lymphoma (ATL)</w:t>
            </w:r>
          </w:p>
        </w:tc>
        <w:tc>
          <w:tcPr>
            <w:tcW w:w="2296" w:type="pct"/>
            <w:gridSpan w:val="3"/>
          </w:tcPr>
          <w:p w14:paraId="6524DF62"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Polymorphic lymphocyte population of varying sizes with moderately abundant basophilic cytoplasm.</w:t>
            </w:r>
          </w:p>
          <w:p w14:paraId="529A8EC3"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Highly irregular, multilobed, or "flower-shaped" nuclei with dense chromatin.</w:t>
            </w:r>
          </w:p>
        </w:tc>
        <w:tc>
          <w:tcPr>
            <w:tcW w:w="1410" w:type="pct"/>
          </w:tcPr>
          <w:p w14:paraId="0E63B8B8"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 CD25+, CD16-, CD56-, CD57-.</w:t>
            </w:r>
          </w:p>
          <w:p w14:paraId="22B21136" w14:textId="77777777" w:rsidR="00683597" w:rsidRPr="00683597" w:rsidRDefault="00683597" w:rsidP="002D58A7">
            <w:pPr>
              <w:spacing w:line="360" w:lineRule="auto"/>
              <w:rPr>
                <w:rFonts w:ascii="Arial" w:hAnsi="Arial" w:cs="Arial"/>
                <w:color w:val="000000"/>
                <w:sz w:val="22"/>
                <w:szCs w:val="22"/>
                <w:lang w:val="en-GB" w:eastAsia="fr-FR"/>
              </w:rPr>
            </w:pPr>
          </w:p>
        </w:tc>
      </w:tr>
      <w:tr w:rsidR="00683597" w:rsidRPr="00683597" w14:paraId="6146C6BE" w14:textId="77777777" w:rsidTr="00EA1195">
        <w:trPr>
          <w:gridAfter w:val="1"/>
          <w:wAfter w:w="175" w:type="pct"/>
          <w:trHeight w:val="528"/>
        </w:trPr>
        <w:tc>
          <w:tcPr>
            <w:tcW w:w="1120" w:type="pct"/>
            <w:shd w:val="clear" w:color="auto" w:fill="auto"/>
            <w:vAlign w:val="center"/>
          </w:tcPr>
          <w:p w14:paraId="6B1C8263" w14:textId="77777777" w:rsidR="00683597" w:rsidRPr="00683597" w:rsidRDefault="00683597" w:rsidP="002D58A7">
            <w:pPr>
              <w:spacing w:line="360" w:lineRule="auto"/>
              <w:rPr>
                <w:rFonts w:ascii="Arial" w:hAnsi="Arial" w:cs="Arial"/>
                <w:sz w:val="22"/>
                <w:szCs w:val="22"/>
              </w:rPr>
            </w:pPr>
            <w:r w:rsidRPr="00683597">
              <w:rPr>
                <w:rFonts w:ascii="Arial" w:hAnsi="Arial" w:cs="Arial"/>
                <w:b/>
                <w:bCs/>
                <w:sz w:val="22"/>
                <w:szCs w:val="22"/>
              </w:rPr>
              <w:t>Large Granular Lymphocyte Leukemia (LGL)</w:t>
            </w:r>
          </w:p>
          <w:p w14:paraId="3FC30FB8" w14:textId="77777777" w:rsidR="00683597" w:rsidRPr="00683597" w:rsidRDefault="00683597" w:rsidP="002D58A7">
            <w:pPr>
              <w:spacing w:line="360" w:lineRule="auto"/>
              <w:rPr>
                <w:rFonts w:ascii="Arial" w:hAnsi="Arial" w:cs="Arial"/>
                <w:sz w:val="22"/>
                <w:szCs w:val="22"/>
              </w:rPr>
            </w:pPr>
          </w:p>
        </w:tc>
        <w:tc>
          <w:tcPr>
            <w:tcW w:w="2296" w:type="pct"/>
            <w:gridSpan w:val="3"/>
          </w:tcPr>
          <w:p w14:paraId="393ED425"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Atypical medium-sized lymphocytes with moderately abundant basophilic cytoplasm, sometimes with vacuoles.</w:t>
            </w:r>
          </w:p>
          <w:p w14:paraId="3A5D622A" w14:textId="77777777" w:rsidR="00683597" w:rsidRPr="00683597" w:rsidRDefault="00683597" w:rsidP="002D58A7">
            <w:pPr>
              <w:spacing w:line="360" w:lineRule="auto"/>
              <w:rPr>
                <w:rFonts w:ascii="Arial" w:hAnsi="Arial" w:cs="Arial"/>
                <w:color w:val="000000"/>
                <w:sz w:val="22"/>
                <w:szCs w:val="22"/>
                <w:lang w:val="en-GB" w:eastAsia="fr-FR"/>
              </w:rPr>
            </w:pPr>
            <w:r w:rsidRPr="00683597">
              <w:rPr>
                <w:rFonts w:ascii="Arial" w:hAnsi="Arial" w:cs="Arial"/>
                <w:sz w:val="22"/>
                <w:szCs w:val="22"/>
                <w:lang w:val="en-GB"/>
              </w:rPr>
              <w:t>Medium-sized nuclei with dense chromatin.</w:t>
            </w:r>
          </w:p>
        </w:tc>
        <w:tc>
          <w:tcPr>
            <w:tcW w:w="1410" w:type="pct"/>
          </w:tcPr>
          <w:p w14:paraId="2B8BAD1E" w14:textId="77777777" w:rsidR="00683597" w:rsidRPr="00683597" w:rsidRDefault="00683597" w:rsidP="002D58A7">
            <w:pPr>
              <w:spacing w:line="360" w:lineRule="auto"/>
              <w:rPr>
                <w:rFonts w:ascii="Arial" w:hAnsi="Arial" w:cs="Arial"/>
                <w:sz w:val="22"/>
                <w:szCs w:val="22"/>
                <w:lang w:val="en-GB"/>
              </w:rPr>
            </w:pPr>
            <w:r w:rsidRPr="00683597">
              <w:rPr>
                <w:rFonts w:ascii="Arial" w:hAnsi="Arial" w:cs="Arial"/>
                <w:sz w:val="22"/>
                <w:szCs w:val="22"/>
                <w:lang w:val="en-GB"/>
              </w:rPr>
              <w:t>CD3+, CD4+, CD5+, CD2+, CD8-/-, CD7-, CD10-, CD16+, CD57+, CD56+.</w:t>
            </w:r>
          </w:p>
          <w:p w14:paraId="287D12CB" w14:textId="77777777" w:rsidR="00683597" w:rsidRPr="00683597" w:rsidRDefault="00683597" w:rsidP="002D58A7">
            <w:pPr>
              <w:spacing w:line="360" w:lineRule="auto"/>
              <w:rPr>
                <w:rFonts w:ascii="Arial" w:hAnsi="Arial" w:cs="Arial"/>
                <w:color w:val="000000"/>
                <w:sz w:val="22"/>
                <w:szCs w:val="22"/>
                <w:lang w:val="en-GB" w:eastAsia="fr-FR"/>
              </w:rPr>
            </w:pPr>
          </w:p>
        </w:tc>
      </w:tr>
    </w:tbl>
    <w:p w14:paraId="73434E6C" w14:textId="77777777" w:rsidR="00683597" w:rsidRPr="00683597" w:rsidRDefault="00683597" w:rsidP="00441B6F">
      <w:pPr>
        <w:pStyle w:val="Head1"/>
        <w:spacing w:after="0"/>
        <w:jc w:val="both"/>
        <w:rPr>
          <w:rFonts w:ascii="Arial" w:hAnsi="Arial" w:cs="Arial"/>
          <w:szCs w:val="22"/>
        </w:rPr>
      </w:pPr>
    </w:p>
    <w:p w14:paraId="7824788C" w14:textId="77777777" w:rsidR="00683597" w:rsidRPr="00683597" w:rsidRDefault="00683597" w:rsidP="00683597">
      <w:pPr>
        <w:spacing w:line="360" w:lineRule="auto"/>
        <w:jc w:val="both"/>
        <w:rPr>
          <w:rFonts w:ascii="Arial" w:hAnsi="Arial" w:cs="Arial"/>
          <w:b/>
          <w:bCs/>
          <w:sz w:val="22"/>
          <w:szCs w:val="22"/>
          <w:lang w:val="en-GB"/>
        </w:rPr>
      </w:pPr>
      <w:r w:rsidRPr="00683597">
        <w:rPr>
          <w:rFonts w:ascii="Arial" w:hAnsi="Arial" w:cs="Arial"/>
          <w:b/>
          <w:bCs/>
          <w:sz w:val="22"/>
          <w:szCs w:val="22"/>
          <w:lang w:val="en-GB"/>
        </w:rPr>
        <w:t>Discussion</w:t>
      </w:r>
    </w:p>
    <w:p w14:paraId="2A3181AE"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The ability to distinguish between different types of </w:t>
      </w:r>
      <w:proofErr w:type="spellStart"/>
      <w:r w:rsidRPr="00683597">
        <w:rPr>
          <w:rFonts w:ascii="Arial" w:hAnsi="Arial" w:cs="Arial"/>
          <w:sz w:val="22"/>
          <w:szCs w:val="22"/>
          <w:lang w:val="en-GB"/>
        </w:rPr>
        <w:t>hematological</w:t>
      </w:r>
      <w:proofErr w:type="spellEnd"/>
      <w:r w:rsidRPr="00683597">
        <w:rPr>
          <w:rFonts w:ascii="Arial" w:hAnsi="Arial" w:cs="Arial"/>
          <w:sz w:val="22"/>
          <w:szCs w:val="22"/>
          <w:lang w:val="en-GB"/>
        </w:rPr>
        <w:t xml:space="preserve"> malignancies has always been fundamental to effective diagnosis and therapeutic decision-making. Initially based on morphological examination, the classification of lymphoid neoplasia has gradually expanded to include new immunological, cytogenetic, and molecular criteria. While cytology does not provide an absolute determination of the type of lymphoid neoplasm, it serves as an essential diagnostic orientation tool. Consequently, immunophenotyping has become a critical component in the diagnosis and follow-up of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 This approach enhances morphological </w:t>
      </w:r>
      <w:r w:rsidRPr="00683597">
        <w:rPr>
          <w:rFonts w:ascii="Arial" w:hAnsi="Arial" w:cs="Arial"/>
          <w:sz w:val="22"/>
          <w:szCs w:val="22"/>
          <w:lang w:val="en-GB"/>
        </w:rPr>
        <w:lastRenderedPageBreak/>
        <w:t xml:space="preserve">criteria with antigenic expression criteria (Safra &amp; al, 2013) and has facilitated significant advancements in the field. The use of multiparametric panels in conjunction with immunophenotyping via flow cytometry has become an indispensable part of the diagnostic and follow-up process for chronic lymphoid neoplasia (CLN) (Mayeur-Rousse &amp; al., 2013). The immunological profiles of CLN have been thoroughly delineated by various expert groups, aided by the classifications developed by the World Health Organization (WHO) and documented in international recommendations. In the absence of a marker that is both sufficient and specific to characterize a particular entity, the literature proposes several multiparametric diagnostic panels. The phenotypic characteristics and abnormalities observed have been extensively documented across numerous </w:t>
      </w:r>
      <w:proofErr w:type="spellStart"/>
      <w:r w:rsidRPr="00683597">
        <w:rPr>
          <w:rFonts w:ascii="Arial" w:hAnsi="Arial" w:cs="Arial"/>
          <w:sz w:val="22"/>
          <w:szCs w:val="22"/>
          <w:lang w:val="en-GB"/>
        </w:rPr>
        <w:t>hematological</w:t>
      </w:r>
      <w:proofErr w:type="spellEnd"/>
      <w:r w:rsidRPr="00683597">
        <w:rPr>
          <w:rFonts w:ascii="Arial" w:hAnsi="Arial" w:cs="Arial"/>
          <w:sz w:val="22"/>
          <w:szCs w:val="22"/>
          <w:lang w:val="en-GB"/>
        </w:rPr>
        <w:t xml:space="preserve"> malignancies. In combination with cytology, these characteristics can also be used to differentiate certain chronic lymphoid </w:t>
      </w:r>
      <w:proofErr w:type="spellStart"/>
      <w:r w:rsidRPr="00683597">
        <w:rPr>
          <w:rFonts w:ascii="Arial" w:hAnsi="Arial" w:cs="Arial"/>
          <w:sz w:val="22"/>
          <w:szCs w:val="22"/>
          <w:lang w:val="en-GB"/>
        </w:rPr>
        <w:t>neoplasias</w:t>
      </w:r>
      <w:proofErr w:type="spellEnd"/>
      <w:r w:rsidRPr="00683597">
        <w:rPr>
          <w:rFonts w:ascii="Arial" w:hAnsi="Arial" w:cs="Arial"/>
          <w:sz w:val="22"/>
          <w:szCs w:val="22"/>
          <w:lang w:val="en-GB"/>
        </w:rPr>
        <w:t xml:space="preserve">. In this study, 51 cases of chronic lymphoid neoplasia were identified. The mean age of the patients was estimated at 57 ± 11 years, which is lower than the ages reported by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(63 years)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&amp; al., 2020),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(62 years)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&amp; al., 2020), Stevenson (71 years) (Stevenson &amp; al., 2017), and Imane (70.5 years) (Imane et al., 2023), and is comparable to that of El Borgi (57 years) (El Borgi &amp; al., 2024).</w:t>
      </w:r>
    </w:p>
    <w:p w14:paraId="4848BC90"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This variation may be attributed to the duration of the studies and the sample size. Furthermore, sub-Saharan African populations are characterized by low life expectancies. The male predominance (sex ratio = 1.4) aligns with findings reported in the existing literature (</w:t>
      </w:r>
      <w:proofErr w:type="spellStart"/>
      <w:r w:rsidRPr="00683597">
        <w:rPr>
          <w:rFonts w:ascii="Arial" w:hAnsi="Arial" w:cs="Arial"/>
          <w:sz w:val="22"/>
          <w:szCs w:val="22"/>
          <w:lang w:val="en-GB"/>
        </w:rPr>
        <w:t>Troussard</w:t>
      </w:r>
      <w:proofErr w:type="spellEnd"/>
      <w:r w:rsidRPr="00683597">
        <w:rPr>
          <w:rFonts w:ascii="Arial" w:hAnsi="Arial" w:cs="Arial"/>
          <w:sz w:val="22"/>
          <w:szCs w:val="22"/>
          <w:lang w:val="en-GB"/>
        </w:rPr>
        <w:t xml:space="preserve"> &amp; al., 2013; </w:t>
      </w:r>
      <w:proofErr w:type="spellStart"/>
      <w:r w:rsidRPr="00683597">
        <w:rPr>
          <w:rFonts w:ascii="Arial" w:hAnsi="Arial" w:cs="Arial"/>
          <w:sz w:val="22"/>
          <w:szCs w:val="22"/>
          <w:lang w:val="en-GB"/>
        </w:rPr>
        <w:t>Gokaba</w:t>
      </w:r>
      <w:proofErr w:type="spellEnd"/>
      <w:r w:rsidRPr="00683597">
        <w:rPr>
          <w:rFonts w:ascii="Arial" w:hAnsi="Arial" w:cs="Arial"/>
          <w:sz w:val="22"/>
          <w:szCs w:val="22"/>
          <w:lang w:val="en-GB"/>
        </w:rPr>
        <w:t xml:space="preserve"> &amp;., 2020).</w:t>
      </w:r>
    </w:p>
    <w:p w14:paraId="2976BDAD"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The study revealed significant hyperlymphocytosis, with an average of 90,746 lymphocytes/mm³ and 52% of participants exhibiting lymphocytosis greater than 100,000 lymphocytes/mm³. The current findings were superior to those documented by Imane (Imane &amp; al., 2023) and </w:t>
      </w:r>
      <w:proofErr w:type="spellStart"/>
      <w:r w:rsidRPr="00683597">
        <w:rPr>
          <w:rFonts w:ascii="Arial" w:hAnsi="Arial" w:cs="Arial"/>
          <w:sz w:val="22"/>
          <w:szCs w:val="22"/>
          <w:lang w:val="en-GB"/>
        </w:rPr>
        <w:t>Biovert</w:t>
      </w:r>
      <w:proofErr w:type="spellEnd"/>
      <w:r w:rsidRPr="00683597">
        <w:rPr>
          <w:rFonts w:ascii="Arial" w:hAnsi="Arial" w:cs="Arial"/>
          <w:sz w:val="22"/>
          <w:szCs w:val="22"/>
          <w:lang w:val="en-GB"/>
        </w:rPr>
        <w:t xml:space="preserve"> (</w:t>
      </w:r>
      <w:proofErr w:type="spellStart"/>
      <w:r w:rsidRPr="00683597">
        <w:rPr>
          <w:rFonts w:ascii="Arial" w:hAnsi="Arial" w:cs="Arial"/>
          <w:sz w:val="22"/>
          <w:szCs w:val="22"/>
          <w:lang w:val="en-GB"/>
        </w:rPr>
        <w:t>Biovert</w:t>
      </w:r>
      <w:proofErr w:type="spellEnd"/>
      <w:r w:rsidRPr="00683597">
        <w:rPr>
          <w:rFonts w:ascii="Arial" w:hAnsi="Arial" w:cs="Arial"/>
          <w:sz w:val="22"/>
          <w:szCs w:val="22"/>
          <w:lang w:val="en-GB"/>
        </w:rPr>
        <w:t xml:space="preserve"> &amp; al., 2017), which reported mean lymphocyte levels of 62,260/mm³ (Algeria) and 20,900/mm³ (France), respectively.</w:t>
      </w:r>
    </w:p>
    <w:p w14:paraId="4B5755C3"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Lymphocyte immunophenotyping using flow cytometry (FPC) is an essential tool for confirming the monoclonality of B lymphocytes and differentiating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 from other B lymphoproliferative disorders (Zimmer &amp; al., 2020).</w:t>
      </w:r>
    </w:p>
    <w:p w14:paraId="7081F15A"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Clonality: Kappa clonality predominated, accounting for 63% (26 out of 42) of cases. The detection of either kappa or lambda light chains confirms </w:t>
      </w:r>
      <w:proofErr w:type="spellStart"/>
      <w:r w:rsidRPr="00683597">
        <w:rPr>
          <w:rFonts w:ascii="Arial" w:hAnsi="Arial" w:cs="Arial"/>
          <w:sz w:val="22"/>
          <w:szCs w:val="22"/>
          <w:lang w:val="en-GB"/>
        </w:rPr>
        <w:t>monotypy</w:t>
      </w:r>
      <w:proofErr w:type="spellEnd"/>
      <w:r w:rsidRPr="00683597">
        <w:rPr>
          <w:rFonts w:ascii="Arial" w:hAnsi="Arial" w:cs="Arial"/>
          <w:sz w:val="22"/>
          <w:szCs w:val="22"/>
          <w:lang w:val="en-GB"/>
        </w:rPr>
        <w:t>, with a decrease in expression indicating a reduction in the antigenic density of the B cell antigen receptor (BCR) compared to that of normal B cells. This characteristic is associated with chronic lymphoid neoplasia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&amp; al., 2017). Once the malignant nature of the proliferation has been confirmed, a combination of several markers is necessary to distinguish the various types of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w:t>
      </w:r>
    </w:p>
    <w:p w14:paraId="44150FE4"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lastRenderedPageBreak/>
        <w:t xml:space="preserve">In the present study, the predominance of the following markers in defining chronic lymphocytic </w:t>
      </w:r>
      <w:proofErr w:type="spellStart"/>
      <w:r w:rsidRPr="00683597">
        <w:rPr>
          <w:rFonts w:ascii="Arial" w:hAnsi="Arial" w:cs="Arial"/>
          <w:sz w:val="22"/>
          <w:szCs w:val="22"/>
          <w:lang w:val="en-GB"/>
        </w:rPr>
        <w:t>leukemias</w:t>
      </w:r>
      <w:proofErr w:type="spellEnd"/>
      <w:r w:rsidRPr="00683597">
        <w:rPr>
          <w:rFonts w:ascii="Arial" w:hAnsi="Arial" w:cs="Arial"/>
          <w:sz w:val="22"/>
          <w:szCs w:val="22"/>
          <w:lang w:val="en-GB"/>
        </w:rPr>
        <w:t xml:space="preserve"> (CLLs) was observed: CD19, CD5, CD23, CD43, CD200, and low expression of CD79b, FMC7, CD20, and surface immunoglobulins. These results align with those previously reported by </w:t>
      </w:r>
      <w:proofErr w:type="spellStart"/>
      <w:r w:rsidRPr="00683597">
        <w:rPr>
          <w:rFonts w:ascii="Arial" w:hAnsi="Arial" w:cs="Arial"/>
          <w:sz w:val="22"/>
          <w:szCs w:val="22"/>
          <w:lang w:val="en-GB"/>
        </w:rPr>
        <w:t>Rawstron</w:t>
      </w:r>
      <w:proofErr w:type="spellEnd"/>
      <w:r w:rsidRPr="00683597">
        <w:rPr>
          <w:rFonts w:ascii="Arial" w:hAnsi="Arial" w:cs="Arial"/>
          <w:sz w:val="22"/>
          <w:szCs w:val="22"/>
          <w:lang w:val="en-GB"/>
        </w:rPr>
        <w:t xml:space="preserve"> (</w:t>
      </w:r>
      <w:proofErr w:type="spellStart"/>
      <w:r w:rsidRPr="00683597">
        <w:rPr>
          <w:rFonts w:ascii="Arial" w:hAnsi="Arial" w:cs="Arial"/>
          <w:sz w:val="22"/>
          <w:szCs w:val="22"/>
          <w:lang w:val="en-GB"/>
        </w:rPr>
        <w:t>Rawstron</w:t>
      </w:r>
      <w:proofErr w:type="spellEnd"/>
      <w:r w:rsidRPr="00683597">
        <w:rPr>
          <w:rFonts w:ascii="Arial" w:hAnsi="Arial" w:cs="Arial"/>
          <w:sz w:val="22"/>
          <w:szCs w:val="22"/>
          <w:lang w:val="en-GB"/>
        </w:rPr>
        <w:t xml:space="preserve"> &amp; al., 2018) and Mayeur-Rousse (Mayeur-Rousse &amp; al., 2023), who found that CLLs were characterized by the same markers across various studies. CD5 expression has been observed in all CLL cases (Sales &amp; al., 2017). CD200 and CD23 have been identified as effective discriminators between CLL and mantle cell lymphoma (MCL) (Canton et al., 2014). The distinction between lymphocytic malignancies (LM) and CLL is predicated on the presence of CD5 expression, a feature that is nearly constant in both conditions. However, the presence of CD23 and CD200 negativity, coupled with a </w:t>
      </w:r>
      <w:proofErr w:type="spellStart"/>
      <w:r w:rsidRPr="00683597">
        <w:rPr>
          <w:rFonts w:ascii="Arial" w:hAnsi="Arial" w:cs="Arial"/>
          <w:sz w:val="22"/>
          <w:szCs w:val="22"/>
          <w:lang w:val="en-GB"/>
        </w:rPr>
        <w:t>Matutes</w:t>
      </w:r>
      <w:proofErr w:type="spellEnd"/>
      <w:r w:rsidRPr="00683597">
        <w:rPr>
          <w:rFonts w:ascii="Arial" w:hAnsi="Arial" w:cs="Arial"/>
          <w:sz w:val="22"/>
          <w:szCs w:val="22"/>
          <w:lang w:val="en-GB"/>
        </w:rPr>
        <w:t xml:space="preserve"> score of less than three, serves to differentiate between these two conditions (Gao &amp; al., 2009;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et al., 2017). Further distinguishing features include strong expression of FMC7, CD20, and CD79b.</w:t>
      </w:r>
    </w:p>
    <w:p w14:paraId="770F83F4"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CD200, a surface glycoprotein that promotes immune tolerance, is expressed in chronic lymphocytic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(CLL) but is absent in lymphoma (LM), making it a valuable diagnostic marker in flow cytometry. Its application has broadened for the differential diagnosis of other lymphoproliferative disorders, although its expression can be variable (</w:t>
      </w:r>
      <w:proofErr w:type="spellStart"/>
      <w:r w:rsidRPr="00683597">
        <w:rPr>
          <w:rFonts w:ascii="Arial" w:hAnsi="Arial" w:cs="Arial"/>
          <w:sz w:val="22"/>
          <w:szCs w:val="22"/>
          <w:lang w:val="en-GB"/>
        </w:rPr>
        <w:t>Cavailles</w:t>
      </w:r>
      <w:proofErr w:type="spellEnd"/>
      <w:r w:rsidRPr="00683597">
        <w:rPr>
          <w:rFonts w:ascii="Arial" w:hAnsi="Arial" w:cs="Arial"/>
          <w:sz w:val="22"/>
          <w:szCs w:val="22"/>
          <w:lang w:val="en-GB"/>
        </w:rPr>
        <w:t xml:space="preserve"> &amp; al., 2017). Both CLL and LM express the markers CD19, CD5, and CD43. The CD5 molecule, typically found on the surface of T lymphocytes and a minority of B lymphocytes in a normal state, is nearly always present on CLL lymphocytes. However, four cases of CLL did not express CD5. In one study, Doukoure et al. reported three cases of CLL with a lack of CD5 expression (</w:t>
      </w:r>
      <w:proofErr w:type="spellStart"/>
      <w:r w:rsidRPr="00683597">
        <w:rPr>
          <w:rFonts w:ascii="Arial" w:hAnsi="Arial" w:cs="Arial"/>
          <w:sz w:val="22"/>
          <w:szCs w:val="22"/>
          <w:lang w:val="en-GB"/>
        </w:rPr>
        <w:t>Doukouré</w:t>
      </w:r>
      <w:proofErr w:type="spellEnd"/>
      <w:r w:rsidRPr="00683597">
        <w:rPr>
          <w:rFonts w:ascii="Arial" w:hAnsi="Arial" w:cs="Arial"/>
          <w:sz w:val="22"/>
          <w:szCs w:val="22"/>
          <w:lang w:val="en-GB"/>
        </w:rPr>
        <w:t xml:space="preserve"> &amp; al., 2023). Some authors have noted that the absence of CD5 is rare and may indicate a more aggressive form of the disease (Cazin &amp; al., 2003). Marginal zone lymphoma (MZL) and lymphoplasmacytic lymphoma (LLP) accounted for nearly all non-CLL NLC-Bs. These were characterized by the following markers: CD19+, FMC7+, CD79b+, CD11c+, CD10-, CD5-, and CD23-. Splenic marginal zone lymphoma (SMZL) has been observed to disseminate into the bloodstream, with cells exhibiting the potential to express CD11c and CD103, while being CD5-/CD23- (</w:t>
      </w:r>
      <w:proofErr w:type="spellStart"/>
      <w:r w:rsidRPr="00683597">
        <w:rPr>
          <w:rFonts w:ascii="Arial" w:hAnsi="Arial" w:cs="Arial"/>
          <w:sz w:val="22"/>
          <w:szCs w:val="22"/>
          <w:lang w:val="en-GB"/>
        </w:rPr>
        <w:t>Meryeme</w:t>
      </w:r>
      <w:proofErr w:type="spellEnd"/>
      <w:r w:rsidRPr="00683597">
        <w:rPr>
          <w:rFonts w:ascii="Arial" w:hAnsi="Arial" w:cs="Arial"/>
          <w:sz w:val="22"/>
          <w:szCs w:val="22"/>
          <w:lang w:val="en-GB"/>
        </w:rPr>
        <w:t xml:space="preserve"> &amp; al., 2020; Le Garff-Tavernier et al., 2013).</w:t>
      </w:r>
    </w:p>
    <w:p w14:paraId="29461796"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 xml:space="preserve">This study's findings differ from previous observations. For example, 5% of LSLV cases lacked CD103 expression. Some MZL were indistinguishable from LPL due to marker specificity issues. </w:t>
      </w:r>
      <w:proofErr w:type="spellStart"/>
      <w:r w:rsidRPr="00683597">
        <w:rPr>
          <w:rFonts w:ascii="Arial" w:hAnsi="Arial" w:cs="Arial"/>
          <w:sz w:val="22"/>
          <w:szCs w:val="22"/>
          <w:lang w:val="en-GB"/>
        </w:rPr>
        <w:t>Plasmacytic</w:t>
      </w:r>
      <w:proofErr w:type="spellEnd"/>
      <w:r w:rsidRPr="00683597">
        <w:rPr>
          <w:rFonts w:ascii="Arial" w:hAnsi="Arial" w:cs="Arial"/>
          <w:sz w:val="22"/>
          <w:szCs w:val="22"/>
          <w:lang w:val="en-GB"/>
        </w:rPr>
        <w:t xml:space="preserve"> differentiation or </w:t>
      </w:r>
      <w:proofErr w:type="spellStart"/>
      <w:r w:rsidRPr="00683597">
        <w:rPr>
          <w:rFonts w:ascii="Arial" w:hAnsi="Arial" w:cs="Arial"/>
          <w:sz w:val="22"/>
          <w:szCs w:val="22"/>
          <w:lang w:val="en-GB"/>
        </w:rPr>
        <w:t>villeous</w:t>
      </w:r>
      <w:proofErr w:type="spellEnd"/>
      <w:r w:rsidRPr="00683597">
        <w:rPr>
          <w:rFonts w:ascii="Arial" w:hAnsi="Arial" w:cs="Arial"/>
          <w:sz w:val="22"/>
          <w:szCs w:val="22"/>
          <w:lang w:val="en-GB"/>
        </w:rPr>
        <w:t xml:space="preserve"> lymphocytes exclude CLL; CD43 negativity differentiates them from LM. The </w:t>
      </w:r>
      <w:proofErr w:type="spellStart"/>
      <w:r w:rsidRPr="00683597">
        <w:rPr>
          <w:rFonts w:ascii="Arial" w:hAnsi="Arial" w:cs="Arial"/>
          <w:sz w:val="22"/>
          <w:szCs w:val="22"/>
          <w:lang w:val="en-GB"/>
        </w:rPr>
        <w:t>Matutes</w:t>
      </w:r>
      <w:proofErr w:type="spellEnd"/>
      <w:r w:rsidRPr="00683597">
        <w:rPr>
          <w:rFonts w:ascii="Arial" w:hAnsi="Arial" w:cs="Arial"/>
          <w:sz w:val="22"/>
          <w:szCs w:val="22"/>
          <w:lang w:val="en-GB"/>
        </w:rPr>
        <w:t xml:space="preserve"> score in this study was ≤2. Diagnosing chronic T-cell lymphoid neoplasia requires identifying immunophenotypic and clonal abnormalities. The </w:t>
      </w:r>
      <w:proofErr w:type="spellStart"/>
      <w:r w:rsidRPr="00683597">
        <w:rPr>
          <w:rFonts w:ascii="Arial" w:hAnsi="Arial" w:cs="Arial"/>
          <w:sz w:val="22"/>
          <w:szCs w:val="22"/>
          <w:lang w:val="en-GB"/>
        </w:rPr>
        <w:t>EuroFlow</w:t>
      </w:r>
      <w:proofErr w:type="spellEnd"/>
      <w:r w:rsidRPr="00683597">
        <w:rPr>
          <w:rFonts w:ascii="Arial" w:hAnsi="Arial" w:cs="Arial"/>
          <w:sz w:val="22"/>
          <w:szCs w:val="22"/>
          <w:lang w:val="en-GB"/>
        </w:rPr>
        <w:t xml:space="preserve"> group validated TRBC1, integrating it into the LST protocol to </w:t>
      </w:r>
      <w:r w:rsidRPr="00683597">
        <w:rPr>
          <w:rFonts w:ascii="Arial" w:hAnsi="Arial" w:cs="Arial"/>
          <w:sz w:val="22"/>
          <w:szCs w:val="22"/>
          <w:lang w:val="en-GB"/>
        </w:rPr>
        <w:lastRenderedPageBreak/>
        <w:t xml:space="preserve">assess clonality in NHL (Blomme &amp; al., 2023). TRBC1 targets the </w:t>
      </w:r>
      <w:r w:rsidRPr="00683597">
        <w:rPr>
          <w:rFonts w:ascii="Arial" w:hAnsi="Arial" w:cs="Arial"/>
          <w:sz w:val="22"/>
          <w:szCs w:val="22"/>
        </w:rPr>
        <w:t>β</w:t>
      </w:r>
      <w:r w:rsidRPr="00683597">
        <w:rPr>
          <w:rFonts w:ascii="Arial" w:hAnsi="Arial" w:cs="Arial"/>
          <w:sz w:val="22"/>
          <w:szCs w:val="22"/>
          <w:lang w:val="en-GB"/>
        </w:rPr>
        <w:t xml:space="preserve"> chain's constant 1 region of the human TCR (</w:t>
      </w:r>
      <w:proofErr w:type="spellStart"/>
      <w:r w:rsidRPr="00683597">
        <w:rPr>
          <w:rFonts w:ascii="Arial" w:hAnsi="Arial" w:cs="Arial"/>
          <w:sz w:val="22"/>
          <w:szCs w:val="22"/>
          <w:lang w:val="en-GB"/>
        </w:rPr>
        <w:t>Maciocia</w:t>
      </w:r>
      <w:proofErr w:type="spellEnd"/>
      <w:r w:rsidRPr="00683597">
        <w:rPr>
          <w:rFonts w:ascii="Arial" w:hAnsi="Arial" w:cs="Arial"/>
          <w:sz w:val="22"/>
          <w:szCs w:val="22"/>
          <w:lang w:val="en-GB"/>
        </w:rPr>
        <w:t xml:space="preserve"> et al., 2017; Horna et al., 2021), confirming </w:t>
      </w:r>
      <w:proofErr w:type="spellStart"/>
      <w:r w:rsidRPr="00683597">
        <w:rPr>
          <w:rFonts w:ascii="Arial" w:hAnsi="Arial" w:cs="Arial"/>
          <w:sz w:val="22"/>
          <w:szCs w:val="22"/>
          <w:lang w:val="en-GB"/>
        </w:rPr>
        <w:t>monotypy</w:t>
      </w:r>
      <w:proofErr w:type="spellEnd"/>
      <w:r w:rsidRPr="00683597">
        <w:rPr>
          <w:rFonts w:ascii="Arial" w:hAnsi="Arial" w:cs="Arial"/>
          <w:sz w:val="22"/>
          <w:szCs w:val="22"/>
          <w:lang w:val="en-GB"/>
        </w:rPr>
        <w:t xml:space="preserve"> in all patients (9 cases) in this study.</w:t>
      </w:r>
    </w:p>
    <w:p w14:paraId="0103975C"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Sezary syndrome showed loss of CD7 and CD8, while expressing CD2, CD3, CD4, and CD5, consistent with earlier research (</w:t>
      </w:r>
      <w:proofErr w:type="spellStart"/>
      <w:r w:rsidRPr="00683597">
        <w:rPr>
          <w:rFonts w:ascii="Arial" w:hAnsi="Arial" w:cs="Arial"/>
          <w:sz w:val="22"/>
          <w:szCs w:val="22"/>
          <w:lang w:val="en-GB"/>
        </w:rPr>
        <w:t>Jevremovic</w:t>
      </w:r>
      <w:proofErr w:type="spellEnd"/>
      <w:r w:rsidRPr="00683597">
        <w:rPr>
          <w:rFonts w:ascii="Arial" w:hAnsi="Arial" w:cs="Arial"/>
          <w:sz w:val="22"/>
          <w:szCs w:val="22"/>
          <w:lang w:val="en-GB"/>
        </w:rPr>
        <w:t xml:space="preserve"> &amp;al., 2019). Large granular lymphocyte </w:t>
      </w:r>
      <w:proofErr w:type="spellStart"/>
      <w:r w:rsidRPr="00683597">
        <w:rPr>
          <w:rFonts w:ascii="Arial" w:hAnsi="Arial" w:cs="Arial"/>
          <w:sz w:val="22"/>
          <w:szCs w:val="22"/>
          <w:lang w:val="en-GB"/>
        </w:rPr>
        <w:t>leukemia</w:t>
      </w:r>
      <w:proofErr w:type="spellEnd"/>
      <w:r w:rsidRPr="00683597">
        <w:rPr>
          <w:rFonts w:ascii="Arial" w:hAnsi="Arial" w:cs="Arial"/>
          <w:sz w:val="22"/>
          <w:szCs w:val="22"/>
          <w:lang w:val="en-GB"/>
        </w:rPr>
        <w:t xml:space="preserve"> expressed CD3, CD4, CD5, CD2, CD16, and CD57, repressing CD8, CD7, and CD10 (</w:t>
      </w:r>
      <w:proofErr w:type="spellStart"/>
      <w:r w:rsidRPr="00683597">
        <w:rPr>
          <w:rFonts w:ascii="Arial" w:hAnsi="Arial" w:cs="Arial"/>
          <w:sz w:val="22"/>
          <w:szCs w:val="22"/>
          <w:lang w:val="en-GB"/>
        </w:rPr>
        <w:t>Jevremovic</w:t>
      </w:r>
      <w:proofErr w:type="spellEnd"/>
      <w:r w:rsidRPr="00683597">
        <w:rPr>
          <w:rFonts w:ascii="Arial" w:hAnsi="Arial" w:cs="Arial"/>
          <w:sz w:val="22"/>
          <w:szCs w:val="22"/>
          <w:lang w:val="en-GB"/>
        </w:rPr>
        <w:t xml:space="preserve"> et al., 2019; Sandberg &amp; al., 2006). However, the integration of multiple markers and cytological analysis did not precisely identify five B-cell proliferations and four T-cell proliferations.</w:t>
      </w:r>
    </w:p>
    <w:p w14:paraId="01D24AF0" w14:textId="77777777" w:rsidR="00683597" w:rsidRPr="00683597" w:rsidRDefault="00683597" w:rsidP="00683597">
      <w:pPr>
        <w:spacing w:line="360" w:lineRule="auto"/>
        <w:jc w:val="both"/>
        <w:rPr>
          <w:rFonts w:ascii="Arial" w:hAnsi="Arial" w:cs="Arial"/>
          <w:sz w:val="22"/>
          <w:szCs w:val="22"/>
          <w:lang w:val="en-GB"/>
        </w:rPr>
      </w:pPr>
    </w:p>
    <w:p w14:paraId="7B919A99" w14:textId="77777777" w:rsidR="00683597" w:rsidRPr="00683597" w:rsidRDefault="00683597" w:rsidP="00683597">
      <w:pPr>
        <w:spacing w:line="360" w:lineRule="auto"/>
        <w:jc w:val="both"/>
        <w:rPr>
          <w:rFonts w:ascii="Arial" w:hAnsi="Arial" w:cs="Arial"/>
          <w:b/>
          <w:sz w:val="22"/>
          <w:szCs w:val="22"/>
          <w:lang w:val="en-GB"/>
        </w:rPr>
      </w:pPr>
      <w:r w:rsidRPr="00683597">
        <w:rPr>
          <w:rFonts w:ascii="Arial" w:hAnsi="Arial" w:cs="Arial"/>
          <w:b/>
          <w:sz w:val="22"/>
          <w:szCs w:val="22"/>
          <w:lang w:val="en-GB"/>
        </w:rPr>
        <w:t>Conclusion</w:t>
      </w:r>
    </w:p>
    <w:p w14:paraId="1BE4DAE0"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While cytological analysis remains essential for diagnosing chronic lymphoid neoplasia, immunophenotyping by flow cytometry is crucial for identifying specific phenotypic profiles. However, this technique has limitations, especially with atypical phenotypes, overlapping pathologies, or low abnormal cell counts.</w:t>
      </w:r>
    </w:p>
    <w:p w14:paraId="35AD9546" w14:textId="77777777" w:rsidR="00683597" w:rsidRPr="00683597" w:rsidRDefault="00683597" w:rsidP="00683597">
      <w:pPr>
        <w:spacing w:line="360" w:lineRule="auto"/>
        <w:jc w:val="both"/>
        <w:rPr>
          <w:rFonts w:ascii="Arial" w:hAnsi="Arial" w:cs="Arial"/>
          <w:sz w:val="22"/>
          <w:szCs w:val="22"/>
          <w:lang w:val="en-GB"/>
        </w:rPr>
      </w:pPr>
      <w:r w:rsidRPr="00683597">
        <w:rPr>
          <w:rFonts w:ascii="Arial" w:hAnsi="Arial" w:cs="Arial"/>
          <w:sz w:val="22"/>
          <w:szCs w:val="22"/>
          <w:lang w:val="en-GB"/>
        </w:rPr>
        <w:t>Flow cytometry cannot detect genetic or molecular anomalies vital for certain diagnoses, prognoses, or therapy decisions. Here, cytogenetics and molecular biology are complementary, identifying chromosomal abnormalities like 17p deletion or TP53 mutations and clonal rearrangements of B or T lymphocyte receptors. This integrated approach enhances the accuracy of diagnosing and managing chronic lymphoid neoplasia.</w:t>
      </w:r>
    </w:p>
    <w:p w14:paraId="79199C7C" w14:textId="77777777" w:rsidR="00683597" w:rsidRPr="00683597" w:rsidRDefault="00683597" w:rsidP="00683597">
      <w:pPr>
        <w:spacing w:line="360" w:lineRule="auto"/>
        <w:jc w:val="both"/>
        <w:rPr>
          <w:rFonts w:ascii="Arial" w:hAnsi="Arial" w:cs="Arial"/>
          <w:b/>
          <w:bCs/>
          <w:sz w:val="22"/>
          <w:szCs w:val="22"/>
        </w:rPr>
      </w:pPr>
    </w:p>
    <w:p w14:paraId="5CF99436" w14:textId="77777777" w:rsidR="00EA1195" w:rsidRPr="00EA1195" w:rsidRDefault="00EA1195" w:rsidP="00EA1195">
      <w:pPr>
        <w:spacing w:line="360" w:lineRule="auto"/>
        <w:jc w:val="both"/>
        <w:rPr>
          <w:rFonts w:ascii="Arial" w:hAnsi="Arial" w:cs="Arial"/>
          <w:b/>
          <w:bCs/>
        </w:rPr>
      </w:pPr>
      <w:r w:rsidRPr="00EA1195">
        <w:rPr>
          <w:rFonts w:ascii="Arial" w:hAnsi="Arial" w:cs="Arial"/>
          <w:b/>
          <w:bCs/>
        </w:rPr>
        <w:t>References</w:t>
      </w:r>
    </w:p>
    <w:p w14:paraId="6DB7CFFA" w14:textId="77777777" w:rsidR="00EA1195" w:rsidRPr="00EA1195" w:rsidRDefault="00EA1195" w:rsidP="00EA1195">
      <w:pPr>
        <w:spacing w:line="360" w:lineRule="auto"/>
        <w:jc w:val="both"/>
        <w:rPr>
          <w:rFonts w:ascii="Arial" w:hAnsi="Arial" w:cs="Arial"/>
          <w:b/>
          <w:bCs/>
        </w:rPr>
      </w:pPr>
    </w:p>
    <w:p w14:paraId="3FB2AD65"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 </w:t>
      </w:r>
      <w:proofErr w:type="spellStart"/>
      <w:r w:rsidRPr="00EA1195">
        <w:rPr>
          <w:rFonts w:ascii="Arial" w:hAnsi="Arial" w:cs="Arial"/>
        </w:rPr>
        <w:t>Safra</w:t>
      </w:r>
      <w:proofErr w:type="spellEnd"/>
      <w:r w:rsidRPr="00EA1195">
        <w:rPr>
          <w:rFonts w:ascii="Arial" w:hAnsi="Arial" w:cs="Arial"/>
        </w:rPr>
        <w:t xml:space="preserve"> I, </w:t>
      </w:r>
      <w:proofErr w:type="spellStart"/>
      <w:r w:rsidRPr="00EA1195">
        <w:rPr>
          <w:rFonts w:ascii="Arial" w:hAnsi="Arial" w:cs="Arial"/>
        </w:rPr>
        <w:t>Laouiti</w:t>
      </w:r>
      <w:proofErr w:type="spellEnd"/>
      <w:r w:rsidRPr="00EA1195">
        <w:rPr>
          <w:rFonts w:ascii="Arial" w:hAnsi="Arial" w:cs="Arial"/>
        </w:rPr>
        <w:t xml:space="preserve"> F, </w:t>
      </w:r>
      <w:proofErr w:type="spellStart"/>
      <w:r w:rsidRPr="00EA1195">
        <w:rPr>
          <w:rFonts w:ascii="Arial" w:hAnsi="Arial" w:cs="Arial"/>
        </w:rPr>
        <w:t>Manai</w:t>
      </w:r>
      <w:proofErr w:type="spellEnd"/>
      <w:r w:rsidRPr="00EA1195">
        <w:rPr>
          <w:rFonts w:ascii="Arial" w:hAnsi="Arial" w:cs="Arial"/>
        </w:rPr>
        <w:t xml:space="preserve"> Z, et al. </w:t>
      </w:r>
      <w:proofErr w:type="spellStart"/>
      <w:r w:rsidRPr="00EA1195">
        <w:rPr>
          <w:rFonts w:ascii="Arial" w:hAnsi="Arial" w:cs="Arial"/>
        </w:rPr>
        <w:t>Cryoflow</w:t>
      </w:r>
      <w:proofErr w:type="spellEnd"/>
      <w:r w:rsidRPr="00EA1195">
        <w:rPr>
          <w:rFonts w:ascii="Arial" w:hAnsi="Arial" w:cs="Arial"/>
        </w:rPr>
        <w:t xml:space="preserve"> classification of 104 cases of adult hyperlymphocytosis. Tunis Med. 2013;91(5):352-356.</w:t>
      </w:r>
    </w:p>
    <w:p w14:paraId="44B2D408"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2. Mayeur-Rousse C, Bouyer S, </w:t>
      </w:r>
      <w:proofErr w:type="spellStart"/>
      <w:r w:rsidRPr="00EA1195">
        <w:rPr>
          <w:rFonts w:ascii="Arial" w:hAnsi="Arial" w:cs="Arial"/>
        </w:rPr>
        <w:t>Lesesve</w:t>
      </w:r>
      <w:proofErr w:type="spellEnd"/>
      <w:r w:rsidRPr="00EA1195">
        <w:rPr>
          <w:rFonts w:ascii="Arial" w:hAnsi="Arial" w:cs="Arial"/>
        </w:rPr>
        <w:t xml:space="preserve"> JF, Le </w:t>
      </w:r>
      <w:proofErr w:type="spellStart"/>
      <w:r w:rsidRPr="00EA1195">
        <w:rPr>
          <w:rFonts w:ascii="Arial" w:hAnsi="Arial" w:cs="Arial"/>
        </w:rPr>
        <w:t>Garff</w:t>
      </w:r>
      <w:proofErr w:type="spellEnd"/>
      <w:r w:rsidRPr="00EA1195">
        <w:rPr>
          <w:rFonts w:ascii="Arial" w:hAnsi="Arial" w:cs="Arial"/>
        </w:rPr>
        <w:t xml:space="preserve">-Tavernier M, </w:t>
      </w:r>
      <w:proofErr w:type="spellStart"/>
      <w:r w:rsidRPr="00EA1195">
        <w:rPr>
          <w:rFonts w:ascii="Arial" w:hAnsi="Arial" w:cs="Arial"/>
        </w:rPr>
        <w:t>Baseggio</w:t>
      </w:r>
      <w:proofErr w:type="spellEnd"/>
      <w:r w:rsidRPr="00EA1195">
        <w:rPr>
          <w:rFonts w:ascii="Arial" w:hAnsi="Arial" w:cs="Arial"/>
        </w:rPr>
        <w:t xml:space="preserve"> L. Place of immunophenotyping in chronic lymphoproliferative syndromes: survey of practices within </w:t>
      </w:r>
      <w:proofErr w:type="spellStart"/>
      <w:r w:rsidRPr="00EA1195">
        <w:rPr>
          <w:rFonts w:ascii="Arial" w:hAnsi="Arial" w:cs="Arial"/>
        </w:rPr>
        <w:t>CytHem</w:t>
      </w:r>
      <w:proofErr w:type="spellEnd"/>
      <w:r w:rsidRPr="00EA1195">
        <w:rPr>
          <w:rFonts w:ascii="Arial" w:hAnsi="Arial" w:cs="Arial"/>
        </w:rPr>
        <w:t>. Ann Biol Clin. 2023;27(3):289-303.</w:t>
      </w:r>
    </w:p>
    <w:p w14:paraId="1B7D16AB"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3. </w:t>
      </w:r>
      <w:proofErr w:type="spellStart"/>
      <w:r w:rsidRPr="00EA1195">
        <w:rPr>
          <w:rFonts w:ascii="Arial" w:hAnsi="Arial" w:cs="Arial"/>
        </w:rPr>
        <w:t>Gokaba</w:t>
      </w:r>
      <w:proofErr w:type="spellEnd"/>
      <w:r w:rsidRPr="00EA1195">
        <w:rPr>
          <w:rFonts w:ascii="Arial" w:hAnsi="Arial" w:cs="Arial"/>
        </w:rPr>
        <w:t xml:space="preserve"> LTO, </w:t>
      </w:r>
      <w:proofErr w:type="spellStart"/>
      <w:r w:rsidRPr="00EA1195">
        <w:rPr>
          <w:rFonts w:ascii="Arial" w:hAnsi="Arial" w:cs="Arial"/>
        </w:rPr>
        <w:t>Sall</w:t>
      </w:r>
      <w:proofErr w:type="spellEnd"/>
      <w:r w:rsidRPr="00EA1195">
        <w:rPr>
          <w:rFonts w:ascii="Arial" w:hAnsi="Arial" w:cs="Arial"/>
        </w:rPr>
        <w:t xml:space="preserve"> A, Seck M, et al. Cytological and immunophenotypic aspects of chronic B-cell small cell lymphoproliferative syndromes in Dakar, Senegal. Health Sci Dis. 2020;21(1).</w:t>
      </w:r>
    </w:p>
    <w:p w14:paraId="28DB56D8"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4. </w:t>
      </w:r>
      <w:proofErr w:type="spellStart"/>
      <w:r w:rsidRPr="00EA1195">
        <w:rPr>
          <w:rFonts w:ascii="Arial" w:hAnsi="Arial" w:cs="Arial"/>
        </w:rPr>
        <w:t>Meryeme</w:t>
      </w:r>
      <w:proofErr w:type="spellEnd"/>
      <w:r w:rsidRPr="00EA1195">
        <w:rPr>
          <w:rFonts w:ascii="Arial" w:hAnsi="Arial" w:cs="Arial"/>
        </w:rPr>
        <w:t xml:space="preserve"> A. Contribution of Flow Cytometry in the Diagnosis and Monitoring of Chronic Lymphoproliferative Syndromes Type B. 2020.</w:t>
      </w:r>
    </w:p>
    <w:p w14:paraId="019F6335"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5. Stevenson F, Wu C, Croce C, et al. Chronic lymphocytic </w:t>
      </w:r>
      <w:proofErr w:type="spellStart"/>
      <w:r w:rsidRPr="00EA1195">
        <w:rPr>
          <w:rFonts w:ascii="Arial" w:hAnsi="Arial" w:cs="Arial"/>
        </w:rPr>
        <w:t>leukaemia</w:t>
      </w:r>
      <w:proofErr w:type="spellEnd"/>
      <w:r w:rsidRPr="00EA1195">
        <w:rPr>
          <w:rFonts w:ascii="Arial" w:hAnsi="Arial" w:cs="Arial"/>
        </w:rPr>
        <w:t>. 2017.</w:t>
      </w:r>
    </w:p>
    <w:p w14:paraId="5AAD8759" w14:textId="77777777" w:rsidR="00EA1195" w:rsidRPr="00EA1195" w:rsidRDefault="00EA1195" w:rsidP="00EA1195">
      <w:pPr>
        <w:spacing w:line="360" w:lineRule="auto"/>
        <w:jc w:val="both"/>
        <w:rPr>
          <w:rFonts w:ascii="Arial" w:hAnsi="Arial" w:cs="Arial"/>
        </w:rPr>
      </w:pPr>
      <w:r w:rsidRPr="00EA1195">
        <w:rPr>
          <w:rFonts w:ascii="Arial" w:hAnsi="Arial" w:cs="Arial"/>
        </w:rPr>
        <w:lastRenderedPageBreak/>
        <w:t xml:space="preserve">6. </w:t>
      </w:r>
      <w:proofErr w:type="spellStart"/>
      <w:r w:rsidRPr="00EA1195">
        <w:rPr>
          <w:rFonts w:ascii="Arial" w:hAnsi="Arial" w:cs="Arial"/>
        </w:rPr>
        <w:t>Imane</w:t>
      </w:r>
      <w:proofErr w:type="spellEnd"/>
      <w:r w:rsidRPr="00EA1195">
        <w:rPr>
          <w:rFonts w:ascii="Arial" w:hAnsi="Arial" w:cs="Arial"/>
        </w:rPr>
        <w:t xml:space="preserve"> </w:t>
      </w:r>
      <w:proofErr w:type="spellStart"/>
      <w:r w:rsidRPr="00EA1195">
        <w:rPr>
          <w:rFonts w:ascii="Arial" w:hAnsi="Arial" w:cs="Arial"/>
        </w:rPr>
        <w:t>Oulbani</w:t>
      </w:r>
      <w:proofErr w:type="spellEnd"/>
      <w:r w:rsidRPr="00EA1195">
        <w:rPr>
          <w:rFonts w:ascii="Arial" w:hAnsi="Arial" w:cs="Arial"/>
        </w:rPr>
        <w:t xml:space="preserve">., &amp; Wissam, Malek (2023). </w:t>
      </w:r>
      <w:proofErr w:type="spellStart"/>
      <w:r w:rsidRPr="00EA1195">
        <w:rPr>
          <w:rFonts w:ascii="Arial" w:hAnsi="Arial" w:cs="Arial"/>
        </w:rPr>
        <w:t>Hematometry</w:t>
      </w:r>
      <w:proofErr w:type="spellEnd"/>
      <w:r w:rsidRPr="00EA1195">
        <w:rPr>
          <w:rFonts w:ascii="Arial" w:hAnsi="Arial" w:cs="Arial"/>
        </w:rPr>
        <w:t xml:space="preserve"> and Immunophenotypic Profile of Chronic Lymphocytic Leukemia (CLL) over a 10-year period at </w:t>
      </w:r>
      <w:proofErr w:type="spellStart"/>
      <w:r w:rsidRPr="00EA1195">
        <w:rPr>
          <w:rFonts w:ascii="Arial" w:hAnsi="Arial" w:cs="Arial"/>
        </w:rPr>
        <w:t>Tizi</w:t>
      </w:r>
      <w:proofErr w:type="spellEnd"/>
      <w:r w:rsidRPr="00EA1195">
        <w:rPr>
          <w:rFonts w:ascii="Arial" w:hAnsi="Arial" w:cs="Arial"/>
        </w:rPr>
        <w:t xml:space="preserve"> </w:t>
      </w:r>
      <w:proofErr w:type="spellStart"/>
      <w:r w:rsidRPr="00EA1195">
        <w:rPr>
          <w:rFonts w:ascii="Arial" w:hAnsi="Arial" w:cs="Arial"/>
        </w:rPr>
        <w:t>Ouzou</w:t>
      </w:r>
      <w:proofErr w:type="spellEnd"/>
      <w:r w:rsidRPr="00EA1195">
        <w:rPr>
          <w:rFonts w:ascii="Arial" w:hAnsi="Arial" w:cs="Arial"/>
        </w:rPr>
        <w:t xml:space="preserve"> University Hospital</w:t>
      </w:r>
    </w:p>
    <w:p w14:paraId="4E2E49C8"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7. El Borgi W, Ben Salah N, Ben </w:t>
      </w:r>
      <w:proofErr w:type="spellStart"/>
      <w:r w:rsidRPr="00EA1195">
        <w:rPr>
          <w:rFonts w:ascii="Arial" w:hAnsi="Arial" w:cs="Arial"/>
        </w:rPr>
        <w:t>Lakhal</w:t>
      </w:r>
      <w:proofErr w:type="spellEnd"/>
      <w:r w:rsidRPr="00EA1195">
        <w:rPr>
          <w:rFonts w:ascii="Arial" w:hAnsi="Arial" w:cs="Arial"/>
        </w:rPr>
        <w:t xml:space="preserve"> F, </w:t>
      </w:r>
      <w:proofErr w:type="spellStart"/>
      <w:r w:rsidRPr="00EA1195">
        <w:rPr>
          <w:rFonts w:ascii="Arial" w:hAnsi="Arial" w:cs="Arial"/>
        </w:rPr>
        <w:t>Makni</w:t>
      </w:r>
      <w:proofErr w:type="spellEnd"/>
      <w:r w:rsidRPr="00EA1195">
        <w:rPr>
          <w:rFonts w:ascii="Arial" w:hAnsi="Arial" w:cs="Arial"/>
        </w:rPr>
        <w:t xml:space="preserve"> L, </w:t>
      </w:r>
      <w:proofErr w:type="spellStart"/>
      <w:r w:rsidRPr="00EA1195">
        <w:rPr>
          <w:rFonts w:ascii="Arial" w:hAnsi="Arial" w:cs="Arial"/>
        </w:rPr>
        <w:t>Gouider</w:t>
      </w:r>
      <w:proofErr w:type="spellEnd"/>
      <w:r w:rsidRPr="00EA1195">
        <w:rPr>
          <w:rFonts w:ascii="Arial" w:hAnsi="Arial" w:cs="Arial"/>
        </w:rPr>
        <w:t xml:space="preserve"> E, </w:t>
      </w:r>
      <w:proofErr w:type="spellStart"/>
      <w:r w:rsidRPr="00EA1195">
        <w:rPr>
          <w:rFonts w:ascii="Arial" w:hAnsi="Arial" w:cs="Arial"/>
        </w:rPr>
        <w:t>Hafsia</w:t>
      </w:r>
      <w:proofErr w:type="spellEnd"/>
      <w:r w:rsidRPr="00EA1195">
        <w:rPr>
          <w:rFonts w:ascii="Arial" w:hAnsi="Arial" w:cs="Arial"/>
        </w:rPr>
        <w:t xml:space="preserve"> R. Immunophenotyping of non-CLL chronic B lymphoproliferative syndromes: comparison with histology. Ann Biol Clin (Paris). 2013;71(6):693-697.</w:t>
      </w:r>
    </w:p>
    <w:p w14:paraId="60D16AE6"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8. </w:t>
      </w:r>
      <w:proofErr w:type="spellStart"/>
      <w:r w:rsidRPr="00EA1195">
        <w:rPr>
          <w:rFonts w:ascii="Arial" w:hAnsi="Arial" w:cs="Arial"/>
        </w:rPr>
        <w:t>Troussard</w:t>
      </w:r>
      <w:proofErr w:type="spellEnd"/>
      <w:r w:rsidRPr="00EA1195">
        <w:rPr>
          <w:rFonts w:ascii="Arial" w:hAnsi="Arial" w:cs="Arial"/>
        </w:rPr>
        <w:t xml:space="preserve"> X. New developments in mature chronic B lymphoid </w:t>
      </w:r>
      <w:proofErr w:type="spellStart"/>
      <w:r w:rsidRPr="00EA1195">
        <w:rPr>
          <w:rFonts w:ascii="Arial" w:hAnsi="Arial" w:cs="Arial"/>
        </w:rPr>
        <w:t>hematopathies</w:t>
      </w:r>
      <w:proofErr w:type="spellEnd"/>
      <w:r w:rsidRPr="00EA1195">
        <w:rPr>
          <w:rFonts w:ascii="Arial" w:hAnsi="Arial" w:cs="Arial"/>
        </w:rPr>
        <w:t xml:space="preserve">. Immunol Biol Spec. 2013. </w:t>
      </w:r>
      <w:proofErr w:type="spellStart"/>
      <w:r w:rsidRPr="00EA1195">
        <w:rPr>
          <w:rFonts w:ascii="Arial" w:hAnsi="Arial" w:cs="Arial"/>
        </w:rPr>
        <w:t>doi</w:t>
      </w:r>
      <w:proofErr w:type="spellEnd"/>
      <w:r w:rsidRPr="00EA1195">
        <w:rPr>
          <w:rFonts w:ascii="Arial" w:hAnsi="Arial" w:cs="Arial"/>
        </w:rPr>
        <w:t>: 10.1016/j.immbio.2013.03.001</w:t>
      </w:r>
    </w:p>
    <w:p w14:paraId="5CFEF350"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9. </w:t>
      </w:r>
      <w:proofErr w:type="spellStart"/>
      <w:r w:rsidRPr="00EA1195">
        <w:rPr>
          <w:rFonts w:ascii="Arial" w:hAnsi="Arial" w:cs="Arial"/>
        </w:rPr>
        <w:t>Boivert</w:t>
      </w:r>
      <w:proofErr w:type="spellEnd"/>
      <w:r w:rsidRPr="00EA1195">
        <w:rPr>
          <w:rFonts w:ascii="Arial" w:hAnsi="Arial" w:cs="Arial"/>
        </w:rPr>
        <w:t xml:space="preserve"> C. Biological and clinical characteristics of chronic B lymphoproliferative syndromes with more than one clone detected by flow cytometry [doctoral dissertation]. 2017.</w:t>
      </w:r>
    </w:p>
    <w:p w14:paraId="3BC92445" w14:textId="77777777" w:rsidR="00EA1195" w:rsidRPr="00EA1195" w:rsidRDefault="00EA1195" w:rsidP="00EA1195">
      <w:pPr>
        <w:spacing w:line="360" w:lineRule="auto"/>
        <w:jc w:val="both"/>
        <w:rPr>
          <w:rFonts w:ascii="Arial" w:hAnsi="Arial" w:cs="Arial"/>
        </w:rPr>
      </w:pPr>
      <w:r w:rsidRPr="00EA1195">
        <w:rPr>
          <w:rFonts w:ascii="Arial" w:hAnsi="Arial" w:cs="Arial"/>
        </w:rPr>
        <w:t>10. Zimmer L. Update on the pathophysiology of chronic lymphocytic leukemia and new therapeutic targets. 2020.</w:t>
      </w:r>
    </w:p>
    <w:p w14:paraId="2E814D99"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11. </w:t>
      </w:r>
      <w:proofErr w:type="spellStart"/>
      <w:r w:rsidRPr="00EA1195">
        <w:rPr>
          <w:rFonts w:ascii="Arial" w:hAnsi="Arial" w:cs="Arial"/>
        </w:rPr>
        <w:t>Cavailles</w:t>
      </w:r>
      <w:proofErr w:type="spellEnd"/>
      <w:r w:rsidRPr="00EA1195">
        <w:rPr>
          <w:rFonts w:ascii="Arial" w:hAnsi="Arial" w:cs="Arial"/>
        </w:rPr>
        <w:t xml:space="preserve"> R. Analysis of new markers (CD180, CD200 and ROR1) in the differential diagnosis of lymphoproliferative syndromes by flow cytometry [doctoral dissertation]. 2017.</w:t>
      </w:r>
    </w:p>
    <w:p w14:paraId="318ABAF4"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12. </w:t>
      </w:r>
      <w:proofErr w:type="spellStart"/>
      <w:r w:rsidRPr="00EA1195">
        <w:rPr>
          <w:rFonts w:ascii="Arial" w:hAnsi="Arial" w:cs="Arial"/>
        </w:rPr>
        <w:t>Rawstron</w:t>
      </w:r>
      <w:proofErr w:type="spellEnd"/>
      <w:r w:rsidRPr="00EA1195">
        <w:rPr>
          <w:rFonts w:ascii="Arial" w:hAnsi="Arial" w:cs="Arial"/>
        </w:rPr>
        <w:t xml:space="preserve"> AC, Kreuzer KA, </w:t>
      </w:r>
      <w:proofErr w:type="spellStart"/>
      <w:r w:rsidRPr="00EA1195">
        <w:rPr>
          <w:rFonts w:ascii="Arial" w:hAnsi="Arial" w:cs="Arial"/>
        </w:rPr>
        <w:t>Soosapilla</w:t>
      </w:r>
      <w:proofErr w:type="spellEnd"/>
      <w:r w:rsidRPr="00EA1195">
        <w:rPr>
          <w:rFonts w:ascii="Arial" w:hAnsi="Arial" w:cs="Arial"/>
        </w:rPr>
        <w:t xml:space="preserve"> A, et al. Reproducible diagnosis of chronic lymphocytic leukemia by flow cytometry: </w:t>
      </w:r>
      <w:proofErr w:type="gramStart"/>
      <w:r w:rsidRPr="00EA1195">
        <w:rPr>
          <w:rFonts w:ascii="Arial" w:hAnsi="Arial" w:cs="Arial"/>
        </w:rPr>
        <w:t>An</w:t>
      </w:r>
      <w:proofErr w:type="gramEnd"/>
      <w:r w:rsidRPr="00EA1195">
        <w:rPr>
          <w:rFonts w:ascii="Arial" w:hAnsi="Arial" w:cs="Arial"/>
        </w:rPr>
        <w:t xml:space="preserve"> European Research Initiative on CLL (ERIC) &amp; European Society for Clinical Cell Analysis (ESCCA) Harmonization project. Cytometry B Clin </w:t>
      </w:r>
      <w:proofErr w:type="spellStart"/>
      <w:r w:rsidRPr="00EA1195">
        <w:rPr>
          <w:rFonts w:ascii="Arial" w:hAnsi="Arial" w:cs="Arial"/>
        </w:rPr>
        <w:t>Cytom</w:t>
      </w:r>
      <w:proofErr w:type="spellEnd"/>
      <w:r w:rsidRPr="00EA1195">
        <w:rPr>
          <w:rFonts w:ascii="Arial" w:hAnsi="Arial" w:cs="Arial"/>
        </w:rPr>
        <w:t>. 2018;94(1):121-128.</w:t>
      </w:r>
    </w:p>
    <w:p w14:paraId="3232EA59"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13. Sales MM, Ferreira SIACP, </w:t>
      </w:r>
      <w:proofErr w:type="spellStart"/>
      <w:r w:rsidRPr="00EA1195">
        <w:rPr>
          <w:rFonts w:ascii="Arial" w:hAnsi="Arial" w:cs="Arial"/>
        </w:rPr>
        <w:t>Ikoma</w:t>
      </w:r>
      <w:proofErr w:type="spellEnd"/>
      <w:r w:rsidRPr="00EA1195">
        <w:rPr>
          <w:rFonts w:ascii="Arial" w:hAnsi="Arial" w:cs="Arial"/>
        </w:rPr>
        <w:t xml:space="preserve"> MRV, et al. Diagnosis of chronic lymphoproliferative disorders by flow cytometry using four</w:t>
      </w:r>
      <w:r w:rsidRPr="00EA1195">
        <w:rPr>
          <w:rFonts w:ascii="Cambria Math" w:hAnsi="Cambria Math" w:cs="Cambria Math"/>
        </w:rPr>
        <w:t>‐</w:t>
      </w:r>
      <w:r w:rsidRPr="00EA1195">
        <w:rPr>
          <w:rFonts w:ascii="Arial" w:hAnsi="Arial" w:cs="Arial"/>
        </w:rPr>
        <w:t xml:space="preserve">color combinations for immunophenotyping: A proposal of the Brazilian Group of Flow Cytometry (GBCFLUX). Cytometry B Clin </w:t>
      </w:r>
      <w:proofErr w:type="spellStart"/>
      <w:r w:rsidRPr="00EA1195">
        <w:rPr>
          <w:rFonts w:ascii="Arial" w:hAnsi="Arial" w:cs="Arial"/>
        </w:rPr>
        <w:t>Cytom</w:t>
      </w:r>
      <w:proofErr w:type="spellEnd"/>
      <w:r w:rsidRPr="00EA1195">
        <w:rPr>
          <w:rFonts w:ascii="Arial" w:hAnsi="Arial" w:cs="Arial"/>
        </w:rPr>
        <w:t>. 2017;92(5):398-41.</w:t>
      </w:r>
    </w:p>
    <w:p w14:paraId="66552BA6" w14:textId="77777777" w:rsidR="00EA1195" w:rsidRPr="00EA1195" w:rsidRDefault="00EA1195" w:rsidP="00EA1195">
      <w:pPr>
        <w:spacing w:line="360" w:lineRule="auto"/>
        <w:jc w:val="both"/>
        <w:rPr>
          <w:rFonts w:ascii="Arial" w:hAnsi="Arial" w:cs="Arial"/>
        </w:rPr>
      </w:pPr>
      <w:r w:rsidRPr="00EA1195">
        <w:rPr>
          <w:rFonts w:ascii="Arial" w:hAnsi="Arial" w:cs="Arial"/>
        </w:rPr>
        <w:t>14. Canton L. CD19/CD5 positive lymphoproliferative syndromes: differential expression of CD200 [doctoral dissertation]. University of Lausanne, Faculty of Biology and Medicine; 2014.</w:t>
      </w:r>
    </w:p>
    <w:p w14:paraId="6C787EE8"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15. Gao J, Peterson L, Nelson B, Goolsby C, Chen YH. Immunophenotypic variations in mantle cell lymphoma. Am J Clin </w:t>
      </w:r>
      <w:proofErr w:type="spellStart"/>
      <w:r w:rsidRPr="00EA1195">
        <w:rPr>
          <w:rFonts w:ascii="Arial" w:hAnsi="Arial" w:cs="Arial"/>
        </w:rPr>
        <w:t>Pathol</w:t>
      </w:r>
      <w:proofErr w:type="spellEnd"/>
      <w:r w:rsidRPr="00EA1195">
        <w:rPr>
          <w:rFonts w:ascii="Arial" w:hAnsi="Arial" w:cs="Arial"/>
        </w:rPr>
        <w:t>. 2009;132(5):699-706.</w:t>
      </w:r>
    </w:p>
    <w:p w14:paraId="65A970EE"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16. </w:t>
      </w:r>
      <w:proofErr w:type="spellStart"/>
      <w:r w:rsidRPr="00EA1195">
        <w:rPr>
          <w:rFonts w:ascii="Arial" w:hAnsi="Arial" w:cs="Arial"/>
        </w:rPr>
        <w:t>Doukoure</w:t>
      </w:r>
      <w:proofErr w:type="spellEnd"/>
      <w:r w:rsidRPr="00EA1195">
        <w:rPr>
          <w:rFonts w:ascii="Arial" w:hAnsi="Arial" w:cs="Arial"/>
        </w:rPr>
        <w:t xml:space="preserve"> AS, </w:t>
      </w:r>
      <w:proofErr w:type="spellStart"/>
      <w:r w:rsidRPr="00EA1195">
        <w:rPr>
          <w:rFonts w:ascii="Arial" w:hAnsi="Arial" w:cs="Arial"/>
        </w:rPr>
        <w:t>Dohoma</w:t>
      </w:r>
      <w:proofErr w:type="spellEnd"/>
      <w:r w:rsidRPr="00EA1195">
        <w:rPr>
          <w:rFonts w:ascii="Arial" w:hAnsi="Arial" w:cs="Arial"/>
        </w:rPr>
        <w:t xml:space="preserve"> AS, Condé A, </w:t>
      </w:r>
      <w:proofErr w:type="spellStart"/>
      <w:r w:rsidRPr="00EA1195">
        <w:rPr>
          <w:rFonts w:ascii="Arial" w:hAnsi="Arial" w:cs="Arial"/>
        </w:rPr>
        <w:t>Adjoumany</w:t>
      </w:r>
      <w:proofErr w:type="spellEnd"/>
      <w:r w:rsidRPr="00EA1195">
        <w:rPr>
          <w:rFonts w:ascii="Arial" w:hAnsi="Arial" w:cs="Arial"/>
        </w:rPr>
        <w:t xml:space="preserve"> LT, Diakité M, Koffi KG. CD5-Negative Chronic Lymphocytic Leukemia: </w:t>
      </w:r>
      <w:proofErr w:type="gramStart"/>
      <w:r w:rsidRPr="00EA1195">
        <w:rPr>
          <w:rFonts w:ascii="Arial" w:hAnsi="Arial" w:cs="Arial"/>
        </w:rPr>
        <w:t>a</w:t>
      </w:r>
      <w:proofErr w:type="gramEnd"/>
      <w:r w:rsidRPr="00EA1195">
        <w:rPr>
          <w:rFonts w:ascii="Arial" w:hAnsi="Arial" w:cs="Arial"/>
        </w:rPr>
        <w:t xml:space="preserve"> Report of Three Cases. Health Sci Dis. 2023;24(9).</w:t>
      </w:r>
    </w:p>
    <w:p w14:paraId="305E54F8"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17. Cazin B. Prognostic classification of CLL. Hematology. </w:t>
      </w:r>
      <w:proofErr w:type="gramStart"/>
      <w:r w:rsidRPr="00EA1195">
        <w:rPr>
          <w:rFonts w:ascii="Arial" w:hAnsi="Arial" w:cs="Arial"/>
        </w:rPr>
        <w:t>2003;9:403</w:t>
      </w:r>
      <w:proofErr w:type="gramEnd"/>
      <w:r w:rsidRPr="00EA1195">
        <w:rPr>
          <w:rFonts w:ascii="Arial" w:hAnsi="Arial" w:cs="Arial"/>
        </w:rPr>
        <w:t>-411.</w:t>
      </w:r>
    </w:p>
    <w:p w14:paraId="2DEE8743"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18. Le </w:t>
      </w:r>
      <w:proofErr w:type="spellStart"/>
      <w:r w:rsidRPr="00EA1195">
        <w:rPr>
          <w:rFonts w:ascii="Arial" w:hAnsi="Arial" w:cs="Arial"/>
        </w:rPr>
        <w:t>Garff</w:t>
      </w:r>
      <w:proofErr w:type="spellEnd"/>
      <w:r w:rsidRPr="00EA1195">
        <w:rPr>
          <w:rFonts w:ascii="Arial" w:hAnsi="Arial" w:cs="Arial"/>
        </w:rPr>
        <w:t xml:space="preserve">-Tavernier M, </w:t>
      </w:r>
      <w:proofErr w:type="spellStart"/>
      <w:r w:rsidRPr="00EA1195">
        <w:rPr>
          <w:rFonts w:ascii="Arial" w:hAnsi="Arial" w:cs="Arial"/>
        </w:rPr>
        <w:t>Costopoulos</w:t>
      </w:r>
      <w:proofErr w:type="spellEnd"/>
      <w:r w:rsidRPr="00EA1195">
        <w:rPr>
          <w:rFonts w:ascii="Arial" w:hAnsi="Arial" w:cs="Arial"/>
        </w:rPr>
        <w:t xml:space="preserve"> M, Merle-</w:t>
      </w:r>
      <w:proofErr w:type="spellStart"/>
      <w:r w:rsidRPr="00EA1195">
        <w:rPr>
          <w:rFonts w:ascii="Arial" w:hAnsi="Arial" w:cs="Arial"/>
        </w:rPr>
        <w:t>Béral</w:t>
      </w:r>
      <w:proofErr w:type="spellEnd"/>
      <w:r w:rsidRPr="00EA1195">
        <w:rPr>
          <w:rFonts w:ascii="Arial" w:hAnsi="Arial" w:cs="Arial"/>
        </w:rPr>
        <w:t xml:space="preserve"> ​​H. Place of flow cytometry in the diagnosis and monitoring of lymphoproliferative disorders B. Rev Francophone Lab. 2013; 452:37-48.</w:t>
      </w:r>
    </w:p>
    <w:p w14:paraId="32C7CEA9"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19. Blomme S, </w:t>
      </w:r>
      <w:proofErr w:type="spellStart"/>
      <w:r w:rsidRPr="00EA1195">
        <w:rPr>
          <w:rFonts w:ascii="Arial" w:hAnsi="Arial" w:cs="Arial"/>
        </w:rPr>
        <w:t>Nollet</w:t>
      </w:r>
      <w:proofErr w:type="spellEnd"/>
      <w:r w:rsidRPr="00EA1195">
        <w:rPr>
          <w:rFonts w:ascii="Arial" w:hAnsi="Arial" w:cs="Arial"/>
        </w:rPr>
        <w:t xml:space="preserve"> F, </w:t>
      </w:r>
      <w:proofErr w:type="spellStart"/>
      <w:r w:rsidRPr="00EA1195">
        <w:rPr>
          <w:rFonts w:ascii="Arial" w:hAnsi="Arial" w:cs="Arial"/>
        </w:rPr>
        <w:t>Boeckx</w:t>
      </w:r>
      <w:proofErr w:type="spellEnd"/>
      <w:r w:rsidRPr="00EA1195">
        <w:rPr>
          <w:rFonts w:ascii="Arial" w:hAnsi="Arial" w:cs="Arial"/>
        </w:rPr>
        <w:t xml:space="preserve"> N, </w:t>
      </w:r>
      <w:proofErr w:type="spellStart"/>
      <w:r w:rsidRPr="00EA1195">
        <w:rPr>
          <w:rFonts w:ascii="Arial" w:hAnsi="Arial" w:cs="Arial"/>
        </w:rPr>
        <w:t>Cauwelier</w:t>
      </w:r>
      <w:proofErr w:type="spellEnd"/>
      <w:r w:rsidRPr="00EA1195">
        <w:rPr>
          <w:rFonts w:ascii="Arial" w:hAnsi="Arial" w:cs="Arial"/>
        </w:rPr>
        <w:t xml:space="preserve"> B, </w:t>
      </w:r>
      <w:proofErr w:type="spellStart"/>
      <w:r w:rsidRPr="00EA1195">
        <w:rPr>
          <w:rFonts w:ascii="Arial" w:hAnsi="Arial" w:cs="Arial"/>
        </w:rPr>
        <w:t>Snauwaert</w:t>
      </w:r>
      <w:proofErr w:type="spellEnd"/>
      <w:r w:rsidRPr="00EA1195">
        <w:rPr>
          <w:rFonts w:ascii="Arial" w:hAnsi="Arial" w:cs="Arial"/>
        </w:rPr>
        <w:t xml:space="preserve"> S, </w:t>
      </w:r>
      <w:proofErr w:type="spellStart"/>
      <w:r w:rsidRPr="00EA1195">
        <w:rPr>
          <w:rFonts w:ascii="Arial" w:hAnsi="Arial" w:cs="Arial"/>
        </w:rPr>
        <w:t>Emmerrechts</w:t>
      </w:r>
      <w:proofErr w:type="spellEnd"/>
      <w:r w:rsidRPr="00EA1195">
        <w:rPr>
          <w:rFonts w:ascii="Arial" w:hAnsi="Arial" w:cs="Arial"/>
        </w:rPr>
        <w:t xml:space="preserve"> J. Diagnostic utility of the lymphoid screening tube supplemented with TRBC1 for the assessment of T</w:t>
      </w:r>
      <w:r w:rsidRPr="00EA1195">
        <w:rPr>
          <w:rFonts w:ascii="Cambria Math" w:hAnsi="Cambria Math" w:cs="Cambria Math"/>
        </w:rPr>
        <w:t>‐</w:t>
      </w:r>
      <w:r w:rsidRPr="00EA1195">
        <w:rPr>
          <w:rFonts w:ascii="Arial" w:hAnsi="Arial" w:cs="Arial"/>
        </w:rPr>
        <w:t xml:space="preserve">cell clonality. Int J Lab </w:t>
      </w:r>
      <w:proofErr w:type="spellStart"/>
      <w:r w:rsidRPr="00EA1195">
        <w:rPr>
          <w:rFonts w:ascii="Arial" w:hAnsi="Arial" w:cs="Arial"/>
        </w:rPr>
        <w:t>Hematol</w:t>
      </w:r>
      <w:proofErr w:type="spellEnd"/>
      <w:r w:rsidRPr="00EA1195">
        <w:rPr>
          <w:rFonts w:ascii="Arial" w:hAnsi="Arial" w:cs="Arial"/>
        </w:rPr>
        <w:t>. 2023;45(4):496-505.</w:t>
      </w:r>
    </w:p>
    <w:p w14:paraId="36500183" w14:textId="77777777" w:rsidR="00EA1195" w:rsidRPr="00EA1195" w:rsidRDefault="00EA1195" w:rsidP="00EA1195">
      <w:pPr>
        <w:spacing w:line="360" w:lineRule="auto"/>
        <w:jc w:val="both"/>
        <w:rPr>
          <w:rFonts w:ascii="Arial" w:hAnsi="Arial" w:cs="Arial"/>
        </w:rPr>
      </w:pPr>
      <w:r w:rsidRPr="00EA1195">
        <w:rPr>
          <w:rFonts w:ascii="Arial" w:hAnsi="Arial" w:cs="Arial"/>
        </w:rPr>
        <w:lastRenderedPageBreak/>
        <w:t xml:space="preserve">20. </w:t>
      </w:r>
      <w:proofErr w:type="spellStart"/>
      <w:r w:rsidRPr="00EA1195">
        <w:rPr>
          <w:rFonts w:ascii="Arial" w:hAnsi="Arial" w:cs="Arial"/>
        </w:rPr>
        <w:t>Maciocia</w:t>
      </w:r>
      <w:proofErr w:type="spellEnd"/>
      <w:r w:rsidRPr="00EA1195">
        <w:rPr>
          <w:rFonts w:ascii="Arial" w:hAnsi="Arial" w:cs="Arial"/>
        </w:rPr>
        <w:t xml:space="preserve"> PM, </w:t>
      </w:r>
      <w:proofErr w:type="spellStart"/>
      <w:r w:rsidRPr="00EA1195">
        <w:rPr>
          <w:rFonts w:ascii="Arial" w:hAnsi="Arial" w:cs="Arial"/>
        </w:rPr>
        <w:t>Wawrzyniecka</w:t>
      </w:r>
      <w:proofErr w:type="spellEnd"/>
      <w:r w:rsidRPr="00EA1195">
        <w:rPr>
          <w:rFonts w:ascii="Arial" w:hAnsi="Arial" w:cs="Arial"/>
        </w:rPr>
        <w:t xml:space="preserve"> PA, Philip B, et al. Targeting the T cell receptor β-chain constant region for immunotherapy of T cell malignancies. Nat Med. 2017;23(12):1416-1423.</w:t>
      </w:r>
    </w:p>
    <w:p w14:paraId="3656C972" w14:textId="77777777" w:rsidR="00EA1195" w:rsidRPr="00EA1195" w:rsidRDefault="00EA1195" w:rsidP="00EA1195">
      <w:pPr>
        <w:spacing w:line="360" w:lineRule="auto"/>
        <w:jc w:val="both"/>
        <w:rPr>
          <w:rFonts w:ascii="Arial" w:hAnsi="Arial" w:cs="Arial"/>
        </w:rPr>
      </w:pPr>
      <w:r w:rsidRPr="00EA1195">
        <w:rPr>
          <w:rFonts w:ascii="Arial" w:hAnsi="Arial" w:cs="Arial"/>
        </w:rPr>
        <w:t>21. Horna P, Shi M, Olteanu H, Johansson U. Emerging role of T-cell receptor constant β chain-1 (TRBC1) expression in the flow cytometric diagnosis of T-cell malignancies. Int J Mol Sci. 2021;22(4):1817.</w:t>
      </w:r>
    </w:p>
    <w:p w14:paraId="3A7ADF80" w14:textId="77777777" w:rsidR="00EA1195" w:rsidRPr="00EA1195" w:rsidRDefault="00EA1195" w:rsidP="00EA1195">
      <w:pPr>
        <w:spacing w:line="360" w:lineRule="auto"/>
        <w:jc w:val="both"/>
        <w:rPr>
          <w:rFonts w:ascii="Arial" w:hAnsi="Arial" w:cs="Arial"/>
        </w:rPr>
      </w:pPr>
      <w:r w:rsidRPr="00EA1195">
        <w:rPr>
          <w:rFonts w:ascii="Arial" w:hAnsi="Arial" w:cs="Arial"/>
        </w:rPr>
        <w:t xml:space="preserve">22. </w:t>
      </w:r>
      <w:proofErr w:type="spellStart"/>
      <w:r w:rsidRPr="00EA1195">
        <w:rPr>
          <w:rFonts w:ascii="Arial" w:hAnsi="Arial" w:cs="Arial"/>
        </w:rPr>
        <w:t>Jevremovic</w:t>
      </w:r>
      <w:proofErr w:type="spellEnd"/>
      <w:r w:rsidRPr="00EA1195">
        <w:rPr>
          <w:rFonts w:ascii="Arial" w:hAnsi="Arial" w:cs="Arial"/>
        </w:rPr>
        <w:t xml:space="preserve"> D, </w:t>
      </w:r>
      <w:proofErr w:type="spellStart"/>
      <w:r w:rsidRPr="00EA1195">
        <w:rPr>
          <w:rFonts w:ascii="Arial" w:hAnsi="Arial" w:cs="Arial"/>
        </w:rPr>
        <w:t>Olteanu</w:t>
      </w:r>
      <w:proofErr w:type="spellEnd"/>
      <w:r w:rsidRPr="00EA1195">
        <w:rPr>
          <w:rFonts w:ascii="Arial" w:hAnsi="Arial" w:cs="Arial"/>
        </w:rPr>
        <w:t xml:space="preserve"> H. Flow cytometry applications in the diagnosis of T/NK</w:t>
      </w:r>
      <w:r w:rsidRPr="00EA1195">
        <w:rPr>
          <w:rFonts w:ascii="Cambria Math" w:hAnsi="Cambria Math" w:cs="Cambria Math"/>
        </w:rPr>
        <w:t>‐</w:t>
      </w:r>
      <w:r w:rsidRPr="00EA1195">
        <w:rPr>
          <w:rFonts w:ascii="Arial" w:hAnsi="Arial" w:cs="Arial"/>
        </w:rPr>
        <w:t xml:space="preserve">cell lymphoproliferative disorders. Cytometry B Clin </w:t>
      </w:r>
      <w:proofErr w:type="spellStart"/>
      <w:r w:rsidRPr="00EA1195">
        <w:rPr>
          <w:rFonts w:ascii="Arial" w:hAnsi="Arial" w:cs="Arial"/>
        </w:rPr>
        <w:t>Cytom</w:t>
      </w:r>
      <w:proofErr w:type="spellEnd"/>
      <w:r w:rsidRPr="00EA1195">
        <w:rPr>
          <w:rFonts w:ascii="Arial" w:hAnsi="Arial" w:cs="Arial"/>
        </w:rPr>
        <w:t>. 2019;96(2):99-115.</w:t>
      </w:r>
    </w:p>
    <w:p w14:paraId="3B3A6D61" w14:textId="16DCF71C" w:rsidR="00092203" w:rsidRPr="00EA1195" w:rsidRDefault="00EA1195" w:rsidP="00EA1195">
      <w:pPr>
        <w:spacing w:line="360" w:lineRule="auto"/>
        <w:jc w:val="both"/>
        <w:rPr>
          <w:rFonts w:ascii="Arial" w:hAnsi="Arial" w:cs="Arial"/>
        </w:rPr>
      </w:pPr>
      <w:r w:rsidRPr="00EA1195">
        <w:rPr>
          <w:rFonts w:ascii="Arial" w:hAnsi="Arial" w:cs="Arial"/>
        </w:rPr>
        <w:t xml:space="preserve">23. Sandberg Y, Almeida J, Gonzalez M, et al. </w:t>
      </w:r>
      <w:proofErr w:type="spellStart"/>
      <w:r w:rsidRPr="00EA1195">
        <w:rPr>
          <w:rFonts w:ascii="Arial" w:hAnsi="Arial" w:cs="Arial"/>
        </w:rPr>
        <w:t>TCRγδ</w:t>
      </w:r>
      <w:proofErr w:type="spellEnd"/>
      <w:r w:rsidRPr="00EA1195">
        <w:rPr>
          <w:rFonts w:ascii="Arial" w:hAnsi="Arial" w:cs="Arial"/>
        </w:rPr>
        <w:t xml:space="preserve">+ large granular lymphocyte leukemias reflect the spectrum of normal antigen-selected </w:t>
      </w:r>
      <w:proofErr w:type="spellStart"/>
      <w:r w:rsidRPr="00EA1195">
        <w:rPr>
          <w:rFonts w:ascii="Arial" w:hAnsi="Arial" w:cs="Arial"/>
        </w:rPr>
        <w:t>TCRγδ</w:t>
      </w:r>
      <w:proofErr w:type="spellEnd"/>
      <w:r w:rsidRPr="00EA1195">
        <w:rPr>
          <w:rFonts w:ascii="Arial" w:hAnsi="Arial" w:cs="Arial"/>
        </w:rPr>
        <w:t>+ T-cells. Leukemia. 2006; 20(3):505-513.</w:t>
      </w:r>
    </w:p>
    <w:sectPr w:rsidR="00092203" w:rsidRPr="00EA1195" w:rsidSect="005D52F7">
      <w:pgSz w:w="15840" w:h="12240" w:orient="landscape"/>
      <w:pgMar w:top="1417" w:right="1417" w:bottom="1417" w:left="1417"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824E" w14:textId="77777777" w:rsidR="00C71718" w:rsidRDefault="00C71718" w:rsidP="00C37E61">
      <w:r>
        <w:separator/>
      </w:r>
    </w:p>
  </w:endnote>
  <w:endnote w:type="continuationSeparator" w:id="0">
    <w:p w14:paraId="02A0EA5C" w14:textId="77777777" w:rsidR="00C71718" w:rsidRDefault="00C717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9A7BC" w14:textId="77777777" w:rsidR="005D52F7" w:rsidRDefault="005D5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D23A" w14:textId="2860A937" w:rsidR="00C37E61" w:rsidRPr="004E4B0D" w:rsidRDefault="00C37E61" w:rsidP="004E4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11C5" w14:textId="746BA941" w:rsidR="00754C9A" w:rsidRPr="005D52F7" w:rsidRDefault="00754C9A" w:rsidP="005D52F7">
    <w:pPr>
      <w:pStyle w:val="Footer"/>
    </w:pPr>
    <w:bookmarkStart w:id="1" w:name="_GoBack"/>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5AC5A" w14:textId="77777777" w:rsidR="00C71718" w:rsidRDefault="00C71718" w:rsidP="00C37E61">
      <w:r>
        <w:separator/>
      </w:r>
    </w:p>
  </w:footnote>
  <w:footnote w:type="continuationSeparator" w:id="0">
    <w:p w14:paraId="7B570B03" w14:textId="77777777" w:rsidR="00C71718" w:rsidRDefault="00C717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683BD" w14:textId="09FF0807" w:rsidR="005D52F7" w:rsidRDefault="005D52F7">
    <w:pPr>
      <w:pStyle w:val="Header"/>
    </w:pPr>
    <w:r>
      <w:rPr>
        <w:noProof/>
      </w:rPr>
      <w:pict w14:anchorId="6D9F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F57" w14:textId="6AE7520D" w:rsidR="005D52F7" w:rsidRDefault="005D52F7">
    <w:pPr>
      <w:pStyle w:val="Header"/>
    </w:pPr>
    <w:r>
      <w:rPr>
        <w:noProof/>
      </w:rPr>
      <w:pict w14:anchorId="0FF2A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BD36" w14:textId="56C8B14B" w:rsidR="00296529" w:rsidRPr="00296529" w:rsidRDefault="005D52F7" w:rsidP="00296529">
    <w:pPr>
      <w:ind w:left="2160"/>
      <w:jc w:val="center"/>
      <w:rPr>
        <w:rFonts w:ascii="Times New Roman" w:eastAsia="Calibri" w:hAnsi="Times New Roman"/>
        <w:i/>
        <w:sz w:val="18"/>
        <w:szCs w:val="22"/>
      </w:rPr>
    </w:pPr>
    <w:r>
      <w:rPr>
        <w:noProof/>
      </w:rPr>
      <w:pict w14:anchorId="0BE7CD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70679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EFFAA3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30F11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9DF0A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25DC5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A8376F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07878EB"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17D6971"/>
    <w:multiLevelType w:val="hybridMultilevel"/>
    <w:tmpl w:val="3EF8458E"/>
    <w:lvl w:ilvl="0" w:tplc="04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92203"/>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25B7"/>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E4B0D"/>
    <w:rsid w:val="00502516"/>
    <w:rsid w:val="00505F06"/>
    <w:rsid w:val="00506828"/>
    <w:rsid w:val="0053056E"/>
    <w:rsid w:val="0054164F"/>
    <w:rsid w:val="00554FDA"/>
    <w:rsid w:val="005A229F"/>
    <w:rsid w:val="005C784C"/>
    <w:rsid w:val="005D17F6"/>
    <w:rsid w:val="005D52F7"/>
    <w:rsid w:val="005E5539"/>
    <w:rsid w:val="00602BF5"/>
    <w:rsid w:val="00617FDD"/>
    <w:rsid w:val="0062395B"/>
    <w:rsid w:val="00633614"/>
    <w:rsid w:val="00633F68"/>
    <w:rsid w:val="00636EB2"/>
    <w:rsid w:val="006375B8"/>
    <w:rsid w:val="0066510A"/>
    <w:rsid w:val="00673F9F"/>
    <w:rsid w:val="00683597"/>
    <w:rsid w:val="00686953"/>
    <w:rsid w:val="00687DEA"/>
    <w:rsid w:val="00687E67"/>
    <w:rsid w:val="006967F7"/>
    <w:rsid w:val="006A250C"/>
    <w:rsid w:val="006B21D3"/>
    <w:rsid w:val="006B570A"/>
    <w:rsid w:val="006B57D0"/>
    <w:rsid w:val="006D30FF"/>
    <w:rsid w:val="006D6940"/>
    <w:rsid w:val="006F11EC"/>
    <w:rsid w:val="0070082C"/>
    <w:rsid w:val="007369E6"/>
    <w:rsid w:val="00746E59"/>
    <w:rsid w:val="00754C9A"/>
    <w:rsid w:val="0075599A"/>
    <w:rsid w:val="00761D52"/>
    <w:rsid w:val="0077749E"/>
    <w:rsid w:val="00790ADA"/>
    <w:rsid w:val="007D2288"/>
    <w:rsid w:val="007D6371"/>
    <w:rsid w:val="007E088F"/>
    <w:rsid w:val="007F7B32"/>
    <w:rsid w:val="00804BC2"/>
    <w:rsid w:val="0081431A"/>
    <w:rsid w:val="0083216F"/>
    <w:rsid w:val="00860000"/>
    <w:rsid w:val="00863BD3"/>
    <w:rsid w:val="008641ED"/>
    <w:rsid w:val="00866D66"/>
    <w:rsid w:val="008671C6"/>
    <w:rsid w:val="00875803"/>
    <w:rsid w:val="00883BD9"/>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4DC1"/>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02D8"/>
    <w:rsid w:val="00BC53A0"/>
    <w:rsid w:val="00BE62AD"/>
    <w:rsid w:val="00BF121F"/>
    <w:rsid w:val="00BF1F80"/>
    <w:rsid w:val="00C166EF"/>
    <w:rsid w:val="00C17EB0"/>
    <w:rsid w:val="00C27F5F"/>
    <w:rsid w:val="00C30A0F"/>
    <w:rsid w:val="00C37E61"/>
    <w:rsid w:val="00C70F1B"/>
    <w:rsid w:val="00C71718"/>
    <w:rsid w:val="00C71A47"/>
    <w:rsid w:val="00C7464C"/>
    <w:rsid w:val="00C85588"/>
    <w:rsid w:val="00CD46C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4EED"/>
    <w:rsid w:val="00E769F6"/>
    <w:rsid w:val="00E8407C"/>
    <w:rsid w:val="00E84F3C"/>
    <w:rsid w:val="00EA012C"/>
    <w:rsid w:val="00EA1195"/>
    <w:rsid w:val="00EC6A55"/>
    <w:rsid w:val="00ED0288"/>
    <w:rsid w:val="00EE52CB"/>
    <w:rsid w:val="00EF581D"/>
    <w:rsid w:val="00EF7FD8"/>
    <w:rsid w:val="00F06F59"/>
    <w:rsid w:val="00F17988"/>
    <w:rsid w:val="00F250FF"/>
    <w:rsid w:val="00F37187"/>
    <w:rsid w:val="00F469F0"/>
    <w:rsid w:val="00F53273"/>
    <w:rsid w:val="00F755E4"/>
    <w:rsid w:val="00F77D02"/>
    <w:rsid w:val="00F84D5D"/>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E8A36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completed">
    <w:name w:val="completed"/>
    <w:basedOn w:val="Normal"/>
    <w:rsid w:val="00F37187"/>
    <w:pPr>
      <w:spacing w:before="100" w:beforeAutospacing="1" w:after="100" w:afterAutospacing="1"/>
    </w:pPr>
    <w:rPr>
      <w:rFonts w:ascii="Times New Roman" w:hAnsi="Times New Roman"/>
      <w:sz w:val="24"/>
      <w:szCs w:val="24"/>
      <w:lang w:val="fr-FR" w:eastAsia="fr-FR"/>
    </w:rPr>
  </w:style>
  <w:style w:type="paragraph" w:styleId="ListParagraph">
    <w:name w:val="List Paragraph"/>
    <w:basedOn w:val="Normal"/>
    <w:uiPriority w:val="34"/>
    <w:qFormat/>
    <w:rsid w:val="00683597"/>
    <w:pPr>
      <w:spacing w:after="160" w:line="259" w:lineRule="auto"/>
      <w:ind w:left="720"/>
      <w:contextualSpacing/>
    </w:pPr>
    <w:rPr>
      <w:rFonts w:asciiTheme="minorHAnsi" w:eastAsiaTheme="minorHAnsi" w:hAnsiTheme="minorHAnsi" w:cstheme="minorBidi"/>
      <w:kern w:val="2"/>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20HP\Desktop\RESULTATS%20THESE%20KASSI%20HERMANCE%202024\BASE%20DE%20DONNEES%20_APPORT%20DE%20L'IMMUNOPHENOTYPAGE%20DANS%20LE%20DIAGNOSTIC%20DES%20SLP%20_%20THESE%20KASSI%20HERMANCE%2014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17-45DC-BDB3-9361428661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17-45DC-BDB3-9361428661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17-45DC-BDB3-9361428661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17-45DC-BDB3-9361428661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17-45DC-BDB3-936142866136}"/>
              </c:ext>
            </c:extLst>
          </c:dPt>
          <c:dLbls>
            <c:dLbl>
              <c:idx val="0"/>
              <c:tx>
                <c:rich>
                  <a:bodyPr/>
                  <a:lstStyle/>
                  <a:p>
                    <a:r>
                      <a:rPr lang="en-US" baseline="0"/>
                      <a:t>CLL, 20
(</a:t>
                    </a:r>
                    <a:fld id="{AE2C45C7-157B-41C5-AE54-7E075E0FA92F}"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C17-45DC-BDB3-936142866136}"/>
                </c:ext>
              </c:extLst>
            </c:dLbl>
            <c:dLbl>
              <c:idx val="1"/>
              <c:tx>
                <c:rich>
                  <a:bodyPr/>
                  <a:lstStyle/>
                  <a:p>
                    <a:r>
                      <a:rPr lang="en-US"/>
                      <a:t>MZL, 12</a:t>
                    </a:r>
                    <a:r>
                      <a:rPr lang="en-US" baseline="0"/>
                      <a:t>
(</a:t>
                    </a:r>
                    <a:fld id="{017C25B9-4F2F-41E3-82C4-ABBA9AB59567}"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17-45DC-BDB3-936142866136}"/>
                </c:ext>
              </c:extLst>
            </c:dLbl>
            <c:dLbl>
              <c:idx val="2"/>
              <c:tx>
                <c:rich>
                  <a:bodyPr/>
                  <a:lstStyle/>
                  <a:p>
                    <a:r>
                      <a:rPr lang="en-US"/>
                      <a:t>MZL/LLP, 5</a:t>
                    </a:r>
                    <a:r>
                      <a:rPr lang="en-US" baseline="0"/>
                      <a:t>
(</a:t>
                    </a:r>
                    <a:fld id="{E6ACEDE0-0F09-4725-85E2-C81F7092AC0D}"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C17-45DC-BDB3-936142866136}"/>
                </c:ext>
              </c:extLst>
            </c:dLbl>
            <c:dLbl>
              <c:idx val="3"/>
              <c:tx>
                <c:rich>
                  <a:bodyPr/>
                  <a:lstStyle/>
                  <a:p>
                    <a:r>
                      <a:rPr lang="en-US"/>
                      <a:t>SLLV,</a:t>
                    </a:r>
                    <a:r>
                      <a:rPr lang="en-US" baseline="0"/>
                      <a:t> </a:t>
                    </a:r>
                    <a:r>
                      <a:rPr lang="en-US"/>
                      <a:t>4</a:t>
                    </a:r>
                    <a:r>
                      <a:rPr lang="en-US" baseline="0"/>
                      <a:t>
(</a:t>
                    </a:r>
                    <a:fld id="{D7A2AC35-55A1-47E0-9FD4-CC8A25156F93}"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C17-45DC-BDB3-936142866136}"/>
                </c:ext>
              </c:extLst>
            </c:dLbl>
            <c:dLbl>
              <c:idx val="4"/>
              <c:tx>
                <c:rich>
                  <a:bodyPr/>
                  <a:lstStyle/>
                  <a:p>
                    <a:r>
                      <a:rPr lang="en-US"/>
                      <a:t>ML, 1</a:t>
                    </a:r>
                    <a:r>
                      <a:rPr lang="en-US" baseline="0"/>
                      <a:t>
(</a:t>
                    </a:r>
                    <a:fld id="{3F36811D-DCDE-47C8-8C31-8A7F0225FA2A}" type="PERCENTAGE">
                      <a:rPr lang="en-US" baseline="0"/>
                      <a:pPr/>
                      <a:t>[PERCENTAGE]</a:t>
                    </a:fld>
                    <a:r>
                      <a:rPr lang="en-US" baseline="0"/>
                      <a:t>)</a:t>
                    </a:r>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C17-45DC-BDB3-936142866136}"/>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Feuil1!$A$20:$A$24</c:f>
              <c:strCache>
                <c:ptCount val="5"/>
                <c:pt idx="0">
                  <c:v>LLC</c:v>
                </c:pt>
                <c:pt idx="1">
                  <c:v>LZM</c:v>
                </c:pt>
                <c:pt idx="2">
                  <c:v>LZM/LLP</c:v>
                </c:pt>
                <c:pt idx="3">
                  <c:v>LSLV</c:v>
                </c:pt>
                <c:pt idx="4">
                  <c:v>LM</c:v>
                </c:pt>
              </c:strCache>
            </c:strRef>
          </c:cat>
          <c:val>
            <c:numRef>
              <c:f>Feuil1!$B$20:$B$24</c:f>
              <c:numCache>
                <c:formatCode>General</c:formatCode>
                <c:ptCount val="5"/>
                <c:pt idx="0">
                  <c:v>20</c:v>
                </c:pt>
                <c:pt idx="1">
                  <c:v>12</c:v>
                </c:pt>
                <c:pt idx="2">
                  <c:v>5</c:v>
                </c:pt>
                <c:pt idx="3">
                  <c:v>4</c:v>
                </c:pt>
                <c:pt idx="4">
                  <c:v>1</c:v>
                </c:pt>
              </c:numCache>
            </c:numRef>
          </c:val>
          <c:extLst>
            <c:ext xmlns:c16="http://schemas.microsoft.com/office/drawing/2014/chart" uri="{C3380CC4-5D6E-409C-BE32-E72D297353CC}">
              <c16:uniqueId val="{0000000A-CC17-45DC-BDB3-93614286613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CC17-45DC-BDB3-9361428661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CC17-45DC-BDB3-9361428661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CC17-45DC-BDB3-9361428661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CC17-45DC-BDB3-9361428661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CC17-45DC-BDB3-936142866136}"/>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Feuil1!$A$20:$A$24</c:f>
              <c:strCache>
                <c:ptCount val="5"/>
                <c:pt idx="0">
                  <c:v>LLC</c:v>
                </c:pt>
                <c:pt idx="1">
                  <c:v>LZM</c:v>
                </c:pt>
                <c:pt idx="2">
                  <c:v>LZM/LLP</c:v>
                </c:pt>
                <c:pt idx="3">
                  <c:v>LSLV</c:v>
                </c:pt>
                <c:pt idx="4">
                  <c:v>LM</c:v>
                </c:pt>
              </c:strCache>
            </c:strRef>
          </c:cat>
          <c:val>
            <c:numRef>
              <c:f>Feuil1!$C$20:$C$24</c:f>
              <c:numCache>
                <c:formatCode>General</c:formatCode>
                <c:ptCount val="5"/>
                <c:pt idx="0">
                  <c:v>49</c:v>
                </c:pt>
                <c:pt idx="1">
                  <c:v>29</c:v>
                </c:pt>
                <c:pt idx="2">
                  <c:v>15</c:v>
                </c:pt>
                <c:pt idx="3">
                  <c:v>5</c:v>
                </c:pt>
                <c:pt idx="4">
                  <c:v>2</c:v>
                </c:pt>
              </c:numCache>
            </c:numRef>
          </c:val>
          <c:extLst>
            <c:ext xmlns:c16="http://schemas.microsoft.com/office/drawing/2014/chart" uri="{C3380CC4-5D6E-409C-BE32-E72D297353CC}">
              <c16:uniqueId val="{00000015-CC17-45DC-BDB3-936142866136}"/>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32B1-2850-481D-9540-9EF3BF09A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12</Pages>
  <Words>3522</Words>
  <Characters>20076</Characters>
  <Application>Microsoft Office Word</Application>
  <DocSecurity>0</DocSecurity>
  <Lines>167</Lines>
  <Paragraphs>47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23551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2025-02-13T18:14:00Z</dcterms:created>
  <dcterms:modified xsi:type="dcterms:W3CDTF">2025-02-14T10:02:00Z</dcterms:modified>
</cp:coreProperties>
</file>