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E0649" w14:textId="77777777" w:rsidR="0014209A" w:rsidRDefault="0014209A" w:rsidP="0014209A">
      <w:pPr>
        <w:pStyle w:val="Title"/>
        <w:jc w:val="center"/>
        <w:rPr>
          <w:rFonts w:ascii="Arial" w:hAnsi="Arial" w:cs="Arial"/>
          <w:b/>
          <w:bCs/>
          <w:i/>
          <w:iCs/>
          <w:sz w:val="20"/>
          <w:szCs w:val="20"/>
          <w:u w:val="single"/>
        </w:rPr>
      </w:pPr>
      <w:r w:rsidRPr="0014209A">
        <w:rPr>
          <w:rFonts w:ascii="Arial" w:hAnsi="Arial" w:cs="Arial"/>
          <w:b/>
          <w:bCs/>
          <w:i/>
          <w:iCs/>
          <w:sz w:val="20"/>
          <w:szCs w:val="20"/>
          <w:u w:val="single"/>
        </w:rPr>
        <w:t>Original Research Article</w:t>
      </w:r>
    </w:p>
    <w:p w14:paraId="61013744" w14:textId="77777777" w:rsidR="0014209A" w:rsidRPr="0014209A" w:rsidRDefault="0014209A" w:rsidP="0014209A"/>
    <w:p w14:paraId="7CE57872" w14:textId="401551E7" w:rsidR="00585AA5" w:rsidRPr="003E71AF" w:rsidRDefault="00D24CFD" w:rsidP="003E71AF">
      <w:pPr>
        <w:pStyle w:val="Title"/>
        <w:jc w:val="center"/>
        <w:rPr>
          <w:rFonts w:ascii="Arial" w:hAnsi="Arial" w:cs="Arial"/>
          <w:sz w:val="20"/>
          <w:szCs w:val="20"/>
        </w:rPr>
      </w:pPr>
      <w:r w:rsidRPr="003E71AF">
        <w:rPr>
          <w:rFonts w:ascii="Arial" w:hAnsi="Arial" w:cs="Arial"/>
          <w:sz w:val="20"/>
          <w:szCs w:val="20"/>
        </w:rPr>
        <w:t xml:space="preserve">SOFT DRINK STORAGE AMONG RETAILERS IN DAR ES SALAAM TANZANIA: EXAMINING </w:t>
      </w:r>
      <w:r w:rsidR="0023617E">
        <w:rPr>
          <w:rFonts w:ascii="Arial" w:hAnsi="Arial" w:cs="Arial"/>
          <w:sz w:val="20"/>
          <w:szCs w:val="20"/>
        </w:rPr>
        <w:t xml:space="preserve">PRACTICES, KNOWLEDGE, </w:t>
      </w:r>
      <w:r w:rsidRPr="003E71AF">
        <w:rPr>
          <w:rFonts w:ascii="Arial" w:hAnsi="Arial" w:cs="Arial"/>
          <w:sz w:val="20"/>
          <w:szCs w:val="20"/>
        </w:rPr>
        <w:t>AND KEY DETERMINANTS</w:t>
      </w:r>
    </w:p>
    <w:p w14:paraId="0A4A98DD" w14:textId="77777777" w:rsidR="00585AA5" w:rsidRPr="003E71AF" w:rsidRDefault="00585AA5" w:rsidP="003E71AF">
      <w:pPr>
        <w:spacing w:after="0" w:line="240" w:lineRule="auto"/>
        <w:jc w:val="both"/>
        <w:rPr>
          <w:rFonts w:ascii="Arial" w:hAnsi="Arial" w:cs="Arial"/>
          <w:sz w:val="20"/>
          <w:szCs w:val="20"/>
        </w:rPr>
      </w:pPr>
    </w:p>
    <w:p w14:paraId="492352D1" w14:textId="77777777" w:rsidR="00AC31A4" w:rsidRDefault="00AC31A4" w:rsidP="003E71AF">
      <w:pPr>
        <w:spacing w:line="240" w:lineRule="auto"/>
        <w:rPr>
          <w:rFonts w:ascii="Arial" w:hAnsi="Arial" w:cs="Arial"/>
          <w:b/>
          <w:bCs/>
          <w:sz w:val="20"/>
          <w:szCs w:val="20"/>
        </w:rPr>
      </w:pPr>
    </w:p>
    <w:p w14:paraId="5C52872C" w14:textId="79D05A40" w:rsidR="00B473E8" w:rsidRPr="003E71AF" w:rsidRDefault="00D24CFD" w:rsidP="003E71AF">
      <w:pPr>
        <w:spacing w:line="240" w:lineRule="auto"/>
        <w:rPr>
          <w:rFonts w:ascii="Arial" w:hAnsi="Arial" w:cs="Arial"/>
          <w:b/>
          <w:bCs/>
          <w:sz w:val="20"/>
          <w:szCs w:val="20"/>
        </w:rPr>
      </w:pPr>
      <w:bookmarkStart w:id="0" w:name="_GoBack"/>
      <w:bookmarkEnd w:id="0"/>
      <w:r w:rsidRPr="003E71AF">
        <w:rPr>
          <w:rFonts w:ascii="Arial" w:hAnsi="Arial" w:cs="Arial"/>
          <w:b/>
          <w:bCs/>
          <w:sz w:val="20"/>
          <w:szCs w:val="20"/>
        </w:rPr>
        <w:t>ABSTRACT</w:t>
      </w:r>
    </w:p>
    <w:p w14:paraId="69A7380E" w14:textId="7727F610"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Soft drink storage practices impact product quality and consumer safety. This study examines storage practices, knowledge, and factors influencing adherence to proper storage guidelines among retail</w:t>
      </w:r>
      <w:r w:rsidR="00325473">
        <w:rPr>
          <w:rFonts w:ascii="Arial" w:hAnsi="Arial" w:cs="Arial"/>
          <w:sz w:val="20"/>
          <w:szCs w:val="20"/>
        </w:rPr>
        <w:t xml:space="preserve">ers in Dar es Salaam, Tanzania. </w:t>
      </w:r>
      <w:r w:rsidRPr="003E71AF">
        <w:rPr>
          <w:rFonts w:ascii="Arial" w:hAnsi="Arial" w:cs="Arial"/>
          <w:sz w:val="20"/>
          <w:szCs w:val="20"/>
        </w:rPr>
        <w:t xml:space="preserve">A cross-sectional survey of 329 retailers in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was conducted using semi-structured interviews and direct observations. </w:t>
      </w:r>
      <w:r w:rsidR="00D36717" w:rsidRPr="00D36717">
        <w:rPr>
          <w:rFonts w:ascii="Arial" w:hAnsi="Arial" w:cs="Arial"/>
          <w:sz w:val="20"/>
          <w:szCs w:val="20"/>
        </w:rPr>
        <w:t xml:space="preserve">More respondents were male </w:t>
      </w:r>
      <w:r w:rsidR="007A0801">
        <w:rPr>
          <w:rFonts w:ascii="Arial" w:hAnsi="Arial" w:cs="Arial"/>
          <w:sz w:val="20"/>
          <w:szCs w:val="20"/>
        </w:rPr>
        <w:t xml:space="preserve">(55.04%), than female (44.96%). </w:t>
      </w:r>
      <w:r w:rsidR="00D36717" w:rsidRPr="00D36717">
        <w:rPr>
          <w:rFonts w:ascii="Arial" w:hAnsi="Arial" w:cs="Arial"/>
          <w:sz w:val="20"/>
          <w:szCs w:val="20"/>
        </w:rPr>
        <w:t>The majority of retailers were</w:t>
      </w:r>
      <w:r w:rsidR="001C659F">
        <w:rPr>
          <w:rFonts w:ascii="Arial" w:hAnsi="Arial" w:cs="Arial"/>
          <w:sz w:val="20"/>
          <w:szCs w:val="20"/>
        </w:rPr>
        <w:t xml:space="preserve"> between 25-40 (53.19%) whereas, </w:t>
      </w:r>
      <w:r w:rsidR="00D36717">
        <w:rPr>
          <w:rFonts w:ascii="Arial" w:eastAsia="Times New Roman" w:hAnsi="Arial" w:cs="Arial"/>
          <w:sz w:val="20"/>
          <w:szCs w:val="20"/>
        </w:rPr>
        <w:t>s</w:t>
      </w:r>
      <w:r w:rsidR="00D36717" w:rsidRPr="00D36717">
        <w:rPr>
          <w:rFonts w:ascii="Arial" w:eastAsia="Times New Roman" w:hAnsi="Arial" w:cs="Arial"/>
          <w:sz w:val="20"/>
          <w:szCs w:val="20"/>
        </w:rPr>
        <w:t>econdary and primary education levels dominated among participants (43.77% and 41.95%, respectively)</w:t>
      </w:r>
      <w:r w:rsidR="00D36717">
        <w:rPr>
          <w:rFonts w:ascii="Arial" w:eastAsia="Times New Roman" w:hAnsi="Arial" w:cs="Arial"/>
          <w:sz w:val="20"/>
          <w:szCs w:val="20"/>
        </w:rPr>
        <w:t>.</w:t>
      </w:r>
      <w:r w:rsidR="00F63A6D">
        <w:rPr>
          <w:rFonts w:ascii="Arial" w:hAnsi="Arial" w:cs="Arial"/>
          <w:sz w:val="20"/>
          <w:szCs w:val="20"/>
        </w:rPr>
        <w:t xml:space="preserve"> </w:t>
      </w:r>
      <w:r w:rsidRPr="003E71AF">
        <w:rPr>
          <w:rFonts w:ascii="Arial" w:hAnsi="Arial" w:cs="Arial"/>
          <w:sz w:val="20"/>
          <w:szCs w:val="20"/>
        </w:rPr>
        <w:t xml:space="preserve">Only </w:t>
      </w:r>
      <w:r w:rsidR="00AF1CC7" w:rsidRPr="003E71AF">
        <w:rPr>
          <w:rFonts w:ascii="Arial" w:hAnsi="Arial" w:cs="Arial"/>
          <w:sz w:val="20"/>
          <w:szCs w:val="20"/>
        </w:rPr>
        <w:t>2.74</w:t>
      </w:r>
      <w:r w:rsidR="003838DC" w:rsidRPr="003E71AF">
        <w:rPr>
          <w:rFonts w:ascii="Arial" w:hAnsi="Arial" w:cs="Arial"/>
          <w:sz w:val="20"/>
          <w:szCs w:val="20"/>
        </w:rPr>
        <w:t>%</w:t>
      </w:r>
      <w:r w:rsidRPr="003E71AF">
        <w:rPr>
          <w:rFonts w:ascii="Arial" w:hAnsi="Arial" w:cs="Arial"/>
          <w:sz w:val="20"/>
          <w:szCs w:val="20"/>
        </w:rPr>
        <w:t xml:space="preserve"> of retailers </w:t>
      </w:r>
      <w:r w:rsidR="00437AB3" w:rsidRPr="003E71AF">
        <w:rPr>
          <w:rFonts w:ascii="Arial" w:hAnsi="Arial" w:cs="Arial"/>
          <w:sz w:val="20"/>
          <w:szCs w:val="20"/>
        </w:rPr>
        <w:t>were aware of</w:t>
      </w:r>
      <w:r w:rsidRPr="003E71AF">
        <w:rPr>
          <w:rFonts w:ascii="Arial" w:hAnsi="Arial" w:cs="Arial"/>
          <w:sz w:val="20"/>
          <w:szCs w:val="20"/>
        </w:rPr>
        <w:t xml:space="preserve"> proper storage guidelines</w:t>
      </w:r>
      <w:r w:rsidR="00D14DD9">
        <w:rPr>
          <w:rFonts w:ascii="Arial" w:hAnsi="Arial" w:cs="Arial"/>
          <w:sz w:val="20"/>
          <w:szCs w:val="20"/>
        </w:rPr>
        <w:t xml:space="preserve"> provided by a Coca-Cola supplier and none (0%) of the retailers knew of any formal government regulation governing proper storage</w:t>
      </w:r>
      <w:r w:rsidRPr="003E71AF">
        <w:rPr>
          <w:rFonts w:ascii="Arial" w:hAnsi="Arial" w:cs="Arial"/>
          <w:sz w:val="20"/>
          <w:szCs w:val="20"/>
        </w:rPr>
        <w:t xml:space="preserve">. </w:t>
      </w:r>
      <w:r w:rsidR="00D36717" w:rsidRPr="003E71AF">
        <w:rPr>
          <w:rFonts w:ascii="Arial" w:hAnsi="Arial" w:cs="Arial"/>
          <w:sz w:val="20"/>
          <w:szCs w:val="20"/>
        </w:rPr>
        <w:t xml:space="preserve">Logistic regression analysis assessed the effects of education, business setup, experience, </w:t>
      </w:r>
      <w:r w:rsidR="00D36717">
        <w:rPr>
          <w:rFonts w:ascii="Arial" w:hAnsi="Arial" w:cs="Arial"/>
          <w:sz w:val="20"/>
          <w:szCs w:val="20"/>
        </w:rPr>
        <w:t>sex</w:t>
      </w:r>
      <w:r w:rsidR="00D36717" w:rsidRPr="003E71AF">
        <w:rPr>
          <w:rFonts w:ascii="Arial" w:hAnsi="Arial" w:cs="Arial"/>
          <w:sz w:val="20"/>
          <w:szCs w:val="20"/>
        </w:rPr>
        <w:t>, and district on storage practices.</w:t>
      </w:r>
      <w:r w:rsidR="001C659F">
        <w:rPr>
          <w:rFonts w:ascii="Arial" w:hAnsi="Arial" w:cs="Arial"/>
          <w:sz w:val="20"/>
          <w:szCs w:val="20"/>
        </w:rPr>
        <w:t xml:space="preserve"> </w:t>
      </w:r>
      <w:r w:rsidRPr="003E71AF">
        <w:rPr>
          <w:rFonts w:ascii="Arial" w:hAnsi="Arial" w:cs="Arial"/>
          <w:sz w:val="20"/>
          <w:szCs w:val="20"/>
        </w:rPr>
        <w:t xml:space="preserve">Shop-based retailers were significantly more likely to practice proper storage than street vendors (p &lt; 0.001), emphasizing the role of infrastructure. Male retailers were more likely to comply than females (p = 0.020), indicating gender disparities. Education and experience did not significantly impact storage practices (p &gt; 0.05), suggesting economic constraints are stronger determinants. Key challenges </w:t>
      </w:r>
      <w:r w:rsidR="00AC0F1B">
        <w:rPr>
          <w:rFonts w:ascii="Arial" w:hAnsi="Arial" w:cs="Arial"/>
          <w:sz w:val="20"/>
          <w:szCs w:val="20"/>
        </w:rPr>
        <w:t xml:space="preserve">for proper storage </w:t>
      </w:r>
      <w:r w:rsidRPr="00B75BEC">
        <w:rPr>
          <w:rFonts w:ascii="Arial" w:hAnsi="Arial" w:cs="Arial"/>
          <w:sz w:val="20"/>
          <w:szCs w:val="20"/>
        </w:rPr>
        <w:t xml:space="preserve">included financial limitations </w:t>
      </w:r>
      <w:r w:rsidRPr="003E71AF">
        <w:rPr>
          <w:rFonts w:ascii="Arial" w:hAnsi="Arial" w:cs="Arial"/>
          <w:sz w:val="20"/>
          <w:szCs w:val="20"/>
        </w:rPr>
        <w:t>(64.13%), limited space (21.28%), and u</w:t>
      </w:r>
      <w:r w:rsidR="00325473">
        <w:rPr>
          <w:rFonts w:ascii="Arial" w:hAnsi="Arial" w:cs="Arial"/>
          <w:sz w:val="20"/>
          <w:szCs w:val="20"/>
        </w:rPr>
        <w:t xml:space="preserve">nreliable electricity (18.24%). </w:t>
      </w:r>
      <w:r w:rsidRPr="003E71AF">
        <w:rPr>
          <w:rFonts w:ascii="Arial" w:hAnsi="Arial" w:cs="Arial"/>
          <w:sz w:val="20"/>
          <w:szCs w:val="20"/>
        </w:rPr>
        <w:t>Storage behavior is primarily driven by business structure and financial constraints rather than individual knowledge. Policy interventions should support street vendors with affordable refrigeration, financial assistance, and targeted training to enhance compliance and food safety.</w:t>
      </w:r>
    </w:p>
    <w:p w14:paraId="4F1E63BA"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Keywords</w:t>
      </w:r>
    </w:p>
    <w:p w14:paraId="5BE4ACF6" w14:textId="31E003FA" w:rsidR="00E51DCB" w:rsidRPr="003E71AF" w:rsidRDefault="00E51DCB" w:rsidP="003E71AF">
      <w:pPr>
        <w:spacing w:line="240" w:lineRule="auto"/>
        <w:rPr>
          <w:rFonts w:ascii="Arial" w:hAnsi="Arial" w:cs="Arial"/>
          <w:sz w:val="20"/>
          <w:szCs w:val="20"/>
        </w:rPr>
      </w:pPr>
      <w:r w:rsidRPr="003E71AF">
        <w:rPr>
          <w:rFonts w:ascii="Arial" w:hAnsi="Arial" w:cs="Arial"/>
          <w:sz w:val="20"/>
          <w:szCs w:val="20"/>
        </w:rPr>
        <w:t xml:space="preserve">Soft drink storage, retail practices, logistic regression, food safety, </w:t>
      </w:r>
      <w:r w:rsidR="007A0801">
        <w:rPr>
          <w:rFonts w:ascii="Arial" w:hAnsi="Arial" w:cs="Arial"/>
          <w:sz w:val="20"/>
          <w:szCs w:val="20"/>
        </w:rPr>
        <w:t>street vendors</w:t>
      </w:r>
      <w:r w:rsidRPr="003E71AF">
        <w:rPr>
          <w:rFonts w:ascii="Arial" w:hAnsi="Arial" w:cs="Arial"/>
          <w:sz w:val="20"/>
          <w:szCs w:val="20"/>
        </w:rPr>
        <w:t>, Tanzania</w:t>
      </w:r>
    </w:p>
    <w:p w14:paraId="426FB650" w14:textId="77777777" w:rsidR="00E51DCB" w:rsidRPr="003E71AF" w:rsidRDefault="00E51DCB" w:rsidP="003E71AF">
      <w:pPr>
        <w:spacing w:line="240" w:lineRule="auto"/>
        <w:rPr>
          <w:rFonts w:ascii="Arial" w:hAnsi="Arial" w:cs="Arial"/>
          <w:sz w:val="20"/>
          <w:szCs w:val="20"/>
        </w:rPr>
      </w:pPr>
    </w:p>
    <w:p w14:paraId="55409D2F" w14:textId="4F5FBA84" w:rsidR="00585AA5" w:rsidRPr="003E71AF" w:rsidRDefault="00D24CFD" w:rsidP="003E71AF">
      <w:pPr>
        <w:spacing w:line="240" w:lineRule="auto"/>
        <w:rPr>
          <w:rFonts w:ascii="Arial" w:hAnsi="Arial" w:cs="Arial"/>
          <w:b/>
          <w:bCs/>
          <w:sz w:val="20"/>
          <w:szCs w:val="20"/>
        </w:rPr>
      </w:pPr>
      <w:r w:rsidRPr="003E71AF">
        <w:rPr>
          <w:rFonts w:ascii="Arial" w:hAnsi="Arial" w:cs="Arial"/>
          <w:b/>
          <w:bCs/>
          <w:sz w:val="20"/>
          <w:szCs w:val="20"/>
        </w:rPr>
        <w:t>BACKGROUND</w:t>
      </w:r>
    </w:p>
    <w:p w14:paraId="2FEFCD18" w14:textId="77777777" w:rsidR="00325473" w:rsidRDefault="00585AA5" w:rsidP="0092138D">
      <w:pPr>
        <w:spacing w:line="240" w:lineRule="auto"/>
        <w:jc w:val="both"/>
        <w:rPr>
          <w:rFonts w:ascii="Arial" w:hAnsi="Arial" w:cs="Arial"/>
          <w:sz w:val="20"/>
          <w:szCs w:val="20"/>
        </w:rPr>
      </w:pPr>
      <w:r w:rsidRPr="00DE175E">
        <w:rPr>
          <w:rFonts w:ascii="Arial" w:hAnsi="Arial" w:cs="Arial"/>
          <w:sz w:val="20"/>
          <w:szCs w:val="20"/>
        </w:rPr>
        <w:t xml:space="preserve">Soft drinks are widely consumed non-alcoholic beverages that typically contain sweeteners, acidulants, carbon dioxide, preservatives, synthetic flavorings, and, in some cases, caffeine (Khadka et al., 2023). These beverages are classified into </w:t>
      </w:r>
      <w:r w:rsidR="00352309" w:rsidRPr="00DE175E">
        <w:rPr>
          <w:rFonts w:ascii="Arial" w:hAnsi="Arial" w:cs="Arial"/>
          <w:sz w:val="20"/>
          <w:szCs w:val="20"/>
        </w:rPr>
        <w:t>various categories</w:t>
      </w:r>
      <w:r w:rsidRPr="00DE175E">
        <w:rPr>
          <w:rFonts w:ascii="Arial" w:hAnsi="Arial" w:cs="Arial"/>
          <w:sz w:val="20"/>
          <w:szCs w:val="20"/>
        </w:rPr>
        <w:t>, including fruit drinks, regular sodas, energy drinks, and artificially sweetened sodas (</w:t>
      </w:r>
      <w:proofErr w:type="spellStart"/>
      <w:r w:rsidRPr="00DE175E">
        <w:rPr>
          <w:rFonts w:ascii="Arial" w:hAnsi="Arial" w:cs="Arial"/>
          <w:sz w:val="20"/>
          <w:szCs w:val="20"/>
        </w:rPr>
        <w:t>Chatelan</w:t>
      </w:r>
      <w:proofErr w:type="spellEnd"/>
      <w:r w:rsidRPr="00DE175E">
        <w:rPr>
          <w:rFonts w:ascii="Arial" w:hAnsi="Arial" w:cs="Arial"/>
          <w:sz w:val="20"/>
          <w:szCs w:val="20"/>
        </w:rPr>
        <w:t xml:space="preserve"> et al., 2022). Recent research indicates that carbonated soft drinks are the second most consumed beverages globally, after water (Evarist et al., 2024). Their popularity is driven by factors such as flavor, refreshment, and their association with increased energy levels, particularly in hot climates (Badil et al., 2023). The global soft drink market was valued at USD 221.55 billion in 2020 and is projected to experience significant growth, with Tanzania's market expected to reach USD 1,252.54 billion by 2024 (Marius et al., 2020).</w:t>
      </w:r>
    </w:p>
    <w:p w14:paraId="37E5E5ED" w14:textId="2C07525F" w:rsidR="0092138D" w:rsidRPr="00DE175E" w:rsidRDefault="0092138D" w:rsidP="0092138D">
      <w:pPr>
        <w:spacing w:line="240" w:lineRule="auto"/>
        <w:jc w:val="both"/>
        <w:rPr>
          <w:rFonts w:ascii="Arial" w:hAnsi="Arial" w:cs="Arial"/>
          <w:sz w:val="20"/>
          <w:szCs w:val="20"/>
        </w:rPr>
      </w:pPr>
      <w:r w:rsidRPr="00DE175E">
        <w:rPr>
          <w:rFonts w:ascii="Arial" w:eastAsia="Times New Roman" w:hAnsi="Arial" w:cs="Arial"/>
          <w:sz w:val="20"/>
          <w:szCs w:val="20"/>
        </w:rPr>
        <w:t xml:space="preserve">Adolescents and young adults are the largest global consumers of these soft drinks </w:t>
      </w:r>
      <w:r w:rsidRPr="00DE175E">
        <w:rPr>
          <w:rFonts w:ascii="Arial" w:eastAsia="Times New Roman" w:hAnsi="Arial" w:cs="Arial"/>
          <w:sz w:val="20"/>
          <w:szCs w:val="20"/>
        </w:rPr>
        <w:fldChar w:fldCharType="begin" w:fldLock="1"/>
      </w:r>
      <w:r w:rsidRPr="00DE175E">
        <w:rPr>
          <w:rFonts w:ascii="Arial" w:eastAsia="Times New Roman" w:hAnsi="Arial" w:cs="Arial"/>
          <w:sz w:val="20"/>
          <w:szCs w:val="20"/>
        </w:rPr>
        <w:instrText>ADDIN CSL_CITATION {"citationItems":[{"id":"ITEM-1","itemData":{"DOI":"10.1007/s00394-022-02851-w","ISBN":"0123456789","ISSN":"14366215","PMID":"35290478","abstract":"Purpose: To assess country-level trends in the prevalence of daily consumption of sugary (2002–2018) and diet (2006–2018) soft drinks among European adolescents, overall and by family material affluence. Methods: We used 2002, 2006, 2010, 2014 and 2018 data from the ‘Health Behaviour in School-aged Children’ survey. Nationally representative samples of adolescents completed a standardised questionnaire at school, including a short food frequency questionnaire (n = 530,976 and 21 countries for sugary soft drinks; n = 61,487 and 4 countries for diet soft drinks). We classified adolescents into three socioeconomic categories for each country and survey year, using the Family Affluence Scale. Multilevel logistic models estimated time trends, by country. Results: Sugary soft drinks: the prevalence of daily consumption (≥ 1×/day) declined in 21/21 countries (Plinear trends ≤ 0.002). Absolute [range − 31.7 to − 3.4% points] and relative [range − 84.8 to − 22.3%] reductions varied considerably across countries, with the largest declines in Ireland, England and Norway. In 3/21 countries, the prevalence of daily consumption decreased more strongly in the most affluent adolescents than in the least affluent ones (P ≤ 0.002). Daily consumption was more prevalent among the least affluent adolescents in 11/21 countries in 2018 (P ≤ 0.002). Diet soft drinks: overall, daily consumption decreased over time in 4/4 countries (Plinear trends ≤ 0.002), more largely among the most affluent adolescents in 1/4 country (P ≤ 0.002). Conclusions: Daily consumption of sugary and diet soft drinks in European adolescents decreased between 2002 (2006 for diet drinks) and 2018. Public health interventions should continue discouraging daily soft drink consumption, particularly among adolescents from lower socioeconomic groups.","author":[{"dropping-particle":"","family":"Chatelan","given":"Angeline","non-dropping-particle":"","parse-names":false,"suffix":""},{"dropping-particle":"","family":"Lebacq","given":"Thérésa","non-dropping-particle":"","parse-names":false,"suffix":""},{"dropping-particle":"","family":"Rouche","given":"Manon","non-dropping-particle":"","parse-names":false,"suffix":""},{"dropping-particle":"","family":"Kelly","given":"Colette","non-dropping-particle":"","parse-names":false,"suffix":""},{"dropping-particle":"","family":"Fismen","given":"Anne Siri","non-dropping-particle":"","parse-names":false,"suffix":""},{"dropping-particle":"","family":"Kalman","given":"Michal","non-dropping-particle":"","parse-names":false,"suffix":""},{"dropping-particle":"","family":"Dzielska","given":"Anna","non-dropping-particle":"","parse-names":false,"suffix":""},{"dropping-particle":"","family":"Castetbon","given":"Katia","non-dropping-particle":"","parse-names":false,"suffix":""}],"container-title":"European Journal of Nutrition","id":"ITEM-1","issue":"5","issued":{"date-parts":[["2022"]]},"page":"2799-2813","publisher":"Springer Berlin Heidelberg","title":"Long-term trends in the consumption of sugary and diet soft drinks among adolescents: a cross-national survey in 21 European countries","type":"article-journal","volume":"61"},"uris":["http://www.mendeley.com/documents/?uuid=8839074f-1ffe-4ae5-b8ed-0fbded9689c2"]}],"mendeley":{"formattedCitation":"(Chatelan et al., 2022)","plainTextFormattedCitation":"(Chatelan et al., 2022)","previouslyFormattedCitation":"(Chatelan et al., 2022)"},"properties":{"noteIndex":0},"schema":"https://github.com/citation-style-language/schema/raw/master/csl-citation.json"}</w:instrText>
      </w:r>
      <w:r w:rsidRPr="00DE175E">
        <w:rPr>
          <w:rFonts w:ascii="Arial" w:eastAsia="Times New Roman" w:hAnsi="Arial" w:cs="Arial"/>
          <w:sz w:val="20"/>
          <w:szCs w:val="20"/>
        </w:rPr>
        <w:fldChar w:fldCharType="separate"/>
      </w:r>
      <w:r w:rsidRPr="00DE175E">
        <w:rPr>
          <w:rFonts w:ascii="Arial" w:eastAsia="Times New Roman" w:hAnsi="Arial" w:cs="Arial"/>
          <w:noProof/>
          <w:sz w:val="20"/>
          <w:szCs w:val="20"/>
        </w:rPr>
        <w:t xml:space="preserve">(Chatelan </w:t>
      </w:r>
      <w:r w:rsidRPr="00DE175E">
        <w:rPr>
          <w:rFonts w:ascii="Arial" w:eastAsia="Times New Roman" w:hAnsi="Arial" w:cs="Arial"/>
          <w:i/>
          <w:noProof/>
          <w:sz w:val="20"/>
          <w:szCs w:val="20"/>
        </w:rPr>
        <w:t>et al</w:t>
      </w:r>
      <w:r w:rsidRPr="00DE175E">
        <w:rPr>
          <w:rFonts w:ascii="Arial" w:eastAsia="Times New Roman" w:hAnsi="Arial" w:cs="Arial"/>
          <w:noProof/>
          <w:sz w:val="20"/>
          <w:szCs w:val="20"/>
        </w:rPr>
        <w:t>., 2022)</w:t>
      </w:r>
      <w:r w:rsidRPr="00DE175E">
        <w:rPr>
          <w:rFonts w:ascii="Arial" w:eastAsia="Times New Roman" w:hAnsi="Arial" w:cs="Arial"/>
          <w:sz w:val="20"/>
          <w:szCs w:val="20"/>
        </w:rPr>
        <w:fldChar w:fldCharType="end"/>
      </w:r>
      <w:r w:rsidRPr="00DE175E">
        <w:rPr>
          <w:rFonts w:ascii="Arial" w:eastAsia="Times New Roman" w:hAnsi="Arial" w:cs="Arial"/>
          <w:sz w:val="20"/>
          <w:szCs w:val="20"/>
        </w:rPr>
        <w:t>. However, Children and adults should not consume more than 10% of their</w:t>
      </w:r>
      <w:r w:rsidR="00DE175E">
        <w:rPr>
          <w:rFonts w:ascii="Arial" w:eastAsia="Times New Roman" w:hAnsi="Arial" w:cs="Arial"/>
          <w:sz w:val="20"/>
          <w:szCs w:val="20"/>
        </w:rPr>
        <w:t xml:space="preserve"> daily energy intake from sugar</w:t>
      </w:r>
      <w:r w:rsidR="00DE175E" w:rsidRPr="00DE175E">
        <w:rPr>
          <w:rFonts w:ascii="Arial" w:eastAsia="Times New Roman" w:hAnsi="Arial" w:cs="Arial"/>
          <w:sz w:val="20"/>
          <w:szCs w:val="20"/>
        </w:rPr>
        <w:t xml:space="preserve"> as regular consumption may exacerbates weight gain and  non-communicable diseases (</w:t>
      </w:r>
      <w:r w:rsidR="00DE175E" w:rsidRPr="00DE175E">
        <w:rPr>
          <w:rFonts w:ascii="Arial" w:eastAsia="Times New Roman" w:hAnsi="Arial" w:cs="Arial"/>
          <w:sz w:val="20"/>
          <w:szCs w:val="20"/>
        </w:rPr>
        <w:fldChar w:fldCharType="begin" w:fldLock="1"/>
      </w:r>
      <w:r w:rsidR="00DE175E" w:rsidRPr="00DE175E">
        <w:rPr>
          <w:rFonts w:ascii="Arial" w:eastAsia="Times New Roman" w:hAnsi="Arial" w:cs="Arial"/>
          <w:sz w:val="20"/>
          <w:szCs w:val="20"/>
        </w:rPr>
        <w:instrText>ADDIN CSL_CITATION {"citationItems":[{"id":"ITEM-1","itemData":{"abstract":"Reducing consumption of free sugars, such as those found in high concentrations in manufactured products such as sugar-sweetened beverages (SSBs) and 100% fruit juices, is a global public health priority. This study aimed to measure prevalence of widely available pre-packaged non-alcoholic water-based beverages (carbonated sodas, sports drinks, energy drinks, artificially-sweetened sodas, fruit juices (any type), and bottled water) and to comprehensively examine behavioral, environmental, current health, and demographic correlates of consumption. A cross-sectional, nationally-representative population survey of 3430 Australian adults (18+ years) was conducted using computer-assisted telephone (mobile and landline) interviewing. Past week prevalence of pre-packaged drinks containing free sugar was 47.3%; daily prevalence was 13.6%. Of all the pre-packaged drinks assessed, consumption of fruit juices (any type) was the most prevalent (38.8%), followed by bottled water (37.4%), soda (28.9%), artificially-sweetened soda (18.1%), sports drinks (8.1%), and energy drinks (4.2%). Higher soda consumption was associated with males, younger age, socio-economic disadvantage, frequent takeaway food consumption, availability of soda in the home, obesity, and a diagnosis of heart disease or depression. A diagnosis of Type 2 Diabetes was associated with increased likelihood of consuming artificially-sweetened sodas and decreased likelihood of consuming sugar-sweetened soda. SSB consumption is prevalent in Australia, especially among young adults and males, foreshadowing continued population weight gain and high burdens of chronic disease. To reduce consumption, Australia must take a comprehensive approach, incorporating policy reform, effective community education, and active promotion of water.30pt","author":[{"dropping-particle":"","family":"Miller","given":"Caroline","non-dropping-particle":"","parse-names":false,"suffix":""},{"dropping-particle":"","family":"Ettridge","given":"Kerry","non-dropping-particle":"","parse-names":false,"suffix":""},{"dropping-particle":"","family":"Wakefield","given":"Melanie","non-dropping-particle":"","parse-names":false,"suffix":""},{"dropping-particle":"","family":"Pettigrew","given":"Simone","non-dropping-particle":"","parse-names":false,"suffix":""},{"dropping-particle":"","family":"Coveney","given":"John","non-dropping-particle":"","parse-names":false,"suffix":""},{"dropping-particle":"","family":"Roder","given":"David","non-dropping-particle":"","parse-names":false,"suffix":""},{"dropping-particle":"","family":"Durkin","given":"Sarah","non-dropping-particle":"","parse-names":false,"suffix":""},{"dropping-particle":"","family":"Wittert","given":"Gary","non-dropping-particle":"","parse-names":false,"suffix":""},{"dropping-particle":"","family":"Martin","given":"Jane","non-dropping-particle":"","parse-names":false,"suffix":""},{"dropping-particle":"","family":"Dono","given":"Joanne","non-dropping-particle":"","parse-names":false,"suffix":""}],"container-title":"Nutrients","id":"ITEM-1","issue":"817","issued":{"date-parts":[["2020"]]},"page":"2-16","title":"An Australian Population Study","type":"article-journal","volume":"12"},"uris":["http://www.mendeley.com/documents/?uuid=03d06df6-ba86-4474-8321-274be8fa5c75"]}],"mendeley":{"formattedCitation":"(Miller et al., 2020)","manualFormatting":"Miller et al., 2020)","plainTextFormattedCitation":"(Miller et al., 2020)","previouslyFormattedCitation":"(Miller et al., 2020)"},"properties":{"noteIndex":0},"schema":"https://github.com/citation-style-language/schema/raw/master/csl-citation.json"}</w:instrText>
      </w:r>
      <w:r w:rsidR="00DE175E" w:rsidRPr="00DE175E">
        <w:rPr>
          <w:rFonts w:ascii="Arial" w:eastAsia="Times New Roman" w:hAnsi="Arial" w:cs="Arial"/>
          <w:sz w:val="20"/>
          <w:szCs w:val="20"/>
        </w:rPr>
        <w:fldChar w:fldCharType="separate"/>
      </w:r>
      <w:r w:rsidR="00DE175E" w:rsidRPr="00DE175E">
        <w:rPr>
          <w:rFonts w:ascii="Arial" w:eastAsia="Times New Roman" w:hAnsi="Arial" w:cs="Arial"/>
          <w:noProof/>
          <w:sz w:val="20"/>
          <w:szCs w:val="20"/>
        </w:rPr>
        <w:t xml:space="preserve">Miller </w:t>
      </w:r>
      <w:r w:rsidR="00DE175E" w:rsidRPr="00DE175E">
        <w:rPr>
          <w:rFonts w:ascii="Arial" w:eastAsia="Times New Roman" w:hAnsi="Arial" w:cs="Arial"/>
          <w:i/>
          <w:noProof/>
          <w:sz w:val="20"/>
          <w:szCs w:val="20"/>
        </w:rPr>
        <w:t>et al</w:t>
      </w:r>
      <w:r w:rsidR="00DE175E" w:rsidRPr="00DE175E">
        <w:rPr>
          <w:rFonts w:ascii="Arial" w:eastAsia="Times New Roman" w:hAnsi="Arial" w:cs="Arial"/>
          <w:noProof/>
          <w:sz w:val="20"/>
          <w:szCs w:val="20"/>
        </w:rPr>
        <w:t>., 2020)</w:t>
      </w:r>
      <w:r w:rsidR="00DE175E" w:rsidRPr="00DE175E">
        <w:rPr>
          <w:rFonts w:ascii="Arial" w:eastAsia="Times New Roman" w:hAnsi="Arial" w:cs="Arial"/>
          <w:sz w:val="20"/>
          <w:szCs w:val="20"/>
        </w:rPr>
        <w:fldChar w:fldCharType="end"/>
      </w:r>
      <w:r w:rsidR="00DE175E" w:rsidRPr="00DE175E">
        <w:rPr>
          <w:rFonts w:ascii="Arial" w:eastAsia="Times New Roman" w:hAnsi="Arial" w:cs="Arial"/>
          <w:sz w:val="20"/>
          <w:szCs w:val="20"/>
        </w:rPr>
        <w:t>.</w:t>
      </w:r>
    </w:p>
    <w:p w14:paraId="785CE1EE" w14:textId="0EF4FEE1" w:rsidR="00556C2C" w:rsidRPr="00DE175E" w:rsidRDefault="00585AA5" w:rsidP="00DE175E">
      <w:pPr>
        <w:spacing w:line="240" w:lineRule="auto"/>
        <w:jc w:val="both"/>
        <w:rPr>
          <w:rFonts w:ascii="Arial" w:hAnsi="Arial" w:cs="Arial"/>
          <w:sz w:val="20"/>
          <w:szCs w:val="20"/>
        </w:rPr>
      </w:pPr>
      <w:r w:rsidRPr="00DE175E">
        <w:rPr>
          <w:rFonts w:ascii="Arial" w:hAnsi="Arial" w:cs="Arial"/>
          <w:sz w:val="20"/>
          <w:szCs w:val="20"/>
        </w:rPr>
        <w:t xml:space="preserve">Despite the growing market demand, improper storage of soft drinks is a critical concern. </w:t>
      </w:r>
      <w:r w:rsidR="00734F17" w:rsidRPr="00DE175E">
        <w:rPr>
          <w:rFonts w:ascii="Arial" w:hAnsi="Arial" w:cs="Arial"/>
          <w:sz w:val="20"/>
          <w:szCs w:val="20"/>
        </w:rPr>
        <w:t xml:space="preserve">Wholesalers and retailers often expose soft drinks to direct sunlight and rising temperatures as part of their common storage practices, which can lead to chemical degradation affecting product quality and consumer safety </w:t>
      </w:r>
      <w:r w:rsidRPr="00DE175E">
        <w:rPr>
          <w:rFonts w:ascii="Arial" w:hAnsi="Arial" w:cs="Arial"/>
          <w:sz w:val="20"/>
          <w:szCs w:val="20"/>
        </w:rPr>
        <w:t xml:space="preserve">(Omokpariola, 2022). Studies have shown that improper storage may lead to the formation of harmful compounds such as benzene, which has been linked </w:t>
      </w:r>
      <w:r w:rsidR="00556C2C" w:rsidRPr="00DE175E">
        <w:rPr>
          <w:rFonts w:ascii="Arial" w:hAnsi="Arial" w:cs="Arial"/>
          <w:sz w:val="20"/>
          <w:szCs w:val="20"/>
        </w:rPr>
        <w:t>to carcinogenic effects (Azuma et al.,</w:t>
      </w:r>
      <w:r w:rsidRPr="00DE175E">
        <w:rPr>
          <w:rFonts w:ascii="Arial" w:hAnsi="Arial" w:cs="Arial"/>
          <w:sz w:val="20"/>
          <w:szCs w:val="20"/>
        </w:rPr>
        <w:t xml:space="preserve"> 2020). Polyethylene terephthalate (PET) plastic bottles, commonly used in soft drink packaging, can also release phthalates under </w:t>
      </w:r>
      <w:r w:rsidR="004C6908" w:rsidRPr="00DE175E">
        <w:rPr>
          <w:rFonts w:ascii="Arial" w:hAnsi="Arial" w:cs="Arial"/>
          <w:sz w:val="20"/>
          <w:szCs w:val="20"/>
        </w:rPr>
        <w:t>elevated temperatures</w:t>
      </w:r>
      <w:r w:rsidRPr="00DE175E">
        <w:rPr>
          <w:rFonts w:ascii="Arial" w:hAnsi="Arial" w:cs="Arial"/>
          <w:sz w:val="20"/>
          <w:szCs w:val="20"/>
        </w:rPr>
        <w:t xml:space="preserve">, posing additional health risks (Evarist et al., 2024). In Tanzania, </w:t>
      </w:r>
      <w:r w:rsidR="00F62F3B" w:rsidRPr="00DE175E">
        <w:rPr>
          <w:rFonts w:ascii="Arial" w:hAnsi="Arial" w:cs="Arial"/>
          <w:sz w:val="20"/>
          <w:szCs w:val="20"/>
        </w:rPr>
        <w:lastRenderedPageBreak/>
        <w:t>recent research</w:t>
      </w:r>
      <w:r w:rsidRPr="00DE175E">
        <w:rPr>
          <w:rFonts w:ascii="Arial" w:hAnsi="Arial" w:cs="Arial"/>
          <w:sz w:val="20"/>
          <w:szCs w:val="20"/>
        </w:rPr>
        <w:t xml:space="preserve"> </w:t>
      </w:r>
      <w:r w:rsidR="00F62F3B" w:rsidRPr="00DE175E">
        <w:rPr>
          <w:rFonts w:ascii="Arial" w:hAnsi="Arial" w:cs="Arial"/>
          <w:sz w:val="20"/>
          <w:szCs w:val="20"/>
        </w:rPr>
        <w:t>suggests</w:t>
      </w:r>
      <w:r w:rsidRPr="00DE175E">
        <w:rPr>
          <w:rFonts w:ascii="Arial" w:hAnsi="Arial" w:cs="Arial"/>
          <w:sz w:val="20"/>
          <w:szCs w:val="20"/>
        </w:rPr>
        <w:t xml:space="preserve"> that many retailers, especially street vendors, store soft drinks in direct sunlight or under suboptimal conditions due to financial constraints and lack of aw</w:t>
      </w:r>
      <w:r w:rsidR="00DE175E">
        <w:rPr>
          <w:rFonts w:ascii="Arial" w:hAnsi="Arial" w:cs="Arial"/>
          <w:sz w:val="20"/>
          <w:szCs w:val="20"/>
        </w:rPr>
        <w:t>areness (Evarist et al., 2024).</w:t>
      </w:r>
    </w:p>
    <w:p w14:paraId="291B5122" w14:textId="45FDEF6A" w:rsidR="00585AA5" w:rsidRPr="003E71AF" w:rsidRDefault="00585AA5" w:rsidP="003E71AF">
      <w:pPr>
        <w:spacing w:line="240" w:lineRule="auto"/>
        <w:rPr>
          <w:rFonts w:ascii="Arial" w:hAnsi="Arial" w:cs="Arial"/>
          <w:b/>
          <w:bCs/>
          <w:sz w:val="20"/>
          <w:szCs w:val="20"/>
        </w:rPr>
      </w:pPr>
      <w:r w:rsidRPr="003E71AF">
        <w:rPr>
          <w:rFonts w:ascii="Arial" w:hAnsi="Arial" w:cs="Arial"/>
          <w:b/>
          <w:bCs/>
          <w:sz w:val="20"/>
          <w:szCs w:val="20"/>
        </w:rPr>
        <w:t>Problem Statement</w:t>
      </w:r>
      <w:r w:rsidR="00DE175E">
        <w:rPr>
          <w:rFonts w:ascii="Arial" w:hAnsi="Arial" w:cs="Arial"/>
          <w:b/>
          <w:bCs/>
          <w:sz w:val="20"/>
          <w:szCs w:val="20"/>
        </w:rPr>
        <w:t xml:space="preserve"> and Justification</w:t>
      </w:r>
    </w:p>
    <w:p w14:paraId="18044E56"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 xml:space="preserve">Despite the increasing consumption of soft drinks, there is limited research on how storage practices among </w:t>
      </w:r>
      <w:proofErr w:type="gramStart"/>
      <w:r w:rsidRPr="003E71AF">
        <w:rPr>
          <w:rFonts w:ascii="Arial" w:hAnsi="Arial" w:cs="Arial"/>
          <w:sz w:val="20"/>
          <w:szCs w:val="20"/>
        </w:rPr>
        <w:t>retailers</w:t>
      </w:r>
      <w:proofErr w:type="gramEnd"/>
      <w:r w:rsidRPr="003E71AF">
        <w:rPr>
          <w:rFonts w:ascii="Arial" w:hAnsi="Arial" w:cs="Arial"/>
          <w:sz w:val="20"/>
          <w:szCs w:val="20"/>
        </w:rPr>
        <w:t xml:space="preserve"> impact product integrity and consumer health in Tanzania. Many soft drink retailers operate in informal settings, such as bus terminals and roadside stalls, where refrigeration and proper storage facilities are often unavailable. This raises concerns about how retailers store soft drinks, their level of knowledge on proper storage guidelines, and the potential risks associated with poor practices. Additionally, while regulatory bodies such as the Tanzania Bureau of Standards (TBS) provide general food safety guidelines, it is unclear whether specific regulations on soft drink storage exist or if retailers are aware of them.</w:t>
      </w:r>
    </w:p>
    <w:p w14:paraId="6FD55EB4" w14:textId="7C98BDDF" w:rsidR="00585AA5" w:rsidRPr="003E71AF" w:rsidRDefault="00585AA5" w:rsidP="003E71AF">
      <w:pPr>
        <w:tabs>
          <w:tab w:val="num" w:pos="720"/>
        </w:tabs>
        <w:spacing w:line="240" w:lineRule="auto"/>
        <w:jc w:val="both"/>
        <w:rPr>
          <w:rFonts w:ascii="Arial" w:hAnsi="Arial" w:cs="Arial"/>
          <w:sz w:val="20"/>
          <w:szCs w:val="20"/>
        </w:rPr>
      </w:pPr>
      <w:r w:rsidRPr="003E71AF">
        <w:rPr>
          <w:rFonts w:ascii="Arial" w:hAnsi="Arial" w:cs="Arial"/>
          <w:sz w:val="20"/>
          <w:szCs w:val="20"/>
        </w:rPr>
        <w:t>Understanding retailers' knowledge and storage practices is essential for developing targeted interventions that ensure consumer safety and maintain product quality in Tanzania's hot and humid climate. This study seeks to answer the question: "What are the storage practices of soft drink retailers in Dar es Salaam, Tanzania, and what factors influence adherence to proper storage guidelines?" To achieve this, the study aims to:</w:t>
      </w:r>
      <w:r w:rsidR="00D24CFD" w:rsidRPr="003E71AF">
        <w:rPr>
          <w:rFonts w:ascii="Arial" w:hAnsi="Arial" w:cs="Arial"/>
          <w:sz w:val="20"/>
          <w:szCs w:val="20"/>
        </w:rPr>
        <w:t xml:space="preserve"> </w:t>
      </w:r>
      <w:r w:rsidRPr="003E71AF">
        <w:rPr>
          <w:rFonts w:ascii="Arial" w:hAnsi="Arial" w:cs="Arial"/>
          <w:sz w:val="20"/>
          <w:szCs w:val="20"/>
        </w:rPr>
        <w:t>Assess the current soft drink storage practices among retailers in Dar es Salaam</w:t>
      </w:r>
      <w:r w:rsidR="00D24CFD" w:rsidRPr="003E71AF">
        <w:rPr>
          <w:rFonts w:ascii="Arial" w:hAnsi="Arial" w:cs="Arial"/>
          <w:sz w:val="20"/>
          <w:szCs w:val="20"/>
        </w:rPr>
        <w:t xml:space="preserve">; </w:t>
      </w:r>
      <w:r w:rsidRPr="003E71AF">
        <w:rPr>
          <w:rFonts w:ascii="Arial" w:hAnsi="Arial" w:cs="Arial"/>
          <w:sz w:val="20"/>
          <w:szCs w:val="20"/>
        </w:rPr>
        <w:t>Evaluate the level of knowledge retailers have regarding proper soft drink storage and associated health risks</w:t>
      </w:r>
      <w:r w:rsidR="00D24CFD" w:rsidRPr="003E71AF">
        <w:rPr>
          <w:rFonts w:ascii="Arial" w:hAnsi="Arial" w:cs="Arial"/>
          <w:sz w:val="20"/>
          <w:szCs w:val="20"/>
        </w:rPr>
        <w:t xml:space="preserve">; </w:t>
      </w:r>
      <w:r w:rsidRPr="003E71AF">
        <w:rPr>
          <w:rFonts w:ascii="Arial" w:hAnsi="Arial" w:cs="Arial"/>
          <w:sz w:val="20"/>
          <w:szCs w:val="20"/>
        </w:rPr>
        <w:t>Analyze the relationship between retailers’ demographic factors (e.g., education, experience, and business type) and their storage practices</w:t>
      </w:r>
      <w:r w:rsidR="00D24CFD" w:rsidRPr="003E71AF">
        <w:rPr>
          <w:rFonts w:ascii="Arial" w:hAnsi="Arial" w:cs="Arial"/>
          <w:sz w:val="20"/>
          <w:szCs w:val="20"/>
        </w:rPr>
        <w:t xml:space="preserve">; </w:t>
      </w:r>
      <w:r w:rsidRPr="003E71AF">
        <w:rPr>
          <w:rFonts w:ascii="Arial" w:hAnsi="Arial" w:cs="Arial"/>
          <w:sz w:val="20"/>
          <w:szCs w:val="20"/>
        </w:rPr>
        <w:t>Identify challenges faced by retailers in implementing proper storage practices</w:t>
      </w:r>
      <w:r w:rsidR="00D24CFD" w:rsidRPr="003E71AF">
        <w:rPr>
          <w:rFonts w:ascii="Arial" w:hAnsi="Arial" w:cs="Arial"/>
          <w:sz w:val="20"/>
          <w:szCs w:val="20"/>
        </w:rPr>
        <w:t xml:space="preserve">; and </w:t>
      </w:r>
      <w:r w:rsidRPr="003E71AF">
        <w:rPr>
          <w:rFonts w:ascii="Arial" w:hAnsi="Arial" w:cs="Arial"/>
          <w:sz w:val="20"/>
          <w:szCs w:val="20"/>
        </w:rPr>
        <w:t>Explore retailers' awareness of existing guidelines or regulations related to soft drink storage.</w:t>
      </w:r>
    </w:p>
    <w:p w14:paraId="5E27406A" w14:textId="77777777" w:rsidR="00585AA5" w:rsidRPr="003E71AF" w:rsidRDefault="00585AA5" w:rsidP="003E71AF">
      <w:pPr>
        <w:spacing w:line="240" w:lineRule="auto"/>
        <w:jc w:val="both"/>
        <w:rPr>
          <w:rFonts w:ascii="Arial" w:hAnsi="Arial" w:cs="Arial"/>
          <w:sz w:val="20"/>
          <w:szCs w:val="20"/>
        </w:rPr>
      </w:pPr>
      <w:r w:rsidRPr="003E71AF">
        <w:rPr>
          <w:rFonts w:ascii="Arial" w:hAnsi="Arial" w:cs="Arial"/>
          <w:sz w:val="20"/>
          <w:szCs w:val="20"/>
        </w:rPr>
        <w:t>The findings of this study will provide insights into the gaps in knowledge and practices among soft drink retailers in Tanzania. By identifying key barriers to proper storage, the study will inform policymakers, regulatory agencies, and soft drink manufacturers on the need for more comprehensive guidelines, awareness campaigns, and support mechanisms. Furthermore, addressing these storage challenges will help protect consumers from potential health risks associated with improperly stored beverages.</w:t>
      </w:r>
    </w:p>
    <w:p w14:paraId="0983A3EA"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RESEARCH METHODOLOGY</w:t>
      </w:r>
    </w:p>
    <w:p w14:paraId="1A34072D"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Study Design and Area</w:t>
      </w:r>
    </w:p>
    <w:p w14:paraId="5904018B" w14:textId="4225834A" w:rsidR="00351B22" w:rsidRPr="003E71AF" w:rsidRDefault="00751AE5" w:rsidP="003E71AF">
      <w:pPr>
        <w:spacing w:line="240" w:lineRule="auto"/>
        <w:jc w:val="both"/>
        <w:rPr>
          <w:rFonts w:ascii="Arial" w:hAnsi="Arial" w:cs="Arial"/>
          <w:sz w:val="20"/>
          <w:szCs w:val="20"/>
        </w:rPr>
      </w:pPr>
      <w:r w:rsidRPr="003D40A6">
        <w:rPr>
          <w:rFonts w:ascii="Arial" w:hAnsi="Arial" w:cs="Arial"/>
          <w:sz w:val="20"/>
          <w:szCs w:val="20"/>
        </w:rPr>
        <w:t>This study employed a cross-sectional survey design whereas, phase 1 of the study was conducted from 9</w:t>
      </w:r>
      <w:r w:rsidRPr="003D40A6">
        <w:rPr>
          <w:rFonts w:ascii="Arial" w:hAnsi="Arial" w:cs="Arial"/>
          <w:sz w:val="20"/>
          <w:szCs w:val="20"/>
          <w:vertAlign w:val="superscript"/>
        </w:rPr>
        <w:t>th</w:t>
      </w:r>
      <w:r w:rsidRPr="003D40A6">
        <w:rPr>
          <w:rFonts w:ascii="Arial" w:hAnsi="Arial" w:cs="Arial"/>
          <w:sz w:val="20"/>
          <w:szCs w:val="20"/>
        </w:rPr>
        <w:t xml:space="preserve"> July, 2024 to 15</w:t>
      </w:r>
      <w:r w:rsidRPr="003D40A6">
        <w:rPr>
          <w:rFonts w:ascii="Arial" w:hAnsi="Arial" w:cs="Arial"/>
          <w:sz w:val="20"/>
          <w:szCs w:val="20"/>
          <w:vertAlign w:val="superscript"/>
        </w:rPr>
        <w:t>th</w:t>
      </w:r>
      <w:r w:rsidRPr="003D40A6">
        <w:rPr>
          <w:rFonts w:ascii="Arial" w:hAnsi="Arial" w:cs="Arial"/>
          <w:sz w:val="20"/>
          <w:szCs w:val="20"/>
        </w:rPr>
        <w:t xml:space="preserve"> July, 2024 and phase 2 was conducted from 23</w:t>
      </w:r>
      <w:r w:rsidRPr="003D40A6">
        <w:rPr>
          <w:rFonts w:ascii="Arial" w:hAnsi="Arial" w:cs="Arial"/>
          <w:sz w:val="20"/>
          <w:szCs w:val="20"/>
          <w:vertAlign w:val="superscript"/>
        </w:rPr>
        <w:t>rd</w:t>
      </w:r>
      <w:r w:rsidRPr="003D40A6">
        <w:rPr>
          <w:rFonts w:ascii="Arial" w:hAnsi="Arial" w:cs="Arial"/>
          <w:sz w:val="20"/>
          <w:szCs w:val="20"/>
        </w:rPr>
        <w:t xml:space="preserve"> September, 2024 to 8</w:t>
      </w:r>
      <w:r w:rsidRPr="003D40A6">
        <w:rPr>
          <w:rFonts w:ascii="Arial" w:hAnsi="Arial" w:cs="Arial"/>
          <w:sz w:val="20"/>
          <w:szCs w:val="20"/>
          <w:vertAlign w:val="superscript"/>
        </w:rPr>
        <w:t>th</w:t>
      </w:r>
      <w:r w:rsidRPr="003D40A6">
        <w:rPr>
          <w:rFonts w:ascii="Arial" w:hAnsi="Arial" w:cs="Arial"/>
          <w:sz w:val="20"/>
          <w:szCs w:val="20"/>
        </w:rPr>
        <w:t xml:space="preserve"> October, 2024</w:t>
      </w:r>
      <w:r>
        <w:t>.</w:t>
      </w:r>
      <w:r w:rsidR="00351B22" w:rsidRPr="003E71AF">
        <w:rPr>
          <w:rFonts w:ascii="Arial" w:hAnsi="Arial" w:cs="Arial"/>
          <w:sz w:val="20"/>
          <w:szCs w:val="20"/>
        </w:rPr>
        <w:t xml:space="preserve"> The study was conducted in Kinondoni and </w:t>
      </w:r>
      <w:proofErr w:type="spellStart"/>
      <w:r w:rsidR="00351B22" w:rsidRPr="003E71AF">
        <w:rPr>
          <w:rFonts w:ascii="Arial" w:hAnsi="Arial" w:cs="Arial"/>
          <w:sz w:val="20"/>
          <w:szCs w:val="20"/>
        </w:rPr>
        <w:t>Ubungo</w:t>
      </w:r>
      <w:proofErr w:type="spellEnd"/>
      <w:r w:rsidR="00351B22" w:rsidRPr="003E71AF">
        <w:rPr>
          <w:rFonts w:ascii="Arial" w:hAnsi="Arial" w:cs="Arial"/>
          <w:sz w:val="20"/>
          <w:szCs w:val="20"/>
        </w:rPr>
        <w:t xml:space="preserve"> municipalities, which are among the busiest commercial areas in the city. These municipalities were selected due to their high population density, the significant presence of soft drink retailers, and the diversity of business types, including street vendors, shop-based retailers, and kiosk operators.</w:t>
      </w:r>
    </w:p>
    <w:p w14:paraId="09BC142E" w14:textId="2E3A2F80" w:rsidR="00351B22"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Dar es Salaam experiences </w:t>
      </w:r>
      <w:r w:rsidR="004C6908" w:rsidRPr="003E71AF">
        <w:rPr>
          <w:rFonts w:ascii="Arial" w:hAnsi="Arial" w:cs="Arial"/>
          <w:sz w:val="20"/>
          <w:szCs w:val="20"/>
        </w:rPr>
        <w:t>hot temperatures</w:t>
      </w:r>
      <w:r w:rsidRPr="003E71AF">
        <w:rPr>
          <w:rFonts w:ascii="Arial" w:hAnsi="Arial" w:cs="Arial"/>
          <w:sz w:val="20"/>
          <w:szCs w:val="20"/>
        </w:rPr>
        <w:t xml:space="preserve"> and humidity, which increases demand for soft drinks and raises concerns about proper storage and potential health risks associated with poor practices. Retailers in open-air markets, bus terminals, and informal vending spaces are particularly vulnerable to improper storage conditions, making these locations ideal for assessing knowledge and compliance with storage guidelines.</w:t>
      </w:r>
    </w:p>
    <w:p w14:paraId="093D00BE" w14:textId="77777777" w:rsidR="0076609D" w:rsidRDefault="0076609D" w:rsidP="003E71AF">
      <w:pPr>
        <w:spacing w:line="240" w:lineRule="auto"/>
        <w:jc w:val="both"/>
        <w:rPr>
          <w:rFonts w:ascii="Arial" w:hAnsi="Arial" w:cs="Arial"/>
          <w:sz w:val="20"/>
          <w:szCs w:val="20"/>
        </w:rPr>
      </w:pPr>
    </w:p>
    <w:p w14:paraId="79234398" w14:textId="5A08AD9E" w:rsidR="0076609D" w:rsidRPr="003E71AF" w:rsidRDefault="0076609D" w:rsidP="003E71AF">
      <w:pPr>
        <w:spacing w:line="240" w:lineRule="auto"/>
        <w:jc w:val="both"/>
        <w:rPr>
          <w:rFonts w:ascii="Arial" w:hAnsi="Arial" w:cs="Arial"/>
          <w:sz w:val="20"/>
          <w:szCs w:val="20"/>
        </w:rPr>
      </w:pPr>
      <w:r w:rsidRPr="00321D50">
        <w:rPr>
          <w:rFonts w:ascii="Times New Roman" w:hAnsi="Times New Roman" w:cs="Times New Roman"/>
          <w:noProof/>
          <w:sz w:val="24"/>
          <w:szCs w:val="24"/>
        </w:rPr>
        <w:lastRenderedPageBreak/>
        <w:drawing>
          <wp:inline distT="0" distB="0" distL="0" distR="0" wp14:anchorId="19F95F6A" wp14:editId="32A85687">
            <wp:extent cx="5002530" cy="2617076"/>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22367" cy="2679769"/>
                    </a:xfrm>
                    <a:prstGeom prst="rect">
                      <a:avLst/>
                    </a:prstGeom>
                  </pic:spPr>
                </pic:pic>
              </a:graphicData>
            </a:graphic>
          </wp:inline>
        </w:drawing>
      </w:r>
    </w:p>
    <w:p w14:paraId="388D2E3B" w14:textId="1D731603" w:rsidR="0076609D" w:rsidRPr="0076609D" w:rsidRDefault="0076609D" w:rsidP="0076609D">
      <w:pPr>
        <w:spacing w:after="0" w:line="360" w:lineRule="auto"/>
        <w:jc w:val="both"/>
        <w:rPr>
          <w:rFonts w:ascii="Times New Roman" w:eastAsia="Times New Roman" w:hAnsi="Times New Roman" w:cs="Times New Roman"/>
          <w:b/>
          <w:sz w:val="24"/>
          <w:szCs w:val="24"/>
        </w:rPr>
      </w:pPr>
      <w:r w:rsidRPr="00321D50">
        <w:rPr>
          <w:rFonts w:ascii="Times New Roman" w:eastAsia="Times New Roman" w:hAnsi="Times New Roman" w:cs="Times New Roman"/>
          <w:b/>
          <w:sz w:val="24"/>
          <w:szCs w:val="24"/>
        </w:rPr>
        <w:t>Figure 1</w:t>
      </w:r>
      <w:r w:rsidR="00B75BEC">
        <w:rPr>
          <w:rFonts w:ascii="Times New Roman" w:eastAsia="Times New Roman" w:hAnsi="Times New Roman" w:cs="Times New Roman"/>
          <w:b/>
          <w:sz w:val="24"/>
          <w:szCs w:val="24"/>
        </w:rPr>
        <w:t>: Map of Dar e</w:t>
      </w:r>
      <w:r w:rsidRPr="00321D50">
        <w:rPr>
          <w:rFonts w:ascii="Times New Roman" w:eastAsia="Times New Roman" w:hAnsi="Times New Roman" w:cs="Times New Roman"/>
          <w:b/>
          <w:sz w:val="24"/>
          <w:szCs w:val="24"/>
        </w:rPr>
        <w:t xml:space="preserve">s Salaam </w:t>
      </w:r>
      <w:r w:rsidR="00B75BEC">
        <w:rPr>
          <w:rFonts w:ascii="Times New Roman" w:eastAsia="Times New Roman" w:hAnsi="Times New Roman" w:cs="Times New Roman"/>
          <w:b/>
          <w:sz w:val="24"/>
          <w:szCs w:val="24"/>
        </w:rPr>
        <w:t xml:space="preserve">Showing </w:t>
      </w:r>
      <w:proofErr w:type="gramStart"/>
      <w:r w:rsidR="00B75BEC">
        <w:rPr>
          <w:rFonts w:ascii="Times New Roman" w:eastAsia="Times New Roman" w:hAnsi="Times New Roman" w:cs="Times New Roman"/>
          <w:b/>
          <w:sz w:val="24"/>
          <w:szCs w:val="24"/>
        </w:rPr>
        <w:t>The</w:t>
      </w:r>
      <w:proofErr w:type="gramEnd"/>
      <w:r w:rsidR="00B75BEC">
        <w:rPr>
          <w:rFonts w:ascii="Times New Roman" w:eastAsia="Times New Roman" w:hAnsi="Times New Roman" w:cs="Times New Roman"/>
          <w:b/>
          <w:sz w:val="24"/>
          <w:szCs w:val="24"/>
        </w:rPr>
        <w:t xml:space="preserve"> S</w:t>
      </w:r>
      <w:r>
        <w:rPr>
          <w:rFonts w:ascii="Times New Roman" w:eastAsia="Times New Roman" w:hAnsi="Times New Roman" w:cs="Times New Roman"/>
          <w:b/>
          <w:sz w:val="24"/>
          <w:szCs w:val="24"/>
        </w:rPr>
        <w:t>tud</w:t>
      </w:r>
      <w:r w:rsidR="00B75BEC">
        <w:rPr>
          <w:rFonts w:ascii="Times New Roman" w:eastAsia="Times New Roman" w:hAnsi="Times New Roman" w:cs="Times New Roman"/>
          <w:b/>
          <w:sz w:val="24"/>
          <w:szCs w:val="24"/>
        </w:rPr>
        <w:t>y A</w:t>
      </w:r>
      <w:r>
        <w:rPr>
          <w:rFonts w:ascii="Times New Roman" w:eastAsia="Times New Roman" w:hAnsi="Times New Roman" w:cs="Times New Roman"/>
          <w:b/>
          <w:sz w:val="24"/>
          <w:szCs w:val="24"/>
        </w:rPr>
        <w:t>reas</w:t>
      </w:r>
    </w:p>
    <w:p w14:paraId="5CD374FD" w14:textId="77777777" w:rsidR="0076609D" w:rsidRDefault="0076609D" w:rsidP="003E71AF">
      <w:pPr>
        <w:spacing w:line="240" w:lineRule="auto"/>
        <w:rPr>
          <w:rFonts w:ascii="Arial" w:hAnsi="Arial" w:cs="Arial"/>
          <w:b/>
          <w:bCs/>
          <w:sz w:val="20"/>
          <w:szCs w:val="20"/>
        </w:rPr>
      </w:pPr>
    </w:p>
    <w:p w14:paraId="0F5EE4A8" w14:textId="7E88AFF6"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Sampling Strategy and Participants</w:t>
      </w:r>
    </w:p>
    <w:p w14:paraId="4676C07F"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multistage sampling technique was employed to ensure a representative sample of soft drink retailers. First, purposive sampling was used to select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due to their high number of informal retailers. Within these municipalities, eight high-traffic areas were identified based on retail density and customer flow, including </w:t>
      </w:r>
      <w:proofErr w:type="spellStart"/>
      <w:r w:rsidRPr="003E71AF">
        <w:rPr>
          <w:rFonts w:ascii="Arial" w:hAnsi="Arial" w:cs="Arial"/>
          <w:sz w:val="20"/>
          <w:szCs w:val="20"/>
        </w:rPr>
        <w:t>Kawe</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Makumbusho</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Magufuli</w:t>
      </w:r>
      <w:proofErr w:type="spellEnd"/>
      <w:r w:rsidRPr="003E71AF">
        <w:rPr>
          <w:rFonts w:ascii="Arial" w:hAnsi="Arial" w:cs="Arial"/>
          <w:sz w:val="20"/>
          <w:szCs w:val="20"/>
        </w:rPr>
        <w:t xml:space="preserve"> Bus Terminal, Mbezi Luis Bus Terminal, Simu 2000 Bus Terminal, </w:t>
      </w:r>
      <w:proofErr w:type="spellStart"/>
      <w:r w:rsidRPr="003E71AF">
        <w:rPr>
          <w:rFonts w:ascii="Arial" w:hAnsi="Arial" w:cs="Arial"/>
          <w:sz w:val="20"/>
          <w:szCs w:val="20"/>
        </w:rPr>
        <w:t>Mbezi</w:t>
      </w:r>
      <w:proofErr w:type="spellEnd"/>
      <w:r w:rsidRPr="003E71AF">
        <w:rPr>
          <w:rFonts w:ascii="Arial" w:hAnsi="Arial" w:cs="Arial"/>
          <w:sz w:val="20"/>
          <w:szCs w:val="20"/>
        </w:rPr>
        <w:t xml:space="preserve"> </w:t>
      </w:r>
      <w:proofErr w:type="spellStart"/>
      <w:r w:rsidRPr="003E71AF">
        <w:rPr>
          <w:rFonts w:ascii="Arial" w:hAnsi="Arial" w:cs="Arial"/>
          <w:sz w:val="20"/>
          <w:szCs w:val="20"/>
        </w:rPr>
        <w:t>Chini</w:t>
      </w:r>
      <w:proofErr w:type="spellEnd"/>
      <w:r w:rsidRPr="003E71AF">
        <w:rPr>
          <w:rFonts w:ascii="Arial" w:hAnsi="Arial" w:cs="Arial"/>
          <w:sz w:val="20"/>
          <w:szCs w:val="20"/>
        </w:rPr>
        <w:t xml:space="preserve"> (</w:t>
      </w:r>
      <w:proofErr w:type="spellStart"/>
      <w:r w:rsidRPr="003E71AF">
        <w:rPr>
          <w:rFonts w:ascii="Arial" w:hAnsi="Arial" w:cs="Arial"/>
          <w:sz w:val="20"/>
          <w:szCs w:val="20"/>
        </w:rPr>
        <w:t>Segerea</w:t>
      </w:r>
      <w:proofErr w:type="spellEnd"/>
      <w:r w:rsidRPr="003E71AF">
        <w:rPr>
          <w:rFonts w:ascii="Arial" w:hAnsi="Arial" w:cs="Arial"/>
          <w:sz w:val="20"/>
          <w:szCs w:val="20"/>
        </w:rPr>
        <w:t xml:space="preserve"> Stand), </w:t>
      </w:r>
      <w:proofErr w:type="spellStart"/>
      <w:r w:rsidRPr="003E71AF">
        <w:rPr>
          <w:rFonts w:ascii="Arial" w:hAnsi="Arial" w:cs="Arial"/>
          <w:sz w:val="20"/>
          <w:szCs w:val="20"/>
        </w:rPr>
        <w:t>Tegeta</w:t>
      </w:r>
      <w:proofErr w:type="spellEnd"/>
      <w:r w:rsidRPr="003E71AF">
        <w:rPr>
          <w:rFonts w:ascii="Arial" w:hAnsi="Arial" w:cs="Arial"/>
          <w:sz w:val="20"/>
          <w:szCs w:val="20"/>
        </w:rPr>
        <w:t xml:space="preserve"> </w:t>
      </w:r>
      <w:proofErr w:type="spellStart"/>
      <w:r w:rsidRPr="003E71AF">
        <w:rPr>
          <w:rFonts w:ascii="Arial" w:hAnsi="Arial" w:cs="Arial"/>
          <w:sz w:val="20"/>
          <w:szCs w:val="20"/>
        </w:rPr>
        <w:t>kwa</w:t>
      </w:r>
      <w:proofErr w:type="spellEnd"/>
      <w:r w:rsidRPr="003E71AF">
        <w:rPr>
          <w:rFonts w:ascii="Arial" w:hAnsi="Arial" w:cs="Arial"/>
          <w:sz w:val="20"/>
          <w:szCs w:val="20"/>
        </w:rPr>
        <w:t xml:space="preserve"> </w:t>
      </w:r>
      <w:proofErr w:type="spellStart"/>
      <w:r w:rsidRPr="003E71AF">
        <w:rPr>
          <w:rFonts w:ascii="Arial" w:hAnsi="Arial" w:cs="Arial"/>
          <w:sz w:val="20"/>
          <w:szCs w:val="20"/>
        </w:rPr>
        <w:t>Ndevu</w:t>
      </w:r>
      <w:proofErr w:type="spellEnd"/>
      <w:r w:rsidRPr="003E71AF">
        <w:rPr>
          <w:rFonts w:ascii="Arial" w:hAnsi="Arial" w:cs="Arial"/>
          <w:sz w:val="20"/>
          <w:szCs w:val="20"/>
        </w:rPr>
        <w:t xml:space="preserve"> Bus Terminal, and Masaki Coco Beach Recreation Center.</w:t>
      </w:r>
    </w:p>
    <w:p w14:paraId="54C39C35"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To ensure a broader representation, five additional study areas were randomly selected from a list of ten major transport hubs, including </w:t>
      </w:r>
      <w:proofErr w:type="spellStart"/>
      <w:r w:rsidRPr="003E71AF">
        <w:rPr>
          <w:rFonts w:ascii="Arial" w:hAnsi="Arial" w:cs="Arial"/>
          <w:sz w:val="20"/>
          <w:szCs w:val="20"/>
        </w:rPr>
        <w:t>Kimara</w:t>
      </w:r>
      <w:proofErr w:type="spellEnd"/>
      <w:r w:rsidRPr="003E71AF">
        <w:rPr>
          <w:rFonts w:ascii="Arial" w:hAnsi="Arial" w:cs="Arial"/>
          <w:sz w:val="20"/>
          <w:szCs w:val="20"/>
        </w:rPr>
        <w:t xml:space="preserve"> </w:t>
      </w:r>
      <w:proofErr w:type="spellStart"/>
      <w:r w:rsidRPr="003E71AF">
        <w:rPr>
          <w:rFonts w:ascii="Arial" w:hAnsi="Arial" w:cs="Arial"/>
          <w:sz w:val="20"/>
          <w:szCs w:val="20"/>
        </w:rPr>
        <w:t>Korogwe</w:t>
      </w:r>
      <w:proofErr w:type="spellEnd"/>
      <w:r w:rsidRPr="003E71AF">
        <w:rPr>
          <w:rFonts w:ascii="Arial" w:hAnsi="Arial" w:cs="Arial"/>
          <w:sz w:val="20"/>
          <w:szCs w:val="20"/>
        </w:rPr>
        <w:t xml:space="preserve"> Bus Terminal, </w:t>
      </w:r>
      <w:proofErr w:type="spellStart"/>
      <w:r w:rsidRPr="003E71AF">
        <w:rPr>
          <w:rFonts w:ascii="Arial" w:hAnsi="Arial" w:cs="Arial"/>
          <w:sz w:val="20"/>
          <w:szCs w:val="20"/>
        </w:rPr>
        <w:t>Manzese</w:t>
      </w:r>
      <w:proofErr w:type="spellEnd"/>
      <w:r w:rsidRPr="003E71AF">
        <w:rPr>
          <w:rFonts w:ascii="Arial" w:hAnsi="Arial" w:cs="Arial"/>
          <w:sz w:val="20"/>
          <w:szCs w:val="20"/>
        </w:rPr>
        <w:t xml:space="preserve"> Tiptop Bus Terminal, </w:t>
      </w:r>
      <w:proofErr w:type="spellStart"/>
      <w:r w:rsidRPr="003E71AF">
        <w:rPr>
          <w:rFonts w:ascii="Arial" w:hAnsi="Arial" w:cs="Arial"/>
          <w:sz w:val="20"/>
          <w:szCs w:val="20"/>
        </w:rPr>
        <w:t>Mwananyamala</w:t>
      </w:r>
      <w:proofErr w:type="spellEnd"/>
      <w:r w:rsidRPr="003E71AF">
        <w:rPr>
          <w:rFonts w:ascii="Arial" w:hAnsi="Arial" w:cs="Arial"/>
          <w:sz w:val="20"/>
          <w:szCs w:val="20"/>
        </w:rPr>
        <w:t xml:space="preserve"> Hospital Bus Terminal, </w:t>
      </w:r>
      <w:proofErr w:type="spellStart"/>
      <w:r w:rsidRPr="003E71AF">
        <w:rPr>
          <w:rFonts w:ascii="Arial" w:hAnsi="Arial" w:cs="Arial"/>
          <w:sz w:val="20"/>
          <w:szCs w:val="20"/>
        </w:rPr>
        <w:t>Msasani</w:t>
      </w:r>
      <w:proofErr w:type="spellEnd"/>
      <w:r w:rsidRPr="003E71AF">
        <w:rPr>
          <w:rFonts w:ascii="Arial" w:hAnsi="Arial" w:cs="Arial"/>
          <w:sz w:val="20"/>
          <w:szCs w:val="20"/>
        </w:rPr>
        <w:t xml:space="preserve"> Macho Bus Terminal, and Morocco Bus Terminal. Within these locations, convenience sampling was used to recruit retailers, ensuring inclusion of both formal (shop-based) and informal (street vendors and kiosk operators) retailers.</w:t>
      </w:r>
    </w:p>
    <w:p w14:paraId="79C4E285" w14:textId="21AC4E33"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were recruited for the study using convenience sampling, which was practical given the dynamic and mobile nature of street vending. Initially, 339 retailers were approached, but 10 declined </w:t>
      </w:r>
      <w:r w:rsidR="00437AB3" w:rsidRPr="003E71AF">
        <w:rPr>
          <w:rFonts w:ascii="Arial" w:hAnsi="Arial" w:cs="Arial"/>
          <w:sz w:val="20"/>
          <w:szCs w:val="20"/>
        </w:rPr>
        <w:t>participations</w:t>
      </w:r>
      <w:r w:rsidRPr="003E71AF">
        <w:rPr>
          <w:rFonts w:ascii="Arial" w:hAnsi="Arial" w:cs="Arial"/>
          <w:sz w:val="20"/>
          <w:szCs w:val="20"/>
        </w:rPr>
        <w:t>, leaving a final sample size of 329 respondents. The sample included street vendors (53.59%), shop-based retailers (26.74%), and kiosk operators (19.76%), reflecting the diversity of the soft drink retail market in Dar es Salaam.</w:t>
      </w:r>
    </w:p>
    <w:p w14:paraId="625C7294" w14:textId="62E4ACC5"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Collection Methods</w:t>
      </w:r>
    </w:p>
    <w:p w14:paraId="52955845" w14:textId="05BFCFB9"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Primary data were collected through face-to-face interviews using a semi-structured questionnaire. The questionnaire consisted of both closed-ended and open-ended questions covering key aspects such as </w:t>
      </w:r>
      <w:r w:rsidRPr="00556C2C">
        <w:rPr>
          <w:rFonts w:ascii="Arial" w:hAnsi="Arial" w:cs="Arial"/>
          <w:sz w:val="20"/>
          <w:szCs w:val="20"/>
        </w:rPr>
        <w:t xml:space="preserve">storage practices, </w:t>
      </w:r>
      <w:r w:rsidR="00556C2C" w:rsidRPr="00556C2C">
        <w:rPr>
          <w:rFonts w:ascii="Arial" w:hAnsi="Arial" w:cs="Arial"/>
          <w:sz w:val="20"/>
          <w:szCs w:val="20"/>
        </w:rPr>
        <w:t xml:space="preserve">retail purchasing and selling practices, </w:t>
      </w:r>
      <w:r w:rsidRPr="00556C2C">
        <w:rPr>
          <w:rFonts w:ascii="Arial" w:hAnsi="Arial" w:cs="Arial"/>
          <w:sz w:val="20"/>
          <w:szCs w:val="20"/>
        </w:rPr>
        <w:t>knowledge of soft drink ingredients and health risks, awareness of storage regulations, and challenges in implementing proper storage</w:t>
      </w:r>
      <w:r w:rsidRPr="003E71AF">
        <w:rPr>
          <w:rFonts w:ascii="Arial" w:hAnsi="Arial" w:cs="Arial"/>
          <w:sz w:val="20"/>
          <w:szCs w:val="20"/>
        </w:rPr>
        <w:t>. Field observations were conducted to supplement questionnaire responses by assessing the physical storage conditions, exposure to sunlight, refrigeration availability, and handling practices at the retail locations.</w:t>
      </w:r>
    </w:p>
    <w:p w14:paraId="4668423B"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A pilot study was conducted with 20 respondents to pre-test the questionnaire, ensuring clarity and relevance of questions. Minor modifications were made to improve accuracy and respondent comprehension. The questionnaire was designed in English but administered in Swahili, ensuring ease of understanding among participants. Interviews lasted approximately 30 minutes to balance comprehensive data collection with minimal business disruption.</w:t>
      </w:r>
    </w:p>
    <w:p w14:paraId="08D51310" w14:textId="35D0F49B" w:rsidR="00556C2C" w:rsidRPr="00556C2C" w:rsidRDefault="00351B22" w:rsidP="00556C2C">
      <w:pPr>
        <w:spacing w:line="240" w:lineRule="auto"/>
        <w:jc w:val="both"/>
        <w:rPr>
          <w:rFonts w:ascii="Arial" w:hAnsi="Arial" w:cs="Arial"/>
          <w:sz w:val="20"/>
          <w:szCs w:val="20"/>
        </w:rPr>
      </w:pPr>
      <w:r w:rsidRPr="003E71AF">
        <w:rPr>
          <w:rFonts w:ascii="Arial" w:hAnsi="Arial" w:cs="Arial"/>
          <w:sz w:val="20"/>
          <w:szCs w:val="20"/>
        </w:rPr>
        <w:lastRenderedPageBreak/>
        <w:t>Additional secondary data were obtained from published studies, regulatory documents, and reports from food safety authorities to provide contextual background a</w:t>
      </w:r>
      <w:r w:rsidR="00556C2C">
        <w:rPr>
          <w:rFonts w:ascii="Arial" w:hAnsi="Arial" w:cs="Arial"/>
          <w:sz w:val="20"/>
          <w:szCs w:val="20"/>
        </w:rPr>
        <w:t>nd support data interpretation.</w:t>
      </w:r>
    </w:p>
    <w:p w14:paraId="0E591B1F" w14:textId="62990F6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Data Processing and Analysis</w:t>
      </w:r>
    </w:p>
    <w:p w14:paraId="6F0C360E" w14:textId="0F10C7B8"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were entered into Microsoft Excel and cleaned </w:t>
      </w:r>
      <w:r w:rsidR="00E95ADE" w:rsidRPr="003E71AF">
        <w:rPr>
          <w:rFonts w:ascii="Arial" w:hAnsi="Arial" w:cs="Arial"/>
          <w:sz w:val="20"/>
          <w:szCs w:val="20"/>
        </w:rPr>
        <w:t>to ensure completeness and accuracy. Missing values and inconsistent responses were identified and addressed</w:t>
      </w:r>
      <w:r w:rsidRPr="003E71AF">
        <w:rPr>
          <w:rFonts w:ascii="Arial" w:hAnsi="Arial" w:cs="Arial"/>
          <w:sz w:val="20"/>
          <w:szCs w:val="20"/>
        </w:rPr>
        <w:t>. Descriptive statistics, including frequencies and percentages, were used to summarize the demographic characteristics of respondents and their storage practices.</w:t>
      </w:r>
    </w:p>
    <w:p w14:paraId="0A56AD4F" w14:textId="1CF379C3"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Categorical variables, including education level, business setup, experience, gender, and district, were coded into numerical values for regression analysis. The dependent variable, storage practice, was derived from the "grade" column, where "good" storage practices were coded as 1, and "moderate" and "poor" were coded as 0 to create a binary outcome suitable for logistic regression. To determine the factors influencing soft drink storage practices among retailers in Dar es Salaam, the study employed a binary logistic regression model. Logistic regression is appropriate for modeling relationships where the dependent variable is dichotomous (binary). The probability of a retailer adopting good storage practices was modeled as follows:</w:t>
      </w:r>
    </w:p>
    <w:p w14:paraId="741CFAA1" w14:textId="1846C3FD" w:rsidR="00E95ADE" w:rsidRPr="003E71AF" w:rsidRDefault="004D2490" w:rsidP="003E71AF">
      <w:pPr>
        <w:spacing w:line="240" w:lineRule="auto"/>
        <w:rPr>
          <w:rFonts w:ascii="Arial" w:hAnsi="Arial"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1</m:t>
              </m:r>
            </m:sub>
          </m:sSub>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2</m:t>
              </m:r>
            </m:sub>
          </m:sSub>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3</m:t>
              </m:r>
            </m:sub>
          </m:sSub>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4</m:t>
              </m:r>
            </m:sub>
          </m:sSub>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5</m:t>
              </m:r>
            </m:sub>
          </m:sSub>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m:oMathPara>
    </w:p>
    <w:p w14:paraId="44B0F8FF" w14:textId="77777777" w:rsidR="00E95ADE" w:rsidRPr="003E71AF" w:rsidRDefault="00E95ADE" w:rsidP="003E71AF">
      <w:pPr>
        <w:spacing w:line="240" w:lineRule="auto"/>
        <w:jc w:val="both"/>
        <w:rPr>
          <w:rFonts w:ascii="Arial" w:hAnsi="Arial" w:cs="Arial"/>
          <w:sz w:val="20"/>
          <w:szCs w:val="20"/>
        </w:rPr>
      </w:pPr>
      <w:r w:rsidRPr="003E71AF">
        <w:rPr>
          <w:rFonts w:ascii="Arial" w:hAnsi="Arial" w:cs="Arial"/>
          <w:sz w:val="20"/>
          <w:szCs w:val="20"/>
        </w:rPr>
        <w:t>Where:</w:t>
      </w:r>
    </w:p>
    <w:p w14:paraId="544D2567" w14:textId="3661B331"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oMath>
      <w:r w:rsidR="00E95ADE" w:rsidRPr="003E71AF">
        <w:rPr>
          <w:rFonts w:ascii="Arial" w:hAnsi="Arial" w:cs="Arial"/>
          <w:sz w:val="20"/>
          <w:szCs w:val="20"/>
        </w:rPr>
        <w:t xml:space="preserve">​ = Probability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following good storage practices</w:t>
      </w:r>
    </w:p>
    <w:p w14:paraId="2EA0C74C" w14:textId="5E46F9B3" w:rsidR="00E95ADE" w:rsidRPr="003E71AF" w:rsidRDefault="004D2490" w:rsidP="003E71AF">
      <w:pPr>
        <w:numPr>
          <w:ilvl w:val="0"/>
          <w:numId w:val="5"/>
        </w:numPr>
        <w:spacing w:after="0" w:line="240" w:lineRule="auto"/>
        <w:rPr>
          <w:rFonts w:ascii="Arial" w:hAnsi="Arial" w:cs="Arial"/>
          <w:sz w:val="20"/>
          <w:szCs w:val="20"/>
        </w:rPr>
      </w:pPr>
      <m:oMath>
        <m:func>
          <m:funcPr>
            <m:ctrlPr>
              <w:rPr>
                <w:rFonts w:ascii="Cambria Math" w:hAnsi="Cambria Math" w:cs="Arial"/>
                <w:sz w:val="20"/>
                <w:szCs w:val="20"/>
              </w:rPr>
            </m:ctrlPr>
          </m:funcPr>
          <m:fName>
            <m:r>
              <m:rPr>
                <m:sty m:val="p"/>
              </m:rPr>
              <w:rPr>
                <w:rFonts w:ascii="Cambria Math" w:hAnsi="Cambria Math" w:cs="Arial"/>
                <w:sz w:val="20"/>
                <w:szCs w:val="20"/>
              </w:rPr>
              <m:t>ln</m:t>
            </m:r>
          </m:fName>
          <m:e>
            <m:d>
              <m:dPr>
                <m:ctrlPr>
                  <w:rPr>
                    <w:rFonts w:ascii="Cambria Math" w:hAnsi="Cambria Math" w:cs="Arial"/>
                    <w:i/>
                    <w:sz w:val="20"/>
                    <w:szCs w:val="20"/>
                  </w:rPr>
                </m:ctrlPr>
              </m:dPr>
              <m:e>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num>
                  <m:den>
                    <m:r>
                      <w:rPr>
                        <w:rFonts w:ascii="Cambria Math" w:hAnsi="Cambria Math" w:cs="Arial"/>
                        <w:sz w:val="20"/>
                        <w:szCs w:val="20"/>
                      </w:rPr>
                      <m:t>1-</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i</m:t>
                        </m:r>
                      </m:sub>
                    </m:sSub>
                  </m:den>
                </m:f>
              </m:e>
            </m:d>
          </m:e>
        </m:func>
        <m:r>
          <w:rPr>
            <w:rFonts w:ascii="Cambria Math" w:hAnsi="Cambria Math" w:cs="Arial"/>
            <w:sz w:val="20"/>
            <w:szCs w:val="20"/>
          </w:rPr>
          <m:t xml:space="preserve"> </m:t>
        </m:r>
      </m:oMath>
      <w:r w:rsidR="00E95ADE" w:rsidRPr="003E71AF">
        <w:rPr>
          <w:rFonts w:ascii="Arial" w:hAnsi="Arial" w:cs="Arial"/>
          <w:sz w:val="20"/>
          <w:szCs w:val="20"/>
        </w:rPr>
        <w:t xml:space="preserve"> = Log-odds of adopting good storage practices</w:t>
      </w:r>
    </w:p>
    <w:p w14:paraId="690A7125" w14:textId="7C7CEFC0"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β</m:t>
            </m:r>
          </m:e>
          <m:sub>
            <m:r>
              <w:rPr>
                <w:rFonts w:ascii="Cambria Math" w:hAnsi="Cambria Math" w:cs="Arial"/>
                <w:sz w:val="20"/>
                <w:szCs w:val="20"/>
              </w:rPr>
              <m:t>0</m:t>
            </m:r>
          </m:sub>
        </m:sSub>
      </m:oMath>
      <w:r w:rsidR="006E6A91" w:rsidRPr="003E71AF">
        <w:rPr>
          <w:rFonts w:ascii="Arial" w:hAnsi="Arial" w:cs="Arial"/>
          <w:sz w:val="20"/>
          <w:szCs w:val="20"/>
        </w:rPr>
        <w:t xml:space="preserve"> </w:t>
      </w:r>
      <w:r w:rsidR="00E95ADE" w:rsidRPr="003E71AF">
        <w:rPr>
          <w:rFonts w:ascii="Arial" w:hAnsi="Arial" w:cs="Arial"/>
          <w:sz w:val="20"/>
          <w:szCs w:val="20"/>
        </w:rPr>
        <w:t>= Intercept</w:t>
      </w:r>
    </w:p>
    <w:p w14:paraId="50A37DAB" w14:textId="23BF0157"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Edu</m:t>
            </m:r>
          </m:e>
          <m:sub>
            <m:r>
              <w:rPr>
                <w:rFonts w:ascii="Cambria Math" w:hAnsi="Cambria Math" w:cs="Arial"/>
                <w:sz w:val="20"/>
                <w:szCs w:val="20"/>
              </w:rPr>
              <m:t>i</m:t>
            </m:r>
          </m:sub>
        </m:sSub>
      </m:oMath>
      <w:r w:rsidR="00E95ADE" w:rsidRPr="003E71AF">
        <w:rPr>
          <w:rFonts w:ascii="Arial" w:hAnsi="Arial" w:cs="Arial"/>
          <w:sz w:val="20"/>
          <w:szCs w:val="20"/>
        </w:rPr>
        <w:t xml:space="preserve">​ = Educational background of retailer </w:t>
      </w:r>
      <w:proofErr w:type="spellStart"/>
      <w:r w:rsidR="00E95ADE" w:rsidRPr="003E71AF">
        <w:rPr>
          <w:rFonts w:ascii="Arial" w:hAnsi="Arial" w:cs="Arial"/>
          <w:sz w:val="20"/>
          <w:szCs w:val="20"/>
        </w:rPr>
        <w:t>i</w:t>
      </w:r>
      <w:proofErr w:type="spellEnd"/>
    </w:p>
    <w:p w14:paraId="2B18F22C" w14:textId="3D5196D4"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BizSetup</m:t>
            </m:r>
          </m:e>
          <m:sub>
            <m:r>
              <w:rPr>
                <w:rFonts w:ascii="Cambria Math" w:hAnsi="Cambria Math" w:cs="Arial"/>
                <w:sz w:val="20"/>
                <w:szCs w:val="20"/>
              </w:rPr>
              <m:t>i</m:t>
            </m:r>
          </m:sub>
        </m:sSub>
      </m:oMath>
      <w:r w:rsidR="00E95ADE" w:rsidRPr="003E71AF">
        <w:rPr>
          <w:rFonts w:ascii="Arial" w:hAnsi="Arial" w:cs="Arial"/>
          <w:sz w:val="20"/>
          <w:szCs w:val="20"/>
        </w:rPr>
        <w:t xml:space="preserve">​ = Business setup (Shop, Kiosk, or Street Vendor) of retailer </w:t>
      </w:r>
      <w:proofErr w:type="spellStart"/>
      <w:r w:rsidR="00E95ADE" w:rsidRPr="003E71AF">
        <w:rPr>
          <w:rFonts w:ascii="Arial" w:hAnsi="Arial" w:cs="Arial"/>
          <w:sz w:val="20"/>
          <w:szCs w:val="20"/>
        </w:rPr>
        <w:t>i</w:t>
      </w:r>
      <w:proofErr w:type="spellEnd"/>
    </w:p>
    <w:p w14:paraId="770F4EC8" w14:textId="47952CE4"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Exp</m:t>
            </m:r>
          </m:e>
          <m:sub>
            <m:r>
              <w:rPr>
                <w:rFonts w:ascii="Cambria Math" w:hAnsi="Cambria Math" w:cs="Arial"/>
                <w:sz w:val="20"/>
                <w:szCs w:val="20"/>
              </w:rPr>
              <m:t>i</m:t>
            </m:r>
          </m:sub>
        </m:sSub>
      </m:oMath>
      <w:r w:rsidR="00E95ADE" w:rsidRPr="003E71AF">
        <w:rPr>
          <w:rFonts w:ascii="Arial" w:hAnsi="Arial" w:cs="Arial"/>
          <w:sz w:val="20"/>
          <w:szCs w:val="20"/>
        </w:rPr>
        <w:t xml:space="preserve">​ = Experience (years selling soft drinks) of retailer </w:t>
      </w:r>
      <w:proofErr w:type="spellStart"/>
      <w:r w:rsidR="00E95ADE" w:rsidRPr="003E71AF">
        <w:rPr>
          <w:rFonts w:ascii="Arial" w:hAnsi="Arial" w:cs="Arial"/>
          <w:sz w:val="20"/>
          <w:szCs w:val="20"/>
        </w:rPr>
        <w:t>i</w:t>
      </w:r>
      <w:proofErr w:type="spellEnd"/>
    </w:p>
    <w:p w14:paraId="214E55D4" w14:textId="5B0B6544"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Gender</m:t>
            </m:r>
          </m:e>
          <m:sub>
            <m:r>
              <w:rPr>
                <w:rFonts w:ascii="Cambria Math" w:hAnsi="Cambria Math" w:cs="Arial"/>
                <w:sz w:val="20"/>
                <w:szCs w:val="20"/>
              </w:rPr>
              <m:t>i</m:t>
            </m:r>
          </m:sub>
        </m:sSub>
      </m:oMath>
      <w:r w:rsidR="00EB18E4" w:rsidRPr="003E71AF">
        <w:rPr>
          <w:rFonts w:ascii="Arial" w:hAnsi="Arial" w:cs="Arial"/>
          <w:sz w:val="20"/>
          <w:szCs w:val="20"/>
        </w:rPr>
        <w:t xml:space="preserve"> </w:t>
      </w:r>
      <w:r w:rsidR="00E95ADE" w:rsidRPr="003E71AF">
        <w:rPr>
          <w:rFonts w:ascii="Arial" w:hAnsi="Arial" w:cs="Arial"/>
          <w:sz w:val="20"/>
          <w:szCs w:val="20"/>
        </w:rPr>
        <w:t xml:space="preserve">= Gender of retailer </w:t>
      </w:r>
      <w:proofErr w:type="spellStart"/>
      <w:r w:rsidR="00E95ADE" w:rsidRPr="003E71AF">
        <w:rPr>
          <w:rFonts w:ascii="Arial" w:hAnsi="Arial" w:cs="Arial"/>
          <w:sz w:val="20"/>
          <w:szCs w:val="20"/>
        </w:rPr>
        <w:t>i</w:t>
      </w:r>
      <w:proofErr w:type="spellEnd"/>
      <w:r w:rsidR="00E95ADE" w:rsidRPr="003E71AF">
        <w:rPr>
          <w:rFonts w:ascii="Arial" w:hAnsi="Arial" w:cs="Arial"/>
          <w:sz w:val="20"/>
          <w:szCs w:val="20"/>
        </w:rPr>
        <w:t xml:space="preserve"> (1 = Male, 0 = Female)</w:t>
      </w:r>
    </w:p>
    <w:p w14:paraId="553F7391" w14:textId="109860AC"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District</m:t>
            </m:r>
          </m:e>
          <m:sub>
            <m:r>
              <w:rPr>
                <w:rFonts w:ascii="Cambria Math" w:hAnsi="Cambria Math" w:cs="Arial"/>
                <w:sz w:val="20"/>
                <w:szCs w:val="20"/>
              </w:rPr>
              <m:t>i</m:t>
            </m:r>
          </m:sub>
        </m:sSub>
      </m:oMath>
      <w:r w:rsidR="00E95ADE" w:rsidRPr="003E71AF">
        <w:rPr>
          <w:rFonts w:ascii="Arial" w:hAnsi="Arial" w:cs="Arial"/>
          <w:sz w:val="20"/>
          <w:szCs w:val="20"/>
        </w:rPr>
        <w:t xml:space="preserve"> = Location of retailer </w:t>
      </w:r>
      <w:proofErr w:type="spellStart"/>
      <w:r w:rsidR="00E95ADE" w:rsidRPr="003E71AF">
        <w:rPr>
          <w:rFonts w:ascii="Arial" w:hAnsi="Arial" w:cs="Arial"/>
          <w:sz w:val="20"/>
          <w:szCs w:val="20"/>
        </w:rPr>
        <w:t>i</w:t>
      </w:r>
      <w:proofErr w:type="spellEnd"/>
      <w:r w:rsidR="006E6A91" w:rsidRPr="003E71AF">
        <w:rPr>
          <w:rFonts w:ascii="Arial" w:hAnsi="Arial" w:cs="Arial"/>
          <w:sz w:val="20"/>
          <w:szCs w:val="20"/>
        </w:rPr>
        <w:t xml:space="preserve"> </w:t>
      </w:r>
      <w:r w:rsidR="00E95ADE" w:rsidRPr="003E71AF">
        <w:rPr>
          <w:rFonts w:ascii="Arial" w:hAnsi="Arial" w:cs="Arial"/>
          <w:sz w:val="20"/>
          <w:szCs w:val="20"/>
        </w:rPr>
        <w:t xml:space="preserve">(1 = Kinondoni, 0 = </w:t>
      </w:r>
      <w:proofErr w:type="spellStart"/>
      <w:r w:rsidR="00E95ADE" w:rsidRPr="003E71AF">
        <w:rPr>
          <w:rFonts w:ascii="Arial" w:hAnsi="Arial" w:cs="Arial"/>
          <w:sz w:val="20"/>
          <w:szCs w:val="20"/>
        </w:rPr>
        <w:t>Ubungo</w:t>
      </w:r>
      <w:proofErr w:type="spellEnd"/>
      <w:r w:rsidR="00E95ADE" w:rsidRPr="003E71AF">
        <w:rPr>
          <w:rFonts w:ascii="Arial" w:hAnsi="Arial" w:cs="Arial"/>
          <w:sz w:val="20"/>
          <w:szCs w:val="20"/>
        </w:rPr>
        <w:t>)</w:t>
      </w:r>
    </w:p>
    <w:p w14:paraId="7E415B70" w14:textId="7CDBE957" w:rsidR="00E95ADE" w:rsidRPr="003E71AF" w:rsidRDefault="004D2490" w:rsidP="003E71AF">
      <w:pPr>
        <w:numPr>
          <w:ilvl w:val="0"/>
          <w:numId w:val="5"/>
        </w:numPr>
        <w:spacing w:after="0" w:line="240" w:lineRule="auto"/>
        <w:rPr>
          <w:rFonts w:ascii="Arial" w:hAnsi="Arial" w:cs="Arial"/>
          <w:sz w:val="20"/>
          <w:szCs w:val="20"/>
        </w:rPr>
      </w:pPr>
      <m:oMath>
        <m:sSub>
          <m:sSubPr>
            <m:ctrlPr>
              <w:rPr>
                <w:rFonts w:ascii="Cambria Math" w:hAnsi="Cambria Math" w:cs="Arial"/>
                <w:i/>
                <w:sz w:val="20"/>
                <w:szCs w:val="20"/>
              </w:rPr>
            </m:ctrlPr>
          </m:sSubPr>
          <m:e>
            <m:r>
              <w:rPr>
                <w:rFonts w:ascii="Cambria Math" w:hAnsi="Cambria Math" w:cs="Arial"/>
                <w:sz w:val="20"/>
                <w:szCs w:val="20"/>
              </w:rPr>
              <m:t>ϵ</m:t>
            </m:r>
          </m:e>
          <m:sub>
            <m:r>
              <w:rPr>
                <w:rFonts w:ascii="Cambria Math" w:hAnsi="Cambria Math" w:cs="Arial"/>
                <w:sz w:val="20"/>
                <w:szCs w:val="20"/>
              </w:rPr>
              <m:t>i</m:t>
            </m:r>
          </m:sub>
        </m:sSub>
      </m:oMath>
      <w:r w:rsidR="00E95ADE" w:rsidRPr="003E71AF">
        <w:rPr>
          <w:rFonts w:ascii="Arial" w:hAnsi="Arial" w:cs="Arial"/>
          <w:sz w:val="20"/>
          <w:szCs w:val="20"/>
        </w:rPr>
        <w:t xml:space="preserve"> = Error term</w:t>
      </w:r>
    </w:p>
    <w:p w14:paraId="61B32F4B" w14:textId="74CF6D95" w:rsidR="00E95ADE" w:rsidRPr="003E71AF" w:rsidRDefault="00E95ADE" w:rsidP="003E71AF">
      <w:pPr>
        <w:spacing w:before="240" w:line="240" w:lineRule="auto"/>
        <w:jc w:val="both"/>
        <w:rPr>
          <w:rFonts w:ascii="Arial" w:hAnsi="Arial" w:cs="Arial"/>
          <w:sz w:val="20"/>
          <w:szCs w:val="20"/>
        </w:rPr>
      </w:pPr>
      <w:r w:rsidRPr="003E71AF">
        <w:rPr>
          <w:rFonts w:ascii="Arial" w:hAnsi="Arial" w:cs="Arial"/>
          <w:sz w:val="20"/>
          <w:szCs w:val="20"/>
        </w:rPr>
        <w:t>The model was estimated using the maximum likelihood estimation (MLE) method. The logistic regression results included:</w:t>
      </w:r>
      <w:r w:rsidR="00EB18E4" w:rsidRPr="003E71AF">
        <w:rPr>
          <w:rFonts w:ascii="Arial" w:hAnsi="Arial" w:cs="Arial"/>
          <w:sz w:val="20"/>
          <w:szCs w:val="20"/>
        </w:rPr>
        <w:t xml:space="preserve"> </w:t>
      </w:r>
      <w:r w:rsidRPr="003E71AF">
        <w:rPr>
          <w:rFonts w:ascii="Arial" w:hAnsi="Arial" w:cs="Arial"/>
          <w:sz w:val="20"/>
          <w:szCs w:val="20"/>
        </w:rPr>
        <w:t>Coefficient estimates (β) – Indicating the direction and strength of the relationship between predictor variables and the likelihood of adopting good storage practices.</w:t>
      </w:r>
      <w:r w:rsidR="00EB18E4" w:rsidRPr="003E71AF">
        <w:rPr>
          <w:rFonts w:ascii="Arial" w:hAnsi="Arial" w:cs="Arial"/>
          <w:sz w:val="20"/>
          <w:szCs w:val="20"/>
        </w:rPr>
        <w:t xml:space="preserve"> </w:t>
      </w:r>
      <w:r w:rsidRPr="003E71AF">
        <w:rPr>
          <w:rFonts w:ascii="Arial" w:hAnsi="Arial" w:cs="Arial"/>
          <w:sz w:val="20"/>
          <w:szCs w:val="20"/>
        </w:rPr>
        <w:t>Odds ratios (exp(β)) – Representing the change in odds of proper storage for each unit change in an independent variable.</w:t>
      </w:r>
      <w:r w:rsidR="00EB18E4" w:rsidRPr="003E71AF">
        <w:rPr>
          <w:rFonts w:ascii="Arial" w:hAnsi="Arial" w:cs="Arial"/>
          <w:sz w:val="20"/>
          <w:szCs w:val="20"/>
        </w:rPr>
        <w:t xml:space="preserve"> </w:t>
      </w:r>
      <w:r w:rsidRPr="003E71AF">
        <w:rPr>
          <w:rFonts w:ascii="Arial" w:hAnsi="Arial" w:cs="Arial"/>
          <w:sz w:val="20"/>
          <w:szCs w:val="20"/>
        </w:rPr>
        <w:t>p-values – Assessing statistical significance, with values below 0.05 indicating a significant influence on storage practices.</w:t>
      </w:r>
      <w:r w:rsidR="00EB18E4" w:rsidRPr="003E71AF">
        <w:rPr>
          <w:rFonts w:ascii="Arial" w:hAnsi="Arial" w:cs="Arial"/>
          <w:sz w:val="20"/>
          <w:szCs w:val="20"/>
        </w:rPr>
        <w:t xml:space="preserve"> </w:t>
      </w:r>
      <w:r w:rsidRPr="003E71AF">
        <w:rPr>
          <w:rFonts w:ascii="Arial" w:hAnsi="Arial" w:cs="Arial"/>
          <w:sz w:val="20"/>
          <w:szCs w:val="20"/>
        </w:rPr>
        <w:t>The model was evaluated for goodness-of-fit using the log-likelihood ratio test and pseudo R-squared value. Data analysis and regression estimation were conducted using Stata 17 and Python (Stats</w:t>
      </w:r>
      <w:r w:rsidR="000F5D42">
        <w:rPr>
          <w:rFonts w:ascii="Arial" w:hAnsi="Arial" w:cs="Arial"/>
          <w:sz w:val="20"/>
          <w:szCs w:val="20"/>
        </w:rPr>
        <w:t xml:space="preserve"> </w:t>
      </w:r>
      <w:r w:rsidRPr="003E71AF">
        <w:rPr>
          <w:rFonts w:ascii="Arial" w:hAnsi="Arial" w:cs="Arial"/>
          <w:sz w:val="20"/>
          <w:szCs w:val="20"/>
        </w:rPr>
        <w:t xml:space="preserve">Models library). </w:t>
      </w:r>
    </w:p>
    <w:p w14:paraId="27745509" w14:textId="3C9268B1"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Data </w:t>
      </w:r>
      <w:r w:rsidR="00C0444A" w:rsidRPr="003E71AF">
        <w:rPr>
          <w:rFonts w:ascii="Arial" w:hAnsi="Arial" w:cs="Arial"/>
          <w:sz w:val="20"/>
          <w:szCs w:val="20"/>
        </w:rPr>
        <w:t xml:space="preserve">were presented in tables </w:t>
      </w:r>
      <w:r w:rsidRPr="003E71AF">
        <w:rPr>
          <w:rFonts w:ascii="Arial" w:hAnsi="Arial" w:cs="Arial"/>
          <w:sz w:val="20"/>
          <w:szCs w:val="20"/>
        </w:rPr>
        <w:t>to enhance clarity and interpretation.</w:t>
      </w:r>
    </w:p>
    <w:p w14:paraId="34EEF59D"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Ethical Considerations</w:t>
      </w:r>
    </w:p>
    <w:p w14:paraId="4E515C7B" w14:textId="77777777" w:rsidR="00351B22" w:rsidRPr="003E71AF" w:rsidRDefault="00351B22" w:rsidP="003E71AF">
      <w:pPr>
        <w:spacing w:line="240" w:lineRule="auto"/>
        <w:jc w:val="both"/>
        <w:rPr>
          <w:rFonts w:ascii="Arial" w:hAnsi="Arial" w:cs="Arial"/>
          <w:sz w:val="20"/>
          <w:szCs w:val="20"/>
        </w:rPr>
      </w:pPr>
      <w:r w:rsidRPr="003E71AF">
        <w:rPr>
          <w:rFonts w:ascii="Arial" w:hAnsi="Arial" w:cs="Arial"/>
          <w:sz w:val="20"/>
          <w:szCs w:val="20"/>
        </w:rPr>
        <w:t xml:space="preserve">Ethical approval for the study was obtained from Sokoine University of Agriculture. Permission to conduct research was also granted by the Tanzania President's Office - Regional Administration and Local Government and the respective Municipal Councils of Kinondoni and </w:t>
      </w:r>
      <w:proofErr w:type="spellStart"/>
      <w:r w:rsidRPr="003E71AF">
        <w:rPr>
          <w:rFonts w:ascii="Arial" w:hAnsi="Arial" w:cs="Arial"/>
          <w:sz w:val="20"/>
          <w:szCs w:val="20"/>
        </w:rPr>
        <w:t>Ubungo</w:t>
      </w:r>
      <w:proofErr w:type="spellEnd"/>
      <w:r w:rsidRPr="003E71AF">
        <w:rPr>
          <w:rFonts w:ascii="Arial" w:hAnsi="Arial" w:cs="Arial"/>
          <w:sz w:val="20"/>
          <w:szCs w:val="20"/>
        </w:rPr>
        <w:t>. Participants provided informed consent before participating, ensuring that they understood the purpose of the study, their rights, and the confidentiality of their responses. All data were anonymized to protect participant identities.</w:t>
      </w:r>
    </w:p>
    <w:p w14:paraId="674C1BFA" w14:textId="77777777" w:rsidR="00F62F3B" w:rsidRDefault="00F62F3B" w:rsidP="003E71AF">
      <w:pPr>
        <w:spacing w:line="240" w:lineRule="auto"/>
        <w:rPr>
          <w:rFonts w:ascii="Arial" w:hAnsi="Arial" w:cs="Arial"/>
          <w:b/>
          <w:bCs/>
          <w:sz w:val="20"/>
          <w:szCs w:val="20"/>
        </w:rPr>
      </w:pPr>
    </w:p>
    <w:p w14:paraId="599FDAFA" w14:textId="77777777" w:rsidR="00F62F3B" w:rsidRDefault="00F62F3B" w:rsidP="003E71AF">
      <w:pPr>
        <w:spacing w:line="240" w:lineRule="auto"/>
        <w:rPr>
          <w:rFonts w:ascii="Arial" w:hAnsi="Arial" w:cs="Arial"/>
          <w:b/>
          <w:bCs/>
          <w:sz w:val="20"/>
          <w:szCs w:val="20"/>
        </w:rPr>
      </w:pPr>
    </w:p>
    <w:p w14:paraId="5D46E223" w14:textId="77777777" w:rsidR="00F62F3B" w:rsidRDefault="00F62F3B" w:rsidP="003E71AF">
      <w:pPr>
        <w:spacing w:line="240" w:lineRule="auto"/>
        <w:rPr>
          <w:rFonts w:ascii="Arial" w:hAnsi="Arial" w:cs="Arial"/>
          <w:b/>
          <w:bCs/>
          <w:sz w:val="20"/>
          <w:szCs w:val="20"/>
        </w:rPr>
      </w:pPr>
    </w:p>
    <w:p w14:paraId="4CE7C200" w14:textId="0F30C6CA"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lastRenderedPageBreak/>
        <w:t>RESULTS</w:t>
      </w:r>
    </w:p>
    <w:p w14:paraId="720A5E40" w14:textId="77777777"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Socio-Demographic Characteristics of Respondents</w:t>
      </w:r>
    </w:p>
    <w:p w14:paraId="55F86DED"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A total of 329 soft drink retailers from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municipalities participated in the study. The majority of respondents (55.04%) were male, while 44.96% were female. Age distribution showed that 53.19% of respondents were between 25 and 40 years, while 34.95% were between 18 and 24 years. Educational attainment varied, with 43.77% having completed secondary education, 41.95% completing primary education, and 6.68% attaining a college degree. Notably, no respondent reported having university-level education.</w:t>
      </w:r>
    </w:p>
    <w:p w14:paraId="67956126" w14:textId="503178B8"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Regarding business ownership, 64.44% of respondents owned their businesses, while 35.56% were employees. The most common business setup was street vending (53.59%), followed by shop-based retailers (26.74%) and kiosk operators (19.76%). The majority of retailers (63.83%) had 1–5 years of experience, while 18.56% had more than five years of experience, and 17.63% had been in the business for less than a year.</w:t>
      </w:r>
      <w:r w:rsidR="00D24CFD" w:rsidRPr="003E71AF">
        <w:rPr>
          <w:rFonts w:ascii="Arial" w:hAnsi="Arial" w:cs="Arial"/>
          <w:sz w:val="20"/>
          <w:szCs w:val="20"/>
        </w:rPr>
        <w:t xml:space="preserve"> </w:t>
      </w:r>
      <w:r w:rsidRPr="003E71AF">
        <w:rPr>
          <w:rFonts w:ascii="Arial" w:hAnsi="Arial" w:cs="Arial"/>
          <w:sz w:val="20"/>
          <w:szCs w:val="20"/>
        </w:rPr>
        <w:t>Table 1 presents the socio-demographic characteristics of the respondents.</w:t>
      </w:r>
    </w:p>
    <w:p w14:paraId="68BCEB5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1: Socio-Demographic Characteristics of Respondents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2857"/>
        <w:gridCol w:w="2359"/>
      </w:tblGrid>
      <w:tr w:rsidR="008C18F0" w:rsidRPr="003E71AF" w14:paraId="7334043F" w14:textId="77777777" w:rsidTr="00556C2C">
        <w:trPr>
          <w:tblHeader/>
        </w:trPr>
        <w:tc>
          <w:tcPr>
            <w:tcW w:w="2214" w:type="pct"/>
            <w:tcBorders>
              <w:top w:val="single" w:sz="4" w:space="0" w:color="auto"/>
              <w:bottom w:val="single" w:sz="4" w:space="0" w:color="auto"/>
            </w:tcBorders>
            <w:hideMark/>
          </w:tcPr>
          <w:p w14:paraId="329D17B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Variable</w:t>
            </w:r>
          </w:p>
        </w:tc>
        <w:tc>
          <w:tcPr>
            <w:tcW w:w="1526" w:type="pct"/>
            <w:tcBorders>
              <w:top w:val="single" w:sz="4" w:space="0" w:color="auto"/>
              <w:bottom w:val="single" w:sz="4" w:space="0" w:color="auto"/>
            </w:tcBorders>
            <w:hideMark/>
          </w:tcPr>
          <w:p w14:paraId="4FA46AC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1" w:type="pct"/>
            <w:tcBorders>
              <w:top w:val="single" w:sz="4" w:space="0" w:color="auto"/>
              <w:bottom w:val="single" w:sz="4" w:space="0" w:color="auto"/>
            </w:tcBorders>
            <w:hideMark/>
          </w:tcPr>
          <w:p w14:paraId="71A21CB3"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574FD2E2" w14:textId="77777777" w:rsidTr="00556C2C">
        <w:tc>
          <w:tcPr>
            <w:tcW w:w="2214" w:type="pct"/>
            <w:tcBorders>
              <w:top w:val="single" w:sz="4" w:space="0" w:color="auto"/>
            </w:tcBorders>
            <w:hideMark/>
          </w:tcPr>
          <w:p w14:paraId="2D93E39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Gender</w:t>
            </w:r>
          </w:p>
        </w:tc>
        <w:tc>
          <w:tcPr>
            <w:tcW w:w="1526" w:type="pct"/>
            <w:tcBorders>
              <w:top w:val="single" w:sz="4" w:space="0" w:color="auto"/>
            </w:tcBorders>
            <w:hideMark/>
          </w:tcPr>
          <w:p w14:paraId="1D8EF7B1" w14:textId="77777777" w:rsidR="008C18F0" w:rsidRPr="003E71AF" w:rsidRDefault="008C18F0" w:rsidP="00D102AA">
            <w:pPr>
              <w:spacing w:line="480" w:lineRule="auto"/>
              <w:rPr>
                <w:rFonts w:ascii="Arial" w:hAnsi="Arial" w:cs="Arial"/>
                <w:sz w:val="20"/>
                <w:szCs w:val="20"/>
              </w:rPr>
            </w:pPr>
          </w:p>
        </w:tc>
        <w:tc>
          <w:tcPr>
            <w:tcW w:w="1261" w:type="pct"/>
            <w:tcBorders>
              <w:top w:val="single" w:sz="4" w:space="0" w:color="auto"/>
            </w:tcBorders>
            <w:hideMark/>
          </w:tcPr>
          <w:p w14:paraId="10C100FE" w14:textId="77777777" w:rsidR="008C18F0" w:rsidRPr="003E71AF" w:rsidRDefault="008C18F0" w:rsidP="00D102AA">
            <w:pPr>
              <w:spacing w:line="480" w:lineRule="auto"/>
              <w:rPr>
                <w:rFonts w:ascii="Arial" w:hAnsi="Arial" w:cs="Arial"/>
                <w:sz w:val="20"/>
                <w:szCs w:val="20"/>
              </w:rPr>
            </w:pPr>
          </w:p>
        </w:tc>
      </w:tr>
      <w:tr w:rsidR="008C18F0" w:rsidRPr="003E71AF" w14:paraId="131F4EFD" w14:textId="77777777" w:rsidTr="00556C2C">
        <w:tc>
          <w:tcPr>
            <w:tcW w:w="2214" w:type="pct"/>
            <w:hideMark/>
          </w:tcPr>
          <w:p w14:paraId="2C5A144D"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Male</w:t>
            </w:r>
          </w:p>
        </w:tc>
        <w:tc>
          <w:tcPr>
            <w:tcW w:w="1526" w:type="pct"/>
            <w:hideMark/>
          </w:tcPr>
          <w:p w14:paraId="16C98C8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171</w:t>
            </w:r>
          </w:p>
        </w:tc>
        <w:tc>
          <w:tcPr>
            <w:tcW w:w="1261" w:type="pct"/>
            <w:hideMark/>
          </w:tcPr>
          <w:p w14:paraId="4D21574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55.04</w:t>
            </w:r>
          </w:p>
        </w:tc>
      </w:tr>
      <w:tr w:rsidR="008C18F0" w:rsidRPr="003E71AF" w14:paraId="2B6C3356" w14:textId="77777777" w:rsidTr="00556C2C">
        <w:tc>
          <w:tcPr>
            <w:tcW w:w="2214" w:type="pct"/>
            <w:hideMark/>
          </w:tcPr>
          <w:p w14:paraId="3325F8D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Female</w:t>
            </w:r>
          </w:p>
        </w:tc>
        <w:tc>
          <w:tcPr>
            <w:tcW w:w="1526" w:type="pct"/>
            <w:hideMark/>
          </w:tcPr>
          <w:p w14:paraId="52C8C5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158</w:t>
            </w:r>
          </w:p>
        </w:tc>
        <w:tc>
          <w:tcPr>
            <w:tcW w:w="1261" w:type="pct"/>
            <w:hideMark/>
          </w:tcPr>
          <w:p w14:paraId="7B41EE9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44.96</w:t>
            </w:r>
          </w:p>
        </w:tc>
      </w:tr>
      <w:tr w:rsidR="008C18F0" w:rsidRPr="003E71AF" w14:paraId="396D511E" w14:textId="77777777" w:rsidTr="00556C2C">
        <w:tc>
          <w:tcPr>
            <w:tcW w:w="2214" w:type="pct"/>
            <w:hideMark/>
          </w:tcPr>
          <w:p w14:paraId="70FA4188"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Age (years)</w:t>
            </w:r>
          </w:p>
        </w:tc>
        <w:tc>
          <w:tcPr>
            <w:tcW w:w="1526" w:type="pct"/>
            <w:hideMark/>
          </w:tcPr>
          <w:p w14:paraId="4BB0EFB3" w14:textId="77777777" w:rsidR="008C18F0" w:rsidRPr="003E71AF" w:rsidRDefault="008C18F0" w:rsidP="00D102AA">
            <w:pPr>
              <w:spacing w:line="480" w:lineRule="auto"/>
              <w:rPr>
                <w:rFonts w:ascii="Arial" w:hAnsi="Arial" w:cs="Arial"/>
                <w:sz w:val="20"/>
                <w:szCs w:val="20"/>
              </w:rPr>
            </w:pPr>
          </w:p>
        </w:tc>
        <w:tc>
          <w:tcPr>
            <w:tcW w:w="1261" w:type="pct"/>
            <w:hideMark/>
          </w:tcPr>
          <w:p w14:paraId="5DE87214" w14:textId="77777777" w:rsidR="008C18F0" w:rsidRPr="003E71AF" w:rsidRDefault="008C18F0" w:rsidP="00D102AA">
            <w:pPr>
              <w:spacing w:line="480" w:lineRule="auto"/>
              <w:rPr>
                <w:rFonts w:ascii="Arial" w:hAnsi="Arial" w:cs="Arial"/>
                <w:sz w:val="20"/>
                <w:szCs w:val="20"/>
              </w:rPr>
            </w:pPr>
          </w:p>
        </w:tc>
      </w:tr>
      <w:tr w:rsidR="008C18F0" w:rsidRPr="003E71AF" w14:paraId="48E546BE" w14:textId="77777777" w:rsidTr="00556C2C">
        <w:tc>
          <w:tcPr>
            <w:tcW w:w="2214" w:type="pct"/>
            <w:hideMark/>
          </w:tcPr>
          <w:p w14:paraId="31CDBC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18-24</w:t>
            </w:r>
          </w:p>
        </w:tc>
        <w:tc>
          <w:tcPr>
            <w:tcW w:w="1526" w:type="pct"/>
            <w:hideMark/>
          </w:tcPr>
          <w:p w14:paraId="3CBD85A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111</w:t>
            </w:r>
          </w:p>
        </w:tc>
        <w:tc>
          <w:tcPr>
            <w:tcW w:w="1261" w:type="pct"/>
            <w:hideMark/>
          </w:tcPr>
          <w:p w14:paraId="4DBC390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34.95</w:t>
            </w:r>
          </w:p>
        </w:tc>
      </w:tr>
      <w:tr w:rsidR="008C18F0" w:rsidRPr="003E71AF" w14:paraId="219F9C9A" w14:textId="77777777" w:rsidTr="00556C2C">
        <w:tc>
          <w:tcPr>
            <w:tcW w:w="2214" w:type="pct"/>
            <w:hideMark/>
          </w:tcPr>
          <w:p w14:paraId="1ED7C88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25-40</w:t>
            </w:r>
          </w:p>
        </w:tc>
        <w:tc>
          <w:tcPr>
            <w:tcW w:w="1526" w:type="pct"/>
            <w:hideMark/>
          </w:tcPr>
          <w:p w14:paraId="5733E2C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179</w:t>
            </w:r>
          </w:p>
        </w:tc>
        <w:tc>
          <w:tcPr>
            <w:tcW w:w="1261" w:type="pct"/>
            <w:hideMark/>
          </w:tcPr>
          <w:p w14:paraId="7C8F543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53.19</w:t>
            </w:r>
          </w:p>
        </w:tc>
      </w:tr>
      <w:tr w:rsidR="008C18F0" w:rsidRPr="003E71AF" w14:paraId="387ED01A" w14:textId="77777777" w:rsidTr="00556C2C">
        <w:tc>
          <w:tcPr>
            <w:tcW w:w="2214" w:type="pct"/>
            <w:hideMark/>
          </w:tcPr>
          <w:p w14:paraId="03477DE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41-55</w:t>
            </w:r>
          </w:p>
        </w:tc>
        <w:tc>
          <w:tcPr>
            <w:tcW w:w="1526" w:type="pct"/>
            <w:hideMark/>
          </w:tcPr>
          <w:p w14:paraId="68B635CC"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36</w:t>
            </w:r>
          </w:p>
        </w:tc>
        <w:tc>
          <w:tcPr>
            <w:tcW w:w="1261" w:type="pct"/>
            <w:hideMark/>
          </w:tcPr>
          <w:p w14:paraId="313AD15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10.94</w:t>
            </w:r>
          </w:p>
        </w:tc>
      </w:tr>
      <w:tr w:rsidR="008C18F0" w:rsidRPr="003E71AF" w14:paraId="2CE2B0A7" w14:textId="77777777" w:rsidTr="00556C2C">
        <w:tc>
          <w:tcPr>
            <w:tcW w:w="2214" w:type="pct"/>
            <w:hideMark/>
          </w:tcPr>
          <w:p w14:paraId="74023D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55-64</w:t>
            </w:r>
          </w:p>
        </w:tc>
        <w:tc>
          <w:tcPr>
            <w:tcW w:w="1526" w:type="pct"/>
            <w:hideMark/>
          </w:tcPr>
          <w:p w14:paraId="150AB35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w:t>
            </w:r>
          </w:p>
        </w:tc>
        <w:tc>
          <w:tcPr>
            <w:tcW w:w="1261" w:type="pct"/>
            <w:hideMark/>
          </w:tcPr>
          <w:p w14:paraId="568E51B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0.92</w:t>
            </w:r>
          </w:p>
        </w:tc>
      </w:tr>
      <w:tr w:rsidR="008C18F0" w:rsidRPr="003E71AF" w14:paraId="613A1538" w14:textId="77777777" w:rsidTr="00556C2C">
        <w:tc>
          <w:tcPr>
            <w:tcW w:w="2214" w:type="pct"/>
            <w:hideMark/>
          </w:tcPr>
          <w:p w14:paraId="0F9FCD3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Education Level</w:t>
            </w:r>
          </w:p>
        </w:tc>
        <w:tc>
          <w:tcPr>
            <w:tcW w:w="1526" w:type="pct"/>
            <w:hideMark/>
          </w:tcPr>
          <w:p w14:paraId="00906298" w14:textId="77777777" w:rsidR="008C18F0" w:rsidRPr="003E71AF" w:rsidRDefault="008C18F0" w:rsidP="00D102AA">
            <w:pPr>
              <w:spacing w:line="480" w:lineRule="auto"/>
              <w:rPr>
                <w:rFonts w:ascii="Arial" w:hAnsi="Arial" w:cs="Arial"/>
                <w:sz w:val="20"/>
                <w:szCs w:val="20"/>
              </w:rPr>
            </w:pPr>
          </w:p>
        </w:tc>
        <w:tc>
          <w:tcPr>
            <w:tcW w:w="1261" w:type="pct"/>
            <w:hideMark/>
          </w:tcPr>
          <w:p w14:paraId="3E2309C1" w14:textId="77777777" w:rsidR="008C18F0" w:rsidRPr="003E71AF" w:rsidRDefault="008C18F0" w:rsidP="00D102AA">
            <w:pPr>
              <w:spacing w:line="480" w:lineRule="auto"/>
              <w:rPr>
                <w:rFonts w:ascii="Arial" w:hAnsi="Arial" w:cs="Arial"/>
                <w:sz w:val="20"/>
                <w:szCs w:val="20"/>
              </w:rPr>
            </w:pPr>
          </w:p>
        </w:tc>
      </w:tr>
      <w:tr w:rsidR="008C18F0" w:rsidRPr="003E71AF" w14:paraId="184E9CA1" w14:textId="77777777" w:rsidTr="00556C2C">
        <w:tc>
          <w:tcPr>
            <w:tcW w:w="2214" w:type="pct"/>
            <w:hideMark/>
          </w:tcPr>
          <w:p w14:paraId="0C4CDE1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formal education</w:t>
            </w:r>
          </w:p>
        </w:tc>
        <w:tc>
          <w:tcPr>
            <w:tcW w:w="1526" w:type="pct"/>
            <w:hideMark/>
          </w:tcPr>
          <w:p w14:paraId="7BEFC1A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24</w:t>
            </w:r>
          </w:p>
        </w:tc>
        <w:tc>
          <w:tcPr>
            <w:tcW w:w="1261" w:type="pct"/>
            <w:hideMark/>
          </w:tcPr>
          <w:p w14:paraId="37E6476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7.60</w:t>
            </w:r>
          </w:p>
        </w:tc>
      </w:tr>
      <w:tr w:rsidR="008C18F0" w:rsidRPr="003E71AF" w14:paraId="5AF48A27" w14:textId="77777777" w:rsidTr="00556C2C">
        <w:tc>
          <w:tcPr>
            <w:tcW w:w="2214" w:type="pct"/>
            <w:hideMark/>
          </w:tcPr>
          <w:p w14:paraId="1ADB8E4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primary education</w:t>
            </w:r>
          </w:p>
        </w:tc>
        <w:tc>
          <w:tcPr>
            <w:tcW w:w="1526" w:type="pct"/>
            <w:hideMark/>
          </w:tcPr>
          <w:p w14:paraId="73EDFFB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138</w:t>
            </w:r>
          </w:p>
        </w:tc>
        <w:tc>
          <w:tcPr>
            <w:tcW w:w="1261" w:type="pct"/>
            <w:hideMark/>
          </w:tcPr>
          <w:p w14:paraId="0C7761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41.95</w:t>
            </w:r>
          </w:p>
        </w:tc>
      </w:tr>
      <w:tr w:rsidR="008C18F0" w:rsidRPr="003E71AF" w14:paraId="55A3C9DA" w14:textId="77777777" w:rsidTr="00556C2C">
        <w:tc>
          <w:tcPr>
            <w:tcW w:w="2214" w:type="pct"/>
            <w:hideMark/>
          </w:tcPr>
          <w:p w14:paraId="7264D7D3"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Completed secondary education</w:t>
            </w:r>
          </w:p>
        </w:tc>
        <w:tc>
          <w:tcPr>
            <w:tcW w:w="1526" w:type="pct"/>
            <w:hideMark/>
          </w:tcPr>
          <w:p w14:paraId="21B8BBC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145</w:t>
            </w:r>
          </w:p>
        </w:tc>
        <w:tc>
          <w:tcPr>
            <w:tcW w:w="1261" w:type="pct"/>
            <w:hideMark/>
          </w:tcPr>
          <w:p w14:paraId="470994F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43.77</w:t>
            </w:r>
          </w:p>
        </w:tc>
      </w:tr>
      <w:tr w:rsidR="008C18F0" w:rsidRPr="003E71AF" w14:paraId="6927E58D" w14:textId="77777777" w:rsidTr="00556C2C">
        <w:tc>
          <w:tcPr>
            <w:tcW w:w="2214" w:type="pct"/>
            <w:hideMark/>
          </w:tcPr>
          <w:p w14:paraId="0783840B"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College</w:t>
            </w:r>
          </w:p>
        </w:tc>
        <w:tc>
          <w:tcPr>
            <w:tcW w:w="1526" w:type="pct"/>
            <w:hideMark/>
          </w:tcPr>
          <w:p w14:paraId="5B6D574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w:t>
            </w:r>
          </w:p>
        </w:tc>
        <w:tc>
          <w:tcPr>
            <w:tcW w:w="1261" w:type="pct"/>
            <w:hideMark/>
          </w:tcPr>
          <w:p w14:paraId="0CBA7BB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6.68</w:t>
            </w:r>
          </w:p>
        </w:tc>
      </w:tr>
      <w:tr w:rsidR="008C18F0" w:rsidRPr="003E71AF" w14:paraId="0FED3D4D" w14:textId="77777777" w:rsidTr="00556C2C">
        <w:tc>
          <w:tcPr>
            <w:tcW w:w="2214" w:type="pct"/>
            <w:hideMark/>
          </w:tcPr>
          <w:p w14:paraId="3A9E518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University</w:t>
            </w:r>
          </w:p>
        </w:tc>
        <w:tc>
          <w:tcPr>
            <w:tcW w:w="1526" w:type="pct"/>
            <w:hideMark/>
          </w:tcPr>
          <w:p w14:paraId="66AA72D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c>
          <w:tcPr>
            <w:tcW w:w="1261" w:type="pct"/>
            <w:hideMark/>
          </w:tcPr>
          <w:p w14:paraId="3403C6C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0</w:t>
            </w:r>
          </w:p>
        </w:tc>
      </w:tr>
      <w:tr w:rsidR="008C18F0" w:rsidRPr="003E71AF" w14:paraId="2B207846" w14:textId="77777777" w:rsidTr="00556C2C">
        <w:tc>
          <w:tcPr>
            <w:tcW w:w="2214" w:type="pct"/>
            <w:hideMark/>
          </w:tcPr>
          <w:p w14:paraId="1B555C4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Business Ownership</w:t>
            </w:r>
          </w:p>
        </w:tc>
        <w:tc>
          <w:tcPr>
            <w:tcW w:w="1526" w:type="pct"/>
            <w:hideMark/>
          </w:tcPr>
          <w:p w14:paraId="34C12D0A" w14:textId="77777777" w:rsidR="008C18F0" w:rsidRPr="003E71AF" w:rsidRDefault="008C18F0" w:rsidP="00D102AA">
            <w:pPr>
              <w:spacing w:line="480" w:lineRule="auto"/>
              <w:rPr>
                <w:rFonts w:ascii="Arial" w:hAnsi="Arial" w:cs="Arial"/>
                <w:sz w:val="20"/>
                <w:szCs w:val="20"/>
              </w:rPr>
            </w:pPr>
          </w:p>
        </w:tc>
        <w:tc>
          <w:tcPr>
            <w:tcW w:w="1261" w:type="pct"/>
            <w:hideMark/>
          </w:tcPr>
          <w:p w14:paraId="71E9A309" w14:textId="77777777" w:rsidR="008C18F0" w:rsidRPr="003E71AF" w:rsidRDefault="008C18F0" w:rsidP="00D102AA">
            <w:pPr>
              <w:spacing w:line="480" w:lineRule="auto"/>
              <w:rPr>
                <w:rFonts w:ascii="Arial" w:hAnsi="Arial" w:cs="Arial"/>
                <w:sz w:val="20"/>
                <w:szCs w:val="20"/>
              </w:rPr>
            </w:pPr>
          </w:p>
        </w:tc>
      </w:tr>
      <w:tr w:rsidR="008C18F0" w:rsidRPr="003E71AF" w14:paraId="36BB344C" w14:textId="77777777" w:rsidTr="00556C2C">
        <w:tc>
          <w:tcPr>
            <w:tcW w:w="2214" w:type="pct"/>
            <w:hideMark/>
          </w:tcPr>
          <w:p w14:paraId="17B2CD67"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w:t>
            </w:r>
          </w:p>
        </w:tc>
        <w:tc>
          <w:tcPr>
            <w:tcW w:w="1526" w:type="pct"/>
            <w:hideMark/>
          </w:tcPr>
          <w:p w14:paraId="417EB63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212</w:t>
            </w:r>
          </w:p>
        </w:tc>
        <w:tc>
          <w:tcPr>
            <w:tcW w:w="1261" w:type="pct"/>
            <w:hideMark/>
          </w:tcPr>
          <w:p w14:paraId="352064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64.44</w:t>
            </w:r>
          </w:p>
        </w:tc>
      </w:tr>
      <w:tr w:rsidR="008C18F0" w:rsidRPr="003E71AF" w14:paraId="2B46C7D3" w14:textId="77777777" w:rsidTr="00556C2C">
        <w:tc>
          <w:tcPr>
            <w:tcW w:w="2214" w:type="pct"/>
            <w:hideMark/>
          </w:tcPr>
          <w:p w14:paraId="46D2263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w:t>
            </w:r>
          </w:p>
        </w:tc>
        <w:tc>
          <w:tcPr>
            <w:tcW w:w="1526" w:type="pct"/>
            <w:hideMark/>
          </w:tcPr>
          <w:p w14:paraId="071202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117</w:t>
            </w:r>
          </w:p>
        </w:tc>
        <w:tc>
          <w:tcPr>
            <w:tcW w:w="1261" w:type="pct"/>
            <w:hideMark/>
          </w:tcPr>
          <w:p w14:paraId="58EA302B"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35.56</w:t>
            </w:r>
          </w:p>
        </w:tc>
      </w:tr>
      <w:tr w:rsidR="008C18F0" w:rsidRPr="003E71AF" w14:paraId="69EAA3EA" w14:textId="77777777" w:rsidTr="00556C2C">
        <w:tc>
          <w:tcPr>
            <w:tcW w:w="2214" w:type="pct"/>
            <w:hideMark/>
          </w:tcPr>
          <w:p w14:paraId="556CBA33"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lastRenderedPageBreak/>
              <w:t>Selling Setup</w:t>
            </w:r>
          </w:p>
        </w:tc>
        <w:tc>
          <w:tcPr>
            <w:tcW w:w="1526" w:type="pct"/>
            <w:hideMark/>
          </w:tcPr>
          <w:p w14:paraId="47301A7B" w14:textId="77777777" w:rsidR="008C18F0" w:rsidRPr="003E71AF" w:rsidRDefault="008C18F0" w:rsidP="00D102AA">
            <w:pPr>
              <w:spacing w:line="480" w:lineRule="auto"/>
              <w:rPr>
                <w:rFonts w:ascii="Arial" w:hAnsi="Arial" w:cs="Arial"/>
                <w:sz w:val="20"/>
                <w:szCs w:val="20"/>
              </w:rPr>
            </w:pPr>
          </w:p>
        </w:tc>
        <w:tc>
          <w:tcPr>
            <w:tcW w:w="1261" w:type="pct"/>
            <w:hideMark/>
          </w:tcPr>
          <w:p w14:paraId="1B74C65D" w14:textId="77777777" w:rsidR="008C18F0" w:rsidRPr="003E71AF" w:rsidRDefault="008C18F0" w:rsidP="00D102AA">
            <w:pPr>
              <w:spacing w:line="480" w:lineRule="auto"/>
              <w:rPr>
                <w:rFonts w:ascii="Arial" w:hAnsi="Arial" w:cs="Arial"/>
                <w:sz w:val="20"/>
                <w:szCs w:val="20"/>
              </w:rPr>
            </w:pPr>
          </w:p>
        </w:tc>
      </w:tr>
      <w:tr w:rsidR="008C18F0" w:rsidRPr="003E71AF" w14:paraId="7D985646" w14:textId="77777777" w:rsidTr="00556C2C">
        <w:tc>
          <w:tcPr>
            <w:tcW w:w="2214" w:type="pct"/>
            <w:hideMark/>
          </w:tcPr>
          <w:p w14:paraId="699F48C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Street Vendor</w:t>
            </w:r>
          </w:p>
        </w:tc>
        <w:tc>
          <w:tcPr>
            <w:tcW w:w="1526" w:type="pct"/>
            <w:hideMark/>
          </w:tcPr>
          <w:p w14:paraId="1EB9104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175</w:t>
            </w:r>
          </w:p>
        </w:tc>
        <w:tc>
          <w:tcPr>
            <w:tcW w:w="1261" w:type="pct"/>
            <w:hideMark/>
          </w:tcPr>
          <w:p w14:paraId="3CB16C6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53.59</w:t>
            </w:r>
          </w:p>
        </w:tc>
      </w:tr>
      <w:tr w:rsidR="008C18F0" w:rsidRPr="003E71AF" w14:paraId="330D951D" w14:textId="77777777" w:rsidTr="00556C2C">
        <w:tc>
          <w:tcPr>
            <w:tcW w:w="2214" w:type="pct"/>
            <w:hideMark/>
          </w:tcPr>
          <w:p w14:paraId="5832B7B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Shop</w:t>
            </w:r>
          </w:p>
        </w:tc>
        <w:tc>
          <w:tcPr>
            <w:tcW w:w="1526" w:type="pct"/>
            <w:hideMark/>
          </w:tcPr>
          <w:p w14:paraId="2CBF8E5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88</w:t>
            </w:r>
          </w:p>
        </w:tc>
        <w:tc>
          <w:tcPr>
            <w:tcW w:w="1261" w:type="pct"/>
            <w:hideMark/>
          </w:tcPr>
          <w:p w14:paraId="4BC3D6A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26.74</w:t>
            </w:r>
          </w:p>
        </w:tc>
      </w:tr>
      <w:tr w:rsidR="008C18F0" w:rsidRPr="003E71AF" w14:paraId="3CE62FD9" w14:textId="77777777" w:rsidTr="00556C2C">
        <w:tc>
          <w:tcPr>
            <w:tcW w:w="2214" w:type="pct"/>
            <w:hideMark/>
          </w:tcPr>
          <w:p w14:paraId="2B1E3CF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Kiosk</w:t>
            </w:r>
          </w:p>
        </w:tc>
        <w:tc>
          <w:tcPr>
            <w:tcW w:w="1526" w:type="pct"/>
            <w:hideMark/>
          </w:tcPr>
          <w:p w14:paraId="4215E23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w:t>
            </w:r>
          </w:p>
        </w:tc>
        <w:tc>
          <w:tcPr>
            <w:tcW w:w="1261" w:type="pct"/>
            <w:hideMark/>
          </w:tcPr>
          <w:p w14:paraId="5C9435F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19.76</w:t>
            </w:r>
          </w:p>
        </w:tc>
      </w:tr>
      <w:tr w:rsidR="008C18F0" w:rsidRPr="003E71AF" w14:paraId="23D8AC46" w14:textId="77777777" w:rsidTr="00556C2C">
        <w:tc>
          <w:tcPr>
            <w:tcW w:w="2214" w:type="pct"/>
            <w:hideMark/>
          </w:tcPr>
          <w:p w14:paraId="65C674BE"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Years in Business</w:t>
            </w:r>
          </w:p>
        </w:tc>
        <w:tc>
          <w:tcPr>
            <w:tcW w:w="1526" w:type="pct"/>
            <w:hideMark/>
          </w:tcPr>
          <w:p w14:paraId="09797FDC" w14:textId="77777777" w:rsidR="008C18F0" w:rsidRPr="003E71AF" w:rsidRDefault="008C18F0" w:rsidP="00D102AA">
            <w:pPr>
              <w:spacing w:line="480" w:lineRule="auto"/>
              <w:rPr>
                <w:rFonts w:ascii="Arial" w:hAnsi="Arial" w:cs="Arial"/>
                <w:sz w:val="20"/>
                <w:szCs w:val="20"/>
              </w:rPr>
            </w:pPr>
          </w:p>
        </w:tc>
        <w:tc>
          <w:tcPr>
            <w:tcW w:w="1261" w:type="pct"/>
            <w:hideMark/>
          </w:tcPr>
          <w:p w14:paraId="152ABE71" w14:textId="77777777" w:rsidR="008C18F0" w:rsidRPr="003E71AF" w:rsidRDefault="008C18F0" w:rsidP="00D102AA">
            <w:pPr>
              <w:spacing w:line="480" w:lineRule="auto"/>
              <w:rPr>
                <w:rFonts w:ascii="Arial" w:hAnsi="Arial" w:cs="Arial"/>
                <w:sz w:val="20"/>
                <w:szCs w:val="20"/>
              </w:rPr>
            </w:pPr>
          </w:p>
        </w:tc>
      </w:tr>
      <w:tr w:rsidR="008C18F0" w:rsidRPr="003E71AF" w14:paraId="57CE465C" w14:textId="77777777" w:rsidTr="00556C2C">
        <w:tc>
          <w:tcPr>
            <w:tcW w:w="2214" w:type="pct"/>
            <w:hideMark/>
          </w:tcPr>
          <w:p w14:paraId="4A55CE40"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Less than a year</w:t>
            </w:r>
          </w:p>
        </w:tc>
        <w:tc>
          <w:tcPr>
            <w:tcW w:w="1526" w:type="pct"/>
            <w:hideMark/>
          </w:tcPr>
          <w:p w14:paraId="58D6386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57</w:t>
            </w:r>
          </w:p>
        </w:tc>
        <w:tc>
          <w:tcPr>
            <w:tcW w:w="1261" w:type="pct"/>
            <w:hideMark/>
          </w:tcPr>
          <w:p w14:paraId="2D3EA860"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17.63</w:t>
            </w:r>
          </w:p>
        </w:tc>
      </w:tr>
      <w:tr w:rsidR="008C18F0" w:rsidRPr="003E71AF" w14:paraId="79928B37" w14:textId="77777777" w:rsidTr="00556C2C">
        <w:tc>
          <w:tcPr>
            <w:tcW w:w="2214" w:type="pct"/>
            <w:hideMark/>
          </w:tcPr>
          <w:p w14:paraId="1F6E2F4F"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1-5 years</w:t>
            </w:r>
          </w:p>
        </w:tc>
        <w:tc>
          <w:tcPr>
            <w:tcW w:w="1526" w:type="pct"/>
            <w:hideMark/>
          </w:tcPr>
          <w:p w14:paraId="6119B5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211</w:t>
            </w:r>
          </w:p>
        </w:tc>
        <w:tc>
          <w:tcPr>
            <w:tcW w:w="1261" w:type="pct"/>
            <w:hideMark/>
          </w:tcPr>
          <w:p w14:paraId="32476FA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63.83</w:t>
            </w:r>
          </w:p>
        </w:tc>
      </w:tr>
      <w:tr w:rsidR="008C18F0" w:rsidRPr="003E71AF" w14:paraId="55592337" w14:textId="77777777" w:rsidTr="00556C2C">
        <w:tc>
          <w:tcPr>
            <w:tcW w:w="2214" w:type="pct"/>
            <w:hideMark/>
          </w:tcPr>
          <w:p w14:paraId="05F3B65E"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More than 5 years</w:t>
            </w:r>
          </w:p>
        </w:tc>
        <w:tc>
          <w:tcPr>
            <w:tcW w:w="1526" w:type="pct"/>
            <w:hideMark/>
          </w:tcPr>
          <w:p w14:paraId="71A7F18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61</w:t>
            </w:r>
          </w:p>
        </w:tc>
        <w:tc>
          <w:tcPr>
            <w:tcW w:w="1261" w:type="pct"/>
            <w:hideMark/>
          </w:tcPr>
          <w:p w14:paraId="52E925B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18.56</w:t>
            </w:r>
          </w:p>
        </w:tc>
      </w:tr>
    </w:tbl>
    <w:p w14:paraId="7B41B96C" w14:textId="77777777" w:rsidR="00D24CFD" w:rsidRPr="003E71AF" w:rsidRDefault="00D24CFD" w:rsidP="003E71AF">
      <w:pPr>
        <w:spacing w:line="240" w:lineRule="auto"/>
        <w:rPr>
          <w:rFonts w:ascii="Arial" w:hAnsi="Arial" w:cs="Arial"/>
          <w:sz w:val="20"/>
          <w:szCs w:val="20"/>
        </w:rPr>
      </w:pPr>
    </w:p>
    <w:p w14:paraId="0415A8D1" w14:textId="667D981F" w:rsidR="008C18F0" w:rsidRPr="003E71AF" w:rsidRDefault="008C18F0" w:rsidP="003E71AF">
      <w:pPr>
        <w:spacing w:after="0" w:line="240" w:lineRule="auto"/>
        <w:rPr>
          <w:rFonts w:ascii="Arial" w:hAnsi="Arial" w:cs="Arial"/>
          <w:b/>
          <w:bCs/>
          <w:sz w:val="20"/>
          <w:szCs w:val="20"/>
        </w:rPr>
      </w:pPr>
      <w:r w:rsidRPr="003E71AF">
        <w:rPr>
          <w:rFonts w:ascii="Arial" w:hAnsi="Arial" w:cs="Arial"/>
          <w:b/>
          <w:bCs/>
          <w:sz w:val="20"/>
          <w:szCs w:val="20"/>
        </w:rPr>
        <w:t>Soft Drink Storage Practices Among Retailers</w:t>
      </w:r>
    </w:p>
    <w:p w14:paraId="4DFA042F" w14:textId="2EE87D11" w:rsidR="008C18F0" w:rsidRPr="003E71AF" w:rsidRDefault="008C18F0"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Findings revealed that </w:t>
      </w:r>
      <w:r w:rsidR="00C0444A" w:rsidRPr="003E71AF">
        <w:rPr>
          <w:rFonts w:ascii="Arial" w:hAnsi="Arial" w:cs="Arial"/>
          <w:sz w:val="20"/>
          <w:szCs w:val="20"/>
        </w:rPr>
        <w:t>t</w:t>
      </w:r>
      <w:r w:rsidRPr="003E71AF">
        <w:rPr>
          <w:rFonts w:ascii="Arial" w:hAnsi="Arial" w:cs="Arial"/>
          <w:sz w:val="20"/>
          <w:szCs w:val="20"/>
        </w:rPr>
        <w:t>he most common storage method was using coolers with ice (65.35%), followed by refrigeration (22.8%). However, 11.85% of retailers exposed soft drinks directly to sunlight, particularly hawkers. Among those using coolers, only 34.89% regularly refilled ice, with 93.33% of them doing it once per day, primarily due to cost constraints (65.71%).</w:t>
      </w:r>
      <w:r w:rsidR="00565075" w:rsidRPr="003E71AF">
        <w:rPr>
          <w:rFonts w:ascii="Arial" w:eastAsia="Times New Roman" w:hAnsi="Arial" w:cs="Arial"/>
          <w:sz w:val="20"/>
          <w:szCs w:val="20"/>
        </w:rPr>
        <w:t xml:space="preserve"> For hawkers, drinks were left out in the sun for ninety</w:t>
      </w:r>
      <w:r w:rsidR="00565075" w:rsidRPr="003E71AF">
        <w:rPr>
          <w:rFonts w:ascii="Arial" w:eastAsia="Times New Roman" w:hAnsi="Arial" w:cs="Arial"/>
          <w:b/>
          <w:sz w:val="20"/>
          <w:szCs w:val="20"/>
        </w:rPr>
        <w:t xml:space="preserve"> </w:t>
      </w:r>
      <w:r w:rsidR="00565075" w:rsidRPr="003E71AF">
        <w:rPr>
          <w:rFonts w:ascii="Arial" w:eastAsia="Times New Roman" w:hAnsi="Arial" w:cs="Arial"/>
          <w:sz w:val="20"/>
          <w:szCs w:val="20"/>
        </w:rPr>
        <w:t>minutes by the majority (56.41%) before being refrigerated.</w:t>
      </w:r>
    </w:p>
    <w:p w14:paraId="2812D310" w14:textId="1A15CB36" w:rsidR="00565075" w:rsidRPr="003E71AF" w:rsidRDefault="00565075" w:rsidP="003E71AF">
      <w:pPr>
        <w:spacing w:line="240" w:lineRule="auto"/>
        <w:jc w:val="both"/>
        <w:rPr>
          <w:rFonts w:ascii="Arial" w:hAnsi="Arial" w:cs="Arial"/>
          <w:sz w:val="20"/>
          <w:szCs w:val="20"/>
        </w:rPr>
      </w:pPr>
      <w:r w:rsidRPr="003E71AF">
        <w:rPr>
          <w:rFonts w:ascii="Arial" w:eastAsia="Times New Roman" w:hAnsi="Arial" w:cs="Arial"/>
          <w:sz w:val="20"/>
          <w:szCs w:val="20"/>
        </w:rPr>
        <w:t>About 84.80% of respondents protected soft drinks from extreme temperatures and sunlight, and the most common methods mentioned were staying under tree canopy/ umbrella shade (51.97%).</w:t>
      </w:r>
    </w:p>
    <w:p w14:paraId="32123D32" w14:textId="05AFE136"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Transportation of soft drinks from wholesalers to retail locations was </w:t>
      </w:r>
      <w:r w:rsidR="00B3742F" w:rsidRPr="003E71AF">
        <w:rPr>
          <w:rFonts w:ascii="Arial" w:hAnsi="Arial" w:cs="Arial"/>
          <w:sz w:val="20"/>
          <w:szCs w:val="20"/>
        </w:rPr>
        <w:t>conducted</w:t>
      </w:r>
      <w:r w:rsidRPr="003E71AF">
        <w:rPr>
          <w:rFonts w:ascii="Arial" w:hAnsi="Arial" w:cs="Arial"/>
          <w:sz w:val="20"/>
          <w:szCs w:val="20"/>
        </w:rPr>
        <w:t xml:space="preserve"> via motorcycles (39.51%), three-wheeled vehicles (25.84%), and </w:t>
      </w:r>
      <w:r w:rsidR="00556C2C">
        <w:rPr>
          <w:rFonts w:ascii="Arial" w:hAnsi="Arial" w:cs="Arial"/>
          <w:sz w:val="20"/>
          <w:szCs w:val="20"/>
        </w:rPr>
        <w:t>auto rickshaw</w:t>
      </w:r>
      <w:r w:rsidRPr="003E71AF">
        <w:rPr>
          <w:rFonts w:ascii="Arial" w:hAnsi="Arial" w:cs="Arial"/>
          <w:sz w:val="20"/>
          <w:szCs w:val="20"/>
        </w:rPr>
        <w:t xml:space="preserve"> (15.2%), all of which provided minimal protection against heat exposure. Only 4.56% used public minibuses, which offered more shade.</w:t>
      </w:r>
      <w:r w:rsidR="00350F82" w:rsidRPr="003E71AF">
        <w:rPr>
          <w:rFonts w:ascii="Arial" w:hAnsi="Arial" w:cs="Arial"/>
          <w:sz w:val="20"/>
          <w:szCs w:val="20"/>
        </w:rPr>
        <w:t xml:space="preserve"> </w:t>
      </w:r>
    </w:p>
    <w:p w14:paraId="00C26DAD"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Table 2: Storage Practices Among Retailers</w:t>
      </w:r>
    </w:p>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2853"/>
        <w:gridCol w:w="2359"/>
      </w:tblGrid>
      <w:tr w:rsidR="008C18F0" w:rsidRPr="003E71AF" w14:paraId="0D45C688" w14:textId="77777777" w:rsidTr="00556C2C">
        <w:tc>
          <w:tcPr>
            <w:tcW w:w="2216" w:type="pct"/>
            <w:tcBorders>
              <w:top w:val="single" w:sz="4" w:space="0" w:color="auto"/>
              <w:bottom w:val="single" w:sz="4" w:space="0" w:color="auto"/>
            </w:tcBorders>
            <w:hideMark/>
          </w:tcPr>
          <w:p w14:paraId="3DF63667"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Storage Method</w:t>
            </w:r>
          </w:p>
        </w:tc>
        <w:tc>
          <w:tcPr>
            <w:tcW w:w="1524" w:type="pct"/>
            <w:tcBorders>
              <w:top w:val="single" w:sz="4" w:space="0" w:color="auto"/>
              <w:bottom w:val="single" w:sz="4" w:space="0" w:color="auto"/>
            </w:tcBorders>
            <w:hideMark/>
          </w:tcPr>
          <w:p w14:paraId="2991DBDF"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Frequency (n=329)</w:t>
            </w:r>
          </w:p>
        </w:tc>
        <w:tc>
          <w:tcPr>
            <w:tcW w:w="1260" w:type="pct"/>
            <w:tcBorders>
              <w:top w:val="single" w:sz="4" w:space="0" w:color="auto"/>
              <w:bottom w:val="single" w:sz="4" w:space="0" w:color="auto"/>
            </w:tcBorders>
            <w:hideMark/>
          </w:tcPr>
          <w:p w14:paraId="5BACBFC5" w14:textId="77777777" w:rsidR="008C18F0" w:rsidRPr="003E71AF" w:rsidRDefault="008C18F0" w:rsidP="00D102AA">
            <w:pPr>
              <w:spacing w:line="480" w:lineRule="auto"/>
              <w:rPr>
                <w:rFonts w:ascii="Arial" w:hAnsi="Arial" w:cs="Arial"/>
                <w:b/>
                <w:bCs/>
                <w:sz w:val="20"/>
                <w:szCs w:val="20"/>
              </w:rPr>
            </w:pPr>
            <w:r w:rsidRPr="003E71AF">
              <w:rPr>
                <w:rFonts w:ascii="Arial" w:hAnsi="Arial" w:cs="Arial"/>
                <w:b/>
                <w:bCs/>
                <w:sz w:val="20"/>
                <w:szCs w:val="20"/>
              </w:rPr>
              <w:t>Percentage (%)</w:t>
            </w:r>
          </w:p>
        </w:tc>
      </w:tr>
      <w:tr w:rsidR="008C18F0" w:rsidRPr="003E71AF" w14:paraId="350E22E6" w14:textId="77777777" w:rsidTr="00556C2C">
        <w:tc>
          <w:tcPr>
            <w:tcW w:w="2216" w:type="pct"/>
            <w:tcBorders>
              <w:top w:val="single" w:sz="4" w:space="0" w:color="auto"/>
            </w:tcBorders>
            <w:hideMark/>
          </w:tcPr>
          <w:p w14:paraId="48DDFA5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Storage Type</w:t>
            </w:r>
          </w:p>
        </w:tc>
        <w:tc>
          <w:tcPr>
            <w:tcW w:w="1524" w:type="pct"/>
            <w:tcBorders>
              <w:top w:val="single" w:sz="4" w:space="0" w:color="auto"/>
            </w:tcBorders>
            <w:hideMark/>
          </w:tcPr>
          <w:p w14:paraId="06D9B885" w14:textId="77777777" w:rsidR="008C18F0" w:rsidRPr="003E71AF" w:rsidRDefault="008C18F0" w:rsidP="00D102AA">
            <w:pPr>
              <w:spacing w:line="480" w:lineRule="auto"/>
              <w:rPr>
                <w:rFonts w:ascii="Arial" w:hAnsi="Arial" w:cs="Arial"/>
                <w:sz w:val="20"/>
                <w:szCs w:val="20"/>
              </w:rPr>
            </w:pPr>
          </w:p>
        </w:tc>
        <w:tc>
          <w:tcPr>
            <w:tcW w:w="1260" w:type="pct"/>
            <w:tcBorders>
              <w:top w:val="single" w:sz="4" w:space="0" w:color="auto"/>
            </w:tcBorders>
            <w:hideMark/>
          </w:tcPr>
          <w:p w14:paraId="698882C8" w14:textId="77777777" w:rsidR="008C18F0" w:rsidRPr="003E71AF" w:rsidRDefault="008C18F0" w:rsidP="00D102AA">
            <w:pPr>
              <w:spacing w:line="480" w:lineRule="auto"/>
              <w:rPr>
                <w:rFonts w:ascii="Arial" w:hAnsi="Arial" w:cs="Arial"/>
                <w:sz w:val="20"/>
                <w:szCs w:val="20"/>
              </w:rPr>
            </w:pPr>
          </w:p>
        </w:tc>
      </w:tr>
      <w:tr w:rsidR="008C18F0" w:rsidRPr="003E71AF" w14:paraId="0D0F26CA" w14:textId="77777777" w:rsidTr="00556C2C">
        <w:tc>
          <w:tcPr>
            <w:tcW w:w="2216" w:type="pct"/>
            <w:hideMark/>
          </w:tcPr>
          <w:p w14:paraId="7A5DAF23" w14:textId="2122390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Cooler with ice</w:t>
            </w:r>
            <w:r w:rsidR="00C0444A" w:rsidRPr="003E71AF">
              <w:rPr>
                <w:rFonts w:ascii="Arial" w:hAnsi="Arial" w:cs="Arial"/>
                <w:sz w:val="20"/>
                <w:szCs w:val="20"/>
              </w:rPr>
              <w:t xml:space="preserve"> (stall/kiosk)</w:t>
            </w:r>
          </w:p>
        </w:tc>
        <w:tc>
          <w:tcPr>
            <w:tcW w:w="1524" w:type="pct"/>
            <w:hideMark/>
          </w:tcPr>
          <w:p w14:paraId="7714CCE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215</w:t>
            </w:r>
          </w:p>
        </w:tc>
        <w:tc>
          <w:tcPr>
            <w:tcW w:w="1260" w:type="pct"/>
            <w:hideMark/>
          </w:tcPr>
          <w:p w14:paraId="74055EB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65.35</w:t>
            </w:r>
          </w:p>
        </w:tc>
      </w:tr>
      <w:tr w:rsidR="008C18F0" w:rsidRPr="003E71AF" w14:paraId="5E00556B" w14:textId="77777777" w:rsidTr="00556C2C">
        <w:tc>
          <w:tcPr>
            <w:tcW w:w="2216" w:type="pct"/>
            <w:hideMark/>
          </w:tcPr>
          <w:p w14:paraId="194FCF8E" w14:textId="3A922233"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Refrigerator</w:t>
            </w:r>
            <w:r w:rsidR="00C0444A" w:rsidRPr="003E71AF">
              <w:rPr>
                <w:rFonts w:ascii="Arial" w:hAnsi="Arial" w:cs="Arial"/>
                <w:sz w:val="20"/>
                <w:szCs w:val="20"/>
              </w:rPr>
              <w:t xml:space="preserve"> (kiosk/shop)</w:t>
            </w:r>
          </w:p>
        </w:tc>
        <w:tc>
          <w:tcPr>
            <w:tcW w:w="1524" w:type="pct"/>
            <w:hideMark/>
          </w:tcPr>
          <w:p w14:paraId="25DA2898"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3D5416E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22.8</w:t>
            </w:r>
          </w:p>
        </w:tc>
      </w:tr>
      <w:tr w:rsidR="008C18F0" w:rsidRPr="003E71AF" w14:paraId="38F3BC89" w14:textId="77777777" w:rsidTr="00556C2C">
        <w:tc>
          <w:tcPr>
            <w:tcW w:w="2216" w:type="pct"/>
            <w:hideMark/>
          </w:tcPr>
          <w:p w14:paraId="4DD9C31C" w14:textId="315123DF"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Exposed to sunlight</w:t>
            </w:r>
            <w:r w:rsidR="00C0444A" w:rsidRPr="003E71AF">
              <w:rPr>
                <w:rFonts w:ascii="Arial" w:hAnsi="Arial" w:cs="Arial"/>
                <w:sz w:val="20"/>
                <w:szCs w:val="20"/>
              </w:rPr>
              <w:t xml:space="preserve"> (hawker)</w:t>
            </w:r>
          </w:p>
        </w:tc>
        <w:tc>
          <w:tcPr>
            <w:tcW w:w="1524" w:type="pct"/>
            <w:hideMark/>
          </w:tcPr>
          <w:p w14:paraId="361EEFD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w:t>
            </w:r>
          </w:p>
        </w:tc>
        <w:tc>
          <w:tcPr>
            <w:tcW w:w="1260" w:type="pct"/>
            <w:hideMark/>
          </w:tcPr>
          <w:p w14:paraId="5BE345A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11.85</w:t>
            </w:r>
          </w:p>
        </w:tc>
      </w:tr>
      <w:tr w:rsidR="008C18F0" w:rsidRPr="003E71AF" w14:paraId="18BABDB2" w14:textId="77777777" w:rsidTr="00556C2C">
        <w:tc>
          <w:tcPr>
            <w:tcW w:w="2216" w:type="pct"/>
            <w:hideMark/>
          </w:tcPr>
          <w:p w14:paraId="79949554"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Ice Refilling Practices</w:t>
            </w:r>
          </w:p>
        </w:tc>
        <w:tc>
          <w:tcPr>
            <w:tcW w:w="1524" w:type="pct"/>
            <w:hideMark/>
          </w:tcPr>
          <w:p w14:paraId="5431B53F" w14:textId="77777777" w:rsidR="008C18F0" w:rsidRPr="003E71AF" w:rsidRDefault="008C18F0" w:rsidP="00D102AA">
            <w:pPr>
              <w:spacing w:line="480" w:lineRule="auto"/>
              <w:rPr>
                <w:rFonts w:ascii="Arial" w:hAnsi="Arial" w:cs="Arial"/>
                <w:sz w:val="20"/>
                <w:szCs w:val="20"/>
              </w:rPr>
            </w:pPr>
          </w:p>
        </w:tc>
        <w:tc>
          <w:tcPr>
            <w:tcW w:w="1260" w:type="pct"/>
            <w:hideMark/>
          </w:tcPr>
          <w:p w14:paraId="120303F0" w14:textId="77777777" w:rsidR="008C18F0" w:rsidRPr="003E71AF" w:rsidRDefault="008C18F0" w:rsidP="00D102AA">
            <w:pPr>
              <w:spacing w:line="480" w:lineRule="auto"/>
              <w:rPr>
                <w:rFonts w:ascii="Arial" w:hAnsi="Arial" w:cs="Arial"/>
                <w:sz w:val="20"/>
                <w:szCs w:val="20"/>
              </w:rPr>
            </w:pPr>
          </w:p>
        </w:tc>
      </w:tr>
      <w:tr w:rsidR="008C18F0" w:rsidRPr="003E71AF" w14:paraId="0FAB39EF" w14:textId="77777777" w:rsidTr="00556C2C">
        <w:tc>
          <w:tcPr>
            <w:tcW w:w="2216" w:type="pct"/>
            <w:hideMark/>
          </w:tcPr>
          <w:p w14:paraId="4F0C0F4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Yes, refilling ice</w:t>
            </w:r>
          </w:p>
        </w:tc>
        <w:tc>
          <w:tcPr>
            <w:tcW w:w="1524" w:type="pct"/>
            <w:hideMark/>
          </w:tcPr>
          <w:p w14:paraId="1CB3312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75</w:t>
            </w:r>
          </w:p>
        </w:tc>
        <w:tc>
          <w:tcPr>
            <w:tcW w:w="1260" w:type="pct"/>
            <w:hideMark/>
          </w:tcPr>
          <w:p w14:paraId="2171392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34.89</w:t>
            </w:r>
          </w:p>
        </w:tc>
      </w:tr>
      <w:tr w:rsidR="008C18F0" w:rsidRPr="003E71AF" w14:paraId="6DC46D20" w14:textId="77777777" w:rsidTr="00556C2C">
        <w:tc>
          <w:tcPr>
            <w:tcW w:w="2216" w:type="pct"/>
            <w:hideMark/>
          </w:tcPr>
          <w:p w14:paraId="36DA3D59"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No, not refilling ice</w:t>
            </w:r>
          </w:p>
        </w:tc>
        <w:tc>
          <w:tcPr>
            <w:tcW w:w="1524" w:type="pct"/>
            <w:hideMark/>
          </w:tcPr>
          <w:p w14:paraId="6D7049A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140</w:t>
            </w:r>
          </w:p>
        </w:tc>
        <w:tc>
          <w:tcPr>
            <w:tcW w:w="1260" w:type="pct"/>
            <w:hideMark/>
          </w:tcPr>
          <w:p w14:paraId="07C6B96E"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65.11</w:t>
            </w:r>
          </w:p>
        </w:tc>
      </w:tr>
      <w:tr w:rsidR="008C18F0" w:rsidRPr="003E71AF" w14:paraId="6581C8B8" w14:textId="77777777" w:rsidTr="00556C2C">
        <w:tc>
          <w:tcPr>
            <w:tcW w:w="2216" w:type="pct"/>
            <w:hideMark/>
          </w:tcPr>
          <w:p w14:paraId="239B5F5C" w14:textId="339F9032" w:rsidR="008C18F0" w:rsidRPr="003E71AF" w:rsidRDefault="00C0444A" w:rsidP="00D102AA">
            <w:pPr>
              <w:spacing w:line="480" w:lineRule="auto"/>
              <w:rPr>
                <w:rFonts w:ascii="Arial" w:hAnsi="Arial" w:cs="Arial"/>
                <w:b/>
                <w:sz w:val="20"/>
                <w:szCs w:val="20"/>
              </w:rPr>
            </w:pPr>
            <w:r w:rsidRPr="003E71AF">
              <w:rPr>
                <w:rFonts w:ascii="Arial" w:hAnsi="Arial" w:cs="Arial"/>
                <w:b/>
                <w:sz w:val="20"/>
                <w:szCs w:val="20"/>
              </w:rPr>
              <w:t>Frequency of Ice Filling</w:t>
            </w:r>
          </w:p>
        </w:tc>
        <w:tc>
          <w:tcPr>
            <w:tcW w:w="1524" w:type="pct"/>
            <w:hideMark/>
          </w:tcPr>
          <w:p w14:paraId="1AA61448" w14:textId="77777777" w:rsidR="008C18F0" w:rsidRPr="003E71AF" w:rsidRDefault="008C18F0" w:rsidP="00D102AA">
            <w:pPr>
              <w:spacing w:line="480" w:lineRule="auto"/>
              <w:rPr>
                <w:rFonts w:ascii="Arial" w:hAnsi="Arial" w:cs="Arial"/>
                <w:sz w:val="20"/>
                <w:szCs w:val="20"/>
              </w:rPr>
            </w:pPr>
          </w:p>
        </w:tc>
        <w:tc>
          <w:tcPr>
            <w:tcW w:w="1260" w:type="pct"/>
            <w:hideMark/>
          </w:tcPr>
          <w:p w14:paraId="7064C90C" w14:textId="77777777" w:rsidR="008C18F0" w:rsidRPr="003E71AF" w:rsidRDefault="008C18F0" w:rsidP="00D102AA">
            <w:pPr>
              <w:spacing w:line="480" w:lineRule="auto"/>
              <w:rPr>
                <w:rFonts w:ascii="Arial" w:hAnsi="Arial" w:cs="Arial"/>
                <w:sz w:val="20"/>
                <w:szCs w:val="20"/>
              </w:rPr>
            </w:pPr>
          </w:p>
        </w:tc>
      </w:tr>
      <w:tr w:rsidR="00C0444A" w:rsidRPr="003E71AF" w14:paraId="54C7CA30" w14:textId="77777777" w:rsidTr="00556C2C">
        <w:tc>
          <w:tcPr>
            <w:tcW w:w="2216" w:type="pct"/>
          </w:tcPr>
          <w:p w14:paraId="5C624630" w14:textId="0080565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 xml:space="preserve">    Once</w:t>
            </w:r>
          </w:p>
        </w:tc>
        <w:tc>
          <w:tcPr>
            <w:tcW w:w="1524" w:type="pct"/>
          </w:tcPr>
          <w:p w14:paraId="412B832B" w14:textId="58787361"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70</w:t>
            </w:r>
          </w:p>
        </w:tc>
        <w:tc>
          <w:tcPr>
            <w:tcW w:w="1260" w:type="pct"/>
          </w:tcPr>
          <w:p w14:paraId="3D53D965" w14:textId="4D269B78"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93.33</w:t>
            </w:r>
          </w:p>
        </w:tc>
      </w:tr>
      <w:tr w:rsidR="00C0444A" w:rsidRPr="003E71AF" w14:paraId="1F971F99" w14:textId="77777777" w:rsidTr="00556C2C">
        <w:tc>
          <w:tcPr>
            <w:tcW w:w="2216" w:type="pct"/>
          </w:tcPr>
          <w:p w14:paraId="69A75A35" w14:textId="4214FD23"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lastRenderedPageBreak/>
              <w:t xml:space="preserve">    Twice</w:t>
            </w:r>
          </w:p>
        </w:tc>
        <w:tc>
          <w:tcPr>
            <w:tcW w:w="1524" w:type="pct"/>
          </w:tcPr>
          <w:p w14:paraId="543C8615" w14:textId="0F8C54E4"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5</w:t>
            </w:r>
          </w:p>
        </w:tc>
        <w:tc>
          <w:tcPr>
            <w:tcW w:w="1260" w:type="pct"/>
          </w:tcPr>
          <w:p w14:paraId="30F0C3DF" w14:textId="6BDC8EA7" w:rsidR="00C0444A" w:rsidRPr="003E71AF" w:rsidRDefault="00C0444A" w:rsidP="00D102AA">
            <w:pPr>
              <w:spacing w:line="480" w:lineRule="auto"/>
              <w:rPr>
                <w:rFonts w:ascii="Arial" w:hAnsi="Arial" w:cs="Arial"/>
                <w:sz w:val="20"/>
                <w:szCs w:val="20"/>
              </w:rPr>
            </w:pPr>
            <w:r w:rsidRPr="003E71AF">
              <w:rPr>
                <w:rFonts w:ascii="Arial" w:hAnsi="Arial" w:cs="Arial"/>
                <w:sz w:val="20"/>
                <w:szCs w:val="20"/>
              </w:rPr>
              <w:t>6.67</w:t>
            </w:r>
          </w:p>
        </w:tc>
      </w:tr>
      <w:tr w:rsidR="00C0444A" w:rsidRPr="003E71AF" w14:paraId="27F80929" w14:textId="77777777" w:rsidTr="00556C2C">
        <w:tc>
          <w:tcPr>
            <w:tcW w:w="2216" w:type="pct"/>
          </w:tcPr>
          <w:p w14:paraId="00B00880" w14:textId="70BD972F" w:rsidR="00C0444A" w:rsidRPr="003E71AF" w:rsidRDefault="00C0444A" w:rsidP="00D102AA">
            <w:pPr>
              <w:spacing w:line="480" w:lineRule="auto"/>
              <w:rPr>
                <w:rFonts w:ascii="Arial" w:hAnsi="Arial" w:cs="Arial"/>
                <w:b/>
                <w:bCs/>
                <w:sz w:val="20"/>
                <w:szCs w:val="20"/>
              </w:rPr>
            </w:pPr>
            <w:r w:rsidRPr="003E71AF">
              <w:rPr>
                <w:rFonts w:ascii="Arial" w:hAnsi="Arial" w:cs="Arial"/>
                <w:b/>
                <w:bCs/>
                <w:sz w:val="20"/>
                <w:szCs w:val="20"/>
              </w:rPr>
              <w:t>Reasons for Not Refilling Ice</w:t>
            </w:r>
          </w:p>
        </w:tc>
        <w:tc>
          <w:tcPr>
            <w:tcW w:w="1524" w:type="pct"/>
          </w:tcPr>
          <w:p w14:paraId="7C42B478" w14:textId="77777777" w:rsidR="00C0444A" w:rsidRPr="003E71AF" w:rsidRDefault="00C0444A" w:rsidP="00D102AA">
            <w:pPr>
              <w:spacing w:line="480" w:lineRule="auto"/>
              <w:rPr>
                <w:rFonts w:ascii="Arial" w:hAnsi="Arial" w:cs="Arial"/>
                <w:sz w:val="20"/>
                <w:szCs w:val="20"/>
              </w:rPr>
            </w:pPr>
          </w:p>
        </w:tc>
        <w:tc>
          <w:tcPr>
            <w:tcW w:w="1260" w:type="pct"/>
          </w:tcPr>
          <w:p w14:paraId="2612529D" w14:textId="77777777" w:rsidR="00C0444A" w:rsidRPr="003E71AF" w:rsidRDefault="00C0444A" w:rsidP="00D102AA">
            <w:pPr>
              <w:spacing w:line="480" w:lineRule="auto"/>
              <w:rPr>
                <w:rFonts w:ascii="Arial" w:hAnsi="Arial" w:cs="Arial"/>
                <w:sz w:val="20"/>
                <w:szCs w:val="20"/>
              </w:rPr>
            </w:pPr>
          </w:p>
        </w:tc>
      </w:tr>
      <w:tr w:rsidR="008C18F0" w:rsidRPr="003E71AF" w14:paraId="29CA5FEC" w14:textId="77777777" w:rsidTr="00556C2C">
        <w:tc>
          <w:tcPr>
            <w:tcW w:w="2216" w:type="pct"/>
            <w:hideMark/>
          </w:tcPr>
          <w:p w14:paraId="3EFE2252"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Cost</w:t>
            </w:r>
          </w:p>
        </w:tc>
        <w:tc>
          <w:tcPr>
            <w:tcW w:w="1524" w:type="pct"/>
            <w:hideMark/>
          </w:tcPr>
          <w:p w14:paraId="367777B6"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92</w:t>
            </w:r>
          </w:p>
        </w:tc>
        <w:tc>
          <w:tcPr>
            <w:tcW w:w="1260" w:type="pct"/>
            <w:hideMark/>
          </w:tcPr>
          <w:p w14:paraId="20384561"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65.71</w:t>
            </w:r>
          </w:p>
        </w:tc>
      </w:tr>
      <w:tr w:rsidR="008C18F0" w:rsidRPr="003E71AF" w14:paraId="28CED0C5" w14:textId="77777777" w:rsidTr="00556C2C">
        <w:tc>
          <w:tcPr>
            <w:tcW w:w="2216" w:type="pct"/>
            <w:hideMark/>
          </w:tcPr>
          <w:p w14:paraId="53CEB7BA"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Drinks remain cold enough</w:t>
            </w:r>
          </w:p>
        </w:tc>
        <w:tc>
          <w:tcPr>
            <w:tcW w:w="1524" w:type="pct"/>
            <w:hideMark/>
          </w:tcPr>
          <w:p w14:paraId="3C6B2FFD"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48</w:t>
            </w:r>
          </w:p>
        </w:tc>
        <w:tc>
          <w:tcPr>
            <w:tcW w:w="1260" w:type="pct"/>
            <w:hideMark/>
          </w:tcPr>
          <w:p w14:paraId="771CD972"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34.29</w:t>
            </w:r>
          </w:p>
        </w:tc>
      </w:tr>
      <w:tr w:rsidR="00C0444A" w:rsidRPr="003E71AF" w14:paraId="38111A3B" w14:textId="77777777" w:rsidTr="00556C2C">
        <w:tc>
          <w:tcPr>
            <w:tcW w:w="2216" w:type="pct"/>
          </w:tcPr>
          <w:p w14:paraId="5A8978FC" w14:textId="18781FA5" w:rsidR="00C0444A" w:rsidRPr="003E71AF" w:rsidRDefault="00C0444A" w:rsidP="00D102AA">
            <w:pPr>
              <w:spacing w:line="480" w:lineRule="auto"/>
              <w:jc w:val="both"/>
              <w:rPr>
                <w:rFonts w:ascii="Arial" w:hAnsi="Arial" w:cs="Arial"/>
                <w:b/>
                <w:sz w:val="20"/>
                <w:szCs w:val="20"/>
              </w:rPr>
            </w:pPr>
            <w:r w:rsidRPr="003E71AF">
              <w:rPr>
                <w:rFonts w:ascii="Arial" w:hAnsi="Arial" w:cs="Arial"/>
                <w:b/>
                <w:sz w:val="20"/>
                <w:szCs w:val="20"/>
              </w:rPr>
              <w:t>Time for Direct Exposure to Sunlight</w:t>
            </w:r>
          </w:p>
        </w:tc>
        <w:tc>
          <w:tcPr>
            <w:tcW w:w="1524" w:type="pct"/>
          </w:tcPr>
          <w:p w14:paraId="66F33862" w14:textId="77777777" w:rsidR="00C0444A" w:rsidRPr="003E71AF" w:rsidRDefault="00C0444A" w:rsidP="00D102AA">
            <w:pPr>
              <w:spacing w:line="480" w:lineRule="auto"/>
              <w:rPr>
                <w:rFonts w:ascii="Arial" w:hAnsi="Arial" w:cs="Arial"/>
                <w:sz w:val="20"/>
                <w:szCs w:val="20"/>
              </w:rPr>
            </w:pPr>
          </w:p>
        </w:tc>
        <w:tc>
          <w:tcPr>
            <w:tcW w:w="1260" w:type="pct"/>
          </w:tcPr>
          <w:p w14:paraId="1BC6E377" w14:textId="77777777" w:rsidR="00C0444A" w:rsidRPr="003E71AF" w:rsidRDefault="00C0444A" w:rsidP="00D102AA">
            <w:pPr>
              <w:spacing w:line="480" w:lineRule="auto"/>
              <w:rPr>
                <w:rFonts w:ascii="Arial" w:hAnsi="Arial" w:cs="Arial"/>
                <w:sz w:val="20"/>
                <w:szCs w:val="20"/>
              </w:rPr>
            </w:pPr>
          </w:p>
        </w:tc>
      </w:tr>
      <w:tr w:rsidR="00C0444A" w:rsidRPr="003E71AF" w14:paraId="5859DAE8" w14:textId="77777777" w:rsidTr="00556C2C">
        <w:tc>
          <w:tcPr>
            <w:tcW w:w="2216" w:type="pct"/>
          </w:tcPr>
          <w:p w14:paraId="59AB62C3" w14:textId="05745C28" w:rsidR="00C0444A" w:rsidRPr="003E71AF" w:rsidRDefault="00C0444A" w:rsidP="00D102AA">
            <w:pPr>
              <w:spacing w:line="480" w:lineRule="auto"/>
              <w:ind w:left="342"/>
              <w:rPr>
                <w:rFonts w:ascii="Arial" w:hAnsi="Arial" w:cs="Arial"/>
                <w:sz w:val="20"/>
                <w:szCs w:val="20"/>
              </w:rPr>
            </w:pPr>
            <w:r w:rsidRPr="003E71AF">
              <w:rPr>
                <w:rFonts w:ascii="Arial" w:hAnsi="Arial" w:cs="Arial"/>
                <w:sz w:val="20"/>
                <w:szCs w:val="20"/>
              </w:rPr>
              <w:t>30 minutes</w:t>
            </w:r>
          </w:p>
        </w:tc>
        <w:tc>
          <w:tcPr>
            <w:tcW w:w="1524" w:type="pct"/>
          </w:tcPr>
          <w:p w14:paraId="1EF8C303" w14:textId="13F64879"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485DFA58" w14:textId="6530C102" w:rsidR="00C0444A" w:rsidRPr="003E71AF" w:rsidRDefault="0030008D" w:rsidP="00D102AA">
            <w:pPr>
              <w:spacing w:line="480" w:lineRule="auto"/>
              <w:rPr>
                <w:rFonts w:ascii="Arial" w:hAnsi="Arial" w:cs="Arial"/>
                <w:sz w:val="20"/>
                <w:szCs w:val="20"/>
              </w:rPr>
            </w:pPr>
            <w:r w:rsidRPr="003E71AF">
              <w:rPr>
                <w:rFonts w:ascii="Arial" w:hAnsi="Arial" w:cs="Arial"/>
                <w:sz w:val="20"/>
                <w:szCs w:val="20"/>
              </w:rPr>
              <w:t>20.51</w:t>
            </w:r>
          </w:p>
        </w:tc>
      </w:tr>
      <w:tr w:rsidR="0030008D" w:rsidRPr="003E71AF" w14:paraId="5C8624DE" w14:textId="77777777" w:rsidTr="00556C2C">
        <w:tc>
          <w:tcPr>
            <w:tcW w:w="2216" w:type="pct"/>
          </w:tcPr>
          <w:p w14:paraId="2A50F76F" w14:textId="1735716E"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60 minutes</w:t>
            </w:r>
          </w:p>
        </w:tc>
        <w:tc>
          <w:tcPr>
            <w:tcW w:w="1524" w:type="pct"/>
          </w:tcPr>
          <w:p w14:paraId="7F31282D" w14:textId="08276C3F"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9</w:t>
            </w:r>
          </w:p>
        </w:tc>
        <w:tc>
          <w:tcPr>
            <w:tcW w:w="1260" w:type="pct"/>
          </w:tcPr>
          <w:p w14:paraId="1BDF31CC" w14:textId="65C57E6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23.08</w:t>
            </w:r>
          </w:p>
        </w:tc>
      </w:tr>
      <w:tr w:rsidR="0030008D" w:rsidRPr="003E71AF" w14:paraId="26C2AC2C" w14:textId="77777777" w:rsidTr="00556C2C">
        <w:tc>
          <w:tcPr>
            <w:tcW w:w="2216" w:type="pct"/>
          </w:tcPr>
          <w:p w14:paraId="22C4D038" w14:textId="181EEC0A"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90 minutes</w:t>
            </w:r>
          </w:p>
        </w:tc>
        <w:tc>
          <w:tcPr>
            <w:tcW w:w="1524" w:type="pct"/>
          </w:tcPr>
          <w:p w14:paraId="7374B48E" w14:textId="5417AF1A"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22</w:t>
            </w:r>
          </w:p>
        </w:tc>
        <w:tc>
          <w:tcPr>
            <w:tcW w:w="1260" w:type="pct"/>
          </w:tcPr>
          <w:p w14:paraId="5F3F9EF9" w14:textId="6BA279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56.41</w:t>
            </w:r>
          </w:p>
        </w:tc>
      </w:tr>
      <w:tr w:rsidR="0030008D" w:rsidRPr="003E71AF" w14:paraId="006FA559" w14:textId="77777777" w:rsidTr="00556C2C">
        <w:tc>
          <w:tcPr>
            <w:tcW w:w="2216" w:type="pct"/>
          </w:tcPr>
          <w:p w14:paraId="1C533696" w14:textId="3955F652"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from Extreme Temperatures</w:t>
            </w:r>
          </w:p>
        </w:tc>
        <w:tc>
          <w:tcPr>
            <w:tcW w:w="1524" w:type="pct"/>
          </w:tcPr>
          <w:p w14:paraId="3F61CF91" w14:textId="77777777" w:rsidR="0030008D" w:rsidRPr="003E71AF" w:rsidRDefault="0030008D" w:rsidP="00D102AA">
            <w:pPr>
              <w:spacing w:line="480" w:lineRule="auto"/>
              <w:rPr>
                <w:rFonts w:ascii="Arial" w:hAnsi="Arial" w:cs="Arial"/>
                <w:sz w:val="20"/>
                <w:szCs w:val="20"/>
              </w:rPr>
            </w:pPr>
          </w:p>
        </w:tc>
        <w:tc>
          <w:tcPr>
            <w:tcW w:w="1260" w:type="pct"/>
          </w:tcPr>
          <w:p w14:paraId="2664B48F" w14:textId="77777777" w:rsidR="0030008D" w:rsidRPr="003E71AF" w:rsidRDefault="0030008D" w:rsidP="00D102AA">
            <w:pPr>
              <w:spacing w:line="480" w:lineRule="auto"/>
              <w:rPr>
                <w:rFonts w:ascii="Arial" w:hAnsi="Arial" w:cs="Arial"/>
                <w:sz w:val="20"/>
                <w:szCs w:val="20"/>
              </w:rPr>
            </w:pPr>
          </w:p>
        </w:tc>
      </w:tr>
      <w:tr w:rsidR="0030008D" w:rsidRPr="003E71AF" w14:paraId="5DEB7265" w14:textId="77777777" w:rsidTr="00556C2C">
        <w:tc>
          <w:tcPr>
            <w:tcW w:w="2216" w:type="pct"/>
          </w:tcPr>
          <w:p w14:paraId="1FF51374" w14:textId="2866B465"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Yes, doing protection</w:t>
            </w:r>
          </w:p>
        </w:tc>
        <w:tc>
          <w:tcPr>
            <w:tcW w:w="1524" w:type="pct"/>
          </w:tcPr>
          <w:p w14:paraId="17F819C4" w14:textId="20E07A6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279</w:t>
            </w:r>
          </w:p>
        </w:tc>
        <w:tc>
          <w:tcPr>
            <w:tcW w:w="1260" w:type="pct"/>
          </w:tcPr>
          <w:p w14:paraId="240138C4" w14:textId="15878856"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84.8</w:t>
            </w:r>
          </w:p>
        </w:tc>
      </w:tr>
      <w:tr w:rsidR="0030008D" w:rsidRPr="003E71AF" w14:paraId="1B02FF64" w14:textId="77777777" w:rsidTr="00556C2C">
        <w:tc>
          <w:tcPr>
            <w:tcW w:w="2216" w:type="pct"/>
          </w:tcPr>
          <w:p w14:paraId="57887557" w14:textId="6BD7AEAD"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No, not doing protection</w:t>
            </w:r>
          </w:p>
        </w:tc>
        <w:tc>
          <w:tcPr>
            <w:tcW w:w="1524" w:type="pct"/>
          </w:tcPr>
          <w:p w14:paraId="290A72D5" w14:textId="60EDBE53"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50</w:t>
            </w:r>
          </w:p>
        </w:tc>
        <w:tc>
          <w:tcPr>
            <w:tcW w:w="1260" w:type="pct"/>
          </w:tcPr>
          <w:p w14:paraId="10E42242" w14:textId="3F05A01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15.12</w:t>
            </w:r>
          </w:p>
        </w:tc>
      </w:tr>
      <w:tr w:rsidR="0030008D" w:rsidRPr="003E71AF" w14:paraId="00107BE4" w14:textId="77777777" w:rsidTr="00556C2C">
        <w:tc>
          <w:tcPr>
            <w:tcW w:w="2216" w:type="pct"/>
          </w:tcPr>
          <w:p w14:paraId="5BEEF11F" w14:textId="7BFBE644" w:rsidR="0030008D" w:rsidRPr="003E71AF" w:rsidRDefault="0030008D" w:rsidP="00D102AA">
            <w:pPr>
              <w:spacing w:line="480" w:lineRule="auto"/>
              <w:rPr>
                <w:rFonts w:ascii="Arial" w:hAnsi="Arial" w:cs="Arial"/>
                <w:b/>
                <w:sz w:val="20"/>
                <w:szCs w:val="20"/>
              </w:rPr>
            </w:pPr>
            <w:r w:rsidRPr="003E71AF">
              <w:rPr>
                <w:rFonts w:ascii="Arial" w:hAnsi="Arial" w:cs="Arial"/>
                <w:b/>
                <w:sz w:val="20"/>
                <w:szCs w:val="20"/>
              </w:rPr>
              <w:t>Protection Method</w:t>
            </w:r>
          </w:p>
        </w:tc>
        <w:tc>
          <w:tcPr>
            <w:tcW w:w="1524" w:type="pct"/>
          </w:tcPr>
          <w:p w14:paraId="78A51EFB" w14:textId="77777777" w:rsidR="0030008D" w:rsidRPr="003E71AF" w:rsidRDefault="0030008D" w:rsidP="00D102AA">
            <w:pPr>
              <w:spacing w:line="480" w:lineRule="auto"/>
              <w:rPr>
                <w:rFonts w:ascii="Arial" w:hAnsi="Arial" w:cs="Arial"/>
                <w:sz w:val="20"/>
                <w:szCs w:val="20"/>
              </w:rPr>
            </w:pPr>
          </w:p>
        </w:tc>
        <w:tc>
          <w:tcPr>
            <w:tcW w:w="1260" w:type="pct"/>
          </w:tcPr>
          <w:p w14:paraId="71A27286" w14:textId="77777777" w:rsidR="0030008D" w:rsidRPr="003E71AF" w:rsidRDefault="0030008D" w:rsidP="00D102AA">
            <w:pPr>
              <w:spacing w:line="480" w:lineRule="auto"/>
              <w:rPr>
                <w:rFonts w:ascii="Arial" w:hAnsi="Arial" w:cs="Arial"/>
                <w:sz w:val="20"/>
                <w:szCs w:val="20"/>
              </w:rPr>
            </w:pPr>
          </w:p>
        </w:tc>
      </w:tr>
      <w:tr w:rsidR="0030008D" w:rsidRPr="003E71AF" w14:paraId="54E6B5AC" w14:textId="77777777" w:rsidTr="00556C2C">
        <w:tc>
          <w:tcPr>
            <w:tcW w:w="2216" w:type="pct"/>
          </w:tcPr>
          <w:p w14:paraId="24A92476" w14:textId="55979B5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Sell under shade</w:t>
            </w:r>
          </w:p>
        </w:tc>
        <w:tc>
          <w:tcPr>
            <w:tcW w:w="1524" w:type="pct"/>
          </w:tcPr>
          <w:p w14:paraId="07E898D0" w14:textId="5DE6932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145</w:t>
            </w:r>
          </w:p>
        </w:tc>
        <w:tc>
          <w:tcPr>
            <w:tcW w:w="1260" w:type="pct"/>
          </w:tcPr>
          <w:p w14:paraId="013B2428" w14:textId="63E1C67D"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51.97</w:t>
            </w:r>
          </w:p>
        </w:tc>
      </w:tr>
      <w:tr w:rsidR="0030008D" w:rsidRPr="003E71AF" w14:paraId="37C8E2CE" w14:textId="77777777" w:rsidTr="00556C2C">
        <w:tc>
          <w:tcPr>
            <w:tcW w:w="2216" w:type="pct"/>
          </w:tcPr>
          <w:p w14:paraId="3A5AC265" w14:textId="16A54F4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Keep in coolers</w:t>
            </w:r>
          </w:p>
        </w:tc>
        <w:tc>
          <w:tcPr>
            <w:tcW w:w="1524" w:type="pct"/>
          </w:tcPr>
          <w:p w14:paraId="46E0654C" w14:textId="505BD52B"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112</w:t>
            </w:r>
          </w:p>
        </w:tc>
        <w:tc>
          <w:tcPr>
            <w:tcW w:w="1260" w:type="pct"/>
          </w:tcPr>
          <w:p w14:paraId="299AEED3" w14:textId="02028C37"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40.14</w:t>
            </w:r>
          </w:p>
        </w:tc>
      </w:tr>
      <w:tr w:rsidR="0030008D" w:rsidRPr="003E71AF" w14:paraId="13378DA8" w14:textId="77777777" w:rsidTr="00556C2C">
        <w:tc>
          <w:tcPr>
            <w:tcW w:w="2216" w:type="pct"/>
          </w:tcPr>
          <w:p w14:paraId="13579E57" w14:textId="56A56A30"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Refrigerate</w:t>
            </w:r>
          </w:p>
        </w:tc>
        <w:tc>
          <w:tcPr>
            <w:tcW w:w="1524" w:type="pct"/>
          </w:tcPr>
          <w:p w14:paraId="236238D0" w14:textId="0BAD031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65</w:t>
            </w:r>
          </w:p>
        </w:tc>
        <w:tc>
          <w:tcPr>
            <w:tcW w:w="1260" w:type="pct"/>
          </w:tcPr>
          <w:p w14:paraId="0A2A48CD" w14:textId="65B76851"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23.30</w:t>
            </w:r>
          </w:p>
        </w:tc>
      </w:tr>
      <w:tr w:rsidR="0030008D" w:rsidRPr="003E71AF" w14:paraId="028C1C28" w14:textId="77777777" w:rsidTr="00556C2C">
        <w:tc>
          <w:tcPr>
            <w:tcW w:w="2216" w:type="pct"/>
          </w:tcPr>
          <w:p w14:paraId="1F587564" w14:textId="3AB434C6"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Cover with nylon</w:t>
            </w:r>
          </w:p>
        </w:tc>
        <w:tc>
          <w:tcPr>
            <w:tcW w:w="1524" w:type="pct"/>
          </w:tcPr>
          <w:p w14:paraId="1F9C3959" w14:textId="3E40AF5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20</w:t>
            </w:r>
          </w:p>
        </w:tc>
        <w:tc>
          <w:tcPr>
            <w:tcW w:w="1260" w:type="pct"/>
          </w:tcPr>
          <w:p w14:paraId="4750D1C4" w14:textId="12819F92"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7.17</w:t>
            </w:r>
          </w:p>
        </w:tc>
      </w:tr>
      <w:tr w:rsidR="0030008D" w:rsidRPr="003E71AF" w14:paraId="01E182C0" w14:textId="77777777" w:rsidTr="00556C2C">
        <w:tc>
          <w:tcPr>
            <w:tcW w:w="2216" w:type="pct"/>
          </w:tcPr>
          <w:p w14:paraId="671FC54C" w14:textId="21247EC8" w:rsidR="0030008D" w:rsidRPr="003E71AF" w:rsidRDefault="0030008D" w:rsidP="00D102AA">
            <w:pPr>
              <w:spacing w:line="480" w:lineRule="auto"/>
              <w:ind w:left="342"/>
              <w:rPr>
                <w:rFonts w:ascii="Arial" w:hAnsi="Arial" w:cs="Arial"/>
                <w:sz w:val="20"/>
                <w:szCs w:val="20"/>
              </w:rPr>
            </w:pPr>
            <w:r w:rsidRPr="003E71AF">
              <w:rPr>
                <w:rFonts w:ascii="Arial" w:hAnsi="Arial" w:cs="Arial"/>
                <w:sz w:val="20"/>
                <w:szCs w:val="20"/>
              </w:rPr>
              <w:t>Cool indoor heat with a fan</w:t>
            </w:r>
          </w:p>
        </w:tc>
        <w:tc>
          <w:tcPr>
            <w:tcW w:w="1524" w:type="pct"/>
          </w:tcPr>
          <w:p w14:paraId="48E0F051" w14:textId="2D8BC645"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8</w:t>
            </w:r>
          </w:p>
        </w:tc>
        <w:tc>
          <w:tcPr>
            <w:tcW w:w="1260" w:type="pct"/>
          </w:tcPr>
          <w:p w14:paraId="787028FE" w14:textId="26D36CC9" w:rsidR="0030008D" w:rsidRPr="003E71AF" w:rsidRDefault="0030008D" w:rsidP="00D102AA">
            <w:pPr>
              <w:spacing w:line="480" w:lineRule="auto"/>
              <w:rPr>
                <w:rFonts w:ascii="Arial" w:hAnsi="Arial" w:cs="Arial"/>
                <w:sz w:val="20"/>
                <w:szCs w:val="20"/>
              </w:rPr>
            </w:pPr>
            <w:r w:rsidRPr="003E71AF">
              <w:rPr>
                <w:rFonts w:ascii="Arial" w:hAnsi="Arial" w:cs="Arial"/>
                <w:sz w:val="20"/>
                <w:szCs w:val="20"/>
              </w:rPr>
              <w:t>2.87</w:t>
            </w:r>
          </w:p>
        </w:tc>
      </w:tr>
      <w:tr w:rsidR="008C18F0" w:rsidRPr="003E71AF" w14:paraId="3C3DCDCB" w14:textId="77777777" w:rsidTr="00556C2C">
        <w:tc>
          <w:tcPr>
            <w:tcW w:w="2216" w:type="pct"/>
            <w:hideMark/>
          </w:tcPr>
          <w:p w14:paraId="212BCDD7" w14:textId="77777777" w:rsidR="008C18F0" w:rsidRPr="003E71AF" w:rsidRDefault="008C18F0" w:rsidP="00D102AA">
            <w:pPr>
              <w:spacing w:line="480" w:lineRule="auto"/>
              <w:rPr>
                <w:rFonts w:ascii="Arial" w:hAnsi="Arial" w:cs="Arial"/>
                <w:sz w:val="20"/>
                <w:szCs w:val="20"/>
              </w:rPr>
            </w:pPr>
            <w:r w:rsidRPr="003E71AF">
              <w:rPr>
                <w:rFonts w:ascii="Arial" w:hAnsi="Arial" w:cs="Arial"/>
                <w:b/>
                <w:bCs/>
                <w:sz w:val="20"/>
                <w:szCs w:val="20"/>
              </w:rPr>
              <w:t>Transportation Method</w:t>
            </w:r>
          </w:p>
        </w:tc>
        <w:tc>
          <w:tcPr>
            <w:tcW w:w="1524" w:type="pct"/>
            <w:hideMark/>
          </w:tcPr>
          <w:p w14:paraId="28847465" w14:textId="77777777" w:rsidR="008C18F0" w:rsidRPr="003E71AF" w:rsidRDefault="008C18F0" w:rsidP="00D102AA">
            <w:pPr>
              <w:spacing w:line="480" w:lineRule="auto"/>
              <w:rPr>
                <w:rFonts w:ascii="Arial" w:hAnsi="Arial" w:cs="Arial"/>
                <w:sz w:val="20"/>
                <w:szCs w:val="20"/>
              </w:rPr>
            </w:pPr>
          </w:p>
        </w:tc>
        <w:tc>
          <w:tcPr>
            <w:tcW w:w="1260" w:type="pct"/>
            <w:hideMark/>
          </w:tcPr>
          <w:p w14:paraId="7C71FE82" w14:textId="77777777" w:rsidR="008C18F0" w:rsidRPr="003E71AF" w:rsidRDefault="008C18F0" w:rsidP="00D102AA">
            <w:pPr>
              <w:spacing w:line="480" w:lineRule="auto"/>
              <w:rPr>
                <w:rFonts w:ascii="Arial" w:hAnsi="Arial" w:cs="Arial"/>
                <w:sz w:val="20"/>
                <w:szCs w:val="20"/>
              </w:rPr>
            </w:pPr>
          </w:p>
        </w:tc>
      </w:tr>
      <w:tr w:rsidR="008C18F0" w:rsidRPr="003E71AF" w14:paraId="21FD4B64" w14:textId="77777777" w:rsidTr="00556C2C">
        <w:tc>
          <w:tcPr>
            <w:tcW w:w="2216" w:type="pct"/>
            <w:hideMark/>
          </w:tcPr>
          <w:p w14:paraId="2A0CB54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Motorcycle</w:t>
            </w:r>
          </w:p>
        </w:tc>
        <w:tc>
          <w:tcPr>
            <w:tcW w:w="1524" w:type="pct"/>
            <w:hideMark/>
          </w:tcPr>
          <w:p w14:paraId="4493E233"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130</w:t>
            </w:r>
          </w:p>
        </w:tc>
        <w:tc>
          <w:tcPr>
            <w:tcW w:w="1260" w:type="pct"/>
            <w:hideMark/>
          </w:tcPr>
          <w:p w14:paraId="7859A434"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39.51</w:t>
            </w:r>
          </w:p>
        </w:tc>
      </w:tr>
      <w:tr w:rsidR="008C18F0" w:rsidRPr="003E71AF" w14:paraId="3134573F" w14:textId="77777777" w:rsidTr="00556C2C">
        <w:tc>
          <w:tcPr>
            <w:tcW w:w="2216" w:type="pct"/>
            <w:hideMark/>
          </w:tcPr>
          <w:p w14:paraId="0D41EF68"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Three-wheeled vehicle (</w:t>
            </w:r>
            <w:proofErr w:type="spellStart"/>
            <w:r w:rsidRPr="003E71AF">
              <w:rPr>
                <w:rFonts w:ascii="Arial" w:hAnsi="Arial" w:cs="Arial"/>
                <w:sz w:val="20"/>
                <w:szCs w:val="20"/>
              </w:rPr>
              <w:t>toyo</w:t>
            </w:r>
            <w:proofErr w:type="spellEnd"/>
            <w:r w:rsidRPr="003E71AF">
              <w:rPr>
                <w:rFonts w:ascii="Arial" w:hAnsi="Arial" w:cs="Arial"/>
                <w:sz w:val="20"/>
                <w:szCs w:val="20"/>
              </w:rPr>
              <w:t>)</w:t>
            </w:r>
          </w:p>
        </w:tc>
        <w:tc>
          <w:tcPr>
            <w:tcW w:w="1524" w:type="pct"/>
            <w:hideMark/>
          </w:tcPr>
          <w:p w14:paraId="358A2579"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85</w:t>
            </w:r>
          </w:p>
        </w:tc>
        <w:tc>
          <w:tcPr>
            <w:tcW w:w="1260" w:type="pct"/>
            <w:hideMark/>
          </w:tcPr>
          <w:p w14:paraId="0FCC71BF"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25.84</w:t>
            </w:r>
          </w:p>
        </w:tc>
      </w:tr>
      <w:tr w:rsidR="008C18F0" w:rsidRPr="003E71AF" w14:paraId="0687BDC5" w14:textId="77777777" w:rsidTr="00556C2C">
        <w:tc>
          <w:tcPr>
            <w:tcW w:w="2216" w:type="pct"/>
            <w:hideMark/>
          </w:tcPr>
          <w:p w14:paraId="4003E1D4"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Auto rickshaw (</w:t>
            </w:r>
            <w:proofErr w:type="spellStart"/>
            <w:r w:rsidRPr="003E71AF">
              <w:rPr>
                <w:rFonts w:ascii="Arial" w:hAnsi="Arial" w:cs="Arial"/>
                <w:sz w:val="20"/>
                <w:szCs w:val="20"/>
              </w:rPr>
              <w:t>bajaji</w:t>
            </w:r>
            <w:proofErr w:type="spellEnd"/>
            <w:r w:rsidRPr="003E71AF">
              <w:rPr>
                <w:rFonts w:ascii="Arial" w:hAnsi="Arial" w:cs="Arial"/>
                <w:sz w:val="20"/>
                <w:szCs w:val="20"/>
              </w:rPr>
              <w:t>)</w:t>
            </w:r>
          </w:p>
        </w:tc>
        <w:tc>
          <w:tcPr>
            <w:tcW w:w="1524" w:type="pct"/>
            <w:hideMark/>
          </w:tcPr>
          <w:p w14:paraId="6FFB68F7"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50</w:t>
            </w:r>
          </w:p>
        </w:tc>
        <w:tc>
          <w:tcPr>
            <w:tcW w:w="1260" w:type="pct"/>
            <w:hideMark/>
          </w:tcPr>
          <w:p w14:paraId="1AF6BB9A"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15.2</w:t>
            </w:r>
          </w:p>
        </w:tc>
      </w:tr>
      <w:tr w:rsidR="008C18F0" w:rsidRPr="003E71AF" w14:paraId="3C982308" w14:textId="77777777" w:rsidTr="00556C2C">
        <w:tc>
          <w:tcPr>
            <w:tcW w:w="2216" w:type="pct"/>
            <w:hideMark/>
          </w:tcPr>
          <w:p w14:paraId="2087D23C" w14:textId="77777777" w:rsidR="008C18F0" w:rsidRPr="003E71AF" w:rsidRDefault="008C18F0" w:rsidP="00D102AA">
            <w:pPr>
              <w:spacing w:line="480" w:lineRule="auto"/>
              <w:ind w:left="342"/>
              <w:rPr>
                <w:rFonts w:ascii="Arial" w:hAnsi="Arial" w:cs="Arial"/>
                <w:sz w:val="20"/>
                <w:szCs w:val="20"/>
              </w:rPr>
            </w:pPr>
            <w:r w:rsidRPr="003E71AF">
              <w:rPr>
                <w:rFonts w:ascii="Arial" w:hAnsi="Arial" w:cs="Arial"/>
                <w:sz w:val="20"/>
                <w:szCs w:val="20"/>
              </w:rPr>
              <w:t>Public minibus</w:t>
            </w:r>
          </w:p>
        </w:tc>
        <w:tc>
          <w:tcPr>
            <w:tcW w:w="1524" w:type="pct"/>
            <w:hideMark/>
          </w:tcPr>
          <w:p w14:paraId="15990CF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15</w:t>
            </w:r>
          </w:p>
        </w:tc>
        <w:tc>
          <w:tcPr>
            <w:tcW w:w="1260" w:type="pct"/>
            <w:hideMark/>
          </w:tcPr>
          <w:p w14:paraId="2B92DF95" w14:textId="77777777" w:rsidR="008C18F0" w:rsidRPr="003E71AF" w:rsidRDefault="008C18F0" w:rsidP="00D102AA">
            <w:pPr>
              <w:spacing w:line="480" w:lineRule="auto"/>
              <w:rPr>
                <w:rFonts w:ascii="Arial" w:hAnsi="Arial" w:cs="Arial"/>
                <w:sz w:val="20"/>
                <w:szCs w:val="20"/>
              </w:rPr>
            </w:pPr>
            <w:r w:rsidRPr="003E71AF">
              <w:rPr>
                <w:rFonts w:ascii="Arial" w:hAnsi="Arial" w:cs="Arial"/>
                <w:sz w:val="20"/>
                <w:szCs w:val="20"/>
              </w:rPr>
              <w:t>4.56</w:t>
            </w:r>
          </w:p>
        </w:tc>
      </w:tr>
    </w:tbl>
    <w:p w14:paraId="6D85A02D" w14:textId="0AB51552" w:rsidR="00C0444A" w:rsidRPr="003E71AF" w:rsidRDefault="00C0444A" w:rsidP="00D102AA">
      <w:pPr>
        <w:spacing w:line="480" w:lineRule="auto"/>
        <w:rPr>
          <w:rFonts w:ascii="Arial" w:hAnsi="Arial" w:cs="Arial"/>
          <w:sz w:val="20"/>
          <w:szCs w:val="20"/>
        </w:rPr>
      </w:pPr>
    </w:p>
    <w:p w14:paraId="41E965A1" w14:textId="77777777" w:rsidR="00C25629" w:rsidRPr="003E71AF" w:rsidRDefault="00C25629" w:rsidP="003E71AF">
      <w:pPr>
        <w:spacing w:line="240" w:lineRule="auto"/>
        <w:rPr>
          <w:rFonts w:ascii="Arial" w:hAnsi="Arial" w:cs="Arial"/>
          <w:b/>
          <w:bCs/>
          <w:sz w:val="20"/>
          <w:szCs w:val="20"/>
        </w:rPr>
      </w:pPr>
      <w:r w:rsidRPr="003E71AF">
        <w:rPr>
          <w:rFonts w:ascii="Arial" w:hAnsi="Arial" w:cs="Arial"/>
          <w:b/>
          <w:bCs/>
          <w:sz w:val="20"/>
          <w:szCs w:val="20"/>
        </w:rPr>
        <w:t>Retail Purchasing and Selling Practices</w:t>
      </w:r>
    </w:p>
    <w:p w14:paraId="66C40D9A" w14:textId="572FE27B" w:rsidR="00727592" w:rsidRPr="003E71AF" w:rsidRDefault="00C25629" w:rsidP="003E71AF">
      <w:pPr>
        <w:spacing w:line="240" w:lineRule="auto"/>
        <w:rPr>
          <w:rFonts w:ascii="Arial" w:hAnsi="Arial" w:cs="Arial"/>
          <w:sz w:val="20"/>
          <w:szCs w:val="20"/>
        </w:rPr>
      </w:pPr>
      <w:r w:rsidRPr="003E71AF">
        <w:rPr>
          <w:rFonts w:ascii="Arial" w:hAnsi="Arial" w:cs="Arial"/>
          <w:sz w:val="20"/>
          <w:szCs w:val="20"/>
        </w:rPr>
        <w:t>Most retailers (</w:t>
      </w:r>
      <w:r w:rsidRPr="003E71AF">
        <w:rPr>
          <w:rFonts w:ascii="Arial" w:eastAsia="Times New Roman" w:hAnsi="Arial" w:cs="Arial"/>
          <w:sz w:val="20"/>
          <w:szCs w:val="20"/>
        </w:rPr>
        <w:t>73.56</w:t>
      </w:r>
      <w:r w:rsidRPr="003E71AF">
        <w:rPr>
          <w:rFonts w:ascii="Arial" w:hAnsi="Arial" w:cs="Arial"/>
          <w:sz w:val="20"/>
          <w:szCs w:val="20"/>
        </w:rPr>
        <w:t xml:space="preserve">%) bought soft drinks from wholesalers and over half (61.09%) of them restocked on a daily basis. </w:t>
      </w:r>
      <w:r w:rsidRPr="003E71AF">
        <w:rPr>
          <w:rFonts w:ascii="Arial" w:hAnsi="Arial" w:cs="Arial"/>
          <w:b/>
          <w:bCs/>
          <w:sz w:val="20"/>
          <w:szCs w:val="20"/>
        </w:rPr>
        <w:t xml:space="preserve"> </w:t>
      </w:r>
      <w:r w:rsidRPr="003E71AF">
        <w:rPr>
          <w:rFonts w:ascii="Arial" w:hAnsi="Arial" w:cs="Arial"/>
          <w:sz w:val="20"/>
          <w:szCs w:val="20"/>
        </w:rPr>
        <w:t>Majority of the retailers (91.49%) started selling soft drinks in the morning, with the sales peaked in the afternoon at 58.97%</w:t>
      </w:r>
      <w:r w:rsidR="00727592" w:rsidRPr="003E71AF">
        <w:rPr>
          <w:rFonts w:ascii="Arial" w:hAnsi="Arial" w:cs="Arial"/>
          <w:sz w:val="20"/>
          <w:szCs w:val="20"/>
        </w:rPr>
        <w:t xml:space="preserve"> followed by 31.91% in the afternoon, 7.60% and 1.52% in the morning and evening respectively.</w:t>
      </w:r>
    </w:p>
    <w:p w14:paraId="7088F5BB" w14:textId="77777777" w:rsidR="000F5D42" w:rsidRDefault="000F5D42" w:rsidP="003E71AF">
      <w:pPr>
        <w:spacing w:line="240" w:lineRule="auto"/>
        <w:rPr>
          <w:rFonts w:ascii="Arial" w:hAnsi="Arial" w:cs="Arial"/>
          <w:b/>
          <w:bCs/>
          <w:sz w:val="20"/>
          <w:szCs w:val="20"/>
        </w:rPr>
      </w:pPr>
    </w:p>
    <w:p w14:paraId="3C2A30BF" w14:textId="77777777" w:rsidR="000F5D42" w:rsidRDefault="000F5D42" w:rsidP="003E71AF">
      <w:pPr>
        <w:spacing w:line="240" w:lineRule="auto"/>
        <w:rPr>
          <w:rFonts w:ascii="Arial" w:hAnsi="Arial" w:cs="Arial"/>
          <w:b/>
          <w:bCs/>
          <w:sz w:val="20"/>
          <w:szCs w:val="20"/>
        </w:rPr>
      </w:pPr>
    </w:p>
    <w:p w14:paraId="3A55D763" w14:textId="16545414"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lastRenderedPageBreak/>
        <w:t>Knowledge of Soft Drink Storage Guidelines and Health Risks</w:t>
      </w:r>
    </w:p>
    <w:p w14:paraId="1FCC54D1" w14:textId="726FA9FC" w:rsidR="00F55443" w:rsidRPr="003E71AF" w:rsidRDefault="007339E9"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Majority (80.55%) of the retailers opted refrigeration as the best way for storing soft drinks, with </w:t>
      </w:r>
      <w:r w:rsidRPr="003E71AF">
        <w:rPr>
          <w:rFonts w:ascii="Arial" w:hAnsi="Arial" w:cs="Arial"/>
          <w:sz w:val="20"/>
          <w:szCs w:val="20"/>
        </w:rPr>
        <w:t xml:space="preserve">customers’ preference for cold drinks reported as the primary reason in this decision (93.80%). </w:t>
      </w:r>
      <w:r w:rsidR="008C18F0" w:rsidRPr="003E71AF">
        <w:rPr>
          <w:rFonts w:ascii="Arial" w:hAnsi="Arial" w:cs="Arial"/>
          <w:sz w:val="20"/>
          <w:szCs w:val="20"/>
        </w:rPr>
        <w:t xml:space="preserve">Only </w:t>
      </w:r>
      <w:r w:rsidR="00F55443" w:rsidRPr="00785E2A">
        <w:rPr>
          <w:rFonts w:ascii="Arial" w:hAnsi="Arial" w:cs="Arial"/>
          <w:sz w:val="20"/>
          <w:szCs w:val="20"/>
        </w:rPr>
        <w:t>2.74</w:t>
      </w:r>
      <w:r w:rsidR="008C18F0" w:rsidRPr="00785E2A">
        <w:rPr>
          <w:rFonts w:ascii="Arial" w:hAnsi="Arial" w:cs="Arial"/>
          <w:sz w:val="20"/>
          <w:szCs w:val="20"/>
        </w:rPr>
        <w:t xml:space="preserve">% of respondents were aware of any storage guidelines provided by </w:t>
      </w:r>
      <w:r w:rsidR="00727592" w:rsidRPr="00785E2A">
        <w:rPr>
          <w:rFonts w:ascii="Arial" w:hAnsi="Arial" w:cs="Arial"/>
          <w:sz w:val="20"/>
          <w:szCs w:val="20"/>
        </w:rPr>
        <w:t xml:space="preserve">Coca-Cola supplier for keeping drinks away </w:t>
      </w:r>
      <w:r w:rsidR="00727592" w:rsidRPr="003E71AF">
        <w:rPr>
          <w:rFonts w:ascii="Arial" w:hAnsi="Arial" w:cs="Arial"/>
          <w:sz w:val="20"/>
          <w:szCs w:val="20"/>
        </w:rPr>
        <w:t>from direct sunlight</w:t>
      </w:r>
      <w:r w:rsidR="008C18F0" w:rsidRPr="003E71AF">
        <w:rPr>
          <w:rFonts w:ascii="Arial" w:hAnsi="Arial" w:cs="Arial"/>
          <w:sz w:val="20"/>
          <w:szCs w:val="20"/>
        </w:rPr>
        <w:t xml:space="preserve">, and none of the retailers (0%) knew of any </w:t>
      </w:r>
      <w:r w:rsidR="009500CF" w:rsidRPr="003E71AF">
        <w:rPr>
          <w:rFonts w:ascii="Arial" w:hAnsi="Arial" w:cs="Arial"/>
          <w:sz w:val="20"/>
          <w:szCs w:val="20"/>
        </w:rPr>
        <w:t xml:space="preserve">formal </w:t>
      </w:r>
      <w:r w:rsidR="008C18F0" w:rsidRPr="003E71AF">
        <w:rPr>
          <w:rFonts w:ascii="Arial" w:hAnsi="Arial" w:cs="Arial"/>
          <w:sz w:val="20"/>
          <w:szCs w:val="20"/>
        </w:rPr>
        <w:t xml:space="preserve">government regulations on soft drink storage. The majority (73.25%) were unaware of the ingredients in soft drinks, and </w:t>
      </w:r>
      <w:r w:rsidR="00F55443" w:rsidRPr="003E71AF">
        <w:rPr>
          <w:rFonts w:ascii="Arial" w:hAnsi="Arial" w:cs="Arial"/>
          <w:sz w:val="20"/>
          <w:szCs w:val="20"/>
        </w:rPr>
        <w:t xml:space="preserve">almost </w:t>
      </w:r>
      <w:r w:rsidR="000B6E90" w:rsidRPr="003E71AF">
        <w:rPr>
          <w:rFonts w:ascii="Arial" w:hAnsi="Arial" w:cs="Arial"/>
          <w:sz w:val="20"/>
          <w:szCs w:val="20"/>
        </w:rPr>
        <w:t>all</w:t>
      </w:r>
      <w:r w:rsidR="008C18F0" w:rsidRPr="003E71AF">
        <w:rPr>
          <w:rFonts w:ascii="Arial" w:hAnsi="Arial" w:cs="Arial"/>
          <w:sz w:val="20"/>
          <w:szCs w:val="20"/>
        </w:rPr>
        <w:t xml:space="preserve"> respondents (99.7%) had never heard of benzene </w:t>
      </w:r>
      <w:r w:rsidR="00565075" w:rsidRPr="003E71AF">
        <w:rPr>
          <w:rFonts w:ascii="Arial" w:hAnsi="Arial" w:cs="Arial"/>
          <w:sz w:val="20"/>
          <w:szCs w:val="20"/>
        </w:rPr>
        <w:t xml:space="preserve">or any chemical </w:t>
      </w:r>
      <w:r w:rsidR="008C18F0" w:rsidRPr="003E71AF">
        <w:rPr>
          <w:rFonts w:ascii="Arial" w:hAnsi="Arial" w:cs="Arial"/>
          <w:sz w:val="20"/>
          <w:szCs w:val="20"/>
        </w:rPr>
        <w:t>contamination risks in carbonated beverages</w:t>
      </w:r>
      <w:r w:rsidR="000F5D42">
        <w:rPr>
          <w:rFonts w:ascii="Arial" w:hAnsi="Arial" w:cs="Arial"/>
          <w:sz w:val="20"/>
          <w:szCs w:val="20"/>
        </w:rPr>
        <w:t xml:space="preserve"> caused by poor storage</w:t>
      </w:r>
      <w:r w:rsidR="008C18F0" w:rsidRPr="003E71AF">
        <w:rPr>
          <w:rFonts w:ascii="Arial" w:hAnsi="Arial" w:cs="Arial"/>
          <w:sz w:val="20"/>
          <w:szCs w:val="20"/>
        </w:rPr>
        <w:t>.</w:t>
      </w:r>
    </w:p>
    <w:p w14:paraId="385DEF33" w14:textId="1E1FB951" w:rsidR="00350F82"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 xml:space="preserve">When asked about the potential health risks of frequent soft drink consumption, 56.53% of respondents acknowledged health concerns, with heart disease (34%) being the most commonly cited </w:t>
      </w:r>
      <w:r w:rsidRPr="0076609D">
        <w:rPr>
          <w:rFonts w:ascii="Arial" w:hAnsi="Arial" w:cs="Arial"/>
          <w:sz w:val="20"/>
          <w:szCs w:val="20"/>
        </w:rPr>
        <w:t>issue. However, knowledge of storage</w:t>
      </w:r>
      <w:r w:rsidR="00352309" w:rsidRPr="0076609D">
        <w:rPr>
          <w:rFonts w:ascii="Arial" w:hAnsi="Arial" w:cs="Arial"/>
          <w:sz w:val="20"/>
          <w:szCs w:val="20"/>
        </w:rPr>
        <w:t xml:space="preserve"> </w:t>
      </w:r>
      <w:r w:rsidRPr="0076609D">
        <w:rPr>
          <w:rFonts w:ascii="Arial" w:hAnsi="Arial" w:cs="Arial"/>
          <w:sz w:val="20"/>
          <w:szCs w:val="20"/>
        </w:rPr>
        <w:t>related health risks w</w:t>
      </w:r>
      <w:r w:rsidR="00C0363C" w:rsidRPr="0076609D">
        <w:rPr>
          <w:rFonts w:ascii="Arial" w:hAnsi="Arial" w:cs="Arial"/>
          <w:sz w:val="20"/>
          <w:szCs w:val="20"/>
        </w:rPr>
        <w:t xml:space="preserve">as very low (6.08%), with only </w:t>
      </w:r>
      <w:r w:rsidR="000F5D42">
        <w:rPr>
          <w:rFonts w:ascii="Arial" w:hAnsi="Arial" w:cs="Arial"/>
          <w:sz w:val="20"/>
          <w:szCs w:val="20"/>
        </w:rPr>
        <w:t xml:space="preserve">(2/20, </w:t>
      </w:r>
      <w:r w:rsidR="00C0363C" w:rsidRPr="0076609D">
        <w:rPr>
          <w:rFonts w:ascii="Arial" w:hAnsi="Arial" w:cs="Arial"/>
          <w:sz w:val="20"/>
          <w:szCs w:val="20"/>
        </w:rPr>
        <w:t>7.69</w:t>
      </w:r>
      <w:r w:rsidRPr="0076609D">
        <w:rPr>
          <w:rFonts w:ascii="Arial" w:hAnsi="Arial" w:cs="Arial"/>
          <w:sz w:val="20"/>
          <w:szCs w:val="20"/>
        </w:rPr>
        <w:t>%</w:t>
      </w:r>
      <w:r w:rsidR="000F5D42">
        <w:rPr>
          <w:rFonts w:ascii="Arial" w:hAnsi="Arial" w:cs="Arial"/>
          <w:sz w:val="20"/>
          <w:szCs w:val="20"/>
        </w:rPr>
        <w:t>)</w:t>
      </w:r>
      <w:r w:rsidR="003A350F" w:rsidRPr="0076609D">
        <w:rPr>
          <w:rFonts w:ascii="Arial" w:hAnsi="Arial" w:cs="Arial"/>
          <w:sz w:val="20"/>
          <w:szCs w:val="20"/>
        </w:rPr>
        <w:t xml:space="preserve"> of them </w:t>
      </w:r>
      <w:r w:rsidRPr="0076609D">
        <w:rPr>
          <w:rFonts w:ascii="Arial" w:hAnsi="Arial" w:cs="Arial"/>
          <w:sz w:val="20"/>
          <w:szCs w:val="20"/>
        </w:rPr>
        <w:t>associating improper storage with cancer risks.</w:t>
      </w:r>
      <w:r w:rsidR="00CC4EA3" w:rsidRPr="0076609D">
        <w:rPr>
          <w:rFonts w:ascii="Arial" w:hAnsi="Arial" w:cs="Arial"/>
          <w:sz w:val="20"/>
          <w:szCs w:val="20"/>
        </w:rPr>
        <w:t xml:space="preserve"> Word of mouth was the major source of the health risks information </w:t>
      </w:r>
      <w:r w:rsidR="00CC4EA3" w:rsidRPr="003E71AF">
        <w:rPr>
          <w:rFonts w:ascii="Arial" w:hAnsi="Arial" w:cs="Arial"/>
          <w:sz w:val="20"/>
          <w:szCs w:val="20"/>
        </w:rPr>
        <w:t>by the majority (56%)</w:t>
      </w:r>
      <w:r w:rsidR="000F5D42">
        <w:rPr>
          <w:rFonts w:ascii="Arial" w:hAnsi="Arial" w:cs="Arial"/>
          <w:sz w:val="20"/>
          <w:szCs w:val="20"/>
        </w:rPr>
        <w:t>.</w:t>
      </w:r>
    </w:p>
    <w:p w14:paraId="1418B125" w14:textId="199D088E" w:rsidR="00351B22" w:rsidRPr="003E71AF" w:rsidRDefault="00351B22" w:rsidP="003E71AF">
      <w:pPr>
        <w:spacing w:line="240" w:lineRule="auto"/>
        <w:rPr>
          <w:rFonts w:ascii="Arial" w:hAnsi="Arial" w:cs="Arial"/>
          <w:b/>
          <w:bCs/>
          <w:sz w:val="20"/>
          <w:szCs w:val="20"/>
        </w:rPr>
      </w:pPr>
      <w:r w:rsidRPr="003E71AF">
        <w:rPr>
          <w:rFonts w:ascii="Arial" w:hAnsi="Arial" w:cs="Arial"/>
          <w:b/>
          <w:bCs/>
          <w:sz w:val="20"/>
          <w:szCs w:val="20"/>
        </w:rPr>
        <w:t>Factors Influencing Soft Drink Storage Practices</w:t>
      </w:r>
    </w:p>
    <w:p w14:paraId="53AE2445" w14:textId="0FECCDD5" w:rsidR="00125292" w:rsidRPr="003E71AF" w:rsidRDefault="00125292" w:rsidP="003E71AF">
      <w:pPr>
        <w:spacing w:line="240" w:lineRule="auto"/>
        <w:jc w:val="both"/>
        <w:rPr>
          <w:rFonts w:ascii="Arial" w:hAnsi="Arial" w:cs="Arial"/>
          <w:sz w:val="20"/>
          <w:szCs w:val="20"/>
        </w:rPr>
      </w:pPr>
      <w:r w:rsidRPr="003E71AF">
        <w:rPr>
          <w:rFonts w:ascii="Arial" w:hAnsi="Arial" w:cs="Arial"/>
          <w:sz w:val="20"/>
          <w:szCs w:val="20"/>
        </w:rPr>
        <w:t>A logistic regression analysis was conducted to examine the influence of education level, business setup, experience, gender, and district on soft drink storage practices among retailers in Dar es Salaam. The dependent variable was storage practice, categorized as good (1) or poor (0) based on retailers' adherence to proper storage guidelines.</w:t>
      </w:r>
      <w:r w:rsidR="00350F82" w:rsidRPr="003E71AF">
        <w:rPr>
          <w:rFonts w:ascii="Arial" w:hAnsi="Arial" w:cs="Arial"/>
          <w:sz w:val="20"/>
          <w:szCs w:val="20"/>
        </w:rPr>
        <w:t xml:space="preserve"> </w:t>
      </w:r>
      <w:r w:rsidRPr="003E71AF">
        <w:rPr>
          <w:rFonts w:ascii="Arial" w:hAnsi="Arial" w:cs="Arial"/>
          <w:sz w:val="20"/>
          <w:szCs w:val="20"/>
        </w:rPr>
        <w:t>The model demonstrated a pseudo R-squared value of 0.1397, indicating moderate explanatory power. The log-likelihood ratio test (p = 9.349e-05) confirmed that the model was statistically significant.</w:t>
      </w:r>
      <w:r w:rsidR="00350F82" w:rsidRPr="003E71AF">
        <w:rPr>
          <w:rFonts w:ascii="Arial" w:hAnsi="Arial" w:cs="Arial"/>
          <w:sz w:val="20"/>
          <w:szCs w:val="20"/>
        </w:rPr>
        <w:t xml:space="preserve"> </w:t>
      </w:r>
      <w:r w:rsidRPr="003E71AF">
        <w:rPr>
          <w:rFonts w:ascii="Arial" w:hAnsi="Arial" w:cs="Arial"/>
          <w:sz w:val="20"/>
          <w:szCs w:val="20"/>
        </w:rPr>
        <w:t xml:space="preserve">The regression results are presented in Table </w:t>
      </w:r>
      <w:r w:rsidR="00350F82" w:rsidRPr="003E71AF">
        <w:rPr>
          <w:rFonts w:ascii="Arial" w:hAnsi="Arial" w:cs="Arial"/>
          <w:sz w:val="20"/>
          <w:szCs w:val="20"/>
        </w:rPr>
        <w:t>3</w:t>
      </w:r>
      <w:r w:rsidRPr="003E71AF">
        <w:rPr>
          <w:rFonts w:ascii="Arial" w:hAnsi="Arial" w:cs="Arial"/>
          <w:sz w:val="20"/>
          <w:szCs w:val="20"/>
        </w:rPr>
        <w:t>, showing the estimated coefficients, standard errors, z-values, and p-values.</w:t>
      </w:r>
    </w:p>
    <w:p w14:paraId="5AB25D68" w14:textId="64057CBC"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 xml:space="preserve">Table </w:t>
      </w:r>
      <w:r w:rsidR="00350F82" w:rsidRPr="003E71AF">
        <w:rPr>
          <w:rFonts w:ascii="Arial" w:hAnsi="Arial" w:cs="Arial"/>
          <w:b/>
          <w:bCs/>
          <w:sz w:val="20"/>
          <w:szCs w:val="20"/>
        </w:rPr>
        <w:t>3</w:t>
      </w:r>
      <w:r w:rsidRPr="003E71AF">
        <w:rPr>
          <w:rFonts w:ascii="Arial" w:hAnsi="Arial" w:cs="Arial"/>
          <w:b/>
          <w:bCs/>
          <w:sz w:val="20"/>
          <w:szCs w:val="20"/>
        </w:rPr>
        <w:t>: Logistic Regression Results for Factors Influencing Soft Drink Storage Practices</w:t>
      </w:r>
    </w:p>
    <w:tbl>
      <w:tblPr>
        <w:tblStyle w:val="TableGrid"/>
        <w:tblW w:w="922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2"/>
        <w:gridCol w:w="1273"/>
        <w:gridCol w:w="1195"/>
        <w:gridCol w:w="762"/>
        <w:gridCol w:w="767"/>
        <w:gridCol w:w="3462"/>
      </w:tblGrid>
      <w:tr w:rsidR="00350F82" w:rsidRPr="003E71AF" w14:paraId="4E259E92" w14:textId="77777777" w:rsidTr="00556C2C">
        <w:tc>
          <w:tcPr>
            <w:tcW w:w="0" w:type="auto"/>
            <w:tcBorders>
              <w:top w:val="single" w:sz="4" w:space="0" w:color="auto"/>
              <w:bottom w:val="single" w:sz="4" w:space="0" w:color="auto"/>
            </w:tcBorders>
            <w:hideMark/>
          </w:tcPr>
          <w:p w14:paraId="07B63FAB"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Predictor</w:t>
            </w:r>
          </w:p>
        </w:tc>
        <w:tc>
          <w:tcPr>
            <w:tcW w:w="1273" w:type="dxa"/>
            <w:tcBorders>
              <w:top w:val="single" w:sz="4" w:space="0" w:color="auto"/>
              <w:bottom w:val="single" w:sz="4" w:space="0" w:color="auto"/>
            </w:tcBorders>
            <w:hideMark/>
          </w:tcPr>
          <w:p w14:paraId="75B53146"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Coefficient (β)</w:t>
            </w:r>
          </w:p>
        </w:tc>
        <w:tc>
          <w:tcPr>
            <w:tcW w:w="0" w:type="auto"/>
            <w:tcBorders>
              <w:top w:val="single" w:sz="4" w:space="0" w:color="auto"/>
              <w:bottom w:val="single" w:sz="4" w:space="0" w:color="auto"/>
            </w:tcBorders>
            <w:hideMark/>
          </w:tcPr>
          <w:p w14:paraId="43304670"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Standard Error</w:t>
            </w:r>
          </w:p>
        </w:tc>
        <w:tc>
          <w:tcPr>
            <w:tcW w:w="0" w:type="auto"/>
            <w:tcBorders>
              <w:top w:val="single" w:sz="4" w:space="0" w:color="auto"/>
              <w:bottom w:val="single" w:sz="4" w:space="0" w:color="auto"/>
            </w:tcBorders>
            <w:hideMark/>
          </w:tcPr>
          <w:p w14:paraId="2E0B01D8"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z-value</w:t>
            </w:r>
          </w:p>
        </w:tc>
        <w:tc>
          <w:tcPr>
            <w:tcW w:w="0" w:type="auto"/>
            <w:tcBorders>
              <w:top w:val="single" w:sz="4" w:space="0" w:color="auto"/>
              <w:bottom w:val="single" w:sz="4" w:space="0" w:color="auto"/>
            </w:tcBorders>
            <w:hideMark/>
          </w:tcPr>
          <w:p w14:paraId="7752760F"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p-value</w:t>
            </w:r>
          </w:p>
        </w:tc>
        <w:tc>
          <w:tcPr>
            <w:tcW w:w="0" w:type="auto"/>
            <w:tcBorders>
              <w:top w:val="single" w:sz="4" w:space="0" w:color="auto"/>
              <w:bottom w:val="single" w:sz="4" w:space="0" w:color="auto"/>
            </w:tcBorders>
            <w:hideMark/>
          </w:tcPr>
          <w:p w14:paraId="31881F4D" w14:textId="77777777" w:rsidR="00125292" w:rsidRPr="003E71AF" w:rsidRDefault="00125292" w:rsidP="00D102AA">
            <w:pPr>
              <w:spacing w:line="480" w:lineRule="auto"/>
              <w:rPr>
                <w:rFonts w:ascii="Arial" w:hAnsi="Arial" w:cs="Arial"/>
                <w:b/>
                <w:bCs/>
                <w:sz w:val="20"/>
                <w:szCs w:val="20"/>
              </w:rPr>
            </w:pPr>
            <w:r w:rsidRPr="003E71AF">
              <w:rPr>
                <w:rFonts w:ascii="Arial" w:hAnsi="Arial" w:cs="Arial"/>
                <w:b/>
                <w:bCs/>
                <w:sz w:val="20"/>
                <w:szCs w:val="20"/>
              </w:rPr>
              <w:t>Interpretation</w:t>
            </w:r>
          </w:p>
        </w:tc>
      </w:tr>
      <w:tr w:rsidR="00350F82" w:rsidRPr="003E71AF" w14:paraId="58C4BF00" w14:textId="77777777" w:rsidTr="00556C2C">
        <w:tc>
          <w:tcPr>
            <w:tcW w:w="0" w:type="auto"/>
            <w:tcBorders>
              <w:top w:val="single" w:sz="4" w:space="0" w:color="auto"/>
            </w:tcBorders>
            <w:hideMark/>
          </w:tcPr>
          <w:p w14:paraId="1441197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Constant (Intercept)</w:t>
            </w:r>
          </w:p>
        </w:tc>
        <w:tc>
          <w:tcPr>
            <w:tcW w:w="1273" w:type="dxa"/>
            <w:tcBorders>
              <w:top w:val="single" w:sz="4" w:space="0" w:color="auto"/>
            </w:tcBorders>
            <w:hideMark/>
          </w:tcPr>
          <w:p w14:paraId="207A963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-1.8410</w:t>
            </w:r>
          </w:p>
        </w:tc>
        <w:tc>
          <w:tcPr>
            <w:tcW w:w="0" w:type="auto"/>
            <w:tcBorders>
              <w:top w:val="single" w:sz="4" w:space="0" w:color="auto"/>
            </w:tcBorders>
            <w:hideMark/>
          </w:tcPr>
          <w:p w14:paraId="19E187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0.982</w:t>
            </w:r>
          </w:p>
        </w:tc>
        <w:tc>
          <w:tcPr>
            <w:tcW w:w="0" w:type="auto"/>
            <w:tcBorders>
              <w:top w:val="single" w:sz="4" w:space="0" w:color="auto"/>
            </w:tcBorders>
            <w:hideMark/>
          </w:tcPr>
          <w:p w14:paraId="7C12A3E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-1.875</w:t>
            </w:r>
          </w:p>
        </w:tc>
        <w:tc>
          <w:tcPr>
            <w:tcW w:w="0" w:type="auto"/>
            <w:tcBorders>
              <w:top w:val="single" w:sz="4" w:space="0" w:color="auto"/>
            </w:tcBorders>
            <w:hideMark/>
          </w:tcPr>
          <w:p w14:paraId="722763D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0.061</w:t>
            </w:r>
          </w:p>
        </w:tc>
        <w:tc>
          <w:tcPr>
            <w:tcW w:w="0" w:type="auto"/>
            <w:tcBorders>
              <w:top w:val="single" w:sz="4" w:space="0" w:color="auto"/>
            </w:tcBorders>
            <w:hideMark/>
          </w:tcPr>
          <w:p w14:paraId="6C2EC19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Baseline log-odds of poor storage.</w:t>
            </w:r>
          </w:p>
        </w:tc>
      </w:tr>
      <w:tr w:rsidR="00350F82" w:rsidRPr="003E71AF" w14:paraId="7CF4CF8B" w14:textId="77777777" w:rsidTr="00556C2C">
        <w:tc>
          <w:tcPr>
            <w:tcW w:w="0" w:type="auto"/>
            <w:hideMark/>
          </w:tcPr>
          <w:p w14:paraId="0EE04F6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Educational Background</w:t>
            </w:r>
          </w:p>
        </w:tc>
        <w:tc>
          <w:tcPr>
            <w:tcW w:w="1273" w:type="dxa"/>
            <w:hideMark/>
          </w:tcPr>
          <w:p w14:paraId="4E53B5B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-0.0486</w:t>
            </w:r>
          </w:p>
        </w:tc>
        <w:tc>
          <w:tcPr>
            <w:tcW w:w="0" w:type="auto"/>
            <w:hideMark/>
          </w:tcPr>
          <w:p w14:paraId="7C6EA19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0.205</w:t>
            </w:r>
          </w:p>
        </w:tc>
        <w:tc>
          <w:tcPr>
            <w:tcW w:w="0" w:type="auto"/>
            <w:hideMark/>
          </w:tcPr>
          <w:p w14:paraId="3B391616"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-0.237</w:t>
            </w:r>
          </w:p>
        </w:tc>
        <w:tc>
          <w:tcPr>
            <w:tcW w:w="0" w:type="auto"/>
            <w:hideMark/>
          </w:tcPr>
          <w:p w14:paraId="18111E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0.812</w:t>
            </w:r>
          </w:p>
        </w:tc>
        <w:tc>
          <w:tcPr>
            <w:tcW w:w="0" w:type="auto"/>
            <w:hideMark/>
          </w:tcPr>
          <w:p w14:paraId="63D4FCD8"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Education level does not strongly influence storage practices.</w:t>
            </w:r>
          </w:p>
        </w:tc>
      </w:tr>
      <w:tr w:rsidR="00350F82" w:rsidRPr="003E71AF" w14:paraId="5A8E653E" w14:textId="77777777" w:rsidTr="00556C2C">
        <w:tc>
          <w:tcPr>
            <w:tcW w:w="0" w:type="auto"/>
            <w:hideMark/>
          </w:tcPr>
          <w:p w14:paraId="56CB08F9"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Business Setup (Selling Setup)</w:t>
            </w:r>
          </w:p>
        </w:tc>
        <w:tc>
          <w:tcPr>
            <w:tcW w:w="1273" w:type="dxa"/>
            <w:hideMark/>
          </w:tcPr>
          <w:p w14:paraId="46240D8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-1.1952</w:t>
            </w:r>
          </w:p>
        </w:tc>
        <w:tc>
          <w:tcPr>
            <w:tcW w:w="0" w:type="auto"/>
            <w:hideMark/>
          </w:tcPr>
          <w:p w14:paraId="7026C78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0.320</w:t>
            </w:r>
          </w:p>
        </w:tc>
        <w:tc>
          <w:tcPr>
            <w:tcW w:w="0" w:type="auto"/>
            <w:hideMark/>
          </w:tcPr>
          <w:p w14:paraId="1AC28D8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-3.739</w:t>
            </w:r>
          </w:p>
        </w:tc>
        <w:tc>
          <w:tcPr>
            <w:tcW w:w="0" w:type="auto"/>
            <w:hideMark/>
          </w:tcPr>
          <w:p w14:paraId="34BCEA2F"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0.000</w:t>
            </w:r>
          </w:p>
        </w:tc>
        <w:tc>
          <w:tcPr>
            <w:tcW w:w="0" w:type="auto"/>
            <w:hideMark/>
          </w:tcPr>
          <w:p w14:paraId="4E70DB0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Highly significant – Shop-based retailers are significantly more likely to follow proper storage practices than street vendors.</w:t>
            </w:r>
          </w:p>
        </w:tc>
      </w:tr>
      <w:tr w:rsidR="00350F82" w:rsidRPr="003E71AF" w14:paraId="0188B3BD" w14:textId="77777777" w:rsidTr="00556C2C">
        <w:tc>
          <w:tcPr>
            <w:tcW w:w="0" w:type="auto"/>
            <w:hideMark/>
          </w:tcPr>
          <w:p w14:paraId="23CED7F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Experience (Years Selling Soft Drinks)</w:t>
            </w:r>
          </w:p>
        </w:tc>
        <w:tc>
          <w:tcPr>
            <w:tcW w:w="1273" w:type="dxa"/>
            <w:hideMark/>
          </w:tcPr>
          <w:p w14:paraId="5140BDE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-0.1807</w:t>
            </w:r>
          </w:p>
        </w:tc>
        <w:tc>
          <w:tcPr>
            <w:tcW w:w="0" w:type="auto"/>
            <w:hideMark/>
          </w:tcPr>
          <w:p w14:paraId="3BC33611"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0.276</w:t>
            </w:r>
          </w:p>
        </w:tc>
        <w:tc>
          <w:tcPr>
            <w:tcW w:w="0" w:type="auto"/>
            <w:hideMark/>
          </w:tcPr>
          <w:p w14:paraId="4AFE058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-0.655</w:t>
            </w:r>
          </w:p>
        </w:tc>
        <w:tc>
          <w:tcPr>
            <w:tcW w:w="0" w:type="auto"/>
            <w:hideMark/>
          </w:tcPr>
          <w:p w14:paraId="0E265C8B"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0.513</w:t>
            </w:r>
          </w:p>
        </w:tc>
        <w:tc>
          <w:tcPr>
            <w:tcW w:w="0" w:type="auto"/>
            <w:hideMark/>
          </w:tcPr>
          <w:p w14:paraId="70B8EDD3"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Experience does not significantly impact adherence to proper storage.</w:t>
            </w:r>
          </w:p>
        </w:tc>
      </w:tr>
      <w:tr w:rsidR="00350F82" w:rsidRPr="003E71AF" w14:paraId="07C73F6E" w14:textId="77777777" w:rsidTr="00556C2C">
        <w:tc>
          <w:tcPr>
            <w:tcW w:w="0" w:type="auto"/>
            <w:hideMark/>
          </w:tcPr>
          <w:p w14:paraId="7464055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lastRenderedPageBreak/>
              <w:t>Gender</w:t>
            </w:r>
          </w:p>
        </w:tc>
        <w:tc>
          <w:tcPr>
            <w:tcW w:w="1273" w:type="dxa"/>
            <w:hideMark/>
          </w:tcPr>
          <w:p w14:paraId="3C2DD6D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1.0686</w:t>
            </w:r>
          </w:p>
        </w:tc>
        <w:tc>
          <w:tcPr>
            <w:tcW w:w="0" w:type="auto"/>
            <w:hideMark/>
          </w:tcPr>
          <w:p w14:paraId="4597BB44"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0.460</w:t>
            </w:r>
          </w:p>
        </w:tc>
        <w:tc>
          <w:tcPr>
            <w:tcW w:w="0" w:type="auto"/>
            <w:hideMark/>
          </w:tcPr>
          <w:p w14:paraId="68F7EC47"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2.325</w:t>
            </w:r>
          </w:p>
        </w:tc>
        <w:tc>
          <w:tcPr>
            <w:tcW w:w="0" w:type="auto"/>
            <w:hideMark/>
          </w:tcPr>
          <w:p w14:paraId="0A30521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0.020</w:t>
            </w:r>
          </w:p>
        </w:tc>
        <w:tc>
          <w:tcPr>
            <w:tcW w:w="0" w:type="auto"/>
            <w:hideMark/>
          </w:tcPr>
          <w:p w14:paraId="7AC8E35C"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Significant – Male retailers are more likely to follow proper storage practices than female retailers.</w:t>
            </w:r>
          </w:p>
        </w:tc>
      </w:tr>
      <w:tr w:rsidR="00350F82" w:rsidRPr="003E71AF" w14:paraId="28D7FA3E" w14:textId="77777777" w:rsidTr="00556C2C">
        <w:tc>
          <w:tcPr>
            <w:tcW w:w="0" w:type="auto"/>
            <w:hideMark/>
          </w:tcPr>
          <w:p w14:paraId="01D90DF2"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District</w:t>
            </w:r>
          </w:p>
        </w:tc>
        <w:tc>
          <w:tcPr>
            <w:tcW w:w="1273" w:type="dxa"/>
            <w:hideMark/>
          </w:tcPr>
          <w:p w14:paraId="7EF8AC1E"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0.3350</w:t>
            </w:r>
          </w:p>
        </w:tc>
        <w:tc>
          <w:tcPr>
            <w:tcW w:w="0" w:type="auto"/>
            <w:hideMark/>
          </w:tcPr>
          <w:p w14:paraId="24EFE56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0.274</w:t>
            </w:r>
          </w:p>
        </w:tc>
        <w:tc>
          <w:tcPr>
            <w:tcW w:w="0" w:type="auto"/>
            <w:hideMark/>
          </w:tcPr>
          <w:p w14:paraId="223F62A0"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1.224</w:t>
            </w:r>
          </w:p>
        </w:tc>
        <w:tc>
          <w:tcPr>
            <w:tcW w:w="0" w:type="auto"/>
            <w:hideMark/>
          </w:tcPr>
          <w:p w14:paraId="74B76A4A"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0.221</w:t>
            </w:r>
          </w:p>
        </w:tc>
        <w:tc>
          <w:tcPr>
            <w:tcW w:w="0" w:type="auto"/>
            <w:hideMark/>
          </w:tcPr>
          <w:p w14:paraId="3B7594BD" w14:textId="77777777" w:rsidR="00125292" w:rsidRPr="003E71AF" w:rsidRDefault="00125292" w:rsidP="00D102AA">
            <w:pPr>
              <w:spacing w:line="480" w:lineRule="auto"/>
              <w:rPr>
                <w:rFonts w:ascii="Arial" w:hAnsi="Arial" w:cs="Arial"/>
                <w:sz w:val="20"/>
                <w:szCs w:val="20"/>
              </w:rPr>
            </w:pPr>
            <w:r w:rsidRPr="003E71AF">
              <w:rPr>
                <w:rFonts w:ascii="Arial" w:hAnsi="Arial" w:cs="Arial"/>
                <w:sz w:val="20"/>
                <w:szCs w:val="20"/>
              </w:rPr>
              <w:t>Not significant – District location does not have a strong impact on storage practices.</w:t>
            </w:r>
          </w:p>
        </w:tc>
      </w:tr>
    </w:tbl>
    <w:p w14:paraId="2CBFB026" w14:textId="77777777" w:rsidR="00350F82" w:rsidRPr="003E71AF" w:rsidRDefault="00350F82" w:rsidP="00D102AA">
      <w:pPr>
        <w:spacing w:line="480" w:lineRule="auto"/>
        <w:rPr>
          <w:rFonts w:ascii="Arial" w:hAnsi="Arial" w:cs="Arial"/>
          <w:b/>
          <w:bCs/>
          <w:sz w:val="20"/>
          <w:szCs w:val="20"/>
        </w:rPr>
      </w:pPr>
    </w:p>
    <w:p w14:paraId="34063F09" w14:textId="7D226D15" w:rsidR="00351B22" w:rsidRPr="003E71AF" w:rsidRDefault="00351B22" w:rsidP="003E71AF">
      <w:pPr>
        <w:spacing w:after="0" w:line="240" w:lineRule="auto"/>
        <w:rPr>
          <w:rFonts w:ascii="Arial" w:hAnsi="Arial" w:cs="Arial"/>
          <w:b/>
          <w:bCs/>
          <w:sz w:val="20"/>
          <w:szCs w:val="20"/>
        </w:rPr>
      </w:pPr>
      <w:r w:rsidRPr="003E71AF">
        <w:rPr>
          <w:rFonts w:ascii="Arial" w:hAnsi="Arial" w:cs="Arial"/>
          <w:b/>
          <w:bCs/>
          <w:sz w:val="20"/>
          <w:szCs w:val="20"/>
        </w:rPr>
        <w:t>Challenges in Proper Soft Drink Storage</w:t>
      </w:r>
    </w:p>
    <w:p w14:paraId="63E53A3A" w14:textId="77777777" w:rsidR="008C18F0" w:rsidRPr="003E71AF" w:rsidRDefault="008C18F0" w:rsidP="003E71AF">
      <w:pPr>
        <w:spacing w:line="240" w:lineRule="auto"/>
        <w:jc w:val="both"/>
        <w:rPr>
          <w:rFonts w:ascii="Arial" w:hAnsi="Arial" w:cs="Arial"/>
          <w:sz w:val="20"/>
          <w:szCs w:val="20"/>
        </w:rPr>
      </w:pPr>
      <w:r w:rsidRPr="003E71AF">
        <w:rPr>
          <w:rFonts w:ascii="Arial" w:hAnsi="Arial" w:cs="Arial"/>
          <w:sz w:val="20"/>
          <w:szCs w:val="20"/>
        </w:rPr>
        <w:t>Financial constraints emerged as the most significant barrier to proper storage, with 64.13% of retailers citing a lack of capital for purchasing refrigeration equipment. Limited space was also a major issue, as 21.28% of retailers kept soft drinks outside in direct sunlight due to shop size limitations. Other challenges included unreliable electricity supply (18.24%), excessive heat buildup in kiosks and shops (12.16%), and faulty refrigeration equipment (7.60%).</w:t>
      </w:r>
    </w:p>
    <w:p w14:paraId="4E698964" w14:textId="77777777"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DISCUSSION</w:t>
      </w:r>
    </w:p>
    <w:p w14:paraId="2A0607E2" w14:textId="2EC01CF6" w:rsidR="00625343" w:rsidRDefault="00E51DCB" w:rsidP="00481CDC">
      <w:pPr>
        <w:spacing w:line="240" w:lineRule="auto"/>
        <w:jc w:val="both"/>
        <w:rPr>
          <w:rFonts w:ascii="Arial" w:eastAsia="Times New Roman" w:hAnsi="Arial" w:cs="Arial"/>
          <w:sz w:val="20"/>
          <w:szCs w:val="20"/>
        </w:rPr>
      </w:pPr>
      <w:r w:rsidRPr="003E71AF">
        <w:rPr>
          <w:rFonts w:ascii="Arial" w:hAnsi="Arial" w:cs="Arial"/>
          <w:sz w:val="20"/>
          <w:szCs w:val="20"/>
        </w:rPr>
        <w:t xml:space="preserve">The study examined soft drink storage practices among retailers in Dar es Salaam, highlighting key factors influencing adherence to proper storage guidelines. </w:t>
      </w:r>
      <w:r w:rsidR="00095C02" w:rsidRPr="003E71AF">
        <w:rPr>
          <w:rFonts w:ascii="Arial" w:eastAsia="Times New Roman" w:hAnsi="Arial" w:cs="Arial"/>
          <w:sz w:val="20"/>
          <w:szCs w:val="20"/>
        </w:rPr>
        <w:t>This study found that 55.04% of men dominated t</w:t>
      </w:r>
      <w:r w:rsidR="00632C6F" w:rsidRPr="003E71AF">
        <w:rPr>
          <w:rFonts w:ascii="Arial" w:eastAsia="Times New Roman" w:hAnsi="Arial" w:cs="Arial"/>
          <w:sz w:val="20"/>
          <w:szCs w:val="20"/>
        </w:rPr>
        <w:t xml:space="preserve">he soft drink vending business. </w:t>
      </w:r>
      <w:r w:rsidR="00095C02" w:rsidRPr="003E71AF">
        <w:rPr>
          <w:rFonts w:ascii="Arial" w:eastAsia="Times New Roman" w:hAnsi="Arial" w:cs="Arial"/>
          <w:sz w:val="20"/>
          <w:szCs w:val="20"/>
        </w:rPr>
        <w:t>This study aligns with findings from Mwanza, Tanzania where 93.3% street food vending business was dominated by men (</w:t>
      </w:r>
      <w:r w:rsidR="00095C02" w:rsidRPr="003E71AF">
        <w:rPr>
          <w:rFonts w:ascii="Arial" w:eastAsia="Times New Roman" w:hAnsi="Arial" w:cs="Arial"/>
          <w:color w:val="000000" w:themeColor="text1"/>
          <w:sz w:val="20"/>
          <w:szCs w:val="20"/>
        </w:rPr>
        <w:fldChar w:fldCharType="begin" w:fldLock="1"/>
      </w:r>
      <w:r w:rsidR="00095C0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95C02" w:rsidRPr="003E71AF">
        <w:rPr>
          <w:rFonts w:ascii="Arial" w:eastAsia="Times New Roman" w:hAnsi="Arial" w:cs="Arial"/>
          <w:color w:val="000000" w:themeColor="text1"/>
          <w:sz w:val="20"/>
          <w:szCs w:val="20"/>
        </w:rPr>
        <w:fldChar w:fldCharType="separate"/>
      </w:r>
      <w:r w:rsidR="00095C02" w:rsidRPr="003E71AF">
        <w:rPr>
          <w:rFonts w:ascii="Arial" w:eastAsia="Times New Roman" w:hAnsi="Arial" w:cs="Arial"/>
          <w:noProof/>
          <w:color w:val="000000" w:themeColor="text1"/>
          <w:sz w:val="20"/>
          <w:szCs w:val="20"/>
        </w:rPr>
        <w:t xml:space="preserve">Magambo </w:t>
      </w:r>
      <w:r w:rsidR="00095C02" w:rsidRPr="003E71AF">
        <w:rPr>
          <w:rFonts w:ascii="Arial" w:eastAsia="Times New Roman" w:hAnsi="Arial" w:cs="Arial"/>
          <w:i/>
          <w:noProof/>
          <w:color w:val="000000" w:themeColor="text1"/>
          <w:sz w:val="20"/>
          <w:szCs w:val="20"/>
        </w:rPr>
        <w:t>et al</w:t>
      </w:r>
      <w:r w:rsidR="00095C02" w:rsidRPr="003E71AF">
        <w:rPr>
          <w:rFonts w:ascii="Arial" w:eastAsia="Times New Roman" w:hAnsi="Arial" w:cs="Arial"/>
          <w:noProof/>
          <w:color w:val="000000" w:themeColor="text1"/>
          <w:sz w:val="20"/>
          <w:szCs w:val="20"/>
        </w:rPr>
        <w:t>. 2023)</w:t>
      </w:r>
      <w:r w:rsidR="00095C02"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color w:val="000000" w:themeColor="text1"/>
          <w:sz w:val="20"/>
          <w:szCs w:val="20"/>
        </w:rPr>
        <w:t>.</w:t>
      </w:r>
      <w:r w:rsidR="00632C6F" w:rsidRPr="003E71AF">
        <w:rPr>
          <w:rFonts w:ascii="Arial" w:eastAsia="Times New Roman" w:hAnsi="Arial" w:cs="Arial"/>
          <w:sz w:val="20"/>
          <w:szCs w:val="20"/>
        </w:rPr>
        <w:t xml:space="preserve"> </w:t>
      </w:r>
      <w:r w:rsidR="00625343">
        <w:rPr>
          <w:rFonts w:ascii="Arial" w:eastAsia="Times New Roman" w:hAnsi="Arial" w:cs="Arial"/>
          <w:sz w:val="20"/>
          <w:szCs w:val="20"/>
        </w:rPr>
        <w:t xml:space="preserve">According to </w:t>
      </w:r>
      <w:r w:rsidR="00625343">
        <w:rPr>
          <w:rFonts w:ascii="Arial" w:eastAsia="Times New Roman" w:hAnsi="Arial" w:cs="Arial"/>
          <w:sz w:val="20"/>
          <w:szCs w:val="20"/>
        </w:rPr>
        <w:fldChar w:fldCharType="begin" w:fldLock="1"/>
      </w:r>
      <w:r w:rsidR="003F6908">
        <w:rPr>
          <w:rFonts w:ascii="Arial" w:eastAsia="Times New Roman" w:hAnsi="Arial" w:cs="Arial"/>
          <w:sz w:val="20"/>
          <w:szCs w:val="20"/>
        </w:rPr>
        <w:instrText>ADDIN CSL_CITATION {"citationItems":[{"id":"ITEM-1","itemData":{"author":[{"dropping-particle":"","family":"Mwove","given":"Johnson","non-dropping-particle":"","parse-names":false,"suffix":""}],"id":"ITEM-1","issue":"1","issued":{"date-parts":[["2025"]]},"title":"Factors influencing health , food safety and hygiene practices among street food vendors in Meru town , Kenya","type":"article-journal","volume":"3"},"uris":["http://www.mendeley.com/documents/?uuid=0fadb13d-ce27-432c-aa03-c876db04633e"]}],"mendeley":{"formattedCitation":"(Mwove, 2025)","manualFormatting":"Mwove (2025)","plainTextFormattedCitation":"(Mwove, 2025)","previouslyFormattedCitation":"(Mwove, 2025)"},"properties":{"noteIndex":0},"schema":"https://github.com/citation-style-language/schema/raw/master/csl-citation.json"}</w:instrText>
      </w:r>
      <w:r w:rsidR="00625343">
        <w:rPr>
          <w:rFonts w:ascii="Arial" w:eastAsia="Times New Roman" w:hAnsi="Arial" w:cs="Arial"/>
          <w:sz w:val="20"/>
          <w:szCs w:val="20"/>
        </w:rPr>
        <w:fldChar w:fldCharType="separate"/>
      </w:r>
      <w:r w:rsidR="00625343">
        <w:rPr>
          <w:rFonts w:ascii="Arial" w:eastAsia="Times New Roman" w:hAnsi="Arial" w:cs="Arial"/>
          <w:noProof/>
          <w:sz w:val="20"/>
          <w:szCs w:val="20"/>
        </w:rPr>
        <w:t>Mwove</w:t>
      </w:r>
      <w:r w:rsidR="00625343" w:rsidRPr="00481CDC">
        <w:rPr>
          <w:rFonts w:ascii="Arial" w:eastAsia="Times New Roman" w:hAnsi="Arial" w:cs="Arial"/>
          <w:noProof/>
          <w:sz w:val="20"/>
          <w:szCs w:val="20"/>
        </w:rPr>
        <w:t xml:space="preserve"> </w:t>
      </w:r>
      <w:r w:rsidR="00625343">
        <w:rPr>
          <w:rFonts w:ascii="Arial" w:eastAsia="Times New Roman" w:hAnsi="Arial" w:cs="Arial"/>
          <w:noProof/>
          <w:sz w:val="20"/>
          <w:szCs w:val="20"/>
        </w:rPr>
        <w:t>(</w:t>
      </w:r>
      <w:r w:rsidR="00625343" w:rsidRPr="00481CDC">
        <w:rPr>
          <w:rFonts w:ascii="Arial" w:eastAsia="Times New Roman" w:hAnsi="Arial" w:cs="Arial"/>
          <w:noProof/>
          <w:sz w:val="20"/>
          <w:szCs w:val="20"/>
        </w:rPr>
        <w:t>2025)</w:t>
      </w:r>
      <w:r w:rsidR="00625343">
        <w:rPr>
          <w:rFonts w:ascii="Arial" w:eastAsia="Times New Roman" w:hAnsi="Arial" w:cs="Arial"/>
          <w:sz w:val="20"/>
          <w:szCs w:val="20"/>
        </w:rPr>
        <w:fldChar w:fldCharType="end"/>
      </w:r>
      <w:r w:rsidR="00625343">
        <w:rPr>
          <w:rFonts w:ascii="Arial" w:eastAsia="Times New Roman" w:hAnsi="Arial" w:cs="Arial"/>
          <w:sz w:val="20"/>
          <w:szCs w:val="20"/>
        </w:rPr>
        <w:t>, this might be because of gender roles and cultural norms</w:t>
      </w:r>
      <w:r w:rsidR="00A44795">
        <w:rPr>
          <w:rFonts w:ascii="Arial" w:eastAsia="Times New Roman" w:hAnsi="Arial" w:cs="Arial"/>
          <w:sz w:val="20"/>
          <w:szCs w:val="20"/>
        </w:rPr>
        <w:t>, w</w:t>
      </w:r>
      <w:r w:rsidR="00625343">
        <w:rPr>
          <w:rFonts w:ascii="Arial" w:eastAsia="Times New Roman" w:hAnsi="Arial" w:cs="Arial"/>
          <w:sz w:val="20"/>
          <w:szCs w:val="20"/>
        </w:rPr>
        <w:t>hich frequently assign males to more entrepreneurial activities while putting women in more interruption-prone roles because of family responsibilities</w:t>
      </w:r>
      <w:r w:rsidR="00D625D9">
        <w:rPr>
          <w:rFonts w:ascii="Arial" w:eastAsia="Times New Roman" w:hAnsi="Arial" w:cs="Arial"/>
          <w:sz w:val="20"/>
          <w:szCs w:val="20"/>
        </w:rPr>
        <w:t>.</w:t>
      </w:r>
    </w:p>
    <w:p w14:paraId="1B35A2A7" w14:textId="79CEE752" w:rsidR="003C67C0" w:rsidRDefault="00632C6F"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This study found that, 53.19% of the respondents were between the ages of 25 and 40, whilst 34.95% was</w:t>
      </w:r>
      <w:r w:rsidR="00EF25C9">
        <w:rPr>
          <w:rFonts w:ascii="Arial" w:eastAsia="Times New Roman" w:hAnsi="Arial" w:cs="Arial"/>
          <w:sz w:val="20"/>
          <w:szCs w:val="20"/>
        </w:rPr>
        <w:t xml:space="preserve"> between the ages of 18 and 24, which represents this type of business is associated with active age individuals. </w:t>
      </w:r>
      <w:r w:rsidRPr="003E71AF">
        <w:rPr>
          <w:rFonts w:ascii="Arial" w:eastAsia="Times New Roman" w:hAnsi="Arial" w:cs="Arial"/>
          <w:sz w:val="20"/>
          <w:szCs w:val="20"/>
        </w:rPr>
        <w:t xml:space="preserve">These results are consistent with those of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Magambo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(2023)</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who found that street food vendors were more</w:t>
      </w:r>
      <w:r w:rsidR="00B94DD0">
        <w:rPr>
          <w:rFonts w:ascii="Arial" w:eastAsia="Times New Roman" w:hAnsi="Arial" w:cs="Arial"/>
          <w:sz w:val="20"/>
          <w:szCs w:val="20"/>
        </w:rPr>
        <w:t xml:space="preserve"> between the ages of 18 and 45.</w:t>
      </w:r>
    </w:p>
    <w:p w14:paraId="02C775B3" w14:textId="77777777" w:rsidR="003C67C0" w:rsidRDefault="003C67C0" w:rsidP="003E71AF">
      <w:pPr>
        <w:spacing w:after="0" w:line="240" w:lineRule="auto"/>
        <w:jc w:val="both"/>
        <w:rPr>
          <w:rFonts w:ascii="Arial" w:eastAsia="Times New Roman" w:hAnsi="Arial" w:cs="Arial"/>
          <w:sz w:val="20"/>
          <w:szCs w:val="20"/>
        </w:rPr>
      </w:pPr>
    </w:p>
    <w:p w14:paraId="6C6F8731" w14:textId="26357550" w:rsidR="00034442" w:rsidRPr="003E71AF" w:rsidRDefault="00017DC8" w:rsidP="003E71AF">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Findings from this study show </w:t>
      </w:r>
      <w:r w:rsidR="00632C6F" w:rsidRPr="003E71AF">
        <w:rPr>
          <w:rFonts w:ascii="Arial" w:eastAsia="Times New Roman" w:hAnsi="Arial" w:cs="Arial"/>
          <w:sz w:val="20"/>
          <w:szCs w:val="20"/>
        </w:rPr>
        <w:t xml:space="preserve">that </w:t>
      </w:r>
      <w:r>
        <w:rPr>
          <w:rFonts w:ascii="Arial" w:eastAsia="Times New Roman" w:hAnsi="Arial" w:cs="Arial"/>
          <w:sz w:val="20"/>
          <w:szCs w:val="20"/>
        </w:rPr>
        <w:t>majority (</w:t>
      </w:r>
      <w:r w:rsidR="00632C6F" w:rsidRPr="003E71AF">
        <w:rPr>
          <w:rFonts w:ascii="Arial" w:eastAsia="Times New Roman" w:hAnsi="Arial" w:cs="Arial"/>
          <w:sz w:val="20"/>
          <w:szCs w:val="20"/>
        </w:rPr>
        <w:t>64.44%</w:t>
      </w:r>
      <w:r>
        <w:rPr>
          <w:rFonts w:ascii="Arial" w:eastAsia="Times New Roman" w:hAnsi="Arial" w:cs="Arial"/>
          <w:sz w:val="20"/>
          <w:szCs w:val="20"/>
        </w:rPr>
        <w:t>)</w:t>
      </w:r>
      <w:r w:rsidR="00632C6F" w:rsidRPr="003E71AF">
        <w:rPr>
          <w:rFonts w:ascii="Arial" w:eastAsia="Times New Roman" w:hAnsi="Arial" w:cs="Arial"/>
          <w:sz w:val="20"/>
          <w:szCs w:val="20"/>
        </w:rPr>
        <w:t xml:space="preserve"> of respondent</w:t>
      </w:r>
      <w:r>
        <w:rPr>
          <w:rFonts w:ascii="Arial" w:eastAsia="Times New Roman" w:hAnsi="Arial" w:cs="Arial"/>
          <w:sz w:val="20"/>
          <w:szCs w:val="20"/>
        </w:rPr>
        <w:t xml:space="preserve">s owned the soft drink business. </w:t>
      </w:r>
      <w:r w:rsidR="00632C6F" w:rsidRPr="003E71AF">
        <w:rPr>
          <w:rFonts w:ascii="Arial" w:eastAsia="Times New Roman" w:hAnsi="Arial" w:cs="Arial"/>
          <w:sz w:val="20"/>
          <w:szCs w:val="20"/>
        </w:rPr>
        <w:t xml:space="preserve">This aligns with </w:t>
      </w:r>
      <w:r w:rsidR="00632C6F" w:rsidRPr="003E71AF">
        <w:rPr>
          <w:rFonts w:ascii="Arial" w:eastAsia="Times New Roman" w:hAnsi="Arial" w:cs="Arial"/>
          <w:color w:val="000000" w:themeColor="text1"/>
          <w:sz w:val="20"/>
          <w:szCs w:val="20"/>
        </w:rPr>
        <w:fldChar w:fldCharType="begin" w:fldLock="1"/>
      </w:r>
      <w:r w:rsidR="00632C6F"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00632C6F" w:rsidRPr="003E71AF">
        <w:rPr>
          <w:rFonts w:ascii="Arial" w:eastAsia="Times New Roman" w:hAnsi="Arial" w:cs="Arial"/>
          <w:color w:val="000000" w:themeColor="text1"/>
          <w:sz w:val="20"/>
          <w:szCs w:val="20"/>
        </w:rPr>
        <w:fldChar w:fldCharType="separate"/>
      </w:r>
      <w:r w:rsidR="00632C6F" w:rsidRPr="003E71AF">
        <w:rPr>
          <w:rFonts w:ascii="Arial" w:eastAsia="Times New Roman" w:hAnsi="Arial" w:cs="Arial"/>
          <w:noProof/>
          <w:color w:val="000000" w:themeColor="text1"/>
          <w:sz w:val="20"/>
          <w:szCs w:val="20"/>
        </w:rPr>
        <w:t xml:space="preserve">Karondo </w:t>
      </w:r>
      <w:r w:rsidR="00632C6F" w:rsidRPr="003E71AF">
        <w:rPr>
          <w:rFonts w:ascii="Arial" w:eastAsia="Times New Roman" w:hAnsi="Arial" w:cs="Arial"/>
          <w:i/>
          <w:noProof/>
          <w:color w:val="000000" w:themeColor="text1"/>
          <w:sz w:val="20"/>
          <w:szCs w:val="20"/>
        </w:rPr>
        <w:t>et al</w:t>
      </w:r>
      <w:r w:rsidR="00632C6F" w:rsidRPr="003E71AF">
        <w:rPr>
          <w:rFonts w:ascii="Arial" w:eastAsia="Times New Roman" w:hAnsi="Arial" w:cs="Arial"/>
          <w:noProof/>
          <w:color w:val="000000" w:themeColor="text1"/>
          <w:sz w:val="20"/>
          <w:szCs w:val="20"/>
        </w:rPr>
        <w:t>. (2021)</w:t>
      </w:r>
      <w:r w:rsidR="00632C6F" w:rsidRPr="003E71AF">
        <w:rPr>
          <w:rFonts w:ascii="Arial" w:eastAsia="Times New Roman" w:hAnsi="Arial" w:cs="Arial"/>
          <w:color w:val="000000" w:themeColor="text1"/>
          <w:sz w:val="20"/>
          <w:szCs w:val="20"/>
        </w:rPr>
        <w:fldChar w:fldCharType="end"/>
      </w:r>
      <w:r w:rsidR="00632C6F" w:rsidRPr="003E71AF">
        <w:rPr>
          <w:rFonts w:ascii="Arial" w:eastAsia="Times New Roman" w:hAnsi="Arial" w:cs="Arial"/>
          <w:sz w:val="20"/>
          <w:szCs w:val="20"/>
        </w:rPr>
        <w:t xml:space="preserve"> who reported 61% of the street food vendors started up their business through their own savings and required little initial cost to run since it operates in open, free spaces without any payments.</w:t>
      </w:r>
    </w:p>
    <w:p w14:paraId="755F69D9" w14:textId="77777777" w:rsidR="003A350F" w:rsidRPr="003E71AF" w:rsidRDefault="003A350F" w:rsidP="003E71AF">
      <w:pPr>
        <w:spacing w:after="0" w:line="240" w:lineRule="auto"/>
        <w:jc w:val="both"/>
        <w:rPr>
          <w:rFonts w:ascii="Arial" w:eastAsia="Times New Roman" w:hAnsi="Arial" w:cs="Arial"/>
          <w:sz w:val="20"/>
          <w:szCs w:val="20"/>
        </w:rPr>
      </w:pPr>
    </w:p>
    <w:p w14:paraId="3BD83D53" w14:textId="72C9A99E" w:rsidR="00565075" w:rsidRPr="003E71AF" w:rsidRDefault="00017DC8" w:rsidP="003E71AF">
      <w:pPr>
        <w:spacing w:line="240" w:lineRule="auto"/>
        <w:jc w:val="both"/>
        <w:rPr>
          <w:rFonts w:ascii="Arial" w:eastAsia="Times New Roman" w:hAnsi="Arial" w:cs="Arial"/>
          <w:color w:val="000000" w:themeColor="text1"/>
          <w:sz w:val="20"/>
          <w:szCs w:val="20"/>
        </w:rPr>
      </w:pPr>
      <w:r>
        <w:rPr>
          <w:rFonts w:ascii="Arial" w:eastAsia="Times New Roman" w:hAnsi="Arial" w:cs="Arial"/>
          <w:sz w:val="20"/>
          <w:szCs w:val="20"/>
        </w:rPr>
        <w:t xml:space="preserve">However, </w:t>
      </w:r>
      <w:r w:rsidR="00034442" w:rsidRPr="003E71AF">
        <w:rPr>
          <w:rFonts w:ascii="Arial" w:eastAsia="Times New Roman" w:hAnsi="Arial" w:cs="Arial"/>
          <w:sz w:val="20"/>
          <w:szCs w:val="20"/>
        </w:rPr>
        <w:t>Secondary and primary education levels dominated among participants (43.77% and 41.95%, respectively).</w:t>
      </w:r>
      <w:r w:rsidR="00034442" w:rsidRPr="003E71AF">
        <w:rPr>
          <w:rFonts w:ascii="Arial" w:hAnsi="Arial" w:cs="Arial"/>
          <w:sz w:val="20"/>
          <w:szCs w:val="20"/>
        </w:rPr>
        <w:t xml:space="preserve"> This study </w:t>
      </w:r>
      <w:r w:rsidR="00034442" w:rsidRPr="003E71AF">
        <w:rPr>
          <w:rFonts w:ascii="Arial" w:eastAsia="Times New Roman" w:hAnsi="Arial" w:cs="Arial"/>
          <w:sz w:val="20"/>
          <w:szCs w:val="20"/>
        </w:rPr>
        <w:t xml:space="preserve">is similar to the findings of </w:t>
      </w:r>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 xml:space="preserve">Magambo </w:t>
      </w:r>
      <w:r w:rsidR="00034442" w:rsidRPr="003E71AF">
        <w:rPr>
          <w:rFonts w:ascii="Arial" w:eastAsia="Times New Roman" w:hAnsi="Arial" w:cs="Arial"/>
          <w:i/>
          <w:noProof/>
          <w:color w:val="000000" w:themeColor="text1"/>
          <w:sz w:val="20"/>
          <w:szCs w:val="20"/>
        </w:rPr>
        <w:t>et al</w:t>
      </w:r>
      <w:r w:rsidR="00034442" w:rsidRPr="003E71AF">
        <w:rPr>
          <w:rFonts w:ascii="Arial" w:eastAsia="Times New Roman" w:hAnsi="Arial" w:cs="Arial"/>
          <w:noProof/>
          <w:color w:val="000000" w:themeColor="text1"/>
          <w:sz w:val="20"/>
          <w:szCs w:val="20"/>
        </w:rPr>
        <w:t>., (2023)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sz w:val="20"/>
          <w:szCs w:val="20"/>
        </w:rPr>
        <w:t xml:space="preserve"> and </w:t>
      </w:r>
      <w:r w:rsidR="00034442" w:rsidRPr="003E71AF">
        <w:rPr>
          <w:rFonts w:ascii="Arial" w:eastAsia="Times New Roman" w:hAnsi="Arial" w:cs="Arial"/>
          <w:sz w:val="20"/>
          <w:szCs w:val="20"/>
        </w:rPr>
        <w:fldChar w:fldCharType="begin" w:fldLock="1"/>
      </w:r>
      <w:r w:rsidR="00034442"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034442" w:rsidRPr="003E71AF">
        <w:rPr>
          <w:rFonts w:ascii="Arial" w:eastAsia="Times New Roman" w:hAnsi="Arial" w:cs="Arial"/>
          <w:sz w:val="20"/>
          <w:szCs w:val="20"/>
        </w:rPr>
        <w:fldChar w:fldCharType="separate"/>
      </w:r>
      <w:r w:rsidR="00034442" w:rsidRPr="003E71AF">
        <w:rPr>
          <w:rFonts w:ascii="Arial" w:eastAsia="Times New Roman" w:hAnsi="Arial" w:cs="Arial"/>
          <w:noProof/>
          <w:sz w:val="20"/>
          <w:szCs w:val="20"/>
        </w:rPr>
        <w:t>Ann &amp; Kaunye (2023)</w:t>
      </w:r>
      <w:r w:rsidR="00034442" w:rsidRPr="003E71AF">
        <w:rPr>
          <w:rFonts w:ascii="Arial" w:eastAsia="Times New Roman" w:hAnsi="Arial" w:cs="Arial"/>
          <w:sz w:val="20"/>
          <w:szCs w:val="20"/>
        </w:rPr>
        <w:fldChar w:fldCharType="end"/>
      </w:r>
      <w:r w:rsidR="00034442" w:rsidRPr="003E71AF">
        <w:rPr>
          <w:rFonts w:ascii="Arial" w:eastAsia="Times New Roman" w:hAnsi="Arial" w:cs="Arial"/>
          <w:sz w:val="20"/>
          <w:szCs w:val="20"/>
        </w:rPr>
        <w:t>, who reported 53.3%  and 55% of the street vendors in Tanzania and Kenya had completed secondary school, respectively. The large proportion of participants with primary and secondary education may be due to Tanzania's government's efforts to guarantee that all children attend school and offer free education in public schools from primary to secondary level</w:t>
      </w:r>
      <w:r w:rsidR="00034442" w:rsidRPr="003E71AF">
        <w:rPr>
          <w:rFonts w:ascii="Arial" w:eastAsia="Times New Roman" w:hAnsi="Arial" w:cs="Arial"/>
          <w:color w:val="E97132" w:themeColor="accent2"/>
          <w:sz w:val="20"/>
          <w:szCs w:val="20"/>
        </w:rPr>
        <w:t xml:space="preserve"> </w:t>
      </w:r>
      <w:r w:rsidR="00034442" w:rsidRPr="003E71AF">
        <w:rPr>
          <w:rFonts w:ascii="Arial" w:eastAsia="Times New Roman" w:hAnsi="Arial" w:cs="Arial"/>
          <w:color w:val="000000" w:themeColor="text1"/>
          <w:sz w:val="20"/>
          <w:szCs w:val="20"/>
        </w:rPr>
        <w:t>(</w:t>
      </w:r>
      <w:r w:rsidR="00034442" w:rsidRPr="003E71AF">
        <w:rPr>
          <w:rFonts w:ascii="Arial" w:eastAsia="Times New Roman" w:hAnsi="Arial" w:cs="Arial"/>
          <w:color w:val="000000" w:themeColor="text1"/>
          <w:sz w:val="20"/>
          <w:szCs w:val="20"/>
        </w:rPr>
        <w:fldChar w:fldCharType="begin" w:fldLock="1"/>
      </w:r>
      <w:r w:rsidR="00034442" w:rsidRPr="003E71AF">
        <w:rPr>
          <w:rFonts w:ascii="Arial" w:eastAsia="Times New Roman" w:hAnsi="Arial" w:cs="Arial"/>
          <w:color w:val="000000" w:themeColor="text1"/>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034442" w:rsidRPr="003E71AF">
        <w:rPr>
          <w:rFonts w:ascii="Arial" w:eastAsia="Times New Roman" w:hAnsi="Arial" w:cs="Arial"/>
          <w:color w:val="000000" w:themeColor="text1"/>
          <w:sz w:val="20"/>
          <w:szCs w:val="20"/>
        </w:rPr>
        <w:fldChar w:fldCharType="separate"/>
      </w:r>
      <w:r w:rsidR="00034442" w:rsidRPr="003E71AF">
        <w:rPr>
          <w:rFonts w:ascii="Arial" w:eastAsia="Times New Roman" w:hAnsi="Arial" w:cs="Arial"/>
          <w:noProof/>
          <w:color w:val="000000" w:themeColor="text1"/>
          <w:sz w:val="20"/>
          <w:szCs w:val="20"/>
        </w:rPr>
        <w:t xml:space="preserve">Magambo </w:t>
      </w:r>
      <w:r w:rsidR="00034442" w:rsidRPr="003E71AF">
        <w:rPr>
          <w:rFonts w:ascii="Arial" w:eastAsia="Times New Roman" w:hAnsi="Arial" w:cs="Arial"/>
          <w:i/>
          <w:noProof/>
          <w:color w:val="000000" w:themeColor="text1"/>
          <w:sz w:val="20"/>
          <w:szCs w:val="20"/>
        </w:rPr>
        <w:t>et</w:t>
      </w:r>
      <w:r w:rsidR="00034442" w:rsidRPr="003E71AF">
        <w:rPr>
          <w:rFonts w:ascii="Arial" w:eastAsia="Times New Roman" w:hAnsi="Arial" w:cs="Arial"/>
          <w:noProof/>
          <w:color w:val="000000" w:themeColor="text1"/>
          <w:sz w:val="20"/>
          <w:szCs w:val="20"/>
        </w:rPr>
        <w:t xml:space="preserve"> </w:t>
      </w:r>
      <w:r w:rsidR="00034442" w:rsidRPr="003E71AF">
        <w:rPr>
          <w:rFonts w:ascii="Arial" w:eastAsia="Times New Roman" w:hAnsi="Arial" w:cs="Arial"/>
          <w:i/>
          <w:noProof/>
          <w:color w:val="000000" w:themeColor="text1"/>
          <w:sz w:val="20"/>
          <w:szCs w:val="20"/>
        </w:rPr>
        <w:t>al</w:t>
      </w:r>
      <w:r w:rsidR="00034442" w:rsidRPr="003E71AF">
        <w:rPr>
          <w:rFonts w:ascii="Arial" w:eastAsia="Times New Roman" w:hAnsi="Arial" w:cs="Arial"/>
          <w:noProof/>
          <w:color w:val="000000" w:themeColor="text1"/>
          <w:sz w:val="20"/>
          <w:szCs w:val="20"/>
        </w:rPr>
        <w:t>.,2023)</w:t>
      </w:r>
      <w:r w:rsidR="00034442" w:rsidRPr="003E71AF">
        <w:rPr>
          <w:rFonts w:ascii="Arial" w:eastAsia="Times New Roman" w:hAnsi="Arial" w:cs="Arial"/>
          <w:color w:val="000000" w:themeColor="text1"/>
          <w:sz w:val="20"/>
          <w:szCs w:val="20"/>
        </w:rPr>
        <w:fldChar w:fldCharType="end"/>
      </w:r>
      <w:r w:rsidR="00034442" w:rsidRPr="003E71AF">
        <w:rPr>
          <w:rFonts w:ascii="Arial" w:eastAsia="Times New Roman" w:hAnsi="Arial" w:cs="Arial"/>
          <w:color w:val="000000" w:themeColor="text1"/>
          <w:sz w:val="20"/>
          <w:szCs w:val="20"/>
        </w:rPr>
        <w:t>.</w:t>
      </w:r>
    </w:p>
    <w:p w14:paraId="714A65A4" w14:textId="353E02F2" w:rsidR="003A350F" w:rsidRPr="003E71AF" w:rsidRDefault="00034442"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The study found that soft drink vending, including stalls and hawkers who worked in open areas, accounted for 53.59 % of business selling setups. While shops constructed from iron sheets and kiosks using strong nylons and tarpaulin accounted for 26.74% and 19.76% respectively. The study aligns </w:t>
      </w:r>
      <w:r w:rsidRPr="003E71AF">
        <w:rPr>
          <w:rFonts w:ascii="Arial" w:eastAsia="Times New Roman" w:hAnsi="Arial" w:cs="Arial"/>
          <w:color w:val="000000" w:themeColor="text1"/>
          <w:sz w:val="20"/>
          <w:szCs w:val="20"/>
        </w:rPr>
        <w:t xml:space="preserve">with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 xml:space="preserve">, </w:t>
      </w:r>
      <w:r w:rsidRPr="003E71AF">
        <w:rPr>
          <w:rFonts w:ascii="Arial" w:eastAsia="Times New Roman" w:hAnsi="Arial" w:cs="Arial"/>
          <w:sz w:val="20"/>
          <w:szCs w:val="20"/>
        </w:rPr>
        <w:t xml:space="preserve">findings who revealed that, majority of  the street food vendors (76.8%) operated in open free spaces, with 23.2% operating in rental spaces. Operating in open environments exposes soft drinks to heat, light, and direct sunlight, which can degrade preservatives and other sensitive compounds, potentially compromising product safety and posing health risks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assessment","type":"article-journal","volume":"37"},"uris":["http://www.mendeley.com/documents/?uuid=2f2e1615-4fd5-48f2-8213-b4a574226bcf"]}],"mendeley":{"formattedCitation":"(Omokpariola, 2022)","plainTextFormattedCitation":"(Omokpariola, 2022)","previouslyFormattedCitation":"(Omokpariola,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(Omokpariola,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p>
    <w:p w14:paraId="4B869EDF" w14:textId="1404A40B" w:rsidR="00F45E6B"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lastRenderedPageBreak/>
        <w:t xml:space="preserve">The study found that, 63.83% of the retailers had been selling soft drinks for 1–5 years. The results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{"citationItems":[{"id":"ITEM-1","itemData":{"author":[{"dropping-particle":"","family":"Tumaini","given":"Ubaldus J","non-dropping-particle":"","parse-names":false,"suffix":""}],"id":"ITEM-1","issue":"2","issued":{"date-parts":[["2023"]]},"page":"69-77","title":"Eviction-Related Threats and Coping Mechanisms among Women Street Food Vendors in Dar es Salaam , Tanzania","type":"article-journal","volume":"4"},"uris":["http://www.mendeley.com/documents/?uuid=414827cc-e76c-46dc-ac37-2460e8776620"]}],"mendeley":{"formattedCitation":"(Tumaini, 2023)","manualFormatting":"Tumaini (2023)","plainTextFormattedCitation":"(Tumaini, 2023)","previouslyFormattedCitation":"(Tumaini,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Tumaini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color w:val="000000" w:themeColor="text1"/>
          <w:sz w:val="20"/>
          <w:szCs w:val="20"/>
        </w:rPr>
        <w:fldChar w:fldCharType="begin" w:fldLock="1"/>
      </w:r>
      <w:r w:rsidRPr="003E71AF">
        <w:rPr>
          <w:rFonts w:ascii="Arial" w:eastAsia="Times New Roman" w:hAnsi="Arial" w:cs="Arial"/>
          <w:color w:val="000000" w:themeColor="text1"/>
          <w:sz w:val="20"/>
          <w:szCs w:val="20"/>
        </w:rPr>
        <w:instrText>ADDIN CSL_CITATION {"citationItems":[{"id":"ITEM-1","itemData":{"author":[{"dropping-particle":"","family":"Karondo, J. V., &amp; Tumaini","given":"U. J. (2021)","non-dropping-particle":"","parse-names":false,"suffix":""}],"id":"ITEM-1","issue":"Ii","issued":{"date-parts":[["2021"]]},"page":"1-9","title":"THE RO LE OF STREET F OOD VENDING TO THE V ENDOR ’ S HOUSEHOLD WELFARE IN ILALA MUN ICIPALITY IN DAR ES SALAAM , TANZANIA","type":"article-journal","volume":"I"},"uris":["http://www.mendeley.com/documents/?uuid=645cb091-89f5-4f0a-873d-c971669c6b6f"]}],"mendeley":{"formattedCitation":"(Karondo, J. V., &amp; Tumaini, 2021)","manualFormatting":"Karondo et al. (2021)","plainTextFormattedCitation":"(Karondo, J. V., &amp; Tumaini, 2021)","previouslyFormattedCitation":"(Karondo, J. V., &amp; Tumaini, 2021)"},"properties":{"noteIndex":0},"schema":"https://github.com/citation-style-language/schema/raw/master/csl-citation.json"}</w:instrText>
      </w:r>
      <w:r w:rsidRPr="003E71AF">
        <w:rPr>
          <w:rFonts w:ascii="Arial" w:eastAsia="Times New Roman" w:hAnsi="Arial" w:cs="Arial"/>
          <w:color w:val="000000" w:themeColor="text1"/>
          <w:sz w:val="20"/>
          <w:szCs w:val="20"/>
        </w:rPr>
        <w:fldChar w:fldCharType="separate"/>
      </w:r>
      <w:r w:rsidRPr="003E71AF">
        <w:rPr>
          <w:rFonts w:ascii="Arial" w:eastAsia="Times New Roman" w:hAnsi="Arial" w:cs="Arial"/>
          <w:noProof/>
          <w:color w:val="000000" w:themeColor="text1"/>
          <w:sz w:val="20"/>
          <w:szCs w:val="20"/>
        </w:rPr>
        <w:t xml:space="preserve">Karondo </w:t>
      </w:r>
      <w:r w:rsidRPr="003E71AF">
        <w:rPr>
          <w:rFonts w:ascii="Arial" w:eastAsia="Times New Roman" w:hAnsi="Arial" w:cs="Arial"/>
          <w:i/>
          <w:noProof/>
          <w:color w:val="000000" w:themeColor="text1"/>
          <w:sz w:val="20"/>
          <w:szCs w:val="20"/>
        </w:rPr>
        <w:t>et al</w:t>
      </w:r>
      <w:r w:rsidRPr="003E71AF">
        <w:rPr>
          <w:rFonts w:ascii="Arial" w:eastAsia="Times New Roman" w:hAnsi="Arial" w:cs="Arial"/>
          <w:noProof/>
          <w:color w:val="000000" w:themeColor="text1"/>
          <w:sz w:val="20"/>
          <w:szCs w:val="20"/>
        </w:rPr>
        <w:t>. (2021)</w:t>
      </w:r>
      <w:r w:rsidRPr="003E71AF">
        <w:rPr>
          <w:rFonts w:ascii="Arial" w:eastAsia="Times New Roman" w:hAnsi="Arial" w:cs="Arial"/>
          <w:color w:val="000000" w:themeColor="text1"/>
          <w:sz w:val="20"/>
          <w:szCs w:val="20"/>
        </w:rPr>
        <w:fldChar w:fldCharType="end"/>
      </w:r>
      <w:r w:rsidRPr="003E71AF">
        <w:rPr>
          <w:rFonts w:ascii="Arial" w:eastAsia="Times New Roman" w:hAnsi="Arial" w:cs="Arial"/>
          <w:color w:val="000000" w:themeColor="text1"/>
          <w:sz w:val="20"/>
          <w:szCs w:val="20"/>
        </w:rPr>
        <w:t>,</w:t>
      </w:r>
      <w:r w:rsidRPr="003E71AF">
        <w:rPr>
          <w:rFonts w:ascii="Arial" w:eastAsia="Times New Roman" w:hAnsi="Arial" w:cs="Arial"/>
          <w:sz w:val="20"/>
          <w:szCs w:val="20"/>
        </w:rPr>
        <w:t xml:space="preserve"> who reported that, most street food vending operations in Dar es Salaam's </w:t>
      </w:r>
      <w:proofErr w:type="spellStart"/>
      <w:r w:rsidRPr="003E71AF">
        <w:rPr>
          <w:rFonts w:ascii="Arial" w:eastAsia="Times New Roman" w:hAnsi="Arial" w:cs="Arial"/>
          <w:sz w:val="20"/>
          <w:szCs w:val="20"/>
        </w:rPr>
        <w:t>Ubungo</w:t>
      </w:r>
      <w:proofErr w:type="spellEnd"/>
      <w:r w:rsidRPr="003E71AF">
        <w:rPr>
          <w:rFonts w:ascii="Arial" w:eastAsia="Times New Roman" w:hAnsi="Arial" w:cs="Arial"/>
          <w:sz w:val="20"/>
          <w:szCs w:val="20"/>
        </w:rPr>
        <w:t xml:space="preserve"> and Ilala Municipalities, Tanzania had been in operation for three to four years respectively.</w:t>
      </w:r>
    </w:p>
    <w:p w14:paraId="030ED9FA" w14:textId="43E1B98D" w:rsidR="003A350F" w:rsidRPr="00833A2B" w:rsidRDefault="003A350F" w:rsidP="003E71AF">
      <w:pPr>
        <w:spacing w:line="240" w:lineRule="auto"/>
        <w:jc w:val="both"/>
        <w:rPr>
          <w:rFonts w:ascii="Arial" w:eastAsia="Times New Roman" w:hAnsi="Arial" w:cs="Arial"/>
          <w:sz w:val="20"/>
          <w:szCs w:val="20"/>
        </w:rPr>
      </w:pPr>
      <w:r w:rsidRPr="00833A2B">
        <w:rPr>
          <w:rFonts w:ascii="Arial" w:eastAsia="Times New Roman" w:hAnsi="Arial" w:cs="Arial"/>
          <w:sz w:val="20"/>
          <w:szCs w:val="20"/>
        </w:rPr>
        <w:t>The study found that 65.35% of the respondents used domestic cool boxes for se</w:t>
      </w:r>
      <w:r w:rsidR="000E7ADA">
        <w:rPr>
          <w:rFonts w:ascii="Arial" w:eastAsia="Times New Roman" w:hAnsi="Arial" w:cs="Arial"/>
          <w:sz w:val="20"/>
          <w:szCs w:val="20"/>
        </w:rPr>
        <w:t xml:space="preserve">lling or </w:t>
      </w:r>
      <w:r w:rsidRPr="00833A2B">
        <w:rPr>
          <w:rFonts w:ascii="Arial" w:eastAsia="Times New Roman" w:hAnsi="Arial" w:cs="Arial"/>
          <w:sz w:val="20"/>
          <w:szCs w:val="20"/>
        </w:rPr>
        <w:t xml:space="preserve">non-functional refrigerators where they placed ice, with the majority selling in open areas within bus stands. Similar results were found among street vendors on Brazilian beaches, where cool boxes were used to cool 82.4% of industrial beverages, according to </w:t>
      </w:r>
      <w:r w:rsidRPr="00833A2B">
        <w:rPr>
          <w:rFonts w:ascii="Arial" w:eastAsia="Times New Roman" w:hAnsi="Arial" w:cs="Arial"/>
          <w:sz w:val="20"/>
          <w:szCs w:val="20"/>
        </w:rPr>
        <w:fldChar w:fldCharType="begin" w:fldLock="1"/>
      </w:r>
      <w:r w:rsidRPr="00833A2B">
        <w:rPr>
          <w:rFonts w:ascii="Arial" w:eastAsia="Times New Roman" w:hAnsi="Arial" w:cs="Arial"/>
          <w:sz w:val="20"/>
          <w:szCs w:val="20"/>
        </w:rPr>
        <w:instrText>ADDIN CSL_CITATION {"citationItems":[{"id":"ITEM-1","itemData":{"DOI":"10.1016/j.foodcont.2013.11.022","ISSN":"09567135","abstract":"Street food includes various food items and drinks largely sold in public places, including leisure areas such as beaches. Despite the prevalence at this activity studies made within this scenario are few. Therefore, this study sought to characterize street food commercialization on the Salvador coast in Bahia, Brazil based on the socioeconomic, labor, and food safety perspectives. An exploratory and quantitative study was conducted on 14 beaches using questionnaires addressing the following areas: the socio-demographic characteristics of the food vendors, characteristics of the work, and hygienic and sanitary conditions of the activity. Our study included 247 food vendors with an average age of 40.3 years, of whom 55.9% were women, and 48.7% had completed an elementary education or less. The median time spent working in street food vending was nine years, and the average working day for the participants was 8.3 Furthermore, 46.2% of the participants worked only on weekends and 72.0% declared that their family income was between one and three times the minimum wage, of whom 29.1% had revenue from a source other than street food vending. Most of the vendor locations were fixed (57.5%), and the products sold were typically obtained from supermarkets (48.1%), suppliers (36.8%), and street markets (36.0%). Prepared food items were the most common (61.6%), although mineral water/soft drinks (35.8%) and beer (35.2%) were also commonly sold items, followed by acarajé (21.9%), coconut water (19.0%), fried fish (14.2%), and abará (12.5%). Only 38.3% of the perishable food items were kept in cooling containers. Of the interviewed individuals, 22.6% declared that they did not sanitize their hands when working, whereas 80.2% admitted to handling food and money simultaneously. Our study reveals the socioeconomic importance of the street food sector as well as the poor hygienic conditions of most street food vendor operations. © 2013 Elsevier Ltd.","author":[{"dropping-particle":"","family":"Alves da Silva","given":"Sueli","non-dropping-particle":"","parse-names":false,"suffix":""},{"dropping-particle":"","family":"Cardoso","given":"Ryzia de Cassia Vieira","non-dropping-particle":"","parse-names":false,"suffix":""},{"dropping-particle":"","family":"Góes","given":"José Ângelo Wenceslau","non-dropping-particle":"","parse-names":false,"suffix":""},{"dropping-particle":"","family":"Santos","given":"Jessica Nascimento","non-dropping-particle":"","parse-names":false,"suffix":""},{"dropping-particle":"","family":"Ramos","given":"Flávia Pascoal","non-dropping-particle":"","parse-names":false,"suffix":""},{"dropping-particle":"","family":"Bispo de Jesus","given":"Rubia","non-dropping-particle":"","parse-names":false,"suffix":""},{"dropping-particle":"","family":"Sabá do Vale","given":"Renata","non-dropping-particle":"","parse-names":false,"suffix":""},{"dropping-particle":"","family":"Teles da Silva","given":"Priscila Santos","non-dropping-particle":"","parse-names":false,"suffix":""}],"container-title":"Food Control","id":"ITEM-1","issue":"1","issued":{"date-parts":[["2014"]]},"page":"78-84","title":"Street food on the coast of Salvador, Bahia, Brazil: A study from the socioeconomic and food safety perspectives","type":"article-journal","volume":"40"},"uris":["http://www.mendeley.com/documents/?uuid=fd2dee33-3f62-4eb0-857b-2557aa88506a"]}],"mendeley":{"formattedCitation":"(Alves da Silva et al., 2014)","manualFormatting":"Alves da Silva et al. (2014)","plainTextFormattedCitation":"(Alves da Silva et al., 2014)","previouslyFormattedCitation":"(Alves da Silva et al., 2014)"},"properties":{"noteIndex":0},"schema":"https://github.com/citation-style-language/schema/raw/master/csl-citation.json"}</w:instrText>
      </w:r>
      <w:r w:rsidRPr="00833A2B">
        <w:rPr>
          <w:rFonts w:ascii="Arial" w:eastAsia="Times New Roman" w:hAnsi="Arial" w:cs="Arial"/>
          <w:sz w:val="20"/>
          <w:szCs w:val="20"/>
        </w:rPr>
        <w:fldChar w:fldCharType="separate"/>
      </w:r>
      <w:r w:rsidRPr="00833A2B">
        <w:rPr>
          <w:rFonts w:ascii="Arial" w:eastAsia="Times New Roman" w:hAnsi="Arial" w:cs="Arial"/>
          <w:noProof/>
          <w:sz w:val="20"/>
          <w:szCs w:val="20"/>
        </w:rPr>
        <w:t xml:space="preserve">Alves da Silva </w:t>
      </w:r>
      <w:r w:rsidRPr="00833A2B">
        <w:rPr>
          <w:rFonts w:ascii="Arial" w:eastAsia="Times New Roman" w:hAnsi="Arial" w:cs="Arial"/>
          <w:i/>
          <w:noProof/>
          <w:sz w:val="20"/>
          <w:szCs w:val="20"/>
        </w:rPr>
        <w:t>et al</w:t>
      </w:r>
      <w:r w:rsidRPr="00833A2B">
        <w:rPr>
          <w:rFonts w:ascii="Arial" w:eastAsia="Times New Roman" w:hAnsi="Arial" w:cs="Arial"/>
          <w:noProof/>
          <w:sz w:val="20"/>
          <w:szCs w:val="20"/>
        </w:rPr>
        <w:t>. (2014)</w:t>
      </w:r>
      <w:r w:rsidRPr="00833A2B">
        <w:rPr>
          <w:rFonts w:ascii="Arial" w:eastAsia="Times New Roman" w:hAnsi="Arial" w:cs="Arial"/>
          <w:sz w:val="20"/>
          <w:szCs w:val="20"/>
        </w:rPr>
        <w:fldChar w:fldCharType="end"/>
      </w:r>
      <w:r w:rsidR="00D625D9">
        <w:rPr>
          <w:rFonts w:ascii="Arial" w:eastAsia="Times New Roman" w:hAnsi="Arial" w:cs="Arial"/>
          <w:sz w:val="20"/>
          <w:szCs w:val="20"/>
        </w:rPr>
        <w:t>. This indicates that the infrastructure of a business setting determines the storage method.</w:t>
      </w:r>
    </w:p>
    <w:p w14:paraId="30080202" w14:textId="2E46E23E"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{"citationItems":[{"id":"ITEM-1","itemData":{"author":[{"dropping-particle":"","family":"Khan","given":"Suhail Ahmad","non-dropping-particle":"","parse-names":false,"suffix":""},{"dropping-particle":"","family":"Hafiz","given":"Adnan","non-dropping-particle":"","parse-names":false,"suffix":""}],"id":"ITEM-1","issue":"August","issued":{"date-parts":[["2024"]]},"title":"ELEMENTS OF REFRIGERATION ENGINEERING","type":"article-journal"},"uris":["http://www.mendeley.com/documents/?uuid=15176ea8-c369-419f-9965-9b26405550b5"]}],"mendeley":{"formattedCitation":"(Khan &amp; Hafiz, 2024)","manualFormatting":"Khan &amp; Hafiz (2024)","plainTextFormattedCitation":"(Khan &amp; Hafiz, 2024)","previouslyFormattedCitation":"(Khan &amp; Hafiz, 2024)"},"properties":{"noteIndex":0},"schema":"https://github.com/citation-style-language/schema/raw/master/csl-citation.json"}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Khan &amp; Hafiz (2024)</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domestic ice boxes frequently have difficulty in keeping ice solids for extended periods, necessitating frequent ice replacement while refrigerators continuously control food temperature. This study found that only 34.89% of respondents who </w:t>
      </w:r>
      <w:r w:rsidR="000E7ADA">
        <w:rPr>
          <w:rFonts w:ascii="Arial" w:eastAsia="Times New Roman" w:hAnsi="Arial" w:cs="Arial"/>
          <w:sz w:val="20"/>
          <w:szCs w:val="20"/>
        </w:rPr>
        <w:t>used coolers or non-functional refrigerators</w:t>
      </w:r>
      <w:r w:rsidRPr="003E71AF">
        <w:rPr>
          <w:rFonts w:ascii="Arial" w:eastAsia="Times New Roman" w:hAnsi="Arial" w:cs="Arial"/>
          <w:sz w:val="20"/>
          <w:szCs w:val="20"/>
        </w:rPr>
        <w:t xml:space="preserve"> routinely filled them with ice, whereas 93.33% of them did it at least once, and just 6.67% filled them with ice at least twice. Cost (</w:t>
      </w:r>
      <w:r w:rsidRPr="003E71AF">
        <w:rPr>
          <w:rFonts w:ascii="Arial" w:hAnsi="Arial" w:cs="Arial"/>
          <w:sz w:val="20"/>
          <w:szCs w:val="20"/>
        </w:rPr>
        <w:t xml:space="preserve">65.71%) </w:t>
      </w:r>
      <w:r w:rsidRPr="003E71AF">
        <w:rPr>
          <w:rFonts w:ascii="Arial" w:eastAsia="Times New Roman" w:hAnsi="Arial" w:cs="Arial"/>
          <w:sz w:val="20"/>
          <w:szCs w:val="20"/>
        </w:rPr>
        <w:t xml:space="preserve">was </w:t>
      </w:r>
      <w:r w:rsidRPr="003E71AF">
        <w:rPr>
          <w:rFonts w:ascii="Arial" w:hAnsi="Arial" w:cs="Arial"/>
          <w:sz w:val="20"/>
          <w:szCs w:val="20"/>
        </w:rPr>
        <w:t xml:space="preserve">mentioned by the majority (65.01%) for not filling coolers with ice. These results are in contrast with </w:t>
      </w:r>
      <w:r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Cortese, Boro, Feldman, &amp; Barletto, 2016)","manualFormatting":"Dal et al. (2016)","plainTextFormattedCitation":"(Dal, Cortese, Boro, Feldman, &amp; Barletto, 2016)","previouslyFormattedCitation":"(Dal, Cortese, Boro, Feldman, &amp; Barletto, 2016)"},"properties":{"noteIndex":0},"schema":"https://github.com/citation-style-language/schema/raw/master/csl-citation.json"}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 xml:space="preserve">Dal </w:t>
      </w:r>
      <w:r w:rsidRPr="003E71AF">
        <w:rPr>
          <w:rFonts w:ascii="Arial" w:hAnsi="Arial" w:cs="Arial"/>
          <w:i/>
          <w:noProof/>
          <w:sz w:val="20"/>
          <w:szCs w:val="20"/>
        </w:rPr>
        <w:t>et al</w:t>
      </w:r>
      <w:r w:rsidRPr="003E71AF">
        <w:rPr>
          <w:rFonts w:ascii="Arial" w:hAnsi="Arial" w:cs="Arial"/>
          <w:noProof/>
          <w:sz w:val="20"/>
          <w:szCs w:val="20"/>
        </w:rPr>
        <w:t>. (2016)</w:t>
      </w:r>
      <w:r w:rsidRPr="003E71AF">
        <w:rPr>
          <w:rFonts w:ascii="Arial" w:hAnsi="Arial" w:cs="Arial"/>
          <w:sz w:val="20"/>
          <w:szCs w:val="20"/>
        </w:rPr>
        <w:fldChar w:fldCharType="end"/>
      </w:r>
      <w:r w:rsidRPr="003E71AF">
        <w:rPr>
          <w:rFonts w:ascii="Arial" w:hAnsi="Arial" w:cs="Arial"/>
          <w:sz w:val="20"/>
          <w:szCs w:val="20"/>
        </w:rPr>
        <w:t>, who found that among street vendors storing food on ice, none had the resources to change the ice during their operation and t</w:t>
      </w:r>
      <w:r w:rsidRPr="003E71AF">
        <w:rPr>
          <w:rFonts w:ascii="Arial" w:eastAsia="Times New Roman" w:hAnsi="Arial" w:cs="Arial"/>
          <w:sz w:val="20"/>
          <w:szCs w:val="20"/>
        </w:rPr>
        <w:t xml:space="preserve">his difference might have been brought about by the type of food product. Furthermore, the frequent opening and closing of the coolers were observed to cause the drinks to warm up as could be seen, the extreme heat of Dar es Salaam had caused a large amount of ice to melt. In this study, areas reported to do ice filling include: Mbezi Luis Terminal bus stand, where they ran overnight; Kawe Terminal bus stand during religious gatherings; and Coco Beach recreation center on Fridays, Saturdays, and Sundays, when customer traffic was very high. </w:t>
      </w:r>
    </w:p>
    <w:p w14:paraId="461EADB5" w14:textId="1312510E" w:rsidR="003A350F" w:rsidRPr="003E71AF" w:rsidRDefault="003A350F"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Among hawkers (39/329, 11.85%), the majority (56.41%) of them exposed the soft drinks to direct sunlight for 90 minutes, although half </w:t>
      </w:r>
      <w:r w:rsidRPr="003E71AF">
        <w:rPr>
          <w:rFonts w:ascii="Arial" w:eastAsia="Times New Roman" w:hAnsi="Arial" w:cs="Arial"/>
          <w:sz w:val="20"/>
          <w:szCs w:val="20"/>
        </w:rPr>
        <w:t>(20/39, 51.28%) of them covered the containers they carried with clear plastic to keep the drinks cold by reducing direct exposure to sunlight before bringing them back to the shops where they were bought to be refrigerated. Exposure of soft drinks by sellers to direct sunlight is very common as cited my number of researches</w:t>
      </w:r>
      <w:r w:rsidR="00D625D9">
        <w:rPr>
          <w:rFonts w:ascii="Arial" w:eastAsia="Times New Roman" w:hAnsi="Arial" w:cs="Arial"/>
          <w:sz w:val="20"/>
          <w:szCs w:val="20"/>
        </w:rPr>
        <w:t xml:space="preserve"> which may compromise the product integrity as well as consumer safety</w:t>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00D625D9">
        <w:rPr>
          <w:rFonts w:ascii="Arial" w:eastAsia="Times New Roman" w:hAnsi="Arial" w:cs="Arial"/>
          <w:sz w:val="20"/>
          <w:szCs w:val="20"/>
        </w:rPr>
        <w:instrText>ADDIN CSL_CITATION {"citationItems":[{"id":"ITEM-1","itemData":{"ISBN":"1047090511","author":[{"dropping-particle":"","family":"Omokpariola","given":"Daniel Omeodisemi","non-dropping-particle":"","parse-names":false,"suffix":""}],"id":"ITEM-1","issue":"3","issued":{"date-parts":[["2022"]]},"page":"1-17","title":"Influence on storage condition and time on properties of carbonated beverages from utilization of polyethylene terephthalate ( PET ) bottles : chemometric and health risk assessment","type":"article-journal","volume":"37"},"uris":["http://www.mendeley.com/documents/?uuid=2f2e1615-4fd5-48f2-8213-b4a574226bcf"]},{"id":"ITEM-2","itemData":{"DOI":"10.5620/eaht.2022030","ISSN":"22336567","abstract":"Soft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Toxicology","id":"ITEM-2","issue":"4","issued":{"date-parts":[["2022"]]},"page":"1-10","title":"Effect of storage on the levels of sodium benzoate in soft drinks sold in some Nigerian market with exposure and health risk assessment","type":"article-journal","volume":"37"},"uris":["http://www.mendeley.com/documents/?uuid=cae3735e-6e80-493a-9a9b-b9ca0da6bb70"]},{"id":"ITEM-3","itemData":{"DOI":"10.9734/AJOCS/2024/v14i2294","author":[{"dropping-particle":"","family":"Evarist","given":"E","non-dropping-particle":"","parse-names":false,"suffix":""},{"dropping-particle":"","family":"N","given":"D","non-dropping-particle":"","parse-names":false,"suffix":""},{"dropping-particle":"","family":"E","given":"B","non-dropping-particle":"","parse-names":false,"suffix":""}],"id":"ITEM-3","issue":"2","issued":{"date-parts":[["2024"]]},"page":"58-73","title":"Levels of Phthalate Acid Esters in Carbonated Soft Drinks Bottled in Polyethylene Terephthalate ( PET ) Bottles Kept under Various Storage Conditions in Mwanza City , Tanzania","type":"article-journal","volume":"14"},"uris":["http://www.mendeley.com/documents/?uuid=72d34afa-589b-48c7-a698-a4f570fcfad4"]}],"mendeley":{"formattedCitation":"(Akolawole, Okoye, &amp; Omokpariola, 2022; Evarist, N, &amp; E, 2024; Omokpariola, 2022)","manualFormatting":"(Akolawole et al,.2022; Evarist et al,. 2024; Omokpariola, 2022)","plainTextFormattedCitation":"(Akolawole, Okoye, &amp; Omokpariola, 2022; Evarist, N, &amp; E, 2024; Omokpariola, 2022)","previouslyFormattedCitation":"(Akolawole, Okoye, &amp; Omokpariola, 2022; Evarist, N, &amp; E, 2024; Omokpariola, 2022)"},"properties":{"noteIndex":0},"schema":"https://github.com/citation-style-language/schema/raw/master/csl-citation.json"}</w:instrText>
      </w:r>
      <w:r w:rsidRPr="003E71AF">
        <w:rPr>
          <w:rFonts w:ascii="Arial" w:eastAsia="Times New Roman" w:hAnsi="Arial" w:cs="Arial"/>
          <w:sz w:val="20"/>
          <w:szCs w:val="20"/>
        </w:rPr>
        <w:fldChar w:fldCharType="separate"/>
      </w:r>
      <w:r w:rsidR="00D625D9">
        <w:rPr>
          <w:rFonts w:ascii="Arial" w:eastAsia="Times New Roman" w:hAnsi="Arial" w:cs="Arial"/>
          <w:noProof/>
          <w:sz w:val="20"/>
          <w:szCs w:val="20"/>
        </w:rPr>
        <w:t xml:space="preserve">(Akolawole et al,.2022; Evarist et al,. </w:t>
      </w:r>
      <w:r w:rsidR="00556C2C" w:rsidRPr="00556C2C">
        <w:rPr>
          <w:rFonts w:ascii="Arial" w:eastAsia="Times New Roman" w:hAnsi="Arial" w:cs="Arial"/>
          <w:noProof/>
          <w:sz w:val="20"/>
          <w:szCs w:val="20"/>
        </w:rPr>
        <w:t>2024; Omokpariola, 2022)</w:t>
      </w:r>
      <w:r w:rsidRPr="003E71AF">
        <w:rPr>
          <w:rFonts w:ascii="Arial" w:eastAsia="Times New Roman" w:hAnsi="Arial" w:cs="Arial"/>
          <w:sz w:val="20"/>
          <w:szCs w:val="20"/>
        </w:rPr>
        <w:fldChar w:fldCharType="end"/>
      </w:r>
      <w:r w:rsidR="00D625D9">
        <w:rPr>
          <w:rFonts w:ascii="Arial" w:eastAsia="Times New Roman" w:hAnsi="Arial" w:cs="Arial"/>
          <w:sz w:val="20"/>
          <w:szCs w:val="20"/>
        </w:rPr>
        <w:t>.</w:t>
      </w:r>
    </w:p>
    <w:p w14:paraId="1ABD061A" w14:textId="77777777" w:rsidR="00C57061" w:rsidRPr="003E71AF" w:rsidRDefault="00C57061" w:rsidP="003E71AF">
      <w:pPr>
        <w:spacing w:after="0" w:line="240" w:lineRule="auto"/>
        <w:jc w:val="both"/>
        <w:rPr>
          <w:rFonts w:ascii="Arial" w:eastAsia="Times New Roman" w:hAnsi="Arial" w:cs="Arial"/>
          <w:sz w:val="20"/>
          <w:szCs w:val="20"/>
        </w:rPr>
      </w:pPr>
    </w:p>
    <w:p w14:paraId="3B715E95" w14:textId="1528F5D1" w:rsidR="00C57061" w:rsidRPr="003E71AF" w:rsidRDefault="00C57061"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According to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{"citationItems":[{"id":"ITEM-1","itemData":{"DOI":"10.5620/eaht.2022030","ISSN":"22336567","abstract":"Soft drinks consumption is still a controversial issue for public health and public policy, as the influence storage condition impacts taste, color and shelf life. In all, fifty (50) soft drinks samples, acquired from Enugu, Aba, Asaba, Onitsha and Owerri markets in Nigeria, were subjected to four different storage conditions namely: room temperature (RT), refrigerated (RF), 40 °C and 60 °C for 15 days after which they were analyzed for sodium benzoate concentration using HPLC – UV/Vis detector. The results showed on the average that at RT and RF, soft drinks from Aba had the highest concentration of sodium benzoate (98.7 mg/L and 112.9 mg/L) respectively while samples from Asaba had least concentration of 39.9 mg/L and 38.1 mg/L. At increased temperature of 40 °C, the concentration of sodium benzoate increased generally across the sample, while at 60 °C, the levels in all the samples analyzed were either reduced to less than 50% or below detection level, which suggest that degradation of sodium benzoate at this elevated temperature could result in benzene formation, which is a known carcinogen. Carcinogenic and non-carcinogenic risk assessment showed that children are at risk compared to adults due to higher sodium benzoate daily intake leading to high rate of hyperactivity in correlation to malaise.","author":[{"dropping-particle":"","family":"Akolawole","given":"Joseph Segun","non-dropping-particle":"","parse-names":false,"suffix":""},{"dropping-particle":"","family":"Okoye","given":"Patrice Anthony Chudi","non-dropping-particle":"","parse-names":false,"suffix":""},{"dropping-particle":"","family":"Omokpariola","given":"Daniel","non-dropping-particle":"","parse-names":false,"suffix":""}],"container-title":"Environmental Health and Toxicology","id":"ITEM-1","issue":"4","issued":{"date-parts":[["2022"]]},"page":"1-10","title":"Effect of storage on the levels of sodium benzoate in soft drinks sold in some Nigerian market with exposure and health risk assessment","type":"article-journal","volume":"37"},"uris":["http://www.mendeley.com/documents/?uuid=cae3735e-6e80-493a-9a9b-b9ca0da6bb70"]}],"mendeley":{"formattedCitation":"(Akolawole et al., 2022)","manualFormatting":"Akolawole et al. (2022)","plainTextFormattedCitation":"(Akolawole et al., 2022)","previouslyFormattedCitation":"(Akolawole et al.,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Akolawole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hAnsi="Arial" w:cs="Arial"/>
          <w:sz w:val="20"/>
          <w:szCs w:val="20"/>
        </w:rPr>
        <w:t xml:space="preserve">distribution of soft drinks under direct sunlight, high temperatures, and exposure to light is common among </w:t>
      </w:r>
      <w:r w:rsidR="00452D96" w:rsidRPr="003E71AF">
        <w:rPr>
          <w:rFonts w:ascii="Arial" w:hAnsi="Arial" w:cs="Arial"/>
          <w:sz w:val="20"/>
          <w:szCs w:val="20"/>
        </w:rPr>
        <w:t>retailers.</w:t>
      </w:r>
      <w:r w:rsidR="00452D96" w:rsidRPr="003E71AF">
        <w:rPr>
          <w:rFonts w:ascii="Arial" w:eastAsia="Times New Roman" w:hAnsi="Arial" w:cs="Arial"/>
          <w:sz w:val="20"/>
          <w:szCs w:val="20"/>
        </w:rPr>
        <w:t xml:space="preserve"> This</w:t>
      </w:r>
      <w:r w:rsidRPr="003E71AF">
        <w:rPr>
          <w:rFonts w:ascii="Arial" w:eastAsia="Times New Roman" w:hAnsi="Arial" w:cs="Arial"/>
          <w:sz w:val="20"/>
          <w:szCs w:val="20"/>
        </w:rPr>
        <w:t xml:space="preserve"> study found that, due to cost and availability, 39.51% of the retailers transported soft drinks using motorcycles, 7.29% walked, 25.84% used three-wheeler cargo vehicles (</w:t>
      </w:r>
      <w:proofErr w:type="spellStart"/>
      <w:r w:rsidRPr="003E71AF">
        <w:rPr>
          <w:rFonts w:ascii="Arial" w:eastAsia="Times New Roman" w:hAnsi="Arial" w:cs="Arial"/>
          <w:i/>
          <w:sz w:val="20"/>
          <w:szCs w:val="20"/>
        </w:rPr>
        <w:t>toyo</w:t>
      </w:r>
      <w:proofErr w:type="spellEnd"/>
      <w:r w:rsidRPr="003E71AF">
        <w:rPr>
          <w:rFonts w:ascii="Arial" w:eastAsia="Times New Roman" w:hAnsi="Arial" w:cs="Arial"/>
          <w:sz w:val="20"/>
          <w:szCs w:val="20"/>
        </w:rPr>
        <w:t>), and 7.60% used carts; all of these transports s were open, exposing the drinks to direct sunlight. On the other hand, just 15.20% of retailers used auto rickshaws (</w:t>
      </w:r>
      <w:proofErr w:type="spellStart"/>
      <w:r w:rsidRPr="003E71AF">
        <w:rPr>
          <w:rFonts w:ascii="Arial" w:eastAsia="Times New Roman" w:hAnsi="Arial" w:cs="Arial"/>
          <w:i/>
          <w:sz w:val="20"/>
          <w:szCs w:val="20"/>
        </w:rPr>
        <w:t>bajaji</w:t>
      </w:r>
      <w:proofErr w:type="spellEnd"/>
      <w:r w:rsidRPr="003E71AF">
        <w:rPr>
          <w:rFonts w:ascii="Arial" w:eastAsia="Times New Roman" w:hAnsi="Arial" w:cs="Arial"/>
          <w:sz w:val="20"/>
          <w:szCs w:val="20"/>
        </w:rPr>
        <w:t xml:space="preserve">) and 4.56% used public minibuses, which offered shade from direct sunlight. These findings are in line with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Dal</w:t>
      </w:r>
      <w:r w:rsidRPr="003E71AF">
        <w:rPr>
          <w:rFonts w:ascii="Arial" w:eastAsia="Times New Roman" w:hAnsi="Arial" w:cs="Arial"/>
          <w:i/>
          <w:noProof/>
          <w:sz w:val="20"/>
          <w:szCs w:val="20"/>
        </w:rPr>
        <w:t xml:space="preserve"> 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Brazilian street food sellers use various transportation methods similar to this study. However, the percentage distributions differed, with 44% using vehicles, while 5% rely on buses, 21% walk, 28% carts, and 5% using motorcycles. </w:t>
      </w:r>
      <w:r w:rsidRPr="003E71AF">
        <w:rPr>
          <w:rFonts w:ascii="Arial" w:hAnsi="Arial" w:cs="Arial"/>
          <w:sz w:val="20"/>
          <w:szCs w:val="20"/>
        </w:rPr>
        <w:t>These unfavorable conditions could lead to chemical changes that might compromise the safety of the soft drinks.</w:t>
      </w:r>
      <w:r w:rsidRPr="003E71AF">
        <w:rPr>
          <w:rFonts w:ascii="Arial" w:eastAsia="Times New Roman" w:hAnsi="Arial" w:cs="Arial"/>
          <w:sz w:val="20"/>
          <w:szCs w:val="20"/>
        </w:rPr>
        <w:t xml:space="preserve"> Therefore, even though open vehicles are an economical means of transportation, if suitable insulation or shade is not used, they may affect the integrity of the soft drinks.</w:t>
      </w:r>
    </w:p>
    <w:p w14:paraId="572F056E" w14:textId="77777777" w:rsidR="00F45E6B" w:rsidRPr="003E71AF" w:rsidRDefault="00F45E6B" w:rsidP="003E71AF">
      <w:pPr>
        <w:spacing w:after="0" w:line="240" w:lineRule="auto"/>
        <w:jc w:val="both"/>
        <w:rPr>
          <w:rFonts w:ascii="Arial" w:hAnsi="Arial" w:cs="Arial"/>
          <w:sz w:val="20"/>
          <w:szCs w:val="20"/>
        </w:rPr>
      </w:pPr>
    </w:p>
    <w:p w14:paraId="6835FCD0" w14:textId="7A25F477" w:rsidR="00452D96" w:rsidRDefault="00F45E6B" w:rsidP="003E71AF">
      <w:pPr>
        <w:spacing w:after="0" w:line="240" w:lineRule="auto"/>
        <w:jc w:val="both"/>
        <w:rPr>
          <w:rFonts w:ascii="Arial" w:eastAsia="Times New Roman" w:hAnsi="Arial" w:cs="Arial"/>
          <w:sz w:val="20"/>
          <w:szCs w:val="20"/>
        </w:rPr>
      </w:pPr>
      <w:r w:rsidRPr="003E71AF">
        <w:rPr>
          <w:rFonts w:ascii="Arial" w:hAnsi="Arial" w:cs="Arial"/>
          <w:sz w:val="20"/>
          <w:szCs w:val="20"/>
        </w:rPr>
        <w:t xml:space="preserve">The results further revealed that 73.56% of the respondents purchased soft drinks from wholesalers, while 26.44% sourced them from retailers. Notably, hawkers predominantly relied on retailers due to limited access to cooling facilities. </w:t>
      </w:r>
      <w:r w:rsidRPr="003E71AF">
        <w:rPr>
          <w:rFonts w:ascii="Arial" w:eastAsia="Times New Roman" w:hAnsi="Arial" w:cs="Arial"/>
          <w:sz w:val="20"/>
          <w:szCs w:val="20"/>
        </w:rPr>
        <w:t xml:space="preserve">The study’s findings are consistent with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uthor":[{"dropping-particle":"","family":"Dal","given":"Rayza","non-dropping-particle":"","parse-names":false,"suffix":""},{"dropping-particle":"","family":"Cortese","given":"Molin","non-dropping-particle":"","parse-names":false,"suffix":""},{"dropping-particle":"","family":"Boro","given":"Marcela","non-dropping-particle":"","parse-names":false,"suffix":""},{"dropping-particle":"","family":"Feldman","given":"Charles","non-dropping-particle":"","parse-names":false,"suffix":""},{"dropping-particle":"","family":"Barletto","given":"Suzi","non-dropping-particle":"","parse-names":false,"suffix":""}],"id":"ITEM-1","issued":{"date-parts":[["2016"]]},"page":"178-186","title":"Food safety and hygiene practices of vendors during the chain of street food production in Florianopolis , Brazil : A cross-sectional study","type":"article-journal","volume":"62"},"uris":["http://www.mendeley.com/documents/?uuid=34334061-aed9-4b2c-b3fc-e566fa217260"]}],"mendeley":{"formattedCitation":"(Dal et al., 2016)","manualFormatting":"Dal et al. (2016)","plainTextFormattedCitation":"(Dal et al., 2016)","previouslyFormattedCitation":"(Dal et al., 2016)"},"properties":{"noteIndex":0},"schema":"https://github.com/citation-style-language/schema/raw/master/csl-citation.json"}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Dal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(2016)</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80% of </w:t>
      </w:r>
    </w:p>
    <w:p w14:paraId="66DFABB9" w14:textId="0092F17D" w:rsidR="00067F9F" w:rsidRPr="00227A1A" w:rsidRDefault="00F45E6B" w:rsidP="003E71AF">
      <w:pPr>
        <w:spacing w:after="0" w:line="240" w:lineRule="auto"/>
        <w:jc w:val="both"/>
        <w:rPr>
          <w:rFonts w:ascii="Arial" w:hAnsi="Arial" w:cs="Arial"/>
          <w:sz w:val="20"/>
          <w:szCs w:val="20"/>
        </w:rPr>
      </w:pPr>
      <w:r w:rsidRPr="00227A1A">
        <w:rPr>
          <w:rFonts w:ascii="Arial" w:eastAsia="Times New Roman" w:hAnsi="Arial" w:cs="Arial"/>
          <w:sz w:val="20"/>
          <w:szCs w:val="20"/>
        </w:rPr>
        <w:t>the Brazilian street food vendors purchased soft drinks from wholesalers and 20% from r</w:t>
      </w:r>
      <w:r w:rsidR="00067F9F" w:rsidRPr="00227A1A">
        <w:rPr>
          <w:rFonts w:ascii="Arial" w:eastAsia="Times New Roman" w:hAnsi="Arial" w:cs="Arial"/>
          <w:sz w:val="20"/>
          <w:szCs w:val="20"/>
        </w:rPr>
        <w:t>etailers. Therefore, because the majority of retailers bought soft drinks from wholesalers who were also reported</w:t>
      </w:r>
      <w:r w:rsidR="00227A1A" w:rsidRPr="00227A1A">
        <w:rPr>
          <w:rFonts w:ascii="Arial" w:eastAsia="Times New Roman" w:hAnsi="Arial" w:cs="Arial"/>
          <w:sz w:val="20"/>
          <w:szCs w:val="20"/>
        </w:rPr>
        <w:t xml:space="preserve"> by </w:t>
      </w:r>
      <w:r w:rsidR="00227A1A" w:rsidRPr="00227A1A">
        <w:rPr>
          <w:rFonts w:ascii="Arial" w:hAnsi="Arial" w:cs="Arial"/>
          <w:sz w:val="20"/>
          <w:szCs w:val="20"/>
        </w:rPr>
        <w:t xml:space="preserve">Omokpariola (2022), </w:t>
      </w:r>
      <w:r w:rsidR="00067F9F" w:rsidRPr="00227A1A">
        <w:rPr>
          <w:rFonts w:ascii="Arial" w:eastAsia="Times New Roman" w:hAnsi="Arial" w:cs="Arial"/>
          <w:sz w:val="20"/>
          <w:szCs w:val="20"/>
        </w:rPr>
        <w:t xml:space="preserve">to expose </w:t>
      </w:r>
      <w:r w:rsidR="00227A1A">
        <w:rPr>
          <w:rFonts w:ascii="Arial" w:eastAsia="Times New Roman" w:hAnsi="Arial" w:cs="Arial"/>
          <w:sz w:val="20"/>
          <w:szCs w:val="20"/>
        </w:rPr>
        <w:t>soft drinks</w:t>
      </w:r>
      <w:r w:rsidR="00067F9F" w:rsidRPr="00227A1A">
        <w:rPr>
          <w:rFonts w:ascii="Arial" w:eastAsia="Times New Roman" w:hAnsi="Arial" w:cs="Arial"/>
          <w:sz w:val="20"/>
          <w:szCs w:val="20"/>
        </w:rPr>
        <w:t xml:space="preserve"> to direct sunlight or high temperatures, they should also </w:t>
      </w:r>
      <w:r w:rsidR="00227A1A">
        <w:rPr>
          <w:rFonts w:ascii="Arial" w:eastAsia="Times New Roman" w:hAnsi="Arial" w:cs="Arial"/>
          <w:sz w:val="20"/>
          <w:szCs w:val="20"/>
        </w:rPr>
        <w:t>be offered with the</w:t>
      </w:r>
      <w:r w:rsidR="00067F9F" w:rsidRPr="00227A1A">
        <w:rPr>
          <w:rFonts w:ascii="Arial" w:eastAsia="Times New Roman" w:hAnsi="Arial" w:cs="Arial"/>
          <w:sz w:val="20"/>
          <w:szCs w:val="20"/>
        </w:rPr>
        <w:t xml:space="preserve"> storage training</w:t>
      </w:r>
      <w:r w:rsidR="00227A1A" w:rsidRPr="00227A1A">
        <w:rPr>
          <w:rFonts w:ascii="Arial" w:eastAsia="Times New Roman" w:hAnsi="Arial" w:cs="Arial"/>
          <w:sz w:val="20"/>
          <w:szCs w:val="20"/>
        </w:rPr>
        <w:t>.</w:t>
      </w:r>
      <w:r w:rsidR="00227A1A" w:rsidRPr="00227A1A">
        <w:rPr>
          <w:rFonts w:ascii="Arial" w:hAnsi="Arial" w:cs="Arial"/>
          <w:sz w:val="20"/>
          <w:szCs w:val="20"/>
        </w:rPr>
        <w:t xml:space="preserve"> </w:t>
      </w:r>
      <w:r w:rsidRPr="00227A1A">
        <w:rPr>
          <w:rFonts w:ascii="Arial" w:hAnsi="Arial" w:cs="Arial"/>
          <w:sz w:val="20"/>
          <w:szCs w:val="20"/>
        </w:rPr>
        <w:t xml:space="preserve">Furthermore, the study observed that, 61.09% of the retailers restocked on a daily basis. The fact that most bus stations observed to face logistical constraints, such as limited space for large coolers, often results in smaller and </w:t>
      </w:r>
      <w:r w:rsidR="00227A1A" w:rsidRPr="00227A1A">
        <w:rPr>
          <w:rFonts w:ascii="Arial" w:hAnsi="Arial" w:cs="Arial"/>
          <w:sz w:val="20"/>
          <w:szCs w:val="20"/>
        </w:rPr>
        <w:t>more frequent restocking cycles</w:t>
      </w:r>
    </w:p>
    <w:p w14:paraId="6F5C54D3" w14:textId="77777777" w:rsidR="00067F9F" w:rsidRPr="003E71AF" w:rsidRDefault="00067F9F" w:rsidP="003E71AF">
      <w:pPr>
        <w:spacing w:after="0" w:line="240" w:lineRule="auto"/>
        <w:jc w:val="both"/>
        <w:rPr>
          <w:rFonts w:ascii="Arial" w:hAnsi="Arial" w:cs="Arial"/>
          <w:sz w:val="20"/>
          <w:szCs w:val="20"/>
        </w:rPr>
      </w:pPr>
    </w:p>
    <w:p w14:paraId="6C564ACF" w14:textId="2CC520FF" w:rsidR="00F45E6B" w:rsidRPr="003E71AF" w:rsidRDefault="00F45E6B" w:rsidP="003E71AF">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This study found that, 91.49% of the retailers started selling soft drinks in the morning and sales peaked in the afternoon at 58.97%. Retailers probably opened early to accommodate morning passengers and maximize operating hours, guaranteed stock availability and cold beverages during busy times, such as the </w:t>
      </w:r>
      <w:r w:rsidRPr="003E71AF">
        <w:rPr>
          <w:rFonts w:ascii="Arial" w:eastAsia="Times New Roman" w:hAnsi="Arial" w:cs="Arial"/>
          <w:sz w:val="20"/>
          <w:szCs w:val="20"/>
        </w:rPr>
        <w:lastRenderedPageBreak/>
        <w:t xml:space="preserve">hottest afternoons, when demand is high.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{"citationItems":[{"id":"ITEM-1","itemData":{"author":[{"dropping-particle":"","family":"Saku","given":"Emmanuella Yayra","non-dropping-particle":"","parse-names":false,"suffix":""},{"dropping-particle":"","family":"Nuro-ameyaw","given":"Peter","non-dropping-particle":"","parse-names":false,"suffix":""},{"dropping-particle":"","family":"Amenya","given":"Priscilla Cecilia","non-dropping-particle":"","parse-names":false,"suffix":""},{"dropping-particle":"","family":"Kpodo","given":"Fidelis Mawunyo","non-dropping-particle":"","parse-names":false,"suffix":""}],"id":"ITEM-1","issued":{"date-parts":[["2020"]]},"page":"1-13","publisher":"BMC Public Health","title":"Energy drink : the consumption prevalence , and awareness of its potential health implications among commercial drivers in the Ho municipality of Ghana","type":"article-journal"},"uris":["http://www.mendeley.com/documents/?uuid=06edc73c-ca08-4ab4-8814-5e058085ef8a"]}],"mendeley":{"formattedCitation":"(Saku, Nuro-ameyaw, Amenya, &amp; Kpodo, 2020)","manualFormatting":"Saku et al, ( 2020)","plainTextFormattedCitation":"(Saku, Nuro-ameyaw, Amenya, &amp; Kpodo, 2020)","previouslyFormattedCitation":"(Saku, Nuro-ameyaw, Amenya, &amp; Kpodo,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Saku et al, ( 2020)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and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higher consumption (42.4% and 55.3%)  of energy drinks in the afternoon respectively. As the study indicates, this implies that beverages are subjected to unfavorable conditions for an extended period of time, underscoring the significance of appropriate storage awareness.</w:t>
      </w:r>
    </w:p>
    <w:p w14:paraId="2C38598B" w14:textId="2816C4AA" w:rsidR="003A350F" w:rsidRPr="003E71AF" w:rsidRDefault="003A350F" w:rsidP="003E71AF">
      <w:pPr>
        <w:spacing w:after="0" w:line="240" w:lineRule="auto"/>
        <w:jc w:val="both"/>
        <w:rPr>
          <w:rFonts w:ascii="Arial" w:eastAsia="Times New Roman" w:hAnsi="Arial" w:cs="Arial"/>
          <w:sz w:val="20"/>
          <w:szCs w:val="20"/>
        </w:rPr>
      </w:pPr>
    </w:p>
    <w:p w14:paraId="243514E4" w14:textId="33BCF191" w:rsidR="003A350F" w:rsidRPr="003E71AF" w:rsidRDefault="003A350F"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Notably, refrigeration was opted as the best way for storing soft drinks by the majority (80.55%), with </w:t>
      </w:r>
      <w:r w:rsidRPr="003E71AF">
        <w:rPr>
          <w:rFonts w:ascii="Arial" w:hAnsi="Arial" w:cs="Arial"/>
          <w:sz w:val="20"/>
          <w:szCs w:val="20"/>
        </w:rPr>
        <w:t>customers’ preference for cold drinks reported as the primary reason in this decision (93.80%).</w:t>
      </w:r>
      <w:r w:rsidRPr="003E71AF">
        <w:rPr>
          <w:rFonts w:ascii="Arial" w:eastAsia="Times New Roman" w:hAnsi="Arial" w:cs="Arial"/>
          <w:sz w:val="20"/>
          <w:szCs w:val="20"/>
        </w:rPr>
        <w:t xml:space="preserve"> These results align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{"citationItems":[{"id":"ITEM-1","itemData":{"DOI":"10.3389/fbuil.2022.874751","ISSN":"22973362","abstract":"Addressing the fallouts of a +1.5°C world is one of the key challenges for urban management in African cities. This article reports a work dealing with climate adaptation in informal urban settlements, with focus on responses to heat stress among the urban poor. The study involved a survey of 405 residents in Keko Machungwa —an unplanned neighborhood in Dar es Salaam, Tanzania. We found that the most popular behavioral responses are taking a shower, wearing light clothing,. drinking cold drinks, and opening doors and windows. The rarest forms of responses are swimming and contributing to savings group. Heat-related health problems experienced by the residents were also identified. Enhancing human responses to heat stress will involve improvement in basic services and infrastructure, awareness, and education among the residents.","author":[{"dropping-particle":"","family":"Adegun","given":"Olumuyiwa Bayode","non-dropping-particle":"","parse-names":false,"suffix":""},{"dropping-particle":"","family":"Mbuya","given":"Elinorata Celestine","non-dropping-particle":"","parse-names":false,"suffix":""},{"dropping-particle":"","family":"Njavike","given":"Emmanuel","non-dropping-particle":"","parse-names":false,"suffix":""}],"container-title":"Frontiers in Built Environment","id":"ITEM-1","issue":"May","issued":{"date-parts":[["2022"]]},"page":"1-10","title":"Responses to Heat Stress Within an Unplanned Settlement in Dar Es Salaam, Tanzania","type":"article-journal","volume":"8"},"uris":["http://www.mendeley.com/documents/?uuid=b0840a30-8276-46d8-a987-4f0a066d9378"]}],"mendeley":{"formattedCitation":"(Adegun, Mbuya, &amp; Njavike, 2022)","manualFormatting":"Adegun et al. (2022)","plainTextFormattedCitation":"(Adegun, Mbuya, &amp; Njavike, 2022)","previouslyFormattedCitation":"(Adegun, Mbuya, &amp; Njavike,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Adegun </w:t>
      </w:r>
      <w:r w:rsidRPr="003E71AF">
        <w:rPr>
          <w:rFonts w:ascii="Arial" w:eastAsia="Times New Roman" w:hAnsi="Arial" w:cs="Arial"/>
          <w:i/>
          <w:noProof/>
          <w:sz w:val="20"/>
          <w:szCs w:val="20"/>
        </w:rPr>
        <w:t>et al</w:t>
      </w:r>
      <w:r w:rsidR="00F95252">
        <w:rPr>
          <w:rFonts w:ascii="Arial" w:eastAsia="Times New Roman" w:hAnsi="Arial" w:cs="Arial"/>
          <w:noProof/>
          <w:sz w:val="20"/>
          <w:szCs w:val="20"/>
        </w:rPr>
        <w:t>.</w:t>
      </w:r>
      <w:r w:rsidRPr="003E71AF">
        <w:rPr>
          <w:rFonts w:ascii="Arial" w:eastAsia="Times New Roman" w:hAnsi="Arial" w:cs="Arial"/>
          <w:noProof/>
          <w:sz w:val="20"/>
          <w:szCs w:val="20"/>
        </w:rPr>
        <w:t xml:space="preserve">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reported  Dar es Salaam has a  tropical climate making it hotter than average, influencing demand for cold drinks, especially when tired from hot surroundings, as they enhance mood, according to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{"citationItems":[{"id":"ITEM-1","itemData":{"author":[{"dropping-particle":"","family":"Projeck","given":"Laporan","non-dropping-particle":"","parse-names":false,"suffix":""}],"id":"ITEM-1","issued":{"date-parts":[["2020"]]},"title":"INSTANT DRINK CHILLER","type":"article-journal"},"uris":["http://www.mendeley.com/documents/?uuid=e8e773b0-1a1b-49a6-ab1d-82dbcaac84c7"]}],"mendeley":{"formattedCitation":"(Projeck, 2020)","manualFormatting":"Projeck (2020)","plainTextFormattedCitation":"(Projeck, 2020)","previouslyFormattedCitation":"(Projeck, 2020)"},"properties":{"noteIndex":0},"schema":"https://github.com/citation-style-language/schema/raw/master/csl-citation.json"}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Projeck (2020)</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00F45E6B" w:rsidRPr="003E71AF">
        <w:rPr>
          <w:rFonts w:ascii="Arial" w:eastAsia="Times New Roman" w:hAnsi="Arial" w:cs="Arial"/>
          <w:sz w:val="20"/>
          <w:szCs w:val="20"/>
        </w:rPr>
        <w:t>This indicates that more training is required because individuals still do not see the significance of storage</w:t>
      </w:r>
      <w:r w:rsidR="00622774" w:rsidRPr="003E71AF">
        <w:rPr>
          <w:rFonts w:ascii="Arial" w:eastAsia="Times New Roman" w:hAnsi="Arial" w:cs="Arial"/>
          <w:sz w:val="20"/>
          <w:szCs w:val="20"/>
        </w:rPr>
        <w:t>.</w:t>
      </w:r>
    </w:p>
    <w:p w14:paraId="66BC8446" w14:textId="348EF424" w:rsidR="00DD7BF2" w:rsidRDefault="00622774" w:rsidP="00833A2B">
      <w:pPr>
        <w:spacing w:after="0" w:line="240" w:lineRule="auto"/>
        <w:jc w:val="both"/>
        <w:rPr>
          <w:rFonts w:ascii="Arial" w:eastAsia="Times New Roman" w:hAnsi="Arial" w:cs="Arial"/>
          <w:sz w:val="20"/>
          <w:szCs w:val="20"/>
        </w:rPr>
      </w:pPr>
      <w:r w:rsidRPr="003E71AF">
        <w:rPr>
          <w:rFonts w:ascii="Arial" w:eastAsia="Times New Roman" w:hAnsi="Arial" w:cs="Arial"/>
          <w:sz w:val="20"/>
          <w:szCs w:val="20"/>
        </w:rPr>
        <w:t xml:space="preserve">Alarmingly, nearly all of the respondents (97.26%) did not know of any soft drink storage guidelines; only 2.74% mentioned Coca-Cola-trained practices like keeping drinks upright and storing them in a cool place. </w:t>
      </w:r>
      <w:r w:rsidRPr="003E71AF">
        <w:rPr>
          <w:rFonts w:ascii="Arial" w:hAnsi="Arial" w:cs="Arial"/>
          <w:sz w:val="20"/>
          <w:szCs w:val="20"/>
        </w:rPr>
        <w:t xml:space="preserve">Moreover, all of the respondents (100%) were unaware of formal regulations governing proper storage of soft drinks. </w:t>
      </w:r>
      <w:r w:rsidRPr="003E71AF">
        <w:rPr>
          <w:rFonts w:ascii="Arial" w:eastAsia="Times New Roman" w:hAnsi="Arial" w:cs="Arial"/>
          <w:sz w:val="20"/>
          <w:szCs w:val="20"/>
        </w:rPr>
        <w:t xml:space="preserve">The results of the study are consistent with those of </w:t>
      </w:r>
      <w:r w:rsidRPr="003E71AF">
        <w:rPr>
          <w:rFonts w:ascii="Arial" w:eastAsia="Times New Roman" w:hAnsi="Arial" w:cs="Arial"/>
          <w:sz w:val="20"/>
          <w:szCs w:val="20"/>
        </w:rPr>
        <w:fldChar w:fldCharType="begin" w:fldLock="1"/>
      </w:r>
      <w:r w:rsidR="00481CDC">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Mfinanga, &amp; Mnyone, 2018)","manualFormatting":"Juma et al.(2018)","plainTextFormattedCitation":"(Juma, Mfinanga, &amp; Mnyone, 2018)","previouslyFormattedCitation":"(Juma, Mfinanga, &amp; Mnyone, 2018)"},"properties":{"noteIndex":0},"schema":"https://github.com/citation-style-language/schema/raw/master/csl-citation.json"}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Juma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.(2018)</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 (2023)","plainTextFormattedCitation":"(Magambo, J. M., Kussaga, J. B., &amp; Majaliwa, 2023)","previouslyFormattedCitation":"(Magambo, J. M., Kussaga, J. B., &amp; Majaliwa, 2023)"},"properties":{"noteIndex":0},"schema":"https://github.com/citation-style-language/schema/raw/master/csl-citation.json"}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Magambo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(2023)</w:t>
      </w:r>
      <w:r w:rsidRPr="003E71AF">
        <w:rPr>
          <w:rFonts w:ascii="Arial" w:eastAsia="Times New Roman" w:hAnsi="Arial" w:cs="Arial"/>
          <w:sz w:val="20"/>
          <w:szCs w:val="20"/>
        </w:rPr>
        <w:fldChar w:fldCharType="end"/>
      </w:r>
      <w:r w:rsidRPr="003E71AF">
        <w:rPr>
          <w:rFonts w:ascii="Arial" w:eastAsia="Times New Roman" w:hAnsi="Arial" w:cs="Arial"/>
          <w:sz w:val="20"/>
          <w:szCs w:val="20"/>
        </w:rPr>
        <w:t>, who found that 81% of food vendors lacked understanding of regulations governing food vending and 86.7% of the street food vendors did not follow the recommended food safety standards respectively.</w:t>
      </w:r>
    </w:p>
    <w:p w14:paraId="600B2634" w14:textId="77777777" w:rsidR="00833A2B" w:rsidRPr="003E71AF" w:rsidRDefault="00833A2B" w:rsidP="00833A2B">
      <w:pPr>
        <w:spacing w:after="0" w:line="240" w:lineRule="auto"/>
        <w:jc w:val="both"/>
        <w:rPr>
          <w:rFonts w:ascii="Arial" w:eastAsia="Times New Roman" w:hAnsi="Arial" w:cs="Arial"/>
          <w:sz w:val="20"/>
          <w:szCs w:val="20"/>
        </w:rPr>
      </w:pPr>
    </w:p>
    <w:p w14:paraId="661A20C2" w14:textId="48C09274" w:rsidR="00DD7BF2" w:rsidRPr="003E71AF" w:rsidRDefault="00DD7BF2" w:rsidP="003E71AF">
      <w:pPr>
        <w:spacing w:line="240" w:lineRule="auto"/>
        <w:jc w:val="both"/>
        <w:rPr>
          <w:rFonts w:ascii="Arial" w:hAnsi="Arial" w:cs="Arial"/>
          <w:sz w:val="20"/>
          <w:szCs w:val="20"/>
        </w:rPr>
      </w:pPr>
      <w:r w:rsidRPr="003E71AF">
        <w:rPr>
          <w:rFonts w:ascii="Arial" w:eastAsia="Times New Roman" w:hAnsi="Arial" w:cs="Arial"/>
          <w:sz w:val="20"/>
          <w:szCs w:val="20"/>
        </w:rPr>
        <w:t xml:space="preserve">Alarmingly, only 6.08% of the retailers admitted to knowing the negative health impacts of improper storage of soft drinks. However, at least 56.53% knew of the dangers associated with frequent consumption of soft drinks and especially energy drinks. Heart problem was the most commonly mentioned health problem (38%). These results align with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{"citationItems":[{"id":"ITEM-1","itemData":{"author":[{"dropping-particle":"","family":"Oscar","given":"N. Y. C. (2022)","non-dropping-particle":"","parse-names":false,"suffix":""}],"id":"ITEM-1","issued":{"date-parts":[["2022"]]},"title":"University of Ghana http://ugspace.ug.edu.gh CONSUMPTION PATTERNS OF ENERGY DRINKS AT LORRY STATIONS IN ACCRA AND CONCENTRATION OF THEIR MAIN CONSTITUENTS","type":"article-journal"},"uris":["http://www.mendeley.com/documents/?uuid=37e40498-eedd-499d-819b-d11c44dab51d"]}],"mendeley":{"formattedCitation":"(Oscar, 2022)","manualFormatting":"Oscar (2022)","plainTextFormattedCitation":"(Oscar, 2022)","previouslyFormattedCitation":"(Oscar,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Oscar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 xml:space="preserve">, who found that 79.5% of  non-energy drink consumers were aware of the health effect of consuming them and among the health problems raised are consistent with </w:t>
      </w:r>
      <w:r w:rsidRPr="003E71AF">
        <w:rPr>
          <w:rFonts w:ascii="Arial" w:hAnsi="Arial" w:cs="Arial"/>
          <w:sz w:val="20"/>
          <w:szCs w:val="20"/>
        </w:rPr>
        <w:fldChar w:fldCharType="begin" w:fldLock="1"/>
      </w:r>
      <w:r w:rsidRPr="003E71AF">
        <w:rPr>
          <w:rFonts w:ascii="Arial" w:hAnsi="Arial" w:cs="Arial"/>
          <w:sz w:val="20"/>
          <w:szCs w:val="20"/>
        </w:rPr>
        <w:instrText>ADDIN CSL_CITATION {"citationItems":[{"id":"ITEM-1","itemData":{"abstract":"Several countries have banned energy drink (ED) sales within the markets claiming to cause health effects among the consumers. A cross-sectional study was carried out in Morogoro municipal in Morogoro region, Tanzania, to determine ED consumption rate, knowledge and perceived side effects among long distance car drivers. A total of 150 respondents (2 females, 148 males) were interviewed using a structured questionnaire. In addition, 12 samples of EDs products were collected from six common ED brands and their caffeine content analyzed using UV-Vis Spectrophotometer. About 55.3% of the long distance car drivers consumed three bottles of EDs per day, only 28.0% had high level of knowledge concerning ED consumption guidelines. Almost 97.3% of the respondents reported to have experienced side effects they link with consumption of EDs. The most common reported side effects were insomnia, restlessness and addiction and heart palpitations, as mentioned by 75.3%, 64.7%, 51.3% and 48% of the respondents, respectively. Mo Energy drink brand contained about 28.1(mg/100ml) of caffeine which was nearly 1.6 times the caffeine concentration that was presented in the product information label. Overall, consumption rate of EDs among long distance car drivers is high whereby more than half of respondents 58.0% were consuming more than two bottles per day and hence, exceeding the daily recommended intake. Public health education is urgently needed to guide consumers of EDs and inform on the potential health adverse effects that may be caused by excessive intakes. Manufactures of EDs most honestly indicate the amount of caffeine and other ingredients on the package label in order for the consumers to know the right amounts of ingredients. They consume as well as the public health authorities should provide education to guide consumers of EDs and inform on the potential health adverse effects that may be caused by excessive intake.","author":[{"dropping-particle":"","family":"Rashid","given":"K. S. (2020)","non-dropping-particle":"","parse-names":false,"suffix":""}],"id":"ITEM-1","issued":{"date-parts":[["2020"]]},"title":"ENERGY DRINK CONSUMPTION RATE, KNOWLEDGE AND PERCEIVED SIDE EFFECTS AMONG LONG DISTANCE CAR DRIVERS IN MOROGORO MUNICIPALITY TANZANIA KUDEMA","type":"article-journal"},"uris":["http://www.mendeley.com/documents/?uuid=4a2119bf-79b4-4d06-8424-01d1eeb4018e"]}],"mendeley":{"formattedCitation":"(Rashid, 2020)","manualFormatting":"Rashid (2020)","plainTextFormattedCitation":"(Rashid, 2020)","previouslyFormattedCitation":"(Rashid, 2020)"},"properties":{"noteIndex":0},"schema":"https://github.com/citation-style-language/schema/raw/master/csl-citation.json"}</w:instrText>
      </w:r>
      <w:r w:rsidRPr="003E71AF">
        <w:rPr>
          <w:rFonts w:ascii="Arial" w:hAnsi="Arial" w:cs="Arial"/>
          <w:sz w:val="20"/>
          <w:szCs w:val="20"/>
        </w:rPr>
        <w:fldChar w:fldCharType="separate"/>
      </w:r>
      <w:r w:rsidRPr="003E71AF">
        <w:rPr>
          <w:rFonts w:ascii="Arial" w:hAnsi="Arial" w:cs="Arial"/>
          <w:noProof/>
          <w:sz w:val="20"/>
          <w:szCs w:val="20"/>
        </w:rPr>
        <w:t>Rashid (2020)</w:t>
      </w:r>
      <w:r w:rsidRPr="003E71AF">
        <w:rPr>
          <w:rFonts w:ascii="Arial" w:hAnsi="Arial" w:cs="Arial"/>
          <w:sz w:val="20"/>
          <w:szCs w:val="20"/>
        </w:rPr>
        <w:fldChar w:fldCharType="end"/>
      </w:r>
      <w:r w:rsidRPr="003E71AF">
        <w:rPr>
          <w:rFonts w:ascii="Arial" w:hAnsi="Arial" w:cs="Arial"/>
          <w:sz w:val="20"/>
          <w:szCs w:val="20"/>
        </w:rPr>
        <w:t>.</w:t>
      </w:r>
      <w:r w:rsidRPr="003E71AF">
        <w:rPr>
          <w:rFonts w:ascii="Arial" w:eastAsia="Times New Roman" w:hAnsi="Arial" w:cs="Arial"/>
          <w:sz w:val="20"/>
          <w:szCs w:val="20"/>
        </w:rPr>
        <w:t xml:space="preserve"> The most commonly raised issue (12/329, 92.31%) was stomach problems which were connected to contamination. While only one respondent (</w:t>
      </w:r>
      <w:r w:rsidRPr="003E71AF">
        <w:rPr>
          <w:rFonts w:ascii="Arial" w:eastAsia="Times New Roman" w:hAnsi="Arial" w:cs="Arial"/>
          <w:color w:val="000000" w:themeColor="text1"/>
          <w:sz w:val="20"/>
          <w:szCs w:val="20"/>
        </w:rPr>
        <w:t xml:space="preserve">7.69%) said </w:t>
      </w:r>
      <w:r w:rsidRPr="003E71AF">
        <w:rPr>
          <w:rFonts w:ascii="Arial" w:eastAsia="Times New Roman" w:hAnsi="Arial" w:cs="Arial"/>
          <w:sz w:val="20"/>
          <w:szCs w:val="20"/>
        </w:rPr>
        <w:t xml:space="preserve">that cancer could be a concern, citing the chemical breakdown of plastic bottles due to poor storage of plastic bottles at high temperatures. </w:t>
      </w:r>
    </w:p>
    <w:p w14:paraId="0E1D048C" w14:textId="3C8E95A3" w:rsidR="00622774" w:rsidRPr="003E71AF" w:rsidRDefault="00DD7BF2" w:rsidP="003E71AF">
      <w:pPr>
        <w:spacing w:line="240" w:lineRule="auto"/>
        <w:jc w:val="both"/>
        <w:rPr>
          <w:rFonts w:ascii="Arial" w:eastAsia="Times New Roman" w:hAnsi="Arial" w:cs="Arial"/>
          <w:sz w:val="20"/>
          <w:szCs w:val="20"/>
        </w:rPr>
      </w:pPr>
      <w:r w:rsidRPr="003E71AF">
        <w:rPr>
          <w:rFonts w:ascii="Arial" w:hAnsi="Arial" w:cs="Arial"/>
          <w:sz w:val="20"/>
          <w:szCs w:val="20"/>
        </w:rPr>
        <w:t>In this study, the major source of information about the health effects was the word of mouth (56%).</w:t>
      </w:r>
      <w:r w:rsidRPr="003E71AF">
        <w:rPr>
          <w:rFonts w:ascii="Arial" w:eastAsia="Times New Roman" w:hAnsi="Arial" w:cs="Arial"/>
          <w:sz w:val="20"/>
          <w:szCs w:val="20"/>
        </w:rPr>
        <w:t xml:space="preserve">This contradicts those of </w:t>
      </w:r>
      <w:r w:rsidRPr="003E71AF">
        <w:rPr>
          <w:rFonts w:ascii="Arial" w:eastAsia="Times New Roman" w:hAnsi="Arial" w:cs="Arial"/>
          <w:sz w:val="20"/>
          <w:szCs w:val="20"/>
        </w:rPr>
        <w:fldChar w:fldCharType="begin" w:fldLock="1"/>
      </w:r>
      <w:r w:rsidRPr="003E71AF">
        <w:rPr>
          <w:rFonts w:ascii="Arial" w:eastAsia="Times New Roman" w:hAnsi="Arial" w:cs="Arial"/>
          <w:sz w:val="20"/>
          <w:szCs w:val="20"/>
        </w:rPr>
        <w:instrText>ADDIN CSL_CITATION {"citationItems":[{"id":"ITEM-1","itemData":{"DOI":"10.4314/gjpas.v28i2.10","abstract":"Background: The magnitude of production and sales of unregulated beverages in Nigeria has significantly increased over the years. Several studies have found a high prevalence of pathogenic microorganisms in locally made drink samples which is a threat to public health. This study assessed the knowledge, awareness of public health risks associated with the use of previously disposed plastic bottles for packaging drinks and hygiene practices of producers of artisanal drinks in Calabar Municipality, Nigeria. Methods: The study adopted a descriptive cross-sectional design using a semi-structured questionnaire to elicit information from 166 producers of locally packaged drinks. Data collected were analyzed using SPSS version 25.0. Associations were tested using chi square statistics. Results: The study showed a high level of awareness of food borne diseases 120(73.2%). Majority of the respondents 83(50.8%) had a high level of knowledge on health risks associated with use of previously disposed bottles for packaging drinks. The level of hygiene practice was however not in tandem with Knowledge as the practice level was generally poor 99(60.3%). Majority 114(69.5%) also had a negative attitude towards safe use of previously disposed plastic bottles. There was an association between producers’ duration in business and food hygiene practices (X2= 5.153, P= 0.023). There was also a significant association between producers’ exposure to food hygiene training and food hygiene practice (X2= 49.993, P= 0.0001) Conclusion: There is an urgent need for planned regular food safety training sessions for artisanal drink producers and the regulation of sales of artisanal drinks to safeguard public health in Nigeria.","author":[{"dropping-particle":"","family":"Offiong Etim","given":"Obo","non-dropping-particle":"","parse-names":false,"suffix":""},{"dropping-particle":"","family":"Jonathan Okon","given":"Aniekanabasi","non-dropping-particle":"","parse-names":false,"suffix":""},{"dropping-particle":"","family":"Esther Olanrewaju","given":"Olajumoke","non-dropping-particle":"","parse-names":false,"suffix":""},{"dropping-particle":"","family":"Alain Inah","given":"Simon","non-dropping-particle":"","parse-names":false,"suffix":""}],"container-title":"Global Journal of Pure and Applied Sciences","id":"ITEM-1","issue":"2","issued":{"date-parts":[["2022"]]},"page":"201-211","title":"Public Health Risk Knowledge, Awareness And Hygiene Practices Of Producers Of Artisanal Drinks Using Previously Disposed Plastic Bottles In Calabar Municipality, Cross River State, Nigeria.","type":"article-journal","volume":"28"},"uris":["http://www.mendeley.com/documents/?uuid=40586ebb-1156-4dbc-bcc3-5f77bedac597"]}],"mendeley":{"formattedCitation":"(Offiong Etim, Jonathan Okon, Esther Olanrewaju, &amp; Alain Inah, 2022)","manualFormatting":"Offiong Etim et al. (2022)","plainTextFormattedCitation":"(Offiong Etim, Jonathan Okon, Esther Olanrewaju, &amp; Alain Inah, 2022)","previouslyFormattedCitation":"(Offiong Etim, Jonathan Okon, Esther Olanrewaju, &amp; Alain Inah, 2022)"},"properties":{"noteIndex":0},"schema":"https://github.com/citation-style-language/schema/raw/master/csl-citation.json"}</w:instrText>
      </w:r>
      <w:r w:rsidRPr="003E71AF">
        <w:rPr>
          <w:rFonts w:ascii="Arial" w:eastAsia="Times New Roman" w:hAnsi="Arial" w:cs="Arial"/>
          <w:sz w:val="20"/>
          <w:szCs w:val="20"/>
        </w:rPr>
        <w:fldChar w:fldCharType="separate"/>
      </w:r>
      <w:r w:rsidRPr="003E71AF">
        <w:rPr>
          <w:rFonts w:ascii="Arial" w:eastAsia="Times New Roman" w:hAnsi="Arial" w:cs="Arial"/>
          <w:noProof/>
          <w:sz w:val="20"/>
          <w:szCs w:val="20"/>
        </w:rPr>
        <w:t xml:space="preserve">Offiong Etim </w:t>
      </w:r>
      <w:r w:rsidRPr="003E71AF">
        <w:rPr>
          <w:rFonts w:ascii="Arial" w:eastAsia="Times New Roman" w:hAnsi="Arial" w:cs="Arial"/>
          <w:i/>
          <w:noProof/>
          <w:sz w:val="20"/>
          <w:szCs w:val="20"/>
        </w:rPr>
        <w:t>et al</w:t>
      </w:r>
      <w:r w:rsidRPr="003E71AF">
        <w:rPr>
          <w:rFonts w:ascii="Arial" w:eastAsia="Times New Roman" w:hAnsi="Arial" w:cs="Arial"/>
          <w:noProof/>
          <w:sz w:val="20"/>
          <w:szCs w:val="20"/>
        </w:rPr>
        <w:t>. (2022)</w:t>
      </w:r>
      <w:r w:rsidRPr="003E71AF">
        <w:rPr>
          <w:rFonts w:ascii="Arial" w:eastAsia="Times New Roman" w:hAnsi="Arial" w:cs="Arial"/>
          <w:sz w:val="20"/>
          <w:szCs w:val="20"/>
        </w:rPr>
        <w:fldChar w:fldCharType="end"/>
      </w:r>
      <w:r w:rsidRPr="003E71AF">
        <w:rPr>
          <w:rFonts w:ascii="Arial" w:eastAsia="Times New Roman" w:hAnsi="Arial" w:cs="Arial"/>
          <w:sz w:val="20"/>
          <w:szCs w:val="20"/>
        </w:rPr>
        <w:t>,who found that word of mouth, which accounted for 26.8% of the five sources, ranked third, while the majority (59.8%) of local drink producers accessed health risks information associated with using previously disposed-of bottles for local drinks through media (radio/TV).</w:t>
      </w:r>
    </w:p>
    <w:p w14:paraId="49E11C2E" w14:textId="14E7A24E"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 xml:space="preserve">The logistic regression analysis identified business setup and </w:t>
      </w:r>
      <w:r w:rsidR="00F71F7B" w:rsidRPr="003E71AF">
        <w:rPr>
          <w:rFonts w:ascii="Arial" w:hAnsi="Arial" w:cs="Arial"/>
          <w:sz w:val="20"/>
          <w:szCs w:val="20"/>
        </w:rPr>
        <w:t>sex</w:t>
      </w:r>
      <w:r w:rsidRPr="003E71AF">
        <w:rPr>
          <w:rFonts w:ascii="Arial" w:hAnsi="Arial" w:cs="Arial"/>
          <w:sz w:val="20"/>
          <w:szCs w:val="20"/>
        </w:rPr>
        <w:t xml:space="preserve"> as significant predictors of soft drink storage practices. Business setup emerged as the strongest determinant, with shop-based retailers significantly more likely to adhere to proper storage practices than street vendors (p &lt; 0.001). This finding suggests that structural factors, including access to refrigeration and secure storage spaces, play a more crucial role in influencing storage practices than individual knowledge levels. These results are consistent with prior research indicating that formal retail environments provide better compliance with storage regulations due to increased access to storage facilities and greater regulatory oversight (Evarist et al., 2024).</w:t>
      </w:r>
    </w:p>
    <w:p w14:paraId="74F60EC3" w14:textId="2FA8FB80" w:rsidR="00292407" w:rsidRDefault="00E51DCB" w:rsidP="005B3918">
      <w:pPr>
        <w:spacing w:after="0" w:line="240" w:lineRule="auto"/>
        <w:jc w:val="both"/>
        <w:rPr>
          <w:rFonts w:ascii="Arial" w:eastAsia="Times New Roman" w:hAnsi="Arial" w:cs="Arial"/>
          <w:sz w:val="20"/>
          <w:szCs w:val="20"/>
        </w:rPr>
      </w:pPr>
      <w:r w:rsidRPr="00F95252">
        <w:rPr>
          <w:rFonts w:ascii="Arial" w:hAnsi="Arial" w:cs="Arial"/>
          <w:sz w:val="20"/>
          <w:szCs w:val="20"/>
        </w:rPr>
        <w:t xml:space="preserve">Gender differences in storage practices were also observed, with male retailers significantly more likely to follow proper storage guidelines than female retailers (p = 0.020). </w:t>
      </w:r>
      <w:r w:rsidR="00F95252" w:rsidRPr="00F95252">
        <w:rPr>
          <w:rFonts w:ascii="Arial" w:hAnsi="Arial" w:cs="Arial"/>
          <w:sz w:val="20"/>
          <w:szCs w:val="20"/>
        </w:rPr>
        <w:t xml:space="preserve">This contradicts with the findings of </w:t>
      </w:r>
      <w:r w:rsidR="00F95252" w:rsidRPr="00F95252">
        <w:rPr>
          <w:rFonts w:ascii="Arial" w:hAnsi="Arial" w:cs="Arial"/>
          <w:sz w:val="20"/>
          <w:szCs w:val="20"/>
        </w:rPr>
        <w:fldChar w:fldCharType="begin" w:fldLock="1"/>
      </w:r>
      <w:r w:rsidR="00F95252" w:rsidRPr="00F95252">
        <w:rPr>
          <w:rFonts w:ascii="Arial" w:hAnsi="Arial" w:cs="Arial"/>
          <w:sz w:val="20"/>
          <w:szCs w:val="20"/>
        </w:rPr>
        <w:instrText>ADDIN CSL_CITATION {"citationItems":[{"id":"ITEM-1","itemData":{"DOI":"10.1186/s12982-024-00252-4","ISBN":"0123456789","ISSN":"3005-0774","author":[{"dropping-particle":"","family":"Kelvin","given":"T Masiku","non-dropping-particle":"","parse-names":false,"suffix":""},{"dropping-particle":"","family":"Nyakorema","given":"F Mwijage","non-dropping-particle":"","parse-names":false,"suffix":""},{"dropping-particle":"","family":"Noel","given":"L Ryoba","non-dropping-particle":"","parse-names":false,"suffix":""},{"dropping-particle":"","family":"Neema","given":"J Ngulinzila","non-dropping-particle":"","parse-names":false,"suffix":""}],"container-title":"Discover Public Health","id":"ITEM-1","issued":{"date-parts":[["2024"]]},"publisher":"BioMed Central","title":"students in Kilimanjaro region , northern Tanzania","type":"article-journal"},"uris":["http://www.mendeley.com/documents/?uuid=f6b35845-9134-41bd-b53a-2538a590cdff"]}],"mendeley":{"formattedCitation":"(Kelvin, Nyakorema, Noel, &amp; Neema, 2024)","manualFormatting":"Kelvin et al (2024)","plainTextFormattedCitation":"(Kelvin, Nyakorema, Noel, &amp; Neema, 2024)"},"properties":{"noteIndex":0},"schema":"https://github.com/citation-style-language/schema/raw/master/csl-citation.json"}</w:instrText>
      </w:r>
      <w:r w:rsidR="00F95252" w:rsidRPr="00F95252">
        <w:rPr>
          <w:rFonts w:ascii="Arial" w:hAnsi="Arial" w:cs="Arial"/>
          <w:sz w:val="20"/>
          <w:szCs w:val="20"/>
        </w:rPr>
        <w:fldChar w:fldCharType="separate"/>
      </w:r>
      <w:r w:rsidR="00F95252" w:rsidRPr="00F95252">
        <w:rPr>
          <w:rFonts w:ascii="Arial" w:hAnsi="Arial" w:cs="Arial"/>
          <w:noProof/>
          <w:sz w:val="20"/>
          <w:szCs w:val="20"/>
        </w:rPr>
        <w:t xml:space="preserve">Kelvin </w:t>
      </w:r>
      <w:r w:rsidR="00F95252" w:rsidRPr="00F95252">
        <w:rPr>
          <w:rFonts w:ascii="Arial" w:hAnsi="Arial" w:cs="Arial"/>
          <w:i/>
          <w:noProof/>
          <w:sz w:val="20"/>
          <w:szCs w:val="20"/>
        </w:rPr>
        <w:t>et a</w:t>
      </w:r>
      <w:r w:rsidR="00F95252" w:rsidRPr="00F95252">
        <w:rPr>
          <w:rFonts w:ascii="Arial" w:hAnsi="Arial" w:cs="Arial"/>
          <w:noProof/>
          <w:sz w:val="20"/>
          <w:szCs w:val="20"/>
        </w:rPr>
        <w:t>l (2024)</w:t>
      </w:r>
      <w:r w:rsidR="00F95252" w:rsidRPr="00F95252">
        <w:rPr>
          <w:rFonts w:ascii="Arial" w:hAnsi="Arial" w:cs="Arial"/>
          <w:sz w:val="20"/>
          <w:szCs w:val="20"/>
        </w:rPr>
        <w:fldChar w:fldCharType="end"/>
      </w:r>
      <w:r w:rsidR="00F95252" w:rsidRPr="00F95252">
        <w:rPr>
          <w:rFonts w:ascii="Arial" w:hAnsi="Arial" w:cs="Arial"/>
          <w:sz w:val="20"/>
          <w:szCs w:val="20"/>
        </w:rPr>
        <w:t>.</w:t>
      </w:r>
      <w:r w:rsidRPr="00F95252">
        <w:rPr>
          <w:rFonts w:ascii="Arial" w:hAnsi="Arial" w:cs="Arial"/>
          <w:sz w:val="20"/>
          <w:szCs w:val="20"/>
        </w:rPr>
        <w:t xml:space="preserve">This disparity may be attributed to </w:t>
      </w:r>
      <w:r w:rsidR="00292407" w:rsidRPr="00F95252">
        <w:rPr>
          <w:rFonts w:ascii="Arial" w:hAnsi="Arial" w:cs="Arial"/>
          <w:sz w:val="20"/>
          <w:szCs w:val="20"/>
        </w:rPr>
        <w:t xml:space="preserve">sample size, </w:t>
      </w:r>
      <w:r w:rsidRPr="00F95252">
        <w:rPr>
          <w:rFonts w:ascii="Arial" w:hAnsi="Arial" w:cs="Arial"/>
          <w:sz w:val="20"/>
          <w:szCs w:val="20"/>
        </w:rPr>
        <w:t xml:space="preserve">differences in access to business resources, financial capital, and decision-making autonomy. </w:t>
      </w:r>
      <w:r w:rsidR="00F95252" w:rsidRPr="00F95252">
        <w:rPr>
          <w:rFonts w:ascii="Arial" w:hAnsi="Arial" w:cs="Arial"/>
          <w:sz w:val="20"/>
          <w:szCs w:val="20"/>
        </w:rPr>
        <w:t xml:space="preserve">Studies have suggested that </w:t>
      </w:r>
      <w:r w:rsidRPr="00F95252">
        <w:rPr>
          <w:rFonts w:ascii="Arial" w:hAnsi="Arial" w:cs="Arial"/>
          <w:sz w:val="20"/>
          <w:szCs w:val="20"/>
        </w:rPr>
        <w:t>female retailers in the informal sector often face economic constraints that limit their ability to invest in storage infrastructure</w:t>
      </w:r>
      <w:r w:rsidR="00F95252" w:rsidRPr="00F95252">
        <w:rPr>
          <w:rFonts w:ascii="Arial" w:hAnsi="Arial" w:cs="Arial"/>
          <w:sz w:val="20"/>
          <w:szCs w:val="20"/>
        </w:rPr>
        <w:t xml:space="preserve"> </w:t>
      </w:r>
      <w:r w:rsidR="00F95252" w:rsidRPr="00F95252">
        <w:rPr>
          <w:rFonts w:ascii="Arial" w:eastAsia="Times New Roman" w:hAnsi="Arial" w:cs="Arial"/>
          <w:sz w:val="20"/>
          <w:szCs w:val="20"/>
        </w:rPr>
        <w:t xml:space="preserve">due to a shortage of credit, collateral, and cultural perceptions that favor men with regard to asset ownership </w:t>
      </w:r>
      <w:r w:rsidR="00F95252" w:rsidRPr="00F95252">
        <w:rPr>
          <w:rFonts w:ascii="Arial" w:eastAsia="Times New Roman" w:hAnsi="Arial" w:cs="Arial"/>
          <w:sz w:val="20"/>
          <w:szCs w:val="20"/>
        </w:rPr>
        <w:fldChar w:fldCharType="begin" w:fldLock="1"/>
      </w:r>
      <w:r w:rsidR="00F95252" w:rsidRPr="00F95252">
        <w:rPr>
          <w:rFonts w:ascii="Arial" w:eastAsia="Times New Roman" w:hAnsi="Arial" w:cs="Arial"/>
          <w:sz w:val="20"/>
          <w:szCs w:val="20"/>
        </w:rPr>
        <w:instrText>ADDIN CSL_CITATION {"citationItems":[{"id":"ITEM-1","itemData":{"abstract":"… , tailoring, charcoal selling, fish selling and vegetable selling … The study recommends that business from sub-Saharan … issues and networking and marketing as factors that hinder the …","author":[{"dropping-particle":"","family":"Wilbard","given":"Juliana","non-dropping-particle":"","parse-names":false,"suffix":""},{"dropping-particle":"","family":"Mbura","given":"Omari","non-dropping-particle":"","parse-names":false,"suffix":""}],"container-title":"Business Management Review","id":"ITEM-1","issue":"June","issued":{"date-parts":[["2017"]]},"page":"65-77","title":"Entrepreneurial Activities and Growth of Women Businesses : a Case of Tanzania","type":"article-journal","volume":"2253"},"uris":["http://www.mendeley.com/documents/?uuid=9efdca90-40fd-4df4-a52d-c228fb6701d7"]}],"mendeley":{"formattedCitation":"(Wilbard &amp; Mbura, 2017)","plainTextFormattedCitation":"(Wilbard &amp; Mbura, 2017)","previouslyFormattedCitation":"(Wilbard &amp; Mbura, 2017)"},"properties":{"noteIndex":0},"schema":"https://github.com/citation-style-language/schema/raw/master/csl-citation.json"}</w:instrText>
      </w:r>
      <w:r w:rsidR="00F95252" w:rsidRPr="00F95252">
        <w:rPr>
          <w:rFonts w:ascii="Arial" w:eastAsia="Times New Roman" w:hAnsi="Arial" w:cs="Arial"/>
          <w:sz w:val="20"/>
          <w:szCs w:val="20"/>
        </w:rPr>
        <w:fldChar w:fldCharType="separate"/>
      </w:r>
      <w:r w:rsidR="00F95252" w:rsidRPr="00F95252">
        <w:rPr>
          <w:rFonts w:ascii="Arial" w:eastAsia="Times New Roman" w:hAnsi="Arial" w:cs="Arial"/>
          <w:noProof/>
          <w:sz w:val="20"/>
          <w:szCs w:val="20"/>
        </w:rPr>
        <w:t>(Wilbard &amp; Mbura, 2017)</w:t>
      </w:r>
      <w:r w:rsidR="00F95252" w:rsidRPr="00F95252">
        <w:rPr>
          <w:rFonts w:ascii="Arial" w:eastAsia="Times New Roman" w:hAnsi="Arial" w:cs="Arial"/>
          <w:sz w:val="20"/>
          <w:szCs w:val="20"/>
        </w:rPr>
        <w:fldChar w:fldCharType="end"/>
      </w:r>
      <w:r w:rsidR="00F95252" w:rsidRPr="00F95252">
        <w:rPr>
          <w:rFonts w:ascii="Arial" w:eastAsia="Times New Roman" w:hAnsi="Arial" w:cs="Arial"/>
          <w:sz w:val="20"/>
          <w:szCs w:val="20"/>
        </w:rPr>
        <w:t>.</w:t>
      </w:r>
      <w:r w:rsidRPr="00F95252">
        <w:rPr>
          <w:rFonts w:ascii="Arial" w:hAnsi="Arial" w:cs="Arial"/>
          <w:sz w:val="20"/>
          <w:szCs w:val="20"/>
        </w:rPr>
        <w:t>Addressing this issue requires gender-inclusive business support programs, including financial incentives for women entrepreneurs, business management training, and targeted awareness campaigns.</w:t>
      </w:r>
    </w:p>
    <w:p w14:paraId="00C5206A" w14:textId="77777777" w:rsidR="005B3918" w:rsidRPr="005B3918" w:rsidRDefault="005B3918" w:rsidP="005B3918">
      <w:pPr>
        <w:spacing w:after="0" w:line="240" w:lineRule="auto"/>
        <w:jc w:val="both"/>
        <w:rPr>
          <w:rFonts w:ascii="Arial" w:eastAsia="Times New Roman" w:hAnsi="Arial" w:cs="Arial"/>
          <w:sz w:val="20"/>
          <w:szCs w:val="20"/>
        </w:rPr>
      </w:pPr>
    </w:p>
    <w:p w14:paraId="5F6D9261" w14:textId="4A90B4DB" w:rsidR="00F71F7B" w:rsidRPr="005B3918" w:rsidRDefault="00E51DCB" w:rsidP="003E71AF">
      <w:pPr>
        <w:spacing w:line="240" w:lineRule="auto"/>
        <w:jc w:val="both"/>
        <w:rPr>
          <w:rFonts w:ascii="Arial" w:eastAsia="Times New Roman" w:hAnsi="Arial" w:cs="Arial"/>
          <w:sz w:val="20"/>
          <w:szCs w:val="20"/>
        </w:rPr>
      </w:pPr>
      <w:r w:rsidRPr="003E71AF">
        <w:rPr>
          <w:rFonts w:ascii="Arial" w:hAnsi="Arial" w:cs="Arial"/>
          <w:sz w:val="20"/>
          <w:szCs w:val="20"/>
        </w:rPr>
        <w:t xml:space="preserve">Contrary to expectations, education level and years of experience did not significantly influence storage practices (p = 0.812 and p = 0.513, respectively). These findings challenge the assumption that higher education levels lead to better compliance with food safety regulations. Instead, they reinforce the argument that economic and structural constraints have a greater influence on business practices than individual knowledge. </w:t>
      </w:r>
      <w:r w:rsidR="00F71F7B" w:rsidRPr="003E71AF">
        <w:rPr>
          <w:rFonts w:ascii="Arial" w:hAnsi="Arial" w:cs="Arial"/>
          <w:sz w:val="20"/>
          <w:szCs w:val="20"/>
        </w:rPr>
        <w:t xml:space="preserve">This is in contrast with research suggesting </w:t>
      </w:r>
      <w:r w:rsidR="00F71F7B" w:rsidRPr="003E71AF">
        <w:rPr>
          <w:rFonts w:ascii="Arial" w:eastAsia="Times New Roman" w:hAnsi="Arial" w:cs="Arial"/>
          <w:sz w:val="20"/>
          <w:szCs w:val="20"/>
        </w:rPr>
        <w:t xml:space="preserve">vendors with higher levels of education have a </w:t>
      </w:r>
      <w:r w:rsidR="00F71F7B" w:rsidRPr="003E71AF">
        <w:rPr>
          <w:rFonts w:ascii="Arial" w:eastAsia="Times New Roman" w:hAnsi="Arial" w:cs="Arial"/>
          <w:sz w:val="20"/>
          <w:szCs w:val="20"/>
        </w:rPr>
        <w:lastRenderedPageBreak/>
        <w:t>greater awareness of food safety, which enhances their understanding of existing food safety information</w:t>
      </w:r>
      <w:r w:rsidR="005B3918">
        <w:rPr>
          <w:rFonts w:ascii="Arial" w:hAnsi="Arial" w:cs="Arial"/>
          <w:sz w:val="20"/>
          <w:szCs w:val="20"/>
        </w:rPr>
        <w:t xml:space="preserve"> </w:t>
      </w:r>
      <w:r w:rsidR="005B3918">
        <w:rPr>
          <w:rFonts w:ascii="Arial" w:eastAsia="Times New Roman" w:hAnsi="Arial" w:cs="Arial"/>
          <w:sz w:val="20"/>
          <w:szCs w:val="20"/>
        </w:rPr>
        <w:t>(</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author":[{"dropping-particle":"","family":"Ann","given":"Yvonne","non-dropping-particle":"","parse-names":false,"suffix":""},{"dropping-particle":"","family":"Kaunye","given":"Amoit","non-dropping-particle":"","parse-names":false,"suffix":""}],"id":"ITEM-1","issued":{"date-parts":[["2023"]]},"title":"SAFETY AND QUALITY OF FRESH FRUIT JUICES SOLD BY STREET VENDORS IN","type":"article-journal"},"uris":["http://www.mendeley.com/documents/?uuid=96e08332-6522-4657-b5d8-3bce40b9eb8f"]}],"mendeley":{"formattedCitation":"(Ann &amp; Kaunye, 2023)","manualFormatting":"Ann &amp; Kaunye 2023)","plainTextFormattedCitation":"(Ann &amp; Kaunye, 2023)","previouslyFormattedCitation":"(Ann &amp; Kaunye,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Ann &amp; Kaunye 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Moreover, this study contradicts with a research conducted by </w:t>
      </w:r>
      <w:r w:rsidR="00F71F7B" w:rsidRPr="003E71AF">
        <w:rPr>
          <w:rFonts w:ascii="Arial" w:eastAsia="Times New Roman" w:hAnsi="Arial" w:cs="Arial"/>
          <w:sz w:val="20"/>
          <w:szCs w:val="20"/>
        </w:rPr>
        <w:fldChar w:fldCharType="begin" w:fldLock="1"/>
      </w:r>
      <w:r w:rsidR="00F71F7B" w:rsidRPr="003E71AF">
        <w:rPr>
          <w:rFonts w:ascii="Arial" w:eastAsia="Times New Roman" w:hAnsi="Arial" w:cs="Arial"/>
          <w:sz w:val="20"/>
          <w:szCs w:val="20"/>
        </w:rPr>
        <w:instrText>ADDIN CSL_CITATION {"citationItems":[{"id":"ITEM-1","itemData":{"DOI":"10.9734/EJNFS/2023/v15i121368","author":[{"dropping-particle":"","family":"Magambo, J. M., Kussaga, J. B., &amp; Majaliwa","given":"N. (2023).","non-dropping-particle":"","parse-names":false,"suffix":""}],"id":"ITEM-1","issue":"12","issued":{"date-parts":[["2023"]]},"page":"64-77","title":"Assessment of Handling Practices of Fresh Vegetable Salads in Restaurants and Street Vendors : A Case of Mwanza","type":"article-journal","volume":"15"},"uris":["http://www.mendeley.com/documents/?uuid=4fc61326-26c5-474a-91e2-34a64c314eae"]}],"mendeley":{"formattedCitation":"(Magambo, J. M., Kussaga, J. B., &amp; Majaliwa, 2023)","manualFormatting":"Magambo, et al.,(2023)","plainTextFormattedCitation":"(Magambo, J. M., Kussaga, J. B., &amp; Majaliwa, 2023)","previouslyFormattedCitation":"(Magambo, J. M., Kussaga, J. B., &amp; Majaliwa, 2023)"},"properties":{"noteIndex":0},"schema":"https://github.com/citation-style-language/schema/raw/master/csl-citation.json"}</w:instrText>
      </w:r>
      <w:r w:rsidR="00F71F7B" w:rsidRPr="003E71AF">
        <w:rPr>
          <w:rFonts w:ascii="Arial" w:eastAsia="Times New Roman" w:hAnsi="Arial" w:cs="Arial"/>
          <w:sz w:val="20"/>
          <w:szCs w:val="20"/>
        </w:rPr>
        <w:fldChar w:fldCharType="separate"/>
      </w:r>
      <w:r w:rsidR="00F71F7B" w:rsidRPr="003E71AF">
        <w:rPr>
          <w:rFonts w:ascii="Arial" w:eastAsia="Times New Roman" w:hAnsi="Arial" w:cs="Arial"/>
          <w:noProof/>
          <w:sz w:val="20"/>
          <w:szCs w:val="20"/>
        </w:rPr>
        <w:t xml:space="preserve">Magambo, </w:t>
      </w:r>
      <w:r w:rsidR="00F71F7B" w:rsidRPr="003E71AF">
        <w:rPr>
          <w:rFonts w:ascii="Arial" w:eastAsia="Times New Roman" w:hAnsi="Arial" w:cs="Arial"/>
          <w:i/>
          <w:noProof/>
          <w:sz w:val="20"/>
          <w:szCs w:val="20"/>
        </w:rPr>
        <w:t>et al</w:t>
      </w:r>
      <w:r w:rsidR="00F71F7B" w:rsidRPr="003E71AF">
        <w:rPr>
          <w:rFonts w:ascii="Arial" w:eastAsia="Times New Roman" w:hAnsi="Arial" w:cs="Arial"/>
          <w:noProof/>
          <w:sz w:val="20"/>
          <w:szCs w:val="20"/>
        </w:rPr>
        <w:t>.,(2023)</w:t>
      </w:r>
      <w:r w:rsidR="00F71F7B" w:rsidRPr="003E71AF">
        <w:rPr>
          <w:rFonts w:ascii="Arial" w:eastAsia="Times New Roman" w:hAnsi="Arial" w:cs="Arial"/>
          <w:sz w:val="20"/>
          <w:szCs w:val="20"/>
        </w:rPr>
        <w:fldChar w:fldCharType="end"/>
      </w:r>
      <w:r w:rsidR="00F71F7B" w:rsidRPr="003E71AF">
        <w:rPr>
          <w:rFonts w:ascii="Arial" w:eastAsia="Times New Roman" w:hAnsi="Arial" w:cs="Arial"/>
          <w:sz w:val="20"/>
          <w:szCs w:val="20"/>
        </w:rPr>
        <w:t xml:space="preserve"> which reported workers with greater experience tend to display higher knowledge scores and better adherence to food safety protocols</w:t>
      </w:r>
      <w:r w:rsidR="00CC4EA3" w:rsidRPr="003E71AF">
        <w:rPr>
          <w:rFonts w:ascii="Arial" w:eastAsia="Times New Roman" w:hAnsi="Arial" w:cs="Arial"/>
          <w:sz w:val="20"/>
          <w:szCs w:val="20"/>
        </w:rPr>
        <w:t>.</w:t>
      </w:r>
    </w:p>
    <w:p w14:paraId="7BD925E6" w14:textId="10FF90A1"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 xml:space="preserve">The study found no significant difference in storage practices between Kinondoni and </w:t>
      </w:r>
      <w:proofErr w:type="spellStart"/>
      <w:r w:rsidRPr="003E71AF">
        <w:rPr>
          <w:rFonts w:ascii="Arial" w:hAnsi="Arial" w:cs="Arial"/>
          <w:sz w:val="20"/>
          <w:szCs w:val="20"/>
        </w:rPr>
        <w:t>Ubungo</w:t>
      </w:r>
      <w:proofErr w:type="spellEnd"/>
      <w:r w:rsidRPr="003E71AF">
        <w:rPr>
          <w:rFonts w:ascii="Arial" w:hAnsi="Arial" w:cs="Arial"/>
          <w:sz w:val="20"/>
          <w:szCs w:val="20"/>
        </w:rPr>
        <w:t xml:space="preserve"> districts (p = 0.221), suggesting that geographic location does not strongly influence adherence to proper storage guidelines. This finding implies that urban retail environments in Dar es Salaam face similar constraints regardless of district, reinforcing the need for city-wide </w:t>
      </w:r>
      <w:r w:rsidR="0003730F" w:rsidRPr="003E71AF">
        <w:rPr>
          <w:rFonts w:ascii="Arial" w:hAnsi="Arial" w:cs="Arial"/>
          <w:sz w:val="20"/>
          <w:szCs w:val="20"/>
        </w:rPr>
        <w:t>intervention</w:t>
      </w:r>
      <w:r w:rsidRPr="003E71AF">
        <w:rPr>
          <w:rFonts w:ascii="Arial" w:hAnsi="Arial" w:cs="Arial"/>
          <w:sz w:val="20"/>
          <w:szCs w:val="20"/>
        </w:rPr>
        <w:t xml:space="preserve"> rather than location-specific policies. While district-level enforcement mechanisms may vary, storage behavior is primarily driven by factors such as business setup, infrastructure availability, and financial capacity.</w:t>
      </w:r>
    </w:p>
    <w:p w14:paraId="68BF383D" w14:textId="7AB0310C" w:rsidR="003E71AF" w:rsidRPr="0076609D" w:rsidRDefault="00E51DCB" w:rsidP="003E71AF">
      <w:pPr>
        <w:spacing w:line="240" w:lineRule="auto"/>
        <w:jc w:val="both"/>
        <w:rPr>
          <w:rFonts w:ascii="Arial" w:hAnsi="Arial" w:cs="Arial"/>
          <w:sz w:val="20"/>
          <w:szCs w:val="20"/>
        </w:rPr>
      </w:pPr>
      <w:r w:rsidRPr="0076609D">
        <w:rPr>
          <w:rFonts w:ascii="Arial" w:hAnsi="Arial" w:cs="Arial"/>
          <w:sz w:val="20"/>
          <w:szCs w:val="20"/>
        </w:rPr>
        <w:t>Retailers identified several challenges in implementing proper soft drink storage practices, including financial limitations, space constraints, unreliable electricity, and faulty refrigeration equipment. The most frequently cited challenge was lack of capital to invest in refrigeration equipment (64.13%), a common issue in informal retail markets where profit margins are often too low to support significant infrastructure investment</w:t>
      </w:r>
      <w:r w:rsidR="0076609D" w:rsidRPr="0076609D">
        <w:rPr>
          <w:rFonts w:ascii="Arial" w:hAnsi="Arial" w:cs="Arial"/>
          <w:sz w:val="20"/>
          <w:szCs w:val="20"/>
        </w:rPr>
        <w:t xml:space="preserve">. </w:t>
      </w:r>
      <w:r w:rsidRPr="0076609D">
        <w:rPr>
          <w:rFonts w:ascii="Arial" w:hAnsi="Arial" w:cs="Arial"/>
          <w:sz w:val="20"/>
          <w:szCs w:val="20"/>
        </w:rPr>
        <w:t xml:space="preserve"> </w:t>
      </w:r>
      <w:r w:rsidR="0076609D" w:rsidRPr="0076609D">
        <w:rPr>
          <w:rFonts w:ascii="Arial" w:eastAsia="Times New Roman" w:hAnsi="Arial" w:cs="Arial"/>
          <w:sz w:val="20"/>
          <w:szCs w:val="20"/>
        </w:rPr>
        <w:t xml:space="preserve">This result is consistent with a study undertaken in Dodoma, Tanzania by </w:t>
      </w:r>
      <w:r w:rsidR="0076609D" w:rsidRPr="0076609D">
        <w:rPr>
          <w:rFonts w:ascii="Arial" w:eastAsia="Times New Roman" w:hAnsi="Arial" w:cs="Arial"/>
          <w:sz w:val="20"/>
          <w:szCs w:val="20"/>
        </w:rPr>
        <w:fldChar w:fldCharType="begin" w:fldLock="1"/>
      </w:r>
      <w:r w:rsidR="0076609D" w:rsidRPr="0076609D">
        <w:rPr>
          <w:rFonts w:ascii="Arial" w:eastAsia="Times New Roman" w:hAnsi="Arial" w:cs="Arial"/>
          <w:sz w:val="20"/>
          <w:szCs w:val="20"/>
        </w:rPr>
        <w:instrText>ADDIN CSL_CITATION {"citationItems":[{"id":"ITEM-1","itemData":{"abstract":"… , 50 respondents were picked from Dodoma bus terminal where trips originate to all regions of … In order to ensure the effective and sustainable practices of food vending regulations the …","author":[{"dropping-particle":"","family":"Juma","given":"Mafuru Solomi","non-dropping-particle":"","parse-names":false,"suffix":""},{"dropping-particle":"","family":"Mfinanga","given":"Fredrick Alleni","non-dropping-particle":"","parse-names":false,"suffix":""},{"dropping-particle":"","family":"Mnyone","given":"Godrich I","non-dropping-particle":"","parse-names":false,"suffix":""}],"container-title":"International Journal of Research in Social Sciences","id":"ITEM-1","issue":"5","issued":{"date-parts":[["2018"]]},"page":"109-123","title":"Compliance of Food Vendors To Food Vending Regulations in Tanzania - a Case of Dodoma Municipality","type":"article-journal","volume":"8"},"uris":["http://www.mendeley.com/documents/?uuid=1fee27be-9562-4873-869d-b89ce733a54b"]}],"mendeley":{"formattedCitation":"(Juma et al., 2018)","manualFormatting":"Juma et al. (2018)","plainTextFormattedCitation":"(Juma et al., 2018)","previouslyFormattedCitation":"(Juma et al., 2018)"},"properties":{"noteIndex":0},"schema":"https://github.com/citation-style-language/schema/raw/master/csl-citation.json"}</w:instrText>
      </w:r>
      <w:r w:rsidR="0076609D" w:rsidRPr="0076609D">
        <w:rPr>
          <w:rFonts w:ascii="Arial" w:eastAsia="Times New Roman" w:hAnsi="Arial" w:cs="Arial"/>
          <w:sz w:val="20"/>
          <w:szCs w:val="20"/>
        </w:rPr>
        <w:fldChar w:fldCharType="separate"/>
      </w:r>
      <w:r w:rsidR="0076609D" w:rsidRPr="0076609D">
        <w:rPr>
          <w:rFonts w:ascii="Arial" w:eastAsia="Times New Roman" w:hAnsi="Arial" w:cs="Arial"/>
          <w:noProof/>
          <w:sz w:val="20"/>
          <w:szCs w:val="20"/>
        </w:rPr>
        <w:t xml:space="preserve">Juma </w:t>
      </w:r>
      <w:r w:rsidR="0076609D" w:rsidRPr="0076609D">
        <w:rPr>
          <w:rFonts w:ascii="Arial" w:eastAsia="Times New Roman" w:hAnsi="Arial" w:cs="Arial"/>
          <w:i/>
          <w:noProof/>
          <w:sz w:val="20"/>
          <w:szCs w:val="20"/>
        </w:rPr>
        <w:t>et al</w:t>
      </w:r>
      <w:r w:rsidR="0076609D" w:rsidRPr="0076609D">
        <w:rPr>
          <w:rFonts w:ascii="Arial" w:eastAsia="Times New Roman" w:hAnsi="Arial" w:cs="Arial"/>
          <w:noProof/>
          <w:sz w:val="20"/>
          <w:szCs w:val="20"/>
        </w:rPr>
        <w:t>. (2018)</w:t>
      </w:r>
      <w:r w:rsidR="0076609D" w:rsidRPr="0076609D">
        <w:rPr>
          <w:rFonts w:ascii="Arial" w:eastAsia="Times New Roman" w:hAnsi="Arial" w:cs="Arial"/>
          <w:sz w:val="20"/>
          <w:szCs w:val="20"/>
        </w:rPr>
        <w:fldChar w:fldCharType="end"/>
      </w:r>
      <w:r w:rsidR="0076609D" w:rsidRPr="0076609D">
        <w:rPr>
          <w:rFonts w:ascii="Arial" w:eastAsia="Times New Roman" w:hAnsi="Arial" w:cs="Arial"/>
          <w:sz w:val="20"/>
          <w:szCs w:val="20"/>
        </w:rPr>
        <w:t>, which found that 76% of street food vendors identified a lack of funding for storage facility purchases as a major obstacle to the efficient implementation of food vending regulations.</w:t>
      </w:r>
      <w:r w:rsidR="0076609D" w:rsidRPr="0076609D">
        <w:rPr>
          <w:rFonts w:ascii="Arial" w:hAnsi="Arial" w:cs="Arial"/>
          <w:sz w:val="20"/>
          <w:szCs w:val="20"/>
        </w:rPr>
        <w:t xml:space="preserve"> </w:t>
      </w:r>
      <w:r w:rsidRPr="0076609D">
        <w:rPr>
          <w:rFonts w:ascii="Arial" w:hAnsi="Arial" w:cs="Arial"/>
          <w:sz w:val="20"/>
          <w:szCs w:val="20"/>
        </w:rPr>
        <w:t>Additionally, 21.28% of retailers reported space limitations, particularly kiosk operators who often store soft drinks outdoors due to restricted shop space. Another notable challenge was unreliable electricity supply (18.24%), which affects the ability to maintain consistent cooling. Furthermore, 7.60% of retailers reported refrigeration breakdowns, exacerbating storage difficulties. These findings highlight the structural and economic barriers preventing retailers from adopting optimal storage practices.</w:t>
      </w:r>
    </w:p>
    <w:p w14:paraId="4EA228E1" w14:textId="71C45C5E" w:rsidR="003E71AF" w:rsidRPr="003E71AF" w:rsidRDefault="0076609D" w:rsidP="003E71AF">
      <w:pPr>
        <w:spacing w:line="240" w:lineRule="auto"/>
        <w:jc w:val="both"/>
        <w:rPr>
          <w:rFonts w:ascii="Arial" w:eastAsia="Times New Roman" w:hAnsi="Arial" w:cs="Arial"/>
          <w:sz w:val="20"/>
          <w:szCs w:val="20"/>
        </w:rPr>
      </w:pPr>
      <w:r w:rsidRPr="003E71AF">
        <w:rPr>
          <w:rFonts w:ascii="Arial" w:eastAsia="Times New Roman" w:hAnsi="Arial" w:cs="Arial"/>
          <w:sz w:val="20"/>
          <w:szCs w:val="20"/>
        </w:rPr>
        <w:t>Moreover</w:t>
      </w:r>
      <w:r w:rsidR="003E71AF" w:rsidRPr="003E71AF">
        <w:rPr>
          <w:rFonts w:ascii="Arial" w:eastAsia="Times New Roman" w:hAnsi="Arial" w:cs="Arial"/>
          <w:sz w:val="20"/>
          <w:szCs w:val="20"/>
        </w:rPr>
        <w:t xml:space="preserve">, it was noted that all of the drinks on display at the stalls were found to be in direct sunlight. This is consistent with the findings of </w:t>
      </w:r>
      <w:r w:rsidR="003E71AF" w:rsidRPr="003E71AF">
        <w:rPr>
          <w:rFonts w:ascii="Arial" w:eastAsia="Times New Roman" w:hAnsi="Arial" w:cs="Arial"/>
          <w:noProof/>
          <w:sz w:val="20"/>
          <w:szCs w:val="20"/>
        </w:rPr>
        <w:t xml:space="preserve"> </w:t>
      </w:r>
      <w:r w:rsidR="003E71AF" w:rsidRPr="003E71AF">
        <w:rPr>
          <w:rFonts w:ascii="Arial" w:eastAsia="Times New Roman" w:hAnsi="Arial" w:cs="Arial"/>
          <w:noProof/>
          <w:sz w:val="20"/>
          <w:szCs w:val="20"/>
        </w:rPr>
        <w:fldChar w:fldCharType="begin" w:fldLock="1"/>
      </w:r>
      <w:r w:rsidR="003E71AF" w:rsidRPr="003E71AF">
        <w:rPr>
          <w:rFonts w:ascii="Arial" w:eastAsia="Times New Roman" w:hAnsi="Arial" w:cs="Arial"/>
          <w:noProof/>
          <w:sz w:val="20"/>
          <w:szCs w:val="20"/>
        </w:rPr>
        <w:instrText>ADDIN CSL_CITATION {"citationItems":[{"id":"ITEM-1","itemData":{"author":[{"dropping-particle":"","family":"Uchendu","given":"Florence Ngozi","non-dropping-particle":"","parse-names":false,"suffix":""},{"dropping-particle":"","family":"Abuja","given":"Jabi","non-dropping-particle":"","parse-names":false,"suffix":""}],"id":"ITEM-1","issue":"January 2018","issued":{"date-parts":[["2022"]]},"title":"ASSESSMENT OF POOR FOOD SAFETY PRACTICES AMONG FOOD VENDORS AND HOUSEHOLDS IN LAGOS STATE , AND HEALTH IMPLICATIONS","type":"article-journal"},"uris":["http://www.mendeley.com/documents/?uuid=6001d714-d91e-4b00-9418-c749bf8b495a"]}],"mendeley":{"formattedCitation":"(Uchendu &amp; Abuja, 2022)","manualFormatting":"Uchendu &amp; Abuja (2022)","plainTextFormattedCitation":"(Uchendu &amp; Abuja, 2022)","previouslyFormattedCitation":"(Uchendu &amp; Abuja, 2022)"},"properties":{"noteIndex":0},"schema":"https://github.com/citation-style-language/schema/raw/master/csl-citation.json"}</w:instrText>
      </w:r>
      <w:r w:rsidR="003E71AF" w:rsidRPr="003E71AF">
        <w:rPr>
          <w:rFonts w:ascii="Arial" w:eastAsia="Times New Roman" w:hAnsi="Arial" w:cs="Arial"/>
          <w:noProof/>
          <w:sz w:val="20"/>
          <w:szCs w:val="20"/>
        </w:rPr>
        <w:fldChar w:fldCharType="separate"/>
      </w:r>
      <w:r w:rsidR="003E71AF" w:rsidRPr="003E71AF">
        <w:rPr>
          <w:rFonts w:ascii="Arial" w:eastAsia="Times New Roman" w:hAnsi="Arial" w:cs="Arial"/>
          <w:noProof/>
          <w:sz w:val="20"/>
          <w:szCs w:val="20"/>
        </w:rPr>
        <w:t>Uchendu &amp; Abuja (2022)</w:t>
      </w:r>
      <w:r w:rsidR="003E71AF" w:rsidRPr="003E71AF">
        <w:rPr>
          <w:rFonts w:ascii="Arial" w:eastAsia="Times New Roman" w:hAnsi="Arial" w:cs="Arial"/>
          <w:noProof/>
          <w:sz w:val="20"/>
          <w:szCs w:val="20"/>
        </w:rPr>
        <w:fldChar w:fldCharType="end"/>
      </w:r>
      <w:r w:rsidR="003E71AF" w:rsidRPr="003E71AF">
        <w:rPr>
          <w:rFonts w:ascii="Arial" w:eastAsia="Times New Roman" w:hAnsi="Arial" w:cs="Arial"/>
          <w:noProof/>
          <w:sz w:val="20"/>
          <w:szCs w:val="20"/>
        </w:rPr>
        <w:t>,</w:t>
      </w:r>
      <w:r w:rsidR="003E71AF" w:rsidRPr="003E71AF">
        <w:rPr>
          <w:rFonts w:ascii="Arial" w:eastAsia="Times New Roman" w:hAnsi="Arial" w:cs="Arial"/>
          <w:sz w:val="20"/>
          <w:szCs w:val="20"/>
        </w:rPr>
        <w:t xml:space="preserve">who found that half (33% ) of market soft drinks petty traders  kept their drinks out in the open. </w:t>
      </w:r>
      <w:r w:rsidR="003E71AF" w:rsidRPr="003E71AF">
        <w:rPr>
          <w:rFonts w:ascii="Arial" w:hAnsi="Arial" w:cs="Arial"/>
          <w:sz w:val="20"/>
          <w:szCs w:val="20"/>
        </w:rPr>
        <w:t xml:space="preserve">For this case, frequent soft drinks consumers may be at health risk since soft drinks often contain preservatives, exposing them to undesirable conditions may combine to form benzene, a Group 1 carcinogen as categorized by the International Agency for Research on Cancer (IARC) as reported by </w:t>
      </w:r>
      <w:r w:rsidR="003E71AF" w:rsidRPr="003E71AF">
        <w:rPr>
          <w:rFonts w:ascii="Arial" w:hAnsi="Arial" w:cs="Arial"/>
          <w:sz w:val="20"/>
          <w:szCs w:val="20"/>
        </w:rPr>
        <w:fldChar w:fldCharType="begin" w:fldLock="1"/>
      </w:r>
      <w:r w:rsidR="00481CDC">
        <w:rPr>
          <w:rFonts w:ascii="Arial" w:hAnsi="Arial" w:cs="Arial"/>
          <w:sz w:val="20"/>
          <w:szCs w:val="20"/>
        </w:rPr>
        <w:instrText>ADDIN CSL_CITATION {"citationItems":[{"id":"ITEM-1","itemData":{"DOI":"10.1016/j.sciaf.2020.e00611","ISSN":"24682276","abstract":"There is a serious concern about the use of sodium benzoate in non-alcoholic carbonated (soft) drinks because of its mechanistic ability to convert to benzene, a classified carcinogen. It is this concern that drove this study to determine consumer exposures to sodium benzoate and possible health risks from intake of such soft drinks. A survey was conducted during which Google Forms were used to collect drink consumption data from 113 consumers including males and females. During this same period, 38 varieties of non-alcoholic carbonated (soft) drinks were collected from two major markets in Ghana. These drink samples were subsequently subjected to extraction protocols and the levels of sodium benzoate quantified using HPLC. Information from the Google Forms together with the quantification of sodium benzoate formed the basis of the determination of exposure of sodium benzoate according to the USEPA protocols. Using the Palisade @Risk software, elements of exposure of sodium benzoate (mg/mL ingested, volume-mL of non-alcoholic carbonated (soft) drink consumed, and body weight-kg of consumers) were integrated and iterated (at 105) to estimate the simulated chronic exposures. Simulated risks (hazard quotient, HQ, margin of exposure, MoE, and cancer risk, LTCR) were determined using thresholds obtained from regulatory bodies. High levels of sodium benzoate, above the acceptable limit of 150 mg/L based on USEPA recommendations, were detected in 6 (16%) of the 38 non-alcoholic carbonated (soft) drinks sampled. The results of the study showed that the concentrations of sodium benzoate ranged from a minimum of 51.0 mg/L to a maximum of 277.0 mg/L. It was clear that the consumption patterns of males created relatively high exposures leading to unsurprisingly higher risks compared to female consumers. The high-risk indices determined in this study, relative to regulatory thresholds (HQ&gt;1, MoE&lt;104 and LTCR &gt;10−6) are all serious indicators of grave public health concerns. These observations emphasize potential benzenes in our food chains and a call for a more forceful monitoring of product quality and safety to ensure adherence to standards.","author":[{"dropping-particle":"","family":"Azuma","given":"S. L.","non-dropping-particle":"","parse-names":false,"suffix":""},{"dropping-particle":"","family":"Quartey","given":"N. K.A.","non-dropping-particle":"","parse-names":false,"suffix":""},{"dropping-particle":"","family":"Ofosu","given":"I. W.","non-dropping-particle":"","parse-names":false,"suffix":""}],"container-title":"Scientific African","id":"ITEM-1","issued":{"date-parts":[["2020"]]},"page":"e00611","publisher":"Elsevier B.V.","title":"Sodium benzoate in non-alcoholic carbonated (soft) drinks: Exposure and health risks","type":"article-journal","volume":"10"},"uris":["http://www.mendeley.com/documents/?uuid=ed07f82e-55f9-46e1-a1cd-9334e9064ec1"]}],"mendeley":{"formattedCitation":"(Azuma, Quartey, &amp; Ofosu, 2020)","manualFormatting":"Azuma et al., (2020)","plainTextFormattedCitation":"(Azuma, Quartey, &amp; Ofosu, 2020)","previouslyFormattedCitation":"(Azuma, Quartey, &amp; Ofosu, 2020)"},"properties":{"noteIndex":0},"schema":"https://github.com/citation-style-language/schema/raw/master/csl-citation.json"}</w:instrText>
      </w:r>
      <w:r w:rsidR="003E71AF" w:rsidRPr="003E71AF">
        <w:rPr>
          <w:rFonts w:ascii="Arial" w:hAnsi="Arial" w:cs="Arial"/>
          <w:sz w:val="20"/>
          <w:szCs w:val="20"/>
        </w:rPr>
        <w:fldChar w:fldCharType="separate"/>
      </w:r>
      <w:r w:rsidR="003E71AF" w:rsidRPr="003E71AF">
        <w:rPr>
          <w:rFonts w:ascii="Arial" w:hAnsi="Arial" w:cs="Arial"/>
          <w:noProof/>
          <w:sz w:val="20"/>
          <w:szCs w:val="20"/>
        </w:rPr>
        <w:t>Azuma</w:t>
      </w:r>
      <w:r w:rsidR="003E71AF" w:rsidRPr="003E71AF">
        <w:rPr>
          <w:rFonts w:ascii="Arial" w:hAnsi="Arial" w:cs="Arial"/>
          <w:i/>
          <w:noProof/>
          <w:sz w:val="20"/>
          <w:szCs w:val="20"/>
        </w:rPr>
        <w:t xml:space="preserve"> et al</w:t>
      </w:r>
      <w:r w:rsidR="003E71AF" w:rsidRPr="003E71AF">
        <w:rPr>
          <w:rFonts w:ascii="Arial" w:hAnsi="Arial" w:cs="Arial"/>
          <w:noProof/>
          <w:sz w:val="20"/>
          <w:szCs w:val="20"/>
        </w:rPr>
        <w:t>., (2020)</w:t>
      </w:r>
      <w:r w:rsidR="003E71AF" w:rsidRPr="003E71AF">
        <w:rPr>
          <w:rFonts w:ascii="Arial" w:hAnsi="Arial" w:cs="Arial"/>
          <w:sz w:val="20"/>
          <w:szCs w:val="20"/>
        </w:rPr>
        <w:fldChar w:fldCharType="end"/>
      </w:r>
      <w:r w:rsidR="003E71AF" w:rsidRPr="003E71AF">
        <w:rPr>
          <w:rFonts w:ascii="Arial" w:hAnsi="Arial" w:cs="Arial"/>
          <w:sz w:val="20"/>
          <w:szCs w:val="20"/>
        </w:rPr>
        <w:t xml:space="preserve">.  </w:t>
      </w:r>
    </w:p>
    <w:p w14:paraId="0BAC34E9" w14:textId="77679D04" w:rsidR="00E51DCB" w:rsidRPr="003E71AF" w:rsidRDefault="00E51DCB" w:rsidP="003E71AF">
      <w:pPr>
        <w:spacing w:line="240" w:lineRule="auto"/>
        <w:rPr>
          <w:rFonts w:ascii="Arial" w:hAnsi="Arial" w:cs="Arial"/>
          <w:b/>
          <w:bCs/>
          <w:sz w:val="20"/>
          <w:szCs w:val="20"/>
        </w:rPr>
      </w:pPr>
      <w:r w:rsidRPr="003E71AF">
        <w:rPr>
          <w:rFonts w:ascii="Arial" w:hAnsi="Arial" w:cs="Arial"/>
          <w:b/>
          <w:bCs/>
          <w:sz w:val="20"/>
          <w:szCs w:val="20"/>
        </w:rPr>
        <w:t>Conclusion</w:t>
      </w:r>
      <w:r w:rsidR="00350F82" w:rsidRPr="003E71AF">
        <w:rPr>
          <w:rFonts w:ascii="Arial" w:hAnsi="Arial" w:cs="Arial"/>
          <w:b/>
          <w:bCs/>
          <w:sz w:val="20"/>
          <w:szCs w:val="20"/>
        </w:rPr>
        <w:t xml:space="preserve"> and recommendations</w:t>
      </w:r>
    </w:p>
    <w:p w14:paraId="687691B4" w14:textId="77777777" w:rsidR="00E51DCB" w:rsidRPr="003E71AF" w:rsidRDefault="00E51DCB" w:rsidP="003E71AF">
      <w:pPr>
        <w:spacing w:line="240" w:lineRule="auto"/>
        <w:jc w:val="both"/>
        <w:rPr>
          <w:rFonts w:ascii="Arial" w:hAnsi="Arial" w:cs="Arial"/>
          <w:sz w:val="20"/>
          <w:szCs w:val="20"/>
        </w:rPr>
      </w:pPr>
      <w:r w:rsidRPr="003E71AF">
        <w:rPr>
          <w:rFonts w:ascii="Arial" w:hAnsi="Arial" w:cs="Arial"/>
          <w:sz w:val="20"/>
          <w:szCs w:val="20"/>
        </w:rPr>
        <w:t>The study highlights business setup and gender as key determinants of soft drink storage practices among retailers in Dar es Salaam. Street vendors face significant storage challenges due to financial constraints and lack of infrastructure, while male retailers are more likely to follow proper storage guidelines than female retailers. Education and experience, while traditionally considered important, do not significantly influence storage behavior, emphasizing that economic and structural factors are the primary drivers of compliance.</w:t>
      </w:r>
    </w:p>
    <w:p w14:paraId="635F9D33" w14:textId="77777777" w:rsidR="00E460DD" w:rsidRDefault="00E51DCB" w:rsidP="00E460DD">
      <w:pPr>
        <w:spacing w:line="240" w:lineRule="auto"/>
        <w:jc w:val="both"/>
        <w:rPr>
          <w:rFonts w:ascii="Arial" w:hAnsi="Arial" w:cs="Arial"/>
          <w:sz w:val="20"/>
          <w:szCs w:val="20"/>
        </w:rPr>
      </w:pPr>
      <w:r w:rsidRPr="003E71AF">
        <w:rPr>
          <w:rFonts w:ascii="Arial" w:hAnsi="Arial" w:cs="Arial"/>
          <w:sz w:val="20"/>
          <w:szCs w:val="20"/>
        </w:rPr>
        <w:t>To address these challenges, a mult</w:t>
      </w:r>
      <w:r w:rsidR="00E460DD">
        <w:rPr>
          <w:rFonts w:ascii="Arial" w:hAnsi="Arial" w:cs="Arial"/>
          <w:sz w:val="20"/>
          <w:szCs w:val="20"/>
        </w:rPr>
        <w:t xml:space="preserve">i-faceted approach is required, </w:t>
      </w:r>
      <w:r w:rsidR="00E460DD" w:rsidRPr="003E71AF">
        <w:rPr>
          <w:rFonts w:ascii="Arial" w:hAnsi="Arial" w:cs="Arial"/>
          <w:sz w:val="20"/>
          <w:szCs w:val="20"/>
        </w:rPr>
        <w:t>several policies and practical interventions can be implemented to improve soft drink storage practices among retailers.</w:t>
      </w:r>
    </w:p>
    <w:p w14:paraId="4DF5B1E9" w14:textId="352EADF3"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First, there is a need for infrastructure investment, particularly in providing affordable refrigeration solutions for street vendors and kiosk operators. One potential approach is the introduction of microfinance programs that enable small retailers to acquire cooling equipment through flexible repayment schemes. Additionally, partnerships between beverage manufacturers and retailers could facilitate the provision of rental based refrigeration units or discounted storage equipment for vendors with consistent sales volumes.</w:t>
      </w:r>
    </w:p>
    <w:p w14:paraId="65B7294F" w14:textId="77777777" w:rsidR="00E460DD" w:rsidRPr="003E71AF" w:rsidRDefault="00E460DD" w:rsidP="00E460DD">
      <w:pPr>
        <w:spacing w:line="240" w:lineRule="auto"/>
        <w:jc w:val="both"/>
        <w:rPr>
          <w:rFonts w:ascii="Arial" w:hAnsi="Arial" w:cs="Arial"/>
          <w:sz w:val="20"/>
          <w:szCs w:val="20"/>
        </w:rPr>
      </w:pPr>
      <w:r w:rsidRPr="003E71AF">
        <w:rPr>
          <w:rFonts w:ascii="Arial" w:hAnsi="Arial" w:cs="Arial"/>
          <w:sz w:val="20"/>
          <w:szCs w:val="20"/>
        </w:rPr>
        <w:t>Second, targeted training and awareness campaigns should focus on practical, business-friendly storage solutions. The findings suggest that knowledge alone does not drive better storage practices; thus, interventions should emphasize low-cost, energy-efficient storage methods that are feasible for small-scale retailers. Moreover, given the gender disparities observed in the study, gender-sensitive business support programs should be introduced to empower female retailers with access to financial resources and technical training.</w:t>
      </w:r>
    </w:p>
    <w:p w14:paraId="31184414" w14:textId="3F6563D5" w:rsidR="00E460DD" w:rsidRPr="003E71AF" w:rsidRDefault="00E460DD" w:rsidP="003E71AF">
      <w:pPr>
        <w:spacing w:line="240" w:lineRule="auto"/>
        <w:jc w:val="both"/>
        <w:rPr>
          <w:rFonts w:ascii="Arial" w:hAnsi="Arial" w:cs="Arial"/>
          <w:sz w:val="20"/>
          <w:szCs w:val="20"/>
        </w:rPr>
      </w:pPr>
      <w:r w:rsidRPr="003E71AF">
        <w:rPr>
          <w:rFonts w:ascii="Arial" w:hAnsi="Arial" w:cs="Arial"/>
          <w:sz w:val="20"/>
          <w:szCs w:val="20"/>
        </w:rPr>
        <w:t xml:space="preserve">Finally, regulatory enforcement and incentives should be considered to promote compliance with proper storage guidelines. Government agencies could introduce tax benefits or subsidies for retailers investing in proper storage equipment. Additionally, local authorities could develop incentive programs for retailers who </w:t>
      </w:r>
      <w:r w:rsidRPr="003E71AF">
        <w:rPr>
          <w:rFonts w:ascii="Arial" w:hAnsi="Arial" w:cs="Arial"/>
          <w:sz w:val="20"/>
          <w:szCs w:val="20"/>
        </w:rPr>
        <w:lastRenderedPageBreak/>
        <w:t xml:space="preserve">consistently adhere to proper storage practices, such as preferential access to business development </w:t>
      </w:r>
      <w:r>
        <w:rPr>
          <w:rFonts w:ascii="Arial" w:hAnsi="Arial" w:cs="Arial"/>
          <w:sz w:val="20"/>
          <w:szCs w:val="20"/>
        </w:rPr>
        <w:t>programs or supplier discounts.</w:t>
      </w:r>
    </w:p>
    <w:p w14:paraId="5933FBD7" w14:textId="77777777" w:rsidR="00140E95" w:rsidRPr="003E71AF" w:rsidRDefault="00140E95" w:rsidP="003E71AF">
      <w:pPr>
        <w:spacing w:line="240" w:lineRule="auto"/>
        <w:jc w:val="both"/>
        <w:rPr>
          <w:rFonts w:ascii="Arial" w:hAnsi="Arial" w:cs="Arial"/>
          <w:b/>
          <w:sz w:val="20"/>
          <w:szCs w:val="20"/>
        </w:rPr>
      </w:pPr>
    </w:p>
    <w:p w14:paraId="65B35C54" w14:textId="60BD4CB1" w:rsidR="00E51DCB" w:rsidRPr="003E71AF" w:rsidRDefault="00E51DCB" w:rsidP="003E71AF">
      <w:pPr>
        <w:spacing w:line="240" w:lineRule="auto"/>
        <w:jc w:val="both"/>
        <w:rPr>
          <w:rFonts w:ascii="Arial" w:hAnsi="Arial" w:cs="Arial"/>
          <w:b/>
          <w:sz w:val="20"/>
          <w:szCs w:val="20"/>
        </w:rPr>
      </w:pPr>
      <w:r w:rsidRPr="003E71AF">
        <w:rPr>
          <w:rFonts w:ascii="Arial" w:hAnsi="Arial" w:cs="Arial"/>
          <w:b/>
          <w:sz w:val="20"/>
          <w:szCs w:val="20"/>
        </w:rPr>
        <w:t>REFERENCES</w:t>
      </w:r>
    </w:p>
    <w:p w14:paraId="6949CED4" w14:textId="3129E93A" w:rsidR="00F95252" w:rsidRPr="00F95252" w:rsidRDefault="00556C2C" w:rsidP="00F95252">
      <w:pPr>
        <w:widowControl w:val="0"/>
        <w:autoSpaceDE w:val="0"/>
        <w:autoSpaceDN w:val="0"/>
        <w:adjustRightInd w:val="0"/>
        <w:spacing w:line="240" w:lineRule="auto"/>
        <w:ind w:left="480" w:hanging="480"/>
        <w:rPr>
          <w:rFonts w:ascii="Arial" w:hAnsi="Arial" w:cs="Arial"/>
          <w:noProof/>
          <w:sz w:val="20"/>
          <w:szCs w:val="24"/>
        </w:rPr>
      </w:pPr>
      <w:r>
        <w:rPr>
          <w:rFonts w:ascii="Arial" w:hAnsi="Arial" w:cs="Arial"/>
          <w:sz w:val="20"/>
          <w:szCs w:val="20"/>
        </w:rPr>
        <w:fldChar w:fldCharType="begin" w:fldLock="1"/>
      </w:r>
      <w:r>
        <w:rPr>
          <w:rFonts w:ascii="Arial" w:hAnsi="Arial" w:cs="Arial"/>
          <w:sz w:val="20"/>
          <w:szCs w:val="20"/>
        </w:rPr>
        <w:instrText xml:space="preserve">ADDIN Mendeley Bibliography CSL_BIBLIOGRAPHY </w:instrText>
      </w:r>
      <w:r>
        <w:rPr>
          <w:rFonts w:ascii="Arial" w:hAnsi="Arial" w:cs="Arial"/>
          <w:sz w:val="20"/>
          <w:szCs w:val="20"/>
        </w:rPr>
        <w:fldChar w:fldCharType="separate"/>
      </w:r>
      <w:r w:rsidR="00F95252" w:rsidRPr="00F95252">
        <w:rPr>
          <w:rFonts w:ascii="Arial" w:hAnsi="Arial" w:cs="Arial"/>
          <w:noProof/>
          <w:sz w:val="20"/>
          <w:szCs w:val="24"/>
        </w:rPr>
        <w:t xml:space="preserve">Adegun, O. B., Mbuya, E. C., &amp; Njavike, E. (2022). Responses to Heat Stress Within an Unplanned Settlement in Dar Es Salaam, Tanzania. </w:t>
      </w:r>
      <w:r w:rsidR="00F95252" w:rsidRPr="00F95252">
        <w:rPr>
          <w:rFonts w:ascii="Arial" w:hAnsi="Arial" w:cs="Arial"/>
          <w:i/>
          <w:iCs/>
          <w:noProof/>
          <w:sz w:val="20"/>
          <w:szCs w:val="24"/>
        </w:rPr>
        <w:t>Frontiers in Built Environment</w:t>
      </w:r>
      <w:r w:rsidR="00F95252" w:rsidRPr="00F95252">
        <w:rPr>
          <w:rFonts w:ascii="Arial" w:hAnsi="Arial" w:cs="Arial"/>
          <w:noProof/>
          <w:sz w:val="20"/>
          <w:szCs w:val="24"/>
        </w:rPr>
        <w:t xml:space="preserve">, </w:t>
      </w:r>
      <w:r w:rsidR="00F95252" w:rsidRPr="00F95252">
        <w:rPr>
          <w:rFonts w:ascii="Arial" w:hAnsi="Arial" w:cs="Arial"/>
          <w:i/>
          <w:iCs/>
          <w:noProof/>
          <w:sz w:val="20"/>
          <w:szCs w:val="24"/>
        </w:rPr>
        <w:t>8</w:t>
      </w:r>
      <w:r w:rsidR="00F95252" w:rsidRPr="00F95252">
        <w:rPr>
          <w:rFonts w:ascii="Arial" w:hAnsi="Arial" w:cs="Arial"/>
          <w:noProof/>
          <w:sz w:val="20"/>
          <w:szCs w:val="24"/>
        </w:rPr>
        <w:t>(May), 1–10. https://doi.org/10.3389/fbuil.2022.874751</w:t>
      </w:r>
    </w:p>
    <w:p w14:paraId="4F909838"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Akolawole, J. S., Okoye, P. A. C., &amp; Omokpariola, D. (2022). Effect of storage on the levels of sodium benzoate in soft drinks sold in some Nigerian market with exposure and health risk assessment. </w:t>
      </w:r>
      <w:r w:rsidRPr="00F95252">
        <w:rPr>
          <w:rFonts w:ascii="Arial" w:hAnsi="Arial" w:cs="Arial"/>
          <w:i/>
          <w:iCs/>
          <w:noProof/>
          <w:sz w:val="20"/>
          <w:szCs w:val="24"/>
        </w:rPr>
        <w:t>Environmental Health and Toxicology</w:t>
      </w:r>
      <w:r w:rsidRPr="00F95252">
        <w:rPr>
          <w:rFonts w:ascii="Arial" w:hAnsi="Arial" w:cs="Arial"/>
          <w:noProof/>
          <w:sz w:val="20"/>
          <w:szCs w:val="24"/>
        </w:rPr>
        <w:t xml:space="preserve">, </w:t>
      </w:r>
      <w:r w:rsidRPr="00F95252">
        <w:rPr>
          <w:rFonts w:ascii="Arial" w:hAnsi="Arial" w:cs="Arial"/>
          <w:i/>
          <w:iCs/>
          <w:noProof/>
          <w:sz w:val="20"/>
          <w:szCs w:val="24"/>
        </w:rPr>
        <w:t>37</w:t>
      </w:r>
      <w:r w:rsidRPr="00F95252">
        <w:rPr>
          <w:rFonts w:ascii="Arial" w:hAnsi="Arial" w:cs="Arial"/>
          <w:noProof/>
          <w:sz w:val="20"/>
          <w:szCs w:val="24"/>
        </w:rPr>
        <w:t>(4), 1–10. https://doi.org/10.5620/eaht.2022030</w:t>
      </w:r>
    </w:p>
    <w:p w14:paraId="792C8A2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Alves da Silva, S., Cardoso, R. de C. V., Góes, J. Â. W., Santos, J. N., Ramos, F. P., Bispo de Jesus, R., … Teles da Silva, P. S. (2014). Street food on the coast of Salvador, Bahia, Brazil: A study from the socioeconomic and food safety perspectives. </w:t>
      </w:r>
      <w:r w:rsidRPr="00F95252">
        <w:rPr>
          <w:rFonts w:ascii="Arial" w:hAnsi="Arial" w:cs="Arial"/>
          <w:i/>
          <w:iCs/>
          <w:noProof/>
          <w:sz w:val="20"/>
          <w:szCs w:val="24"/>
        </w:rPr>
        <w:t>Food Control</w:t>
      </w:r>
      <w:r w:rsidRPr="00F95252">
        <w:rPr>
          <w:rFonts w:ascii="Arial" w:hAnsi="Arial" w:cs="Arial"/>
          <w:noProof/>
          <w:sz w:val="20"/>
          <w:szCs w:val="24"/>
        </w:rPr>
        <w:t xml:space="preserve">, </w:t>
      </w:r>
      <w:r w:rsidRPr="00F95252">
        <w:rPr>
          <w:rFonts w:ascii="Arial" w:hAnsi="Arial" w:cs="Arial"/>
          <w:i/>
          <w:iCs/>
          <w:noProof/>
          <w:sz w:val="20"/>
          <w:szCs w:val="24"/>
        </w:rPr>
        <w:t>40</w:t>
      </w:r>
      <w:r w:rsidRPr="00F95252">
        <w:rPr>
          <w:rFonts w:ascii="Arial" w:hAnsi="Arial" w:cs="Arial"/>
          <w:noProof/>
          <w:sz w:val="20"/>
          <w:szCs w:val="24"/>
        </w:rPr>
        <w:t>(1), 78–84. https://doi.org/10.1016/j.foodcont.2013.11.022</w:t>
      </w:r>
    </w:p>
    <w:p w14:paraId="3CBE3837"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Ann, Y., &amp; Kaunye, A. (2023). SAFETY AND QUALITY OF FRESH FRUIT JUICES SOLD BY STREET VENDORS IN.</w:t>
      </w:r>
    </w:p>
    <w:p w14:paraId="687F7BA8"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Azuma, S. L., Quartey, N. K. A., &amp; Ofosu, I. W. (2020). Sodium benzoate in non-alcoholic carbonated (soft) drinks: Exposure and health risks. </w:t>
      </w:r>
      <w:r w:rsidRPr="00F95252">
        <w:rPr>
          <w:rFonts w:ascii="Arial" w:hAnsi="Arial" w:cs="Arial"/>
          <w:i/>
          <w:iCs/>
          <w:noProof/>
          <w:sz w:val="20"/>
          <w:szCs w:val="24"/>
        </w:rPr>
        <w:t>Scientific African</w:t>
      </w:r>
      <w:r w:rsidRPr="00F95252">
        <w:rPr>
          <w:rFonts w:ascii="Arial" w:hAnsi="Arial" w:cs="Arial"/>
          <w:noProof/>
          <w:sz w:val="20"/>
          <w:szCs w:val="24"/>
        </w:rPr>
        <w:t xml:space="preserve">, </w:t>
      </w:r>
      <w:r w:rsidRPr="00F95252">
        <w:rPr>
          <w:rFonts w:ascii="Arial" w:hAnsi="Arial" w:cs="Arial"/>
          <w:i/>
          <w:iCs/>
          <w:noProof/>
          <w:sz w:val="20"/>
          <w:szCs w:val="24"/>
        </w:rPr>
        <w:t>10</w:t>
      </w:r>
      <w:r w:rsidRPr="00F95252">
        <w:rPr>
          <w:rFonts w:ascii="Arial" w:hAnsi="Arial" w:cs="Arial"/>
          <w:noProof/>
          <w:sz w:val="20"/>
          <w:szCs w:val="24"/>
        </w:rPr>
        <w:t>, e00611. https://doi.org/10.1016/j.sciaf.2020.e00611</w:t>
      </w:r>
    </w:p>
    <w:p w14:paraId="7DB7C88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Dal, R., Cortese, M., Boro, M., Feldman, C., &amp; Barletto, S. (2016). Food safety and hygiene practices of vendors during the chain of street food production in Florianopolis , Brazil : A cross-sectional study, </w:t>
      </w:r>
      <w:r w:rsidRPr="00F95252">
        <w:rPr>
          <w:rFonts w:ascii="Arial" w:hAnsi="Arial" w:cs="Arial"/>
          <w:i/>
          <w:iCs/>
          <w:noProof/>
          <w:sz w:val="20"/>
          <w:szCs w:val="24"/>
        </w:rPr>
        <w:t>62</w:t>
      </w:r>
      <w:r w:rsidRPr="00F95252">
        <w:rPr>
          <w:rFonts w:ascii="Arial" w:hAnsi="Arial" w:cs="Arial"/>
          <w:noProof/>
          <w:sz w:val="20"/>
          <w:szCs w:val="24"/>
        </w:rPr>
        <w:t>, 178–186.</w:t>
      </w:r>
    </w:p>
    <w:p w14:paraId="0E94BD7C"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Evarist, E., N, D., &amp; E, B. (2024). Levels of Phthalate Acid Esters in Carbonated Soft Drinks Bottled in Polyethylene Terephthalate ( PET ) Bottles Kept under Various Storage Conditions in Mwanza City , Tanzania, </w:t>
      </w:r>
      <w:r w:rsidRPr="00F95252">
        <w:rPr>
          <w:rFonts w:ascii="Arial" w:hAnsi="Arial" w:cs="Arial"/>
          <w:i/>
          <w:iCs/>
          <w:noProof/>
          <w:sz w:val="20"/>
          <w:szCs w:val="24"/>
        </w:rPr>
        <w:t>14</w:t>
      </w:r>
      <w:r w:rsidRPr="00F95252">
        <w:rPr>
          <w:rFonts w:ascii="Arial" w:hAnsi="Arial" w:cs="Arial"/>
          <w:noProof/>
          <w:sz w:val="20"/>
          <w:szCs w:val="24"/>
        </w:rPr>
        <w:t>(2), 58–73. https://doi.org/10.9734/AJOCS/2024/v14i2294</w:t>
      </w:r>
    </w:p>
    <w:p w14:paraId="7B35FAC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Juma, M. S., Mfinanga, F. A., &amp; Mnyone, G. I. (2018). Compliance of Food Vendors To Food Vending Regulations in Tanzania - a Case of Dodoma Municipality. </w:t>
      </w:r>
      <w:r w:rsidRPr="00F95252">
        <w:rPr>
          <w:rFonts w:ascii="Arial" w:hAnsi="Arial" w:cs="Arial"/>
          <w:i/>
          <w:iCs/>
          <w:noProof/>
          <w:sz w:val="20"/>
          <w:szCs w:val="24"/>
        </w:rPr>
        <w:t>International Journal of Research in Social Sciences</w:t>
      </w:r>
      <w:r w:rsidRPr="00F95252">
        <w:rPr>
          <w:rFonts w:ascii="Arial" w:hAnsi="Arial" w:cs="Arial"/>
          <w:noProof/>
          <w:sz w:val="20"/>
          <w:szCs w:val="24"/>
        </w:rPr>
        <w:t xml:space="preserve">, </w:t>
      </w:r>
      <w:r w:rsidRPr="00F95252">
        <w:rPr>
          <w:rFonts w:ascii="Arial" w:hAnsi="Arial" w:cs="Arial"/>
          <w:i/>
          <w:iCs/>
          <w:noProof/>
          <w:sz w:val="20"/>
          <w:szCs w:val="24"/>
        </w:rPr>
        <w:t>8</w:t>
      </w:r>
      <w:r w:rsidRPr="00F95252">
        <w:rPr>
          <w:rFonts w:ascii="Arial" w:hAnsi="Arial" w:cs="Arial"/>
          <w:noProof/>
          <w:sz w:val="20"/>
          <w:szCs w:val="24"/>
        </w:rPr>
        <w:t>(5), 109–123.</w:t>
      </w:r>
    </w:p>
    <w:p w14:paraId="60E3E35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Karondo, J. V., &amp; Tumaini, U. J. (2021). (2021). THE RO LE OF STREET F OOD VENDING TO THE V ENDOR ’ S HOUSEHOLD WELFARE IN ILALA MUN ICIPALITY IN DAR ES SALAAM , TANZANIA, </w:t>
      </w:r>
      <w:r w:rsidRPr="00F95252">
        <w:rPr>
          <w:rFonts w:ascii="Arial" w:hAnsi="Arial" w:cs="Arial"/>
          <w:i/>
          <w:iCs/>
          <w:noProof/>
          <w:sz w:val="20"/>
          <w:szCs w:val="24"/>
        </w:rPr>
        <w:t>I</w:t>
      </w:r>
      <w:r w:rsidRPr="00F95252">
        <w:rPr>
          <w:rFonts w:ascii="Arial" w:hAnsi="Arial" w:cs="Arial"/>
          <w:noProof/>
          <w:sz w:val="20"/>
          <w:szCs w:val="24"/>
        </w:rPr>
        <w:t>(Ii), 1–9.</w:t>
      </w:r>
    </w:p>
    <w:p w14:paraId="219467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Kelvin, T. M., Nyakorema, F. M., Noel, L. R., &amp; Neema, J. N. (2024). students in Kilimanjaro region , northern Tanzania. </w:t>
      </w:r>
      <w:r w:rsidRPr="00F95252">
        <w:rPr>
          <w:rFonts w:ascii="Arial" w:hAnsi="Arial" w:cs="Arial"/>
          <w:i/>
          <w:iCs/>
          <w:noProof/>
          <w:sz w:val="20"/>
          <w:szCs w:val="24"/>
        </w:rPr>
        <w:t>Discover Public Health</w:t>
      </w:r>
      <w:r w:rsidRPr="00F95252">
        <w:rPr>
          <w:rFonts w:ascii="Arial" w:hAnsi="Arial" w:cs="Arial"/>
          <w:noProof/>
          <w:sz w:val="20"/>
          <w:szCs w:val="24"/>
        </w:rPr>
        <w:t>. https://doi.org/10.1186/s12982-024-00252-4</w:t>
      </w:r>
    </w:p>
    <w:p w14:paraId="555A3C1A"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Khan, S. A., &amp; Hafiz, A. (2024). ELEMENTS OF REFRIGERATION ENGINEERING, (August).</w:t>
      </w:r>
    </w:p>
    <w:p w14:paraId="01C08CA3"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Magambo, J. M., Kussaga, J. B., &amp; Majaliwa, N. (2023). (2023). Assessment of Handling Practices of Fresh Vegetable Salads in Restaurants and Street Vendors : A Case of Mwanza, </w:t>
      </w:r>
      <w:r w:rsidRPr="00F95252">
        <w:rPr>
          <w:rFonts w:ascii="Arial" w:hAnsi="Arial" w:cs="Arial"/>
          <w:i/>
          <w:iCs/>
          <w:noProof/>
          <w:sz w:val="20"/>
          <w:szCs w:val="24"/>
        </w:rPr>
        <w:t>15</w:t>
      </w:r>
      <w:r w:rsidRPr="00F95252">
        <w:rPr>
          <w:rFonts w:ascii="Arial" w:hAnsi="Arial" w:cs="Arial"/>
          <w:noProof/>
          <w:sz w:val="20"/>
          <w:szCs w:val="24"/>
        </w:rPr>
        <w:t>(12), 64–77. https://doi.org/10.9734/EJNFS/2023/v15i121368</w:t>
      </w:r>
    </w:p>
    <w:p w14:paraId="52DFFEDD"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Mwove, J. (2025). Factors influencing health , food safety and hygiene practices among street food vendors in Meru town , Kenya, </w:t>
      </w:r>
      <w:r w:rsidRPr="00F95252">
        <w:rPr>
          <w:rFonts w:ascii="Arial" w:hAnsi="Arial" w:cs="Arial"/>
          <w:i/>
          <w:iCs/>
          <w:noProof/>
          <w:sz w:val="20"/>
          <w:szCs w:val="24"/>
        </w:rPr>
        <w:t>3</w:t>
      </w:r>
      <w:r w:rsidRPr="00F95252">
        <w:rPr>
          <w:rFonts w:ascii="Arial" w:hAnsi="Arial" w:cs="Arial"/>
          <w:noProof/>
          <w:sz w:val="20"/>
          <w:szCs w:val="24"/>
        </w:rPr>
        <w:t>(1).</w:t>
      </w:r>
    </w:p>
    <w:p w14:paraId="76414039"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Offiong Etim, O., Jonathan Okon, A., Esther Olanrewaju, O., &amp; Alain Inah, S. (2022). Public Health Risk Knowledge, Awareness And Hygiene Practices Of Producers Of Artisanal Drinks Using Previously Disposed Plastic Bottles In Calabar Municipality, Cross River State, Nigeria. </w:t>
      </w:r>
      <w:r w:rsidRPr="00F95252">
        <w:rPr>
          <w:rFonts w:ascii="Arial" w:hAnsi="Arial" w:cs="Arial"/>
          <w:i/>
          <w:iCs/>
          <w:noProof/>
          <w:sz w:val="20"/>
          <w:szCs w:val="24"/>
        </w:rPr>
        <w:t>Global Journal of Pure and Applied Sciences</w:t>
      </w:r>
      <w:r w:rsidRPr="00F95252">
        <w:rPr>
          <w:rFonts w:ascii="Arial" w:hAnsi="Arial" w:cs="Arial"/>
          <w:noProof/>
          <w:sz w:val="20"/>
          <w:szCs w:val="24"/>
        </w:rPr>
        <w:t xml:space="preserve">, </w:t>
      </w:r>
      <w:r w:rsidRPr="00F95252">
        <w:rPr>
          <w:rFonts w:ascii="Arial" w:hAnsi="Arial" w:cs="Arial"/>
          <w:i/>
          <w:iCs/>
          <w:noProof/>
          <w:sz w:val="20"/>
          <w:szCs w:val="24"/>
        </w:rPr>
        <w:t>28</w:t>
      </w:r>
      <w:r w:rsidRPr="00F95252">
        <w:rPr>
          <w:rFonts w:ascii="Arial" w:hAnsi="Arial" w:cs="Arial"/>
          <w:noProof/>
          <w:sz w:val="20"/>
          <w:szCs w:val="24"/>
        </w:rPr>
        <w:t>(2), 201–211. https://doi.org/10.4314/gjpas.v28i2.10</w:t>
      </w:r>
    </w:p>
    <w:p w14:paraId="4049B6A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Omokpariola, D. O. (2022). Influence on storage condition and time on properties of carbonated </w:t>
      </w:r>
      <w:r w:rsidRPr="00F95252">
        <w:rPr>
          <w:rFonts w:ascii="Arial" w:hAnsi="Arial" w:cs="Arial"/>
          <w:noProof/>
          <w:sz w:val="20"/>
          <w:szCs w:val="24"/>
        </w:rPr>
        <w:lastRenderedPageBreak/>
        <w:t xml:space="preserve">beverages from utilization of polyethylene terephthalate ( PET ) bottles : chemometric and health risk assessment, </w:t>
      </w:r>
      <w:r w:rsidRPr="00F95252">
        <w:rPr>
          <w:rFonts w:ascii="Arial" w:hAnsi="Arial" w:cs="Arial"/>
          <w:i/>
          <w:iCs/>
          <w:noProof/>
          <w:sz w:val="20"/>
          <w:szCs w:val="24"/>
        </w:rPr>
        <w:t>37</w:t>
      </w:r>
      <w:r w:rsidRPr="00F95252">
        <w:rPr>
          <w:rFonts w:ascii="Arial" w:hAnsi="Arial" w:cs="Arial"/>
          <w:noProof/>
          <w:sz w:val="20"/>
          <w:szCs w:val="24"/>
        </w:rPr>
        <w:t>(3), 1–17.</w:t>
      </w:r>
    </w:p>
    <w:p w14:paraId="66F2014F"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Oscar, N. Y. C. (2022). (2022). University of Ghana http://ugspace.ug.edu.gh CONSUMPTION PATTERNS OF ENERGY DRINKS AT LORRY STATIONS IN ACCRA AND CONCENTRATION OF THEIR MAIN CONSTITUENTS.</w:t>
      </w:r>
    </w:p>
    <w:p w14:paraId="6D291434"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Projeck, L. (2020). INSTANT DRINK CHILLER.</w:t>
      </w:r>
    </w:p>
    <w:p w14:paraId="5BF90D4B"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Rashid, K. S. (2020). (2020). ENERGY DRINK CONSUMPTION RATE, KNOWLEDGE AND PERCEIVED SIDE EFFECTS AMONG LONG DISTANCE CAR DRIVERS IN MOROGORO MUNICIPALITY TANZANIA KUDEMA.</w:t>
      </w:r>
    </w:p>
    <w:p w14:paraId="7C7FE091"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Saku, E. Y., Nuro-ameyaw, P., Amenya, P. C., &amp; Kpodo, F. M. (2020). Energy drink : the consumption prevalence , and awareness of its potential health implications among commercial drivers in the Ho municipality of Ghana, 1–13.</w:t>
      </w:r>
    </w:p>
    <w:p w14:paraId="50D71136"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 xml:space="preserve">Tumaini, U. J. (2023). Eviction-Related Threats and Coping Mechanisms among Women Street Food Vendors in Dar es Salaam , Tanzania, </w:t>
      </w:r>
      <w:r w:rsidRPr="00F95252">
        <w:rPr>
          <w:rFonts w:ascii="Arial" w:hAnsi="Arial" w:cs="Arial"/>
          <w:i/>
          <w:iCs/>
          <w:noProof/>
          <w:sz w:val="20"/>
          <w:szCs w:val="24"/>
        </w:rPr>
        <w:t>4</w:t>
      </w:r>
      <w:r w:rsidRPr="00F95252">
        <w:rPr>
          <w:rFonts w:ascii="Arial" w:hAnsi="Arial" w:cs="Arial"/>
          <w:noProof/>
          <w:sz w:val="20"/>
          <w:szCs w:val="24"/>
        </w:rPr>
        <w:t>(2), 69–77.</w:t>
      </w:r>
    </w:p>
    <w:p w14:paraId="65BC2C3E"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szCs w:val="24"/>
        </w:rPr>
      </w:pPr>
      <w:r w:rsidRPr="00F95252">
        <w:rPr>
          <w:rFonts w:ascii="Arial" w:hAnsi="Arial" w:cs="Arial"/>
          <w:noProof/>
          <w:sz w:val="20"/>
          <w:szCs w:val="24"/>
        </w:rPr>
        <w:t>Uchendu, F. N., &amp; Abuja, J. (2022). ASSESSMENT OF POOR FOOD SAFETY PRACTICES AMONG FOOD VENDORS AND HOUSEHOLDS IN LAGOS STATE , AND HEALTH IMPLICATIONS, (January 2018).</w:t>
      </w:r>
    </w:p>
    <w:p w14:paraId="7EFA2860" w14:textId="77777777" w:rsidR="00F95252" w:rsidRPr="00F95252" w:rsidRDefault="00F95252" w:rsidP="00F95252">
      <w:pPr>
        <w:widowControl w:val="0"/>
        <w:autoSpaceDE w:val="0"/>
        <w:autoSpaceDN w:val="0"/>
        <w:adjustRightInd w:val="0"/>
        <w:spacing w:line="240" w:lineRule="auto"/>
        <w:ind w:left="480" w:hanging="480"/>
        <w:rPr>
          <w:rFonts w:ascii="Arial" w:hAnsi="Arial" w:cs="Arial"/>
          <w:noProof/>
          <w:sz w:val="20"/>
        </w:rPr>
      </w:pPr>
      <w:r w:rsidRPr="00F95252">
        <w:rPr>
          <w:rFonts w:ascii="Arial" w:hAnsi="Arial" w:cs="Arial"/>
          <w:noProof/>
          <w:sz w:val="20"/>
          <w:szCs w:val="24"/>
        </w:rPr>
        <w:t xml:space="preserve">Wilbard, J., &amp; Mbura, O. (2017). Entrepreneurial Activities and Growth of Women Businesses : a Case of Tanzania. </w:t>
      </w:r>
      <w:r w:rsidRPr="00F95252">
        <w:rPr>
          <w:rFonts w:ascii="Arial" w:hAnsi="Arial" w:cs="Arial"/>
          <w:i/>
          <w:iCs/>
          <w:noProof/>
          <w:sz w:val="20"/>
          <w:szCs w:val="24"/>
        </w:rPr>
        <w:t>Business Management Review</w:t>
      </w:r>
      <w:r w:rsidRPr="00F95252">
        <w:rPr>
          <w:rFonts w:ascii="Arial" w:hAnsi="Arial" w:cs="Arial"/>
          <w:noProof/>
          <w:sz w:val="20"/>
          <w:szCs w:val="24"/>
        </w:rPr>
        <w:t xml:space="preserve">, </w:t>
      </w:r>
      <w:r w:rsidRPr="00F95252">
        <w:rPr>
          <w:rFonts w:ascii="Arial" w:hAnsi="Arial" w:cs="Arial"/>
          <w:i/>
          <w:iCs/>
          <w:noProof/>
          <w:sz w:val="20"/>
          <w:szCs w:val="24"/>
        </w:rPr>
        <w:t>2253</w:t>
      </w:r>
      <w:r w:rsidRPr="00F95252">
        <w:rPr>
          <w:rFonts w:ascii="Arial" w:hAnsi="Arial" w:cs="Arial"/>
          <w:noProof/>
          <w:sz w:val="20"/>
          <w:szCs w:val="24"/>
        </w:rPr>
        <w:t>(June), 65–77.</w:t>
      </w:r>
    </w:p>
    <w:p w14:paraId="28256DC2" w14:textId="342266B6" w:rsidR="00EB18E4" w:rsidRPr="003E71AF" w:rsidRDefault="00556C2C" w:rsidP="003E71AF">
      <w:pPr>
        <w:spacing w:line="240" w:lineRule="auto"/>
        <w:rPr>
          <w:rFonts w:ascii="Arial" w:hAnsi="Arial" w:cs="Arial"/>
          <w:sz w:val="20"/>
          <w:szCs w:val="20"/>
        </w:rPr>
      </w:pPr>
      <w:r>
        <w:rPr>
          <w:rFonts w:ascii="Arial" w:hAnsi="Arial" w:cs="Arial"/>
          <w:sz w:val="20"/>
          <w:szCs w:val="20"/>
        </w:rPr>
        <w:fldChar w:fldCharType="end"/>
      </w:r>
    </w:p>
    <w:sectPr w:rsidR="00EB18E4" w:rsidRPr="003E71A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67D2" w14:textId="77777777" w:rsidR="004D2490" w:rsidRDefault="004D2490" w:rsidP="00140E95">
      <w:pPr>
        <w:spacing w:after="0" w:line="240" w:lineRule="auto"/>
      </w:pPr>
      <w:r>
        <w:separator/>
      </w:r>
    </w:p>
  </w:endnote>
  <w:endnote w:type="continuationSeparator" w:id="0">
    <w:p w14:paraId="5DE9E8ED" w14:textId="77777777" w:rsidR="004D2490" w:rsidRDefault="004D2490" w:rsidP="00140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8C120" w14:textId="77777777" w:rsidR="00AC31A4" w:rsidRDefault="00AC31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0049415"/>
      <w:docPartObj>
        <w:docPartGallery w:val="Page Numbers (Bottom of Page)"/>
        <w:docPartUnique/>
      </w:docPartObj>
    </w:sdtPr>
    <w:sdtEndPr>
      <w:rPr>
        <w:noProof/>
      </w:rPr>
    </w:sdtEndPr>
    <w:sdtContent>
      <w:p w14:paraId="2490A12D" w14:textId="733B290F" w:rsidR="00095C02" w:rsidRDefault="00095C02">
        <w:pPr>
          <w:pStyle w:val="Footer"/>
          <w:jc w:val="center"/>
        </w:pPr>
        <w:r>
          <w:fldChar w:fldCharType="begin"/>
        </w:r>
        <w:r>
          <w:instrText xml:space="preserve"> PAGE   \* MERGEFORMAT </w:instrText>
        </w:r>
        <w:r>
          <w:fldChar w:fldCharType="separate"/>
        </w:r>
        <w:r w:rsidR="0023617E">
          <w:rPr>
            <w:noProof/>
          </w:rPr>
          <w:t>1</w:t>
        </w:r>
        <w:r>
          <w:rPr>
            <w:noProof/>
          </w:rPr>
          <w:fldChar w:fldCharType="end"/>
        </w:r>
      </w:p>
    </w:sdtContent>
  </w:sdt>
  <w:p w14:paraId="008D3293" w14:textId="77777777" w:rsidR="00095C02" w:rsidRDefault="00095C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B4D90" w14:textId="77777777" w:rsidR="00AC31A4" w:rsidRDefault="00AC31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D30F3" w14:textId="77777777" w:rsidR="004D2490" w:rsidRDefault="004D2490" w:rsidP="00140E95">
      <w:pPr>
        <w:spacing w:after="0" w:line="240" w:lineRule="auto"/>
      </w:pPr>
      <w:r>
        <w:separator/>
      </w:r>
    </w:p>
  </w:footnote>
  <w:footnote w:type="continuationSeparator" w:id="0">
    <w:p w14:paraId="3D06B9BE" w14:textId="77777777" w:rsidR="004D2490" w:rsidRDefault="004D2490" w:rsidP="00140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4ED9A" w14:textId="2A759BB1" w:rsidR="00AC31A4" w:rsidRDefault="00AC31A4">
    <w:pPr>
      <w:pStyle w:val="Header"/>
    </w:pPr>
    <w:r>
      <w:rPr>
        <w:noProof/>
      </w:rPr>
      <w:pict w14:anchorId="038899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722E3" w14:textId="4B6DA37E" w:rsidR="00AC31A4" w:rsidRDefault="00AC31A4">
    <w:pPr>
      <w:pStyle w:val="Header"/>
    </w:pPr>
    <w:r>
      <w:rPr>
        <w:noProof/>
      </w:rPr>
      <w:pict w14:anchorId="4EEBE9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CE9D8" w14:textId="0F35ECC5" w:rsidR="00AC31A4" w:rsidRDefault="00AC31A4">
    <w:pPr>
      <w:pStyle w:val="Header"/>
    </w:pPr>
    <w:r>
      <w:rPr>
        <w:noProof/>
      </w:rPr>
      <w:pict w14:anchorId="2C352E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30A10"/>
    <w:multiLevelType w:val="multilevel"/>
    <w:tmpl w:val="5FF2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36FFD"/>
    <w:multiLevelType w:val="multilevel"/>
    <w:tmpl w:val="1494D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30E07"/>
    <w:multiLevelType w:val="multilevel"/>
    <w:tmpl w:val="9BCE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4B5BD6"/>
    <w:multiLevelType w:val="multilevel"/>
    <w:tmpl w:val="F4783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1F0BAE"/>
    <w:multiLevelType w:val="multilevel"/>
    <w:tmpl w:val="1BF27464"/>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5ED5041"/>
    <w:multiLevelType w:val="multilevel"/>
    <w:tmpl w:val="3858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CE5945"/>
    <w:multiLevelType w:val="multilevel"/>
    <w:tmpl w:val="F7867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AA5"/>
    <w:rsid w:val="00017DC8"/>
    <w:rsid w:val="00034442"/>
    <w:rsid w:val="0003730F"/>
    <w:rsid w:val="00067F9F"/>
    <w:rsid w:val="00095C02"/>
    <w:rsid w:val="000B6E90"/>
    <w:rsid w:val="000E7ADA"/>
    <w:rsid w:val="000F5D42"/>
    <w:rsid w:val="00125292"/>
    <w:rsid w:val="00140E95"/>
    <w:rsid w:val="0014209A"/>
    <w:rsid w:val="00147E49"/>
    <w:rsid w:val="0015448B"/>
    <w:rsid w:val="0018615F"/>
    <w:rsid w:val="001C659F"/>
    <w:rsid w:val="00227A1A"/>
    <w:rsid w:val="0023617E"/>
    <w:rsid w:val="00240A12"/>
    <w:rsid w:val="00252DFF"/>
    <w:rsid w:val="00292407"/>
    <w:rsid w:val="002C5E24"/>
    <w:rsid w:val="0030008D"/>
    <w:rsid w:val="00325473"/>
    <w:rsid w:val="00350F82"/>
    <w:rsid w:val="00351B22"/>
    <w:rsid w:val="00352309"/>
    <w:rsid w:val="0036493E"/>
    <w:rsid w:val="00381536"/>
    <w:rsid w:val="003838DC"/>
    <w:rsid w:val="003A350F"/>
    <w:rsid w:val="003C67C0"/>
    <w:rsid w:val="003D590D"/>
    <w:rsid w:val="003E71AF"/>
    <w:rsid w:val="003F6908"/>
    <w:rsid w:val="0043507C"/>
    <w:rsid w:val="00437AB3"/>
    <w:rsid w:val="00452D96"/>
    <w:rsid w:val="00481CDC"/>
    <w:rsid w:val="004A698D"/>
    <w:rsid w:val="004C59B3"/>
    <w:rsid w:val="004C6908"/>
    <w:rsid w:val="004D2490"/>
    <w:rsid w:val="00556C2C"/>
    <w:rsid w:val="00565075"/>
    <w:rsid w:val="00585AA5"/>
    <w:rsid w:val="005B3918"/>
    <w:rsid w:val="00622774"/>
    <w:rsid w:val="00625343"/>
    <w:rsid w:val="00632C6F"/>
    <w:rsid w:val="006B37BF"/>
    <w:rsid w:val="006E6A91"/>
    <w:rsid w:val="00727592"/>
    <w:rsid w:val="00731E97"/>
    <w:rsid w:val="007339E9"/>
    <w:rsid w:val="00734F17"/>
    <w:rsid w:val="007413BD"/>
    <w:rsid w:val="00745615"/>
    <w:rsid w:val="00751AE5"/>
    <w:rsid w:val="0076609D"/>
    <w:rsid w:val="00785E2A"/>
    <w:rsid w:val="007A0801"/>
    <w:rsid w:val="007A09B8"/>
    <w:rsid w:val="007E14C7"/>
    <w:rsid w:val="00811BE0"/>
    <w:rsid w:val="00833A2B"/>
    <w:rsid w:val="0089782C"/>
    <w:rsid w:val="008C18F0"/>
    <w:rsid w:val="008C75E2"/>
    <w:rsid w:val="008D6E48"/>
    <w:rsid w:val="008E0767"/>
    <w:rsid w:val="00911415"/>
    <w:rsid w:val="0092138D"/>
    <w:rsid w:val="009500CF"/>
    <w:rsid w:val="009E6862"/>
    <w:rsid w:val="00A44795"/>
    <w:rsid w:val="00A51D36"/>
    <w:rsid w:val="00A71B73"/>
    <w:rsid w:val="00AB3E54"/>
    <w:rsid w:val="00AC0F1B"/>
    <w:rsid w:val="00AC31A4"/>
    <w:rsid w:val="00AF1CC7"/>
    <w:rsid w:val="00B00105"/>
    <w:rsid w:val="00B3742F"/>
    <w:rsid w:val="00B473E8"/>
    <w:rsid w:val="00B71986"/>
    <w:rsid w:val="00B75BEC"/>
    <w:rsid w:val="00B94DD0"/>
    <w:rsid w:val="00BA0ED9"/>
    <w:rsid w:val="00BB7F38"/>
    <w:rsid w:val="00C0363C"/>
    <w:rsid w:val="00C0444A"/>
    <w:rsid w:val="00C25629"/>
    <w:rsid w:val="00C51016"/>
    <w:rsid w:val="00C57061"/>
    <w:rsid w:val="00C868B5"/>
    <w:rsid w:val="00CC4EA3"/>
    <w:rsid w:val="00CF591F"/>
    <w:rsid w:val="00D102AA"/>
    <w:rsid w:val="00D14DD9"/>
    <w:rsid w:val="00D24CFD"/>
    <w:rsid w:val="00D36717"/>
    <w:rsid w:val="00D625D9"/>
    <w:rsid w:val="00D64EB3"/>
    <w:rsid w:val="00DD7BF2"/>
    <w:rsid w:val="00DE175E"/>
    <w:rsid w:val="00E05FCE"/>
    <w:rsid w:val="00E270A0"/>
    <w:rsid w:val="00E460DD"/>
    <w:rsid w:val="00E51DCB"/>
    <w:rsid w:val="00E91BCD"/>
    <w:rsid w:val="00E91D55"/>
    <w:rsid w:val="00E95ADE"/>
    <w:rsid w:val="00EB18E4"/>
    <w:rsid w:val="00EB5931"/>
    <w:rsid w:val="00ED0D3C"/>
    <w:rsid w:val="00EF25C9"/>
    <w:rsid w:val="00F01B5C"/>
    <w:rsid w:val="00F45E6B"/>
    <w:rsid w:val="00F55443"/>
    <w:rsid w:val="00F62F3B"/>
    <w:rsid w:val="00F63A6D"/>
    <w:rsid w:val="00F71F7B"/>
    <w:rsid w:val="00F9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E4D583"/>
  <w15:chartTrackingRefBased/>
  <w15:docId w15:val="{8E3FAFBA-D818-4E59-822F-F146E69E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AA5"/>
    <w:pPr>
      <w:spacing w:line="259" w:lineRule="auto"/>
    </w:pPr>
    <w:rPr>
      <w:kern w:val="0"/>
      <w:sz w:val="22"/>
      <w:szCs w:val="22"/>
      <w14:ligatures w14:val="none"/>
    </w:rPr>
  </w:style>
  <w:style w:type="paragraph" w:styleId="Heading1">
    <w:name w:val="heading 1"/>
    <w:basedOn w:val="Normal"/>
    <w:next w:val="Normal"/>
    <w:link w:val="Heading1Char"/>
    <w:uiPriority w:val="9"/>
    <w:qFormat/>
    <w:rsid w:val="00585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5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5A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5A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5A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5A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5A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5A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5A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A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5A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5A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5A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5A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5A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5A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5A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5AA5"/>
    <w:rPr>
      <w:rFonts w:eastAsiaTheme="majorEastAsia" w:cstheme="majorBidi"/>
      <w:color w:val="272727" w:themeColor="text1" w:themeTint="D8"/>
    </w:rPr>
  </w:style>
  <w:style w:type="paragraph" w:styleId="Title">
    <w:name w:val="Title"/>
    <w:basedOn w:val="Normal"/>
    <w:next w:val="Normal"/>
    <w:link w:val="TitleChar"/>
    <w:uiPriority w:val="10"/>
    <w:qFormat/>
    <w:rsid w:val="00585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5A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5A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5A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5AA5"/>
    <w:pPr>
      <w:spacing w:before="160"/>
      <w:jc w:val="center"/>
    </w:pPr>
    <w:rPr>
      <w:i/>
      <w:iCs/>
      <w:color w:val="404040" w:themeColor="text1" w:themeTint="BF"/>
    </w:rPr>
  </w:style>
  <w:style w:type="character" w:customStyle="1" w:styleId="QuoteChar">
    <w:name w:val="Quote Char"/>
    <w:basedOn w:val="DefaultParagraphFont"/>
    <w:link w:val="Quote"/>
    <w:uiPriority w:val="29"/>
    <w:rsid w:val="00585AA5"/>
    <w:rPr>
      <w:i/>
      <w:iCs/>
      <w:color w:val="404040" w:themeColor="text1" w:themeTint="BF"/>
    </w:rPr>
  </w:style>
  <w:style w:type="paragraph" w:styleId="ListParagraph">
    <w:name w:val="List Paragraph"/>
    <w:basedOn w:val="Normal"/>
    <w:uiPriority w:val="34"/>
    <w:qFormat/>
    <w:rsid w:val="00585AA5"/>
    <w:pPr>
      <w:ind w:left="720"/>
      <w:contextualSpacing/>
    </w:pPr>
  </w:style>
  <w:style w:type="character" w:styleId="IntenseEmphasis">
    <w:name w:val="Intense Emphasis"/>
    <w:basedOn w:val="DefaultParagraphFont"/>
    <w:uiPriority w:val="21"/>
    <w:qFormat/>
    <w:rsid w:val="00585AA5"/>
    <w:rPr>
      <w:i/>
      <w:iCs/>
      <w:color w:val="0F4761" w:themeColor="accent1" w:themeShade="BF"/>
    </w:rPr>
  </w:style>
  <w:style w:type="paragraph" w:styleId="IntenseQuote">
    <w:name w:val="Intense Quote"/>
    <w:basedOn w:val="Normal"/>
    <w:next w:val="Normal"/>
    <w:link w:val="IntenseQuoteChar"/>
    <w:uiPriority w:val="30"/>
    <w:qFormat/>
    <w:rsid w:val="00585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5AA5"/>
    <w:rPr>
      <w:i/>
      <w:iCs/>
      <w:color w:val="0F4761" w:themeColor="accent1" w:themeShade="BF"/>
    </w:rPr>
  </w:style>
  <w:style w:type="character" w:styleId="IntenseReference">
    <w:name w:val="Intense Reference"/>
    <w:basedOn w:val="DefaultParagraphFont"/>
    <w:uiPriority w:val="32"/>
    <w:qFormat/>
    <w:rsid w:val="00585AA5"/>
    <w:rPr>
      <w:b/>
      <w:bCs/>
      <w:smallCaps/>
      <w:color w:val="0F4761" w:themeColor="accent1" w:themeShade="BF"/>
      <w:spacing w:val="5"/>
    </w:rPr>
  </w:style>
  <w:style w:type="character" w:styleId="PlaceholderText">
    <w:name w:val="Placeholder Text"/>
    <w:basedOn w:val="DefaultParagraphFont"/>
    <w:uiPriority w:val="99"/>
    <w:semiHidden/>
    <w:rsid w:val="00E95ADE"/>
    <w:rPr>
      <w:color w:val="666666"/>
    </w:rPr>
  </w:style>
  <w:style w:type="table" w:styleId="TableGrid">
    <w:name w:val="Table Grid"/>
    <w:basedOn w:val="TableNormal"/>
    <w:uiPriority w:val="39"/>
    <w:rsid w:val="00D24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0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0E95"/>
    <w:rPr>
      <w:kern w:val="0"/>
      <w:sz w:val="22"/>
      <w:szCs w:val="22"/>
      <w14:ligatures w14:val="none"/>
    </w:rPr>
  </w:style>
  <w:style w:type="paragraph" w:styleId="Footer">
    <w:name w:val="footer"/>
    <w:basedOn w:val="Normal"/>
    <w:link w:val="FooterChar"/>
    <w:uiPriority w:val="99"/>
    <w:unhideWhenUsed/>
    <w:rsid w:val="00140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E95"/>
    <w:rPr>
      <w:kern w:val="0"/>
      <w:sz w:val="22"/>
      <w:szCs w:val="22"/>
      <w14:ligatures w14:val="none"/>
    </w:rPr>
  </w:style>
  <w:style w:type="character" w:styleId="Hyperlink">
    <w:name w:val="Hyperlink"/>
    <w:basedOn w:val="DefaultParagraphFont"/>
    <w:uiPriority w:val="99"/>
    <w:unhideWhenUsed/>
    <w:rsid w:val="002C5E24"/>
    <w:rPr>
      <w:color w:val="467886" w:themeColor="hyperlink"/>
      <w:u w:val="single"/>
    </w:rPr>
  </w:style>
  <w:style w:type="character" w:styleId="UnresolvedMention">
    <w:name w:val="Unresolved Mention"/>
    <w:basedOn w:val="DefaultParagraphFont"/>
    <w:uiPriority w:val="99"/>
    <w:semiHidden/>
    <w:unhideWhenUsed/>
    <w:rsid w:val="002C5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2956">
      <w:bodyDiv w:val="1"/>
      <w:marLeft w:val="0"/>
      <w:marRight w:val="0"/>
      <w:marTop w:val="0"/>
      <w:marBottom w:val="0"/>
      <w:divBdr>
        <w:top w:val="none" w:sz="0" w:space="0" w:color="auto"/>
        <w:left w:val="none" w:sz="0" w:space="0" w:color="auto"/>
        <w:bottom w:val="none" w:sz="0" w:space="0" w:color="auto"/>
        <w:right w:val="none" w:sz="0" w:space="0" w:color="auto"/>
      </w:divBdr>
    </w:div>
    <w:div w:id="196628484">
      <w:bodyDiv w:val="1"/>
      <w:marLeft w:val="0"/>
      <w:marRight w:val="0"/>
      <w:marTop w:val="0"/>
      <w:marBottom w:val="0"/>
      <w:divBdr>
        <w:top w:val="none" w:sz="0" w:space="0" w:color="auto"/>
        <w:left w:val="none" w:sz="0" w:space="0" w:color="auto"/>
        <w:bottom w:val="none" w:sz="0" w:space="0" w:color="auto"/>
        <w:right w:val="none" w:sz="0" w:space="0" w:color="auto"/>
      </w:divBdr>
    </w:div>
    <w:div w:id="233005555">
      <w:bodyDiv w:val="1"/>
      <w:marLeft w:val="0"/>
      <w:marRight w:val="0"/>
      <w:marTop w:val="0"/>
      <w:marBottom w:val="0"/>
      <w:divBdr>
        <w:top w:val="none" w:sz="0" w:space="0" w:color="auto"/>
        <w:left w:val="none" w:sz="0" w:space="0" w:color="auto"/>
        <w:bottom w:val="none" w:sz="0" w:space="0" w:color="auto"/>
        <w:right w:val="none" w:sz="0" w:space="0" w:color="auto"/>
      </w:divBdr>
    </w:div>
    <w:div w:id="247037928">
      <w:bodyDiv w:val="1"/>
      <w:marLeft w:val="0"/>
      <w:marRight w:val="0"/>
      <w:marTop w:val="0"/>
      <w:marBottom w:val="0"/>
      <w:divBdr>
        <w:top w:val="none" w:sz="0" w:space="0" w:color="auto"/>
        <w:left w:val="none" w:sz="0" w:space="0" w:color="auto"/>
        <w:bottom w:val="none" w:sz="0" w:space="0" w:color="auto"/>
        <w:right w:val="none" w:sz="0" w:space="0" w:color="auto"/>
      </w:divBdr>
    </w:div>
    <w:div w:id="394747008">
      <w:bodyDiv w:val="1"/>
      <w:marLeft w:val="0"/>
      <w:marRight w:val="0"/>
      <w:marTop w:val="0"/>
      <w:marBottom w:val="0"/>
      <w:divBdr>
        <w:top w:val="none" w:sz="0" w:space="0" w:color="auto"/>
        <w:left w:val="none" w:sz="0" w:space="0" w:color="auto"/>
        <w:bottom w:val="none" w:sz="0" w:space="0" w:color="auto"/>
        <w:right w:val="none" w:sz="0" w:space="0" w:color="auto"/>
      </w:divBdr>
    </w:div>
    <w:div w:id="432669128">
      <w:bodyDiv w:val="1"/>
      <w:marLeft w:val="0"/>
      <w:marRight w:val="0"/>
      <w:marTop w:val="0"/>
      <w:marBottom w:val="0"/>
      <w:divBdr>
        <w:top w:val="none" w:sz="0" w:space="0" w:color="auto"/>
        <w:left w:val="none" w:sz="0" w:space="0" w:color="auto"/>
        <w:bottom w:val="none" w:sz="0" w:space="0" w:color="auto"/>
        <w:right w:val="none" w:sz="0" w:space="0" w:color="auto"/>
      </w:divBdr>
    </w:div>
    <w:div w:id="535317594">
      <w:bodyDiv w:val="1"/>
      <w:marLeft w:val="0"/>
      <w:marRight w:val="0"/>
      <w:marTop w:val="0"/>
      <w:marBottom w:val="0"/>
      <w:divBdr>
        <w:top w:val="none" w:sz="0" w:space="0" w:color="auto"/>
        <w:left w:val="none" w:sz="0" w:space="0" w:color="auto"/>
        <w:bottom w:val="none" w:sz="0" w:space="0" w:color="auto"/>
        <w:right w:val="none" w:sz="0" w:space="0" w:color="auto"/>
      </w:divBdr>
    </w:div>
    <w:div w:id="612520250">
      <w:bodyDiv w:val="1"/>
      <w:marLeft w:val="0"/>
      <w:marRight w:val="0"/>
      <w:marTop w:val="0"/>
      <w:marBottom w:val="0"/>
      <w:divBdr>
        <w:top w:val="none" w:sz="0" w:space="0" w:color="auto"/>
        <w:left w:val="none" w:sz="0" w:space="0" w:color="auto"/>
        <w:bottom w:val="none" w:sz="0" w:space="0" w:color="auto"/>
        <w:right w:val="none" w:sz="0" w:space="0" w:color="auto"/>
      </w:divBdr>
    </w:div>
    <w:div w:id="615912072">
      <w:bodyDiv w:val="1"/>
      <w:marLeft w:val="0"/>
      <w:marRight w:val="0"/>
      <w:marTop w:val="0"/>
      <w:marBottom w:val="0"/>
      <w:divBdr>
        <w:top w:val="none" w:sz="0" w:space="0" w:color="auto"/>
        <w:left w:val="none" w:sz="0" w:space="0" w:color="auto"/>
        <w:bottom w:val="none" w:sz="0" w:space="0" w:color="auto"/>
        <w:right w:val="none" w:sz="0" w:space="0" w:color="auto"/>
      </w:divBdr>
    </w:div>
    <w:div w:id="685912002">
      <w:bodyDiv w:val="1"/>
      <w:marLeft w:val="0"/>
      <w:marRight w:val="0"/>
      <w:marTop w:val="0"/>
      <w:marBottom w:val="0"/>
      <w:divBdr>
        <w:top w:val="none" w:sz="0" w:space="0" w:color="auto"/>
        <w:left w:val="none" w:sz="0" w:space="0" w:color="auto"/>
        <w:bottom w:val="none" w:sz="0" w:space="0" w:color="auto"/>
        <w:right w:val="none" w:sz="0" w:space="0" w:color="auto"/>
      </w:divBdr>
    </w:div>
    <w:div w:id="691803103">
      <w:bodyDiv w:val="1"/>
      <w:marLeft w:val="0"/>
      <w:marRight w:val="0"/>
      <w:marTop w:val="0"/>
      <w:marBottom w:val="0"/>
      <w:divBdr>
        <w:top w:val="none" w:sz="0" w:space="0" w:color="auto"/>
        <w:left w:val="none" w:sz="0" w:space="0" w:color="auto"/>
        <w:bottom w:val="none" w:sz="0" w:space="0" w:color="auto"/>
        <w:right w:val="none" w:sz="0" w:space="0" w:color="auto"/>
      </w:divBdr>
    </w:div>
    <w:div w:id="729419938">
      <w:bodyDiv w:val="1"/>
      <w:marLeft w:val="0"/>
      <w:marRight w:val="0"/>
      <w:marTop w:val="0"/>
      <w:marBottom w:val="0"/>
      <w:divBdr>
        <w:top w:val="none" w:sz="0" w:space="0" w:color="auto"/>
        <w:left w:val="none" w:sz="0" w:space="0" w:color="auto"/>
        <w:bottom w:val="none" w:sz="0" w:space="0" w:color="auto"/>
        <w:right w:val="none" w:sz="0" w:space="0" w:color="auto"/>
      </w:divBdr>
    </w:div>
    <w:div w:id="739601658">
      <w:bodyDiv w:val="1"/>
      <w:marLeft w:val="0"/>
      <w:marRight w:val="0"/>
      <w:marTop w:val="0"/>
      <w:marBottom w:val="0"/>
      <w:divBdr>
        <w:top w:val="none" w:sz="0" w:space="0" w:color="auto"/>
        <w:left w:val="none" w:sz="0" w:space="0" w:color="auto"/>
        <w:bottom w:val="none" w:sz="0" w:space="0" w:color="auto"/>
        <w:right w:val="none" w:sz="0" w:space="0" w:color="auto"/>
      </w:divBdr>
    </w:div>
    <w:div w:id="854198774">
      <w:bodyDiv w:val="1"/>
      <w:marLeft w:val="0"/>
      <w:marRight w:val="0"/>
      <w:marTop w:val="0"/>
      <w:marBottom w:val="0"/>
      <w:divBdr>
        <w:top w:val="none" w:sz="0" w:space="0" w:color="auto"/>
        <w:left w:val="none" w:sz="0" w:space="0" w:color="auto"/>
        <w:bottom w:val="none" w:sz="0" w:space="0" w:color="auto"/>
        <w:right w:val="none" w:sz="0" w:space="0" w:color="auto"/>
      </w:divBdr>
    </w:div>
    <w:div w:id="888568509">
      <w:bodyDiv w:val="1"/>
      <w:marLeft w:val="0"/>
      <w:marRight w:val="0"/>
      <w:marTop w:val="0"/>
      <w:marBottom w:val="0"/>
      <w:divBdr>
        <w:top w:val="none" w:sz="0" w:space="0" w:color="auto"/>
        <w:left w:val="none" w:sz="0" w:space="0" w:color="auto"/>
        <w:bottom w:val="none" w:sz="0" w:space="0" w:color="auto"/>
        <w:right w:val="none" w:sz="0" w:space="0" w:color="auto"/>
      </w:divBdr>
    </w:div>
    <w:div w:id="1155336935">
      <w:bodyDiv w:val="1"/>
      <w:marLeft w:val="0"/>
      <w:marRight w:val="0"/>
      <w:marTop w:val="0"/>
      <w:marBottom w:val="0"/>
      <w:divBdr>
        <w:top w:val="none" w:sz="0" w:space="0" w:color="auto"/>
        <w:left w:val="none" w:sz="0" w:space="0" w:color="auto"/>
        <w:bottom w:val="none" w:sz="0" w:space="0" w:color="auto"/>
        <w:right w:val="none" w:sz="0" w:space="0" w:color="auto"/>
      </w:divBdr>
    </w:div>
    <w:div w:id="1230388782">
      <w:bodyDiv w:val="1"/>
      <w:marLeft w:val="0"/>
      <w:marRight w:val="0"/>
      <w:marTop w:val="0"/>
      <w:marBottom w:val="0"/>
      <w:divBdr>
        <w:top w:val="none" w:sz="0" w:space="0" w:color="auto"/>
        <w:left w:val="none" w:sz="0" w:space="0" w:color="auto"/>
        <w:bottom w:val="none" w:sz="0" w:space="0" w:color="auto"/>
        <w:right w:val="none" w:sz="0" w:space="0" w:color="auto"/>
      </w:divBdr>
    </w:div>
    <w:div w:id="1232543651">
      <w:bodyDiv w:val="1"/>
      <w:marLeft w:val="0"/>
      <w:marRight w:val="0"/>
      <w:marTop w:val="0"/>
      <w:marBottom w:val="0"/>
      <w:divBdr>
        <w:top w:val="none" w:sz="0" w:space="0" w:color="auto"/>
        <w:left w:val="none" w:sz="0" w:space="0" w:color="auto"/>
        <w:bottom w:val="none" w:sz="0" w:space="0" w:color="auto"/>
        <w:right w:val="none" w:sz="0" w:space="0" w:color="auto"/>
      </w:divBdr>
    </w:div>
    <w:div w:id="1279605251">
      <w:bodyDiv w:val="1"/>
      <w:marLeft w:val="0"/>
      <w:marRight w:val="0"/>
      <w:marTop w:val="0"/>
      <w:marBottom w:val="0"/>
      <w:divBdr>
        <w:top w:val="none" w:sz="0" w:space="0" w:color="auto"/>
        <w:left w:val="none" w:sz="0" w:space="0" w:color="auto"/>
        <w:bottom w:val="none" w:sz="0" w:space="0" w:color="auto"/>
        <w:right w:val="none" w:sz="0" w:space="0" w:color="auto"/>
      </w:divBdr>
    </w:div>
    <w:div w:id="1327901688">
      <w:bodyDiv w:val="1"/>
      <w:marLeft w:val="0"/>
      <w:marRight w:val="0"/>
      <w:marTop w:val="0"/>
      <w:marBottom w:val="0"/>
      <w:divBdr>
        <w:top w:val="none" w:sz="0" w:space="0" w:color="auto"/>
        <w:left w:val="none" w:sz="0" w:space="0" w:color="auto"/>
        <w:bottom w:val="none" w:sz="0" w:space="0" w:color="auto"/>
        <w:right w:val="none" w:sz="0" w:space="0" w:color="auto"/>
      </w:divBdr>
    </w:div>
    <w:div w:id="1328823185">
      <w:bodyDiv w:val="1"/>
      <w:marLeft w:val="0"/>
      <w:marRight w:val="0"/>
      <w:marTop w:val="0"/>
      <w:marBottom w:val="0"/>
      <w:divBdr>
        <w:top w:val="none" w:sz="0" w:space="0" w:color="auto"/>
        <w:left w:val="none" w:sz="0" w:space="0" w:color="auto"/>
        <w:bottom w:val="none" w:sz="0" w:space="0" w:color="auto"/>
        <w:right w:val="none" w:sz="0" w:space="0" w:color="auto"/>
      </w:divBdr>
    </w:div>
    <w:div w:id="1373311105">
      <w:bodyDiv w:val="1"/>
      <w:marLeft w:val="0"/>
      <w:marRight w:val="0"/>
      <w:marTop w:val="0"/>
      <w:marBottom w:val="0"/>
      <w:divBdr>
        <w:top w:val="none" w:sz="0" w:space="0" w:color="auto"/>
        <w:left w:val="none" w:sz="0" w:space="0" w:color="auto"/>
        <w:bottom w:val="none" w:sz="0" w:space="0" w:color="auto"/>
        <w:right w:val="none" w:sz="0" w:space="0" w:color="auto"/>
      </w:divBdr>
    </w:div>
    <w:div w:id="1526098745">
      <w:bodyDiv w:val="1"/>
      <w:marLeft w:val="0"/>
      <w:marRight w:val="0"/>
      <w:marTop w:val="0"/>
      <w:marBottom w:val="0"/>
      <w:divBdr>
        <w:top w:val="none" w:sz="0" w:space="0" w:color="auto"/>
        <w:left w:val="none" w:sz="0" w:space="0" w:color="auto"/>
        <w:bottom w:val="none" w:sz="0" w:space="0" w:color="auto"/>
        <w:right w:val="none" w:sz="0" w:space="0" w:color="auto"/>
      </w:divBdr>
    </w:div>
    <w:div w:id="1530796838">
      <w:bodyDiv w:val="1"/>
      <w:marLeft w:val="0"/>
      <w:marRight w:val="0"/>
      <w:marTop w:val="0"/>
      <w:marBottom w:val="0"/>
      <w:divBdr>
        <w:top w:val="none" w:sz="0" w:space="0" w:color="auto"/>
        <w:left w:val="none" w:sz="0" w:space="0" w:color="auto"/>
        <w:bottom w:val="none" w:sz="0" w:space="0" w:color="auto"/>
        <w:right w:val="none" w:sz="0" w:space="0" w:color="auto"/>
      </w:divBdr>
    </w:div>
    <w:div w:id="1736472192">
      <w:bodyDiv w:val="1"/>
      <w:marLeft w:val="0"/>
      <w:marRight w:val="0"/>
      <w:marTop w:val="0"/>
      <w:marBottom w:val="0"/>
      <w:divBdr>
        <w:top w:val="none" w:sz="0" w:space="0" w:color="auto"/>
        <w:left w:val="none" w:sz="0" w:space="0" w:color="auto"/>
        <w:bottom w:val="none" w:sz="0" w:space="0" w:color="auto"/>
        <w:right w:val="none" w:sz="0" w:space="0" w:color="auto"/>
      </w:divBdr>
    </w:div>
    <w:div w:id="1780561984">
      <w:bodyDiv w:val="1"/>
      <w:marLeft w:val="0"/>
      <w:marRight w:val="0"/>
      <w:marTop w:val="0"/>
      <w:marBottom w:val="0"/>
      <w:divBdr>
        <w:top w:val="none" w:sz="0" w:space="0" w:color="auto"/>
        <w:left w:val="none" w:sz="0" w:space="0" w:color="auto"/>
        <w:bottom w:val="none" w:sz="0" w:space="0" w:color="auto"/>
        <w:right w:val="none" w:sz="0" w:space="0" w:color="auto"/>
      </w:divBdr>
    </w:div>
    <w:div w:id="1920598857">
      <w:bodyDiv w:val="1"/>
      <w:marLeft w:val="0"/>
      <w:marRight w:val="0"/>
      <w:marTop w:val="0"/>
      <w:marBottom w:val="0"/>
      <w:divBdr>
        <w:top w:val="none" w:sz="0" w:space="0" w:color="auto"/>
        <w:left w:val="none" w:sz="0" w:space="0" w:color="auto"/>
        <w:bottom w:val="none" w:sz="0" w:space="0" w:color="auto"/>
        <w:right w:val="none" w:sz="0" w:space="0" w:color="auto"/>
      </w:divBdr>
    </w:div>
    <w:div w:id="1983922522">
      <w:bodyDiv w:val="1"/>
      <w:marLeft w:val="0"/>
      <w:marRight w:val="0"/>
      <w:marTop w:val="0"/>
      <w:marBottom w:val="0"/>
      <w:divBdr>
        <w:top w:val="none" w:sz="0" w:space="0" w:color="auto"/>
        <w:left w:val="none" w:sz="0" w:space="0" w:color="auto"/>
        <w:bottom w:val="none" w:sz="0" w:space="0" w:color="auto"/>
        <w:right w:val="none" w:sz="0" w:space="0" w:color="auto"/>
      </w:divBdr>
    </w:div>
    <w:div w:id="2031292073">
      <w:bodyDiv w:val="1"/>
      <w:marLeft w:val="0"/>
      <w:marRight w:val="0"/>
      <w:marTop w:val="0"/>
      <w:marBottom w:val="0"/>
      <w:divBdr>
        <w:top w:val="none" w:sz="0" w:space="0" w:color="auto"/>
        <w:left w:val="none" w:sz="0" w:space="0" w:color="auto"/>
        <w:bottom w:val="none" w:sz="0" w:space="0" w:color="auto"/>
        <w:right w:val="none" w:sz="0" w:space="0" w:color="auto"/>
      </w:divBdr>
    </w:div>
    <w:div w:id="206178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46BC6-FDC8-4504-919F-C0C69C2F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15007</Words>
  <Characters>85546</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Elibariki Msuya</dc:creator>
  <cp:keywords/>
  <dc:description/>
  <cp:lastModifiedBy>SDI 1084</cp:lastModifiedBy>
  <cp:revision>7</cp:revision>
  <dcterms:created xsi:type="dcterms:W3CDTF">2025-03-12T08:54:00Z</dcterms:created>
  <dcterms:modified xsi:type="dcterms:W3CDTF">2025-03-13T11:26:00Z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16ee2026-dbd5-369c-9a5f-add61ffc4bd2</vt:lpwstr>
  </property>
  <property fmtid="{D5CDD505-2E9C-101B-9397-08002B2CF9AE}" pid="24" name="Mendeley Citation Style_1">
    <vt:lpwstr>http://www.zotero.org/styles/apa</vt:lpwstr>
  </property>
</Properties>
</file>