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C3B95B" w14:textId="77777777" w:rsidR="00754C9A" w:rsidRDefault="00754C9A" w:rsidP="00441B6F">
      <w:pPr>
        <w:pStyle w:val="Title"/>
        <w:spacing w:after="0"/>
        <w:jc w:val="both"/>
        <w:rPr>
          <w:rFonts w:ascii="Arial" w:hAnsi="Arial" w:cs="Arial"/>
        </w:rPr>
      </w:pPr>
    </w:p>
    <w:p w14:paraId="07A1556D" w14:textId="77777777" w:rsidR="002E757C" w:rsidRDefault="002E757C" w:rsidP="002E757C">
      <w:pPr>
        <w:spacing w:line="360" w:lineRule="auto"/>
        <w:jc w:val="center"/>
        <w:rPr>
          <w:b/>
          <w:bCs/>
          <w:sz w:val="28"/>
          <w:szCs w:val="28"/>
        </w:rPr>
      </w:pPr>
      <w:r w:rsidRPr="007C0AF8">
        <w:rPr>
          <w:b/>
          <w:bCs/>
          <w:sz w:val="28"/>
          <w:szCs w:val="28"/>
        </w:rPr>
        <w:t>Ecological Resilience and Economic Shifts: Tourism</w:t>
      </w:r>
      <w:r>
        <w:rPr>
          <w:b/>
          <w:bCs/>
          <w:sz w:val="28"/>
          <w:szCs w:val="28"/>
        </w:rPr>
        <w:t xml:space="preserve"> </w:t>
      </w:r>
      <w:r w:rsidRPr="007C0AF8">
        <w:rPr>
          <w:b/>
          <w:bCs/>
          <w:sz w:val="28"/>
          <w:szCs w:val="28"/>
        </w:rPr>
        <w:t>and Solid Waste in Ladakh's Mountainous Landscape</w:t>
      </w:r>
    </w:p>
    <w:p w14:paraId="51F2AE36" w14:textId="77777777" w:rsidR="00A258C3" w:rsidRPr="00790ADA" w:rsidRDefault="00A258C3" w:rsidP="00441B6F">
      <w:pPr>
        <w:pStyle w:val="Author"/>
        <w:spacing w:line="240" w:lineRule="auto"/>
        <w:jc w:val="both"/>
        <w:rPr>
          <w:rFonts w:ascii="Arial" w:hAnsi="Arial" w:cs="Arial"/>
          <w:sz w:val="36"/>
        </w:rPr>
      </w:pPr>
    </w:p>
    <w:p w14:paraId="44E6E597" w14:textId="77777777" w:rsidR="00790ADA" w:rsidRDefault="00790ADA" w:rsidP="00441B6F">
      <w:pPr>
        <w:pStyle w:val="Affiliation"/>
        <w:spacing w:after="0" w:line="240" w:lineRule="auto"/>
        <w:jc w:val="both"/>
        <w:rPr>
          <w:rFonts w:ascii="Arial" w:hAnsi="Arial" w:cs="Arial"/>
        </w:rPr>
      </w:pPr>
    </w:p>
    <w:p w14:paraId="1C782FE2" w14:textId="77777777" w:rsidR="00F301C4" w:rsidRDefault="00F301C4" w:rsidP="00441B6F">
      <w:pPr>
        <w:pStyle w:val="Affiliation"/>
        <w:spacing w:after="0" w:line="240" w:lineRule="auto"/>
        <w:jc w:val="both"/>
        <w:rPr>
          <w:rFonts w:ascii="Arial" w:hAnsi="Arial" w:cs="Arial"/>
        </w:rPr>
      </w:pPr>
    </w:p>
    <w:p w14:paraId="0D8EF1D1" w14:textId="77777777" w:rsidR="00F301C4" w:rsidRDefault="00F301C4" w:rsidP="00441B6F">
      <w:pPr>
        <w:pStyle w:val="Affiliation"/>
        <w:spacing w:after="0" w:line="240" w:lineRule="auto"/>
        <w:jc w:val="both"/>
        <w:rPr>
          <w:rFonts w:ascii="Arial" w:hAnsi="Arial" w:cs="Arial"/>
        </w:rPr>
      </w:pPr>
    </w:p>
    <w:p w14:paraId="6902A852" w14:textId="77777777" w:rsidR="002C57D2" w:rsidRPr="00FB3A86" w:rsidRDefault="002C57D2" w:rsidP="00441B6F">
      <w:pPr>
        <w:pStyle w:val="Affiliation"/>
        <w:spacing w:after="0" w:line="240" w:lineRule="auto"/>
        <w:jc w:val="both"/>
        <w:rPr>
          <w:rFonts w:ascii="Arial" w:hAnsi="Arial" w:cs="Arial"/>
        </w:rPr>
      </w:pPr>
    </w:p>
    <w:p w14:paraId="26004328" w14:textId="77777777" w:rsidR="00B01FCD" w:rsidRPr="00FB3A86" w:rsidRDefault="002E757C" w:rsidP="00441B6F">
      <w:pPr>
        <w:pStyle w:val="Copyright"/>
        <w:spacing w:after="0" w:line="240" w:lineRule="auto"/>
        <w:jc w:val="both"/>
        <w:rPr>
          <w:rFonts w:ascii="Arial" w:hAnsi="Arial" w:cs="Arial"/>
        </w:rPr>
        <w:sectPr w:rsidR="00B01FCD" w:rsidRPr="00FB3A86" w:rsidSect="00F301C4">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0C0A78DD" wp14:editId="08CB789A">
                <wp:extent cx="5303520" cy="635"/>
                <wp:effectExtent l="0" t="12700" r="5080" b="12065"/>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37D98CB4"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" strokeweight="1.5pt">
                <o:lock v:ext="edit" shapetype="f"/>
                <w10:anchorlock/>
              </v:shape>
            </w:pict>
          </mc:Fallback>
        </mc:AlternateContent>
      </w:r>
      <w:r w:rsidR="00FB3A86">
        <w:rPr>
          <w:rFonts w:ascii="Arial" w:hAnsi="Arial" w:cs="Arial"/>
        </w:rPr>
        <w:t>.</w:t>
      </w:r>
    </w:p>
    <w:p w14:paraId="731D288D" w14:textId="014C25E7" w:rsidR="00B01FCD" w:rsidRDefault="00B01FCD" w:rsidP="00441B6F">
      <w:pPr>
        <w:pStyle w:val="AbstHead"/>
        <w:spacing w:after="0"/>
        <w:jc w:val="both"/>
        <w:rPr>
          <w:rFonts w:ascii="Arial" w:hAnsi="Arial" w:cs="Arial"/>
        </w:rPr>
      </w:pPr>
      <w:r w:rsidRPr="00FB3A86">
        <w:rPr>
          <w:rFonts w:ascii="Arial" w:hAnsi="Arial" w:cs="Arial"/>
        </w:rPr>
        <w:t>ABSTRACT</w:t>
      </w:r>
    </w:p>
    <w:p w14:paraId="40A98CF4"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350"/>
      </w:tblGrid>
      <w:tr w:rsidR="00296529" w:rsidRPr="001E44FE" w14:paraId="4F0632B3" w14:textId="77777777" w:rsidTr="001E44FE">
        <w:tc>
          <w:tcPr>
            <w:tcW w:w="9576" w:type="dxa"/>
            <w:shd w:val="clear" w:color="auto" w:fill="F2F2F2"/>
          </w:tcPr>
          <w:p w14:paraId="1F8FFCDE" w14:textId="77777777" w:rsidR="002E757C" w:rsidRPr="00AF00D4" w:rsidRDefault="002E757C" w:rsidP="002E757C">
            <w:pPr>
              <w:spacing w:line="360" w:lineRule="auto"/>
              <w:ind w:firstLine="720"/>
              <w:jc w:val="both"/>
              <w:rPr>
                <w:b/>
                <w:bCs/>
                <w:sz w:val="28"/>
                <w:szCs w:val="28"/>
              </w:rPr>
            </w:pPr>
            <w:r w:rsidRPr="00356211">
              <w:rPr>
                <w:color w:val="000000" w:themeColor="text1"/>
              </w:rPr>
              <w:t>Ladakh, a mountainous region nestled in the north-western part of India, is a cold desert Himalayan area known for its predominantly agricultural economy. Tourism significantly contributes to its economic growth, drawn by its scenic landscapes and impressive ancient monasteries. Historically, Ladakh has championed eco-friendly practices, where resources were meticulously reused or recycled ensuring minimal environmental impact. The region's traditional dry toilet system utilizes human waste as organic fertilizer, embodying its sustainable practices. In the past, Ladakh maintained a delicate ecological balance. However, recent economic advancement and increasing tourism have disrupted this equilibrium. Agricultural lands are being left barren or repurposed for construction, altering the regions natural landscape. Ladakh's proximity to Pakistan and China has resulted in a substantial military presence, which has played a significant role in infrastructure development, while also impacting region's economic landscape. Despite contributing to economic growth, both tourism and military activities have also posed challenges to Ladakh's environmental stability.</w:t>
            </w:r>
            <w:r>
              <w:rPr>
                <w:color w:val="000000" w:themeColor="text1"/>
              </w:rPr>
              <w:t xml:space="preserve"> </w:t>
            </w:r>
            <w:r w:rsidRPr="00356211">
              <w:rPr>
                <w:color w:val="000000" w:themeColor="text1"/>
              </w:rPr>
              <w:t>This study will primarily focus on the implications of evolving tourism industry</w:t>
            </w:r>
            <w:r>
              <w:rPr>
                <w:color w:val="000000" w:themeColor="text1"/>
              </w:rPr>
              <w:t xml:space="preserve"> </w:t>
            </w:r>
            <w:r w:rsidRPr="00356211">
              <w:rPr>
                <w:color w:val="000000" w:themeColor="text1"/>
              </w:rPr>
              <w:t xml:space="preserve">and the pressing challenges of solid waste in Ladakh's fragile environment. Due to security constraints, the study does not include an analysis of the military's environmental impact. Methodologically, the study will rely on the </w:t>
            </w:r>
            <w:r>
              <w:rPr>
                <w:color w:val="000000" w:themeColor="text1"/>
              </w:rPr>
              <w:t xml:space="preserve">primary </w:t>
            </w:r>
            <w:r w:rsidRPr="00356211">
              <w:rPr>
                <w:color w:val="000000" w:themeColor="text1"/>
              </w:rPr>
              <w:t xml:space="preserve">collection </w:t>
            </w:r>
            <w:r>
              <w:rPr>
                <w:color w:val="000000" w:themeColor="text1"/>
              </w:rPr>
              <w:t xml:space="preserve">of data from sampled tourist accommodation in Leh district </w:t>
            </w:r>
            <w:r w:rsidRPr="00356211">
              <w:rPr>
                <w:color w:val="000000" w:themeColor="text1"/>
              </w:rPr>
              <w:t>pertaining to tourism and waste challenges in the region.</w:t>
            </w:r>
          </w:p>
          <w:p w14:paraId="6E0EF627" w14:textId="6F032B80" w:rsidR="00505F06" w:rsidRPr="00BA1B01" w:rsidRDefault="00505F06" w:rsidP="00441B6F">
            <w:pPr>
              <w:pStyle w:val="Body"/>
              <w:spacing w:after="0"/>
              <w:rPr>
                <w:rFonts w:ascii="Arial" w:eastAsia="Calibri" w:hAnsi="Arial" w:cs="Arial"/>
                <w:szCs w:val="22"/>
              </w:rPr>
            </w:pPr>
          </w:p>
        </w:tc>
      </w:tr>
    </w:tbl>
    <w:p w14:paraId="33317BED" w14:textId="584E7C3C" w:rsidR="00505F06" w:rsidRPr="002E757C" w:rsidRDefault="002E757C" w:rsidP="002E757C">
      <w:pPr>
        <w:pStyle w:val="NormalWeb"/>
        <w:spacing w:line="360" w:lineRule="auto"/>
        <w:jc w:val="both"/>
        <w:rPr>
          <w:rFonts w:ascii="Arial" w:hAnsi="Arial" w:cs="Arial"/>
          <w:i/>
          <w:iCs/>
          <w:color w:val="000000" w:themeColor="text1"/>
          <w:sz w:val="20"/>
          <w:szCs w:val="20"/>
        </w:rPr>
      </w:pPr>
      <w:r w:rsidRPr="002E757C">
        <w:rPr>
          <w:rFonts w:ascii="Arial" w:hAnsi="Arial" w:cs="Arial"/>
          <w:i/>
          <w:iCs/>
          <w:color w:val="000000" w:themeColor="text1"/>
          <w:sz w:val="20"/>
          <w:szCs w:val="20"/>
        </w:rPr>
        <w:t>Keywords: India, Ladakh, Tourism, Solid Wastes Generation</w:t>
      </w:r>
    </w:p>
    <w:p w14:paraId="0C6BF15E" w14:textId="180BAA66"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24175474" w14:textId="77777777" w:rsidR="00790ADA" w:rsidRPr="00FB3A86" w:rsidRDefault="00790ADA" w:rsidP="00441B6F">
      <w:pPr>
        <w:pStyle w:val="AbstHead"/>
        <w:spacing w:after="0"/>
        <w:jc w:val="both"/>
        <w:rPr>
          <w:rFonts w:ascii="Arial" w:hAnsi="Arial" w:cs="Arial"/>
        </w:rPr>
      </w:pPr>
    </w:p>
    <w:p w14:paraId="1C7CE9AA"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color w:val="000000" w:themeColor="text1"/>
        </w:rPr>
        <w:t xml:space="preserve">Ladakh is a trans-Himalayan region located in the north-western part of the Indian subcontinent. To the west, it borders the Pakistan-occupied Gilgit-Baltistan, while to the east, it is flanked by the Chinese-controlled Aksai Chin. The Union Territory of Ladakh is divided into two districts: Leh and Kargil (Figure 1). The region's cultural and social practices are unique and distinct from those of the rest of India. Ladakh's </w:t>
      </w:r>
      <w:r w:rsidRPr="002E757C">
        <w:rPr>
          <w:rFonts w:ascii="Arial" w:hAnsi="Arial" w:cs="Arial"/>
          <w:color w:val="000000" w:themeColor="text1"/>
        </w:rPr>
        <w:lastRenderedPageBreak/>
        <w:t xml:space="preserve">stunning landscapes and the diverse lifestyles of its inhabitants attract a significant number of tourists </w:t>
      </w:r>
      <w:r w:rsidRPr="002E757C">
        <w:rPr>
          <w:rFonts w:ascii="Arial" w:hAnsi="Arial" w:cs="Arial"/>
        </w:rPr>
        <w:t>(Rizvi, 1999)</w:t>
      </w:r>
    </w:p>
    <w:p w14:paraId="7F1CE9AF" w14:textId="77777777" w:rsidR="002E757C" w:rsidRPr="002E757C" w:rsidRDefault="002E757C" w:rsidP="002E757C">
      <w:pPr>
        <w:spacing w:line="360" w:lineRule="auto"/>
        <w:ind w:firstLine="720"/>
        <w:jc w:val="both"/>
        <w:rPr>
          <w:rFonts w:ascii="Arial" w:hAnsi="Arial" w:cs="Arial"/>
          <w:color w:val="000000" w:themeColor="text1"/>
        </w:rPr>
      </w:pPr>
      <w:r w:rsidRPr="002E757C">
        <w:rPr>
          <w:rFonts w:ascii="Arial" w:hAnsi="Arial" w:cs="Arial"/>
          <w:color w:val="000000" w:themeColor="text1"/>
        </w:rPr>
        <w:t>.</w:t>
      </w:r>
    </w:p>
    <w:p w14:paraId="133DD0FE" w14:textId="77777777" w:rsidR="002E757C" w:rsidRPr="002E757C" w:rsidRDefault="002E757C" w:rsidP="002E757C">
      <w:pPr>
        <w:jc w:val="both"/>
        <w:rPr>
          <w:rFonts w:ascii="Arial" w:hAnsi="Arial" w:cs="Arial"/>
          <w:color w:val="000000" w:themeColor="text1"/>
        </w:rPr>
      </w:pPr>
      <w:r w:rsidRPr="002E757C">
        <w:rPr>
          <w:rFonts w:ascii="Arial" w:hAnsi="Arial" w:cs="Arial"/>
          <w:noProof/>
        </w:rPr>
        <w:drawing>
          <wp:inline distT="0" distB="0" distL="0" distR="0" wp14:anchorId="2504203F" wp14:editId="2A55CD6E">
            <wp:extent cx="5943600" cy="4204970"/>
            <wp:effectExtent l="0" t="0" r="0" b="0"/>
            <wp:docPr id="5" name="Content Placeholder 4">
              <a:extLst xmlns:a="http://schemas.openxmlformats.org/drawingml/2006/main">
                <a:ext uri="{FF2B5EF4-FFF2-40B4-BE49-F238E27FC236}">
                  <a16:creationId xmlns:a16="http://schemas.microsoft.com/office/drawing/2014/main" id="{A68C4A7C-FF06-2C44-A61F-A1B526F44B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A68C4A7C-FF06-2C44-A61F-A1B526F44B01}"/>
                        </a:ext>
                      </a:extLst>
                    </pic:cNvPr>
                    <pic:cNvPicPr>
                      <a:picLocks noGrp="1" noChangeAspect="1"/>
                    </pic:cNvPicPr>
                  </pic:nvPicPr>
                  <pic:blipFill>
                    <a:blip r:embed="rId14"/>
                    <a:stretch>
                      <a:fillRect/>
                    </a:stretch>
                  </pic:blipFill>
                  <pic:spPr>
                    <a:xfrm>
                      <a:off x="0" y="0"/>
                      <a:ext cx="5943600" cy="4204970"/>
                    </a:xfrm>
                    <a:prstGeom prst="rect">
                      <a:avLst/>
                    </a:prstGeom>
                  </pic:spPr>
                </pic:pic>
              </a:graphicData>
            </a:graphic>
          </wp:inline>
        </w:drawing>
      </w:r>
    </w:p>
    <w:p w14:paraId="458761D6"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Figure 1: Map of Ladakh</w:t>
      </w:r>
    </w:p>
    <w:p w14:paraId="75C1261B"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Source: Prepared by author</w:t>
      </w:r>
    </w:p>
    <w:p w14:paraId="0DDFD212" w14:textId="77777777" w:rsidR="002E757C" w:rsidRPr="002E757C" w:rsidRDefault="002E757C" w:rsidP="002E757C">
      <w:pPr>
        <w:spacing w:line="360" w:lineRule="auto"/>
        <w:jc w:val="both"/>
        <w:rPr>
          <w:rFonts w:ascii="Arial" w:hAnsi="Arial" w:cs="Arial"/>
          <w:b/>
          <w:bCs/>
          <w:color w:val="000000" w:themeColor="text1"/>
        </w:rPr>
      </w:pPr>
    </w:p>
    <w:p w14:paraId="5E8AC48B"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color w:val="000000" w:themeColor="text1"/>
        </w:rPr>
        <w:t xml:space="preserve">For much of the 19th and early 20th centuries, Ladakh remained isolated from the rest of India due to its challenging terrain. However, it maintained strong trade connections with Central Asia, Tibet, and China. It was only after India gained independence that the region became more accessible. Despite becoming more approachable by the 1960s, Ladakh saw little change until it was opened to international tourism in 1974 </w:t>
      </w:r>
      <w:r w:rsidRPr="002E757C">
        <w:rPr>
          <w:rFonts w:ascii="Arial" w:hAnsi="Arial" w:cs="Arial"/>
        </w:rPr>
        <w:t>(Fewkes, 2006).</w:t>
      </w:r>
      <w:r w:rsidRPr="002E757C">
        <w:rPr>
          <w:rFonts w:ascii="Arial" w:hAnsi="Arial" w:cs="Arial"/>
          <w:color w:val="000000" w:themeColor="text1"/>
        </w:rPr>
        <w:t xml:space="preserve"> The introduction of tourism brought with it imported goods, foreign media, and Western education. This marked a significant shift in Ladakh's economic landscape. From 1974 onward, the region experienced not only changes in its economy and social fabric but also in its physical landscape. Tourism became a key economic driver, with locals engaging in related activities such as opening guesthouses, hotels, and offering taxi and private bus services to cater to the growing influx of visitors </w:t>
      </w:r>
      <w:r w:rsidRPr="002E757C">
        <w:rPr>
          <w:rFonts w:ascii="Arial" w:hAnsi="Arial" w:cs="Arial"/>
        </w:rPr>
        <w:t>(Sood, 1940).</w:t>
      </w:r>
    </w:p>
    <w:p w14:paraId="0CA2F7B1" w14:textId="77777777" w:rsidR="002E757C" w:rsidRPr="002E757C" w:rsidRDefault="002E757C" w:rsidP="002E757C">
      <w:pPr>
        <w:spacing w:line="360" w:lineRule="auto"/>
        <w:ind w:firstLine="720"/>
        <w:jc w:val="both"/>
        <w:rPr>
          <w:rFonts w:ascii="Arial" w:hAnsi="Arial" w:cs="Arial"/>
        </w:rPr>
      </w:pPr>
    </w:p>
    <w:p w14:paraId="63050A0E" w14:textId="77777777" w:rsidR="002E757C" w:rsidRPr="002E757C" w:rsidRDefault="002E757C" w:rsidP="002E757C">
      <w:pPr>
        <w:spacing w:line="360" w:lineRule="auto"/>
        <w:ind w:firstLine="720"/>
        <w:jc w:val="both"/>
        <w:rPr>
          <w:rFonts w:ascii="Arial" w:hAnsi="Arial" w:cs="Arial"/>
        </w:rPr>
        <w:sectPr w:rsidR="002E757C" w:rsidRPr="002E757C" w:rsidSect="00F301C4">
          <w:endnotePr>
            <w:numFmt w:val="decimal"/>
          </w:endnotePr>
          <w:type w:val="continuous"/>
          <w:pgSz w:w="12240" w:h="15840"/>
          <w:pgMar w:top="1440" w:right="1440" w:bottom="1440" w:left="1440" w:header="708" w:footer="708" w:gutter="0"/>
          <w:cols w:space="708"/>
          <w:docGrid w:linePitch="360"/>
        </w:sectPr>
      </w:pPr>
      <w:r w:rsidRPr="002E757C">
        <w:rPr>
          <w:rFonts w:ascii="Arial" w:hAnsi="Arial" w:cs="Arial"/>
          <w:color w:val="000000" w:themeColor="text1"/>
        </w:rPr>
        <w:t xml:space="preserve">Today, tourism accounts for 50 percent of Ladakh's GDP and provides employment to many people in sectors such as transportation, hospitality, catering, and the cottage industry (District Statistical </w:t>
      </w:r>
      <w:r w:rsidRPr="002E757C">
        <w:rPr>
          <w:rFonts w:ascii="Arial" w:hAnsi="Arial" w:cs="Arial"/>
          <w:color w:val="000000" w:themeColor="text1"/>
        </w:rPr>
        <w:lastRenderedPageBreak/>
        <w:t xml:space="preserve">Handbook, 2017-18). As shown in Table 1 and Figure 2, both domestic and foreign tourist arrivals have steadily increased over the years. In the base year of 2010, the total number of tourists was 77,800, and this number has consistently risen, with the exception of 2020, when the pandemic led to a decline in arrivals. However, this setback was quickly overcome, with tourist numbers surging to 304,077 in 2021, a figure surpassing Ladakh's entire population </w:t>
      </w:r>
      <w:r w:rsidRPr="002E757C">
        <w:rPr>
          <w:rFonts w:ascii="Arial" w:hAnsi="Arial" w:cs="Arial"/>
        </w:rPr>
        <w:t>(Sharma, 2008)</w:t>
      </w:r>
      <w:r w:rsidRPr="002E757C">
        <w:rPr>
          <w:rFonts w:ascii="Arial" w:hAnsi="Arial" w:cs="Arial"/>
          <w:color w:val="000000" w:themeColor="text1"/>
        </w:rPr>
        <w:t>.</w:t>
      </w:r>
    </w:p>
    <w:p w14:paraId="535FA33C" w14:textId="77777777" w:rsidR="002E757C" w:rsidRPr="002E757C" w:rsidRDefault="002E757C" w:rsidP="002E757C">
      <w:pPr>
        <w:spacing w:line="360" w:lineRule="auto"/>
        <w:jc w:val="both"/>
        <w:rPr>
          <w:rFonts w:ascii="Arial" w:hAnsi="Arial" w:cs="Arial"/>
        </w:rPr>
      </w:pPr>
    </w:p>
    <w:p w14:paraId="17062112" w14:textId="77777777" w:rsidR="002E757C" w:rsidRPr="002E757C" w:rsidRDefault="002E757C" w:rsidP="002E757C">
      <w:pPr>
        <w:spacing w:line="360" w:lineRule="auto"/>
        <w:jc w:val="both"/>
        <w:rPr>
          <w:rFonts w:ascii="Arial" w:hAnsi="Arial" w:cs="Arial"/>
          <w:b/>
          <w:bCs/>
          <w:color w:val="000000" w:themeColor="text1"/>
        </w:rPr>
      </w:pPr>
      <w:r w:rsidRPr="002E757C">
        <w:rPr>
          <w:rFonts w:ascii="Arial" w:hAnsi="Arial" w:cs="Arial"/>
          <w:b/>
          <w:bCs/>
          <w:color w:val="000000" w:themeColor="text1"/>
        </w:rPr>
        <w:t>Table 1: No of Tourist arrival (2010-2021)</w:t>
      </w:r>
    </w:p>
    <w:tbl>
      <w:tblPr>
        <w:tblW w:w="8475" w:type="dxa"/>
        <w:tblLook w:val="04A0" w:firstRow="1" w:lastRow="0" w:firstColumn="1" w:lastColumn="0" w:noHBand="0" w:noVBand="1"/>
      </w:tblPr>
      <w:tblGrid>
        <w:gridCol w:w="1387"/>
        <w:gridCol w:w="2925"/>
        <w:gridCol w:w="2776"/>
        <w:gridCol w:w="1387"/>
      </w:tblGrid>
      <w:tr w:rsidR="002E757C" w:rsidRPr="002E757C" w14:paraId="08CB40A3" w14:textId="77777777" w:rsidTr="00C763EF">
        <w:trPr>
          <w:trHeight w:val="332"/>
        </w:trPr>
        <w:tc>
          <w:tcPr>
            <w:tcW w:w="1387" w:type="dxa"/>
            <w:tcBorders>
              <w:top w:val="nil"/>
              <w:left w:val="nil"/>
              <w:bottom w:val="nil"/>
              <w:right w:val="nil"/>
            </w:tcBorders>
            <w:shd w:val="clear" w:color="auto" w:fill="auto"/>
            <w:noWrap/>
            <w:vAlign w:val="bottom"/>
            <w:hideMark/>
          </w:tcPr>
          <w:p w14:paraId="612F751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Year</w:t>
            </w:r>
          </w:p>
        </w:tc>
        <w:tc>
          <w:tcPr>
            <w:tcW w:w="2925" w:type="dxa"/>
            <w:tcBorders>
              <w:top w:val="nil"/>
              <w:left w:val="nil"/>
              <w:bottom w:val="nil"/>
              <w:right w:val="nil"/>
            </w:tcBorders>
            <w:shd w:val="clear" w:color="auto" w:fill="auto"/>
            <w:noWrap/>
            <w:vAlign w:val="bottom"/>
            <w:hideMark/>
          </w:tcPr>
          <w:p w14:paraId="74AB22F4"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No of Foreign Tourists</w:t>
            </w:r>
          </w:p>
        </w:tc>
        <w:tc>
          <w:tcPr>
            <w:tcW w:w="2776" w:type="dxa"/>
            <w:tcBorders>
              <w:top w:val="nil"/>
              <w:left w:val="nil"/>
              <w:bottom w:val="nil"/>
              <w:right w:val="nil"/>
            </w:tcBorders>
            <w:shd w:val="clear" w:color="auto" w:fill="auto"/>
            <w:noWrap/>
            <w:vAlign w:val="bottom"/>
            <w:hideMark/>
          </w:tcPr>
          <w:p w14:paraId="6468EEA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No of Domestic Tourists</w:t>
            </w:r>
          </w:p>
        </w:tc>
        <w:tc>
          <w:tcPr>
            <w:tcW w:w="1387" w:type="dxa"/>
            <w:tcBorders>
              <w:top w:val="nil"/>
              <w:left w:val="nil"/>
              <w:bottom w:val="nil"/>
              <w:right w:val="nil"/>
            </w:tcBorders>
            <w:shd w:val="clear" w:color="auto" w:fill="auto"/>
            <w:noWrap/>
            <w:vAlign w:val="bottom"/>
            <w:hideMark/>
          </w:tcPr>
          <w:p w14:paraId="2898CBB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Total</w:t>
            </w:r>
          </w:p>
        </w:tc>
      </w:tr>
      <w:tr w:rsidR="002E757C" w:rsidRPr="002E757C" w14:paraId="654D0C83" w14:textId="77777777" w:rsidTr="00C763EF">
        <w:trPr>
          <w:trHeight w:val="332"/>
        </w:trPr>
        <w:tc>
          <w:tcPr>
            <w:tcW w:w="1387" w:type="dxa"/>
            <w:tcBorders>
              <w:top w:val="nil"/>
              <w:left w:val="nil"/>
              <w:bottom w:val="nil"/>
              <w:right w:val="nil"/>
            </w:tcBorders>
            <w:shd w:val="clear" w:color="auto" w:fill="auto"/>
            <w:noWrap/>
            <w:vAlign w:val="bottom"/>
            <w:hideMark/>
          </w:tcPr>
          <w:p w14:paraId="787B5FF0"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2010</w:t>
            </w:r>
          </w:p>
        </w:tc>
        <w:tc>
          <w:tcPr>
            <w:tcW w:w="2925" w:type="dxa"/>
            <w:tcBorders>
              <w:top w:val="nil"/>
              <w:left w:val="nil"/>
              <w:bottom w:val="nil"/>
              <w:right w:val="nil"/>
            </w:tcBorders>
            <w:shd w:val="clear" w:color="auto" w:fill="auto"/>
            <w:noWrap/>
            <w:vAlign w:val="bottom"/>
            <w:hideMark/>
          </w:tcPr>
          <w:p w14:paraId="301C7944"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22115</w:t>
            </w:r>
          </w:p>
        </w:tc>
        <w:tc>
          <w:tcPr>
            <w:tcW w:w="2776" w:type="dxa"/>
            <w:tcBorders>
              <w:top w:val="nil"/>
              <w:left w:val="nil"/>
              <w:bottom w:val="nil"/>
              <w:right w:val="nil"/>
            </w:tcBorders>
            <w:shd w:val="clear" w:color="auto" w:fill="auto"/>
            <w:vAlign w:val="center"/>
            <w:hideMark/>
          </w:tcPr>
          <w:p w14:paraId="4F6501F0"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55685</w:t>
            </w:r>
          </w:p>
        </w:tc>
        <w:tc>
          <w:tcPr>
            <w:tcW w:w="1387" w:type="dxa"/>
            <w:tcBorders>
              <w:top w:val="nil"/>
              <w:left w:val="nil"/>
              <w:bottom w:val="nil"/>
              <w:right w:val="nil"/>
            </w:tcBorders>
            <w:shd w:val="clear" w:color="auto" w:fill="auto"/>
            <w:noWrap/>
            <w:vAlign w:val="bottom"/>
            <w:hideMark/>
          </w:tcPr>
          <w:p w14:paraId="7108450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77800</w:t>
            </w:r>
          </w:p>
        </w:tc>
      </w:tr>
      <w:tr w:rsidR="002E757C" w:rsidRPr="002E757C" w14:paraId="792B7DB7" w14:textId="77777777" w:rsidTr="00C763EF">
        <w:trPr>
          <w:trHeight w:val="332"/>
        </w:trPr>
        <w:tc>
          <w:tcPr>
            <w:tcW w:w="1387" w:type="dxa"/>
            <w:tcBorders>
              <w:top w:val="nil"/>
              <w:left w:val="nil"/>
              <w:bottom w:val="nil"/>
              <w:right w:val="nil"/>
            </w:tcBorders>
            <w:shd w:val="clear" w:color="auto" w:fill="auto"/>
            <w:noWrap/>
            <w:vAlign w:val="bottom"/>
            <w:hideMark/>
          </w:tcPr>
          <w:p w14:paraId="57E5D7E1"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2011</w:t>
            </w:r>
          </w:p>
        </w:tc>
        <w:tc>
          <w:tcPr>
            <w:tcW w:w="2925" w:type="dxa"/>
            <w:tcBorders>
              <w:top w:val="nil"/>
              <w:left w:val="nil"/>
              <w:bottom w:val="nil"/>
              <w:right w:val="nil"/>
            </w:tcBorders>
            <w:shd w:val="clear" w:color="auto" w:fill="auto"/>
            <w:noWrap/>
            <w:vAlign w:val="bottom"/>
            <w:hideMark/>
          </w:tcPr>
          <w:p w14:paraId="2797A7D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36662</w:t>
            </w:r>
          </w:p>
        </w:tc>
        <w:tc>
          <w:tcPr>
            <w:tcW w:w="2776" w:type="dxa"/>
            <w:tcBorders>
              <w:top w:val="nil"/>
              <w:left w:val="nil"/>
              <w:bottom w:val="nil"/>
              <w:right w:val="nil"/>
            </w:tcBorders>
            <w:shd w:val="clear" w:color="auto" w:fill="auto"/>
            <w:vAlign w:val="center"/>
            <w:hideMark/>
          </w:tcPr>
          <w:p w14:paraId="000F639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142829</w:t>
            </w:r>
          </w:p>
        </w:tc>
        <w:tc>
          <w:tcPr>
            <w:tcW w:w="1387" w:type="dxa"/>
            <w:tcBorders>
              <w:top w:val="nil"/>
              <w:left w:val="nil"/>
              <w:bottom w:val="nil"/>
              <w:right w:val="nil"/>
            </w:tcBorders>
            <w:shd w:val="clear" w:color="auto" w:fill="auto"/>
            <w:noWrap/>
            <w:vAlign w:val="bottom"/>
            <w:hideMark/>
          </w:tcPr>
          <w:p w14:paraId="696C41F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179491</w:t>
            </w:r>
          </w:p>
        </w:tc>
      </w:tr>
      <w:tr w:rsidR="002E757C" w:rsidRPr="002E757C" w14:paraId="779A1D9D" w14:textId="77777777" w:rsidTr="00C763EF">
        <w:trPr>
          <w:trHeight w:val="332"/>
        </w:trPr>
        <w:tc>
          <w:tcPr>
            <w:tcW w:w="1387" w:type="dxa"/>
            <w:tcBorders>
              <w:top w:val="nil"/>
              <w:left w:val="nil"/>
              <w:bottom w:val="nil"/>
              <w:right w:val="nil"/>
            </w:tcBorders>
            <w:shd w:val="clear" w:color="auto" w:fill="auto"/>
            <w:noWrap/>
            <w:vAlign w:val="bottom"/>
            <w:hideMark/>
          </w:tcPr>
          <w:p w14:paraId="1482CCEB"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2012</w:t>
            </w:r>
          </w:p>
        </w:tc>
        <w:tc>
          <w:tcPr>
            <w:tcW w:w="2925" w:type="dxa"/>
            <w:tcBorders>
              <w:top w:val="nil"/>
              <w:left w:val="nil"/>
              <w:bottom w:val="nil"/>
              <w:right w:val="nil"/>
            </w:tcBorders>
            <w:shd w:val="clear" w:color="auto" w:fill="auto"/>
            <w:noWrap/>
            <w:vAlign w:val="bottom"/>
            <w:hideMark/>
          </w:tcPr>
          <w:p w14:paraId="78FC1B86"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38510</w:t>
            </w:r>
          </w:p>
        </w:tc>
        <w:tc>
          <w:tcPr>
            <w:tcW w:w="2776" w:type="dxa"/>
            <w:tcBorders>
              <w:top w:val="nil"/>
              <w:left w:val="nil"/>
              <w:bottom w:val="nil"/>
              <w:right w:val="nil"/>
            </w:tcBorders>
            <w:shd w:val="clear" w:color="auto" w:fill="auto"/>
            <w:vAlign w:val="center"/>
            <w:hideMark/>
          </w:tcPr>
          <w:p w14:paraId="7AB8E0C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140460</w:t>
            </w:r>
          </w:p>
        </w:tc>
        <w:tc>
          <w:tcPr>
            <w:tcW w:w="1387" w:type="dxa"/>
            <w:tcBorders>
              <w:top w:val="nil"/>
              <w:left w:val="nil"/>
              <w:bottom w:val="nil"/>
              <w:right w:val="nil"/>
            </w:tcBorders>
            <w:shd w:val="clear" w:color="auto" w:fill="auto"/>
            <w:noWrap/>
            <w:vAlign w:val="bottom"/>
            <w:hideMark/>
          </w:tcPr>
          <w:p w14:paraId="21954C3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178970</w:t>
            </w:r>
          </w:p>
        </w:tc>
      </w:tr>
      <w:tr w:rsidR="002E757C" w:rsidRPr="002E757C" w14:paraId="4A59B8C2" w14:textId="77777777" w:rsidTr="00C763EF">
        <w:trPr>
          <w:trHeight w:val="332"/>
        </w:trPr>
        <w:tc>
          <w:tcPr>
            <w:tcW w:w="1387" w:type="dxa"/>
            <w:tcBorders>
              <w:top w:val="nil"/>
              <w:left w:val="nil"/>
              <w:bottom w:val="nil"/>
              <w:right w:val="nil"/>
            </w:tcBorders>
            <w:shd w:val="clear" w:color="auto" w:fill="auto"/>
            <w:noWrap/>
            <w:vAlign w:val="bottom"/>
            <w:hideMark/>
          </w:tcPr>
          <w:p w14:paraId="6E6F1A5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2013</w:t>
            </w:r>
          </w:p>
        </w:tc>
        <w:tc>
          <w:tcPr>
            <w:tcW w:w="2925" w:type="dxa"/>
            <w:tcBorders>
              <w:top w:val="nil"/>
              <w:left w:val="nil"/>
              <w:bottom w:val="nil"/>
              <w:right w:val="nil"/>
            </w:tcBorders>
            <w:shd w:val="clear" w:color="auto" w:fill="auto"/>
            <w:noWrap/>
            <w:vAlign w:val="bottom"/>
            <w:hideMark/>
          </w:tcPr>
          <w:p w14:paraId="3752D486"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31143</w:t>
            </w:r>
          </w:p>
        </w:tc>
        <w:tc>
          <w:tcPr>
            <w:tcW w:w="2776" w:type="dxa"/>
            <w:tcBorders>
              <w:top w:val="nil"/>
              <w:left w:val="nil"/>
              <w:bottom w:val="nil"/>
              <w:right w:val="nil"/>
            </w:tcBorders>
            <w:shd w:val="clear" w:color="auto" w:fill="auto"/>
            <w:vAlign w:val="center"/>
            <w:hideMark/>
          </w:tcPr>
          <w:p w14:paraId="7FAFECD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106559</w:t>
            </w:r>
          </w:p>
        </w:tc>
        <w:tc>
          <w:tcPr>
            <w:tcW w:w="1387" w:type="dxa"/>
            <w:tcBorders>
              <w:top w:val="nil"/>
              <w:left w:val="nil"/>
              <w:bottom w:val="nil"/>
              <w:right w:val="nil"/>
            </w:tcBorders>
            <w:shd w:val="clear" w:color="auto" w:fill="auto"/>
            <w:noWrap/>
            <w:vAlign w:val="bottom"/>
            <w:hideMark/>
          </w:tcPr>
          <w:p w14:paraId="1B1D33D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147702</w:t>
            </w:r>
          </w:p>
        </w:tc>
      </w:tr>
      <w:tr w:rsidR="002E757C" w:rsidRPr="002E757C" w14:paraId="6521B6DD" w14:textId="77777777" w:rsidTr="00C763EF">
        <w:trPr>
          <w:trHeight w:val="332"/>
        </w:trPr>
        <w:tc>
          <w:tcPr>
            <w:tcW w:w="1387" w:type="dxa"/>
            <w:tcBorders>
              <w:top w:val="nil"/>
              <w:left w:val="nil"/>
              <w:bottom w:val="nil"/>
              <w:right w:val="nil"/>
            </w:tcBorders>
            <w:shd w:val="clear" w:color="auto" w:fill="auto"/>
            <w:noWrap/>
            <w:vAlign w:val="bottom"/>
            <w:hideMark/>
          </w:tcPr>
          <w:p w14:paraId="6F11D08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2014</w:t>
            </w:r>
          </w:p>
        </w:tc>
        <w:tc>
          <w:tcPr>
            <w:tcW w:w="2925" w:type="dxa"/>
            <w:tcBorders>
              <w:top w:val="nil"/>
              <w:left w:val="nil"/>
              <w:bottom w:val="nil"/>
              <w:right w:val="nil"/>
            </w:tcBorders>
            <w:shd w:val="clear" w:color="auto" w:fill="auto"/>
            <w:noWrap/>
            <w:vAlign w:val="bottom"/>
            <w:hideMark/>
          </w:tcPr>
          <w:p w14:paraId="1979B405"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59305</w:t>
            </w:r>
          </w:p>
        </w:tc>
        <w:tc>
          <w:tcPr>
            <w:tcW w:w="2776" w:type="dxa"/>
            <w:tcBorders>
              <w:top w:val="nil"/>
              <w:left w:val="nil"/>
              <w:bottom w:val="nil"/>
              <w:right w:val="nil"/>
            </w:tcBorders>
            <w:shd w:val="clear" w:color="auto" w:fill="auto"/>
            <w:vAlign w:val="center"/>
            <w:hideMark/>
          </w:tcPr>
          <w:p w14:paraId="6CFBE9B9"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121996</w:t>
            </w:r>
          </w:p>
        </w:tc>
        <w:tc>
          <w:tcPr>
            <w:tcW w:w="1387" w:type="dxa"/>
            <w:tcBorders>
              <w:top w:val="nil"/>
              <w:left w:val="nil"/>
              <w:bottom w:val="nil"/>
              <w:right w:val="nil"/>
            </w:tcBorders>
            <w:shd w:val="clear" w:color="auto" w:fill="auto"/>
            <w:noWrap/>
            <w:vAlign w:val="bottom"/>
            <w:hideMark/>
          </w:tcPr>
          <w:p w14:paraId="17424A1B"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181301</w:t>
            </w:r>
          </w:p>
        </w:tc>
      </w:tr>
      <w:tr w:rsidR="002E757C" w:rsidRPr="002E757C" w14:paraId="4B9926A4" w14:textId="77777777" w:rsidTr="00C763EF">
        <w:trPr>
          <w:trHeight w:val="332"/>
        </w:trPr>
        <w:tc>
          <w:tcPr>
            <w:tcW w:w="1387" w:type="dxa"/>
            <w:tcBorders>
              <w:top w:val="nil"/>
              <w:left w:val="nil"/>
              <w:bottom w:val="nil"/>
              <w:right w:val="nil"/>
            </w:tcBorders>
            <w:shd w:val="clear" w:color="auto" w:fill="auto"/>
            <w:noWrap/>
            <w:vAlign w:val="bottom"/>
            <w:hideMark/>
          </w:tcPr>
          <w:p w14:paraId="597119F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2015</w:t>
            </w:r>
          </w:p>
        </w:tc>
        <w:tc>
          <w:tcPr>
            <w:tcW w:w="2925" w:type="dxa"/>
            <w:tcBorders>
              <w:top w:val="nil"/>
              <w:left w:val="nil"/>
              <w:bottom w:val="nil"/>
              <w:right w:val="nil"/>
            </w:tcBorders>
            <w:shd w:val="clear" w:color="auto" w:fill="auto"/>
            <w:noWrap/>
            <w:vAlign w:val="bottom"/>
            <w:hideMark/>
          </w:tcPr>
          <w:p w14:paraId="62FD34B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29614</w:t>
            </w:r>
          </w:p>
        </w:tc>
        <w:tc>
          <w:tcPr>
            <w:tcW w:w="2776" w:type="dxa"/>
            <w:tcBorders>
              <w:top w:val="nil"/>
              <w:left w:val="nil"/>
              <w:bottom w:val="nil"/>
              <w:right w:val="nil"/>
            </w:tcBorders>
            <w:shd w:val="clear" w:color="auto" w:fill="auto"/>
            <w:vAlign w:val="center"/>
            <w:hideMark/>
          </w:tcPr>
          <w:p w14:paraId="26DBA46D"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116887</w:t>
            </w:r>
          </w:p>
        </w:tc>
        <w:tc>
          <w:tcPr>
            <w:tcW w:w="1387" w:type="dxa"/>
            <w:tcBorders>
              <w:top w:val="nil"/>
              <w:left w:val="nil"/>
              <w:bottom w:val="nil"/>
              <w:right w:val="nil"/>
            </w:tcBorders>
            <w:shd w:val="clear" w:color="auto" w:fill="auto"/>
            <w:noWrap/>
            <w:vAlign w:val="bottom"/>
            <w:hideMark/>
          </w:tcPr>
          <w:p w14:paraId="533FA491"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146501</w:t>
            </w:r>
          </w:p>
        </w:tc>
      </w:tr>
      <w:tr w:rsidR="002E757C" w:rsidRPr="002E757C" w14:paraId="4FA2DE8C" w14:textId="77777777" w:rsidTr="00C763EF">
        <w:trPr>
          <w:trHeight w:val="332"/>
        </w:trPr>
        <w:tc>
          <w:tcPr>
            <w:tcW w:w="1387" w:type="dxa"/>
            <w:tcBorders>
              <w:top w:val="nil"/>
              <w:left w:val="nil"/>
              <w:bottom w:val="nil"/>
              <w:right w:val="nil"/>
            </w:tcBorders>
            <w:shd w:val="clear" w:color="auto" w:fill="auto"/>
            <w:noWrap/>
            <w:vAlign w:val="bottom"/>
            <w:hideMark/>
          </w:tcPr>
          <w:p w14:paraId="4D6C44D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2016</w:t>
            </w:r>
          </w:p>
        </w:tc>
        <w:tc>
          <w:tcPr>
            <w:tcW w:w="2925" w:type="dxa"/>
            <w:tcBorders>
              <w:top w:val="nil"/>
              <w:left w:val="nil"/>
              <w:bottom w:val="nil"/>
              <w:right w:val="nil"/>
            </w:tcBorders>
            <w:shd w:val="clear" w:color="auto" w:fill="auto"/>
            <w:noWrap/>
            <w:vAlign w:val="bottom"/>
            <w:hideMark/>
          </w:tcPr>
          <w:p w14:paraId="4D9A793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38005</w:t>
            </w:r>
          </w:p>
        </w:tc>
        <w:tc>
          <w:tcPr>
            <w:tcW w:w="2776" w:type="dxa"/>
            <w:tcBorders>
              <w:top w:val="nil"/>
              <w:left w:val="nil"/>
              <w:bottom w:val="nil"/>
              <w:right w:val="nil"/>
            </w:tcBorders>
            <w:shd w:val="clear" w:color="auto" w:fill="auto"/>
            <w:vAlign w:val="center"/>
            <w:hideMark/>
          </w:tcPr>
          <w:p w14:paraId="3A2A511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197693</w:t>
            </w:r>
          </w:p>
        </w:tc>
        <w:tc>
          <w:tcPr>
            <w:tcW w:w="1387" w:type="dxa"/>
            <w:tcBorders>
              <w:top w:val="nil"/>
              <w:left w:val="nil"/>
              <w:bottom w:val="nil"/>
              <w:right w:val="nil"/>
            </w:tcBorders>
            <w:shd w:val="clear" w:color="auto" w:fill="auto"/>
            <w:noWrap/>
            <w:vAlign w:val="bottom"/>
            <w:hideMark/>
          </w:tcPr>
          <w:p w14:paraId="0476763E"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235698</w:t>
            </w:r>
          </w:p>
        </w:tc>
      </w:tr>
      <w:tr w:rsidR="002E757C" w:rsidRPr="002E757C" w14:paraId="564683D3" w14:textId="77777777" w:rsidTr="00C763EF">
        <w:trPr>
          <w:trHeight w:val="332"/>
        </w:trPr>
        <w:tc>
          <w:tcPr>
            <w:tcW w:w="1387" w:type="dxa"/>
            <w:tcBorders>
              <w:top w:val="nil"/>
              <w:left w:val="nil"/>
              <w:bottom w:val="nil"/>
              <w:right w:val="nil"/>
            </w:tcBorders>
            <w:shd w:val="clear" w:color="auto" w:fill="auto"/>
            <w:noWrap/>
            <w:vAlign w:val="bottom"/>
            <w:hideMark/>
          </w:tcPr>
          <w:p w14:paraId="3640794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2017</w:t>
            </w:r>
          </w:p>
        </w:tc>
        <w:tc>
          <w:tcPr>
            <w:tcW w:w="2925" w:type="dxa"/>
            <w:tcBorders>
              <w:top w:val="nil"/>
              <w:left w:val="nil"/>
              <w:bottom w:val="nil"/>
              <w:right w:val="nil"/>
            </w:tcBorders>
            <w:shd w:val="clear" w:color="auto" w:fill="auto"/>
            <w:noWrap/>
            <w:vAlign w:val="bottom"/>
            <w:hideMark/>
          </w:tcPr>
          <w:p w14:paraId="62795928"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46593</w:t>
            </w:r>
          </w:p>
        </w:tc>
        <w:tc>
          <w:tcPr>
            <w:tcW w:w="2776" w:type="dxa"/>
            <w:tcBorders>
              <w:top w:val="nil"/>
              <w:left w:val="nil"/>
              <w:bottom w:val="nil"/>
              <w:right w:val="nil"/>
            </w:tcBorders>
            <w:shd w:val="clear" w:color="auto" w:fill="auto"/>
            <w:vAlign w:val="center"/>
            <w:hideMark/>
          </w:tcPr>
          <w:p w14:paraId="645E2E7E"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230662</w:t>
            </w:r>
          </w:p>
        </w:tc>
        <w:tc>
          <w:tcPr>
            <w:tcW w:w="1387" w:type="dxa"/>
            <w:tcBorders>
              <w:top w:val="nil"/>
              <w:left w:val="nil"/>
              <w:bottom w:val="nil"/>
              <w:right w:val="nil"/>
            </w:tcBorders>
            <w:shd w:val="clear" w:color="auto" w:fill="auto"/>
            <w:noWrap/>
            <w:vAlign w:val="bottom"/>
            <w:hideMark/>
          </w:tcPr>
          <w:p w14:paraId="0C2A853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277255</w:t>
            </w:r>
          </w:p>
        </w:tc>
      </w:tr>
      <w:tr w:rsidR="002E757C" w:rsidRPr="002E757C" w14:paraId="7215590B" w14:textId="77777777" w:rsidTr="00C763EF">
        <w:trPr>
          <w:trHeight w:val="332"/>
        </w:trPr>
        <w:tc>
          <w:tcPr>
            <w:tcW w:w="1387" w:type="dxa"/>
            <w:tcBorders>
              <w:top w:val="nil"/>
              <w:left w:val="nil"/>
              <w:bottom w:val="nil"/>
              <w:right w:val="nil"/>
            </w:tcBorders>
            <w:shd w:val="clear" w:color="auto" w:fill="auto"/>
            <w:noWrap/>
            <w:vAlign w:val="bottom"/>
            <w:hideMark/>
          </w:tcPr>
          <w:p w14:paraId="6A3C097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2018</w:t>
            </w:r>
          </w:p>
        </w:tc>
        <w:tc>
          <w:tcPr>
            <w:tcW w:w="2925" w:type="dxa"/>
            <w:tcBorders>
              <w:top w:val="nil"/>
              <w:left w:val="nil"/>
              <w:bottom w:val="nil"/>
              <w:right w:val="nil"/>
            </w:tcBorders>
            <w:shd w:val="clear" w:color="auto" w:fill="auto"/>
            <w:noWrap/>
            <w:vAlign w:val="bottom"/>
            <w:hideMark/>
          </w:tcPr>
          <w:p w14:paraId="1C4530CB"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49477</w:t>
            </w:r>
          </w:p>
        </w:tc>
        <w:tc>
          <w:tcPr>
            <w:tcW w:w="2776" w:type="dxa"/>
            <w:tcBorders>
              <w:top w:val="nil"/>
              <w:left w:val="nil"/>
              <w:bottom w:val="nil"/>
              <w:right w:val="nil"/>
            </w:tcBorders>
            <w:shd w:val="clear" w:color="auto" w:fill="auto"/>
            <w:vAlign w:val="center"/>
            <w:hideMark/>
          </w:tcPr>
          <w:p w14:paraId="256DA58D"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277889</w:t>
            </w:r>
          </w:p>
        </w:tc>
        <w:tc>
          <w:tcPr>
            <w:tcW w:w="1387" w:type="dxa"/>
            <w:tcBorders>
              <w:top w:val="nil"/>
              <w:left w:val="nil"/>
              <w:bottom w:val="nil"/>
              <w:right w:val="nil"/>
            </w:tcBorders>
            <w:shd w:val="clear" w:color="auto" w:fill="auto"/>
            <w:noWrap/>
            <w:vAlign w:val="bottom"/>
            <w:hideMark/>
          </w:tcPr>
          <w:p w14:paraId="7A74E8D6"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327366</w:t>
            </w:r>
          </w:p>
        </w:tc>
      </w:tr>
      <w:tr w:rsidR="002E757C" w:rsidRPr="002E757C" w14:paraId="62CBF6BD" w14:textId="77777777" w:rsidTr="00C763EF">
        <w:trPr>
          <w:trHeight w:val="332"/>
        </w:trPr>
        <w:tc>
          <w:tcPr>
            <w:tcW w:w="1387" w:type="dxa"/>
            <w:tcBorders>
              <w:top w:val="nil"/>
              <w:left w:val="nil"/>
              <w:bottom w:val="nil"/>
              <w:right w:val="nil"/>
            </w:tcBorders>
            <w:shd w:val="clear" w:color="auto" w:fill="auto"/>
            <w:noWrap/>
            <w:vAlign w:val="bottom"/>
            <w:hideMark/>
          </w:tcPr>
          <w:p w14:paraId="3805EC3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2019</w:t>
            </w:r>
          </w:p>
        </w:tc>
        <w:tc>
          <w:tcPr>
            <w:tcW w:w="2925" w:type="dxa"/>
            <w:tcBorders>
              <w:top w:val="nil"/>
              <w:left w:val="nil"/>
              <w:bottom w:val="nil"/>
              <w:right w:val="nil"/>
            </w:tcBorders>
            <w:shd w:val="clear" w:color="auto" w:fill="auto"/>
            <w:noWrap/>
            <w:vAlign w:val="bottom"/>
            <w:hideMark/>
          </w:tcPr>
          <w:p w14:paraId="5643BF2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38652</w:t>
            </w:r>
          </w:p>
        </w:tc>
        <w:tc>
          <w:tcPr>
            <w:tcW w:w="2776" w:type="dxa"/>
            <w:tcBorders>
              <w:top w:val="nil"/>
              <w:left w:val="nil"/>
              <w:bottom w:val="nil"/>
              <w:right w:val="nil"/>
            </w:tcBorders>
            <w:shd w:val="clear" w:color="auto" w:fill="auto"/>
            <w:vAlign w:val="center"/>
            <w:hideMark/>
          </w:tcPr>
          <w:p w14:paraId="000894A9"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241285</w:t>
            </w:r>
          </w:p>
        </w:tc>
        <w:tc>
          <w:tcPr>
            <w:tcW w:w="1387" w:type="dxa"/>
            <w:tcBorders>
              <w:top w:val="nil"/>
              <w:left w:val="nil"/>
              <w:bottom w:val="nil"/>
              <w:right w:val="nil"/>
            </w:tcBorders>
            <w:shd w:val="clear" w:color="auto" w:fill="auto"/>
            <w:noWrap/>
            <w:vAlign w:val="bottom"/>
            <w:hideMark/>
          </w:tcPr>
          <w:p w14:paraId="643BBCE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279937</w:t>
            </w:r>
          </w:p>
        </w:tc>
      </w:tr>
      <w:tr w:rsidR="002E757C" w:rsidRPr="002E757C" w14:paraId="6D9F8873" w14:textId="77777777" w:rsidTr="00C763EF">
        <w:trPr>
          <w:trHeight w:val="332"/>
        </w:trPr>
        <w:tc>
          <w:tcPr>
            <w:tcW w:w="1387" w:type="dxa"/>
            <w:tcBorders>
              <w:top w:val="nil"/>
              <w:left w:val="nil"/>
              <w:bottom w:val="nil"/>
              <w:right w:val="nil"/>
            </w:tcBorders>
            <w:shd w:val="clear" w:color="auto" w:fill="auto"/>
            <w:noWrap/>
            <w:vAlign w:val="bottom"/>
            <w:hideMark/>
          </w:tcPr>
          <w:p w14:paraId="45C596F0"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2020</w:t>
            </w:r>
          </w:p>
        </w:tc>
        <w:tc>
          <w:tcPr>
            <w:tcW w:w="2925" w:type="dxa"/>
            <w:tcBorders>
              <w:top w:val="nil"/>
              <w:left w:val="nil"/>
              <w:bottom w:val="nil"/>
              <w:right w:val="nil"/>
            </w:tcBorders>
            <w:shd w:val="clear" w:color="auto" w:fill="auto"/>
            <w:noWrap/>
            <w:vAlign w:val="bottom"/>
            <w:hideMark/>
          </w:tcPr>
          <w:p w14:paraId="483C4CB4"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1126</w:t>
            </w:r>
          </w:p>
        </w:tc>
        <w:tc>
          <w:tcPr>
            <w:tcW w:w="2776" w:type="dxa"/>
            <w:tcBorders>
              <w:top w:val="nil"/>
              <w:left w:val="nil"/>
              <w:bottom w:val="nil"/>
              <w:right w:val="nil"/>
            </w:tcBorders>
            <w:shd w:val="clear" w:color="auto" w:fill="auto"/>
            <w:vAlign w:val="center"/>
            <w:hideMark/>
          </w:tcPr>
          <w:p w14:paraId="4C577539"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6743</w:t>
            </w:r>
          </w:p>
        </w:tc>
        <w:tc>
          <w:tcPr>
            <w:tcW w:w="1387" w:type="dxa"/>
            <w:tcBorders>
              <w:top w:val="nil"/>
              <w:left w:val="nil"/>
              <w:bottom w:val="nil"/>
              <w:right w:val="nil"/>
            </w:tcBorders>
            <w:shd w:val="clear" w:color="auto" w:fill="auto"/>
            <w:noWrap/>
            <w:vAlign w:val="bottom"/>
            <w:hideMark/>
          </w:tcPr>
          <w:p w14:paraId="5238F1C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7869</w:t>
            </w:r>
          </w:p>
        </w:tc>
      </w:tr>
      <w:tr w:rsidR="002E757C" w:rsidRPr="002E757C" w14:paraId="1DD58C2C" w14:textId="77777777" w:rsidTr="00C763EF">
        <w:trPr>
          <w:trHeight w:val="332"/>
        </w:trPr>
        <w:tc>
          <w:tcPr>
            <w:tcW w:w="1387" w:type="dxa"/>
            <w:tcBorders>
              <w:top w:val="nil"/>
              <w:left w:val="nil"/>
              <w:bottom w:val="nil"/>
              <w:right w:val="nil"/>
            </w:tcBorders>
            <w:shd w:val="clear" w:color="auto" w:fill="auto"/>
            <w:noWrap/>
            <w:vAlign w:val="bottom"/>
            <w:hideMark/>
          </w:tcPr>
          <w:p w14:paraId="1C428FF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2021</w:t>
            </w:r>
          </w:p>
        </w:tc>
        <w:tc>
          <w:tcPr>
            <w:tcW w:w="2925" w:type="dxa"/>
            <w:tcBorders>
              <w:top w:val="nil"/>
              <w:left w:val="nil"/>
              <w:bottom w:val="nil"/>
              <w:right w:val="nil"/>
            </w:tcBorders>
            <w:shd w:val="clear" w:color="auto" w:fill="auto"/>
            <w:noWrap/>
            <w:vAlign w:val="bottom"/>
            <w:hideMark/>
          </w:tcPr>
          <w:p w14:paraId="409A286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1054</w:t>
            </w:r>
          </w:p>
        </w:tc>
        <w:tc>
          <w:tcPr>
            <w:tcW w:w="2776" w:type="dxa"/>
            <w:tcBorders>
              <w:top w:val="nil"/>
              <w:left w:val="nil"/>
              <w:bottom w:val="nil"/>
              <w:right w:val="nil"/>
            </w:tcBorders>
            <w:shd w:val="clear" w:color="auto" w:fill="auto"/>
            <w:vAlign w:val="center"/>
            <w:hideMark/>
          </w:tcPr>
          <w:p w14:paraId="750C2B2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303023</w:t>
            </w:r>
          </w:p>
        </w:tc>
        <w:tc>
          <w:tcPr>
            <w:tcW w:w="1387" w:type="dxa"/>
            <w:tcBorders>
              <w:top w:val="nil"/>
              <w:left w:val="nil"/>
              <w:bottom w:val="nil"/>
              <w:right w:val="nil"/>
            </w:tcBorders>
            <w:shd w:val="clear" w:color="auto" w:fill="auto"/>
            <w:noWrap/>
            <w:vAlign w:val="bottom"/>
            <w:hideMark/>
          </w:tcPr>
          <w:p w14:paraId="6EDFE15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304077</w:t>
            </w:r>
          </w:p>
        </w:tc>
      </w:tr>
    </w:tbl>
    <w:p w14:paraId="246F304E" w14:textId="77777777" w:rsidR="002E757C" w:rsidRPr="002E757C" w:rsidRDefault="002E757C" w:rsidP="002E757C">
      <w:pPr>
        <w:spacing w:line="360" w:lineRule="auto"/>
        <w:jc w:val="both"/>
        <w:rPr>
          <w:rFonts w:ascii="Arial" w:hAnsi="Arial" w:cs="Arial"/>
          <w:color w:val="000000" w:themeColor="text1"/>
        </w:rPr>
      </w:pPr>
    </w:p>
    <w:p w14:paraId="589CDC47" w14:textId="77777777" w:rsidR="002E757C" w:rsidRPr="002E757C" w:rsidRDefault="002E757C" w:rsidP="002E757C">
      <w:pPr>
        <w:jc w:val="both"/>
        <w:rPr>
          <w:rFonts w:ascii="Arial" w:hAnsi="Arial" w:cs="Arial"/>
          <w:sz w:val="18"/>
          <w:szCs w:val="18"/>
        </w:rPr>
      </w:pPr>
      <w:r w:rsidRPr="002E757C">
        <w:rPr>
          <w:rFonts w:ascii="Arial" w:hAnsi="Arial" w:cs="Arial"/>
          <w:noProof/>
        </w:rPr>
        <w:drawing>
          <wp:inline distT="0" distB="0" distL="0" distR="0" wp14:anchorId="38B6C5CF" wp14:editId="56CF6FAA">
            <wp:extent cx="5348177" cy="2498651"/>
            <wp:effectExtent l="0" t="0" r="11430" b="16510"/>
            <wp:docPr id="3" name="Chart 3">
              <a:extLst xmlns:a="http://schemas.openxmlformats.org/drawingml/2006/main">
                <a:ext uri="{FF2B5EF4-FFF2-40B4-BE49-F238E27FC236}">
                  <a16:creationId xmlns:a16="http://schemas.microsoft.com/office/drawing/2014/main" id="{9334D951-FF6F-4944-8454-B4E1F97BED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4BB75A0"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Figure 2: Increasing number of tourist arrival in Leh district.</w:t>
      </w:r>
    </w:p>
    <w:p w14:paraId="769C28D4" w14:textId="77777777" w:rsidR="002E757C" w:rsidRPr="002E757C" w:rsidRDefault="002E757C" w:rsidP="002E757C">
      <w:pPr>
        <w:jc w:val="both"/>
        <w:rPr>
          <w:rFonts w:ascii="Arial" w:hAnsi="Arial" w:cs="Arial"/>
          <w:b/>
          <w:bCs/>
        </w:rPr>
      </w:pPr>
      <w:r w:rsidRPr="002E757C">
        <w:rPr>
          <w:rFonts w:ascii="Arial" w:hAnsi="Arial" w:cs="Arial"/>
          <w:b/>
          <w:bCs/>
          <w:color w:val="000000" w:themeColor="text1"/>
        </w:rPr>
        <w:t xml:space="preserve">Source: </w:t>
      </w:r>
      <w:r w:rsidRPr="002E757C">
        <w:rPr>
          <w:rFonts w:ascii="Arial" w:hAnsi="Arial" w:cs="Arial"/>
          <w:b/>
          <w:bCs/>
        </w:rPr>
        <w:t>Tourism Department Leh District, Field Work 2023-24</w:t>
      </w:r>
    </w:p>
    <w:p w14:paraId="5FD74593" w14:textId="77777777" w:rsidR="002E757C" w:rsidRPr="002E757C" w:rsidRDefault="002E757C" w:rsidP="002E757C">
      <w:pPr>
        <w:jc w:val="both"/>
        <w:rPr>
          <w:rFonts w:ascii="Arial" w:hAnsi="Arial" w:cs="Arial"/>
          <w:b/>
          <w:bCs/>
        </w:rPr>
      </w:pPr>
    </w:p>
    <w:p w14:paraId="6094FC48" w14:textId="77777777" w:rsidR="002E757C" w:rsidRPr="002E757C" w:rsidRDefault="002E757C" w:rsidP="002E757C">
      <w:pPr>
        <w:spacing w:line="360" w:lineRule="auto"/>
        <w:ind w:firstLine="720"/>
        <w:jc w:val="both"/>
        <w:rPr>
          <w:rFonts w:ascii="Arial" w:hAnsi="Arial" w:cs="Arial"/>
        </w:rPr>
      </w:pPr>
    </w:p>
    <w:p w14:paraId="4E9F34DD"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rPr>
        <w:t xml:space="preserve">With the growing number of tourists, the local community in Ladakh has made several adjustments to its landscape and environment to meet the demands of visitors. However, these changes are having negative impacts on the region’s </w:t>
      </w:r>
      <w:r w:rsidRPr="002E757C">
        <w:rPr>
          <w:rFonts w:ascii="Arial" w:hAnsi="Arial" w:cs="Arial"/>
        </w:rPr>
        <w:lastRenderedPageBreak/>
        <w:t>environment. The continuous rise in tourist arrivals is raising concerns about whether the region can sustain and manage such high numbers. Table 2 illustrates the number of accommodations and agencies that have been established between 2010 and 2019. In 2011, there were 149 hotels, 386 guesthouses, and 352 travel agencies and guides in Ladakh. By 2019, these numbers had significantly increased, with 291 hotels, 663 guesthouses, 218 homestays, and 738 travel agencies (Dolma &amp; Kumar, 2022).</w:t>
      </w:r>
    </w:p>
    <w:p w14:paraId="4CBBF2E7" w14:textId="77777777" w:rsidR="002E757C" w:rsidRPr="002E757C" w:rsidRDefault="002E757C" w:rsidP="002E757C">
      <w:pPr>
        <w:spacing w:line="360" w:lineRule="auto"/>
        <w:ind w:firstLine="720"/>
        <w:jc w:val="both"/>
        <w:rPr>
          <w:rFonts w:ascii="Arial" w:hAnsi="Arial" w:cs="Arial"/>
        </w:rPr>
      </w:pPr>
    </w:p>
    <w:p w14:paraId="616261FB"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rPr>
        <w:t>The rise in both tourist inflows and infrastructure development related to tourism clearly indicates economic growth in the region, particularly in terms of income generation and employment opportunities. This large-scale infrastructure expansion also demonstrates how tourism has contributed to the overall development of the host community. This increase in hotels and guesthouses indicates significant construction activity to accommodate tourists, which often involves converting agricultural land into built-up areas for lodging purposes (Clouse, 2020).</w:t>
      </w:r>
    </w:p>
    <w:p w14:paraId="4E43A4FF" w14:textId="77777777" w:rsidR="002E757C" w:rsidRPr="002E757C" w:rsidRDefault="002E757C" w:rsidP="00373A84">
      <w:pPr>
        <w:spacing w:line="360" w:lineRule="auto"/>
        <w:jc w:val="both"/>
        <w:rPr>
          <w:rFonts w:ascii="Arial" w:hAnsi="Arial" w:cs="Arial"/>
        </w:rPr>
      </w:pPr>
    </w:p>
    <w:p w14:paraId="141DB244" w14:textId="77777777" w:rsidR="002E757C" w:rsidRPr="002E757C" w:rsidRDefault="002E757C" w:rsidP="002E757C">
      <w:pPr>
        <w:spacing w:line="360" w:lineRule="auto"/>
        <w:jc w:val="both"/>
        <w:rPr>
          <w:rFonts w:ascii="Arial" w:hAnsi="Arial" w:cs="Arial"/>
          <w:b/>
          <w:bCs/>
          <w:color w:val="000000"/>
        </w:rPr>
      </w:pPr>
    </w:p>
    <w:p w14:paraId="524C9632" w14:textId="77777777" w:rsidR="002E757C" w:rsidRPr="002E757C" w:rsidRDefault="002E757C" w:rsidP="002E757C">
      <w:pPr>
        <w:spacing w:line="360" w:lineRule="auto"/>
        <w:jc w:val="both"/>
        <w:rPr>
          <w:rFonts w:ascii="Arial" w:hAnsi="Arial" w:cs="Arial"/>
          <w:b/>
          <w:bCs/>
          <w:color w:val="000000"/>
        </w:rPr>
      </w:pPr>
      <w:r w:rsidRPr="002E757C">
        <w:rPr>
          <w:rFonts w:ascii="Arial" w:hAnsi="Arial" w:cs="Arial"/>
          <w:b/>
          <w:bCs/>
          <w:color w:val="000000"/>
        </w:rPr>
        <w:t>Table 2: Tourist Accommodation in Leh District</w:t>
      </w:r>
    </w:p>
    <w:tbl>
      <w:tblPr>
        <w:tblStyle w:val="PlainTable5"/>
        <w:tblW w:w="8926" w:type="dxa"/>
        <w:tblLook w:val="04A0" w:firstRow="1" w:lastRow="0" w:firstColumn="1" w:lastColumn="0" w:noHBand="0" w:noVBand="1"/>
      </w:tblPr>
      <w:tblGrid>
        <w:gridCol w:w="1426"/>
        <w:gridCol w:w="1860"/>
        <w:gridCol w:w="2289"/>
        <w:gridCol w:w="1573"/>
        <w:gridCol w:w="1778"/>
      </w:tblGrid>
      <w:tr w:rsidR="002E757C" w:rsidRPr="002E757C" w14:paraId="606A5B01" w14:textId="77777777" w:rsidTr="00C763EF">
        <w:trPr>
          <w:cnfStyle w:val="100000000000" w:firstRow="1" w:lastRow="0" w:firstColumn="0" w:lastColumn="0" w:oddVBand="0" w:evenVBand="0" w:oddHBand="0" w:evenHBand="0" w:firstRowFirstColumn="0" w:firstRowLastColumn="0" w:lastRowFirstColumn="0" w:lastRowLastColumn="0"/>
          <w:trHeight w:val="570"/>
        </w:trPr>
        <w:tc>
          <w:tcPr>
            <w:cnfStyle w:val="001000000100" w:firstRow="0" w:lastRow="0" w:firstColumn="1" w:lastColumn="0" w:oddVBand="0" w:evenVBand="0" w:oddHBand="0" w:evenHBand="0" w:firstRowFirstColumn="1" w:firstRowLastColumn="0" w:lastRowFirstColumn="0" w:lastRowLastColumn="0"/>
            <w:tcW w:w="1426" w:type="dxa"/>
          </w:tcPr>
          <w:p w14:paraId="5F2ADE8B"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Year</w:t>
            </w:r>
          </w:p>
        </w:tc>
        <w:tc>
          <w:tcPr>
            <w:tcW w:w="1860" w:type="dxa"/>
          </w:tcPr>
          <w:p w14:paraId="0AA8674C" w14:textId="77777777" w:rsidR="002E757C" w:rsidRPr="002E757C" w:rsidRDefault="002E757C" w:rsidP="002E757C">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No of Hotels</w:t>
            </w:r>
          </w:p>
        </w:tc>
        <w:tc>
          <w:tcPr>
            <w:tcW w:w="2289" w:type="dxa"/>
          </w:tcPr>
          <w:p w14:paraId="798F7831" w14:textId="77777777" w:rsidR="002E757C" w:rsidRPr="002E757C" w:rsidRDefault="002E757C" w:rsidP="002E757C">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No of Guest Houses</w:t>
            </w:r>
          </w:p>
        </w:tc>
        <w:tc>
          <w:tcPr>
            <w:tcW w:w="1573" w:type="dxa"/>
          </w:tcPr>
          <w:p w14:paraId="1002E8BD" w14:textId="77777777" w:rsidR="002E757C" w:rsidRPr="002E757C" w:rsidRDefault="002E757C" w:rsidP="002E757C">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No of Homestays</w:t>
            </w:r>
          </w:p>
        </w:tc>
        <w:tc>
          <w:tcPr>
            <w:tcW w:w="1778" w:type="dxa"/>
          </w:tcPr>
          <w:p w14:paraId="5AA754BA" w14:textId="77777777" w:rsidR="002E757C" w:rsidRPr="002E757C" w:rsidRDefault="002E757C" w:rsidP="002E757C">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No of Travel Agencies</w:t>
            </w:r>
          </w:p>
        </w:tc>
      </w:tr>
      <w:tr w:rsidR="002E757C" w:rsidRPr="002E757C" w14:paraId="52F03E66" w14:textId="77777777" w:rsidTr="00C763E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26" w:type="dxa"/>
          </w:tcPr>
          <w:p w14:paraId="6B3223BB"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2011</w:t>
            </w:r>
          </w:p>
        </w:tc>
        <w:tc>
          <w:tcPr>
            <w:tcW w:w="1860" w:type="dxa"/>
          </w:tcPr>
          <w:p w14:paraId="7D91AC20"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149</w:t>
            </w:r>
          </w:p>
        </w:tc>
        <w:tc>
          <w:tcPr>
            <w:tcW w:w="2289" w:type="dxa"/>
          </w:tcPr>
          <w:p w14:paraId="588536BE"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386</w:t>
            </w:r>
          </w:p>
        </w:tc>
        <w:tc>
          <w:tcPr>
            <w:tcW w:w="1573" w:type="dxa"/>
          </w:tcPr>
          <w:p w14:paraId="0991FF41"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40FA0720"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352</w:t>
            </w:r>
          </w:p>
        </w:tc>
      </w:tr>
      <w:tr w:rsidR="002E757C" w:rsidRPr="002E757C" w14:paraId="5B8F1098" w14:textId="77777777" w:rsidTr="00C763EF">
        <w:trPr>
          <w:trHeight w:val="291"/>
        </w:trPr>
        <w:tc>
          <w:tcPr>
            <w:cnfStyle w:val="001000000000" w:firstRow="0" w:lastRow="0" w:firstColumn="1" w:lastColumn="0" w:oddVBand="0" w:evenVBand="0" w:oddHBand="0" w:evenHBand="0" w:firstRowFirstColumn="0" w:firstRowLastColumn="0" w:lastRowFirstColumn="0" w:lastRowLastColumn="0"/>
            <w:tcW w:w="1426" w:type="dxa"/>
          </w:tcPr>
          <w:p w14:paraId="6596BED9"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2012</w:t>
            </w:r>
          </w:p>
        </w:tc>
        <w:tc>
          <w:tcPr>
            <w:tcW w:w="1860" w:type="dxa"/>
          </w:tcPr>
          <w:p w14:paraId="632464F8"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153</w:t>
            </w:r>
          </w:p>
        </w:tc>
        <w:tc>
          <w:tcPr>
            <w:tcW w:w="2289" w:type="dxa"/>
          </w:tcPr>
          <w:p w14:paraId="06426BA5"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337</w:t>
            </w:r>
          </w:p>
        </w:tc>
        <w:tc>
          <w:tcPr>
            <w:tcW w:w="1573" w:type="dxa"/>
          </w:tcPr>
          <w:p w14:paraId="3D283B7C"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4B7ED3C5"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303</w:t>
            </w:r>
          </w:p>
        </w:tc>
      </w:tr>
      <w:tr w:rsidR="002E757C" w:rsidRPr="002E757C" w14:paraId="690D3D68" w14:textId="77777777" w:rsidTr="00C763E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26" w:type="dxa"/>
          </w:tcPr>
          <w:p w14:paraId="1A7C83DE"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2013</w:t>
            </w:r>
          </w:p>
        </w:tc>
        <w:tc>
          <w:tcPr>
            <w:tcW w:w="1860" w:type="dxa"/>
          </w:tcPr>
          <w:p w14:paraId="35DB9DA9"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175</w:t>
            </w:r>
          </w:p>
        </w:tc>
        <w:tc>
          <w:tcPr>
            <w:tcW w:w="2289" w:type="dxa"/>
          </w:tcPr>
          <w:p w14:paraId="453C3735"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420</w:t>
            </w:r>
          </w:p>
        </w:tc>
        <w:tc>
          <w:tcPr>
            <w:tcW w:w="1573" w:type="dxa"/>
          </w:tcPr>
          <w:p w14:paraId="321ECBCA"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627CCE8F"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379</w:t>
            </w:r>
          </w:p>
        </w:tc>
      </w:tr>
      <w:tr w:rsidR="002E757C" w:rsidRPr="002E757C" w14:paraId="4902A5EF" w14:textId="77777777" w:rsidTr="00C763EF">
        <w:trPr>
          <w:trHeight w:val="291"/>
        </w:trPr>
        <w:tc>
          <w:tcPr>
            <w:cnfStyle w:val="001000000000" w:firstRow="0" w:lastRow="0" w:firstColumn="1" w:lastColumn="0" w:oddVBand="0" w:evenVBand="0" w:oddHBand="0" w:evenHBand="0" w:firstRowFirstColumn="0" w:firstRowLastColumn="0" w:lastRowFirstColumn="0" w:lastRowLastColumn="0"/>
            <w:tcW w:w="1426" w:type="dxa"/>
          </w:tcPr>
          <w:p w14:paraId="3BF9A97B"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2014</w:t>
            </w:r>
          </w:p>
        </w:tc>
        <w:tc>
          <w:tcPr>
            <w:tcW w:w="1860" w:type="dxa"/>
          </w:tcPr>
          <w:p w14:paraId="73E7A055"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190</w:t>
            </w:r>
          </w:p>
        </w:tc>
        <w:tc>
          <w:tcPr>
            <w:tcW w:w="2289" w:type="dxa"/>
          </w:tcPr>
          <w:p w14:paraId="17FED61E"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397</w:t>
            </w:r>
          </w:p>
        </w:tc>
        <w:tc>
          <w:tcPr>
            <w:tcW w:w="1573" w:type="dxa"/>
          </w:tcPr>
          <w:p w14:paraId="2668EC7B"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2244EB46"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426</w:t>
            </w:r>
          </w:p>
        </w:tc>
      </w:tr>
      <w:tr w:rsidR="002E757C" w:rsidRPr="002E757C" w14:paraId="5F5C4350" w14:textId="77777777" w:rsidTr="00C763E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26" w:type="dxa"/>
          </w:tcPr>
          <w:p w14:paraId="05A4A2EF"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2015</w:t>
            </w:r>
          </w:p>
        </w:tc>
        <w:tc>
          <w:tcPr>
            <w:tcW w:w="1860" w:type="dxa"/>
          </w:tcPr>
          <w:p w14:paraId="180B6DE3"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213</w:t>
            </w:r>
          </w:p>
        </w:tc>
        <w:tc>
          <w:tcPr>
            <w:tcW w:w="2289" w:type="dxa"/>
          </w:tcPr>
          <w:p w14:paraId="098366C0"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433</w:t>
            </w:r>
          </w:p>
        </w:tc>
        <w:tc>
          <w:tcPr>
            <w:tcW w:w="1573" w:type="dxa"/>
          </w:tcPr>
          <w:p w14:paraId="11097998"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338A6548"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468</w:t>
            </w:r>
          </w:p>
        </w:tc>
      </w:tr>
      <w:tr w:rsidR="002E757C" w:rsidRPr="002E757C" w14:paraId="698CB0E6" w14:textId="77777777" w:rsidTr="00C763EF">
        <w:trPr>
          <w:trHeight w:val="279"/>
        </w:trPr>
        <w:tc>
          <w:tcPr>
            <w:cnfStyle w:val="001000000000" w:firstRow="0" w:lastRow="0" w:firstColumn="1" w:lastColumn="0" w:oddVBand="0" w:evenVBand="0" w:oddHBand="0" w:evenHBand="0" w:firstRowFirstColumn="0" w:firstRowLastColumn="0" w:lastRowFirstColumn="0" w:lastRowLastColumn="0"/>
            <w:tcW w:w="1426" w:type="dxa"/>
          </w:tcPr>
          <w:p w14:paraId="718F2AD4"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2016</w:t>
            </w:r>
          </w:p>
        </w:tc>
        <w:tc>
          <w:tcPr>
            <w:tcW w:w="1860" w:type="dxa"/>
          </w:tcPr>
          <w:p w14:paraId="1C6AEDE5"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213</w:t>
            </w:r>
          </w:p>
        </w:tc>
        <w:tc>
          <w:tcPr>
            <w:tcW w:w="2289" w:type="dxa"/>
          </w:tcPr>
          <w:p w14:paraId="4D352CCD"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433</w:t>
            </w:r>
          </w:p>
        </w:tc>
        <w:tc>
          <w:tcPr>
            <w:tcW w:w="1573" w:type="dxa"/>
          </w:tcPr>
          <w:p w14:paraId="0C04A0AC"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2894A50D"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468</w:t>
            </w:r>
          </w:p>
        </w:tc>
      </w:tr>
      <w:tr w:rsidR="002E757C" w:rsidRPr="002E757C" w14:paraId="4FB3B134" w14:textId="77777777" w:rsidTr="00C763EF">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6" w:type="dxa"/>
          </w:tcPr>
          <w:p w14:paraId="556B44D7"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2017</w:t>
            </w:r>
          </w:p>
        </w:tc>
        <w:tc>
          <w:tcPr>
            <w:tcW w:w="1860" w:type="dxa"/>
          </w:tcPr>
          <w:p w14:paraId="0F3CCB6B"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234</w:t>
            </w:r>
          </w:p>
        </w:tc>
        <w:tc>
          <w:tcPr>
            <w:tcW w:w="2289" w:type="dxa"/>
          </w:tcPr>
          <w:p w14:paraId="2A547D26"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467</w:t>
            </w:r>
          </w:p>
        </w:tc>
        <w:tc>
          <w:tcPr>
            <w:tcW w:w="1573" w:type="dxa"/>
          </w:tcPr>
          <w:p w14:paraId="0651D3E7"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0C3B0822"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527</w:t>
            </w:r>
          </w:p>
        </w:tc>
      </w:tr>
      <w:tr w:rsidR="002E757C" w:rsidRPr="002E757C" w14:paraId="7FC9928A" w14:textId="77777777" w:rsidTr="00C763EF">
        <w:trPr>
          <w:trHeight w:val="279"/>
        </w:trPr>
        <w:tc>
          <w:tcPr>
            <w:cnfStyle w:val="001000000000" w:firstRow="0" w:lastRow="0" w:firstColumn="1" w:lastColumn="0" w:oddVBand="0" w:evenVBand="0" w:oddHBand="0" w:evenHBand="0" w:firstRowFirstColumn="0" w:firstRowLastColumn="0" w:lastRowFirstColumn="0" w:lastRowLastColumn="0"/>
            <w:tcW w:w="1426" w:type="dxa"/>
          </w:tcPr>
          <w:p w14:paraId="3BA20237"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2018</w:t>
            </w:r>
          </w:p>
        </w:tc>
        <w:tc>
          <w:tcPr>
            <w:tcW w:w="1860" w:type="dxa"/>
          </w:tcPr>
          <w:p w14:paraId="513BC827"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274</w:t>
            </w:r>
          </w:p>
        </w:tc>
        <w:tc>
          <w:tcPr>
            <w:tcW w:w="2289" w:type="dxa"/>
          </w:tcPr>
          <w:p w14:paraId="7D7A67A4"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602</w:t>
            </w:r>
          </w:p>
        </w:tc>
        <w:tc>
          <w:tcPr>
            <w:tcW w:w="1573" w:type="dxa"/>
          </w:tcPr>
          <w:p w14:paraId="5BE6F8DC"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w:t>
            </w:r>
          </w:p>
        </w:tc>
        <w:tc>
          <w:tcPr>
            <w:tcW w:w="1778" w:type="dxa"/>
          </w:tcPr>
          <w:p w14:paraId="46E5FA8B" w14:textId="77777777" w:rsidR="002E757C" w:rsidRPr="002E757C" w:rsidRDefault="002E757C" w:rsidP="002E757C">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757C">
              <w:rPr>
                <w:rFonts w:ascii="Arial" w:hAnsi="Arial" w:cs="Arial"/>
                <w:sz w:val="22"/>
                <w:szCs w:val="22"/>
              </w:rPr>
              <w:t>636</w:t>
            </w:r>
          </w:p>
        </w:tc>
      </w:tr>
      <w:tr w:rsidR="002E757C" w:rsidRPr="002E757C" w14:paraId="7213FDBF" w14:textId="77777777" w:rsidTr="00C763EF">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6" w:type="dxa"/>
          </w:tcPr>
          <w:p w14:paraId="7307B57C" w14:textId="77777777" w:rsidR="002E757C" w:rsidRPr="002E757C" w:rsidRDefault="002E757C" w:rsidP="002E757C">
            <w:pPr>
              <w:spacing w:before="100" w:beforeAutospacing="1" w:after="100" w:afterAutospacing="1" w:line="360" w:lineRule="auto"/>
              <w:jc w:val="both"/>
              <w:rPr>
                <w:rFonts w:ascii="Arial" w:hAnsi="Arial" w:cs="Arial"/>
                <w:sz w:val="22"/>
                <w:szCs w:val="22"/>
              </w:rPr>
            </w:pPr>
            <w:r w:rsidRPr="002E757C">
              <w:rPr>
                <w:rFonts w:ascii="Arial" w:hAnsi="Arial" w:cs="Arial"/>
                <w:sz w:val="22"/>
                <w:szCs w:val="22"/>
              </w:rPr>
              <w:t>2019</w:t>
            </w:r>
          </w:p>
        </w:tc>
        <w:tc>
          <w:tcPr>
            <w:tcW w:w="1860" w:type="dxa"/>
          </w:tcPr>
          <w:p w14:paraId="09CA51E8"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291</w:t>
            </w:r>
          </w:p>
        </w:tc>
        <w:tc>
          <w:tcPr>
            <w:tcW w:w="2289" w:type="dxa"/>
          </w:tcPr>
          <w:p w14:paraId="31B4EE80"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663</w:t>
            </w:r>
          </w:p>
        </w:tc>
        <w:tc>
          <w:tcPr>
            <w:tcW w:w="1573" w:type="dxa"/>
          </w:tcPr>
          <w:p w14:paraId="052E6757"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218</w:t>
            </w:r>
          </w:p>
        </w:tc>
        <w:tc>
          <w:tcPr>
            <w:tcW w:w="1778" w:type="dxa"/>
          </w:tcPr>
          <w:p w14:paraId="603F28FB" w14:textId="77777777" w:rsidR="002E757C" w:rsidRPr="002E757C" w:rsidRDefault="002E757C" w:rsidP="002E757C">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757C">
              <w:rPr>
                <w:rFonts w:ascii="Arial" w:hAnsi="Arial" w:cs="Arial"/>
                <w:sz w:val="22"/>
                <w:szCs w:val="22"/>
              </w:rPr>
              <w:t>738</w:t>
            </w:r>
          </w:p>
        </w:tc>
      </w:tr>
    </w:tbl>
    <w:p w14:paraId="03FA7D0E" w14:textId="77777777" w:rsidR="002E757C" w:rsidRPr="002E757C" w:rsidRDefault="002E757C" w:rsidP="002E757C">
      <w:pPr>
        <w:spacing w:line="360" w:lineRule="auto"/>
        <w:jc w:val="both"/>
        <w:rPr>
          <w:rFonts w:ascii="Arial" w:hAnsi="Arial" w:cs="Arial"/>
          <w:color w:val="000000" w:themeColor="text1"/>
        </w:rPr>
      </w:pPr>
    </w:p>
    <w:p w14:paraId="3B9C2E85" w14:textId="77777777" w:rsidR="002E757C" w:rsidRPr="002E757C" w:rsidRDefault="002E757C" w:rsidP="002E757C">
      <w:pPr>
        <w:spacing w:line="360" w:lineRule="auto"/>
        <w:jc w:val="both"/>
        <w:rPr>
          <w:rFonts w:ascii="Arial" w:hAnsi="Arial" w:cs="Arial"/>
          <w:color w:val="000000" w:themeColor="text1"/>
        </w:rPr>
      </w:pPr>
      <w:r w:rsidRPr="002E757C">
        <w:rPr>
          <w:rFonts w:ascii="Arial" w:hAnsi="Arial" w:cs="Arial"/>
          <w:noProof/>
        </w:rPr>
        <w:drawing>
          <wp:inline distT="0" distB="0" distL="0" distR="0" wp14:anchorId="6EFBA1F3" wp14:editId="4680D546">
            <wp:extent cx="5656521" cy="2626242"/>
            <wp:effectExtent l="0" t="0" r="8255" b="15875"/>
            <wp:docPr id="9" name="Chart 9">
              <a:extLst xmlns:a="http://schemas.openxmlformats.org/drawingml/2006/main">
                <a:ext uri="{FF2B5EF4-FFF2-40B4-BE49-F238E27FC236}">
                  <a16:creationId xmlns:a16="http://schemas.microsoft.com/office/drawing/2014/main" id="{86104531-4027-DF4E-8E4C-EA334C08F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1B17323"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Figure 3: Accommodation in Leh District</w:t>
      </w:r>
    </w:p>
    <w:p w14:paraId="3F9B0937"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 xml:space="preserve">Source: Tourism Department Leh, </w:t>
      </w:r>
      <w:r w:rsidRPr="002E757C">
        <w:rPr>
          <w:rFonts w:ascii="Arial" w:hAnsi="Arial" w:cs="Arial"/>
          <w:b/>
          <w:bCs/>
        </w:rPr>
        <w:t>Field Work 2023-24</w:t>
      </w:r>
    </w:p>
    <w:p w14:paraId="39BD546E" w14:textId="77777777" w:rsidR="002E757C" w:rsidRPr="002E757C" w:rsidRDefault="002E757C" w:rsidP="002E757C">
      <w:pPr>
        <w:spacing w:line="360" w:lineRule="auto"/>
        <w:jc w:val="both"/>
        <w:rPr>
          <w:rFonts w:ascii="Arial" w:hAnsi="Arial" w:cs="Arial"/>
          <w:color w:val="000000" w:themeColor="text1"/>
        </w:rPr>
      </w:pPr>
    </w:p>
    <w:p w14:paraId="2F5CC472" w14:textId="76078052" w:rsidR="002E757C" w:rsidRDefault="002E757C" w:rsidP="002E757C">
      <w:pPr>
        <w:spacing w:line="360" w:lineRule="auto"/>
        <w:ind w:firstLine="720"/>
        <w:jc w:val="both"/>
        <w:rPr>
          <w:rFonts w:ascii="Arial" w:hAnsi="Arial" w:cs="Arial"/>
        </w:rPr>
      </w:pPr>
      <w:r w:rsidRPr="002E757C">
        <w:rPr>
          <w:rFonts w:ascii="Arial" w:hAnsi="Arial" w:cs="Arial"/>
          <w:color w:val="000000"/>
        </w:rPr>
        <w:t xml:space="preserve">Generation of Waste is one of the major challenges that the increasing number of </w:t>
      </w:r>
      <w:proofErr w:type="spellStart"/>
      <w:r w:rsidR="00F412DF" w:rsidRPr="002E757C">
        <w:rPr>
          <w:rFonts w:ascii="Arial" w:hAnsi="Arial" w:cs="Arial"/>
          <w:color w:val="000000"/>
        </w:rPr>
        <w:t>tourisms</w:t>
      </w:r>
      <w:proofErr w:type="spellEnd"/>
      <w:r w:rsidRPr="002E757C">
        <w:rPr>
          <w:rFonts w:ascii="Arial" w:hAnsi="Arial" w:cs="Arial"/>
          <w:color w:val="000000"/>
        </w:rPr>
        <w:t xml:space="preserve"> is leading. </w:t>
      </w:r>
      <w:r w:rsidRPr="002E757C">
        <w:rPr>
          <w:rFonts w:ascii="Arial" w:hAnsi="Arial" w:cs="Arial"/>
        </w:rPr>
        <w:t>The haphazard and improper management of waste highly contributes in environmental degradation while polluting the water, soil and air. The waste generated in Leh region has become a menace to the serene environment of Ladakh (G.B. Pant National Institute of Himalayan Environment, 2023). The waste generated are classified as Municipal Waste, Agricultural Waste, Construction and Demolition Waste, Industrial and Commercial Waste and Healthcare Waste.</w:t>
      </w:r>
      <w:r w:rsidRPr="002E757C">
        <w:rPr>
          <w:rFonts w:ascii="Arial" w:hAnsi="Arial" w:cs="Arial"/>
          <w:color w:val="000000"/>
        </w:rPr>
        <w:t xml:space="preserve"> </w:t>
      </w:r>
      <w:r w:rsidRPr="002E757C">
        <w:rPr>
          <w:rFonts w:ascii="Arial" w:hAnsi="Arial" w:cs="Arial"/>
        </w:rPr>
        <w:t>According to UNICEF waste is classified into biodegradable and non-biodegradable waste.</w:t>
      </w:r>
    </w:p>
    <w:p w14:paraId="69FC0874" w14:textId="77777777" w:rsidR="00F412DF" w:rsidRPr="002E757C" w:rsidRDefault="00F412DF" w:rsidP="002E757C">
      <w:pPr>
        <w:spacing w:line="360" w:lineRule="auto"/>
        <w:ind w:firstLine="720"/>
        <w:jc w:val="both"/>
        <w:rPr>
          <w:rFonts w:ascii="Arial" w:hAnsi="Arial" w:cs="Arial"/>
        </w:rPr>
      </w:pPr>
    </w:p>
    <w:p w14:paraId="14E92401"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rPr>
        <w:t xml:space="preserve">Biodegradable wastes are those which are completely decomposed by biological process either in presence or absence of air </w:t>
      </w:r>
      <w:proofErr w:type="spellStart"/>
      <w:r w:rsidRPr="002E757C">
        <w:rPr>
          <w:rFonts w:ascii="Arial" w:hAnsi="Arial" w:cs="Arial"/>
        </w:rPr>
        <w:t>eg.</w:t>
      </w:r>
      <w:proofErr w:type="spellEnd"/>
      <w:r w:rsidRPr="002E757C">
        <w:rPr>
          <w:rFonts w:ascii="Arial" w:hAnsi="Arial" w:cs="Arial"/>
        </w:rPr>
        <w:t xml:space="preserve">, food waste, animal dung, agricultural waste etc.  Non-biodegradable wastes are those waste which cannot be decomposed or degraded by natural agents. Non-biodegradable substance such as plastics, metallic cans and pesticides cannot be broken down easily by biological processes and such can serve as a source of pollution (UNEP, 2024). </w:t>
      </w:r>
      <w:r w:rsidRPr="002E757C">
        <w:rPr>
          <w:rFonts w:ascii="Arial" w:hAnsi="Arial" w:cs="Arial"/>
          <w:color w:val="000000"/>
          <w:shd w:val="clear" w:color="auto" w:fill="FFFFFF"/>
        </w:rPr>
        <w:t xml:space="preserve">According to the UN Environmental report every year, an estimated 11.2 billion </w:t>
      </w:r>
      <w:proofErr w:type="spellStart"/>
      <w:r w:rsidRPr="002E757C">
        <w:rPr>
          <w:rFonts w:ascii="Arial" w:hAnsi="Arial" w:cs="Arial"/>
          <w:color w:val="000000"/>
          <w:shd w:val="clear" w:color="auto" w:fill="FFFFFF"/>
        </w:rPr>
        <w:t>tonnes</w:t>
      </w:r>
      <w:proofErr w:type="spellEnd"/>
      <w:r w:rsidRPr="002E757C">
        <w:rPr>
          <w:rFonts w:ascii="Arial" w:hAnsi="Arial" w:cs="Arial"/>
          <w:color w:val="000000"/>
          <w:shd w:val="clear" w:color="auto" w:fill="FFFFFF"/>
        </w:rPr>
        <w:t xml:space="preserve"> of solid waste is collected worldwide and disposal of these wastes in huge amounts is a vast environmental problem. </w:t>
      </w:r>
    </w:p>
    <w:p w14:paraId="4F1704FE" w14:textId="77777777" w:rsidR="002E757C" w:rsidRPr="002E757C" w:rsidRDefault="002E757C" w:rsidP="002E757C">
      <w:pPr>
        <w:spacing w:line="360" w:lineRule="auto"/>
        <w:jc w:val="both"/>
        <w:rPr>
          <w:rFonts w:ascii="Arial" w:hAnsi="Arial" w:cs="Arial"/>
          <w:color w:val="000000"/>
          <w:shd w:val="clear" w:color="auto" w:fill="FFFFFF"/>
        </w:rPr>
      </w:pPr>
    </w:p>
    <w:p w14:paraId="41275AD1" w14:textId="77777777" w:rsidR="002E757C" w:rsidRPr="002E757C" w:rsidRDefault="002E757C" w:rsidP="002E757C">
      <w:pPr>
        <w:spacing w:line="360" w:lineRule="auto"/>
        <w:jc w:val="both"/>
        <w:rPr>
          <w:rFonts w:ascii="Arial" w:hAnsi="Arial" w:cs="Arial"/>
          <w:color w:val="000000" w:themeColor="text1"/>
        </w:rPr>
      </w:pPr>
      <w:r w:rsidRPr="002E757C">
        <w:rPr>
          <w:rFonts w:ascii="Arial" w:hAnsi="Arial" w:cs="Arial"/>
          <w:color w:val="000000"/>
          <w:shd w:val="clear" w:color="auto" w:fill="FFFFFF"/>
        </w:rPr>
        <w:tab/>
        <w:t>In developing countries such as India, generation of Municipal Solid Waste (MSW) is a menace. Figure 4 below illustrates the</w:t>
      </w:r>
      <w:r w:rsidRPr="002E757C">
        <w:rPr>
          <w:rFonts w:ascii="Arial" w:hAnsi="Arial" w:cs="Arial"/>
        </w:rPr>
        <w:t xml:space="preserve"> country-wide per capita waste generation, with bigger and more affluent cities adding more waste per day. It can be observed from the figure that Leh and Panaji both tourist towns, have a much higher waste generation footprint than the country’s average of 0.3–0.5 kg/day/person (Biswas, Parida, &amp; et al., 2021). </w:t>
      </w:r>
      <w:r w:rsidRPr="002E757C">
        <w:rPr>
          <w:rFonts w:ascii="Arial" w:hAnsi="Arial" w:cs="Arial"/>
          <w:color w:val="000000" w:themeColor="text1"/>
        </w:rPr>
        <w:t xml:space="preserve">The abundance increase in Municipal Solid Waste with economic growth and tourism is one of the major challenges faced in Ladakh especially in urban areas like Leh and Kargil. </w:t>
      </w:r>
    </w:p>
    <w:p w14:paraId="1DD3D5E6" w14:textId="77777777" w:rsidR="002E757C" w:rsidRPr="002E757C" w:rsidRDefault="002E757C" w:rsidP="002E757C">
      <w:pPr>
        <w:spacing w:line="360" w:lineRule="auto"/>
        <w:jc w:val="both"/>
        <w:rPr>
          <w:rFonts w:ascii="Arial" w:hAnsi="Arial" w:cs="Arial"/>
          <w:color w:val="000000"/>
          <w:shd w:val="clear" w:color="auto" w:fill="FFFFFF"/>
        </w:rPr>
      </w:pPr>
    </w:p>
    <w:p w14:paraId="62C1A774" w14:textId="77777777" w:rsidR="002E757C" w:rsidRPr="002E757C" w:rsidRDefault="002E757C" w:rsidP="002E757C">
      <w:pPr>
        <w:spacing w:line="360" w:lineRule="auto"/>
        <w:jc w:val="both"/>
        <w:rPr>
          <w:rFonts w:ascii="Arial" w:hAnsi="Arial" w:cs="Arial"/>
          <w:b/>
          <w:bCs/>
        </w:rPr>
      </w:pPr>
      <w:r w:rsidRPr="002E757C">
        <w:rPr>
          <w:rFonts w:ascii="Arial" w:hAnsi="Arial" w:cs="Arial"/>
          <w:b/>
          <w:bCs/>
          <w:noProof/>
        </w:rPr>
        <w:drawing>
          <wp:inline distT="0" distB="0" distL="0" distR="0" wp14:anchorId="5782AAC8" wp14:editId="4ADE9804">
            <wp:extent cx="6400205" cy="278573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14834" cy="2835623"/>
                    </a:xfrm>
                    <a:prstGeom prst="rect">
                      <a:avLst/>
                    </a:prstGeom>
                  </pic:spPr>
                </pic:pic>
              </a:graphicData>
            </a:graphic>
          </wp:inline>
        </w:drawing>
      </w:r>
    </w:p>
    <w:p w14:paraId="3A41F13F" w14:textId="77777777" w:rsidR="002E757C" w:rsidRPr="002E757C" w:rsidRDefault="002E757C" w:rsidP="002E757C">
      <w:pPr>
        <w:jc w:val="both"/>
        <w:rPr>
          <w:rFonts w:ascii="Arial" w:hAnsi="Arial" w:cs="Arial"/>
          <w:b/>
          <w:bCs/>
        </w:rPr>
      </w:pPr>
      <w:r w:rsidRPr="002E757C">
        <w:rPr>
          <w:rFonts w:ascii="Arial" w:hAnsi="Arial" w:cs="Arial"/>
          <w:b/>
          <w:bCs/>
        </w:rPr>
        <w:t>Figure 4: Per capita per day generation of MSW (in kg)</w:t>
      </w:r>
    </w:p>
    <w:p w14:paraId="0ED0CB24" w14:textId="77777777" w:rsidR="002E757C" w:rsidRPr="002E757C" w:rsidRDefault="002E757C" w:rsidP="002E757C">
      <w:pPr>
        <w:jc w:val="both"/>
        <w:rPr>
          <w:rFonts w:ascii="Arial" w:hAnsi="Arial" w:cs="Arial"/>
        </w:rPr>
      </w:pPr>
      <w:r w:rsidRPr="002E757C">
        <w:rPr>
          <w:rFonts w:ascii="Arial" w:hAnsi="Arial" w:cs="Arial"/>
          <w:b/>
          <w:bCs/>
        </w:rPr>
        <w:t>Source: (Biswas, Parida, &amp; et al., 2021)</w:t>
      </w:r>
    </w:p>
    <w:p w14:paraId="7B0DE1F7" w14:textId="16F51EEA" w:rsidR="002E757C" w:rsidRDefault="002E757C" w:rsidP="002E757C">
      <w:pPr>
        <w:jc w:val="both"/>
        <w:rPr>
          <w:b/>
          <w:bCs/>
        </w:rPr>
      </w:pPr>
    </w:p>
    <w:p w14:paraId="54AFBF76" w14:textId="77777777" w:rsidR="00F412DF" w:rsidRPr="003D28A1" w:rsidRDefault="00F412DF" w:rsidP="002E757C">
      <w:pPr>
        <w:jc w:val="both"/>
        <w:rPr>
          <w:b/>
          <w:bCs/>
        </w:rPr>
      </w:pPr>
    </w:p>
    <w:p w14:paraId="17C965B4" w14:textId="122895F1" w:rsidR="00F412DF" w:rsidRPr="00F412DF" w:rsidRDefault="00F412DF" w:rsidP="00F412DF">
      <w:pPr>
        <w:jc w:val="both"/>
        <w:rPr>
          <w:rFonts w:ascii="Arial" w:hAnsi="Arial" w:cs="Arial"/>
          <w:b/>
          <w:bCs/>
          <w:sz w:val="22"/>
          <w:szCs w:val="22"/>
        </w:rPr>
      </w:pPr>
      <w:r w:rsidRPr="00F412DF">
        <w:rPr>
          <w:rFonts w:ascii="Arial" w:hAnsi="Arial" w:cs="Arial"/>
          <w:b/>
          <w:bCs/>
          <w:color w:val="000000"/>
          <w:sz w:val="22"/>
          <w:szCs w:val="22"/>
          <w:shd w:val="clear" w:color="auto" w:fill="FFFFFF"/>
        </w:rPr>
        <w:t>2</w:t>
      </w:r>
      <w:r w:rsidRPr="00F412DF">
        <w:rPr>
          <w:rFonts w:ascii="Arial" w:hAnsi="Arial" w:cs="Arial"/>
          <w:color w:val="000000"/>
          <w:sz w:val="22"/>
          <w:szCs w:val="22"/>
          <w:shd w:val="clear" w:color="auto" w:fill="FFFFFF"/>
        </w:rPr>
        <w:t xml:space="preserve">. </w:t>
      </w:r>
      <w:r w:rsidRPr="00F412DF">
        <w:rPr>
          <w:rFonts w:ascii="Arial" w:hAnsi="Arial" w:cs="Arial"/>
          <w:b/>
          <w:bCs/>
          <w:sz w:val="22"/>
          <w:szCs w:val="22"/>
        </w:rPr>
        <w:t>RESEARCH OBJECTIVES</w:t>
      </w:r>
    </w:p>
    <w:p w14:paraId="3A0D06B5" w14:textId="77777777" w:rsidR="00F412DF" w:rsidRDefault="00F412DF" w:rsidP="00F412DF">
      <w:pPr>
        <w:jc w:val="both"/>
        <w:rPr>
          <w:rFonts w:ascii="Arial" w:hAnsi="Arial" w:cs="Arial"/>
          <w:b/>
          <w:bCs/>
          <w:sz w:val="22"/>
          <w:szCs w:val="22"/>
        </w:rPr>
      </w:pPr>
    </w:p>
    <w:p w14:paraId="04A870B6" w14:textId="6635F1EA" w:rsidR="00F412DF" w:rsidRPr="00F412DF" w:rsidRDefault="00F412DF" w:rsidP="00F412DF">
      <w:pPr>
        <w:spacing w:line="360" w:lineRule="auto"/>
        <w:jc w:val="both"/>
        <w:rPr>
          <w:rFonts w:ascii="Arial" w:hAnsi="Arial" w:cs="Arial"/>
        </w:rPr>
      </w:pPr>
      <w:r w:rsidRPr="00F412DF">
        <w:rPr>
          <w:rFonts w:ascii="Arial" w:hAnsi="Arial" w:cs="Arial"/>
        </w:rPr>
        <w:t xml:space="preserve">Given Leh city's significant contribution to per capita daily municipal solid waste generation, this study will focus on examining the impact of the tourism industry as a key driver of increased waste production. It will explore the relationship </w:t>
      </w:r>
      <w:r w:rsidRPr="00F412DF">
        <w:rPr>
          <w:rFonts w:ascii="Arial" w:hAnsi="Arial" w:cs="Arial"/>
        </w:rPr>
        <w:lastRenderedPageBreak/>
        <w:t>between tourism and waste generation in the region, analyzing the waste composition and quantity from various tourist accommodations over a 7-day period between April and September. Additionally, the study aims to assess the operations of the Municipal Corporation of Leh in managing municipal solid waste (MSW).</w:t>
      </w:r>
    </w:p>
    <w:p w14:paraId="1BFAA25C" w14:textId="77777777" w:rsidR="00F412DF" w:rsidRPr="00F412DF" w:rsidRDefault="00F412DF" w:rsidP="00F412DF">
      <w:pPr>
        <w:spacing w:line="360" w:lineRule="auto"/>
        <w:jc w:val="both"/>
        <w:rPr>
          <w:rFonts w:ascii="Arial" w:hAnsi="Arial" w:cs="Arial"/>
          <w:b/>
          <w:bCs/>
          <w:sz w:val="22"/>
          <w:szCs w:val="22"/>
        </w:rPr>
      </w:pPr>
    </w:p>
    <w:p w14:paraId="5EA2C248" w14:textId="244F7625" w:rsidR="002E757C" w:rsidRDefault="002E757C" w:rsidP="002E757C">
      <w:pPr>
        <w:spacing w:line="360" w:lineRule="auto"/>
        <w:jc w:val="both"/>
        <w:rPr>
          <w:color w:val="000000"/>
          <w:shd w:val="clear" w:color="auto" w:fill="FFFFFF"/>
        </w:rPr>
      </w:pPr>
    </w:p>
    <w:p w14:paraId="37BF12D8" w14:textId="4F5FFD44" w:rsidR="007F7B32" w:rsidRDefault="00F412DF" w:rsidP="00441B6F">
      <w:pPr>
        <w:pStyle w:val="AbstHead"/>
        <w:spacing w:after="0"/>
        <w:jc w:val="both"/>
        <w:rPr>
          <w:rFonts w:ascii="Arial" w:hAnsi="Arial" w:cs="Arial"/>
        </w:rPr>
      </w:pPr>
      <w:r>
        <w:rPr>
          <w:rFonts w:ascii="Arial" w:hAnsi="Arial" w:cs="Arial"/>
        </w:rPr>
        <w:t>3</w:t>
      </w:r>
      <w:r w:rsidR="00902823">
        <w:rPr>
          <w:rFonts w:ascii="Arial" w:hAnsi="Arial" w:cs="Arial"/>
        </w:rPr>
        <w:t>. material and method</w:t>
      </w:r>
      <w:r w:rsidR="00000F8F">
        <w:rPr>
          <w:rFonts w:ascii="Arial" w:hAnsi="Arial" w:cs="Arial"/>
        </w:rPr>
        <w:t xml:space="preserve">s </w:t>
      </w:r>
    </w:p>
    <w:p w14:paraId="0BA57366" w14:textId="4DEAFF7A" w:rsidR="002E757C" w:rsidRDefault="002E757C" w:rsidP="00441B6F">
      <w:pPr>
        <w:pStyle w:val="AbstHead"/>
        <w:spacing w:after="0"/>
        <w:jc w:val="both"/>
        <w:rPr>
          <w:rFonts w:ascii="Arial" w:hAnsi="Arial" w:cs="Arial"/>
        </w:rPr>
      </w:pPr>
    </w:p>
    <w:p w14:paraId="30A2140C" w14:textId="77777777" w:rsidR="002E757C" w:rsidRPr="002E757C" w:rsidRDefault="002E757C" w:rsidP="00F412DF">
      <w:pPr>
        <w:spacing w:line="360" w:lineRule="auto"/>
        <w:jc w:val="both"/>
        <w:rPr>
          <w:rFonts w:ascii="Arial" w:hAnsi="Arial" w:cs="Arial"/>
        </w:rPr>
      </w:pPr>
      <w:r w:rsidRPr="002E757C">
        <w:rPr>
          <w:rFonts w:ascii="Arial" w:hAnsi="Arial" w:cs="Arial"/>
        </w:rPr>
        <w:t>The negative effects of tourism are particularly pronounced in urban areas such as Leh and Kargil, where rapid changes and a range of challenges are increasingly visible. These impacts are often linked to the rise in tourist numbers, which can place considerable pressure on local infrastructure, services, and the environment. In light of this, Leh town has been chosen as the primary area of focus for the present study, as it serves as one of the main tourist hubs in the region.</w:t>
      </w:r>
    </w:p>
    <w:p w14:paraId="54E7D212" w14:textId="77777777" w:rsidR="002E757C" w:rsidRPr="002E757C" w:rsidRDefault="002E757C" w:rsidP="00F412DF">
      <w:pPr>
        <w:spacing w:line="360" w:lineRule="auto"/>
        <w:jc w:val="both"/>
        <w:rPr>
          <w:rFonts w:ascii="Arial" w:hAnsi="Arial" w:cs="Arial"/>
        </w:rPr>
      </w:pPr>
    </w:p>
    <w:p w14:paraId="5C72E1D7"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t>The study specifically targets the tourism sector, particularly the accommodations that cater to visitors-such as hotels and guest houses-since these are the primary establishments that both house tourists and generate significant waste due to their operations. To gain a comprehensive understanding of the effects of tourism on waste generation, a random sample of 10 tourist accommodations, including a mix of hotels and guest houses, was selected from across Leh town.</w:t>
      </w:r>
    </w:p>
    <w:p w14:paraId="3E4EE520" w14:textId="77777777" w:rsidR="002E757C" w:rsidRPr="002E757C" w:rsidRDefault="002E757C" w:rsidP="00F412DF">
      <w:pPr>
        <w:spacing w:line="360" w:lineRule="auto"/>
        <w:jc w:val="both"/>
        <w:rPr>
          <w:rFonts w:ascii="Arial" w:hAnsi="Arial" w:cs="Arial"/>
        </w:rPr>
      </w:pPr>
    </w:p>
    <w:p w14:paraId="73B8C54D"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t xml:space="preserve">To track the impact of tourism on waste production, the study involves continuous monitoring of the selected accommodations over a span of seven days in each of the five months. The seven-day monitoring period each month is designed to capture a representative snapshot of waste generation, accounting for fluctuations in the number of tourists throughout different times of the year. By gathering this data, the study aims to assess how varying tourist numbers influence the amount and types of waste produced in these accommodations, as well as to explore any seasonal patterns or changes in waste management practices that may arise as tourist arrivals increase. Through this systematic and extended period of observation, the research seeks to provide insights into the link between tourism and waste generation, helping to better understand the challenges faced by local authorities and accommodation providers in managing the environmental impact of tourism in Leh. </w:t>
      </w:r>
    </w:p>
    <w:p w14:paraId="12762285" w14:textId="77777777" w:rsidR="002E757C" w:rsidRPr="002E757C" w:rsidRDefault="002E757C" w:rsidP="00F412DF">
      <w:pPr>
        <w:spacing w:line="360" w:lineRule="auto"/>
        <w:ind w:firstLine="720"/>
        <w:jc w:val="both"/>
        <w:rPr>
          <w:rFonts w:ascii="Arial" w:hAnsi="Arial" w:cs="Arial"/>
        </w:rPr>
      </w:pPr>
    </w:p>
    <w:p w14:paraId="5917126B" w14:textId="77777777" w:rsidR="002E757C" w:rsidRPr="002E757C" w:rsidRDefault="002E757C" w:rsidP="00F412DF">
      <w:pPr>
        <w:jc w:val="both"/>
        <w:rPr>
          <w:rFonts w:ascii="Arial" w:hAnsi="Arial" w:cs="Arial"/>
        </w:rPr>
      </w:pPr>
      <w:r w:rsidRPr="002E757C">
        <w:rPr>
          <w:rFonts w:ascii="Arial" w:hAnsi="Arial" w:cs="Arial"/>
          <w:b/>
          <w:bCs/>
          <w:noProof/>
        </w:rPr>
        <w:lastRenderedPageBreak/>
        <w:drawing>
          <wp:inline distT="0" distB="0" distL="0" distR="0" wp14:anchorId="5C3E19F5" wp14:editId="5576C0AB">
            <wp:extent cx="6597645" cy="4667693"/>
            <wp:effectExtent l="0" t="0" r="0" b="0"/>
            <wp:docPr id="4" name="Picture 4">
              <a:extLst xmlns:a="http://schemas.openxmlformats.org/drawingml/2006/main">
                <a:ext uri="{FF2B5EF4-FFF2-40B4-BE49-F238E27FC236}">
                  <a16:creationId xmlns:a16="http://schemas.microsoft.com/office/drawing/2014/main" id="{45977343-C9DF-BE45-A1F5-4B92C6F40F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5977343-C9DF-BE45-A1F5-4B92C6F40F58}"/>
                        </a:ext>
                      </a:extLst>
                    </pic:cNvPr>
                    <pic:cNvPicPr>
                      <a:picLocks noChangeAspect="1"/>
                    </pic:cNvPicPr>
                  </pic:nvPicPr>
                  <pic:blipFill>
                    <a:blip r:embed="rId18"/>
                    <a:stretch>
                      <a:fillRect/>
                    </a:stretch>
                  </pic:blipFill>
                  <pic:spPr>
                    <a:xfrm>
                      <a:off x="0" y="0"/>
                      <a:ext cx="6619479" cy="4683140"/>
                    </a:xfrm>
                    <a:prstGeom prst="rect">
                      <a:avLst/>
                    </a:prstGeom>
                  </pic:spPr>
                </pic:pic>
              </a:graphicData>
            </a:graphic>
          </wp:inline>
        </w:drawing>
      </w:r>
      <w:r w:rsidRPr="002E757C">
        <w:rPr>
          <w:rFonts w:ascii="Arial" w:hAnsi="Arial" w:cs="Arial"/>
          <w:b/>
          <w:bCs/>
        </w:rPr>
        <w:t>Figure 5: Study Area Map</w:t>
      </w:r>
    </w:p>
    <w:p w14:paraId="652A855C" w14:textId="77777777" w:rsidR="002E757C" w:rsidRPr="002E757C" w:rsidRDefault="002E757C" w:rsidP="00F412DF">
      <w:pPr>
        <w:jc w:val="both"/>
        <w:rPr>
          <w:rFonts w:ascii="Arial" w:hAnsi="Arial" w:cs="Arial"/>
          <w:b/>
          <w:bCs/>
        </w:rPr>
      </w:pPr>
      <w:r w:rsidRPr="002E757C">
        <w:rPr>
          <w:rFonts w:ascii="Arial" w:hAnsi="Arial" w:cs="Arial"/>
          <w:b/>
          <w:bCs/>
        </w:rPr>
        <w:t>Source: Prepared by the Author</w:t>
      </w:r>
    </w:p>
    <w:p w14:paraId="2B4B093E" w14:textId="77777777" w:rsidR="002E757C" w:rsidRPr="002E757C" w:rsidRDefault="002E757C" w:rsidP="00F412DF">
      <w:pPr>
        <w:jc w:val="both"/>
        <w:rPr>
          <w:rFonts w:ascii="Arial" w:hAnsi="Arial" w:cs="Arial"/>
          <w:b/>
          <w:bCs/>
        </w:rPr>
      </w:pPr>
    </w:p>
    <w:p w14:paraId="78AE5BCC" w14:textId="77777777" w:rsidR="002E757C" w:rsidRPr="002E757C" w:rsidRDefault="002E757C" w:rsidP="00F412DF">
      <w:pPr>
        <w:jc w:val="both"/>
        <w:rPr>
          <w:rFonts w:ascii="Arial" w:hAnsi="Arial" w:cs="Arial"/>
          <w:b/>
          <w:bCs/>
        </w:rPr>
      </w:pPr>
    </w:p>
    <w:p w14:paraId="54049DDD" w14:textId="77777777" w:rsidR="002E757C" w:rsidRPr="002E757C" w:rsidRDefault="002E757C" w:rsidP="00F412DF">
      <w:pPr>
        <w:jc w:val="both"/>
        <w:rPr>
          <w:rFonts w:ascii="Arial" w:hAnsi="Arial" w:cs="Arial"/>
          <w:b/>
          <w:bCs/>
        </w:rPr>
      </w:pPr>
    </w:p>
    <w:p w14:paraId="502911C2"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t>To further examine the relationship between tourist arrivals and waste generation, the study adopted the Pearson Correlation Coefficient model. This statistical tool was used to assess the strength and direction of the linear relationship between the two variables tourist arrivals and the volume of waste generated. The Pearson Correlation Coefficient (denoted as "r") measures the degree to which changes in one variable are associated with changes in another, indicating whether and how strongly the two variables are related.</w:t>
      </w:r>
    </w:p>
    <w:p w14:paraId="529B1D96"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t>A positive correlation would suggest that as tourist arrivals increase, waste generation also rises, while a negative correlation would imply that an increase in tourists results in a decrease in waste production. The closer the value of "r" is to +1 or -1, the stronger the relationship, whereas values near 0 indicate a weak or no correlation.</w:t>
      </w:r>
    </w:p>
    <w:p w14:paraId="23CAE2BA" w14:textId="77777777" w:rsidR="002E757C" w:rsidRPr="002E757C" w:rsidRDefault="002E757C" w:rsidP="00F412DF">
      <w:pPr>
        <w:spacing w:line="360" w:lineRule="auto"/>
        <w:ind w:left="1440" w:firstLine="720"/>
        <w:jc w:val="both"/>
        <w:rPr>
          <w:rFonts w:ascii="Arial" w:hAnsi="Arial" w:cs="Arial"/>
        </w:rPr>
      </w:pPr>
    </w:p>
    <w:p w14:paraId="3968CE3D"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t>By applying this model, the study aims to quantify how closely linked waste generation is to the influx of tourists, providing valuable insights into how tourism activities impact the environment, particularly in terms of waste management. The Pearson Correlation Coefficient helps to measure not only the direction of this relationship (whether positive or negative) but also the extent to which one variable can be predicted based on changes in the other. This statistical approach thus serves as a key tool in understanding the dynamic between tourism growth and waste accumulation in Leh town.</w:t>
      </w:r>
    </w:p>
    <w:p w14:paraId="04BCDDBE" w14:textId="77777777" w:rsidR="002E757C" w:rsidRPr="002E757C" w:rsidRDefault="002E757C" w:rsidP="00F412DF">
      <w:pPr>
        <w:spacing w:line="360" w:lineRule="auto"/>
        <w:ind w:firstLine="720"/>
        <w:jc w:val="both"/>
        <w:rPr>
          <w:rFonts w:ascii="Arial" w:hAnsi="Arial" w:cs="Arial"/>
        </w:rPr>
      </w:pPr>
    </w:p>
    <w:p w14:paraId="5C9384DC" w14:textId="078D354F" w:rsidR="002E757C" w:rsidRPr="002E757C" w:rsidRDefault="002E757C" w:rsidP="00F412DF">
      <w:pPr>
        <w:spacing w:line="360" w:lineRule="auto"/>
        <w:ind w:left="1440" w:firstLine="720"/>
        <w:jc w:val="both"/>
        <w:rPr>
          <w:rFonts w:ascii="Arial" w:hAnsi="Arial" w:cs="Arial"/>
        </w:rPr>
      </w:pPr>
      <w:r w:rsidRPr="002E757C">
        <w:rPr>
          <w:rFonts w:ascii="Arial" w:hAnsi="Arial" w:cs="Arial"/>
        </w:rPr>
        <w:t xml:space="preserve">r = </w:t>
      </w:r>
      <w:r w:rsidRPr="002E757C">
        <w:rPr>
          <w:rFonts w:ascii="Arial" w:hAnsi="Arial" w:cs="Arial"/>
          <w:u w:val="single"/>
        </w:rPr>
        <w:t>∑ (x</w:t>
      </w:r>
      <w:r w:rsidRPr="002E757C">
        <w:rPr>
          <w:rFonts w:ascii="Arial" w:hAnsi="Arial" w:cs="Arial"/>
          <w:u w:val="single"/>
          <w:vertAlign w:val="subscript"/>
        </w:rPr>
        <w:t>i</w:t>
      </w:r>
      <w:r w:rsidRPr="002E757C">
        <w:rPr>
          <w:rFonts w:ascii="Arial" w:hAnsi="Arial" w:cs="Arial"/>
          <w:u w:val="single"/>
        </w:rPr>
        <w:t> - X̄) (</w:t>
      </w:r>
      <w:proofErr w:type="spellStart"/>
      <w:r w:rsidRPr="002E757C">
        <w:rPr>
          <w:rFonts w:ascii="Arial" w:hAnsi="Arial" w:cs="Arial"/>
          <w:u w:val="single"/>
        </w:rPr>
        <w:t>y</w:t>
      </w:r>
      <w:r w:rsidRPr="002E757C">
        <w:rPr>
          <w:rFonts w:ascii="Arial" w:hAnsi="Arial" w:cs="Arial"/>
          <w:u w:val="single"/>
          <w:vertAlign w:val="subscript"/>
        </w:rPr>
        <w:t>i</w:t>
      </w:r>
      <w:proofErr w:type="spellEnd"/>
      <w:r w:rsidRPr="002E757C">
        <w:rPr>
          <w:rFonts w:ascii="Arial" w:hAnsi="Arial" w:cs="Arial"/>
          <w:u w:val="single"/>
        </w:rPr>
        <w:t> - Ȳ)</w:t>
      </w:r>
    </w:p>
    <w:p w14:paraId="225CC6AA" w14:textId="77777777" w:rsidR="002E757C" w:rsidRPr="002E757C" w:rsidRDefault="002E757C" w:rsidP="00F412DF">
      <w:pPr>
        <w:spacing w:line="360" w:lineRule="auto"/>
        <w:jc w:val="both"/>
        <w:rPr>
          <w:rFonts w:ascii="Arial" w:hAnsi="Arial" w:cs="Arial"/>
        </w:rPr>
      </w:pPr>
      <w:r w:rsidRPr="002E757C">
        <w:rPr>
          <w:rFonts w:ascii="Arial" w:hAnsi="Arial" w:cs="Arial"/>
        </w:rPr>
        <w:lastRenderedPageBreak/>
        <w:t xml:space="preserve">      </w:t>
      </w:r>
      <w:r w:rsidRPr="002E757C">
        <w:rPr>
          <w:rFonts w:ascii="Arial" w:hAnsi="Arial" w:cs="Arial"/>
        </w:rPr>
        <w:tab/>
      </w:r>
      <w:r w:rsidRPr="002E757C">
        <w:rPr>
          <w:rFonts w:ascii="Arial" w:hAnsi="Arial" w:cs="Arial"/>
        </w:rPr>
        <w:tab/>
        <w:t xml:space="preserve">   </w:t>
      </w:r>
      <w:r w:rsidRPr="002E757C">
        <w:rPr>
          <w:rFonts w:ascii="Arial" w:hAnsi="Arial" w:cs="Arial"/>
        </w:rPr>
        <w:tab/>
        <w:t xml:space="preserve">  √∑ (x</w:t>
      </w:r>
      <w:r w:rsidRPr="002E757C">
        <w:rPr>
          <w:rFonts w:ascii="Arial" w:hAnsi="Arial" w:cs="Arial"/>
          <w:vertAlign w:val="subscript"/>
        </w:rPr>
        <w:t>i</w:t>
      </w:r>
      <w:r w:rsidRPr="002E757C">
        <w:rPr>
          <w:rFonts w:ascii="Arial" w:hAnsi="Arial" w:cs="Arial"/>
        </w:rPr>
        <w:t> - X̄)</w:t>
      </w:r>
      <w:r w:rsidRPr="002E757C">
        <w:rPr>
          <w:rFonts w:ascii="Arial" w:hAnsi="Arial" w:cs="Arial"/>
          <w:vertAlign w:val="superscript"/>
        </w:rPr>
        <w:t>2</w:t>
      </w:r>
      <w:r w:rsidRPr="002E757C">
        <w:rPr>
          <w:rFonts w:ascii="Arial" w:hAnsi="Arial" w:cs="Arial"/>
        </w:rPr>
        <w:t> ∑ (</w:t>
      </w:r>
      <w:proofErr w:type="spellStart"/>
      <w:r w:rsidRPr="002E757C">
        <w:rPr>
          <w:rFonts w:ascii="Arial" w:hAnsi="Arial" w:cs="Arial"/>
        </w:rPr>
        <w:t>y</w:t>
      </w:r>
      <w:r w:rsidRPr="002E757C">
        <w:rPr>
          <w:rFonts w:ascii="Arial" w:hAnsi="Arial" w:cs="Arial"/>
          <w:vertAlign w:val="subscript"/>
        </w:rPr>
        <w:t>i</w:t>
      </w:r>
      <w:proofErr w:type="spellEnd"/>
      <w:r w:rsidRPr="002E757C">
        <w:rPr>
          <w:rFonts w:ascii="Arial" w:hAnsi="Arial" w:cs="Arial"/>
        </w:rPr>
        <w:t> - Ȳ)</w:t>
      </w:r>
      <w:r w:rsidRPr="002E757C">
        <w:rPr>
          <w:rFonts w:ascii="Arial" w:hAnsi="Arial" w:cs="Arial"/>
          <w:vertAlign w:val="superscript"/>
        </w:rPr>
        <w:t>2</w:t>
      </w:r>
    </w:p>
    <w:p w14:paraId="4B57C6E2" w14:textId="77777777" w:rsidR="002E757C" w:rsidRPr="002E757C" w:rsidRDefault="002E757C" w:rsidP="00F412DF">
      <w:pPr>
        <w:pStyle w:val="AbstHead"/>
        <w:spacing w:after="0"/>
        <w:jc w:val="both"/>
        <w:rPr>
          <w:rFonts w:ascii="Arial" w:hAnsi="Arial" w:cs="Arial"/>
        </w:rPr>
      </w:pPr>
    </w:p>
    <w:p w14:paraId="3842B964" w14:textId="77777777" w:rsidR="00790ADA" w:rsidRPr="00FB3A86" w:rsidRDefault="00790ADA" w:rsidP="00441B6F">
      <w:pPr>
        <w:pStyle w:val="AbstHead"/>
        <w:spacing w:after="0"/>
        <w:jc w:val="both"/>
        <w:rPr>
          <w:rFonts w:ascii="Arial" w:hAnsi="Arial" w:cs="Arial"/>
        </w:rPr>
      </w:pPr>
    </w:p>
    <w:p w14:paraId="1CBB24FA" w14:textId="77777777" w:rsidR="00790ADA" w:rsidRPr="00FB3A86" w:rsidRDefault="00790ADA" w:rsidP="00441B6F">
      <w:pPr>
        <w:pStyle w:val="Body"/>
        <w:spacing w:after="0"/>
        <w:rPr>
          <w:rFonts w:ascii="Arial" w:hAnsi="Arial" w:cs="Arial"/>
        </w:rPr>
      </w:pPr>
    </w:p>
    <w:p w14:paraId="52863933" w14:textId="080386DB" w:rsidR="00902823" w:rsidRDefault="00F412DF" w:rsidP="00441B6F">
      <w:pPr>
        <w:pStyle w:val="Head1"/>
        <w:spacing w:after="0"/>
        <w:jc w:val="both"/>
        <w:rPr>
          <w:rFonts w:ascii="Arial" w:hAnsi="Arial" w:cs="Arial"/>
        </w:rPr>
      </w:pPr>
      <w:r>
        <w:rPr>
          <w:rFonts w:ascii="Arial" w:hAnsi="Arial" w:cs="Arial"/>
        </w:rPr>
        <w:t>4</w:t>
      </w:r>
      <w:r w:rsidR="00902823">
        <w:rPr>
          <w:rFonts w:ascii="Arial" w:hAnsi="Arial" w:cs="Arial"/>
        </w:rPr>
        <w:t xml:space="preserve">. </w:t>
      </w:r>
      <w:r w:rsidR="00000F8F">
        <w:rPr>
          <w:rFonts w:ascii="Arial" w:hAnsi="Arial" w:cs="Arial"/>
        </w:rPr>
        <w:t>results and discussion</w:t>
      </w:r>
    </w:p>
    <w:p w14:paraId="77CCFDAD" w14:textId="6298D754" w:rsidR="00F412DF" w:rsidRPr="00F412DF" w:rsidRDefault="00F412DF" w:rsidP="00441B6F">
      <w:pPr>
        <w:pStyle w:val="Head1"/>
        <w:spacing w:after="0"/>
        <w:jc w:val="both"/>
        <w:rPr>
          <w:rFonts w:ascii="Arial" w:hAnsi="Arial" w:cs="Arial"/>
          <w:sz w:val="20"/>
        </w:rPr>
      </w:pPr>
    </w:p>
    <w:p w14:paraId="33EFD67C" w14:textId="327D42EB" w:rsidR="00F412DF" w:rsidRPr="00F412DF" w:rsidRDefault="00F412DF" w:rsidP="00F412DF">
      <w:pPr>
        <w:spacing w:line="360" w:lineRule="auto"/>
        <w:jc w:val="both"/>
        <w:rPr>
          <w:rFonts w:ascii="Arial" w:hAnsi="Arial" w:cs="Arial"/>
        </w:rPr>
      </w:pPr>
      <w:r w:rsidRPr="00F412DF">
        <w:rPr>
          <w:rFonts w:ascii="Arial" w:hAnsi="Arial" w:cs="Arial"/>
        </w:rPr>
        <w:t xml:space="preserve">According to a survey carried out by the Green Tribunal in 2023, it was observed that the </w:t>
      </w:r>
      <w:r w:rsidRPr="00F412DF">
        <w:rPr>
          <w:rFonts w:ascii="Arial" w:hAnsi="Arial" w:cs="Arial"/>
          <w:color w:val="000000" w:themeColor="text1"/>
        </w:rPr>
        <w:t xml:space="preserve">amount of waste generated in a year in Leh district is categorized in four quarter as shown in Figure 6 i.e., waste generated in the first quarter (Jan-March) is less i.e., only 244.53 MT compared to waste generated in second quarter, 1033.47 MT (April-June), it was found that waste in second quarter is highest because of the high footfall of tourists and migrant </w:t>
      </w:r>
      <w:proofErr w:type="spellStart"/>
      <w:r w:rsidRPr="00F412DF">
        <w:rPr>
          <w:rFonts w:ascii="Arial" w:hAnsi="Arial" w:cs="Arial"/>
          <w:color w:val="000000" w:themeColor="text1"/>
        </w:rPr>
        <w:t>labours</w:t>
      </w:r>
      <w:proofErr w:type="spellEnd"/>
      <w:r w:rsidRPr="00F412DF">
        <w:rPr>
          <w:rFonts w:ascii="Arial" w:hAnsi="Arial" w:cs="Arial"/>
          <w:color w:val="000000" w:themeColor="text1"/>
        </w:rPr>
        <w:t xml:space="preserve"> in the city. In the third quarter (July-Sept) it is reduced to 658.84 MT and in fourth quarter (Oct-Dec) it is the lowest 319.08 MT </w:t>
      </w:r>
      <w:r w:rsidRPr="00F412DF">
        <w:rPr>
          <w:rFonts w:ascii="Arial" w:hAnsi="Arial" w:cs="Arial"/>
        </w:rPr>
        <w:t>(UT of Ladakh, 2023).</w:t>
      </w:r>
    </w:p>
    <w:p w14:paraId="1304282B" w14:textId="77777777" w:rsidR="00F412DF" w:rsidRPr="00F412DF" w:rsidRDefault="00F412DF" w:rsidP="00F412DF">
      <w:pPr>
        <w:spacing w:line="360" w:lineRule="auto"/>
        <w:ind w:firstLine="720"/>
        <w:jc w:val="both"/>
        <w:rPr>
          <w:rFonts w:ascii="Arial" w:hAnsi="Arial" w:cs="Arial"/>
          <w:color w:val="000000" w:themeColor="text1"/>
        </w:rPr>
      </w:pPr>
    </w:p>
    <w:p w14:paraId="2185BA49" w14:textId="77777777" w:rsidR="00F412DF" w:rsidRPr="00F412DF" w:rsidRDefault="00F412DF" w:rsidP="00F412DF">
      <w:pPr>
        <w:spacing w:line="360" w:lineRule="auto"/>
        <w:jc w:val="both"/>
        <w:rPr>
          <w:rFonts w:ascii="Arial" w:hAnsi="Arial" w:cs="Arial"/>
          <w:b/>
          <w:bCs/>
          <w:color w:val="000000" w:themeColor="text1"/>
        </w:rPr>
      </w:pPr>
      <w:r w:rsidRPr="00F412DF">
        <w:rPr>
          <w:rFonts w:ascii="Arial" w:hAnsi="Arial" w:cs="Arial"/>
          <w:b/>
          <w:bCs/>
          <w:noProof/>
        </w:rPr>
        <w:drawing>
          <wp:inline distT="0" distB="0" distL="0" distR="0" wp14:anchorId="3DA144A3" wp14:editId="6ED30757">
            <wp:extent cx="4997302" cy="2743200"/>
            <wp:effectExtent l="0" t="0" r="6985" b="12700"/>
            <wp:docPr id="72" name="Chart 72">
              <a:extLst xmlns:a="http://schemas.openxmlformats.org/drawingml/2006/main">
                <a:ext uri="{FF2B5EF4-FFF2-40B4-BE49-F238E27FC236}">
                  <a16:creationId xmlns:a16="http://schemas.microsoft.com/office/drawing/2014/main" id="{AE8D4E14-210E-4341-9039-BEE2A0F56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4852FF" w14:textId="77777777" w:rsidR="00F412DF" w:rsidRPr="00F412DF" w:rsidRDefault="00F412DF" w:rsidP="00F412DF">
      <w:pPr>
        <w:jc w:val="both"/>
        <w:rPr>
          <w:rFonts w:ascii="Arial" w:hAnsi="Arial" w:cs="Arial"/>
          <w:b/>
          <w:bCs/>
          <w:color w:val="000000" w:themeColor="text1"/>
        </w:rPr>
      </w:pPr>
      <w:r w:rsidRPr="00F412DF">
        <w:rPr>
          <w:rFonts w:ascii="Arial" w:hAnsi="Arial" w:cs="Arial"/>
          <w:b/>
          <w:bCs/>
          <w:color w:val="000000" w:themeColor="text1"/>
        </w:rPr>
        <w:t xml:space="preserve">Figure 6: Waste generation in Leh district in four quarters </w:t>
      </w:r>
    </w:p>
    <w:p w14:paraId="4BA4B742" w14:textId="77777777" w:rsidR="00F412DF" w:rsidRPr="00F412DF" w:rsidRDefault="00F412DF" w:rsidP="00F412DF">
      <w:pPr>
        <w:rPr>
          <w:rFonts w:ascii="Arial" w:hAnsi="Arial" w:cs="Arial"/>
        </w:rPr>
      </w:pPr>
      <w:r w:rsidRPr="00F412DF">
        <w:rPr>
          <w:rFonts w:ascii="Arial" w:hAnsi="Arial" w:cs="Arial"/>
          <w:b/>
          <w:bCs/>
          <w:color w:val="000000" w:themeColor="text1"/>
        </w:rPr>
        <w:t xml:space="preserve">Source: </w:t>
      </w:r>
      <w:r w:rsidRPr="00F412DF">
        <w:rPr>
          <w:rFonts w:ascii="Arial" w:hAnsi="Arial" w:cs="Arial"/>
          <w:b/>
          <w:bCs/>
        </w:rPr>
        <w:t>(Union Territory of Ladakh, 2023)</w:t>
      </w:r>
    </w:p>
    <w:p w14:paraId="091748C7" w14:textId="77777777" w:rsidR="00F412DF" w:rsidRPr="00F412DF" w:rsidRDefault="00F412DF" w:rsidP="00F412DF">
      <w:pPr>
        <w:jc w:val="both"/>
        <w:rPr>
          <w:rFonts w:ascii="Arial" w:hAnsi="Arial" w:cs="Arial"/>
        </w:rPr>
      </w:pPr>
    </w:p>
    <w:p w14:paraId="5D4FC00D" w14:textId="77777777" w:rsidR="00F412DF" w:rsidRPr="00F412DF" w:rsidRDefault="00F412DF" w:rsidP="00F412DF">
      <w:pPr>
        <w:spacing w:line="360" w:lineRule="auto"/>
        <w:ind w:firstLine="720"/>
        <w:jc w:val="both"/>
        <w:rPr>
          <w:rFonts w:ascii="Arial" w:hAnsi="Arial" w:cs="Arial"/>
        </w:rPr>
      </w:pPr>
      <w:r w:rsidRPr="00F412DF">
        <w:rPr>
          <w:rFonts w:ascii="Arial" w:hAnsi="Arial" w:cs="Arial"/>
        </w:rPr>
        <w:t xml:space="preserve">The data reveals that waste generation in Leh district is highly seasonal, with significant fluctuations across the four quarters of the year. The lowest waste generation occurs in the first quarter (244.53 MT), when both tourism and migration are at their lowest. The second quarter sees a sharp increase in waste generation (1033.47 MT), driven by the peak tourism season and the influx of migrant laborers, indicating that these two factors are the primary contributors to waste production in the region. In the third quarter, waste generation decreases to 658.84 MT, likely due to a decline in tourist numbers and the departure of many migrant workers as construction activities wind down. The fourth quarter sees a further reduction to 319.08 MT, as tourism ends and the population of the district shrinks, with fewer visitors and workers contributing to waste (Union Territory of Ladakh, 2023). </w:t>
      </w:r>
    </w:p>
    <w:p w14:paraId="578790AE" w14:textId="77777777" w:rsidR="00F412DF" w:rsidRPr="00F412DF" w:rsidRDefault="00F412DF" w:rsidP="00F412DF">
      <w:pPr>
        <w:spacing w:line="360" w:lineRule="auto"/>
        <w:ind w:firstLine="720"/>
        <w:jc w:val="both"/>
        <w:rPr>
          <w:rFonts w:ascii="Arial" w:hAnsi="Arial" w:cs="Arial"/>
        </w:rPr>
      </w:pPr>
    </w:p>
    <w:p w14:paraId="06C65AE0" w14:textId="184397FF" w:rsidR="00F412DF" w:rsidRDefault="00F412DF" w:rsidP="00F412DF">
      <w:pPr>
        <w:spacing w:line="360" w:lineRule="auto"/>
        <w:ind w:firstLine="720"/>
        <w:jc w:val="both"/>
        <w:rPr>
          <w:rFonts w:ascii="Arial" w:hAnsi="Arial" w:cs="Arial"/>
        </w:rPr>
      </w:pPr>
      <w:r w:rsidRPr="00F412DF">
        <w:rPr>
          <w:rFonts w:ascii="Arial" w:hAnsi="Arial" w:cs="Arial"/>
        </w:rPr>
        <w:t>In the present study, a more detailed analysis has been conducted on the relationship between tourist arrivals and waste generation specifically for the months of April to September, which correspond to the second and third quarters of the year. This period is of particular interest because it covers the peak tourist season, as well as the gradual tapering off of tourism, allowing for a closer examination of how fluctuations in the number of visitors and seasonal migration affect the amount of waste generated in Leh district. By analyzing these six months in greater depth, the study aims to provide a clearer understanding of the dynamics between tourism and waste production during the months of high activity.</w:t>
      </w:r>
    </w:p>
    <w:p w14:paraId="742ADA3D" w14:textId="77777777" w:rsidR="00373A84" w:rsidRPr="00F412DF" w:rsidRDefault="00373A84" w:rsidP="00F412DF">
      <w:pPr>
        <w:spacing w:line="360" w:lineRule="auto"/>
        <w:ind w:firstLine="720"/>
        <w:jc w:val="both"/>
        <w:rPr>
          <w:rFonts w:ascii="Arial" w:hAnsi="Arial" w:cs="Arial"/>
        </w:rPr>
      </w:pPr>
    </w:p>
    <w:p w14:paraId="0298F9ED" w14:textId="3CE36931" w:rsidR="00F412DF" w:rsidRPr="00F412DF" w:rsidRDefault="00F412DF" w:rsidP="00F412DF">
      <w:pPr>
        <w:spacing w:line="360" w:lineRule="auto"/>
        <w:ind w:firstLine="720"/>
        <w:jc w:val="both"/>
        <w:rPr>
          <w:rFonts w:ascii="Arial" w:hAnsi="Arial" w:cs="Arial"/>
        </w:rPr>
      </w:pPr>
      <w:r w:rsidRPr="00F412DF">
        <w:rPr>
          <w:rFonts w:ascii="Arial" w:hAnsi="Arial" w:cs="Arial"/>
        </w:rPr>
        <w:t>The study found that the total number of tourists accommodated in the selected establishments showed a steady increase in arrivals from April to September. The highest influx of tourists occurred in May, June, and July, marking the peak of the tourist season. However, this number began to decline in August and September (Figure 7). While the tourist season in Ladakh officially begins in April, the number of visitors during this month is relatively low, as many areas of the region remain closed or inaccessible due to lingering winter conditions. As the region fully opens up to tourism in May, the number of tourists rises sharply, reaching its peak in June and July when the weather is most favorable for outdoor activities. With the onset of cooler weather in August and the approach of winter in September, the number of tourists begins to decrease, signaling the end of the peak tourist season. This pattern underscores the strong seasonality of tourism in Ladakh, where the summer months are the most popular, and visitor numbers gradually taper off as the region prepares for the winter months.</w:t>
      </w:r>
    </w:p>
    <w:p w14:paraId="41B8B591" w14:textId="77777777" w:rsidR="00F412DF" w:rsidRPr="00F412DF" w:rsidRDefault="00F412DF" w:rsidP="00F412DF">
      <w:pPr>
        <w:spacing w:line="360" w:lineRule="auto"/>
        <w:ind w:firstLine="720"/>
        <w:jc w:val="both"/>
        <w:rPr>
          <w:rFonts w:ascii="Arial" w:hAnsi="Arial" w:cs="Arial"/>
        </w:rPr>
      </w:pPr>
    </w:p>
    <w:p w14:paraId="661A458E" w14:textId="77777777" w:rsidR="00F412DF" w:rsidRPr="00F412DF" w:rsidRDefault="00F412DF" w:rsidP="00F412DF">
      <w:pPr>
        <w:spacing w:line="360" w:lineRule="auto"/>
        <w:jc w:val="both"/>
        <w:rPr>
          <w:rFonts w:ascii="Arial" w:hAnsi="Arial" w:cs="Arial"/>
          <w:b/>
          <w:bCs/>
        </w:rPr>
      </w:pPr>
      <w:r w:rsidRPr="00F412DF">
        <w:rPr>
          <w:rFonts w:ascii="Arial" w:hAnsi="Arial" w:cs="Arial"/>
          <w:b/>
          <w:bCs/>
          <w:noProof/>
        </w:rPr>
        <w:drawing>
          <wp:inline distT="0" distB="0" distL="0" distR="0" wp14:anchorId="30CD848D" wp14:editId="253CEF52">
            <wp:extent cx="5188090" cy="3374641"/>
            <wp:effectExtent l="0" t="0" r="0" b="3810"/>
            <wp:docPr id="11" name="Chart 11">
              <a:extLst xmlns:a="http://schemas.openxmlformats.org/drawingml/2006/main">
                <a:ext uri="{FF2B5EF4-FFF2-40B4-BE49-F238E27FC236}">
                  <a16:creationId xmlns:a16="http://schemas.microsoft.com/office/drawing/2014/main" id="{18E81498-FABC-B940-826B-5A797DEB16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8EB4D2D" w14:textId="77777777" w:rsidR="00F412DF" w:rsidRPr="00F412DF" w:rsidRDefault="00F412DF" w:rsidP="00F412DF">
      <w:pPr>
        <w:rPr>
          <w:rFonts w:ascii="Arial" w:hAnsi="Arial" w:cs="Arial"/>
          <w:b/>
          <w:bCs/>
        </w:rPr>
      </w:pPr>
      <w:r w:rsidRPr="00F412DF">
        <w:rPr>
          <w:rFonts w:ascii="Arial" w:hAnsi="Arial" w:cs="Arial"/>
          <w:b/>
          <w:bCs/>
        </w:rPr>
        <w:t>Figure 7: Tourist Arrival for Months of April-September</w:t>
      </w:r>
    </w:p>
    <w:p w14:paraId="15FC831A" w14:textId="77777777" w:rsidR="00F412DF" w:rsidRPr="00F412DF" w:rsidRDefault="00F412DF" w:rsidP="00F412DF">
      <w:pPr>
        <w:rPr>
          <w:rFonts w:ascii="Arial" w:hAnsi="Arial" w:cs="Arial"/>
          <w:b/>
          <w:bCs/>
        </w:rPr>
      </w:pPr>
      <w:r w:rsidRPr="00F412DF">
        <w:rPr>
          <w:rFonts w:ascii="Arial" w:hAnsi="Arial" w:cs="Arial"/>
          <w:b/>
          <w:bCs/>
        </w:rPr>
        <w:t>Source: Field Visit 2023-24</w:t>
      </w:r>
    </w:p>
    <w:p w14:paraId="133E486D" w14:textId="77777777" w:rsidR="00F412DF" w:rsidRPr="00F412DF" w:rsidRDefault="00F412DF" w:rsidP="00F412DF">
      <w:pPr>
        <w:rPr>
          <w:rFonts w:ascii="Arial" w:hAnsi="Arial" w:cs="Arial"/>
          <w:b/>
          <w:bCs/>
        </w:rPr>
      </w:pPr>
    </w:p>
    <w:p w14:paraId="576D381E" w14:textId="77777777" w:rsidR="00F412DF" w:rsidRPr="00F412DF" w:rsidRDefault="00F412DF" w:rsidP="00F412DF">
      <w:pPr>
        <w:spacing w:line="360" w:lineRule="auto"/>
        <w:ind w:firstLine="720"/>
        <w:jc w:val="both"/>
        <w:rPr>
          <w:rFonts w:ascii="Arial" w:hAnsi="Arial" w:cs="Arial"/>
        </w:rPr>
      </w:pPr>
      <w:r w:rsidRPr="00F412DF">
        <w:rPr>
          <w:rFonts w:ascii="Arial" w:hAnsi="Arial" w:cs="Arial"/>
        </w:rPr>
        <w:t xml:space="preserve">The waste generated during the months of April to September mirrors the pattern of tourist arrivals, with higher waste production during the peak months of May, June, and July, and a decrease in waste during the months of April, August, and September. As illustrated in Figure 8, the waste generated over a seven-day period in April, August, and September is notably lower than the waste produced in the same duration during May, June, and July. This trend clearly indicates that the volume of waste closely correlates with the number of tourists visiting the region. When tourist numbers are at their highest, particularly in the summer months, there is a corresponding increase in waste generation, likely due to higher consumption, more services being used, and greater human activity in the area. Conversely, when the number of visitors declines either due to some tourists place in the region not being fully accessible in April or the retreating summer in August and September there is a significant drop in the amount of waste produced. This reinforces the conclusion that </w:t>
      </w:r>
      <w:r w:rsidRPr="00F412DF">
        <w:rPr>
          <w:rFonts w:ascii="Arial" w:hAnsi="Arial" w:cs="Arial"/>
        </w:rPr>
        <w:lastRenderedPageBreak/>
        <w:t>tourist arrival directly influences the level of waste generated, highlighting the need for effective waste management during peak tourism seasons.</w:t>
      </w:r>
    </w:p>
    <w:p w14:paraId="140EAB6C" w14:textId="77777777" w:rsidR="00F412DF" w:rsidRPr="00F412DF" w:rsidRDefault="00F412DF" w:rsidP="00F412DF">
      <w:pPr>
        <w:spacing w:line="360" w:lineRule="auto"/>
        <w:ind w:firstLine="720"/>
        <w:jc w:val="both"/>
        <w:rPr>
          <w:rFonts w:ascii="Arial" w:hAnsi="Arial" w:cs="Arial"/>
        </w:rPr>
      </w:pPr>
    </w:p>
    <w:p w14:paraId="11D2FD84" w14:textId="77777777" w:rsidR="00F412DF" w:rsidRPr="00F412DF" w:rsidRDefault="00F412DF" w:rsidP="00F412DF">
      <w:pPr>
        <w:spacing w:line="360" w:lineRule="auto"/>
        <w:jc w:val="both"/>
        <w:rPr>
          <w:rFonts w:ascii="Arial" w:hAnsi="Arial" w:cs="Arial"/>
          <w:b/>
          <w:bCs/>
        </w:rPr>
      </w:pPr>
      <w:r w:rsidRPr="00F412DF">
        <w:rPr>
          <w:rFonts w:ascii="Arial" w:hAnsi="Arial" w:cs="Arial"/>
          <w:b/>
          <w:bCs/>
          <w:noProof/>
        </w:rPr>
        <w:drawing>
          <wp:inline distT="0" distB="0" distL="0" distR="0" wp14:anchorId="05E233DF" wp14:editId="619BF1EC">
            <wp:extent cx="5943600" cy="3371850"/>
            <wp:effectExtent l="0" t="0" r="0" b="0"/>
            <wp:docPr id="6" name="Chart 6">
              <a:extLst xmlns:a="http://schemas.openxmlformats.org/drawingml/2006/main">
                <a:ext uri="{FF2B5EF4-FFF2-40B4-BE49-F238E27FC236}">
                  <a16:creationId xmlns:a16="http://schemas.microsoft.com/office/drawing/2014/main" id="{5CB86708-9984-704C-8CD8-981D54632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6547C07" w14:textId="77777777" w:rsidR="00F412DF" w:rsidRPr="00F412DF" w:rsidRDefault="00F412DF" w:rsidP="00F412DF">
      <w:pPr>
        <w:jc w:val="both"/>
        <w:rPr>
          <w:rFonts w:ascii="Arial" w:hAnsi="Arial" w:cs="Arial"/>
          <w:b/>
          <w:bCs/>
        </w:rPr>
      </w:pPr>
      <w:r w:rsidRPr="00F412DF">
        <w:rPr>
          <w:rFonts w:ascii="Arial" w:hAnsi="Arial" w:cs="Arial"/>
          <w:b/>
          <w:bCs/>
        </w:rPr>
        <w:t>Figure 8: Waste generation by sampled hotels in 7 days for months of April- September</w:t>
      </w:r>
    </w:p>
    <w:p w14:paraId="522718E5" w14:textId="77777777" w:rsidR="00F412DF" w:rsidRPr="00F412DF" w:rsidRDefault="00F412DF" w:rsidP="00F412DF">
      <w:pPr>
        <w:jc w:val="both"/>
        <w:rPr>
          <w:rFonts w:ascii="Arial" w:hAnsi="Arial" w:cs="Arial"/>
          <w:b/>
          <w:bCs/>
        </w:rPr>
      </w:pPr>
      <w:r w:rsidRPr="00F412DF">
        <w:rPr>
          <w:rFonts w:ascii="Arial" w:hAnsi="Arial" w:cs="Arial"/>
          <w:b/>
          <w:bCs/>
        </w:rPr>
        <w:t>Source: Field Visit, 2023-24</w:t>
      </w:r>
    </w:p>
    <w:p w14:paraId="40F2E8CD" w14:textId="77777777" w:rsidR="00F412DF" w:rsidRPr="00F412DF" w:rsidRDefault="00F412DF" w:rsidP="00F412DF">
      <w:pPr>
        <w:jc w:val="both"/>
        <w:rPr>
          <w:rFonts w:ascii="Arial" w:hAnsi="Arial" w:cs="Arial"/>
          <w:b/>
          <w:bCs/>
        </w:rPr>
      </w:pPr>
    </w:p>
    <w:p w14:paraId="41D9D19F" w14:textId="77777777" w:rsidR="00F412DF" w:rsidRPr="00F412DF" w:rsidRDefault="00F412DF" w:rsidP="00F412DF">
      <w:pPr>
        <w:jc w:val="both"/>
        <w:rPr>
          <w:rFonts w:ascii="Arial" w:hAnsi="Arial" w:cs="Arial"/>
          <w:b/>
          <w:bCs/>
        </w:rPr>
      </w:pPr>
    </w:p>
    <w:p w14:paraId="5C4B8FBC" w14:textId="662600CA" w:rsidR="00F412DF" w:rsidRPr="00F412DF" w:rsidRDefault="00F412DF" w:rsidP="00F412DF">
      <w:pPr>
        <w:spacing w:line="360" w:lineRule="auto"/>
        <w:jc w:val="both"/>
        <w:rPr>
          <w:rFonts w:ascii="Arial" w:hAnsi="Arial" w:cs="Arial"/>
        </w:rPr>
      </w:pPr>
      <w:r w:rsidRPr="00F412DF">
        <w:rPr>
          <w:rFonts w:ascii="Arial" w:hAnsi="Arial" w:cs="Arial"/>
          <w:b/>
          <w:bCs/>
        </w:rPr>
        <w:tab/>
      </w:r>
      <w:r w:rsidRPr="00F412DF">
        <w:rPr>
          <w:rFonts w:ascii="Arial" w:hAnsi="Arial" w:cs="Arial"/>
        </w:rPr>
        <w:t xml:space="preserve">The study is further strengthened by running the model Pearson co-relation coefficient to analyze the correlation coefficient of tourism arrival and waste generation. </w:t>
      </w:r>
    </w:p>
    <w:p w14:paraId="59D60A5E" w14:textId="77777777" w:rsidR="00F412DF" w:rsidRPr="00F412DF" w:rsidRDefault="00F412DF" w:rsidP="00F412DF">
      <w:pPr>
        <w:spacing w:line="360" w:lineRule="auto"/>
        <w:jc w:val="both"/>
        <w:rPr>
          <w:rFonts w:ascii="Arial" w:hAnsi="Arial" w:cs="Arial"/>
        </w:rPr>
      </w:pPr>
    </w:p>
    <w:p w14:paraId="0358A7A5" w14:textId="1171005C" w:rsidR="00F412DF" w:rsidRPr="00F412DF" w:rsidRDefault="00F412DF" w:rsidP="00F412DF">
      <w:pPr>
        <w:spacing w:line="360" w:lineRule="auto"/>
        <w:ind w:left="1440" w:firstLine="720"/>
        <w:jc w:val="both"/>
        <w:rPr>
          <w:rFonts w:ascii="Arial" w:hAnsi="Arial" w:cs="Arial"/>
        </w:rPr>
      </w:pPr>
      <w:r w:rsidRPr="00F412DF">
        <w:rPr>
          <w:rFonts w:ascii="Arial" w:hAnsi="Arial" w:cs="Arial"/>
        </w:rPr>
        <w:t xml:space="preserve">r = </w:t>
      </w:r>
      <w:r w:rsidRPr="00F412DF">
        <w:rPr>
          <w:rFonts w:ascii="Arial" w:hAnsi="Arial" w:cs="Arial"/>
          <w:u w:val="single"/>
        </w:rPr>
        <w:t>∑ (x</w:t>
      </w:r>
      <w:r w:rsidRPr="00F412DF">
        <w:rPr>
          <w:rFonts w:ascii="Arial" w:hAnsi="Arial" w:cs="Arial"/>
          <w:u w:val="single"/>
          <w:vertAlign w:val="subscript"/>
        </w:rPr>
        <w:t>i</w:t>
      </w:r>
      <w:r w:rsidRPr="00F412DF">
        <w:rPr>
          <w:rFonts w:ascii="Arial" w:hAnsi="Arial" w:cs="Arial"/>
          <w:u w:val="single"/>
        </w:rPr>
        <w:t> - X̄) (</w:t>
      </w:r>
      <w:proofErr w:type="spellStart"/>
      <w:r w:rsidRPr="00F412DF">
        <w:rPr>
          <w:rFonts w:ascii="Arial" w:hAnsi="Arial" w:cs="Arial"/>
          <w:u w:val="single"/>
        </w:rPr>
        <w:t>y</w:t>
      </w:r>
      <w:r w:rsidRPr="00F412DF">
        <w:rPr>
          <w:rFonts w:ascii="Arial" w:hAnsi="Arial" w:cs="Arial"/>
          <w:u w:val="single"/>
          <w:vertAlign w:val="subscript"/>
        </w:rPr>
        <w:t>i</w:t>
      </w:r>
      <w:proofErr w:type="spellEnd"/>
      <w:r w:rsidRPr="00F412DF">
        <w:rPr>
          <w:rFonts w:ascii="Arial" w:hAnsi="Arial" w:cs="Arial"/>
          <w:u w:val="single"/>
        </w:rPr>
        <w:t> - Ȳ)</w:t>
      </w:r>
    </w:p>
    <w:p w14:paraId="7B242334" w14:textId="77777777" w:rsidR="00F412DF" w:rsidRPr="00F412DF" w:rsidRDefault="00F412DF" w:rsidP="00F412DF">
      <w:pPr>
        <w:spacing w:line="360" w:lineRule="auto"/>
        <w:jc w:val="both"/>
        <w:rPr>
          <w:rFonts w:ascii="Arial" w:hAnsi="Arial" w:cs="Arial"/>
        </w:rPr>
      </w:pPr>
      <w:r w:rsidRPr="00F412DF">
        <w:rPr>
          <w:rFonts w:ascii="Arial" w:hAnsi="Arial" w:cs="Arial"/>
        </w:rPr>
        <w:t xml:space="preserve">      </w:t>
      </w:r>
      <w:r w:rsidRPr="00F412DF">
        <w:rPr>
          <w:rFonts w:ascii="Arial" w:hAnsi="Arial" w:cs="Arial"/>
        </w:rPr>
        <w:tab/>
      </w:r>
      <w:r w:rsidRPr="00F412DF">
        <w:rPr>
          <w:rFonts w:ascii="Arial" w:hAnsi="Arial" w:cs="Arial"/>
        </w:rPr>
        <w:tab/>
        <w:t xml:space="preserve">   </w:t>
      </w:r>
      <w:r w:rsidRPr="00F412DF">
        <w:rPr>
          <w:rFonts w:ascii="Arial" w:hAnsi="Arial" w:cs="Arial"/>
        </w:rPr>
        <w:tab/>
        <w:t xml:space="preserve">  √∑ (x</w:t>
      </w:r>
      <w:r w:rsidRPr="00F412DF">
        <w:rPr>
          <w:rFonts w:ascii="Arial" w:hAnsi="Arial" w:cs="Arial"/>
          <w:vertAlign w:val="subscript"/>
        </w:rPr>
        <w:t>i</w:t>
      </w:r>
      <w:r w:rsidRPr="00F412DF">
        <w:rPr>
          <w:rFonts w:ascii="Arial" w:hAnsi="Arial" w:cs="Arial"/>
        </w:rPr>
        <w:t> - X̄)</w:t>
      </w:r>
      <w:r w:rsidRPr="00F412DF">
        <w:rPr>
          <w:rFonts w:ascii="Arial" w:hAnsi="Arial" w:cs="Arial"/>
          <w:vertAlign w:val="superscript"/>
        </w:rPr>
        <w:t>2</w:t>
      </w:r>
      <w:r w:rsidRPr="00F412DF">
        <w:rPr>
          <w:rFonts w:ascii="Arial" w:hAnsi="Arial" w:cs="Arial"/>
        </w:rPr>
        <w:t> ∑ (</w:t>
      </w:r>
      <w:proofErr w:type="spellStart"/>
      <w:r w:rsidRPr="00F412DF">
        <w:rPr>
          <w:rFonts w:ascii="Arial" w:hAnsi="Arial" w:cs="Arial"/>
        </w:rPr>
        <w:t>y</w:t>
      </w:r>
      <w:r w:rsidRPr="00F412DF">
        <w:rPr>
          <w:rFonts w:ascii="Arial" w:hAnsi="Arial" w:cs="Arial"/>
          <w:vertAlign w:val="subscript"/>
        </w:rPr>
        <w:t>i</w:t>
      </w:r>
      <w:proofErr w:type="spellEnd"/>
      <w:r w:rsidRPr="00F412DF">
        <w:rPr>
          <w:rFonts w:ascii="Arial" w:hAnsi="Arial" w:cs="Arial"/>
        </w:rPr>
        <w:t> - Ȳ)</w:t>
      </w:r>
      <w:r w:rsidRPr="00F412DF">
        <w:rPr>
          <w:rFonts w:ascii="Arial" w:hAnsi="Arial" w:cs="Arial"/>
          <w:vertAlign w:val="superscript"/>
        </w:rPr>
        <w:t>2</w:t>
      </w:r>
    </w:p>
    <w:p w14:paraId="34677FEC" w14:textId="77777777" w:rsidR="00F412DF" w:rsidRPr="00F412DF" w:rsidRDefault="00F412DF" w:rsidP="00F412DF">
      <w:pPr>
        <w:spacing w:line="360" w:lineRule="auto"/>
        <w:jc w:val="both"/>
        <w:rPr>
          <w:rFonts w:ascii="Arial" w:hAnsi="Arial" w:cs="Arial"/>
        </w:rPr>
      </w:pPr>
      <w:r w:rsidRPr="00F412DF">
        <w:rPr>
          <w:rFonts w:ascii="Arial" w:hAnsi="Arial" w:cs="Arial"/>
        </w:rPr>
        <w:t xml:space="preserve">r= correlation coefficient </w:t>
      </w:r>
    </w:p>
    <w:p w14:paraId="01A3484C" w14:textId="77777777" w:rsidR="00F412DF" w:rsidRPr="00F412DF" w:rsidRDefault="00F412DF" w:rsidP="00F412DF">
      <w:pPr>
        <w:spacing w:line="360" w:lineRule="auto"/>
        <w:jc w:val="both"/>
        <w:rPr>
          <w:rFonts w:ascii="Arial" w:hAnsi="Arial" w:cs="Arial"/>
        </w:rPr>
      </w:pPr>
      <w:r w:rsidRPr="00F412DF">
        <w:rPr>
          <w:rFonts w:ascii="Arial" w:hAnsi="Arial" w:cs="Arial"/>
        </w:rPr>
        <w:t>x</w:t>
      </w:r>
      <w:r w:rsidRPr="00F412DF">
        <w:rPr>
          <w:rFonts w:ascii="Arial" w:hAnsi="Arial" w:cs="Arial"/>
          <w:vertAlign w:val="subscript"/>
        </w:rPr>
        <w:t xml:space="preserve">i= </w:t>
      </w:r>
      <w:r w:rsidRPr="00F412DF">
        <w:rPr>
          <w:rFonts w:ascii="Arial" w:hAnsi="Arial" w:cs="Arial"/>
        </w:rPr>
        <w:t>values of the x variables in the sample</w:t>
      </w:r>
    </w:p>
    <w:p w14:paraId="70192AA1" w14:textId="77777777" w:rsidR="00F412DF" w:rsidRPr="00F412DF" w:rsidRDefault="00F412DF" w:rsidP="00F412DF">
      <w:pPr>
        <w:spacing w:line="360" w:lineRule="auto"/>
        <w:jc w:val="both"/>
        <w:rPr>
          <w:rFonts w:ascii="Arial" w:hAnsi="Arial" w:cs="Arial"/>
        </w:rPr>
      </w:pPr>
      <w:r w:rsidRPr="00F412DF">
        <w:rPr>
          <w:rFonts w:ascii="Arial" w:hAnsi="Arial" w:cs="Arial"/>
        </w:rPr>
        <w:t>X̄= mean of the values of the x variables</w:t>
      </w:r>
    </w:p>
    <w:p w14:paraId="108543F9" w14:textId="77777777" w:rsidR="00F412DF" w:rsidRPr="00F412DF" w:rsidRDefault="00F412DF" w:rsidP="00F412DF">
      <w:pPr>
        <w:spacing w:line="360" w:lineRule="auto"/>
        <w:jc w:val="both"/>
        <w:rPr>
          <w:rFonts w:ascii="Arial" w:hAnsi="Arial" w:cs="Arial"/>
        </w:rPr>
      </w:pPr>
      <w:proofErr w:type="spellStart"/>
      <w:r w:rsidRPr="00F412DF">
        <w:rPr>
          <w:rFonts w:ascii="Arial" w:hAnsi="Arial" w:cs="Arial"/>
        </w:rPr>
        <w:t>y</w:t>
      </w:r>
      <w:r w:rsidRPr="00F412DF">
        <w:rPr>
          <w:rFonts w:ascii="Arial" w:hAnsi="Arial" w:cs="Arial"/>
          <w:vertAlign w:val="subscript"/>
        </w:rPr>
        <w:t>i</w:t>
      </w:r>
      <w:proofErr w:type="spellEnd"/>
      <w:r w:rsidRPr="00F412DF">
        <w:rPr>
          <w:rFonts w:ascii="Arial" w:hAnsi="Arial" w:cs="Arial"/>
          <w:vertAlign w:val="subscript"/>
        </w:rPr>
        <w:t xml:space="preserve">= </w:t>
      </w:r>
      <w:r w:rsidRPr="00F412DF">
        <w:rPr>
          <w:rFonts w:ascii="Arial" w:hAnsi="Arial" w:cs="Arial"/>
        </w:rPr>
        <w:t>values of the y variables in the sample</w:t>
      </w:r>
    </w:p>
    <w:p w14:paraId="638D729C" w14:textId="77777777" w:rsidR="00F412DF" w:rsidRPr="00F412DF" w:rsidRDefault="00F412DF" w:rsidP="00F412DF">
      <w:pPr>
        <w:spacing w:line="360" w:lineRule="auto"/>
        <w:jc w:val="both"/>
        <w:rPr>
          <w:rFonts w:ascii="Arial" w:hAnsi="Arial" w:cs="Arial"/>
        </w:rPr>
      </w:pPr>
      <w:r w:rsidRPr="00F412DF">
        <w:rPr>
          <w:rFonts w:ascii="Arial" w:hAnsi="Arial" w:cs="Arial"/>
        </w:rPr>
        <w:t>Ȳ= mean of the values of the y variables</w:t>
      </w:r>
    </w:p>
    <w:p w14:paraId="4472ABA1" w14:textId="77777777" w:rsidR="00F412DF" w:rsidRPr="00F412DF" w:rsidRDefault="00F412DF" w:rsidP="00F412DF">
      <w:pPr>
        <w:spacing w:line="360" w:lineRule="auto"/>
        <w:jc w:val="both"/>
        <w:rPr>
          <w:rFonts w:ascii="Arial" w:hAnsi="Arial" w:cs="Arial"/>
        </w:rPr>
      </w:pPr>
    </w:p>
    <w:p w14:paraId="7E2F1AF9" w14:textId="0EAA62B5" w:rsidR="00F412DF" w:rsidRPr="00F412DF" w:rsidRDefault="00F412DF" w:rsidP="00F412DF">
      <w:pPr>
        <w:spacing w:line="360" w:lineRule="auto"/>
        <w:ind w:firstLine="720"/>
        <w:jc w:val="both"/>
        <w:rPr>
          <w:rFonts w:ascii="Arial" w:hAnsi="Arial" w:cs="Arial"/>
        </w:rPr>
      </w:pPr>
      <w:r w:rsidRPr="00F412DF">
        <w:rPr>
          <w:rFonts w:ascii="Arial" w:hAnsi="Arial" w:cs="Arial"/>
        </w:rPr>
        <w:t xml:space="preserve">The analysis revealed that the Pearson correlation coefficient (r) between tourist arrivals and waste generation was 0.87, indicating a strong positive correlation between these two variables. The Pearson correlation coefficient is a statistical measure that assesses the strength and direction of the linear relationship between two variables. In this case, the X-values on the correlation chart represent the number of tourists arriving in the region, while the Y-values represent the corresponding amount of waste generated (Figure </w:t>
      </w:r>
      <w:r w:rsidR="00E23C0F">
        <w:rPr>
          <w:rFonts w:ascii="Arial" w:hAnsi="Arial" w:cs="Arial"/>
        </w:rPr>
        <w:t>9</w:t>
      </w:r>
      <w:r w:rsidRPr="00F412DF">
        <w:rPr>
          <w:rFonts w:ascii="Arial" w:hAnsi="Arial" w:cs="Arial"/>
        </w:rPr>
        <w:t xml:space="preserve">). A value of 0.87 suggests that as the number of tourists increases, there is a substantial increase in waste generation, and vice versa. This strong positive linear relationship underscores the direct connection between tourism activity and waste production, with higher tourist influx leading to significantly more waste being generated. </w:t>
      </w:r>
    </w:p>
    <w:p w14:paraId="702ABA57" w14:textId="77777777" w:rsidR="00F412DF" w:rsidRPr="00F412DF" w:rsidRDefault="00F412DF" w:rsidP="00F412DF">
      <w:pPr>
        <w:jc w:val="both"/>
        <w:rPr>
          <w:rFonts w:ascii="Arial" w:hAnsi="Arial" w:cs="Arial"/>
          <w:b/>
          <w:bCs/>
        </w:rPr>
      </w:pPr>
      <w:r w:rsidRPr="00F412DF">
        <w:rPr>
          <w:rFonts w:ascii="Arial" w:hAnsi="Arial" w:cs="Arial"/>
          <w:b/>
          <w:bCs/>
          <w:noProof/>
        </w:rPr>
        <w:lastRenderedPageBreak/>
        <w:drawing>
          <wp:inline distT="0" distB="0" distL="0" distR="0" wp14:anchorId="00AC2608" wp14:editId="673BB4AE">
            <wp:extent cx="3776773" cy="3625702"/>
            <wp:effectExtent l="0" t="0" r="0" b="0"/>
            <wp:docPr id="7" name="Picture 3">
              <a:extLst xmlns:a="http://schemas.openxmlformats.org/drawingml/2006/main">
                <a:ext uri="{FF2B5EF4-FFF2-40B4-BE49-F238E27FC236}">
                  <a16:creationId xmlns:a16="http://schemas.microsoft.com/office/drawing/2014/main" id="{2C6AAFB0-E489-4A41-A249-6BAADC300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C6AAFB0-E489-4A41-A249-6BAADC300AED}"/>
                        </a:ext>
                      </a:extLst>
                    </pic:cNvPr>
                    <pic:cNvPicPr>
                      <a:picLocks noChangeAspect="1"/>
                    </pic:cNvPicPr>
                  </pic:nvPicPr>
                  <pic:blipFill>
                    <a:blip r:embed="rId22"/>
                    <a:stretch>
                      <a:fillRect/>
                    </a:stretch>
                  </pic:blipFill>
                  <pic:spPr>
                    <a:xfrm>
                      <a:off x="0" y="0"/>
                      <a:ext cx="3798777" cy="3646826"/>
                    </a:xfrm>
                    <a:prstGeom prst="rect">
                      <a:avLst/>
                    </a:prstGeom>
                  </pic:spPr>
                </pic:pic>
              </a:graphicData>
            </a:graphic>
          </wp:inline>
        </w:drawing>
      </w:r>
    </w:p>
    <w:p w14:paraId="323B8D6C" w14:textId="49DB1E76" w:rsidR="00F412DF" w:rsidRPr="00F412DF" w:rsidRDefault="00F412DF" w:rsidP="00F412DF">
      <w:pPr>
        <w:jc w:val="both"/>
        <w:rPr>
          <w:rFonts w:ascii="Arial" w:hAnsi="Arial" w:cs="Arial"/>
          <w:b/>
          <w:bCs/>
        </w:rPr>
      </w:pPr>
      <w:r w:rsidRPr="00F412DF">
        <w:rPr>
          <w:rFonts w:ascii="Arial" w:hAnsi="Arial" w:cs="Arial"/>
          <w:b/>
          <w:bCs/>
        </w:rPr>
        <w:t xml:space="preserve">Figure </w:t>
      </w:r>
      <w:proofErr w:type="gramStart"/>
      <w:r w:rsidR="00E23C0F">
        <w:rPr>
          <w:rFonts w:ascii="Arial" w:hAnsi="Arial" w:cs="Arial"/>
          <w:b/>
          <w:bCs/>
        </w:rPr>
        <w:t xml:space="preserve">9 </w:t>
      </w:r>
      <w:r w:rsidRPr="00F412DF">
        <w:rPr>
          <w:rFonts w:ascii="Arial" w:hAnsi="Arial" w:cs="Arial"/>
          <w:b/>
          <w:bCs/>
        </w:rPr>
        <w:t>:</w:t>
      </w:r>
      <w:proofErr w:type="gramEnd"/>
      <w:r w:rsidRPr="00F412DF">
        <w:rPr>
          <w:rFonts w:ascii="Arial" w:hAnsi="Arial" w:cs="Arial"/>
          <w:b/>
          <w:bCs/>
        </w:rPr>
        <w:t xml:space="preserve"> Pearson Correlation Coefficient Analysis</w:t>
      </w:r>
    </w:p>
    <w:p w14:paraId="31AD3EC7" w14:textId="6155B543" w:rsidR="00F412DF" w:rsidRDefault="00F412DF" w:rsidP="00F412DF">
      <w:pPr>
        <w:jc w:val="both"/>
        <w:rPr>
          <w:rFonts w:ascii="Arial" w:hAnsi="Arial" w:cs="Arial"/>
          <w:b/>
          <w:bCs/>
        </w:rPr>
      </w:pPr>
      <w:r w:rsidRPr="00F412DF">
        <w:rPr>
          <w:rFonts w:ascii="Arial" w:hAnsi="Arial" w:cs="Arial"/>
          <w:b/>
          <w:bCs/>
        </w:rPr>
        <w:t>Source: Prepared by Author</w:t>
      </w:r>
    </w:p>
    <w:p w14:paraId="3017A87A" w14:textId="77777777" w:rsidR="00F412DF" w:rsidRPr="00F412DF" w:rsidRDefault="00F412DF" w:rsidP="00F412DF">
      <w:pPr>
        <w:jc w:val="both"/>
        <w:rPr>
          <w:rFonts w:ascii="Arial" w:hAnsi="Arial" w:cs="Arial"/>
          <w:b/>
          <w:bCs/>
        </w:rPr>
      </w:pPr>
    </w:p>
    <w:p w14:paraId="5E4E2A43" w14:textId="4C1E0258" w:rsidR="00F412DF" w:rsidRPr="00F412DF" w:rsidRDefault="00F412DF" w:rsidP="00F412DF">
      <w:pPr>
        <w:spacing w:line="360" w:lineRule="auto"/>
        <w:ind w:firstLine="720"/>
        <w:jc w:val="both"/>
        <w:rPr>
          <w:rFonts w:ascii="Arial" w:hAnsi="Arial" w:cs="Arial"/>
        </w:rPr>
      </w:pPr>
      <w:r w:rsidRPr="00F412DF">
        <w:rPr>
          <w:rFonts w:ascii="Arial" w:hAnsi="Arial" w:cs="Arial"/>
        </w:rPr>
        <w:t xml:space="preserve">The management of waste with the increase of waste has become a tedious task. Currently the waste is managed through both controlled and uncontrolled method. In the controlled method waste is collected and then either recycled or disposed of in a controlled facility. In an uncontrolled method either the collection of waste does not </w:t>
      </w:r>
      <w:proofErr w:type="gramStart"/>
      <w:r w:rsidRPr="00F412DF">
        <w:rPr>
          <w:rFonts w:ascii="Arial" w:hAnsi="Arial" w:cs="Arial"/>
        </w:rPr>
        <w:t>happens</w:t>
      </w:r>
      <w:proofErr w:type="gramEnd"/>
      <w:r w:rsidRPr="00F412DF">
        <w:rPr>
          <w:rFonts w:ascii="Arial" w:hAnsi="Arial" w:cs="Arial"/>
        </w:rPr>
        <w:t xml:space="preserve"> and the waste is dumped or burned in the open by the waste generator or it is collected by the local authorities and then dumped or burned at its final destination</w:t>
      </w:r>
      <w:r>
        <w:rPr>
          <w:rFonts w:ascii="Arial" w:hAnsi="Arial" w:cs="Arial"/>
        </w:rPr>
        <w:t xml:space="preserve"> </w:t>
      </w:r>
      <w:r w:rsidRPr="00F412DF">
        <w:rPr>
          <w:rFonts w:ascii="Arial" w:hAnsi="Arial" w:cs="Arial"/>
        </w:rPr>
        <w:t xml:space="preserve">(Pathak et al. 2023).  Black carbon emitted from open burning has adverse impacts on human health and environment. This is a powerful atmospheric warming agent that increases the melting power of polar ice (Arctic Council Secretariat, 2021). Dumping of wastes are prone to fires which can smolder continuously beneath the surface for month and can be very difficult and dangerous to extinguish. </w:t>
      </w:r>
    </w:p>
    <w:p w14:paraId="77B84199" w14:textId="77777777" w:rsidR="00F412DF" w:rsidRPr="00F412DF" w:rsidRDefault="00F412DF" w:rsidP="00F412DF">
      <w:pPr>
        <w:spacing w:line="360" w:lineRule="auto"/>
        <w:jc w:val="both"/>
        <w:rPr>
          <w:rFonts w:ascii="Arial" w:hAnsi="Arial" w:cs="Arial"/>
        </w:rPr>
      </w:pPr>
    </w:p>
    <w:p w14:paraId="72B9950C" w14:textId="77777777" w:rsidR="00F412DF" w:rsidRPr="00F412DF" w:rsidRDefault="00F412DF" w:rsidP="00F412DF">
      <w:pPr>
        <w:jc w:val="both"/>
        <w:rPr>
          <w:rFonts w:ascii="Arial" w:hAnsi="Arial" w:cs="Arial"/>
          <w:b/>
          <w:bCs/>
        </w:rPr>
      </w:pPr>
      <w:r w:rsidRPr="00F412DF">
        <w:rPr>
          <w:rFonts w:ascii="Arial" w:hAnsi="Arial" w:cs="Arial"/>
          <w:b/>
          <w:bCs/>
          <w:noProof/>
        </w:rPr>
        <w:drawing>
          <wp:inline distT="0" distB="0" distL="0" distR="0" wp14:anchorId="788F64C1" wp14:editId="30193AD9">
            <wp:extent cx="5237935" cy="239232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92794" cy="2417382"/>
                    </a:xfrm>
                    <a:prstGeom prst="rect">
                      <a:avLst/>
                    </a:prstGeom>
                  </pic:spPr>
                </pic:pic>
              </a:graphicData>
            </a:graphic>
          </wp:inline>
        </w:drawing>
      </w:r>
    </w:p>
    <w:p w14:paraId="5497E0F9" w14:textId="2E1DD085" w:rsidR="00F412DF" w:rsidRPr="00F412DF" w:rsidRDefault="00F412DF" w:rsidP="00F412DF">
      <w:pPr>
        <w:jc w:val="both"/>
        <w:rPr>
          <w:rFonts w:ascii="Arial" w:hAnsi="Arial" w:cs="Arial"/>
          <w:b/>
          <w:bCs/>
        </w:rPr>
      </w:pPr>
      <w:r w:rsidRPr="00F412DF">
        <w:rPr>
          <w:rFonts w:ascii="Arial" w:hAnsi="Arial" w:cs="Arial"/>
          <w:b/>
          <w:bCs/>
        </w:rPr>
        <w:t>Figure 1</w:t>
      </w:r>
      <w:r w:rsidR="00E23C0F">
        <w:rPr>
          <w:rFonts w:ascii="Arial" w:hAnsi="Arial" w:cs="Arial"/>
          <w:b/>
          <w:bCs/>
        </w:rPr>
        <w:t>0</w:t>
      </w:r>
      <w:r w:rsidRPr="00F412DF">
        <w:rPr>
          <w:rFonts w:ascii="Arial" w:hAnsi="Arial" w:cs="Arial"/>
          <w:b/>
          <w:bCs/>
        </w:rPr>
        <w:t>: Global Municipal Solid Waste destinations in 2020: Controlled (landfilling, waste to energy, recycling) and uncontrolled</w:t>
      </w:r>
    </w:p>
    <w:p w14:paraId="619E94C9" w14:textId="77777777" w:rsidR="00F412DF" w:rsidRPr="00F412DF" w:rsidRDefault="00F412DF" w:rsidP="00F412DF">
      <w:pPr>
        <w:rPr>
          <w:rFonts w:ascii="Arial" w:hAnsi="Arial" w:cs="Arial"/>
          <w:b/>
          <w:bCs/>
        </w:rPr>
      </w:pPr>
      <w:r w:rsidRPr="00F412DF">
        <w:rPr>
          <w:rFonts w:ascii="Arial" w:hAnsi="Arial" w:cs="Arial"/>
          <w:b/>
          <w:bCs/>
        </w:rPr>
        <w:lastRenderedPageBreak/>
        <w:t>Source: (UNEP, 2024)</w:t>
      </w:r>
    </w:p>
    <w:p w14:paraId="1BBEC52E" w14:textId="77777777" w:rsidR="00F412DF" w:rsidRPr="00F412DF" w:rsidRDefault="00F412DF" w:rsidP="00F412DF">
      <w:pPr>
        <w:jc w:val="both"/>
        <w:rPr>
          <w:rFonts w:ascii="Arial" w:hAnsi="Arial" w:cs="Arial"/>
          <w:b/>
          <w:bCs/>
        </w:rPr>
      </w:pPr>
    </w:p>
    <w:p w14:paraId="009F273E" w14:textId="77777777" w:rsidR="00F412DF" w:rsidRPr="00F412DF" w:rsidRDefault="00F412DF" w:rsidP="00F412DF">
      <w:pPr>
        <w:spacing w:line="360" w:lineRule="auto"/>
        <w:jc w:val="both"/>
        <w:rPr>
          <w:rFonts w:ascii="Arial" w:hAnsi="Arial" w:cs="Arial"/>
          <w:b/>
          <w:bCs/>
        </w:rPr>
      </w:pPr>
    </w:p>
    <w:p w14:paraId="74B12B78" w14:textId="5440E57A" w:rsidR="00F412DF" w:rsidRPr="00F412DF" w:rsidRDefault="00F412DF" w:rsidP="00F412DF">
      <w:pPr>
        <w:spacing w:line="360" w:lineRule="auto"/>
        <w:ind w:firstLine="720"/>
        <w:jc w:val="both"/>
        <w:rPr>
          <w:rFonts w:ascii="Arial" w:hAnsi="Arial" w:cs="Arial"/>
        </w:rPr>
      </w:pPr>
      <w:r w:rsidRPr="00F412DF">
        <w:rPr>
          <w:rFonts w:ascii="Arial" w:hAnsi="Arial" w:cs="Arial"/>
        </w:rPr>
        <w:t xml:space="preserve">In Leh district, waste management is primarily overseen by the Municipal Corporation of Leh. Waste collection is conducted through a door-to-door service, where garbage is collected from both households and commercial establishments. However, there is no effort made to segregate the waste at the source for recycling purposes. The collected waste is taken to the solid waste management plant which is a solar based treatment plant. According to the study, this door-to-door collection service, however, is operational only in certain areas within Leh town, such as Sankar and Tukcha, which fall under the municipal jurisdiction. Unfortunately, this waste collection service is not available in more remote rural areas. In these areas, dry waste is either dumped or burned, while wet waste is often repurposed for feeding animals or used in the process of </w:t>
      </w:r>
      <w:proofErr w:type="spellStart"/>
      <w:r w:rsidRPr="00F412DF">
        <w:rPr>
          <w:rFonts w:ascii="Arial" w:hAnsi="Arial" w:cs="Arial"/>
        </w:rPr>
        <w:t>vermi</w:t>
      </w:r>
      <w:proofErr w:type="spellEnd"/>
      <w:r w:rsidRPr="00F412DF">
        <w:rPr>
          <w:rFonts w:ascii="Arial" w:hAnsi="Arial" w:cs="Arial"/>
        </w:rPr>
        <w:t>-composting to create manure.</w:t>
      </w:r>
    </w:p>
    <w:p w14:paraId="4BDD9268" w14:textId="77777777" w:rsidR="00F412DF" w:rsidRPr="00F412DF" w:rsidRDefault="00F412DF" w:rsidP="00F412DF">
      <w:pPr>
        <w:spacing w:line="360" w:lineRule="auto"/>
        <w:ind w:firstLine="720"/>
        <w:jc w:val="both"/>
        <w:rPr>
          <w:rFonts w:ascii="Arial" w:hAnsi="Arial" w:cs="Arial"/>
        </w:rPr>
      </w:pPr>
    </w:p>
    <w:p w14:paraId="3F3EEB3F" w14:textId="790D504B" w:rsidR="00F412DF" w:rsidRDefault="00F412DF" w:rsidP="00373A84">
      <w:pPr>
        <w:spacing w:line="360" w:lineRule="auto"/>
        <w:ind w:firstLine="720"/>
        <w:jc w:val="both"/>
        <w:rPr>
          <w:rFonts w:ascii="Arial" w:hAnsi="Arial" w:cs="Arial"/>
        </w:rPr>
      </w:pPr>
      <w:r w:rsidRPr="00F412DF">
        <w:rPr>
          <w:rFonts w:ascii="Arial" w:hAnsi="Arial" w:cs="Arial"/>
        </w:rPr>
        <w:t xml:space="preserve">The Solid Waste Management Plant in Leh district, powered by solar energy, boasts an impressive capacity of 30 </w:t>
      </w:r>
      <w:proofErr w:type="spellStart"/>
      <w:r w:rsidRPr="00F412DF">
        <w:rPr>
          <w:rFonts w:ascii="Arial" w:hAnsi="Arial" w:cs="Arial"/>
        </w:rPr>
        <w:t>tonnes</w:t>
      </w:r>
      <w:proofErr w:type="spellEnd"/>
      <w:r w:rsidRPr="00F412DF">
        <w:rPr>
          <w:rFonts w:ascii="Arial" w:hAnsi="Arial" w:cs="Arial"/>
        </w:rPr>
        <w:t xml:space="preserve"> per day (20 </w:t>
      </w:r>
      <w:proofErr w:type="spellStart"/>
      <w:r w:rsidRPr="00F412DF">
        <w:rPr>
          <w:rFonts w:ascii="Arial" w:hAnsi="Arial" w:cs="Arial"/>
        </w:rPr>
        <w:t>tonnes</w:t>
      </w:r>
      <w:proofErr w:type="spellEnd"/>
      <w:r w:rsidRPr="00F412DF">
        <w:rPr>
          <w:rFonts w:ascii="Arial" w:hAnsi="Arial" w:cs="Arial"/>
        </w:rPr>
        <w:t xml:space="preserve"> of dry waste and 10 </w:t>
      </w:r>
      <w:proofErr w:type="spellStart"/>
      <w:r w:rsidRPr="00F412DF">
        <w:rPr>
          <w:rFonts w:ascii="Arial" w:hAnsi="Arial" w:cs="Arial"/>
        </w:rPr>
        <w:t>tonnes</w:t>
      </w:r>
      <w:proofErr w:type="spellEnd"/>
      <w:r w:rsidRPr="00F412DF">
        <w:rPr>
          <w:rFonts w:ascii="Arial" w:hAnsi="Arial" w:cs="Arial"/>
        </w:rPr>
        <w:t xml:space="preserve"> of wet waste). Located in </w:t>
      </w:r>
      <w:proofErr w:type="spellStart"/>
      <w:r w:rsidRPr="00F412DF">
        <w:rPr>
          <w:rFonts w:ascii="Arial" w:hAnsi="Arial" w:cs="Arial"/>
        </w:rPr>
        <w:t>Skampari</w:t>
      </w:r>
      <w:proofErr w:type="spellEnd"/>
      <w:r w:rsidRPr="00F412DF">
        <w:rPr>
          <w:rFonts w:ascii="Arial" w:hAnsi="Arial" w:cs="Arial"/>
        </w:rPr>
        <w:t>, Leh town, this innovative initiative aims to achieve 100% source segregation of waste and a 90% material recovery rate. Through the use of advanced technologies and processes, such as efficient recycling and composting, the plant seeks to effectively tackle the solid waste issue while also generating revenue from the sale of valuable recyclable materials and organic compost ((</w:t>
      </w:r>
      <w:proofErr w:type="spellStart"/>
      <w:r w:rsidRPr="00F412DF">
        <w:rPr>
          <w:rFonts w:ascii="Arial" w:hAnsi="Arial" w:cs="Arial"/>
        </w:rPr>
        <w:t>Dorjey</w:t>
      </w:r>
      <w:proofErr w:type="spellEnd"/>
      <w:r w:rsidRPr="00F412DF">
        <w:rPr>
          <w:rFonts w:ascii="Arial" w:hAnsi="Arial" w:cs="Arial"/>
        </w:rPr>
        <w:t>, personal communication, August 8, 2024).</w:t>
      </w:r>
    </w:p>
    <w:p w14:paraId="0ECE5252" w14:textId="77777777" w:rsidR="00373A84" w:rsidRPr="00F412DF" w:rsidRDefault="00373A84" w:rsidP="00373A84">
      <w:pPr>
        <w:spacing w:line="360" w:lineRule="auto"/>
        <w:ind w:firstLine="720"/>
        <w:jc w:val="both"/>
        <w:rPr>
          <w:rFonts w:ascii="Arial" w:hAnsi="Arial" w:cs="Arial"/>
        </w:rPr>
      </w:pPr>
    </w:p>
    <w:p w14:paraId="6BD3A7ED" w14:textId="3C736281" w:rsidR="00F412DF" w:rsidRPr="00F412DF" w:rsidRDefault="00373A84" w:rsidP="00F412DF">
      <w:pPr>
        <w:spacing w:line="360" w:lineRule="auto"/>
        <w:ind w:firstLine="720"/>
        <w:jc w:val="both"/>
        <w:rPr>
          <w:rFonts w:ascii="Arial" w:hAnsi="Arial" w:cs="Arial"/>
        </w:rPr>
      </w:pPr>
      <w:r w:rsidRPr="00766CD1">
        <w:rPr>
          <w:noProof/>
        </w:rPr>
        <w:drawing>
          <wp:inline distT="0" distB="0" distL="0" distR="0" wp14:anchorId="3196C75B" wp14:editId="26AA391E">
            <wp:extent cx="3639312" cy="2174770"/>
            <wp:effectExtent l="0" t="0" r="0" b="0"/>
            <wp:docPr id="12" name="Content Placeholder 6">
              <a:extLst xmlns:a="http://schemas.openxmlformats.org/drawingml/2006/main">
                <a:ext uri="{FF2B5EF4-FFF2-40B4-BE49-F238E27FC236}">
                  <a16:creationId xmlns:a16="http://schemas.microsoft.com/office/drawing/2014/main" id="{FB01FB39-8CE6-294A-8941-7029F9248E9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FB01FB39-8CE6-294A-8941-7029F9248E98}"/>
                        </a:ext>
                      </a:extLst>
                    </pic:cNvPr>
                    <pic:cNvPicPr>
                      <a:picLocks noGrp="1" noChangeAspect="1"/>
                    </pic:cNvPicPr>
                  </pic:nvPicPr>
                  <pic:blipFill>
                    <a:blip r:embed="rId24"/>
                    <a:stretch>
                      <a:fillRect/>
                    </a:stretch>
                  </pic:blipFill>
                  <pic:spPr>
                    <a:xfrm>
                      <a:off x="0" y="0"/>
                      <a:ext cx="3748024" cy="2239734"/>
                    </a:xfrm>
                    <a:prstGeom prst="rect">
                      <a:avLst/>
                    </a:prstGeom>
                  </pic:spPr>
                </pic:pic>
              </a:graphicData>
            </a:graphic>
          </wp:inline>
        </w:drawing>
      </w:r>
    </w:p>
    <w:p w14:paraId="3201CF66" w14:textId="77777777" w:rsidR="00F412DF" w:rsidRPr="00F412DF" w:rsidRDefault="00F412DF" w:rsidP="00373A84">
      <w:pPr>
        <w:spacing w:line="360" w:lineRule="auto"/>
        <w:jc w:val="both"/>
        <w:rPr>
          <w:rFonts w:ascii="Arial" w:hAnsi="Arial" w:cs="Arial"/>
        </w:rPr>
      </w:pPr>
    </w:p>
    <w:p w14:paraId="0A7E4770" w14:textId="77777777" w:rsidR="00F412DF" w:rsidRPr="00F412DF" w:rsidRDefault="00F412DF" w:rsidP="00F412DF">
      <w:pPr>
        <w:spacing w:line="360" w:lineRule="auto"/>
        <w:ind w:firstLine="720"/>
        <w:jc w:val="both"/>
        <w:rPr>
          <w:rFonts w:ascii="Arial" w:hAnsi="Arial" w:cs="Arial"/>
        </w:rPr>
      </w:pPr>
    </w:p>
    <w:p w14:paraId="29479DCD" w14:textId="67E3CCC4" w:rsidR="00F412DF" w:rsidRPr="00373A84" w:rsidRDefault="00373A84" w:rsidP="00373A84">
      <w:pPr>
        <w:spacing w:line="360" w:lineRule="auto"/>
        <w:ind w:firstLine="720"/>
        <w:jc w:val="both"/>
        <w:rPr>
          <w:rFonts w:ascii="Arial" w:hAnsi="Arial" w:cs="Arial"/>
        </w:rPr>
      </w:pPr>
      <w:r w:rsidRPr="005E18AC">
        <w:rPr>
          <w:noProof/>
        </w:rPr>
        <w:drawing>
          <wp:inline distT="0" distB="0" distL="0" distR="0" wp14:anchorId="1AA029A0" wp14:editId="38BA0CA0">
            <wp:extent cx="3739896" cy="2115185"/>
            <wp:effectExtent l="0" t="0" r="0" b="0"/>
            <wp:docPr id="15" name="Content Placeholder 4">
              <a:extLst xmlns:a="http://schemas.openxmlformats.org/drawingml/2006/main">
                <a:ext uri="{FF2B5EF4-FFF2-40B4-BE49-F238E27FC236}">
                  <a16:creationId xmlns:a16="http://schemas.microsoft.com/office/drawing/2014/main" id="{DFBA8897-EA4A-444E-9843-68A4B81C8B0E}"/>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DFBA8897-EA4A-444E-9843-68A4B81C8B0E}"/>
                        </a:ext>
                      </a:extLst>
                    </pic:cNvPr>
                    <pic:cNvPicPr>
                      <a:picLocks noGrp="1"/>
                    </pic:cNvPicPr>
                  </pic:nvPicPr>
                  <pic:blipFill>
                    <a:blip r:embed="rId25"/>
                    <a:stretch>
                      <a:fillRect/>
                    </a:stretch>
                  </pic:blipFill>
                  <pic:spPr>
                    <a:xfrm>
                      <a:off x="0" y="0"/>
                      <a:ext cx="3782596" cy="2139335"/>
                    </a:xfrm>
                    <a:prstGeom prst="rect">
                      <a:avLst/>
                    </a:prstGeom>
                  </pic:spPr>
                </pic:pic>
              </a:graphicData>
            </a:graphic>
          </wp:inline>
        </w:drawing>
      </w:r>
    </w:p>
    <w:p w14:paraId="3B7D8608" w14:textId="77777777" w:rsidR="00F412DF" w:rsidRPr="00F412DF" w:rsidRDefault="00F412DF" w:rsidP="00F412DF">
      <w:pPr>
        <w:jc w:val="both"/>
        <w:rPr>
          <w:rFonts w:ascii="Arial" w:hAnsi="Arial" w:cs="Arial"/>
          <w:b/>
          <w:bCs/>
        </w:rPr>
      </w:pPr>
    </w:p>
    <w:p w14:paraId="598BC276" w14:textId="6BA58B9C" w:rsidR="00F412DF" w:rsidRPr="00F412DF" w:rsidRDefault="00F412DF" w:rsidP="00F412DF">
      <w:pPr>
        <w:jc w:val="both"/>
        <w:rPr>
          <w:rFonts w:ascii="Arial" w:hAnsi="Arial" w:cs="Arial"/>
          <w:b/>
          <w:bCs/>
        </w:rPr>
      </w:pPr>
      <w:r w:rsidRPr="00F412DF">
        <w:rPr>
          <w:rFonts w:ascii="Arial" w:hAnsi="Arial" w:cs="Arial"/>
          <w:b/>
          <w:bCs/>
        </w:rPr>
        <w:t>Figure 1</w:t>
      </w:r>
      <w:r w:rsidR="00E23C0F">
        <w:rPr>
          <w:rFonts w:ascii="Arial" w:hAnsi="Arial" w:cs="Arial"/>
          <w:b/>
          <w:bCs/>
        </w:rPr>
        <w:t>1</w:t>
      </w:r>
      <w:r w:rsidRPr="00F412DF">
        <w:rPr>
          <w:rFonts w:ascii="Arial" w:hAnsi="Arial" w:cs="Arial"/>
          <w:b/>
          <w:bCs/>
        </w:rPr>
        <w:t>: Solid Waste Management Plant Leh</w:t>
      </w:r>
    </w:p>
    <w:p w14:paraId="61B015BC" w14:textId="2B135FA8" w:rsidR="00F412DF" w:rsidRDefault="00F412DF" w:rsidP="00F412DF">
      <w:pPr>
        <w:jc w:val="both"/>
        <w:rPr>
          <w:rFonts w:ascii="Arial" w:hAnsi="Arial" w:cs="Arial"/>
          <w:b/>
          <w:bCs/>
        </w:rPr>
      </w:pPr>
      <w:r w:rsidRPr="00F412DF">
        <w:rPr>
          <w:rFonts w:ascii="Arial" w:hAnsi="Arial" w:cs="Arial"/>
          <w:b/>
          <w:bCs/>
        </w:rPr>
        <w:t>Source: Field Visit, 2023-24</w:t>
      </w:r>
    </w:p>
    <w:p w14:paraId="214972F2" w14:textId="445501BF" w:rsidR="00373A84" w:rsidRDefault="00373A84" w:rsidP="00F412DF">
      <w:pPr>
        <w:jc w:val="both"/>
        <w:rPr>
          <w:rFonts w:ascii="Arial" w:hAnsi="Arial" w:cs="Arial"/>
          <w:b/>
          <w:bCs/>
        </w:rPr>
      </w:pPr>
    </w:p>
    <w:p w14:paraId="0C30DE06" w14:textId="77777777" w:rsidR="00373A84" w:rsidRPr="00F412DF" w:rsidRDefault="00373A84" w:rsidP="00F412DF">
      <w:pPr>
        <w:jc w:val="both"/>
        <w:rPr>
          <w:rFonts w:ascii="Arial" w:hAnsi="Arial" w:cs="Arial"/>
          <w:b/>
          <w:bCs/>
        </w:rPr>
      </w:pPr>
    </w:p>
    <w:p w14:paraId="734F0DCC" w14:textId="77777777" w:rsidR="00F412DF" w:rsidRDefault="00F412DF" w:rsidP="00F412DF">
      <w:pPr>
        <w:jc w:val="both"/>
        <w:rPr>
          <w:rFonts w:ascii="Arial" w:hAnsi="Arial" w:cs="Arial"/>
          <w:b/>
          <w:bCs/>
        </w:rPr>
      </w:pPr>
      <w:r w:rsidRPr="00F412DF">
        <w:rPr>
          <w:rFonts w:ascii="Arial" w:hAnsi="Arial" w:cs="Arial"/>
          <w:b/>
          <w:bCs/>
          <w:noProof/>
        </w:rPr>
        <w:drawing>
          <wp:inline distT="0" distB="0" distL="0" distR="0" wp14:anchorId="3B77BA2A" wp14:editId="7B2D9E4B">
            <wp:extent cx="5592726" cy="3145908"/>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04460" cy="3152508"/>
                    </a:xfrm>
                    <a:prstGeom prst="rect">
                      <a:avLst/>
                    </a:prstGeom>
                  </pic:spPr>
                </pic:pic>
              </a:graphicData>
            </a:graphic>
          </wp:inline>
        </w:drawing>
      </w:r>
    </w:p>
    <w:p w14:paraId="3B3ECA94" w14:textId="0008F942" w:rsidR="00F412DF" w:rsidRPr="00F412DF" w:rsidRDefault="00F412DF" w:rsidP="00F412DF">
      <w:pPr>
        <w:jc w:val="both"/>
        <w:rPr>
          <w:rFonts w:ascii="Arial" w:hAnsi="Arial" w:cs="Arial"/>
          <w:b/>
          <w:bCs/>
        </w:rPr>
      </w:pPr>
      <w:r w:rsidRPr="00F412DF">
        <w:rPr>
          <w:rFonts w:ascii="Arial" w:hAnsi="Arial" w:cs="Arial"/>
          <w:b/>
          <w:bCs/>
        </w:rPr>
        <w:t>Figure 12: Operation of Solid Waste Management Plant, Leh</w:t>
      </w:r>
    </w:p>
    <w:p w14:paraId="72EE5E36" w14:textId="77777777" w:rsidR="00F412DF" w:rsidRPr="00F412DF" w:rsidRDefault="00F412DF" w:rsidP="00F412DF">
      <w:pPr>
        <w:jc w:val="both"/>
        <w:rPr>
          <w:rFonts w:ascii="Arial" w:hAnsi="Arial" w:cs="Arial"/>
          <w:b/>
          <w:bCs/>
        </w:rPr>
      </w:pPr>
      <w:r w:rsidRPr="00F412DF">
        <w:rPr>
          <w:rFonts w:ascii="Arial" w:hAnsi="Arial" w:cs="Arial"/>
          <w:b/>
          <w:bCs/>
        </w:rPr>
        <w:t xml:space="preserve">Source: Field Visit, 2023-24 </w:t>
      </w:r>
    </w:p>
    <w:p w14:paraId="1C899ADE" w14:textId="77777777" w:rsidR="00F412DF" w:rsidRDefault="00F412DF" w:rsidP="00441B6F">
      <w:pPr>
        <w:pStyle w:val="Head1"/>
        <w:spacing w:after="0"/>
        <w:jc w:val="both"/>
        <w:rPr>
          <w:rFonts w:ascii="Arial" w:hAnsi="Arial" w:cs="Arial"/>
        </w:rPr>
      </w:pPr>
    </w:p>
    <w:p w14:paraId="5C391D60" w14:textId="77777777" w:rsidR="00E053D0" w:rsidRDefault="00E053D0" w:rsidP="00441B6F">
      <w:pPr>
        <w:pStyle w:val="Body"/>
        <w:spacing w:after="0"/>
        <w:rPr>
          <w:rFonts w:ascii="Arial" w:hAnsi="Arial" w:cs="Arial"/>
        </w:rPr>
      </w:pPr>
    </w:p>
    <w:p w14:paraId="1628CD36" w14:textId="77777777" w:rsidR="00790ADA" w:rsidRPr="00FB3A86" w:rsidRDefault="00790ADA" w:rsidP="00441B6F">
      <w:pPr>
        <w:pStyle w:val="Body"/>
        <w:spacing w:after="0"/>
        <w:rPr>
          <w:rFonts w:ascii="Arial" w:hAnsi="Arial" w:cs="Arial"/>
        </w:rPr>
      </w:pPr>
    </w:p>
    <w:p w14:paraId="36554238" w14:textId="7A52A7B8" w:rsidR="00B01FCD" w:rsidRDefault="00F412DF" w:rsidP="00441B6F">
      <w:pPr>
        <w:pStyle w:val="ConcHead"/>
        <w:spacing w:after="0"/>
        <w:jc w:val="both"/>
        <w:rPr>
          <w:rFonts w:ascii="Arial" w:hAnsi="Arial" w:cs="Arial"/>
        </w:rPr>
      </w:pPr>
      <w:r>
        <w:rPr>
          <w:rFonts w:ascii="Arial" w:hAnsi="Arial" w:cs="Arial"/>
        </w:rPr>
        <w:t>5</w:t>
      </w:r>
      <w:r w:rsidR="00000F8F">
        <w:rPr>
          <w:rFonts w:ascii="Arial" w:hAnsi="Arial" w:cs="Arial"/>
        </w:rPr>
        <w:t xml:space="preserve">. </w:t>
      </w:r>
      <w:r w:rsidR="00B01FCD" w:rsidRPr="00FB3A86">
        <w:rPr>
          <w:rFonts w:ascii="Arial" w:hAnsi="Arial" w:cs="Arial"/>
        </w:rPr>
        <w:t>Conclusion</w:t>
      </w:r>
    </w:p>
    <w:p w14:paraId="7FDA419F" w14:textId="77777777" w:rsidR="00790ADA" w:rsidRPr="00FB3A86" w:rsidRDefault="00790ADA" w:rsidP="00441B6F">
      <w:pPr>
        <w:pStyle w:val="ConcHead"/>
        <w:spacing w:after="0"/>
        <w:jc w:val="both"/>
        <w:rPr>
          <w:rFonts w:ascii="Arial" w:hAnsi="Arial" w:cs="Arial"/>
        </w:rPr>
      </w:pPr>
    </w:p>
    <w:p w14:paraId="79CAEA6B" w14:textId="77777777" w:rsidR="00F412DF" w:rsidRPr="00F412DF" w:rsidRDefault="00F412DF" w:rsidP="00F412DF">
      <w:pPr>
        <w:spacing w:line="360" w:lineRule="auto"/>
        <w:jc w:val="both"/>
        <w:rPr>
          <w:rFonts w:ascii="Arial" w:hAnsi="Arial" w:cs="Arial"/>
        </w:rPr>
      </w:pPr>
      <w:r w:rsidRPr="00F412DF">
        <w:rPr>
          <w:rFonts w:ascii="Arial" w:hAnsi="Arial" w:cs="Arial"/>
        </w:rPr>
        <w:t>Tourism has undeniably emerged as a major driver of economic growth in Ladakh, providing significant livelihood opportunities and fostering development in the region. However, the rapid influx of tourists has also led to severe environmental challenges, particularly in the form of solid waste generation. The sheer volume of waste produced during the peak tourist seasons is overwhelming, and it often accumulates at waste management sites to such an extent that effective disposal and treatment become unmanageable. This growing waste crisis poses a grave threat to Ladakh's already fragile ecosystem, which is highly vulnerable due to its remote, high-altitude location. If not addressed, the unchecked accumulation of waste could have catastrophic consequences for the region's natural environment and its long-term sustainability.</w:t>
      </w:r>
    </w:p>
    <w:p w14:paraId="78900D65" w14:textId="77777777" w:rsidR="00F412DF" w:rsidRPr="00F412DF" w:rsidRDefault="00F412DF" w:rsidP="00F412DF">
      <w:pPr>
        <w:spacing w:line="360" w:lineRule="auto"/>
        <w:jc w:val="both"/>
        <w:rPr>
          <w:rFonts w:ascii="Arial" w:hAnsi="Arial" w:cs="Arial"/>
        </w:rPr>
      </w:pPr>
    </w:p>
    <w:p w14:paraId="112D6034" w14:textId="07694A12" w:rsidR="002B685A" w:rsidRPr="00F412DF" w:rsidRDefault="00F412DF" w:rsidP="00F412DF">
      <w:pPr>
        <w:spacing w:line="360" w:lineRule="auto"/>
        <w:ind w:firstLine="720"/>
        <w:jc w:val="both"/>
        <w:rPr>
          <w:rFonts w:ascii="Arial" w:hAnsi="Arial" w:cs="Arial"/>
        </w:rPr>
      </w:pPr>
      <w:r w:rsidRPr="00F412DF">
        <w:rPr>
          <w:rFonts w:ascii="Arial" w:hAnsi="Arial" w:cs="Arial"/>
        </w:rPr>
        <w:t>It is crucial to recognize that the management of such large amounts of waste is not only difficult but can have far-reaching consequences, especially in the context of the Himalayan environment. Therefore, adopting a more sustainable and responsible approach to tourism is of paramount importance. This includes the implementation of robust waste management policies that encourage the practice of the "3 Rs"- reduce, reuse, and recycle. Additionally, raising awareness among both the host communities and residents about the importance of waste segregation and the concept of "My Waste, My Responsibility" is essential. By involving local populations in waste management efforts and encouraging tourists to take responsibility for their waste, the region can move towards more sustainable tourism practices.</w:t>
      </w:r>
    </w:p>
    <w:p w14:paraId="03CE8184" w14:textId="77777777" w:rsidR="001A29D8" w:rsidRDefault="001A29D8" w:rsidP="00441B6F">
      <w:pPr>
        <w:pStyle w:val="ReferHead"/>
        <w:spacing w:after="0"/>
        <w:jc w:val="both"/>
        <w:rPr>
          <w:rFonts w:ascii="Arial" w:hAnsi="Arial" w:cs="Arial"/>
          <w:b w:val="0"/>
          <w:caps w:val="0"/>
          <w:sz w:val="20"/>
        </w:rPr>
      </w:pPr>
    </w:p>
    <w:p w14:paraId="69B48DDF" w14:textId="77777777" w:rsidR="00860000" w:rsidRDefault="00860000" w:rsidP="00441B6F">
      <w:pPr>
        <w:pStyle w:val="ReferHead"/>
        <w:spacing w:after="0"/>
        <w:jc w:val="both"/>
        <w:rPr>
          <w:rFonts w:ascii="Arial" w:hAnsi="Arial" w:cs="Arial"/>
        </w:rPr>
      </w:pPr>
    </w:p>
    <w:p w14:paraId="4EB39F58" w14:textId="2BAD1236" w:rsidR="00B01FCD" w:rsidRDefault="00B01FCD" w:rsidP="00441B6F">
      <w:pPr>
        <w:pStyle w:val="ReferHead"/>
        <w:spacing w:after="0"/>
        <w:jc w:val="both"/>
        <w:rPr>
          <w:rFonts w:ascii="Arial" w:hAnsi="Arial" w:cs="Arial"/>
        </w:rPr>
      </w:pPr>
      <w:r w:rsidRPr="00FB3A86">
        <w:rPr>
          <w:rFonts w:ascii="Arial" w:hAnsi="Arial" w:cs="Arial"/>
        </w:rPr>
        <w:t>References</w:t>
      </w:r>
    </w:p>
    <w:p w14:paraId="29A06701" w14:textId="3E22883A" w:rsidR="00373A84" w:rsidRDefault="00373A84" w:rsidP="00441B6F">
      <w:pPr>
        <w:pStyle w:val="ReferHead"/>
        <w:spacing w:after="0"/>
        <w:jc w:val="both"/>
        <w:rPr>
          <w:rFonts w:ascii="Arial" w:hAnsi="Arial" w:cs="Arial"/>
        </w:rPr>
      </w:pPr>
    </w:p>
    <w:p w14:paraId="4DD0F109" w14:textId="5827CA7B" w:rsidR="00373A84" w:rsidRPr="00373A84" w:rsidRDefault="00373A84" w:rsidP="00373A84">
      <w:pPr>
        <w:rPr>
          <w:rFonts w:ascii="Times New Roman" w:hAnsi="Times New Roman"/>
          <w:sz w:val="24"/>
          <w:szCs w:val="24"/>
          <w:lang w:val="en-IN" w:eastAsia="en-GB"/>
        </w:rPr>
      </w:pPr>
      <w:proofErr w:type="spellStart"/>
      <w:r w:rsidRPr="00373A84">
        <w:rPr>
          <w:rFonts w:ascii="Arial" w:hAnsi="Arial" w:cs="Arial"/>
          <w:color w:val="222222"/>
          <w:shd w:val="clear" w:color="auto" w:fill="FFFFFF"/>
          <w:lang w:val="en-IN" w:eastAsia="en-GB"/>
        </w:rPr>
        <w:t>Amasuomo</w:t>
      </w:r>
      <w:proofErr w:type="spellEnd"/>
      <w:r w:rsidRPr="00373A84">
        <w:rPr>
          <w:rFonts w:ascii="Arial" w:hAnsi="Arial" w:cs="Arial"/>
          <w:color w:val="222222"/>
          <w:shd w:val="clear" w:color="auto" w:fill="FFFFFF"/>
          <w:lang w:val="en-IN" w:eastAsia="en-GB"/>
        </w:rPr>
        <w:t xml:space="preserve">, </w:t>
      </w:r>
      <w:proofErr w:type="spellStart"/>
      <w:r w:rsidRPr="00373A84">
        <w:rPr>
          <w:rFonts w:ascii="Arial" w:hAnsi="Arial" w:cs="Arial"/>
          <w:color w:val="222222"/>
          <w:shd w:val="clear" w:color="auto" w:fill="FFFFFF"/>
          <w:lang w:val="en-IN" w:eastAsia="en-GB"/>
        </w:rPr>
        <w:t>Ebikapade</w:t>
      </w:r>
      <w:proofErr w:type="spellEnd"/>
      <w:r w:rsidRPr="00373A84">
        <w:rPr>
          <w:rFonts w:ascii="Arial" w:hAnsi="Arial" w:cs="Arial"/>
          <w:color w:val="222222"/>
          <w:shd w:val="clear" w:color="auto" w:fill="FFFFFF"/>
          <w:lang w:val="en-IN" w:eastAsia="en-GB"/>
        </w:rPr>
        <w:t>, and Jim Baird. "The concept of waste and waste management." </w:t>
      </w:r>
      <w:r w:rsidRPr="00373A84">
        <w:rPr>
          <w:rFonts w:ascii="Arial" w:hAnsi="Arial" w:cs="Arial"/>
          <w:i/>
          <w:iCs/>
          <w:color w:val="222222"/>
          <w:shd w:val="clear" w:color="auto" w:fill="FFFFFF"/>
          <w:lang w:val="en-IN" w:eastAsia="en-GB"/>
        </w:rPr>
        <w:t>J. Mgmt. &amp; Sustainability</w:t>
      </w:r>
      <w:r w:rsidRPr="00373A84">
        <w:rPr>
          <w:rFonts w:ascii="Arial" w:hAnsi="Arial" w:cs="Arial"/>
          <w:color w:val="222222"/>
          <w:shd w:val="clear" w:color="auto" w:fill="FFFFFF"/>
          <w:lang w:val="en-IN" w:eastAsia="en-GB"/>
        </w:rPr>
        <w:t> 6 (2016): 88.</w:t>
      </w:r>
    </w:p>
    <w:p w14:paraId="5BF4CC0F" w14:textId="77777777" w:rsidR="00790ADA" w:rsidRPr="00F412DF" w:rsidRDefault="00790ADA" w:rsidP="00441B6F">
      <w:pPr>
        <w:pStyle w:val="ReferHead"/>
        <w:spacing w:after="0"/>
        <w:jc w:val="both"/>
        <w:rPr>
          <w:rFonts w:ascii="Arial" w:hAnsi="Arial" w:cs="Arial"/>
        </w:rPr>
      </w:pPr>
    </w:p>
    <w:p w14:paraId="0890C2A6" w14:textId="6A519F06" w:rsidR="00F412DF" w:rsidRDefault="00F412DF" w:rsidP="00F412DF">
      <w:pPr>
        <w:rPr>
          <w:rFonts w:ascii="Arial" w:hAnsi="Arial" w:cs="Arial"/>
        </w:rPr>
      </w:pPr>
      <w:r w:rsidRPr="00F412DF">
        <w:rPr>
          <w:rFonts w:ascii="Arial" w:hAnsi="Arial" w:cs="Arial"/>
        </w:rPr>
        <w:t xml:space="preserve">Arctic Council Secretariat. (2021). </w:t>
      </w:r>
      <w:r w:rsidRPr="00F412DF">
        <w:rPr>
          <w:rFonts w:ascii="Arial" w:hAnsi="Arial" w:cs="Arial"/>
          <w:i/>
          <w:iCs/>
        </w:rPr>
        <w:t>Expert Group on Black Carbon and Methane – 3rd Summary of Progress and Recommendations</w:t>
      </w:r>
      <w:r w:rsidRPr="00F412DF">
        <w:rPr>
          <w:rFonts w:ascii="Arial" w:hAnsi="Arial" w:cs="Arial"/>
        </w:rPr>
        <w:t xml:space="preserve">. Arctic Council. </w:t>
      </w:r>
      <w:hyperlink r:id="rId27" w:history="1">
        <w:r w:rsidR="00373A84" w:rsidRPr="00514388">
          <w:rPr>
            <w:rStyle w:val="Hyperlink"/>
            <w:rFonts w:ascii="Arial" w:hAnsi="Arial" w:cs="Arial"/>
          </w:rPr>
          <w:t>https://oaarchive.arctic-council.org/items/6993176b-7da7-4d2d-9e77-e02b58e833da</w:t>
        </w:r>
      </w:hyperlink>
    </w:p>
    <w:p w14:paraId="498B40E0" w14:textId="3516BF36" w:rsidR="00373A84" w:rsidRDefault="00373A84" w:rsidP="00F412DF">
      <w:pPr>
        <w:rPr>
          <w:rFonts w:ascii="Arial" w:hAnsi="Arial" w:cs="Arial"/>
        </w:rPr>
      </w:pPr>
    </w:p>
    <w:p w14:paraId="211B93FA" w14:textId="606EB120" w:rsidR="00373A84" w:rsidRDefault="00373A84" w:rsidP="00373A84">
      <w:pPr>
        <w:rPr>
          <w:rFonts w:ascii="Arial" w:hAnsi="Arial" w:cs="Arial"/>
        </w:rPr>
      </w:pPr>
      <w:r w:rsidRPr="00F412DF">
        <w:rPr>
          <w:rFonts w:ascii="Arial" w:hAnsi="Arial" w:cs="Arial"/>
        </w:rPr>
        <w:t xml:space="preserve">Biswas, A., Parida, S., &amp; et al. (2021). </w:t>
      </w:r>
      <w:r w:rsidRPr="00F412DF">
        <w:rPr>
          <w:rFonts w:ascii="Arial" w:hAnsi="Arial" w:cs="Arial"/>
          <w:i/>
          <w:iCs/>
        </w:rPr>
        <w:t>Waste-wise cities: Best practices in municipal solid waste management</w:t>
      </w:r>
      <w:r w:rsidRPr="00F412DF">
        <w:rPr>
          <w:rFonts w:ascii="Arial" w:hAnsi="Arial" w:cs="Arial"/>
        </w:rPr>
        <w:t>. Centre for Science and Environment &amp; NITI Aayog.</w:t>
      </w:r>
    </w:p>
    <w:p w14:paraId="118DFF48" w14:textId="406E1557" w:rsidR="00373A84" w:rsidRDefault="00373A84" w:rsidP="00373A84">
      <w:pPr>
        <w:rPr>
          <w:rFonts w:ascii="Arial" w:hAnsi="Arial" w:cs="Arial"/>
        </w:rPr>
      </w:pPr>
    </w:p>
    <w:p w14:paraId="61FA086C" w14:textId="77777777" w:rsidR="00373A84" w:rsidRPr="00F412DF" w:rsidRDefault="00373A84" w:rsidP="00373A84">
      <w:pPr>
        <w:rPr>
          <w:rFonts w:ascii="Arial" w:hAnsi="Arial" w:cs="Arial"/>
        </w:rPr>
      </w:pPr>
      <w:r w:rsidRPr="00F412DF">
        <w:rPr>
          <w:rFonts w:ascii="Arial" w:hAnsi="Arial" w:cs="Arial"/>
        </w:rPr>
        <w:t xml:space="preserve">Cajete, G. A. (2020). Indigenous science, climate change, and indigenous community building: A framework of foundational perspectives for indigenous community resilience and revitalization. </w:t>
      </w:r>
      <w:r w:rsidRPr="00F412DF">
        <w:rPr>
          <w:rStyle w:val="Emphasis"/>
          <w:rFonts w:ascii="Arial" w:hAnsi="Arial" w:cs="Arial"/>
        </w:rPr>
        <w:t>Sustainability, 12</w:t>
      </w:r>
      <w:r w:rsidRPr="00F412DF">
        <w:rPr>
          <w:rFonts w:ascii="Arial" w:hAnsi="Arial" w:cs="Arial"/>
        </w:rPr>
        <w:t xml:space="preserve">(22), 9569. </w:t>
      </w:r>
      <w:hyperlink r:id="rId28" w:tgtFrame="_new" w:history="1">
        <w:r w:rsidRPr="00F412DF">
          <w:rPr>
            <w:rStyle w:val="Hyperlink"/>
            <w:rFonts w:ascii="Arial" w:eastAsia="PMingLiU" w:hAnsi="Arial" w:cs="Arial"/>
          </w:rPr>
          <w:t>https://doi.org/10.3390/su12229569</w:t>
        </w:r>
      </w:hyperlink>
    </w:p>
    <w:p w14:paraId="5A359454" w14:textId="77777777" w:rsidR="00373A84" w:rsidRDefault="00373A84" w:rsidP="00373A84">
      <w:pPr>
        <w:rPr>
          <w:rFonts w:ascii="Arial" w:hAnsi="Arial" w:cs="Arial"/>
        </w:rPr>
      </w:pPr>
    </w:p>
    <w:p w14:paraId="0E9BCFFD" w14:textId="7607DEE9" w:rsidR="00373A84" w:rsidRDefault="00373A84" w:rsidP="00373A84">
      <w:pPr>
        <w:rPr>
          <w:rFonts w:ascii="Arial" w:hAnsi="Arial" w:cs="Arial"/>
        </w:rPr>
      </w:pPr>
      <w:r w:rsidRPr="00F412DF">
        <w:rPr>
          <w:rFonts w:ascii="Arial" w:hAnsi="Arial" w:cs="Arial"/>
        </w:rPr>
        <w:t xml:space="preserve">Clouse, C. (2020). </w:t>
      </w:r>
      <w:r w:rsidRPr="00F412DF">
        <w:rPr>
          <w:rStyle w:val="Emphasis"/>
          <w:rFonts w:ascii="Arial" w:hAnsi="Arial" w:cs="Arial"/>
        </w:rPr>
        <w:t>Climate-adaptive design in high mountain villages: Ladakh in transition</w:t>
      </w:r>
      <w:r w:rsidRPr="00F412DF">
        <w:rPr>
          <w:rFonts w:ascii="Arial" w:hAnsi="Arial" w:cs="Arial"/>
        </w:rPr>
        <w:t>. Routledge.</w:t>
      </w:r>
    </w:p>
    <w:p w14:paraId="26FF7EB7" w14:textId="06962F70" w:rsidR="00373A84" w:rsidRDefault="00373A84" w:rsidP="00373A84">
      <w:pPr>
        <w:rPr>
          <w:rFonts w:ascii="Arial" w:hAnsi="Arial" w:cs="Arial"/>
        </w:rPr>
      </w:pPr>
    </w:p>
    <w:p w14:paraId="4AA69E86" w14:textId="43166016" w:rsidR="00373A84" w:rsidRPr="00373A84" w:rsidRDefault="00373A84" w:rsidP="00373A84">
      <w:pPr>
        <w:rPr>
          <w:rFonts w:ascii="Times New Roman" w:hAnsi="Times New Roman"/>
          <w:sz w:val="24"/>
          <w:szCs w:val="24"/>
          <w:lang w:val="en-IN" w:eastAsia="en-GB"/>
        </w:rPr>
      </w:pPr>
      <w:proofErr w:type="spellStart"/>
      <w:r w:rsidRPr="00373A84">
        <w:rPr>
          <w:rFonts w:ascii="Arial" w:hAnsi="Arial" w:cs="Arial"/>
          <w:color w:val="222222"/>
          <w:shd w:val="clear" w:color="auto" w:fill="FFFFFF"/>
          <w:lang w:val="en-IN" w:eastAsia="en-GB"/>
        </w:rPr>
        <w:t>Demirbas</w:t>
      </w:r>
      <w:proofErr w:type="spellEnd"/>
      <w:r w:rsidRPr="00373A84">
        <w:rPr>
          <w:rFonts w:ascii="Arial" w:hAnsi="Arial" w:cs="Arial"/>
          <w:color w:val="222222"/>
          <w:shd w:val="clear" w:color="auto" w:fill="FFFFFF"/>
          <w:lang w:val="en-IN" w:eastAsia="en-GB"/>
        </w:rPr>
        <w:t>, Ayhan. "Waste management, waste resource facilities and waste conversion processes." </w:t>
      </w:r>
      <w:r w:rsidRPr="00373A84">
        <w:rPr>
          <w:rFonts w:ascii="Arial" w:hAnsi="Arial" w:cs="Arial"/>
          <w:i/>
          <w:iCs/>
          <w:color w:val="222222"/>
          <w:shd w:val="clear" w:color="auto" w:fill="FFFFFF"/>
          <w:lang w:val="en-IN" w:eastAsia="en-GB"/>
        </w:rPr>
        <w:t>Energy Conversion and Management</w:t>
      </w:r>
      <w:r w:rsidRPr="00373A84">
        <w:rPr>
          <w:rFonts w:ascii="Arial" w:hAnsi="Arial" w:cs="Arial"/>
          <w:color w:val="222222"/>
          <w:shd w:val="clear" w:color="auto" w:fill="FFFFFF"/>
          <w:lang w:val="en-IN" w:eastAsia="en-GB"/>
        </w:rPr>
        <w:t> 52, no. 2 (2011): 1280-1287.</w:t>
      </w:r>
    </w:p>
    <w:p w14:paraId="478B9748" w14:textId="77777777" w:rsidR="00373A84" w:rsidRPr="00F412DF" w:rsidRDefault="00373A84" w:rsidP="00373A84">
      <w:pPr>
        <w:rPr>
          <w:rFonts w:ascii="Arial" w:hAnsi="Arial" w:cs="Arial"/>
        </w:rPr>
      </w:pPr>
    </w:p>
    <w:p w14:paraId="09E876EA" w14:textId="77777777" w:rsidR="00373A84" w:rsidRPr="00F412DF" w:rsidRDefault="00373A84" w:rsidP="00373A84">
      <w:pPr>
        <w:rPr>
          <w:rFonts w:ascii="Arial" w:hAnsi="Arial" w:cs="Arial"/>
        </w:rPr>
      </w:pPr>
      <w:r w:rsidRPr="00F412DF">
        <w:rPr>
          <w:rFonts w:ascii="Arial" w:hAnsi="Arial" w:cs="Arial"/>
        </w:rPr>
        <w:t xml:space="preserve">Dolma, S., &amp; Kumar, A. (2022). A bottom-up approach for sustainable cultural tourism in Ladakh: An initiative taken by women and homestays. In </w:t>
      </w:r>
      <w:r w:rsidRPr="00F412DF">
        <w:rPr>
          <w:rStyle w:val="Emphasis"/>
          <w:rFonts w:ascii="Arial" w:hAnsi="Arial" w:cs="Arial"/>
        </w:rPr>
        <w:t>the International Conference on Cultural Sustainable Tourism</w:t>
      </w:r>
      <w:r w:rsidRPr="00F412DF">
        <w:rPr>
          <w:rFonts w:ascii="Arial" w:hAnsi="Arial" w:cs="Arial"/>
        </w:rPr>
        <w:t xml:space="preserve"> (pp. 39–51). Springer Nature Switzerland</w:t>
      </w:r>
    </w:p>
    <w:p w14:paraId="44B24F5C" w14:textId="394AC2D2" w:rsidR="00373A84" w:rsidRDefault="00373A84" w:rsidP="00F412DF">
      <w:pPr>
        <w:rPr>
          <w:rFonts w:ascii="Arial" w:hAnsi="Arial" w:cs="Arial"/>
        </w:rPr>
      </w:pPr>
    </w:p>
    <w:p w14:paraId="440B5A62" w14:textId="1C12E6BC" w:rsidR="00373A84" w:rsidRDefault="00373A84" w:rsidP="00373A84">
      <w:pPr>
        <w:rPr>
          <w:rFonts w:ascii="Arial" w:hAnsi="Arial" w:cs="Arial"/>
        </w:rPr>
      </w:pPr>
      <w:r w:rsidRPr="00F412DF">
        <w:rPr>
          <w:rFonts w:ascii="Arial" w:hAnsi="Arial" w:cs="Arial"/>
        </w:rPr>
        <w:t xml:space="preserve">Fewkes, J. H. (2006). Trade at the crossroads of continents. </w:t>
      </w:r>
      <w:r w:rsidRPr="00F412DF">
        <w:rPr>
          <w:rFonts w:ascii="Arial" w:hAnsi="Arial" w:cs="Arial"/>
          <w:i/>
          <w:iCs/>
        </w:rPr>
        <w:t>Expedition Magazine, 48</w:t>
      </w:r>
      <w:r w:rsidRPr="00F412DF">
        <w:rPr>
          <w:rFonts w:ascii="Arial" w:hAnsi="Arial" w:cs="Arial"/>
        </w:rPr>
        <w:t>(3), 4–13.</w:t>
      </w:r>
    </w:p>
    <w:p w14:paraId="1C2A8381" w14:textId="0403425A" w:rsidR="00373A84" w:rsidRDefault="00373A84" w:rsidP="00373A84">
      <w:pPr>
        <w:rPr>
          <w:rFonts w:ascii="Arial" w:hAnsi="Arial" w:cs="Arial"/>
        </w:rPr>
      </w:pPr>
    </w:p>
    <w:p w14:paraId="0C152288" w14:textId="003B9EDD" w:rsidR="00373A84" w:rsidRDefault="00373A84" w:rsidP="00373A84">
      <w:pPr>
        <w:rPr>
          <w:rFonts w:ascii="Arial" w:hAnsi="Arial" w:cs="Arial"/>
        </w:rPr>
      </w:pPr>
      <w:r w:rsidRPr="00F412DF">
        <w:rPr>
          <w:rFonts w:ascii="Arial" w:hAnsi="Arial" w:cs="Arial"/>
        </w:rPr>
        <w:t xml:space="preserve">G.B. Pant National Institute of Himalayan Environment. (2023, July 12). </w:t>
      </w:r>
      <w:r w:rsidRPr="00F412DF">
        <w:rPr>
          <w:rStyle w:val="Emphasis"/>
          <w:rFonts w:ascii="Arial" w:hAnsi="Arial" w:cs="Arial"/>
        </w:rPr>
        <w:t>Special lecture series (Lecture-3): Solid waste management and sanitation in Leh, Ladakh</w:t>
      </w:r>
      <w:r w:rsidRPr="00F412DF">
        <w:rPr>
          <w:rFonts w:ascii="Arial" w:hAnsi="Arial" w:cs="Arial"/>
        </w:rPr>
        <w:t xml:space="preserve"> [Lecture, hybrid mode].</w:t>
      </w:r>
    </w:p>
    <w:p w14:paraId="0A4A44F4" w14:textId="25D404C3" w:rsidR="00373A84" w:rsidRDefault="00373A84" w:rsidP="00373A84">
      <w:pPr>
        <w:rPr>
          <w:rFonts w:ascii="Arial" w:hAnsi="Arial" w:cs="Arial"/>
        </w:rPr>
      </w:pPr>
    </w:p>
    <w:p w14:paraId="51C7651C" w14:textId="786D407D" w:rsidR="00373A84" w:rsidRPr="00373A84" w:rsidRDefault="00373A84" w:rsidP="00373A84">
      <w:pPr>
        <w:rPr>
          <w:rFonts w:ascii="Times New Roman" w:hAnsi="Times New Roman"/>
          <w:sz w:val="24"/>
          <w:szCs w:val="24"/>
          <w:lang w:val="en-IN" w:eastAsia="en-GB"/>
        </w:rPr>
      </w:pPr>
      <w:proofErr w:type="spellStart"/>
      <w:r w:rsidRPr="00373A84">
        <w:rPr>
          <w:rFonts w:ascii="Arial" w:hAnsi="Arial" w:cs="Arial"/>
          <w:color w:val="222222"/>
          <w:shd w:val="clear" w:color="auto" w:fill="FFFFFF"/>
          <w:lang w:val="en-IN" w:eastAsia="en-GB"/>
        </w:rPr>
        <w:t>Hoornweg</w:t>
      </w:r>
      <w:proofErr w:type="spellEnd"/>
      <w:r w:rsidRPr="00373A84">
        <w:rPr>
          <w:rFonts w:ascii="Arial" w:hAnsi="Arial" w:cs="Arial"/>
          <w:color w:val="222222"/>
          <w:shd w:val="clear" w:color="auto" w:fill="FFFFFF"/>
          <w:lang w:val="en-IN" w:eastAsia="en-GB"/>
        </w:rPr>
        <w:t xml:space="preserve">, Daniel, and </w:t>
      </w:r>
      <w:proofErr w:type="spellStart"/>
      <w:r w:rsidRPr="00373A84">
        <w:rPr>
          <w:rFonts w:ascii="Arial" w:hAnsi="Arial" w:cs="Arial"/>
          <w:color w:val="222222"/>
          <w:shd w:val="clear" w:color="auto" w:fill="FFFFFF"/>
          <w:lang w:val="en-IN" w:eastAsia="en-GB"/>
        </w:rPr>
        <w:t>Perinaz</w:t>
      </w:r>
      <w:proofErr w:type="spellEnd"/>
      <w:r w:rsidRPr="00373A84">
        <w:rPr>
          <w:rFonts w:ascii="Arial" w:hAnsi="Arial" w:cs="Arial"/>
          <w:color w:val="222222"/>
          <w:shd w:val="clear" w:color="auto" w:fill="FFFFFF"/>
          <w:lang w:val="en-IN" w:eastAsia="en-GB"/>
        </w:rPr>
        <w:t xml:space="preserve"> </w:t>
      </w:r>
      <w:proofErr w:type="spellStart"/>
      <w:r w:rsidRPr="00373A84">
        <w:rPr>
          <w:rFonts w:ascii="Arial" w:hAnsi="Arial" w:cs="Arial"/>
          <w:color w:val="222222"/>
          <w:shd w:val="clear" w:color="auto" w:fill="FFFFFF"/>
          <w:lang w:val="en-IN" w:eastAsia="en-GB"/>
        </w:rPr>
        <w:t>Bhada</w:t>
      </w:r>
      <w:proofErr w:type="spellEnd"/>
      <w:r w:rsidRPr="00373A84">
        <w:rPr>
          <w:rFonts w:ascii="Arial" w:hAnsi="Arial" w:cs="Arial"/>
          <w:color w:val="222222"/>
          <w:shd w:val="clear" w:color="auto" w:fill="FFFFFF"/>
          <w:lang w:val="en-IN" w:eastAsia="en-GB"/>
        </w:rPr>
        <w:t>-Tata. "What a waste: a global review of solid waste management." (2012).</w:t>
      </w:r>
    </w:p>
    <w:p w14:paraId="691B1378" w14:textId="7BCD59E9" w:rsidR="00373A84" w:rsidRPr="00373A84" w:rsidRDefault="00F412DF" w:rsidP="00373A84">
      <w:pPr>
        <w:spacing w:before="100" w:beforeAutospacing="1" w:after="100" w:afterAutospacing="1"/>
        <w:rPr>
          <w:rFonts w:ascii="Arial" w:hAnsi="Arial" w:cs="Arial"/>
          <w:color w:val="0000FF"/>
          <w:u w:val="single"/>
        </w:rPr>
      </w:pPr>
      <w:r w:rsidRPr="00F412DF">
        <w:rPr>
          <w:rFonts w:ascii="Arial" w:hAnsi="Arial" w:cs="Arial"/>
        </w:rPr>
        <w:t xml:space="preserve">Pathak, G., Nichter, M., Hardon, A., Moyer, E., Latkar, A., &amp; Simbaya, J. (2023). Plastic pollution and the open burning of plastic wastes. </w:t>
      </w:r>
      <w:r w:rsidRPr="00F412DF">
        <w:rPr>
          <w:rFonts w:ascii="Arial" w:hAnsi="Arial" w:cs="Arial"/>
          <w:i/>
          <w:iCs/>
        </w:rPr>
        <w:t>Global Environmental Change, 80</w:t>
      </w:r>
      <w:r w:rsidRPr="00F412DF">
        <w:rPr>
          <w:rFonts w:ascii="Arial" w:hAnsi="Arial" w:cs="Arial"/>
        </w:rPr>
        <w:t xml:space="preserve">, 102648. </w:t>
      </w:r>
      <w:hyperlink r:id="rId29" w:tgtFrame="_new" w:history="1">
        <w:r w:rsidRPr="00F412DF">
          <w:rPr>
            <w:rFonts w:ascii="Arial" w:hAnsi="Arial" w:cs="Arial"/>
            <w:color w:val="0000FF"/>
            <w:u w:val="single"/>
          </w:rPr>
          <w:t>https://doi.org/10.1016/j.gloenvcha.2023.102648</w:t>
        </w:r>
      </w:hyperlink>
    </w:p>
    <w:p w14:paraId="4EC6D1DD" w14:textId="77777777"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Reno, Joshua. "Waste and waste management." </w:t>
      </w:r>
      <w:r w:rsidRPr="00373A84">
        <w:rPr>
          <w:rFonts w:ascii="Arial" w:hAnsi="Arial" w:cs="Arial"/>
          <w:i/>
          <w:iCs/>
          <w:color w:val="222222"/>
          <w:shd w:val="clear" w:color="auto" w:fill="FFFFFF"/>
          <w:lang w:val="en-IN" w:eastAsia="en-GB"/>
        </w:rPr>
        <w:t>Annual Review of Anthropology</w:t>
      </w:r>
      <w:r w:rsidRPr="00373A84">
        <w:rPr>
          <w:rFonts w:ascii="Arial" w:hAnsi="Arial" w:cs="Arial"/>
          <w:color w:val="222222"/>
          <w:shd w:val="clear" w:color="auto" w:fill="FFFFFF"/>
          <w:lang w:val="en-IN" w:eastAsia="en-GB"/>
        </w:rPr>
        <w:t> 44, no. 1 (2015): 557-572.</w:t>
      </w:r>
    </w:p>
    <w:p w14:paraId="737F836E" w14:textId="77777777" w:rsidR="00373A84" w:rsidRDefault="00373A84" w:rsidP="00373A84">
      <w:pPr>
        <w:rPr>
          <w:rFonts w:ascii="Arial" w:hAnsi="Arial" w:cs="Arial"/>
        </w:rPr>
      </w:pPr>
    </w:p>
    <w:p w14:paraId="38F0F3FD" w14:textId="1225BBC1" w:rsidR="00373A84" w:rsidRDefault="00373A84" w:rsidP="00373A84">
      <w:pPr>
        <w:rPr>
          <w:rFonts w:ascii="Arial" w:hAnsi="Arial" w:cs="Arial"/>
        </w:rPr>
      </w:pPr>
      <w:r w:rsidRPr="00F412DF">
        <w:rPr>
          <w:rFonts w:ascii="Arial" w:hAnsi="Arial" w:cs="Arial"/>
        </w:rPr>
        <w:t xml:space="preserve">Rizvi, J. (1999). </w:t>
      </w:r>
      <w:r w:rsidRPr="00F412DF">
        <w:rPr>
          <w:rFonts w:ascii="Arial" w:hAnsi="Arial" w:cs="Arial"/>
          <w:i/>
          <w:iCs/>
        </w:rPr>
        <w:t>Trans-Himalayan caravans: Merchant princes and peasant traders in Ladakh</w:t>
      </w:r>
      <w:r w:rsidRPr="00F412DF">
        <w:rPr>
          <w:rFonts w:ascii="Arial" w:hAnsi="Arial" w:cs="Arial"/>
        </w:rPr>
        <w:t>. Oxford University Press.</w:t>
      </w:r>
    </w:p>
    <w:p w14:paraId="4CA08A8B" w14:textId="63A8E8D6" w:rsidR="00373A84" w:rsidRDefault="00373A84" w:rsidP="00373A84">
      <w:pPr>
        <w:rPr>
          <w:rFonts w:ascii="Arial" w:hAnsi="Arial" w:cs="Arial"/>
        </w:rPr>
      </w:pPr>
    </w:p>
    <w:p w14:paraId="61F93813" w14:textId="6EB3CBE3"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Seadon, Jeffrey K. "Sustainable waste management systems." </w:t>
      </w:r>
      <w:r w:rsidRPr="00373A84">
        <w:rPr>
          <w:rFonts w:ascii="Arial" w:hAnsi="Arial" w:cs="Arial"/>
          <w:i/>
          <w:iCs/>
          <w:color w:val="222222"/>
          <w:shd w:val="clear" w:color="auto" w:fill="FFFFFF"/>
          <w:lang w:val="en-IN" w:eastAsia="en-GB"/>
        </w:rPr>
        <w:t>Journal of cleaner production</w:t>
      </w:r>
      <w:r w:rsidRPr="00373A84">
        <w:rPr>
          <w:rFonts w:ascii="Arial" w:hAnsi="Arial" w:cs="Arial"/>
          <w:color w:val="222222"/>
          <w:shd w:val="clear" w:color="auto" w:fill="FFFFFF"/>
          <w:lang w:val="en-IN" w:eastAsia="en-GB"/>
        </w:rPr>
        <w:t> 18, no. 16-17 (2010): 1639-1651.</w:t>
      </w:r>
    </w:p>
    <w:p w14:paraId="2E855AC7" w14:textId="77777777" w:rsidR="00373A84" w:rsidRDefault="00373A84" w:rsidP="00373A84">
      <w:pPr>
        <w:rPr>
          <w:rFonts w:ascii="Arial" w:hAnsi="Arial" w:cs="Arial"/>
        </w:rPr>
      </w:pPr>
    </w:p>
    <w:p w14:paraId="074B70E8" w14:textId="44A95096" w:rsidR="00373A84" w:rsidRPr="00F412DF" w:rsidRDefault="00373A84" w:rsidP="00373A84">
      <w:pPr>
        <w:rPr>
          <w:rFonts w:ascii="Arial" w:hAnsi="Arial" w:cs="Arial"/>
        </w:rPr>
      </w:pPr>
      <w:r w:rsidRPr="00F412DF">
        <w:rPr>
          <w:rFonts w:ascii="Arial" w:hAnsi="Arial" w:cs="Arial"/>
        </w:rPr>
        <w:t xml:space="preserve">Sood, V. (1940). </w:t>
      </w:r>
      <w:r w:rsidRPr="00F412DF">
        <w:rPr>
          <w:rFonts w:ascii="Arial" w:hAnsi="Arial" w:cs="Arial"/>
          <w:i/>
          <w:iCs/>
        </w:rPr>
        <w:t>Tourism and its impacts on the socio-economic set-up of Ladakh</w:t>
      </w:r>
      <w:r w:rsidRPr="00F412DF">
        <w:rPr>
          <w:rFonts w:ascii="Arial" w:hAnsi="Arial" w:cs="Arial"/>
        </w:rPr>
        <w:t xml:space="preserve"> (MPhil diss.). Jawaharlal Nehru University.</w:t>
      </w:r>
    </w:p>
    <w:p w14:paraId="03AD94C6" w14:textId="77777777" w:rsidR="00373A84" w:rsidRDefault="00373A84" w:rsidP="00373A84">
      <w:pPr>
        <w:rPr>
          <w:rFonts w:ascii="Arial" w:hAnsi="Arial" w:cs="Arial"/>
        </w:rPr>
      </w:pPr>
    </w:p>
    <w:p w14:paraId="06AA6DB1" w14:textId="3685B62B" w:rsidR="00373A84" w:rsidRDefault="00373A84" w:rsidP="00373A84">
      <w:pPr>
        <w:rPr>
          <w:rFonts w:ascii="Arial" w:hAnsi="Arial" w:cs="Arial"/>
        </w:rPr>
      </w:pPr>
      <w:r w:rsidRPr="00F412DF">
        <w:rPr>
          <w:rFonts w:ascii="Arial" w:hAnsi="Arial" w:cs="Arial"/>
        </w:rPr>
        <w:t xml:space="preserve">Sharma, P. (2008). </w:t>
      </w:r>
      <w:r w:rsidRPr="00F412DF">
        <w:rPr>
          <w:rStyle w:val="Emphasis"/>
          <w:rFonts w:ascii="Arial" w:hAnsi="Arial" w:cs="Arial"/>
        </w:rPr>
        <w:t>Tourism and development – Case study from the Himalayas</w:t>
      </w:r>
      <w:r w:rsidRPr="00F412DF">
        <w:rPr>
          <w:rFonts w:ascii="Arial" w:hAnsi="Arial" w:cs="Arial"/>
        </w:rPr>
        <w:t>.</w:t>
      </w:r>
    </w:p>
    <w:p w14:paraId="42AA5096" w14:textId="05EFFF70" w:rsidR="00373A84" w:rsidRDefault="00373A84" w:rsidP="00373A84">
      <w:pPr>
        <w:rPr>
          <w:rFonts w:ascii="Arial" w:hAnsi="Arial" w:cs="Arial"/>
        </w:rPr>
      </w:pPr>
    </w:p>
    <w:p w14:paraId="632726E1" w14:textId="6DE7B905"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 xml:space="preserve">Singh, Jagdeep, Rafael Laurenti, Rajib Sinha, and Björn </w:t>
      </w:r>
      <w:proofErr w:type="spellStart"/>
      <w:r w:rsidRPr="00373A84">
        <w:rPr>
          <w:rFonts w:ascii="Arial" w:hAnsi="Arial" w:cs="Arial"/>
          <w:color w:val="222222"/>
          <w:shd w:val="clear" w:color="auto" w:fill="FFFFFF"/>
          <w:lang w:val="en-IN" w:eastAsia="en-GB"/>
        </w:rPr>
        <w:t>Frostell</w:t>
      </w:r>
      <w:proofErr w:type="spellEnd"/>
      <w:r w:rsidRPr="00373A84">
        <w:rPr>
          <w:rFonts w:ascii="Arial" w:hAnsi="Arial" w:cs="Arial"/>
          <w:color w:val="222222"/>
          <w:shd w:val="clear" w:color="auto" w:fill="FFFFFF"/>
          <w:lang w:val="en-IN" w:eastAsia="en-GB"/>
        </w:rPr>
        <w:t>. "Progress and challenges to the global waste management system." </w:t>
      </w:r>
      <w:r w:rsidRPr="00373A84">
        <w:rPr>
          <w:rFonts w:ascii="Arial" w:hAnsi="Arial" w:cs="Arial"/>
          <w:i/>
          <w:iCs/>
          <w:color w:val="222222"/>
          <w:shd w:val="clear" w:color="auto" w:fill="FFFFFF"/>
          <w:lang w:val="en-IN" w:eastAsia="en-GB"/>
        </w:rPr>
        <w:t>Waste Management &amp; Research</w:t>
      </w:r>
      <w:r w:rsidRPr="00373A84">
        <w:rPr>
          <w:rFonts w:ascii="Arial" w:hAnsi="Arial" w:cs="Arial"/>
          <w:color w:val="222222"/>
          <w:shd w:val="clear" w:color="auto" w:fill="FFFFFF"/>
          <w:lang w:val="en-IN" w:eastAsia="en-GB"/>
        </w:rPr>
        <w:t> 32, no. 9 (2014): 800-812.</w:t>
      </w:r>
    </w:p>
    <w:p w14:paraId="3A7AB31C" w14:textId="77777777" w:rsidR="00373A84" w:rsidRPr="00F412DF" w:rsidRDefault="00373A84" w:rsidP="00373A84">
      <w:pPr>
        <w:spacing w:line="360" w:lineRule="auto"/>
        <w:jc w:val="both"/>
        <w:rPr>
          <w:rFonts w:ascii="Arial" w:hAnsi="Arial" w:cs="Arial"/>
          <w:b/>
          <w:bCs/>
        </w:rPr>
      </w:pPr>
    </w:p>
    <w:p w14:paraId="103601C8" w14:textId="77777777" w:rsidR="00373A84" w:rsidRPr="00F412DF" w:rsidRDefault="00373A84" w:rsidP="00373A84">
      <w:pPr>
        <w:rPr>
          <w:rFonts w:ascii="Arial" w:hAnsi="Arial" w:cs="Arial"/>
        </w:rPr>
      </w:pPr>
      <w:r w:rsidRPr="00F412DF">
        <w:rPr>
          <w:rFonts w:ascii="Arial" w:hAnsi="Arial" w:cs="Arial"/>
        </w:rPr>
        <w:t xml:space="preserve">Tourism Department, Leh]. (2017-18). </w:t>
      </w:r>
      <w:r w:rsidRPr="00F412DF">
        <w:rPr>
          <w:rStyle w:val="Emphasis"/>
          <w:rFonts w:ascii="Arial" w:hAnsi="Arial" w:cs="Arial"/>
        </w:rPr>
        <w:t>District statistical handbook</w:t>
      </w:r>
      <w:r w:rsidRPr="00F412DF">
        <w:rPr>
          <w:rFonts w:ascii="Arial" w:hAnsi="Arial" w:cs="Arial"/>
        </w:rPr>
        <w:t>, Leh, Ladakh. Jammu and Kashmir Government.</w:t>
      </w:r>
    </w:p>
    <w:p w14:paraId="70D85BDC" w14:textId="12607B39" w:rsidR="00373A84" w:rsidRPr="00F412DF" w:rsidRDefault="00373A84" w:rsidP="00F412DF">
      <w:pPr>
        <w:spacing w:before="100" w:beforeAutospacing="1" w:after="100" w:afterAutospacing="1"/>
        <w:rPr>
          <w:rFonts w:ascii="Arial" w:hAnsi="Arial" w:cs="Arial"/>
        </w:rPr>
      </w:pPr>
      <w:r w:rsidRPr="00F412DF">
        <w:rPr>
          <w:rFonts w:ascii="Arial" w:hAnsi="Arial" w:cs="Arial"/>
        </w:rPr>
        <w:t xml:space="preserve">Union Territory of Ladakh. (2023). </w:t>
      </w:r>
      <w:r w:rsidRPr="00F412DF">
        <w:rPr>
          <w:rFonts w:ascii="Arial" w:hAnsi="Arial" w:cs="Arial"/>
          <w:i/>
          <w:iCs/>
        </w:rPr>
        <w:t>Compliance report for status of Solid Waste Management Rules 2016</w:t>
      </w:r>
      <w:r w:rsidRPr="00F412DF">
        <w:rPr>
          <w:rFonts w:ascii="Arial" w:hAnsi="Arial" w:cs="Arial"/>
        </w:rPr>
        <w:t xml:space="preserve">. National Green Tribunal. Retrieved from </w:t>
      </w:r>
      <w:hyperlink r:id="rId30" w:tgtFrame="_new" w:history="1">
        <w:r w:rsidRPr="00F412DF">
          <w:rPr>
            <w:rFonts w:ascii="Arial" w:hAnsi="Arial" w:cs="Arial"/>
            <w:color w:val="0000FF"/>
            <w:u w:val="single"/>
          </w:rPr>
          <w:t>https://greentribunal.gov.in</w:t>
        </w:r>
      </w:hyperlink>
    </w:p>
    <w:p w14:paraId="60E795F3" w14:textId="77777777" w:rsidR="00F412DF" w:rsidRPr="00F412DF" w:rsidRDefault="00F412DF" w:rsidP="00F412DF">
      <w:pPr>
        <w:rPr>
          <w:rFonts w:ascii="Arial" w:hAnsi="Arial" w:cs="Arial"/>
        </w:rPr>
      </w:pPr>
      <w:r w:rsidRPr="00F412DF">
        <w:rPr>
          <w:rFonts w:ascii="Arial" w:hAnsi="Arial" w:cs="Arial"/>
        </w:rPr>
        <w:t xml:space="preserve">United Nations Environment Programme (UNEP). (2024). </w:t>
      </w:r>
      <w:r w:rsidRPr="00F412DF">
        <w:rPr>
          <w:rFonts w:ascii="Arial" w:hAnsi="Arial" w:cs="Arial"/>
          <w:i/>
          <w:iCs/>
        </w:rPr>
        <w:t>Beyond the Age of Waste: Global Waste Management Outlook</w:t>
      </w:r>
      <w:r w:rsidRPr="00F412DF">
        <w:rPr>
          <w:rFonts w:ascii="Arial" w:hAnsi="Arial" w:cs="Arial"/>
        </w:rPr>
        <w:t>. UNEP. [https://www.unep.org/resources/global-waste-management-outlook-2024]</w:t>
      </w:r>
    </w:p>
    <w:p w14:paraId="6379E1D8" w14:textId="77777777" w:rsidR="00F412DF" w:rsidRPr="00F412DF" w:rsidRDefault="00F412DF" w:rsidP="00F412DF">
      <w:pPr>
        <w:spacing w:line="360" w:lineRule="auto"/>
        <w:jc w:val="both"/>
        <w:rPr>
          <w:rFonts w:ascii="Arial" w:hAnsi="Arial" w:cs="Arial"/>
          <w:b/>
          <w:bCs/>
        </w:rPr>
      </w:pPr>
    </w:p>
    <w:p w14:paraId="67EDE13F" w14:textId="77777777"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Wilson, David C. "Development drivers for waste management." </w:t>
      </w:r>
      <w:r w:rsidRPr="00373A84">
        <w:rPr>
          <w:rFonts w:ascii="Arial" w:hAnsi="Arial" w:cs="Arial"/>
          <w:i/>
          <w:iCs/>
          <w:color w:val="222222"/>
          <w:shd w:val="clear" w:color="auto" w:fill="FFFFFF"/>
          <w:lang w:val="en-IN" w:eastAsia="en-GB"/>
        </w:rPr>
        <w:t>Waste Management &amp; Research</w:t>
      </w:r>
      <w:r w:rsidRPr="00373A84">
        <w:rPr>
          <w:rFonts w:ascii="Arial" w:hAnsi="Arial" w:cs="Arial"/>
          <w:color w:val="222222"/>
          <w:shd w:val="clear" w:color="auto" w:fill="FFFFFF"/>
          <w:lang w:val="en-IN" w:eastAsia="en-GB"/>
        </w:rPr>
        <w:t> 25, no. 3 (2007): 198-207.</w:t>
      </w:r>
    </w:p>
    <w:p w14:paraId="258ACA89" w14:textId="77777777" w:rsidR="00F412DF" w:rsidRPr="00F412DF" w:rsidRDefault="00F412DF" w:rsidP="00F412DF">
      <w:pPr>
        <w:spacing w:line="360" w:lineRule="auto"/>
        <w:jc w:val="both"/>
        <w:rPr>
          <w:rFonts w:ascii="Arial" w:hAnsi="Arial" w:cs="Arial"/>
          <w:b/>
          <w:bCs/>
        </w:rPr>
      </w:pPr>
    </w:p>
    <w:p w14:paraId="52779994" w14:textId="77777777" w:rsidR="00F412DF" w:rsidRPr="00F412DF" w:rsidRDefault="00F412DF" w:rsidP="00F412DF">
      <w:pPr>
        <w:spacing w:line="360" w:lineRule="auto"/>
        <w:jc w:val="both"/>
        <w:rPr>
          <w:rFonts w:ascii="Arial" w:hAnsi="Arial" w:cs="Arial"/>
          <w:b/>
          <w:bCs/>
        </w:rPr>
      </w:pPr>
    </w:p>
    <w:p w14:paraId="5D1CD3F8" w14:textId="77777777" w:rsidR="00F412DF" w:rsidRPr="00F412DF" w:rsidRDefault="00F412DF" w:rsidP="00F412DF">
      <w:pPr>
        <w:spacing w:line="360" w:lineRule="auto"/>
        <w:jc w:val="both"/>
        <w:rPr>
          <w:rFonts w:ascii="Arial" w:hAnsi="Arial" w:cs="Arial"/>
          <w:b/>
          <w:bCs/>
        </w:rPr>
      </w:pPr>
    </w:p>
    <w:p w14:paraId="3CFF18EA" w14:textId="77777777" w:rsidR="00F412DF" w:rsidRPr="00F412DF" w:rsidRDefault="00F412DF" w:rsidP="00F412DF">
      <w:pPr>
        <w:spacing w:line="360" w:lineRule="auto"/>
        <w:jc w:val="both"/>
        <w:rPr>
          <w:rFonts w:ascii="Arial" w:hAnsi="Arial" w:cs="Arial"/>
          <w:b/>
          <w:bCs/>
        </w:rPr>
      </w:pPr>
    </w:p>
    <w:p w14:paraId="3819DE9A" w14:textId="77777777" w:rsidR="00F412DF" w:rsidRPr="00F412DF" w:rsidRDefault="00F412DF" w:rsidP="00F412DF">
      <w:pPr>
        <w:spacing w:line="360" w:lineRule="auto"/>
        <w:jc w:val="both"/>
        <w:rPr>
          <w:rFonts w:ascii="Arial" w:hAnsi="Arial" w:cs="Arial"/>
          <w:b/>
          <w:bCs/>
        </w:rPr>
      </w:pPr>
    </w:p>
    <w:p w14:paraId="11DDCBBD" w14:textId="77777777" w:rsidR="00F412DF" w:rsidRPr="00F412DF" w:rsidRDefault="00F412DF" w:rsidP="00F412DF">
      <w:pPr>
        <w:spacing w:line="360" w:lineRule="auto"/>
        <w:jc w:val="both"/>
        <w:rPr>
          <w:rFonts w:ascii="Arial" w:hAnsi="Arial" w:cs="Arial"/>
          <w:b/>
          <w:bCs/>
        </w:rPr>
      </w:pPr>
    </w:p>
    <w:p w14:paraId="22B16F60" w14:textId="77777777" w:rsidR="00B01FCD" w:rsidRPr="00F412DF" w:rsidRDefault="00B01FCD" w:rsidP="00441B6F">
      <w:pPr>
        <w:pStyle w:val="Appendix"/>
        <w:spacing w:after="0"/>
        <w:jc w:val="both"/>
        <w:rPr>
          <w:rFonts w:ascii="Arial" w:hAnsi="Arial" w:cs="Arial"/>
          <w:b w:val="0"/>
        </w:rPr>
      </w:pPr>
    </w:p>
    <w:sectPr w:rsidR="00B01FCD" w:rsidRPr="00F412DF" w:rsidSect="00F301C4">
      <w:headerReference w:type="even" r:id="rId31"/>
      <w:headerReference w:type="default" r:id="rId32"/>
      <w:footerReference w:type="default" r:id="rId33"/>
      <w:headerReference w:type="first" r:id="rId3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FF4D09" w14:textId="77777777" w:rsidR="00647FB5" w:rsidRDefault="00647FB5" w:rsidP="00C37E61">
      <w:r>
        <w:separator/>
      </w:r>
    </w:p>
  </w:endnote>
  <w:endnote w:type="continuationSeparator" w:id="0">
    <w:p w14:paraId="5A714758" w14:textId="77777777" w:rsidR="00647FB5" w:rsidRDefault="00647FB5"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867E3" w14:textId="77777777" w:rsidR="001B35C0" w:rsidRDefault="001B35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B00BF" w14:textId="77777777" w:rsidR="001B35C0" w:rsidRDefault="001B35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8A6E4" w14:textId="3FDF94A6" w:rsidR="00754C9A" w:rsidRPr="00F301C4" w:rsidRDefault="00754C9A" w:rsidP="00F301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F0A05"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2F1C2E" w14:textId="77777777" w:rsidR="00647FB5" w:rsidRDefault="00647FB5" w:rsidP="00C37E61">
      <w:r>
        <w:separator/>
      </w:r>
    </w:p>
  </w:footnote>
  <w:footnote w:type="continuationSeparator" w:id="0">
    <w:p w14:paraId="3A3D392E" w14:textId="77777777" w:rsidR="00647FB5" w:rsidRDefault="00647FB5"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9EAF7" w14:textId="247FC3F2" w:rsidR="001B35C0" w:rsidRDefault="001B35C0">
    <w:pPr>
      <w:pStyle w:val="Header"/>
    </w:pPr>
    <w:r>
      <w:rPr>
        <w:noProof/>
      </w:rPr>
      <w:pict w14:anchorId="1EEA7B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6" o:spid="_x0000_s1026" type="#_x0000_t136" style="position:absolute;margin-left:0;margin-top:0;width:685.25pt;height:76.1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AF818" w14:textId="0C50BD3D" w:rsidR="001B35C0" w:rsidRDefault="001B35C0">
    <w:pPr>
      <w:pStyle w:val="Header"/>
    </w:pPr>
    <w:r>
      <w:rPr>
        <w:noProof/>
      </w:rPr>
      <w:pict w14:anchorId="46141A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7" o:spid="_x0000_s1027" type="#_x0000_t136" style="position:absolute;margin-left:0;margin-top:0;width:685.25pt;height:76.1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1EEB8" w14:textId="33A2359C" w:rsidR="00296529" w:rsidRPr="00296529" w:rsidRDefault="001B35C0" w:rsidP="00296529">
    <w:pPr>
      <w:ind w:left="2160"/>
      <w:jc w:val="center"/>
      <w:rPr>
        <w:rFonts w:ascii="Times New Roman" w:eastAsia="Calibri" w:hAnsi="Times New Roman"/>
        <w:i/>
        <w:sz w:val="18"/>
        <w:szCs w:val="22"/>
      </w:rPr>
    </w:pPr>
    <w:r>
      <w:rPr>
        <w:noProof/>
      </w:rPr>
      <w:pict w14:anchorId="17E47D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5" o:spid="_x0000_s1025" type="#_x0000_t136" style="position:absolute;left:0;text-align:left;margin-left:0;margin-top:0;width:685.25pt;height:76.1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5DCFC5D5"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06E5770A"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2C147B5F"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28CDC2F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78BCE381"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0170B60A"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C2141" w14:textId="6FD1FCC6" w:rsidR="001B35C0" w:rsidRDefault="001B35C0">
    <w:pPr>
      <w:pStyle w:val="Header"/>
    </w:pPr>
    <w:r>
      <w:rPr>
        <w:noProof/>
      </w:rPr>
      <w:pict w14:anchorId="5D5A64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9" o:spid="_x0000_s1029" type="#_x0000_t136" style="position:absolute;margin-left:0;margin-top:0;width:685.25pt;height:76.1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FA377" w14:textId="7E21AFAB" w:rsidR="001B35C0" w:rsidRDefault="001B35C0">
    <w:pPr>
      <w:pStyle w:val="Header"/>
    </w:pPr>
    <w:r>
      <w:rPr>
        <w:noProof/>
      </w:rPr>
      <w:pict w14:anchorId="1D4BC0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80" o:spid="_x0000_s1030" type="#_x0000_t136" style="position:absolute;margin-left:0;margin-top:0;width:685.25pt;height:76.1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CB7A4" w14:textId="443DEBF6" w:rsidR="001B35C0" w:rsidRDefault="001B35C0">
    <w:pPr>
      <w:pStyle w:val="Header"/>
    </w:pPr>
    <w:r>
      <w:rPr>
        <w:noProof/>
      </w:rPr>
      <w:pict w14:anchorId="64C067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8" o:spid="_x0000_s1028" type="#_x0000_t136" style="position:absolute;margin-left:0;margin-top:0;width:685.25pt;height:76.1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09734D0"/>
    <w:multiLevelType w:val="hybridMultilevel"/>
    <w:tmpl w:val="77546F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16cid:durableId="1896503592">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821044669">
    <w:abstractNumId w:val="16"/>
  </w:num>
  <w:num w:numId="3" w16cid:durableId="19281737">
    <w:abstractNumId w:val="24"/>
  </w:num>
  <w:num w:numId="4" w16cid:durableId="1761368866">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16cid:durableId="1024135275">
    <w:abstractNumId w:val="8"/>
  </w:num>
  <w:num w:numId="6" w16cid:durableId="567574130">
    <w:abstractNumId w:val="6"/>
  </w:num>
  <w:num w:numId="7" w16cid:durableId="1602763580">
    <w:abstractNumId w:val="1"/>
  </w:num>
  <w:num w:numId="8" w16cid:durableId="1912738372">
    <w:abstractNumId w:val="13"/>
  </w:num>
  <w:num w:numId="9" w16cid:durableId="895360116">
    <w:abstractNumId w:val="26"/>
  </w:num>
  <w:num w:numId="10" w16cid:durableId="1993947846">
    <w:abstractNumId w:val="2"/>
  </w:num>
  <w:num w:numId="11" w16cid:durableId="6106698">
    <w:abstractNumId w:val="19"/>
  </w:num>
  <w:num w:numId="12" w16cid:durableId="1693461110">
    <w:abstractNumId w:val="3"/>
  </w:num>
  <w:num w:numId="13" w16cid:durableId="558059346">
    <w:abstractNumId w:val="18"/>
  </w:num>
  <w:num w:numId="14" w16cid:durableId="1094931980">
    <w:abstractNumId w:val="9"/>
  </w:num>
  <w:num w:numId="15" w16cid:durableId="203979993">
    <w:abstractNumId w:val="22"/>
  </w:num>
  <w:num w:numId="16" w16cid:durableId="103421524">
    <w:abstractNumId w:val="5"/>
  </w:num>
  <w:num w:numId="17" w16cid:durableId="791631725">
    <w:abstractNumId w:val="23"/>
  </w:num>
  <w:num w:numId="18" w16cid:durableId="1919095740">
    <w:abstractNumId w:val="15"/>
  </w:num>
  <w:num w:numId="19" w16cid:durableId="1420296332">
    <w:abstractNumId w:val="29"/>
  </w:num>
  <w:num w:numId="20" w16cid:durableId="287666231">
    <w:abstractNumId w:val="12"/>
  </w:num>
  <w:num w:numId="21" w16cid:durableId="1111390958">
    <w:abstractNumId w:val="10"/>
  </w:num>
  <w:num w:numId="22" w16cid:durableId="1409039986">
    <w:abstractNumId w:val="14"/>
  </w:num>
  <w:num w:numId="23" w16cid:durableId="951786144">
    <w:abstractNumId w:val="20"/>
  </w:num>
  <w:num w:numId="24" w16cid:durableId="118183383">
    <w:abstractNumId w:val="27"/>
  </w:num>
  <w:num w:numId="25" w16cid:durableId="719011873">
    <w:abstractNumId w:val="4"/>
  </w:num>
  <w:num w:numId="26" w16cid:durableId="1510946702">
    <w:abstractNumId w:val="17"/>
  </w:num>
  <w:num w:numId="27" w16cid:durableId="885918457">
    <w:abstractNumId w:val="21"/>
  </w:num>
  <w:num w:numId="28" w16cid:durableId="1323511345">
    <w:abstractNumId w:val="28"/>
  </w:num>
  <w:num w:numId="29" w16cid:durableId="562106230">
    <w:abstractNumId w:val="25"/>
  </w:num>
  <w:num w:numId="30" w16cid:durableId="53747479">
    <w:abstractNumId w:val="11"/>
  </w:num>
  <w:num w:numId="31" w16cid:durableId="19835827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0474F"/>
    <w:rsid w:val="00030174"/>
    <w:rsid w:val="0004579C"/>
    <w:rsid w:val="000A47FA"/>
    <w:rsid w:val="000A65D3"/>
    <w:rsid w:val="000B1E33"/>
    <w:rsid w:val="000D689F"/>
    <w:rsid w:val="000E7B7B"/>
    <w:rsid w:val="000E7D62"/>
    <w:rsid w:val="00103357"/>
    <w:rsid w:val="00123C9F"/>
    <w:rsid w:val="00126190"/>
    <w:rsid w:val="00130F17"/>
    <w:rsid w:val="001320BF"/>
    <w:rsid w:val="00163BC4"/>
    <w:rsid w:val="00191062"/>
    <w:rsid w:val="00191D3E"/>
    <w:rsid w:val="00192B72"/>
    <w:rsid w:val="001A29D8"/>
    <w:rsid w:val="001A5CAA"/>
    <w:rsid w:val="001B0427"/>
    <w:rsid w:val="001B35C0"/>
    <w:rsid w:val="001D3A51"/>
    <w:rsid w:val="001E10D2"/>
    <w:rsid w:val="001E25B4"/>
    <w:rsid w:val="001E44FE"/>
    <w:rsid w:val="00200595"/>
    <w:rsid w:val="00204835"/>
    <w:rsid w:val="002174BC"/>
    <w:rsid w:val="00231920"/>
    <w:rsid w:val="0023195C"/>
    <w:rsid w:val="0024282C"/>
    <w:rsid w:val="002460DC"/>
    <w:rsid w:val="00250985"/>
    <w:rsid w:val="002556F6"/>
    <w:rsid w:val="00283105"/>
    <w:rsid w:val="00284C4C"/>
    <w:rsid w:val="00287E68"/>
    <w:rsid w:val="00296529"/>
    <w:rsid w:val="002B27FB"/>
    <w:rsid w:val="002B685A"/>
    <w:rsid w:val="002C57D2"/>
    <w:rsid w:val="002E0D56"/>
    <w:rsid w:val="002E757C"/>
    <w:rsid w:val="00315186"/>
    <w:rsid w:val="0033343E"/>
    <w:rsid w:val="003512C2"/>
    <w:rsid w:val="00371FB6"/>
    <w:rsid w:val="00373A84"/>
    <w:rsid w:val="003763C1"/>
    <w:rsid w:val="00376BBE"/>
    <w:rsid w:val="0039224F"/>
    <w:rsid w:val="003A43A4"/>
    <w:rsid w:val="003A7E18"/>
    <w:rsid w:val="003C4C86"/>
    <w:rsid w:val="003C6258"/>
    <w:rsid w:val="003E2904"/>
    <w:rsid w:val="003E48EF"/>
    <w:rsid w:val="00401927"/>
    <w:rsid w:val="0041027F"/>
    <w:rsid w:val="00412475"/>
    <w:rsid w:val="00423789"/>
    <w:rsid w:val="00434D68"/>
    <w:rsid w:val="00440F43"/>
    <w:rsid w:val="00441B6F"/>
    <w:rsid w:val="00446221"/>
    <w:rsid w:val="00450E62"/>
    <w:rsid w:val="004539DB"/>
    <w:rsid w:val="00471A80"/>
    <w:rsid w:val="004D305E"/>
    <w:rsid w:val="004D4277"/>
    <w:rsid w:val="004D4E3B"/>
    <w:rsid w:val="00502516"/>
    <w:rsid w:val="00505F06"/>
    <w:rsid w:val="00506828"/>
    <w:rsid w:val="0053056E"/>
    <w:rsid w:val="00554FDA"/>
    <w:rsid w:val="00597608"/>
    <w:rsid w:val="005C784C"/>
    <w:rsid w:val="005D17F6"/>
    <w:rsid w:val="005E5539"/>
    <w:rsid w:val="00602BF5"/>
    <w:rsid w:val="00617FDD"/>
    <w:rsid w:val="00633614"/>
    <w:rsid w:val="00633F68"/>
    <w:rsid w:val="00636EB2"/>
    <w:rsid w:val="006375B8"/>
    <w:rsid w:val="00647FB5"/>
    <w:rsid w:val="00650B5F"/>
    <w:rsid w:val="0066510A"/>
    <w:rsid w:val="00673F9F"/>
    <w:rsid w:val="00686953"/>
    <w:rsid w:val="00687DEA"/>
    <w:rsid w:val="00687E67"/>
    <w:rsid w:val="006967F7"/>
    <w:rsid w:val="006A250C"/>
    <w:rsid w:val="006A6927"/>
    <w:rsid w:val="006B21D3"/>
    <w:rsid w:val="006B57D0"/>
    <w:rsid w:val="006D30FF"/>
    <w:rsid w:val="006D6940"/>
    <w:rsid w:val="006F11EC"/>
    <w:rsid w:val="0070082C"/>
    <w:rsid w:val="007369E6"/>
    <w:rsid w:val="00746E59"/>
    <w:rsid w:val="00754C9A"/>
    <w:rsid w:val="0075599A"/>
    <w:rsid w:val="00761D52"/>
    <w:rsid w:val="0077749E"/>
    <w:rsid w:val="00790ADA"/>
    <w:rsid w:val="007D2288"/>
    <w:rsid w:val="007E088F"/>
    <w:rsid w:val="007F7B32"/>
    <w:rsid w:val="00804BC2"/>
    <w:rsid w:val="0081431A"/>
    <w:rsid w:val="0083216F"/>
    <w:rsid w:val="00860000"/>
    <w:rsid w:val="00863BD3"/>
    <w:rsid w:val="008641ED"/>
    <w:rsid w:val="00866D66"/>
    <w:rsid w:val="008671C6"/>
    <w:rsid w:val="00875803"/>
    <w:rsid w:val="008B459E"/>
    <w:rsid w:val="008C491A"/>
    <w:rsid w:val="008E13AE"/>
    <w:rsid w:val="008E1506"/>
    <w:rsid w:val="008E710C"/>
    <w:rsid w:val="008F69D6"/>
    <w:rsid w:val="00902823"/>
    <w:rsid w:val="00915CA6"/>
    <w:rsid w:val="00927834"/>
    <w:rsid w:val="009500A6"/>
    <w:rsid w:val="00957C18"/>
    <w:rsid w:val="009659BA"/>
    <w:rsid w:val="00983040"/>
    <w:rsid w:val="009B3FB9"/>
    <w:rsid w:val="009C2465"/>
    <w:rsid w:val="009D35A0"/>
    <w:rsid w:val="009D7EB7"/>
    <w:rsid w:val="009E048A"/>
    <w:rsid w:val="009E08E9"/>
    <w:rsid w:val="009E3DB9"/>
    <w:rsid w:val="009E6E35"/>
    <w:rsid w:val="009F0EDA"/>
    <w:rsid w:val="00A013D8"/>
    <w:rsid w:val="00A03B96"/>
    <w:rsid w:val="00A05B19"/>
    <w:rsid w:val="00A1134E"/>
    <w:rsid w:val="00A24E7E"/>
    <w:rsid w:val="00A258C3"/>
    <w:rsid w:val="00A347C0"/>
    <w:rsid w:val="00A51431"/>
    <w:rsid w:val="00A539AD"/>
    <w:rsid w:val="00A94063"/>
    <w:rsid w:val="00AA6219"/>
    <w:rsid w:val="00AA74E0"/>
    <w:rsid w:val="00AB703F"/>
    <w:rsid w:val="00AC6BB8"/>
    <w:rsid w:val="00AE008F"/>
    <w:rsid w:val="00B01FCD"/>
    <w:rsid w:val="00B1776C"/>
    <w:rsid w:val="00B52583"/>
    <w:rsid w:val="00B52896"/>
    <w:rsid w:val="00B95236"/>
    <w:rsid w:val="00B96BD9"/>
    <w:rsid w:val="00BA1B01"/>
    <w:rsid w:val="00BA2641"/>
    <w:rsid w:val="00BB37AA"/>
    <w:rsid w:val="00BC53A0"/>
    <w:rsid w:val="00BE62AD"/>
    <w:rsid w:val="00BF121F"/>
    <w:rsid w:val="00BF1F80"/>
    <w:rsid w:val="00C166EF"/>
    <w:rsid w:val="00C17EB0"/>
    <w:rsid w:val="00C27720"/>
    <w:rsid w:val="00C27F5F"/>
    <w:rsid w:val="00C30A0F"/>
    <w:rsid w:val="00C37E61"/>
    <w:rsid w:val="00C70F1B"/>
    <w:rsid w:val="00C71A47"/>
    <w:rsid w:val="00C7464C"/>
    <w:rsid w:val="00C85588"/>
    <w:rsid w:val="00CD6755"/>
    <w:rsid w:val="00CD6856"/>
    <w:rsid w:val="00CE0089"/>
    <w:rsid w:val="00CE793C"/>
    <w:rsid w:val="00CF193C"/>
    <w:rsid w:val="00D173F1"/>
    <w:rsid w:val="00D74CB0"/>
    <w:rsid w:val="00D8295D"/>
    <w:rsid w:val="00DC2A65"/>
    <w:rsid w:val="00DE15F0"/>
    <w:rsid w:val="00DE5663"/>
    <w:rsid w:val="00DE78AA"/>
    <w:rsid w:val="00E053D0"/>
    <w:rsid w:val="00E15994"/>
    <w:rsid w:val="00E23C0F"/>
    <w:rsid w:val="00E3114E"/>
    <w:rsid w:val="00E31A70"/>
    <w:rsid w:val="00E35B02"/>
    <w:rsid w:val="00E66496"/>
    <w:rsid w:val="00E66B35"/>
    <w:rsid w:val="00E66E10"/>
    <w:rsid w:val="00E769F6"/>
    <w:rsid w:val="00E8407C"/>
    <w:rsid w:val="00E84F3C"/>
    <w:rsid w:val="00EA012C"/>
    <w:rsid w:val="00EC6A55"/>
    <w:rsid w:val="00ED0288"/>
    <w:rsid w:val="00EE52CB"/>
    <w:rsid w:val="00EF581D"/>
    <w:rsid w:val="00EF7FD8"/>
    <w:rsid w:val="00F031DB"/>
    <w:rsid w:val="00F06F59"/>
    <w:rsid w:val="00F17988"/>
    <w:rsid w:val="00F301C4"/>
    <w:rsid w:val="00F412DF"/>
    <w:rsid w:val="00F469F0"/>
    <w:rsid w:val="00F50095"/>
    <w:rsid w:val="00F53273"/>
    <w:rsid w:val="00F755E4"/>
    <w:rsid w:val="00F77D02"/>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4251AE"/>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2E757C"/>
    <w:pPr>
      <w:spacing w:before="100" w:beforeAutospacing="1" w:after="100" w:afterAutospacing="1"/>
    </w:pPr>
    <w:rPr>
      <w:rFonts w:ascii="Times New Roman" w:hAnsi="Times New Roman"/>
      <w:sz w:val="24"/>
      <w:szCs w:val="24"/>
      <w:lang w:val="en-IN" w:eastAsia="en-GB"/>
    </w:rPr>
  </w:style>
  <w:style w:type="table" w:styleId="PlainTable5">
    <w:name w:val="Plain Table 5"/>
    <w:basedOn w:val="TableNormal"/>
    <w:uiPriority w:val="45"/>
    <w:rsid w:val="002E757C"/>
    <w:rPr>
      <w:rFonts w:asciiTheme="minorHAnsi" w:eastAsiaTheme="minorHAnsi" w:hAnsiTheme="minorHAnsi" w:cstheme="minorBidi"/>
      <w:sz w:val="24"/>
      <w:szCs w:val="24"/>
      <w:lang w:val="en-I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F412DF"/>
    <w:pPr>
      <w:ind w:left="720"/>
      <w:contextualSpacing/>
    </w:pPr>
    <w:rPr>
      <w:rFonts w:ascii="Times New Roman" w:hAnsi="Times New Roman"/>
      <w:sz w:val="24"/>
      <w:szCs w:val="24"/>
      <w:lang w:val="en-IN"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4696329">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498539395">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834803789">
      <w:bodyDiv w:val="1"/>
      <w:marLeft w:val="0"/>
      <w:marRight w:val="0"/>
      <w:marTop w:val="0"/>
      <w:marBottom w:val="0"/>
      <w:divBdr>
        <w:top w:val="none" w:sz="0" w:space="0" w:color="auto"/>
        <w:left w:val="none" w:sz="0" w:space="0" w:color="auto"/>
        <w:bottom w:val="none" w:sz="0" w:space="0" w:color="auto"/>
        <w:right w:val="none" w:sz="0" w:space="0" w:color="auto"/>
      </w:divBdr>
    </w:div>
    <w:div w:id="903687733">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381249466">
      <w:bodyDiv w:val="1"/>
      <w:marLeft w:val="0"/>
      <w:marRight w:val="0"/>
      <w:marTop w:val="0"/>
      <w:marBottom w:val="0"/>
      <w:divBdr>
        <w:top w:val="none" w:sz="0" w:space="0" w:color="auto"/>
        <w:left w:val="none" w:sz="0" w:space="0" w:color="auto"/>
        <w:bottom w:val="none" w:sz="0" w:space="0" w:color="auto"/>
        <w:right w:val="none" w:sz="0" w:space="0" w:color="auto"/>
      </w:divBdr>
    </w:div>
    <w:div w:id="1615790229">
      <w:bodyDiv w:val="1"/>
      <w:marLeft w:val="0"/>
      <w:marRight w:val="0"/>
      <w:marTop w:val="0"/>
      <w:marBottom w:val="0"/>
      <w:divBdr>
        <w:top w:val="none" w:sz="0" w:space="0" w:color="auto"/>
        <w:left w:val="none" w:sz="0" w:space="0" w:color="auto"/>
        <w:bottom w:val="none" w:sz="0" w:space="0" w:color="auto"/>
        <w:right w:val="none" w:sz="0" w:space="0" w:color="auto"/>
      </w:divBdr>
    </w:div>
    <w:div w:id="1636250910">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tif"/><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tiff"/><Relationship Id="rId25" Type="http://schemas.openxmlformats.org/officeDocument/2006/relationships/image" Target="media/image7.tiff"/><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4.xml"/><Relationship Id="rId29" Type="http://schemas.openxmlformats.org/officeDocument/2006/relationships/hyperlink" Target="https://doi.org/10.1016/j.gloenvcha.2023.10264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jpg"/><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5.tiff"/><Relationship Id="rId28" Type="http://schemas.openxmlformats.org/officeDocument/2006/relationships/hyperlink" Target="https://doi.org/10.3390/su12229569" TargetMode="External"/><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chart" Target="charts/chart3.xml"/><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Relationship Id="rId22" Type="http://schemas.openxmlformats.org/officeDocument/2006/relationships/image" Target="media/image4.tiff"/><Relationship Id="rId27" Type="http://schemas.openxmlformats.org/officeDocument/2006/relationships/hyperlink" Target="https://oaarchive.arctic-council.org/items/6993176b-7da7-4d2d-9e77-e02b58e833da" TargetMode="External"/><Relationship Id="rId30" Type="http://schemas.openxmlformats.org/officeDocument/2006/relationships/hyperlink" Target="https://greentribunal.gov.in" TargetMode="External"/><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skalzang\Desktop\thesis%20chapters\CH4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skalzang\Desktop\thesis%20chapters\Book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skalzang\Desktop\ResearchFolder\ACESD\ACESD%20shp\Acesd%20ex.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skalzang\Desktop\ResearchFolder\ACESD\ACESD%20shp\Acesd%20ex.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solidFill>
                  <a:schemeClr val="tx1"/>
                </a:solidFill>
                <a:latin typeface="Times New Roman" panose="02020603050405020304" pitchFamily="18" charset="0"/>
                <a:cs typeface="Times New Roman" panose="02020603050405020304" pitchFamily="18" charset="0"/>
              </a:rPr>
              <a:t>Tourists arrival in Leh District</a:t>
            </a:r>
            <a:endParaRPr lang="en-IN" sz="1200">
              <a:solidFill>
                <a:schemeClr val="tx1"/>
              </a:solidFill>
              <a:latin typeface="Times New Roman" panose="02020603050405020304" pitchFamily="18" charset="0"/>
              <a:cs typeface="Times New Roman" panose="02020603050405020304" pitchFamily="18" charset="0"/>
            </a:endParaRPr>
          </a:p>
          <a:p>
            <a:pPr>
              <a:defRPr/>
            </a:pPr>
            <a:r>
              <a:rPr lang="en-GB" sz="1200">
                <a:solidFill>
                  <a:schemeClr val="tx1"/>
                </a:solidFill>
                <a:latin typeface="Times New Roman" panose="02020603050405020304" pitchFamily="18" charset="0"/>
                <a:cs typeface="Times New Roman" panose="02020603050405020304" pitchFamily="18" charset="0"/>
              </a:rPr>
              <a:t>(2010-2021)</a:t>
            </a:r>
            <a:endParaRPr lang="en-IN"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N"/>
        </a:p>
      </c:txPr>
    </c:title>
    <c:autoTitleDeleted val="0"/>
    <c:plotArea>
      <c:layout/>
      <c:scatterChart>
        <c:scatterStyle val="lineMarker"/>
        <c:varyColors val="0"/>
        <c:ser>
          <c:idx val="0"/>
          <c:order val="0"/>
          <c:tx>
            <c:strRef>
              <c:f>Sheet1!$B$1</c:f>
              <c:strCache>
                <c:ptCount val="1"/>
                <c:pt idx="0">
                  <c:v>No of Foreign Tourists</c:v>
                </c:pt>
              </c:strCache>
            </c:strRef>
          </c:tx>
          <c:spPr>
            <a:ln w="19050" cap="rnd">
              <a:solidFill>
                <a:schemeClr val="accent1">
                  <a:shade val="65000"/>
                </a:schemeClr>
              </a:solidFill>
              <a:round/>
            </a:ln>
            <a:effectLst/>
          </c:spPr>
          <c:marker>
            <c:symbol val="circle"/>
            <c:size val="5"/>
            <c:spPr>
              <a:solidFill>
                <a:schemeClr val="accent1">
                  <a:shade val="65000"/>
                </a:schemeClr>
              </a:solidFill>
              <a:ln w="9525">
                <a:solidFill>
                  <a:schemeClr val="accent1">
                    <a:shade val="65000"/>
                  </a:schemeClr>
                </a:solidFill>
              </a:ln>
              <a:effectLst/>
            </c:spPr>
          </c:marker>
          <c:xVal>
            <c:numRef>
              <c:f>Sheet1!$A$2:$A$13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xVal>
          <c:yVal>
            <c:numRef>
              <c:f>Sheet1!$B$2:$B$13</c:f>
              <c:numCache>
                <c:formatCode>General</c:formatCode>
                <c:ptCount val="12"/>
                <c:pt idx="0">
                  <c:v>22115</c:v>
                </c:pt>
                <c:pt idx="1">
                  <c:v>36662</c:v>
                </c:pt>
                <c:pt idx="2">
                  <c:v>38510</c:v>
                </c:pt>
                <c:pt idx="3">
                  <c:v>31143</c:v>
                </c:pt>
                <c:pt idx="4">
                  <c:v>59305</c:v>
                </c:pt>
                <c:pt idx="5">
                  <c:v>29614</c:v>
                </c:pt>
                <c:pt idx="6">
                  <c:v>38005</c:v>
                </c:pt>
                <c:pt idx="7">
                  <c:v>46593</c:v>
                </c:pt>
                <c:pt idx="8">
                  <c:v>49477</c:v>
                </c:pt>
                <c:pt idx="9">
                  <c:v>38652</c:v>
                </c:pt>
                <c:pt idx="10">
                  <c:v>1126</c:v>
                </c:pt>
                <c:pt idx="11">
                  <c:v>1054</c:v>
                </c:pt>
              </c:numCache>
            </c:numRef>
          </c:yVal>
          <c:smooth val="0"/>
          <c:extLst>
            <c:ext xmlns:c16="http://schemas.microsoft.com/office/drawing/2014/chart" uri="{C3380CC4-5D6E-409C-BE32-E72D297353CC}">
              <c16:uniqueId val="{00000000-4638-7C49-A91A-8CC02300A8CD}"/>
            </c:ext>
          </c:extLst>
        </c:ser>
        <c:ser>
          <c:idx val="1"/>
          <c:order val="1"/>
          <c:tx>
            <c:strRef>
              <c:f>Sheet1!$C$1</c:f>
              <c:strCache>
                <c:ptCount val="1"/>
                <c:pt idx="0">
                  <c:v>No of Domestic Tourists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xVal>
          <c:yVal>
            <c:numRef>
              <c:f>Sheet1!$C$2:$C$13</c:f>
              <c:numCache>
                <c:formatCode>General</c:formatCode>
                <c:ptCount val="12"/>
                <c:pt idx="0">
                  <c:v>55685</c:v>
                </c:pt>
                <c:pt idx="1">
                  <c:v>142829</c:v>
                </c:pt>
                <c:pt idx="2">
                  <c:v>140460</c:v>
                </c:pt>
                <c:pt idx="3">
                  <c:v>106559</c:v>
                </c:pt>
                <c:pt idx="4">
                  <c:v>121996</c:v>
                </c:pt>
                <c:pt idx="5">
                  <c:v>116887</c:v>
                </c:pt>
                <c:pt idx="6">
                  <c:v>197693</c:v>
                </c:pt>
                <c:pt idx="7">
                  <c:v>230662</c:v>
                </c:pt>
                <c:pt idx="8">
                  <c:v>277889</c:v>
                </c:pt>
                <c:pt idx="9">
                  <c:v>241285</c:v>
                </c:pt>
                <c:pt idx="10">
                  <c:v>6743</c:v>
                </c:pt>
                <c:pt idx="11">
                  <c:v>303023</c:v>
                </c:pt>
              </c:numCache>
            </c:numRef>
          </c:yVal>
          <c:smooth val="0"/>
          <c:extLst>
            <c:ext xmlns:c16="http://schemas.microsoft.com/office/drawing/2014/chart" uri="{C3380CC4-5D6E-409C-BE32-E72D297353CC}">
              <c16:uniqueId val="{00000001-4638-7C49-A91A-8CC02300A8CD}"/>
            </c:ext>
          </c:extLst>
        </c:ser>
        <c:ser>
          <c:idx val="2"/>
          <c:order val="2"/>
          <c:tx>
            <c:strRef>
              <c:f>Sheet1!$D$1</c:f>
              <c:strCache>
                <c:ptCount val="1"/>
                <c:pt idx="0">
                  <c:v>Total</c:v>
                </c:pt>
              </c:strCache>
            </c:strRef>
          </c:tx>
          <c:spPr>
            <a:ln w="19050" cap="rnd">
              <a:solidFill>
                <a:schemeClr val="accent1">
                  <a:tint val="65000"/>
                </a:schemeClr>
              </a:solidFill>
              <a:round/>
            </a:ln>
            <a:effectLst/>
          </c:spPr>
          <c:marker>
            <c:symbol val="circle"/>
            <c:size val="5"/>
            <c:spPr>
              <a:solidFill>
                <a:schemeClr val="accent1">
                  <a:tint val="65000"/>
                </a:schemeClr>
              </a:solidFill>
              <a:ln w="9525">
                <a:solidFill>
                  <a:schemeClr val="accent1">
                    <a:tint val="65000"/>
                  </a:schemeClr>
                </a:solidFill>
              </a:ln>
              <a:effectLst/>
            </c:spPr>
          </c:marker>
          <c:xVal>
            <c:numRef>
              <c:f>Sheet1!$A$2:$A$13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xVal>
          <c:yVal>
            <c:numRef>
              <c:f>Sheet1!$D$2:$D$13</c:f>
              <c:numCache>
                <c:formatCode>General</c:formatCode>
                <c:ptCount val="12"/>
                <c:pt idx="0">
                  <c:v>77800</c:v>
                </c:pt>
                <c:pt idx="1">
                  <c:v>179491</c:v>
                </c:pt>
                <c:pt idx="2">
                  <c:v>178970</c:v>
                </c:pt>
                <c:pt idx="3">
                  <c:v>147702</c:v>
                </c:pt>
                <c:pt idx="4">
                  <c:v>181301</c:v>
                </c:pt>
                <c:pt idx="5">
                  <c:v>146501</c:v>
                </c:pt>
                <c:pt idx="6">
                  <c:v>235698</c:v>
                </c:pt>
                <c:pt idx="7">
                  <c:v>277255</c:v>
                </c:pt>
                <c:pt idx="8">
                  <c:v>327366</c:v>
                </c:pt>
                <c:pt idx="9">
                  <c:v>279937</c:v>
                </c:pt>
                <c:pt idx="10">
                  <c:v>7869</c:v>
                </c:pt>
                <c:pt idx="11">
                  <c:v>304077</c:v>
                </c:pt>
              </c:numCache>
            </c:numRef>
          </c:yVal>
          <c:smooth val="0"/>
          <c:extLst>
            <c:ext xmlns:c16="http://schemas.microsoft.com/office/drawing/2014/chart" uri="{C3380CC4-5D6E-409C-BE32-E72D297353CC}">
              <c16:uniqueId val="{00000002-4638-7C49-A91A-8CC02300A8CD}"/>
            </c:ext>
          </c:extLst>
        </c:ser>
        <c:dLbls>
          <c:showLegendKey val="0"/>
          <c:showVal val="0"/>
          <c:showCatName val="0"/>
          <c:showSerName val="0"/>
          <c:showPercent val="0"/>
          <c:showBubbleSize val="0"/>
        </c:dLbls>
        <c:axId val="1922099008"/>
        <c:axId val="1922996544"/>
      </c:scatterChart>
      <c:valAx>
        <c:axId val="1922099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2996544"/>
        <c:crosses val="autoZero"/>
        <c:crossBetween val="midCat"/>
      </c:valAx>
      <c:valAx>
        <c:axId val="192299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20990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GB" sz="1400" b="0">
                <a:solidFill>
                  <a:schemeClr val="tx1"/>
                </a:solidFill>
                <a:latin typeface="Times New Roman" panose="02020603050405020304" pitchFamily="18" charset="0"/>
                <a:cs typeface="Times New Roman" panose="02020603050405020304" pitchFamily="18" charset="0"/>
              </a:rPr>
              <a:t>Accommodation</a:t>
            </a:r>
            <a:r>
              <a:rPr lang="en-GB" sz="1400">
                <a:solidFill>
                  <a:schemeClr val="tx1"/>
                </a:solidFill>
                <a:latin typeface="Times New Roman" panose="02020603050405020304" pitchFamily="18" charset="0"/>
                <a:cs typeface="Times New Roman" panose="02020603050405020304" pitchFamily="18" charset="0"/>
              </a:rPr>
              <a:t> </a:t>
            </a:r>
            <a:r>
              <a:rPr lang="en-GB" sz="1400" b="0">
                <a:solidFill>
                  <a:schemeClr val="tx1"/>
                </a:solidFill>
                <a:latin typeface="Times New Roman" panose="02020603050405020304" pitchFamily="18" charset="0"/>
                <a:cs typeface="Times New Roman" panose="02020603050405020304" pitchFamily="18" charset="0"/>
              </a:rPr>
              <a:t>in</a:t>
            </a:r>
            <a:r>
              <a:rPr lang="en-GB" sz="1400">
                <a:solidFill>
                  <a:schemeClr val="tx1"/>
                </a:solidFill>
                <a:latin typeface="Times New Roman" panose="02020603050405020304" pitchFamily="18" charset="0"/>
                <a:cs typeface="Times New Roman" panose="02020603050405020304" pitchFamily="18" charset="0"/>
              </a:rPr>
              <a:t> </a:t>
            </a:r>
            <a:r>
              <a:rPr lang="en-GB" sz="1400" b="0">
                <a:solidFill>
                  <a:schemeClr val="tx1"/>
                </a:solidFill>
                <a:latin typeface="Times New Roman" panose="02020603050405020304" pitchFamily="18" charset="0"/>
                <a:cs typeface="Times New Roman" panose="02020603050405020304" pitchFamily="18" charset="0"/>
              </a:rPr>
              <a:t>Leh</a:t>
            </a:r>
            <a:r>
              <a:rPr lang="en-GB" sz="1400">
                <a:solidFill>
                  <a:schemeClr val="tx1"/>
                </a:solidFill>
                <a:latin typeface="Times New Roman" panose="02020603050405020304" pitchFamily="18" charset="0"/>
                <a:cs typeface="Times New Roman" panose="02020603050405020304" pitchFamily="18" charset="0"/>
              </a:rPr>
              <a:t> </a:t>
            </a:r>
            <a:r>
              <a:rPr lang="en-GB" sz="1400" b="0">
                <a:solidFill>
                  <a:schemeClr val="tx1"/>
                </a:solidFill>
                <a:latin typeface="Times New Roman" panose="02020603050405020304" pitchFamily="18" charset="0"/>
                <a:cs typeface="Times New Roman" panose="02020603050405020304" pitchFamily="18" charset="0"/>
              </a:rPr>
              <a:t>district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Sheet1!$B$34</c:f>
              <c:strCache>
                <c:ptCount val="1"/>
                <c:pt idx="0">
                  <c:v>No of Hotels</c:v>
                </c:pt>
              </c:strCache>
            </c:strRef>
          </c:tx>
          <c:spPr>
            <a:ln w="31750" cap="rnd">
              <a:solidFill>
                <a:schemeClr val="accent1"/>
              </a:solidFill>
              <a:round/>
            </a:ln>
            <a:effectLst/>
          </c:spPr>
          <c:marker>
            <c:symbol val="none"/>
          </c:marker>
          <c:cat>
            <c:numRef>
              <c:f>Sheet1!$A$35:$A$43</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Sheet1!$B$35:$B$43</c:f>
              <c:numCache>
                <c:formatCode>General</c:formatCode>
                <c:ptCount val="9"/>
                <c:pt idx="0">
                  <c:v>149</c:v>
                </c:pt>
                <c:pt idx="1">
                  <c:v>153</c:v>
                </c:pt>
                <c:pt idx="2">
                  <c:v>175</c:v>
                </c:pt>
                <c:pt idx="3">
                  <c:v>190</c:v>
                </c:pt>
                <c:pt idx="4">
                  <c:v>213</c:v>
                </c:pt>
                <c:pt idx="5">
                  <c:v>213</c:v>
                </c:pt>
                <c:pt idx="6">
                  <c:v>234</c:v>
                </c:pt>
                <c:pt idx="7">
                  <c:v>274</c:v>
                </c:pt>
                <c:pt idx="8">
                  <c:v>291</c:v>
                </c:pt>
              </c:numCache>
            </c:numRef>
          </c:val>
          <c:smooth val="0"/>
          <c:extLst>
            <c:ext xmlns:c16="http://schemas.microsoft.com/office/drawing/2014/chart" uri="{C3380CC4-5D6E-409C-BE32-E72D297353CC}">
              <c16:uniqueId val="{00000000-F24D-7244-907B-90960CD36ED5}"/>
            </c:ext>
          </c:extLst>
        </c:ser>
        <c:ser>
          <c:idx val="1"/>
          <c:order val="1"/>
          <c:tx>
            <c:strRef>
              <c:f>Sheet1!$C$34</c:f>
              <c:strCache>
                <c:ptCount val="1"/>
                <c:pt idx="0">
                  <c:v>No of Guest Houses</c:v>
                </c:pt>
              </c:strCache>
            </c:strRef>
          </c:tx>
          <c:spPr>
            <a:ln w="31750" cap="rnd">
              <a:solidFill>
                <a:schemeClr val="accent3"/>
              </a:solidFill>
              <a:round/>
            </a:ln>
            <a:effectLst/>
          </c:spPr>
          <c:marker>
            <c:symbol val="none"/>
          </c:marker>
          <c:cat>
            <c:numRef>
              <c:f>Sheet1!$A$35:$A$43</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Sheet1!$C$35:$C$43</c:f>
              <c:numCache>
                <c:formatCode>General</c:formatCode>
                <c:ptCount val="9"/>
                <c:pt idx="0">
                  <c:v>386</c:v>
                </c:pt>
                <c:pt idx="1">
                  <c:v>337</c:v>
                </c:pt>
                <c:pt idx="2">
                  <c:v>420</c:v>
                </c:pt>
                <c:pt idx="3">
                  <c:v>397</c:v>
                </c:pt>
                <c:pt idx="4">
                  <c:v>433</c:v>
                </c:pt>
                <c:pt idx="5">
                  <c:v>433</c:v>
                </c:pt>
                <c:pt idx="6">
                  <c:v>467</c:v>
                </c:pt>
                <c:pt idx="7">
                  <c:v>602</c:v>
                </c:pt>
                <c:pt idx="8">
                  <c:v>663</c:v>
                </c:pt>
              </c:numCache>
            </c:numRef>
          </c:val>
          <c:smooth val="0"/>
          <c:extLst>
            <c:ext xmlns:c16="http://schemas.microsoft.com/office/drawing/2014/chart" uri="{C3380CC4-5D6E-409C-BE32-E72D297353CC}">
              <c16:uniqueId val="{00000001-F24D-7244-907B-90960CD36ED5}"/>
            </c:ext>
          </c:extLst>
        </c:ser>
        <c:ser>
          <c:idx val="2"/>
          <c:order val="2"/>
          <c:tx>
            <c:strRef>
              <c:f>Sheet1!$D$34</c:f>
              <c:strCache>
                <c:ptCount val="1"/>
                <c:pt idx="0">
                  <c:v>No of Homestays</c:v>
                </c:pt>
              </c:strCache>
            </c:strRef>
          </c:tx>
          <c:spPr>
            <a:ln w="31750" cap="rnd">
              <a:solidFill>
                <a:schemeClr val="accent5"/>
              </a:solidFill>
              <a:round/>
            </a:ln>
            <a:effectLst/>
          </c:spPr>
          <c:marker>
            <c:symbol val="none"/>
          </c:marker>
          <c:cat>
            <c:numRef>
              <c:f>Sheet1!$A$35:$A$43</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Sheet1!$D$35:$D$43</c:f>
              <c:numCache>
                <c:formatCode>General</c:formatCode>
                <c:ptCount val="9"/>
                <c:pt idx="0">
                  <c:v>0</c:v>
                </c:pt>
                <c:pt idx="1">
                  <c:v>0</c:v>
                </c:pt>
                <c:pt idx="2">
                  <c:v>0</c:v>
                </c:pt>
                <c:pt idx="3">
                  <c:v>0</c:v>
                </c:pt>
                <c:pt idx="4">
                  <c:v>0</c:v>
                </c:pt>
                <c:pt idx="5">
                  <c:v>0</c:v>
                </c:pt>
                <c:pt idx="6">
                  <c:v>0</c:v>
                </c:pt>
                <c:pt idx="7">
                  <c:v>0</c:v>
                </c:pt>
                <c:pt idx="8">
                  <c:v>218</c:v>
                </c:pt>
              </c:numCache>
            </c:numRef>
          </c:val>
          <c:smooth val="0"/>
          <c:extLst>
            <c:ext xmlns:c16="http://schemas.microsoft.com/office/drawing/2014/chart" uri="{C3380CC4-5D6E-409C-BE32-E72D297353CC}">
              <c16:uniqueId val="{00000002-F24D-7244-907B-90960CD36ED5}"/>
            </c:ext>
          </c:extLst>
        </c:ser>
        <c:ser>
          <c:idx val="3"/>
          <c:order val="3"/>
          <c:tx>
            <c:strRef>
              <c:f>Sheet1!$E$34</c:f>
              <c:strCache>
                <c:ptCount val="1"/>
                <c:pt idx="0">
                  <c:v>No of Travel Agencies</c:v>
                </c:pt>
              </c:strCache>
            </c:strRef>
          </c:tx>
          <c:spPr>
            <a:ln w="31750" cap="rnd">
              <a:solidFill>
                <a:schemeClr val="accent1">
                  <a:lumMod val="60000"/>
                </a:schemeClr>
              </a:solidFill>
              <a:round/>
            </a:ln>
            <a:effectLst/>
          </c:spPr>
          <c:marker>
            <c:symbol val="none"/>
          </c:marker>
          <c:cat>
            <c:numRef>
              <c:f>Sheet1!$A$35:$A$43</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Sheet1!$E$35:$E$43</c:f>
              <c:numCache>
                <c:formatCode>General</c:formatCode>
                <c:ptCount val="9"/>
                <c:pt idx="0">
                  <c:v>352</c:v>
                </c:pt>
                <c:pt idx="1">
                  <c:v>303</c:v>
                </c:pt>
                <c:pt idx="2">
                  <c:v>379</c:v>
                </c:pt>
                <c:pt idx="3">
                  <c:v>426</c:v>
                </c:pt>
                <c:pt idx="4">
                  <c:v>468</c:v>
                </c:pt>
                <c:pt idx="5">
                  <c:v>468</c:v>
                </c:pt>
                <c:pt idx="6">
                  <c:v>527</c:v>
                </c:pt>
                <c:pt idx="7">
                  <c:v>636</c:v>
                </c:pt>
                <c:pt idx="8">
                  <c:v>738</c:v>
                </c:pt>
              </c:numCache>
            </c:numRef>
          </c:val>
          <c:smooth val="0"/>
          <c:extLst>
            <c:ext xmlns:c16="http://schemas.microsoft.com/office/drawing/2014/chart" uri="{C3380CC4-5D6E-409C-BE32-E72D297353CC}">
              <c16:uniqueId val="{00000003-F24D-7244-907B-90960CD36ED5}"/>
            </c:ext>
          </c:extLst>
        </c:ser>
        <c:dLbls>
          <c:showLegendKey val="0"/>
          <c:showVal val="0"/>
          <c:showCatName val="0"/>
          <c:showSerName val="0"/>
          <c:showPercent val="0"/>
          <c:showBubbleSize val="0"/>
        </c:dLbls>
        <c:smooth val="0"/>
        <c:axId val="506348768"/>
        <c:axId val="506126352"/>
      </c:lineChart>
      <c:catAx>
        <c:axId val="506348768"/>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06126352"/>
        <c:crosses val="autoZero"/>
        <c:auto val="1"/>
        <c:lblAlgn val="ctr"/>
        <c:lblOffset val="100"/>
        <c:noMultiLvlLbl val="0"/>
      </c:catAx>
      <c:valAx>
        <c:axId val="50612635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06348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400" b="1">
                <a:solidFill>
                  <a:schemeClr val="tx1"/>
                </a:solidFill>
                <a:latin typeface="Times New Roman" panose="02020603050405020304" pitchFamily="18" charset="0"/>
                <a:cs typeface="Times New Roman" panose="02020603050405020304" pitchFamily="18" charset="0"/>
              </a:rPr>
              <a:t>Waste</a:t>
            </a:r>
            <a:r>
              <a:rPr lang="en-GB" sz="1400" b="1" baseline="0">
                <a:solidFill>
                  <a:schemeClr val="tx1"/>
                </a:solidFill>
                <a:latin typeface="Times New Roman" panose="02020603050405020304" pitchFamily="18" charset="0"/>
                <a:cs typeface="Times New Roman" panose="02020603050405020304" pitchFamily="18" charset="0"/>
              </a:rPr>
              <a:t> Generation in Leh District Q1-Q4</a:t>
            </a:r>
            <a:endParaRPr lang="en-GB" sz="14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GB"/>
        </a:p>
      </c:txPr>
    </c:title>
    <c:autoTitleDeleted val="0"/>
    <c:plotArea>
      <c:layout/>
      <c:lineChart>
        <c:grouping val="standard"/>
        <c:varyColors val="0"/>
        <c:ser>
          <c:idx val="0"/>
          <c:order val="0"/>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Sheet1!$A$124:$A$127</c:f>
              <c:strCache>
                <c:ptCount val="4"/>
                <c:pt idx="0">
                  <c:v>Waste in Q1</c:v>
                </c:pt>
                <c:pt idx="1">
                  <c:v>Waste in Q2</c:v>
                </c:pt>
                <c:pt idx="2">
                  <c:v>Waste in Q3</c:v>
                </c:pt>
                <c:pt idx="3">
                  <c:v>Waste in Q4</c:v>
                </c:pt>
              </c:strCache>
            </c:strRef>
          </c:cat>
          <c:val>
            <c:numRef>
              <c:f>Sheet1!$B$124:$B$127</c:f>
              <c:numCache>
                <c:formatCode>General</c:formatCode>
                <c:ptCount val="4"/>
                <c:pt idx="0">
                  <c:v>244.53</c:v>
                </c:pt>
                <c:pt idx="1">
                  <c:v>1033.47</c:v>
                </c:pt>
                <c:pt idx="2">
                  <c:v>658.84</c:v>
                </c:pt>
                <c:pt idx="3">
                  <c:v>319.08</c:v>
                </c:pt>
              </c:numCache>
            </c:numRef>
          </c:val>
          <c:smooth val="0"/>
          <c:extLst>
            <c:ext xmlns:c16="http://schemas.microsoft.com/office/drawing/2014/chart" uri="{C3380CC4-5D6E-409C-BE32-E72D297353CC}">
              <c16:uniqueId val="{00000000-63D0-3E43-AAF1-6BB4FFE9ABFE}"/>
            </c:ext>
          </c:extLst>
        </c:ser>
        <c:dLbls>
          <c:dLblPos val="ctr"/>
          <c:showLegendKey val="0"/>
          <c:showVal val="1"/>
          <c:showCatName val="0"/>
          <c:showSerName val="0"/>
          <c:showPercent val="0"/>
          <c:showBubbleSize val="0"/>
        </c:dLbls>
        <c:smooth val="0"/>
        <c:axId val="435863120"/>
        <c:axId val="402264128"/>
      </c:lineChart>
      <c:catAx>
        <c:axId val="4358631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2264128"/>
        <c:crosses val="autoZero"/>
        <c:auto val="1"/>
        <c:lblAlgn val="ctr"/>
        <c:lblOffset val="100"/>
        <c:noMultiLvlLbl val="0"/>
      </c:catAx>
      <c:valAx>
        <c:axId val="402264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863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Tourist Arrival in selected Hotels for the Month of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solidFill>
              <a:schemeClr val="dk1">
                <a:tint val="88500"/>
              </a:schemeClr>
            </a:solidFill>
            <a:ln>
              <a:noFill/>
            </a:ln>
            <a:effectLst/>
          </c:spPr>
          <c:invertIfNegative val="0"/>
          <c:dLbls>
            <c:delete val="1"/>
          </c:dLbls>
          <c:cat>
            <c:strRef>
              <c:f>Sheet1!$Q$2:$Q$7</c:f>
              <c:strCache>
                <c:ptCount val="6"/>
                <c:pt idx="0">
                  <c:v>April</c:v>
                </c:pt>
                <c:pt idx="1">
                  <c:v>May</c:v>
                </c:pt>
                <c:pt idx="2">
                  <c:v>June</c:v>
                </c:pt>
                <c:pt idx="3">
                  <c:v>July</c:v>
                </c:pt>
                <c:pt idx="4">
                  <c:v>August</c:v>
                </c:pt>
                <c:pt idx="5">
                  <c:v>September</c:v>
                </c:pt>
              </c:strCache>
            </c:strRef>
          </c:cat>
          <c:val>
            <c:numRef>
              <c:f>Sheet1!$R$2:$R$7</c:f>
              <c:numCache>
                <c:formatCode>General</c:formatCode>
                <c:ptCount val="6"/>
                <c:pt idx="0">
                  <c:v>3300</c:v>
                </c:pt>
                <c:pt idx="1">
                  <c:v>6703</c:v>
                </c:pt>
                <c:pt idx="2">
                  <c:v>8789</c:v>
                </c:pt>
                <c:pt idx="3">
                  <c:v>7407</c:v>
                </c:pt>
                <c:pt idx="4">
                  <c:v>5279</c:v>
                </c:pt>
                <c:pt idx="5">
                  <c:v>4598</c:v>
                </c:pt>
              </c:numCache>
            </c:numRef>
          </c:val>
          <c:extLst>
            <c:ext xmlns:c16="http://schemas.microsoft.com/office/drawing/2014/chart" uri="{C3380CC4-5D6E-409C-BE32-E72D297353CC}">
              <c16:uniqueId val="{00000000-3ABA-654E-B280-B500A295E9D8}"/>
            </c:ext>
          </c:extLst>
        </c:ser>
        <c:dLbls>
          <c:dLblPos val="outEnd"/>
          <c:showLegendKey val="0"/>
          <c:showVal val="1"/>
          <c:showCatName val="0"/>
          <c:showSerName val="0"/>
          <c:showPercent val="0"/>
          <c:showBubbleSize val="0"/>
        </c:dLbls>
        <c:gapWidth val="219"/>
        <c:overlap val="-27"/>
        <c:axId val="1056763903"/>
        <c:axId val="1056765583"/>
      </c:barChart>
      <c:catAx>
        <c:axId val="1056763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56765583"/>
        <c:crosses val="autoZero"/>
        <c:auto val="1"/>
        <c:lblAlgn val="ctr"/>
        <c:lblOffset val="100"/>
        <c:noMultiLvlLbl val="0"/>
      </c:catAx>
      <c:valAx>
        <c:axId val="10567655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567639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IN"/>
              <a:t>Total waste generated by sampled hotels in 7 days for months of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GB"/>
        </a:p>
      </c:txPr>
    </c:title>
    <c:autoTitleDeleted val="0"/>
    <c:plotArea>
      <c:layout/>
      <c:barChart>
        <c:barDir val="col"/>
        <c:grouping val="clustered"/>
        <c:varyColors val="0"/>
        <c:ser>
          <c:idx val="0"/>
          <c:order val="0"/>
          <c:tx>
            <c:strRef>
              <c:f>Sheet1!$T$42</c:f>
              <c:strCache>
                <c:ptCount val="1"/>
                <c:pt idx="0">
                  <c:v>D1</c:v>
                </c:pt>
              </c:strCache>
            </c:strRef>
          </c:tx>
          <c:spPr>
            <a:solidFill>
              <a:schemeClr val="accent1"/>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Sheet1!$U$42:$Z$42</c:f>
              <c:numCache>
                <c:formatCode>General</c:formatCode>
                <c:ptCount val="6"/>
                <c:pt idx="0">
                  <c:v>9.6660000000000004</c:v>
                </c:pt>
                <c:pt idx="1">
                  <c:v>29.529</c:v>
                </c:pt>
                <c:pt idx="2">
                  <c:v>72.224999999999994</c:v>
                </c:pt>
                <c:pt idx="3">
                  <c:v>61.896000000000001</c:v>
                </c:pt>
                <c:pt idx="4">
                  <c:v>44.637999999999998</c:v>
                </c:pt>
                <c:pt idx="5">
                  <c:v>35.872999999999998</c:v>
                </c:pt>
              </c:numCache>
            </c:numRef>
          </c:val>
          <c:extLst>
            <c:ext xmlns:c16="http://schemas.microsoft.com/office/drawing/2014/chart" uri="{C3380CC4-5D6E-409C-BE32-E72D297353CC}">
              <c16:uniqueId val="{00000000-117E-1140-9922-C95EDFECE546}"/>
            </c:ext>
          </c:extLst>
        </c:ser>
        <c:ser>
          <c:idx val="1"/>
          <c:order val="1"/>
          <c:tx>
            <c:strRef>
              <c:f>Sheet1!$T$43</c:f>
              <c:strCache>
                <c:ptCount val="1"/>
                <c:pt idx="0">
                  <c:v>D2</c:v>
                </c:pt>
              </c:strCache>
            </c:strRef>
          </c:tx>
          <c:spPr>
            <a:solidFill>
              <a:schemeClr val="accent2"/>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Sheet1!$U$43:$Z$43</c:f>
              <c:numCache>
                <c:formatCode>General</c:formatCode>
                <c:ptCount val="6"/>
                <c:pt idx="0">
                  <c:v>10.292</c:v>
                </c:pt>
                <c:pt idx="1">
                  <c:v>28.123000000000001</c:v>
                </c:pt>
                <c:pt idx="2">
                  <c:v>63.210999999999999</c:v>
                </c:pt>
                <c:pt idx="3">
                  <c:v>65.677999999999997</c:v>
                </c:pt>
                <c:pt idx="4">
                  <c:v>40.509</c:v>
                </c:pt>
                <c:pt idx="5">
                  <c:v>29.239000000000001</c:v>
                </c:pt>
              </c:numCache>
            </c:numRef>
          </c:val>
          <c:extLst>
            <c:ext xmlns:c16="http://schemas.microsoft.com/office/drawing/2014/chart" uri="{C3380CC4-5D6E-409C-BE32-E72D297353CC}">
              <c16:uniqueId val="{00000001-117E-1140-9922-C95EDFECE546}"/>
            </c:ext>
          </c:extLst>
        </c:ser>
        <c:ser>
          <c:idx val="2"/>
          <c:order val="2"/>
          <c:tx>
            <c:strRef>
              <c:f>Sheet1!$T$44</c:f>
              <c:strCache>
                <c:ptCount val="1"/>
                <c:pt idx="0">
                  <c:v>D3</c:v>
                </c:pt>
              </c:strCache>
            </c:strRef>
          </c:tx>
          <c:spPr>
            <a:solidFill>
              <a:schemeClr val="accent3"/>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Sheet1!$U$44:$Z$44</c:f>
              <c:numCache>
                <c:formatCode>General</c:formatCode>
                <c:ptCount val="6"/>
                <c:pt idx="0">
                  <c:v>9.6969999999999992</c:v>
                </c:pt>
                <c:pt idx="1">
                  <c:v>28.95</c:v>
                </c:pt>
                <c:pt idx="2">
                  <c:v>50.424999999999997</c:v>
                </c:pt>
                <c:pt idx="3">
                  <c:v>65.867000000000004</c:v>
                </c:pt>
                <c:pt idx="4">
                  <c:v>38.834000000000003</c:v>
                </c:pt>
                <c:pt idx="5">
                  <c:v>33.726999999999997</c:v>
                </c:pt>
              </c:numCache>
            </c:numRef>
          </c:val>
          <c:extLst>
            <c:ext xmlns:c16="http://schemas.microsoft.com/office/drawing/2014/chart" uri="{C3380CC4-5D6E-409C-BE32-E72D297353CC}">
              <c16:uniqueId val="{00000002-117E-1140-9922-C95EDFECE546}"/>
            </c:ext>
          </c:extLst>
        </c:ser>
        <c:ser>
          <c:idx val="3"/>
          <c:order val="3"/>
          <c:tx>
            <c:strRef>
              <c:f>Sheet1!$T$45</c:f>
              <c:strCache>
                <c:ptCount val="1"/>
                <c:pt idx="0">
                  <c:v>D4</c:v>
                </c:pt>
              </c:strCache>
            </c:strRef>
          </c:tx>
          <c:spPr>
            <a:solidFill>
              <a:schemeClr val="accent4"/>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Sheet1!$U$45:$Z$45</c:f>
              <c:numCache>
                <c:formatCode>General</c:formatCode>
                <c:ptCount val="6"/>
                <c:pt idx="0">
                  <c:v>4.21</c:v>
                </c:pt>
                <c:pt idx="1">
                  <c:v>27.052</c:v>
                </c:pt>
                <c:pt idx="2">
                  <c:v>61.744</c:v>
                </c:pt>
                <c:pt idx="3">
                  <c:v>50.850999999999999</c:v>
                </c:pt>
                <c:pt idx="4">
                  <c:v>39.564</c:v>
                </c:pt>
                <c:pt idx="5">
                  <c:v>31.943000000000001</c:v>
                </c:pt>
              </c:numCache>
            </c:numRef>
          </c:val>
          <c:extLst>
            <c:ext xmlns:c16="http://schemas.microsoft.com/office/drawing/2014/chart" uri="{C3380CC4-5D6E-409C-BE32-E72D297353CC}">
              <c16:uniqueId val="{00000003-117E-1140-9922-C95EDFECE546}"/>
            </c:ext>
          </c:extLst>
        </c:ser>
        <c:ser>
          <c:idx val="4"/>
          <c:order val="4"/>
          <c:tx>
            <c:strRef>
              <c:f>Sheet1!$T$46</c:f>
              <c:strCache>
                <c:ptCount val="1"/>
                <c:pt idx="0">
                  <c:v>D5</c:v>
                </c:pt>
              </c:strCache>
            </c:strRef>
          </c:tx>
          <c:spPr>
            <a:solidFill>
              <a:schemeClr val="accent5"/>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Sheet1!$U$46:$Z$46</c:f>
              <c:numCache>
                <c:formatCode>General</c:formatCode>
                <c:ptCount val="6"/>
                <c:pt idx="0">
                  <c:v>10.538</c:v>
                </c:pt>
                <c:pt idx="1">
                  <c:v>23.876999999999999</c:v>
                </c:pt>
                <c:pt idx="2">
                  <c:v>58.348999999999997</c:v>
                </c:pt>
                <c:pt idx="3">
                  <c:v>56.529000000000003</c:v>
                </c:pt>
                <c:pt idx="4">
                  <c:v>37.713999999999999</c:v>
                </c:pt>
                <c:pt idx="5">
                  <c:v>37.578000000000003</c:v>
                </c:pt>
              </c:numCache>
            </c:numRef>
          </c:val>
          <c:extLst>
            <c:ext xmlns:c16="http://schemas.microsoft.com/office/drawing/2014/chart" uri="{C3380CC4-5D6E-409C-BE32-E72D297353CC}">
              <c16:uniqueId val="{00000004-117E-1140-9922-C95EDFECE546}"/>
            </c:ext>
          </c:extLst>
        </c:ser>
        <c:ser>
          <c:idx val="5"/>
          <c:order val="5"/>
          <c:tx>
            <c:strRef>
              <c:f>Sheet1!$T$47</c:f>
              <c:strCache>
                <c:ptCount val="1"/>
                <c:pt idx="0">
                  <c:v>D6</c:v>
                </c:pt>
              </c:strCache>
            </c:strRef>
          </c:tx>
          <c:spPr>
            <a:solidFill>
              <a:schemeClr val="accent6"/>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Sheet1!$U$47:$Z$47</c:f>
              <c:numCache>
                <c:formatCode>General</c:formatCode>
                <c:ptCount val="6"/>
                <c:pt idx="0">
                  <c:v>7.22</c:v>
                </c:pt>
                <c:pt idx="1">
                  <c:v>26.89</c:v>
                </c:pt>
                <c:pt idx="2">
                  <c:v>60.844999999999999</c:v>
                </c:pt>
                <c:pt idx="3">
                  <c:v>54.6</c:v>
                </c:pt>
                <c:pt idx="4">
                  <c:v>38.707999999999998</c:v>
                </c:pt>
                <c:pt idx="5">
                  <c:v>36.746000000000002</c:v>
                </c:pt>
              </c:numCache>
            </c:numRef>
          </c:val>
          <c:extLst>
            <c:ext xmlns:c16="http://schemas.microsoft.com/office/drawing/2014/chart" uri="{C3380CC4-5D6E-409C-BE32-E72D297353CC}">
              <c16:uniqueId val="{00000005-117E-1140-9922-C95EDFECE546}"/>
            </c:ext>
          </c:extLst>
        </c:ser>
        <c:ser>
          <c:idx val="6"/>
          <c:order val="6"/>
          <c:tx>
            <c:strRef>
              <c:f>Sheet1!$T$48</c:f>
              <c:strCache>
                <c:ptCount val="1"/>
                <c:pt idx="0">
                  <c:v>D7</c:v>
                </c:pt>
              </c:strCache>
            </c:strRef>
          </c:tx>
          <c:spPr>
            <a:solidFill>
              <a:schemeClr val="accent1">
                <a:lumMod val="60000"/>
              </a:schemeClr>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Sheet1!$U$48:$Z$48</c:f>
              <c:numCache>
                <c:formatCode>General</c:formatCode>
                <c:ptCount val="6"/>
                <c:pt idx="0">
                  <c:v>8.0169999999999995</c:v>
                </c:pt>
                <c:pt idx="1">
                  <c:v>33.680999999999997</c:v>
                </c:pt>
                <c:pt idx="2">
                  <c:v>63.237000000000002</c:v>
                </c:pt>
                <c:pt idx="3">
                  <c:v>52.96</c:v>
                </c:pt>
                <c:pt idx="4">
                  <c:v>37.052</c:v>
                </c:pt>
                <c:pt idx="5">
                  <c:v>34.21</c:v>
                </c:pt>
              </c:numCache>
            </c:numRef>
          </c:val>
          <c:extLst>
            <c:ext xmlns:c16="http://schemas.microsoft.com/office/drawing/2014/chart" uri="{C3380CC4-5D6E-409C-BE32-E72D297353CC}">
              <c16:uniqueId val="{00000006-117E-1140-9922-C95EDFECE546}"/>
            </c:ext>
          </c:extLst>
        </c:ser>
        <c:ser>
          <c:idx val="7"/>
          <c:order val="7"/>
          <c:tx>
            <c:strRef>
              <c:f>Sheet1!$U$40</c:f>
              <c:strCache>
                <c:ptCount val="1"/>
                <c:pt idx="0">
                  <c:v>total waste generated by sampeled hotels in 7 days for months of</c:v>
                </c:pt>
              </c:strCache>
            </c:strRef>
          </c:tx>
          <c:spPr>
            <a:solidFill>
              <a:schemeClr val="accent2">
                <a:lumMod val="60000"/>
              </a:schemeClr>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Sheet1!$V$40:$Z$40</c:f>
              <c:numCache>
                <c:formatCode>General</c:formatCode>
                <c:ptCount val="5"/>
              </c:numCache>
            </c:numRef>
          </c:val>
          <c:extLst>
            <c:ext xmlns:c16="http://schemas.microsoft.com/office/drawing/2014/chart" uri="{C3380CC4-5D6E-409C-BE32-E72D297353CC}">
              <c16:uniqueId val="{00000007-117E-1140-9922-C95EDFECE546}"/>
            </c:ext>
          </c:extLst>
        </c:ser>
        <c:dLbls>
          <c:showLegendKey val="0"/>
          <c:showVal val="0"/>
          <c:showCatName val="0"/>
          <c:showSerName val="0"/>
          <c:showPercent val="0"/>
          <c:showBubbleSize val="0"/>
        </c:dLbls>
        <c:gapWidth val="219"/>
        <c:overlap val="-27"/>
        <c:axId val="1210634367"/>
        <c:axId val="1210636015"/>
      </c:barChart>
      <c:catAx>
        <c:axId val="121063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10636015"/>
        <c:crosses val="autoZero"/>
        <c:auto val="1"/>
        <c:lblAlgn val="ctr"/>
        <c:lblOffset val="100"/>
        <c:noMultiLvlLbl val="0"/>
      </c:catAx>
      <c:valAx>
        <c:axId val="1210636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10634367"/>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4">
  <a:schemeClr val="accent4"/>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6B4140-A4C2-4412-95D0-BDBE9DF0D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6</TotalTime>
  <Pages>15</Pages>
  <Words>3981</Words>
  <Characters>22698</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26626</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Editor-22</cp:lastModifiedBy>
  <cp:revision>11</cp:revision>
  <cp:lastPrinted>1999-07-06T11:00:00Z</cp:lastPrinted>
  <dcterms:created xsi:type="dcterms:W3CDTF">2025-02-25T06:29:00Z</dcterms:created>
  <dcterms:modified xsi:type="dcterms:W3CDTF">2025-02-25T09:37:00Z</dcterms:modified>
</cp:coreProperties>
</file>