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F1EE" w14:textId="77777777" w:rsidR="00754C9A" w:rsidRPr="00421F38" w:rsidRDefault="00754C9A" w:rsidP="00441B6F">
      <w:pPr>
        <w:pStyle w:val="Title"/>
        <w:spacing w:after="0"/>
        <w:jc w:val="both"/>
        <w:rPr>
          <w:rFonts w:cs="Arial"/>
          <w:sz w:val="18"/>
          <w:szCs w:val="18"/>
        </w:rPr>
      </w:pPr>
    </w:p>
    <w:p w14:paraId="4FCFEFB2" w14:textId="77777777" w:rsidR="00421F38" w:rsidRPr="00421F38" w:rsidRDefault="00421F38" w:rsidP="00421F38">
      <w:pPr>
        <w:pStyle w:val="Author"/>
        <w:rPr>
          <w:rFonts w:cs="Arial"/>
          <w:bCs/>
          <w:i/>
          <w:iCs/>
          <w:kern w:val="28"/>
          <w:sz w:val="18"/>
          <w:szCs w:val="18"/>
          <w:u w:val="single"/>
        </w:rPr>
      </w:pPr>
      <w:r w:rsidRPr="00421F38">
        <w:rPr>
          <w:rFonts w:cs="Arial"/>
          <w:bCs/>
          <w:i/>
          <w:iCs/>
          <w:kern w:val="28"/>
          <w:sz w:val="18"/>
          <w:szCs w:val="18"/>
          <w:u w:val="single"/>
        </w:rPr>
        <w:t>Original Research Article</w:t>
      </w:r>
    </w:p>
    <w:p w14:paraId="4547F846" w14:textId="4B866A12" w:rsidR="00163BC4" w:rsidRPr="00163BC4" w:rsidRDefault="00B31E70" w:rsidP="00441B6F">
      <w:pPr>
        <w:pStyle w:val="Author"/>
        <w:spacing w:line="240" w:lineRule="auto"/>
        <w:rPr>
          <w:rFonts w:cs="Arial"/>
          <w:bCs/>
          <w:iCs/>
          <w:kern w:val="28"/>
          <w:sz w:val="36"/>
        </w:rPr>
      </w:pPr>
      <w:proofErr w:type="spellStart"/>
      <w:r w:rsidRPr="00B31E70">
        <w:rPr>
          <w:rFonts w:cs="Arial"/>
          <w:bCs/>
          <w:i/>
          <w:kern w:val="28"/>
          <w:sz w:val="36"/>
        </w:rPr>
        <w:t>B</w:t>
      </w:r>
      <w:r w:rsidR="00365D17" w:rsidRPr="00B31E70">
        <w:rPr>
          <w:rFonts w:cs="Arial"/>
          <w:bCs/>
          <w:i/>
          <w:kern w:val="28"/>
          <w:sz w:val="36"/>
        </w:rPr>
        <w:t>iophytum</w:t>
      </w:r>
      <w:proofErr w:type="spellEnd"/>
      <w:r w:rsidR="00365D17" w:rsidRPr="00B31E70">
        <w:rPr>
          <w:rFonts w:cs="Arial"/>
          <w:bCs/>
          <w:i/>
          <w:kern w:val="28"/>
          <w:sz w:val="36"/>
        </w:rPr>
        <w:t xml:space="preserve"> </w:t>
      </w:r>
      <w:proofErr w:type="spellStart"/>
      <w:proofErr w:type="gramStart"/>
      <w:r w:rsidR="00365D17" w:rsidRPr="00B31E70">
        <w:rPr>
          <w:rFonts w:cs="Arial"/>
          <w:bCs/>
          <w:i/>
          <w:kern w:val="28"/>
          <w:sz w:val="36"/>
        </w:rPr>
        <w:t>reinwardtii</w:t>
      </w:r>
      <w:r w:rsidR="005A206B">
        <w:rPr>
          <w:rFonts w:cs="Arial"/>
          <w:bCs/>
          <w:iCs/>
          <w:kern w:val="28"/>
          <w:sz w:val="36"/>
        </w:rPr>
        <w:t>,a</w:t>
      </w:r>
      <w:proofErr w:type="spellEnd"/>
      <w:proofErr w:type="gramEnd"/>
      <w:r w:rsidR="005A206B">
        <w:rPr>
          <w:rFonts w:cs="Arial"/>
          <w:bCs/>
          <w:iCs/>
          <w:kern w:val="28"/>
          <w:sz w:val="36"/>
        </w:rPr>
        <w:t xml:space="preserve"> promising alternative agent against antibiotic resistance?</w:t>
      </w:r>
      <w:r w:rsidR="00401927">
        <w:rPr>
          <w:rFonts w:cs="Arial"/>
          <w:bCs/>
          <w:iCs/>
          <w:kern w:val="28"/>
          <w:sz w:val="36"/>
        </w:rPr>
        <w:t xml:space="preserve"> </w:t>
      </w:r>
    </w:p>
    <w:p w14:paraId="750C73D6" w14:textId="77777777" w:rsidR="00A258C3" w:rsidRPr="00790ADA" w:rsidRDefault="00A258C3" w:rsidP="00441B6F">
      <w:pPr>
        <w:pStyle w:val="Author"/>
        <w:spacing w:line="240" w:lineRule="auto"/>
        <w:jc w:val="both"/>
        <w:rPr>
          <w:rFonts w:cs="Arial"/>
          <w:sz w:val="36"/>
        </w:rPr>
      </w:pPr>
    </w:p>
    <w:p w14:paraId="336C4F45" w14:textId="77777777" w:rsidR="00790ADA" w:rsidRDefault="00790ADA" w:rsidP="00441B6F">
      <w:pPr>
        <w:pStyle w:val="Affiliation"/>
        <w:spacing w:after="0" w:line="240" w:lineRule="auto"/>
        <w:jc w:val="both"/>
        <w:rPr>
          <w:rFonts w:cs="Arial"/>
        </w:rPr>
      </w:pPr>
    </w:p>
    <w:p w14:paraId="5D29E6FA" w14:textId="77777777" w:rsidR="002C57D2" w:rsidRPr="00FB3A86" w:rsidRDefault="002C57D2" w:rsidP="00441B6F">
      <w:pPr>
        <w:pStyle w:val="Affiliation"/>
        <w:spacing w:after="0" w:line="240" w:lineRule="auto"/>
        <w:jc w:val="both"/>
        <w:rPr>
          <w:rFonts w:cs="Arial"/>
        </w:rPr>
      </w:pPr>
    </w:p>
    <w:p w14:paraId="2B8EE7A7" w14:textId="77777777" w:rsidR="00B01FCD" w:rsidRPr="00FB3A86" w:rsidRDefault="007F4312" w:rsidP="00441B6F">
      <w:pPr>
        <w:pStyle w:val="Copyright"/>
        <w:spacing w:after="0" w:line="240" w:lineRule="auto"/>
        <w:jc w:val="both"/>
        <w:rPr>
          <w:rFonts w:cs="Arial"/>
        </w:rPr>
        <w:sectPr w:rsidR="00B01FCD" w:rsidRPr="00FB3A86" w:rsidSect="00B77D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noProof/>
        </w:rPr>
        <mc:AlternateContent>
          <mc:Choice Requires="wps">
            <w:drawing>
              <wp:inline distT="0" distB="0" distL="0" distR="0" wp14:anchorId="1AE36D77" wp14:editId="21EB290D">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D652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" strokeweight="1.5pt">
                <o:lock v:ext="edit" shapetype="f"/>
                <w10:anchorlock/>
              </v:shape>
            </w:pict>
          </mc:Fallback>
        </mc:AlternateContent>
      </w:r>
      <w:r w:rsidR="00FB3A86">
        <w:rPr>
          <w:rFonts w:cs="Arial"/>
        </w:rPr>
        <w:t>.</w:t>
      </w:r>
    </w:p>
    <w:p w14:paraId="2459BB8D" w14:textId="79D88728" w:rsidR="00B01FCD" w:rsidRDefault="00B01FCD" w:rsidP="00441B6F">
      <w:pPr>
        <w:pStyle w:val="AbstHead"/>
        <w:spacing w:after="0"/>
        <w:jc w:val="both"/>
        <w:rPr>
          <w:rFonts w:cs="Arial"/>
        </w:rPr>
      </w:pPr>
      <w:r w:rsidRPr="00FB3A86">
        <w:rPr>
          <w:rFonts w:cs="Arial"/>
        </w:rPr>
        <w:t>ABSTRACT</w:t>
      </w:r>
      <w:r w:rsidR="0066510A">
        <w:rPr>
          <w:rFonts w:cs="Arial"/>
        </w:rPr>
        <w:t xml:space="preserve"> </w:t>
      </w:r>
    </w:p>
    <w:p w14:paraId="217CC772" w14:textId="77777777" w:rsidR="00790ADA" w:rsidRPr="00FB3A86" w:rsidRDefault="00790ADA" w:rsidP="00441B6F">
      <w:pPr>
        <w:pStyle w:val="AbstHead"/>
        <w:spacing w:after="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B00C1E4" w14:textId="77777777" w:rsidTr="001E44FE">
        <w:tc>
          <w:tcPr>
            <w:tcW w:w="9576" w:type="dxa"/>
            <w:shd w:val="clear" w:color="auto" w:fill="F2F2F2"/>
          </w:tcPr>
          <w:p w14:paraId="4AFC353C" w14:textId="77777777" w:rsidR="007F4312" w:rsidRPr="007F4312" w:rsidRDefault="007F4312" w:rsidP="007F4312">
            <w:pPr>
              <w:pStyle w:val="Body"/>
              <w:rPr>
                <w:rFonts w:eastAsia="Calibri" w:cs="Arial"/>
                <w:szCs w:val="22"/>
              </w:rPr>
            </w:pPr>
            <w:r w:rsidRPr="007F4312">
              <w:rPr>
                <w:rFonts w:eastAsia="Calibri" w:cs="Arial"/>
                <w:b/>
                <w:bCs/>
                <w:szCs w:val="22"/>
              </w:rPr>
              <w:t xml:space="preserve">Aims </w:t>
            </w:r>
            <w:r w:rsidRPr="007F4312">
              <w:rPr>
                <w:rFonts w:eastAsia="Calibri" w:cs="Arial"/>
                <w:szCs w:val="22"/>
              </w:rPr>
              <w:t xml:space="preserve">With the growing resistance of pathogenic microbes to antibiotics, the search for novel approaches to address this challenge has increased. In this instance, plant-based medicine emerges as a promising alternative, having been utilized by humans for centuries. </w:t>
            </w:r>
            <w:proofErr w:type="spellStart"/>
            <w:r w:rsidRPr="007F4312">
              <w:rPr>
                <w:rFonts w:eastAsia="Calibri" w:cs="Arial"/>
                <w:i/>
                <w:iCs/>
                <w:szCs w:val="22"/>
              </w:rPr>
              <w:t>Biophytum</w:t>
            </w:r>
            <w:proofErr w:type="spellEnd"/>
            <w:r w:rsidRPr="007F4312">
              <w:rPr>
                <w:rFonts w:eastAsia="Calibri" w:cs="Arial"/>
                <w:i/>
                <w:iCs/>
                <w:szCs w:val="22"/>
              </w:rPr>
              <w:t xml:space="preserve"> </w:t>
            </w:r>
            <w:proofErr w:type="spellStart"/>
            <w:r w:rsidRPr="007F4312">
              <w:rPr>
                <w:rFonts w:eastAsia="Calibri" w:cs="Arial"/>
                <w:i/>
                <w:iCs/>
                <w:szCs w:val="22"/>
              </w:rPr>
              <w:t>reinwardtii</w:t>
            </w:r>
            <w:proofErr w:type="spellEnd"/>
            <w:r w:rsidRPr="007F4312">
              <w:rPr>
                <w:rFonts w:eastAsia="Calibri" w:cs="Arial"/>
                <w:szCs w:val="22"/>
              </w:rPr>
              <w:t xml:space="preserve"> (commonly known as Gas </w:t>
            </w:r>
            <w:proofErr w:type="spellStart"/>
            <w:r w:rsidRPr="007F4312">
              <w:rPr>
                <w:rFonts w:eastAsia="Calibri" w:cs="Arial"/>
                <w:szCs w:val="22"/>
              </w:rPr>
              <w:t>nidikumba</w:t>
            </w:r>
            <w:proofErr w:type="spellEnd"/>
            <w:r w:rsidRPr="007F4312">
              <w:rPr>
                <w:rFonts w:eastAsia="Calibri" w:cs="Arial"/>
                <w:szCs w:val="22"/>
              </w:rPr>
              <w:t xml:space="preserve">), a small herb from the </w:t>
            </w:r>
            <w:proofErr w:type="spellStart"/>
            <w:r w:rsidRPr="00EF07BE">
              <w:rPr>
                <w:rFonts w:eastAsia="Calibri" w:cs="Arial"/>
                <w:i/>
                <w:iCs/>
                <w:szCs w:val="22"/>
              </w:rPr>
              <w:t>Oxalidaceae</w:t>
            </w:r>
            <w:proofErr w:type="spellEnd"/>
            <w:r w:rsidRPr="007F4312">
              <w:rPr>
                <w:rFonts w:eastAsia="Calibri" w:cs="Arial"/>
                <w:szCs w:val="22"/>
              </w:rPr>
              <w:t xml:space="preserve"> family, has a long history of use in traditional medicine. This study aimed to provide scientific evidence of the antibacterial potential of the whole plant </w:t>
            </w:r>
            <w:proofErr w:type="spellStart"/>
            <w:r w:rsidRPr="007F4312">
              <w:rPr>
                <w:rFonts w:eastAsia="Calibri" w:cs="Arial"/>
                <w:i/>
                <w:iCs/>
                <w:szCs w:val="22"/>
              </w:rPr>
              <w:t>Biophytum</w:t>
            </w:r>
            <w:proofErr w:type="spellEnd"/>
            <w:r w:rsidRPr="007F4312">
              <w:rPr>
                <w:rFonts w:eastAsia="Calibri" w:cs="Arial"/>
                <w:i/>
                <w:iCs/>
                <w:szCs w:val="22"/>
              </w:rPr>
              <w:t xml:space="preserve"> </w:t>
            </w:r>
            <w:proofErr w:type="spellStart"/>
            <w:r w:rsidRPr="007F4312">
              <w:rPr>
                <w:rFonts w:eastAsia="Calibri" w:cs="Arial"/>
                <w:i/>
                <w:iCs/>
                <w:szCs w:val="22"/>
              </w:rPr>
              <w:t>reinwardtii</w:t>
            </w:r>
            <w:proofErr w:type="spellEnd"/>
            <w:r w:rsidRPr="007F4312">
              <w:rPr>
                <w:rFonts w:eastAsia="Calibri" w:cs="Arial"/>
                <w:szCs w:val="22"/>
              </w:rPr>
              <w:t xml:space="preserve"> against organisms commonly isolated from diabetic chronic wounds (</w:t>
            </w:r>
            <w:r w:rsidRPr="007F4312">
              <w:rPr>
                <w:rFonts w:eastAsia="Calibri" w:cs="Arial"/>
                <w:i/>
                <w:iCs/>
                <w:szCs w:val="22"/>
              </w:rPr>
              <w:t>Staphylococcus aureus, Pseudomonas aeruginosa,</w:t>
            </w:r>
            <w:r w:rsidRPr="007F4312">
              <w:rPr>
                <w:rFonts w:eastAsia="Calibri" w:cs="Arial"/>
                <w:szCs w:val="22"/>
              </w:rPr>
              <w:t xml:space="preserve"> and </w:t>
            </w:r>
            <w:r w:rsidRPr="007F4312">
              <w:rPr>
                <w:rFonts w:eastAsia="Calibri" w:cs="Arial"/>
                <w:i/>
                <w:iCs/>
                <w:szCs w:val="22"/>
              </w:rPr>
              <w:t>Escherichia coli</w:t>
            </w:r>
            <w:r w:rsidRPr="007F4312">
              <w:rPr>
                <w:rFonts w:eastAsia="Calibri" w:cs="Arial"/>
                <w:szCs w:val="22"/>
              </w:rPr>
              <w:t>), including their respective ATCC (American Type Culture Collection) strains.</w:t>
            </w:r>
          </w:p>
          <w:p w14:paraId="489309F3" w14:textId="6CC63397" w:rsidR="007F4312" w:rsidRPr="007F4312" w:rsidRDefault="007F4312" w:rsidP="007F4312">
            <w:pPr>
              <w:pStyle w:val="Body"/>
              <w:rPr>
                <w:rFonts w:eastAsia="Calibri" w:cs="Arial"/>
                <w:szCs w:val="22"/>
              </w:rPr>
            </w:pPr>
            <w:r w:rsidRPr="007F4312">
              <w:rPr>
                <w:rFonts w:eastAsia="Calibri" w:cs="Arial"/>
                <w:b/>
                <w:bCs/>
                <w:szCs w:val="22"/>
              </w:rPr>
              <w:t>Study design</w:t>
            </w:r>
            <w:r w:rsidRPr="007F4312">
              <w:rPr>
                <w:rFonts w:eastAsia="Calibri" w:cs="Arial"/>
                <w:szCs w:val="22"/>
              </w:rPr>
              <w:t xml:space="preserve"> This research was conducted as a laboratory based </w:t>
            </w:r>
            <w:r w:rsidRPr="007F4312">
              <w:rPr>
                <w:rFonts w:eastAsia="Calibri" w:cs="Arial"/>
                <w:i/>
                <w:szCs w:val="22"/>
              </w:rPr>
              <w:t>in vitro</w:t>
            </w:r>
            <w:r w:rsidRPr="007F4312">
              <w:rPr>
                <w:rFonts w:eastAsia="Calibri" w:cs="Arial"/>
                <w:szCs w:val="22"/>
              </w:rPr>
              <w:t xml:space="preserve"> experimental study.</w:t>
            </w:r>
          </w:p>
          <w:p w14:paraId="4BF1903C" w14:textId="2A9CCB40" w:rsidR="007F4312" w:rsidRPr="007F4312" w:rsidRDefault="007F4312" w:rsidP="007F4312">
            <w:pPr>
              <w:pStyle w:val="Body"/>
              <w:rPr>
                <w:rFonts w:eastAsia="Calibri" w:cs="Arial"/>
                <w:szCs w:val="22"/>
              </w:rPr>
            </w:pPr>
            <w:r w:rsidRPr="007F4312">
              <w:rPr>
                <w:rFonts w:eastAsia="Calibri" w:cs="Arial"/>
                <w:b/>
                <w:bCs/>
                <w:szCs w:val="22"/>
              </w:rPr>
              <w:t xml:space="preserve">Place and duration of study </w:t>
            </w:r>
            <w:r w:rsidRPr="007F4312">
              <w:rPr>
                <w:rFonts w:eastAsia="Calibri" w:cs="Arial"/>
                <w:szCs w:val="22"/>
              </w:rPr>
              <w:t>All the laboratory-based experiments were conducted at the Microbiology Laboratory, Faculty of Allied Health Sciences, General Sir John Kotelaw</w:t>
            </w:r>
            <w:r w:rsidR="00A83F4C">
              <w:rPr>
                <w:rFonts w:eastAsia="Calibri" w:cs="Arial"/>
                <w:szCs w:val="22"/>
              </w:rPr>
              <w:t>a</w:t>
            </w:r>
            <w:r w:rsidRPr="007F4312">
              <w:rPr>
                <w:rFonts w:eastAsia="Calibri" w:cs="Arial"/>
                <w:szCs w:val="22"/>
              </w:rPr>
              <w:t xml:space="preserve">la </w:t>
            </w:r>
            <w:proofErr w:type="spellStart"/>
            <w:r w:rsidRPr="007F4312">
              <w:rPr>
                <w:rFonts w:eastAsia="Calibri" w:cs="Arial"/>
                <w:szCs w:val="22"/>
              </w:rPr>
              <w:t>Defen</w:t>
            </w:r>
            <w:r w:rsidR="00A83F4C">
              <w:rPr>
                <w:rFonts w:eastAsia="Calibri" w:cs="Arial"/>
                <w:szCs w:val="22"/>
              </w:rPr>
              <w:t>c</w:t>
            </w:r>
            <w:r w:rsidRPr="007F4312">
              <w:rPr>
                <w:rFonts w:eastAsia="Calibri" w:cs="Arial"/>
                <w:szCs w:val="22"/>
              </w:rPr>
              <w:t>e</w:t>
            </w:r>
            <w:proofErr w:type="spellEnd"/>
            <w:r w:rsidRPr="007F4312">
              <w:rPr>
                <w:rFonts w:eastAsia="Calibri" w:cs="Arial"/>
                <w:szCs w:val="22"/>
              </w:rPr>
              <w:t xml:space="preserve"> University, </w:t>
            </w:r>
            <w:proofErr w:type="spellStart"/>
            <w:r w:rsidRPr="007F4312">
              <w:rPr>
                <w:rFonts w:eastAsia="Calibri" w:cs="Arial"/>
                <w:szCs w:val="22"/>
              </w:rPr>
              <w:t>Werahera</w:t>
            </w:r>
            <w:proofErr w:type="spellEnd"/>
            <w:r w:rsidR="00233057">
              <w:rPr>
                <w:rFonts w:eastAsia="Calibri" w:cs="Arial"/>
                <w:szCs w:val="22"/>
              </w:rPr>
              <w:t>, Sri Lanka</w:t>
            </w:r>
            <w:r w:rsidRPr="007F4312">
              <w:rPr>
                <w:rFonts w:eastAsia="Calibri" w:cs="Arial"/>
                <w:szCs w:val="22"/>
              </w:rPr>
              <w:t>. Cultures of test microorganisms were obtained from the clinical samples delivered for inspection to the microbiology laboratory at the National Hospital of Sri Lanka, between February 2023 and March 2024.</w:t>
            </w:r>
          </w:p>
          <w:p w14:paraId="0D37294A" w14:textId="77777777" w:rsidR="007F4312" w:rsidRPr="007F4312" w:rsidRDefault="007F4312" w:rsidP="007F4312">
            <w:pPr>
              <w:pStyle w:val="Body"/>
              <w:rPr>
                <w:rFonts w:eastAsia="Calibri" w:cs="Arial"/>
                <w:szCs w:val="22"/>
              </w:rPr>
            </w:pPr>
            <w:proofErr w:type="gramStart"/>
            <w:r w:rsidRPr="007F4312">
              <w:rPr>
                <w:rFonts w:eastAsia="Calibri" w:cs="Arial"/>
                <w:b/>
                <w:bCs/>
                <w:szCs w:val="22"/>
              </w:rPr>
              <w:t xml:space="preserve">Methodology </w:t>
            </w:r>
            <w:r w:rsidRPr="007F4312">
              <w:rPr>
                <w:rFonts w:eastAsia="Calibri" w:cs="Arial"/>
                <w:szCs w:val="22"/>
              </w:rPr>
              <w:t xml:space="preserve"> The</w:t>
            </w:r>
            <w:proofErr w:type="gramEnd"/>
            <w:r w:rsidRPr="007F4312">
              <w:rPr>
                <w:rFonts w:eastAsia="Calibri" w:cs="Arial"/>
                <w:szCs w:val="22"/>
              </w:rPr>
              <w:t xml:space="preserve"> plant extracts were prepared using a Soxhlet apparatus with ethanol and methanol as solvents. Antibacterial activity was evaluated through both disc diffusion and well diffusion assays, while the minimum inhibitory concentration (MIC) was determined using the macro dilution method. Qualitative phytochemical analysis was conducted to identify the phytochemical constituents.</w:t>
            </w:r>
          </w:p>
          <w:p w14:paraId="1837A70B" w14:textId="128B55E5" w:rsidR="007F4312" w:rsidRPr="007F4312" w:rsidRDefault="007F4312" w:rsidP="007F4312">
            <w:pPr>
              <w:pStyle w:val="Body"/>
              <w:rPr>
                <w:rFonts w:eastAsia="Calibri" w:cs="Arial"/>
                <w:szCs w:val="22"/>
              </w:rPr>
            </w:pPr>
            <w:proofErr w:type="gramStart"/>
            <w:r w:rsidRPr="007F4312">
              <w:rPr>
                <w:rFonts w:eastAsia="Calibri" w:cs="Arial"/>
                <w:b/>
                <w:bCs/>
                <w:szCs w:val="22"/>
              </w:rPr>
              <w:t xml:space="preserve">Results </w:t>
            </w:r>
            <w:r w:rsidRPr="007F4312">
              <w:rPr>
                <w:rFonts w:eastAsia="Calibri" w:cs="Arial"/>
                <w:szCs w:val="22"/>
              </w:rPr>
              <w:t xml:space="preserve"> Both</w:t>
            </w:r>
            <w:proofErr w:type="gramEnd"/>
            <w:r w:rsidRPr="007F4312">
              <w:rPr>
                <w:rFonts w:eastAsia="Calibri" w:cs="Arial"/>
                <w:szCs w:val="22"/>
              </w:rPr>
              <w:t xml:space="preserve"> extracts exhibited antibacterial activity exclusively against </w:t>
            </w:r>
            <w:r w:rsidRPr="007F4312">
              <w:rPr>
                <w:rFonts w:eastAsia="Calibri" w:cs="Arial"/>
                <w:i/>
                <w:iCs/>
                <w:szCs w:val="22"/>
              </w:rPr>
              <w:t>Pseudomonas aeruginosa</w:t>
            </w:r>
            <w:r w:rsidRPr="007F4312">
              <w:rPr>
                <w:rFonts w:eastAsia="Calibri" w:cs="Arial"/>
                <w:szCs w:val="22"/>
              </w:rPr>
              <w:t xml:space="preserve"> (ATCC 27853) at concentrations of 100 mg/mL and 50 mg/mL in both well diffusion and dis</w:t>
            </w:r>
            <w:r w:rsidR="00C0282D">
              <w:rPr>
                <w:rFonts w:eastAsia="Calibri" w:cs="Arial"/>
                <w:szCs w:val="22"/>
              </w:rPr>
              <w:t>c</w:t>
            </w:r>
            <w:r w:rsidRPr="007F4312">
              <w:rPr>
                <w:rFonts w:eastAsia="Calibri" w:cs="Arial"/>
                <w:szCs w:val="22"/>
              </w:rPr>
              <w:t xml:space="preserve"> diffusion assays, with the unexpected occurrence of </w:t>
            </w:r>
            <w:proofErr w:type="spellStart"/>
            <w:r w:rsidRPr="007F4312">
              <w:rPr>
                <w:rFonts w:eastAsia="Calibri" w:cs="Arial"/>
                <w:szCs w:val="22"/>
              </w:rPr>
              <w:t>heteroresistance</w:t>
            </w:r>
            <w:proofErr w:type="spellEnd"/>
            <w:r w:rsidRPr="007F4312">
              <w:rPr>
                <w:rFonts w:eastAsia="Calibri" w:cs="Arial"/>
                <w:szCs w:val="22"/>
              </w:rPr>
              <w:t xml:space="preserve">. The phytochemical analysis revealed the presence of flavonoids, glycosides, phenols, and alkaloids. </w:t>
            </w:r>
          </w:p>
          <w:p w14:paraId="2A101C73" w14:textId="63C72001" w:rsidR="007F4312" w:rsidRPr="007F4312" w:rsidRDefault="007F4312" w:rsidP="007F4312">
            <w:pPr>
              <w:pStyle w:val="Body"/>
              <w:rPr>
                <w:rFonts w:eastAsia="Calibri" w:cs="Arial"/>
                <w:szCs w:val="22"/>
              </w:rPr>
            </w:pPr>
            <w:r w:rsidRPr="007F4312">
              <w:rPr>
                <w:rFonts w:eastAsia="Calibri" w:cs="Arial"/>
                <w:b/>
                <w:bCs/>
                <w:szCs w:val="22"/>
              </w:rPr>
              <w:t>Conclusion</w:t>
            </w:r>
            <w:r w:rsidRPr="007F4312">
              <w:rPr>
                <w:rFonts w:eastAsia="Calibri" w:cs="Arial"/>
                <w:szCs w:val="22"/>
              </w:rPr>
              <w:t xml:space="preserve"> </w:t>
            </w:r>
            <w:proofErr w:type="spellStart"/>
            <w:r w:rsidRPr="007F4312">
              <w:rPr>
                <w:rFonts w:eastAsia="Calibri" w:cs="Arial"/>
                <w:i/>
                <w:iCs/>
                <w:szCs w:val="22"/>
              </w:rPr>
              <w:t>Biophytum</w:t>
            </w:r>
            <w:proofErr w:type="spellEnd"/>
            <w:r w:rsidRPr="007F4312">
              <w:rPr>
                <w:rFonts w:eastAsia="Calibri" w:cs="Arial"/>
                <w:i/>
                <w:iCs/>
                <w:szCs w:val="22"/>
              </w:rPr>
              <w:t xml:space="preserve"> </w:t>
            </w:r>
            <w:proofErr w:type="spellStart"/>
            <w:r w:rsidRPr="007F4312">
              <w:rPr>
                <w:rFonts w:eastAsia="Calibri" w:cs="Arial"/>
                <w:i/>
                <w:iCs/>
                <w:szCs w:val="22"/>
              </w:rPr>
              <w:t>reinwardtii</w:t>
            </w:r>
            <w:proofErr w:type="spellEnd"/>
            <w:r w:rsidRPr="007F4312">
              <w:rPr>
                <w:rFonts w:eastAsia="Calibri" w:cs="Arial"/>
                <w:szCs w:val="22"/>
              </w:rPr>
              <w:t xml:space="preserve"> has a promising potential as an antibacterial agent and the phytochemicals </w:t>
            </w:r>
            <w:r w:rsidR="00057357" w:rsidRPr="007F4312">
              <w:rPr>
                <w:rFonts w:eastAsia="Calibri" w:cs="Arial"/>
                <w:szCs w:val="22"/>
              </w:rPr>
              <w:t>present may</w:t>
            </w:r>
            <w:r w:rsidRPr="007F4312">
              <w:rPr>
                <w:rFonts w:eastAsia="Calibri" w:cs="Arial"/>
                <w:szCs w:val="22"/>
              </w:rPr>
              <w:t xml:space="preserve"> contribute to the plant's antibacterial properties, highlighting the need for further research on this plant. </w:t>
            </w:r>
          </w:p>
          <w:p w14:paraId="47203E3F" w14:textId="77777777" w:rsidR="00505F06" w:rsidRPr="00BA1B01" w:rsidRDefault="00505F06" w:rsidP="007F4312">
            <w:pPr>
              <w:pStyle w:val="Body"/>
              <w:rPr>
                <w:rFonts w:eastAsia="Calibri" w:cs="Arial"/>
                <w:szCs w:val="22"/>
              </w:rPr>
            </w:pPr>
          </w:p>
        </w:tc>
      </w:tr>
    </w:tbl>
    <w:p w14:paraId="271B1ADA" w14:textId="77777777" w:rsidR="00636EB2" w:rsidRDefault="00636EB2" w:rsidP="00441B6F">
      <w:pPr>
        <w:pStyle w:val="Body"/>
        <w:spacing w:after="0"/>
        <w:rPr>
          <w:rFonts w:cs="Arial"/>
          <w:i/>
        </w:rPr>
      </w:pPr>
    </w:p>
    <w:p w14:paraId="55E1DA90" w14:textId="77777777" w:rsidR="007F4312" w:rsidRPr="007F4312" w:rsidRDefault="00A24E7E" w:rsidP="007F4312">
      <w:pPr>
        <w:pStyle w:val="Body"/>
        <w:spacing w:after="0"/>
        <w:rPr>
          <w:rFonts w:cs="Arial"/>
          <w:i/>
        </w:rPr>
      </w:pPr>
      <w:r>
        <w:rPr>
          <w:rFonts w:cs="Arial"/>
          <w:i/>
        </w:rPr>
        <w:t xml:space="preserve">Keywords: </w:t>
      </w:r>
      <w:proofErr w:type="spellStart"/>
      <w:r w:rsidR="007F4312" w:rsidRPr="007F4312">
        <w:rPr>
          <w:rFonts w:cs="Arial"/>
          <w:i/>
          <w:iCs/>
        </w:rPr>
        <w:t>Biophytum</w:t>
      </w:r>
      <w:proofErr w:type="spellEnd"/>
      <w:r w:rsidR="007F4312" w:rsidRPr="007F4312">
        <w:rPr>
          <w:rFonts w:cs="Arial"/>
          <w:i/>
          <w:iCs/>
        </w:rPr>
        <w:t xml:space="preserve"> </w:t>
      </w:r>
      <w:proofErr w:type="spellStart"/>
      <w:r w:rsidR="007F4312" w:rsidRPr="007F4312">
        <w:rPr>
          <w:rFonts w:cs="Arial"/>
          <w:i/>
          <w:iCs/>
        </w:rPr>
        <w:t>reinwardtii</w:t>
      </w:r>
      <w:proofErr w:type="spellEnd"/>
      <w:r w:rsidR="007F4312" w:rsidRPr="007F4312">
        <w:rPr>
          <w:rFonts w:cs="Arial"/>
          <w:i/>
        </w:rPr>
        <w:t xml:space="preserve">, </w:t>
      </w:r>
      <w:proofErr w:type="spellStart"/>
      <w:r w:rsidR="007F4312" w:rsidRPr="007F4312">
        <w:rPr>
          <w:rFonts w:cs="Arial"/>
          <w:i/>
        </w:rPr>
        <w:t>heteroresistance</w:t>
      </w:r>
      <w:proofErr w:type="spellEnd"/>
      <w:r w:rsidR="007F4312" w:rsidRPr="007F4312">
        <w:rPr>
          <w:rFonts w:cs="Arial"/>
          <w:i/>
        </w:rPr>
        <w:t>, phytochemical, Minimum inhibitory concentration, antibacterial activity</w:t>
      </w:r>
    </w:p>
    <w:p w14:paraId="548A9716" w14:textId="77777777" w:rsidR="00505F06" w:rsidRPr="00A24E7E" w:rsidRDefault="00505F06" w:rsidP="00441B6F">
      <w:pPr>
        <w:pStyle w:val="Body"/>
        <w:spacing w:after="0"/>
        <w:rPr>
          <w:rFonts w:cs="Arial"/>
          <w:i/>
        </w:rPr>
      </w:pPr>
    </w:p>
    <w:p w14:paraId="63D2F97D" w14:textId="77777777" w:rsidR="00790ADA" w:rsidRPr="00FB3A86" w:rsidRDefault="00902823" w:rsidP="00B31E70">
      <w:pPr>
        <w:pStyle w:val="Heading1"/>
      </w:pPr>
      <w:r w:rsidRPr="00B31E70">
        <w:rPr>
          <w:szCs w:val="16"/>
        </w:rPr>
        <w:lastRenderedPageBreak/>
        <w:t xml:space="preserve">1. </w:t>
      </w:r>
      <w:r w:rsidR="00B01FCD" w:rsidRPr="00B31E70">
        <w:rPr>
          <w:szCs w:val="16"/>
        </w:rPr>
        <w:t>INTRODUCTION</w:t>
      </w:r>
      <w:r w:rsidR="007F7B32" w:rsidRPr="00B31E70">
        <w:rPr>
          <w:szCs w:val="16"/>
        </w:rPr>
        <w:t xml:space="preserve"> </w:t>
      </w:r>
    </w:p>
    <w:p w14:paraId="2FBA09BA" w14:textId="0F65D599" w:rsidR="007F4312" w:rsidRPr="007F4312" w:rsidRDefault="00B16687" w:rsidP="007F4312">
      <w:pPr>
        <w:pStyle w:val="Body"/>
        <w:rPr>
          <w:rFonts w:cs="Arial"/>
        </w:rPr>
      </w:pPr>
      <w:r w:rsidRPr="00B16687">
        <w:rPr>
          <w:rFonts w:cs="Arial"/>
        </w:rPr>
        <w:t xml:space="preserve">The development and widespread use of antibiotics as a mean of treating infections have resulted a new dawn in modern medicine and revolutionized the treatment approaches. Yet it’s unfortunate that the rise of antimicrobial resistance against </w:t>
      </w:r>
      <w:r w:rsidR="00057357" w:rsidRPr="00B16687">
        <w:rPr>
          <w:rFonts w:cs="Arial"/>
        </w:rPr>
        <w:t>common microbial</w:t>
      </w:r>
      <w:r w:rsidRPr="00B16687">
        <w:rPr>
          <w:rFonts w:cs="Arial"/>
        </w:rPr>
        <w:t xml:space="preserve"> pathogens has become a significant threat in this clinical achievement, compromising the recovery of critically ill patients</w:t>
      </w:r>
      <w:r>
        <w:rPr>
          <w:rFonts w:cs="Arial"/>
        </w:rPr>
        <w:t xml:space="preserve"> </w:t>
      </w:r>
      <w:r w:rsidRPr="00B16687">
        <w:rPr>
          <w:rFonts w:cs="Arial"/>
        </w:rPr>
        <w:t xml:space="preserve">(Munita </w:t>
      </w:r>
      <w:r w:rsidRPr="00B16687">
        <w:rPr>
          <w:rFonts w:cs="Arial"/>
          <w:i/>
          <w:iCs/>
        </w:rPr>
        <w:t xml:space="preserve">et al., </w:t>
      </w:r>
      <w:r w:rsidRPr="00B16687">
        <w:rPr>
          <w:rFonts w:cs="Arial"/>
        </w:rPr>
        <w:t>2016)</w:t>
      </w:r>
      <w:r>
        <w:rPr>
          <w:rFonts w:cs="Arial"/>
        </w:rPr>
        <w:t xml:space="preserve"> </w:t>
      </w:r>
      <w:r w:rsidR="00057357" w:rsidRPr="007F4312">
        <w:rPr>
          <w:rFonts w:cs="Arial"/>
        </w:rPr>
        <w:t>and there</w:t>
      </w:r>
      <w:r w:rsidR="007F4312" w:rsidRPr="007F4312">
        <w:rPr>
          <w:rFonts w:cs="Arial"/>
        </w:rPr>
        <w:t xml:space="preserve"> have been reports of side effects </w:t>
      </w:r>
      <w:r w:rsidR="00057357" w:rsidRPr="007F4312">
        <w:rPr>
          <w:rFonts w:cs="Arial"/>
        </w:rPr>
        <w:t>associated causing</w:t>
      </w:r>
      <w:r w:rsidR="007F4312" w:rsidRPr="007F4312">
        <w:rPr>
          <w:rFonts w:cs="Arial"/>
        </w:rPr>
        <w:t xml:space="preserve"> a significant challenge to the health care field (Mary and Raj, 2017). Besides that, the high cost of antibiotics has become a growing concern in developing countries, placing a financial burden on patients.</w:t>
      </w:r>
      <w:r>
        <w:rPr>
          <w:rFonts w:cs="Arial"/>
        </w:rPr>
        <w:t xml:space="preserve"> </w:t>
      </w:r>
      <w:r w:rsidRPr="00B16687">
        <w:rPr>
          <w:rFonts w:cs="Arial"/>
        </w:rPr>
        <w:t>Indeed, antibiotic resistance has been considered as one of the three most important public health threats of the 21</w:t>
      </w:r>
      <w:r w:rsidRPr="00B16687">
        <w:rPr>
          <w:rFonts w:cs="Arial"/>
          <w:vertAlign w:val="superscript"/>
        </w:rPr>
        <w:t xml:space="preserve">st </w:t>
      </w:r>
      <w:r w:rsidRPr="00B16687">
        <w:rPr>
          <w:rFonts w:cs="Arial"/>
        </w:rPr>
        <w:t>century by the world health organization</w:t>
      </w:r>
      <w:r>
        <w:rPr>
          <w:rFonts w:cs="Arial"/>
        </w:rPr>
        <w:t xml:space="preserve"> </w:t>
      </w:r>
      <w:r w:rsidRPr="00B16687">
        <w:rPr>
          <w:rFonts w:cs="Arial"/>
        </w:rPr>
        <w:t xml:space="preserve">(Munita </w:t>
      </w:r>
      <w:r w:rsidRPr="00B16687">
        <w:rPr>
          <w:rFonts w:cs="Arial"/>
          <w:i/>
          <w:iCs/>
        </w:rPr>
        <w:t xml:space="preserve">et al., </w:t>
      </w:r>
      <w:r w:rsidRPr="00B16687">
        <w:rPr>
          <w:rFonts w:cs="Arial"/>
        </w:rPr>
        <w:t>2016)</w:t>
      </w:r>
      <w:r>
        <w:rPr>
          <w:rFonts w:cs="Arial"/>
        </w:rPr>
        <w:t>.</w:t>
      </w:r>
      <w:r w:rsidR="007F4312" w:rsidRPr="007F4312">
        <w:rPr>
          <w:rFonts w:cs="Arial"/>
        </w:rPr>
        <w:t xml:space="preserve"> Therefore, identifying alternatives is crucial to address the limitations and challenges associated with the use of antibiotics. Hence, medicinal plants can serve as an alternative, which is more affordable and readily available.</w:t>
      </w:r>
    </w:p>
    <w:p w14:paraId="0F13EBD5" w14:textId="77777777" w:rsidR="007F4312" w:rsidRPr="007F4312" w:rsidRDefault="007F4312" w:rsidP="007F4312">
      <w:pPr>
        <w:pStyle w:val="Body"/>
        <w:rPr>
          <w:rFonts w:cs="Arial"/>
        </w:rPr>
      </w:pPr>
      <w:r w:rsidRPr="007F4312">
        <w:rPr>
          <w:rFonts w:cs="Arial"/>
        </w:rPr>
        <w:t xml:space="preserve">Medicinal plants symbolize as on one of the most primordial modes of medication, extending back to thousands of years of traditional medicine of many countries around the world. Herbal medicine is thought to be more socially and culturally acceptable, less poisonous, and have less adverse effects. Other advantages include that the same plant can be used for various treatments and health benefits, fewer side effects and can be used in a variety of ways (Sam, 2019). Yet, there is plenty of medicinal plants that has not been deeply investigated on their phytochemical makeup and possible health advantages, leaving a hopeful future on the medicinal plants (Marrelli, 2021). </w:t>
      </w:r>
    </w:p>
    <w:p w14:paraId="0A4AF3E5" w14:textId="77777777" w:rsidR="007F4312" w:rsidRPr="007F4312" w:rsidRDefault="007F4312" w:rsidP="007F4312">
      <w:pPr>
        <w:pStyle w:val="Body"/>
        <w:rPr>
          <w:rFonts w:cs="Arial"/>
        </w:rPr>
      </w:pPr>
      <w:r w:rsidRPr="007F4312">
        <w:rPr>
          <w:rFonts w:cs="Arial"/>
        </w:rPr>
        <w:t xml:space="preserve">The chemical compounds generated by plants during their regular metabolic processes, known as "phytochemicals," have the potential to lead the development of innovative treatments (Anand </w:t>
      </w:r>
      <w:r w:rsidRPr="007F4312">
        <w:rPr>
          <w:rFonts w:cs="Arial"/>
          <w:i/>
        </w:rPr>
        <w:t>et al</w:t>
      </w:r>
      <w:r w:rsidRPr="007F4312">
        <w:rPr>
          <w:rFonts w:cs="Arial"/>
        </w:rPr>
        <w:t xml:space="preserve">., 2019). According to Ibrahim and </w:t>
      </w:r>
      <w:proofErr w:type="spellStart"/>
      <w:r w:rsidRPr="007F4312">
        <w:rPr>
          <w:rFonts w:cs="Arial"/>
        </w:rPr>
        <w:t>Fagbohun</w:t>
      </w:r>
      <w:proofErr w:type="spellEnd"/>
      <w:r w:rsidRPr="007F4312">
        <w:rPr>
          <w:rFonts w:cs="Arial"/>
        </w:rPr>
        <w:t xml:space="preserve">, bioactive compounds found in plants such as alkaloids, flavonoid, tannins, phenolic compounds and glycosides are considered as important (Ibrahim and </w:t>
      </w:r>
      <w:proofErr w:type="spellStart"/>
      <w:r w:rsidRPr="007F4312">
        <w:rPr>
          <w:rFonts w:cs="Arial"/>
        </w:rPr>
        <w:t>Fagbohun</w:t>
      </w:r>
      <w:proofErr w:type="spellEnd"/>
      <w:r w:rsidRPr="007F4312">
        <w:rPr>
          <w:rFonts w:cs="Arial"/>
        </w:rPr>
        <w:t xml:space="preserve">, 2013). General functions of most of the phytochemicals include antioxidant property, antimicrobial property and many physiological activities in both animals and plants (Chukwuebuka and Chinenye, 2015). </w:t>
      </w:r>
    </w:p>
    <w:p w14:paraId="787B3D6D" w14:textId="77777777" w:rsidR="007F4312" w:rsidRPr="007F4312" w:rsidRDefault="007F4312" w:rsidP="007F4312">
      <w:pPr>
        <w:pStyle w:val="Body"/>
        <w:rPr>
          <w:rFonts w:cs="Arial"/>
        </w:rPr>
      </w:pPr>
      <w:proofErr w:type="spellStart"/>
      <w:r w:rsidRPr="007F4312">
        <w:rPr>
          <w:rFonts w:cs="Arial"/>
          <w:i/>
        </w:rPr>
        <w:t>Biophytum</w:t>
      </w:r>
      <w:proofErr w:type="spellEnd"/>
      <w:r w:rsidRPr="007F4312">
        <w:rPr>
          <w:rFonts w:cs="Arial"/>
          <w:i/>
        </w:rPr>
        <w:t xml:space="preserve"> </w:t>
      </w:r>
      <w:proofErr w:type="spellStart"/>
      <w:r w:rsidRPr="007F4312">
        <w:rPr>
          <w:rFonts w:cs="Arial"/>
          <w:i/>
        </w:rPr>
        <w:t>reinwardtii</w:t>
      </w:r>
      <w:proofErr w:type="spellEnd"/>
      <w:r w:rsidRPr="007F4312">
        <w:rPr>
          <w:rFonts w:cs="Arial"/>
        </w:rPr>
        <w:t xml:space="preserve">, is a small annual herb from the </w:t>
      </w:r>
      <w:proofErr w:type="spellStart"/>
      <w:r w:rsidRPr="00B44285">
        <w:rPr>
          <w:rFonts w:cs="Arial"/>
          <w:i/>
          <w:iCs/>
        </w:rPr>
        <w:t>Oxalidaceae</w:t>
      </w:r>
      <w:proofErr w:type="spellEnd"/>
      <w:r w:rsidRPr="007F4312">
        <w:rPr>
          <w:rFonts w:cs="Arial"/>
        </w:rPr>
        <w:t xml:space="preserve"> family and is widely known for its medicinal properties. It is usually seen during the rainy season and distributed throughout the warmer regions of India, Indo- Malaysia, China and Sri Lanka. It is reported that the leaves and the roots of this plant are used to treat common fever. The herb's leaves have diuretic and expectorant qualities and can be applied to wounds and bruises. In some regions, a decoction made from the leaves is given for hypertension, asthma, phthisis, and snake-bite poisoning, while the root decoction is consumed to treat gonorrhea and bladder stones. The powdered seeds mixed with cow ghee can be applied topically to promote suppuration in abscesses (Jayaweera,1980). However, there was no scientific evidence supporting its use in various instances.</w:t>
      </w:r>
    </w:p>
    <w:p w14:paraId="2AF0895E" w14:textId="77777777" w:rsidR="007F4312" w:rsidRPr="007F4312" w:rsidRDefault="007F4312" w:rsidP="007F4312">
      <w:pPr>
        <w:pStyle w:val="Body"/>
        <w:rPr>
          <w:rFonts w:cs="Arial"/>
          <w:i/>
          <w:iCs/>
        </w:rPr>
      </w:pPr>
      <w:r w:rsidRPr="007F4312">
        <w:rPr>
          <w:rFonts w:cs="Arial"/>
        </w:rPr>
        <w:t xml:space="preserve">The objective of this study was to explore the scientific proof behind the antibacterial properties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and on identifying the phytochemicals that are present in the plant. The results of this research may provide insights into the potential use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in treating bacterial infections, and the detection of phytochemicals could aid in the development of new drugs. Further research is needed to determine the clinical significance of these findings and to explore the potential therapeutic applications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i/>
          <w:iCs/>
        </w:rPr>
        <w:t>.</w:t>
      </w:r>
    </w:p>
    <w:p w14:paraId="68D29DE8" w14:textId="77777777" w:rsidR="00790ADA" w:rsidRPr="00FB3A86" w:rsidRDefault="00790ADA" w:rsidP="00B31E70">
      <w:pPr>
        <w:pStyle w:val="Body"/>
        <w:spacing w:after="0"/>
        <w:jc w:val="left"/>
        <w:rPr>
          <w:rFonts w:cs="Arial"/>
        </w:rPr>
      </w:pPr>
    </w:p>
    <w:p w14:paraId="7300C769" w14:textId="01BC4755" w:rsidR="007F7B32" w:rsidRPr="00B31E70" w:rsidRDefault="0047228A" w:rsidP="00B31E70">
      <w:pPr>
        <w:pStyle w:val="Heading1"/>
        <w:rPr>
          <w:szCs w:val="16"/>
        </w:rPr>
      </w:pPr>
      <w:r w:rsidRPr="00B31E70">
        <w:rPr>
          <w:szCs w:val="16"/>
        </w:rPr>
        <w:t xml:space="preserve">2. MATERIAL AND METHODS </w:t>
      </w:r>
    </w:p>
    <w:p w14:paraId="7FEF0A31" w14:textId="77777777" w:rsidR="00790ADA" w:rsidRPr="00FB3A86" w:rsidRDefault="00790ADA" w:rsidP="00441B6F">
      <w:pPr>
        <w:pStyle w:val="AbstHead"/>
        <w:spacing w:after="0"/>
        <w:jc w:val="both"/>
        <w:rPr>
          <w:rFonts w:cs="Arial"/>
        </w:rPr>
      </w:pPr>
    </w:p>
    <w:p w14:paraId="1066EE2B" w14:textId="0E601E2A" w:rsidR="007F4312" w:rsidRPr="00B31E70" w:rsidRDefault="00B31E70" w:rsidP="0047228A">
      <w:pPr>
        <w:pStyle w:val="Heading2"/>
        <w:rPr>
          <w:b w:val="0"/>
        </w:rPr>
      </w:pPr>
      <w:r w:rsidRPr="0047228A">
        <w:rPr>
          <w:bCs/>
        </w:rPr>
        <w:t>2.1</w:t>
      </w:r>
      <w:r w:rsidRPr="00B31E70">
        <w:rPr>
          <w:b w:val="0"/>
        </w:rPr>
        <w:t xml:space="preserve"> </w:t>
      </w:r>
      <w:r w:rsidR="007F4312" w:rsidRPr="00B31E70">
        <w:t>Sample collection and plant authentication</w:t>
      </w:r>
    </w:p>
    <w:p w14:paraId="57CB9E8B" w14:textId="77777777" w:rsidR="007F4312" w:rsidRPr="007F4312" w:rsidRDefault="007F4312" w:rsidP="007F4312">
      <w:pPr>
        <w:pStyle w:val="Body"/>
        <w:rPr>
          <w:rFonts w:cs="Arial"/>
          <w:b/>
          <w:bCs/>
        </w:rPr>
      </w:pPr>
      <w:r w:rsidRPr="007F4312">
        <w:rPr>
          <w:rFonts w:cs="Arial"/>
        </w:rPr>
        <w:t xml:space="preserve">The mature and healthy whole plants of </w:t>
      </w:r>
      <w:proofErr w:type="spellStart"/>
      <w:r w:rsidRPr="00057357">
        <w:rPr>
          <w:rFonts w:cs="Arial"/>
          <w:i/>
          <w:iCs/>
        </w:rPr>
        <w:t>Biophytum</w:t>
      </w:r>
      <w:proofErr w:type="spellEnd"/>
      <w:r w:rsidRPr="00057357">
        <w:rPr>
          <w:rFonts w:cs="Arial"/>
          <w:i/>
          <w:iCs/>
        </w:rPr>
        <w:t xml:space="preserve"> </w:t>
      </w:r>
      <w:proofErr w:type="spellStart"/>
      <w:r w:rsidRPr="00057357">
        <w:rPr>
          <w:rFonts w:cs="Arial"/>
          <w:i/>
          <w:iCs/>
        </w:rPr>
        <w:t>reinwardtii</w:t>
      </w:r>
      <w:proofErr w:type="spellEnd"/>
      <w:r w:rsidRPr="007F4312">
        <w:rPr>
          <w:rFonts w:cs="Arial"/>
        </w:rPr>
        <w:t xml:space="preserve"> were collected from a local coconut estate in the western province of Sri Lanka. (GPS) 7°01'24.2"N 79°56'04.1"E. </w:t>
      </w:r>
    </w:p>
    <w:p w14:paraId="398E19CE" w14:textId="290A8363" w:rsidR="007F4312" w:rsidRDefault="007F4312" w:rsidP="007F4312">
      <w:pPr>
        <w:pStyle w:val="Body"/>
        <w:rPr>
          <w:rFonts w:cs="Arial"/>
        </w:rPr>
      </w:pPr>
      <w:r w:rsidRPr="007F4312">
        <w:rPr>
          <w:rFonts w:cs="Arial"/>
        </w:rPr>
        <w:t xml:space="preserve">The collected plant preserved on an herbarium </w:t>
      </w:r>
      <w:r w:rsidR="00057357" w:rsidRPr="007F4312">
        <w:rPr>
          <w:rFonts w:cs="Arial"/>
        </w:rPr>
        <w:t>sheet was</w:t>
      </w:r>
      <w:r w:rsidRPr="007F4312">
        <w:rPr>
          <w:rFonts w:cs="Arial"/>
        </w:rPr>
        <w:t xml:space="preserve"> identified and authenticated by a botanist at Bandaranaike Memorial Ayurvedic Research Institute, Herbarium of Medicinal Plants, </w:t>
      </w:r>
      <w:proofErr w:type="spellStart"/>
      <w:r w:rsidRPr="007F4312">
        <w:rPr>
          <w:rFonts w:cs="Arial"/>
        </w:rPr>
        <w:t>Nawinna</w:t>
      </w:r>
      <w:proofErr w:type="spellEnd"/>
      <w:r w:rsidRPr="007F4312">
        <w:rPr>
          <w:rFonts w:cs="Arial"/>
        </w:rPr>
        <w:t xml:space="preserve">, </w:t>
      </w:r>
      <w:proofErr w:type="spellStart"/>
      <w:r w:rsidRPr="007F4312">
        <w:rPr>
          <w:rFonts w:cs="Arial"/>
        </w:rPr>
        <w:t>Maharagama</w:t>
      </w:r>
      <w:proofErr w:type="spellEnd"/>
      <w:r w:rsidRPr="007F4312">
        <w:rPr>
          <w:rFonts w:cs="Arial"/>
        </w:rPr>
        <w:t xml:space="preserve">, Sri Lanka. </w:t>
      </w:r>
    </w:p>
    <w:p w14:paraId="2E4441A1" w14:textId="29D0A662" w:rsidR="00BE05DE" w:rsidRDefault="00BE05DE" w:rsidP="00BE05DE">
      <w:pPr>
        <w:spacing w:line="360" w:lineRule="auto"/>
        <w:jc w:val="center"/>
        <w:rPr>
          <w:szCs w:val="24"/>
          <w:lang w:bidi="si-LK"/>
        </w:rPr>
      </w:pPr>
      <w:r w:rsidRPr="002B5503">
        <w:rPr>
          <w:noProof/>
          <w:szCs w:val="24"/>
          <w:lang w:bidi="si-LK"/>
        </w:rPr>
        <w:lastRenderedPageBreak/>
        <w:drawing>
          <wp:inline distT="114300" distB="114300" distL="114300" distR="114300" wp14:anchorId="0B967BFB" wp14:editId="271F1265">
            <wp:extent cx="1833799" cy="25044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846228" cy="2521379"/>
                    </a:xfrm>
                    <a:prstGeom prst="rect">
                      <a:avLst/>
                    </a:prstGeom>
                    <a:ln/>
                  </pic:spPr>
                </pic:pic>
              </a:graphicData>
            </a:graphic>
          </wp:inline>
        </w:drawing>
      </w:r>
    </w:p>
    <w:p w14:paraId="448BD9D7" w14:textId="62B911E0" w:rsidR="00B356ED" w:rsidRPr="002B5503" w:rsidRDefault="00B356ED" w:rsidP="00B356ED">
      <w:pPr>
        <w:spacing w:line="360" w:lineRule="auto"/>
        <w:jc w:val="center"/>
        <w:rPr>
          <w:szCs w:val="24"/>
          <w:lang w:bidi="si-LK"/>
        </w:rPr>
      </w:pPr>
      <w:r w:rsidRPr="00B356ED">
        <w:rPr>
          <w:rFonts w:cs="Arial"/>
          <w:b/>
          <w:bCs/>
          <w:vertAlign w:val="superscript"/>
        </w:rPr>
        <w:t xml:space="preserve">figure </w:t>
      </w:r>
      <w:proofErr w:type="gramStart"/>
      <w:r w:rsidRPr="00B356ED">
        <w:rPr>
          <w:rFonts w:cs="Arial"/>
          <w:b/>
          <w:bCs/>
          <w:vertAlign w:val="superscript"/>
        </w:rPr>
        <w:t>1</w:t>
      </w:r>
      <w:r w:rsidRPr="00B356ED">
        <w:rPr>
          <w:rFonts w:cs="Arial"/>
          <w:vertAlign w:val="superscript"/>
        </w:rPr>
        <w:t>:</w:t>
      </w:r>
      <w:r>
        <w:rPr>
          <w:rFonts w:cs="Arial"/>
          <w:vertAlign w:val="superscript"/>
        </w:rPr>
        <w:t>Preserved</w:t>
      </w:r>
      <w:proofErr w:type="gramEnd"/>
      <w:r>
        <w:rPr>
          <w:rFonts w:cs="Arial"/>
          <w:i/>
          <w:iCs/>
          <w:vertAlign w:val="superscript"/>
        </w:rPr>
        <w:t xml:space="preserve">  </w:t>
      </w:r>
      <w:proofErr w:type="spellStart"/>
      <w:r>
        <w:rPr>
          <w:rFonts w:cs="Arial"/>
          <w:i/>
          <w:iCs/>
          <w:vertAlign w:val="superscript"/>
        </w:rPr>
        <w:t>Biophytum</w:t>
      </w:r>
      <w:proofErr w:type="spellEnd"/>
      <w:r>
        <w:rPr>
          <w:rFonts w:cs="Arial"/>
          <w:i/>
          <w:iCs/>
          <w:vertAlign w:val="superscript"/>
        </w:rPr>
        <w:t xml:space="preserve"> </w:t>
      </w:r>
      <w:proofErr w:type="spellStart"/>
      <w:r>
        <w:rPr>
          <w:rFonts w:cs="Arial"/>
          <w:i/>
          <w:iCs/>
          <w:vertAlign w:val="superscript"/>
        </w:rPr>
        <w:t>reinwardtii</w:t>
      </w:r>
      <w:proofErr w:type="spellEnd"/>
      <w:r>
        <w:rPr>
          <w:rFonts w:cs="Arial"/>
          <w:i/>
          <w:iCs/>
          <w:vertAlign w:val="superscript"/>
        </w:rPr>
        <w:t xml:space="preserve"> </w:t>
      </w:r>
      <w:r w:rsidRPr="00B356ED">
        <w:rPr>
          <w:rFonts w:cs="Arial"/>
          <w:vertAlign w:val="superscript"/>
        </w:rPr>
        <w:t>plant</w:t>
      </w:r>
    </w:p>
    <w:p w14:paraId="135F453C" w14:textId="77777777" w:rsidR="00BE05DE" w:rsidRPr="007F4312" w:rsidRDefault="00BE05DE" w:rsidP="007F4312">
      <w:pPr>
        <w:pStyle w:val="Body"/>
        <w:rPr>
          <w:rFonts w:cs="Arial"/>
        </w:rPr>
      </w:pPr>
    </w:p>
    <w:p w14:paraId="1B80CF7A" w14:textId="04FE6FE8" w:rsidR="007F4312" w:rsidRPr="007F4312" w:rsidRDefault="00B31E70" w:rsidP="0047228A">
      <w:pPr>
        <w:pStyle w:val="Heading2"/>
      </w:pPr>
      <w:r>
        <w:t xml:space="preserve">2.2 </w:t>
      </w:r>
      <w:r w:rsidR="007F4312" w:rsidRPr="007F4312">
        <w:t>Preparation of dried plant powder</w:t>
      </w:r>
    </w:p>
    <w:p w14:paraId="37A4346B" w14:textId="77777777" w:rsidR="007F4312" w:rsidRPr="007F4312" w:rsidRDefault="007F4312" w:rsidP="007F4312">
      <w:pPr>
        <w:pStyle w:val="Body"/>
        <w:rPr>
          <w:rFonts w:cs="Arial"/>
        </w:rPr>
      </w:pPr>
      <w:r w:rsidRPr="007F4312">
        <w:rPr>
          <w:rFonts w:cs="Arial"/>
        </w:rPr>
        <w:t xml:space="preserve">The whole plant was used for the extraction process. The plants were thoroughly cleaned to remove any impurities and defective plants were excluded. Plants were air dried under shade at 25 °C (Room Temperature) for about 30 days until a constant dry weight was achieved. The dried plants were ground into a coarse powder using a mechanical grinder. Care was taken to prevent overheating of the sample, by allowing cooling intervals during the grinding process. The resulting coarse powder was stored in an airtight, sterile container and away from sunlight at room temperature. </w:t>
      </w:r>
    </w:p>
    <w:p w14:paraId="317BB015" w14:textId="4BF10565" w:rsidR="007F4312" w:rsidRPr="007F4312" w:rsidRDefault="0047228A" w:rsidP="0047228A">
      <w:pPr>
        <w:pStyle w:val="Heading2"/>
      </w:pPr>
      <w:r>
        <w:t xml:space="preserve">2.3 </w:t>
      </w:r>
      <w:r w:rsidR="007F4312" w:rsidRPr="007F4312">
        <w:t>Soxhlet extraction of the plant extracts</w:t>
      </w:r>
    </w:p>
    <w:p w14:paraId="711EECD8" w14:textId="77777777" w:rsidR="007F4312" w:rsidRPr="007F4312" w:rsidRDefault="007F4312" w:rsidP="007F4312">
      <w:pPr>
        <w:pStyle w:val="Body"/>
        <w:rPr>
          <w:rFonts w:cs="Arial"/>
        </w:rPr>
      </w:pPr>
      <w:r w:rsidRPr="007F4312">
        <w:rPr>
          <w:rFonts w:cs="Arial"/>
        </w:rPr>
        <w:t xml:space="preserve">The coarse plant powder was sieved through a 300-micron mesh to obtain a fine powder. One gram of the sieved powder was accurately weighed using an analytical balance, and its moisture content was measured using a moisture analyzer. Samples with a moisture content below 15% were selected for extraction process. Ten grams of the sieved powder were weighed and placed into thimbles prepared from Whatman filter paper (No. 42). Three such thimbles were used in the procedure.  The thimbles were sealed tightly to prevent the leakage of plant powder into the extract. Each thimble was extracted with 150 mL of 99% methanol using a Soxhlet apparatus at a temperature below 60°C (not exceeding the boiling point of methanol=64.7 °C) for 4 hours. A similar procedure was followed for the ethanolic extract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using 99.8% ethanol. The extraction was carried out at a temperature not exceeding 75°C (boiling point of ethanol = 73.37°C) for 3 hours.</w:t>
      </w:r>
    </w:p>
    <w:p w14:paraId="5E380FCA" w14:textId="4592AFB1" w:rsidR="0026530E" w:rsidRPr="00B31E70" w:rsidRDefault="007F4312" w:rsidP="007F4312">
      <w:pPr>
        <w:pStyle w:val="Body"/>
        <w:rPr>
          <w:rFonts w:cs="Arial"/>
        </w:rPr>
      </w:pPr>
      <w:r w:rsidRPr="007F4312">
        <w:rPr>
          <w:rFonts w:cs="Arial"/>
        </w:rPr>
        <w:t xml:space="preserve">The methanolic and ethanolic extracts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were separately concentrated using a rotary vacuum evaporator to ensure the complete removal of solvents. The concentrated extracts were then transferred into labeled sterile petri dishes and stored at −20°C for preservation until further analysis. A stock solution of the extracts was prepared in 5% DMSO (dimethyl sulfoxide) at a concentration of 100 mg/</w:t>
      </w:r>
      <w:proofErr w:type="spellStart"/>
      <w:r w:rsidRPr="007F4312">
        <w:rPr>
          <w:rFonts w:cs="Arial"/>
        </w:rPr>
        <w:t>mL.</w:t>
      </w:r>
      <w:proofErr w:type="spellEnd"/>
      <w:r w:rsidRPr="007F4312">
        <w:rPr>
          <w:rFonts w:cs="Arial"/>
        </w:rPr>
        <w:t xml:space="preserve"> Subsequently, serial dilutions were prepared from the stock solution to achieve concentrations of 50 mg/mL, 25 mg/mL, and 12.5 mg/</w:t>
      </w:r>
      <w:proofErr w:type="spellStart"/>
      <w:r w:rsidRPr="007F4312">
        <w:rPr>
          <w:rFonts w:cs="Arial"/>
        </w:rPr>
        <w:t>mL.</w:t>
      </w:r>
      <w:proofErr w:type="spellEnd"/>
    </w:p>
    <w:p w14:paraId="27C2B152" w14:textId="534DE2FE" w:rsidR="007F4312" w:rsidRPr="007F4312" w:rsidRDefault="00457E1B" w:rsidP="00457E1B">
      <w:pPr>
        <w:pStyle w:val="Heading2"/>
      </w:pPr>
      <w:r>
        <w:t xml:space="preserve">2.4 </w:t>
      </w:r>
      <w:r w:rsidR="007F4312" w:rsidRPr="007F4312">
        <w:t>Maceration technique as an alternative extraction procedure</w:t>
      </w:r>
    </w:p>
    <w:p w14:paraId="731950B5" w14:textId="77777777" w:rsidR="007F4312" w:rsidRPr="007F4312" w:rsidRDefault="007F4312" w:rsidP="007F4312">
      <w:pPr>
        <w:pStyle w:val="Body"/>
        <w:rPr>
          <w:rFonts w:cs="Arial"/>
        </w:rPr>
      </w:pPr>
      <w:r w:rsidRPr="007F4312">
        <w:rPr>
          <w:rFonts w:cs="Arial"/>
        </w:rPr>
        <w:t>In addition to Soxhlet extraction, the maceration technique was performed using methanol to obtain additional plant extract. Ninety grams of coarse plant powder was soaked in 900 mL of methanol at room temperature for 7 days with intermittent shaking. The mixture was then filtered through a clean muslin cloth, and the extract was transferred into labeled sterile petri dishes. It was evaporated at 60°C using a water bath. A stock solution with a concentration of 1600 mg/mL was prepared from the extract.</w:t>
      </w:r>
    </w:p>
    <w:p w14:paraId="2D3A1941" w14:textId="0658C16E" w:rsidR="007F4312" w:rsidRPr="007F4312" w:rsidRDefault="00457E1B" w:rsidP="00457E1B">
      <w:pPr>
        <w:pStyle w:val="Heading2"/>
      </w:pPr>
      <w:r>
        <w:t xml:space="preserve">2.5 </w:t>
      </w:r>
      <w:r w:rsidR="007F4312" w:rsidRPr="007F4312">
        <w:t>Maintenance of microbial cultures for antimicrobial assay</w:t>
      </w:r>
    </w:p>
    <w:p w14:paraId="28E7A2DD" w14:textId="77777777" w:rsidR="007F4312" w:rsidRPr="007F4312" w:rsidRDefault="007F4312" w:rsidP="007F4312">
      <w:pPr>
        <w:pStyle w:val="Body"/>
        <w:rPr>
          <w:rFonts w:cs="Arial"/>
        </w:rPr>
      </w:pPr>
      <w:r w:rsidRPr="007F4312">
        <w:rPr>
          <w:rFonts w:cs="Arial"/>
        </w:rPr>
        <w:t xml:space="preserve">Cultures of test microorganisms, </w:t>
      </w:r>
      <w:r w:rsidRPr="007F4312">
        <w:rPr>
          <w:rFonts w:cs="Arial"/>
          <w:i/>
          <w:iCs/>
        </w:rPr>
        <w:t>Pseudomonas aeruginosa</w:t>
      </w:r>
      <w:r w:rsidRPr="007F4312">
        <w:rPr>
          <w:rFonts w:cs="Arial"/>
        </w:rPr>
        <w:t xml:space="preserve">, </w:t>
      </w:r>
      <w:r w:rsidRPr="007F4312">
        <w:rPr>
          <w:rFonts w:cs="Arial"/>
          <w:i/>
          <w:iCs/>
        </w:rPr>
        <w:t>Staphylococcus aureus</w:t>
      </w:r>
      <w:r w:rsidRPr="007F4312">
        <w:rPr>
          <w:rFonts w:cs="Arial"/>
        </w:rPr>
        <w:t xml:space="preserve"> and </w:t>
      </w:r>
      <w:r w:rsidRPr="007F4312">
        <w:rPr>
          <w:rFonts w:cs="Arial"/>
          <w:i/>
          <w:iCs/>
        </w:rPr>
        <w:t>Escherichia coli</w:t>
      </w:r>
      <w:r w:rsidRPr="007F4312">
        <w:rPr>
          <w:rFonts w:cs="Arial"/>
        </w:rPr>
        <w:t xml:space="preserve"> were obtained from the clinical samples delivered for inspection to the microbiology laboratory at the National Hospital of Sri Lanka. Along with them the ATCC culture strains of the above-mentioned microorganisms (</w:t>
      </w:r>
      <w:r w:rsidRPr="007F4312">
        <w:rPr>
          <w:rFonts w:cs="Arial"/>
          <w:i/>
          <w:iCs/>
        </w:rPr>
        <w:t>Pseudomonas aeruginosa</w:t>
      </w:r>
      <w:r w:rsidRPr="007F4312">
        <w:rPr>
          <w:rFonts w:cs="Arial"/>
        </w:rPr>
        <w:t xml:space="preserve"> (ATCC 27853), </w:t>
      </w:r>
      <w:r w:rsidRPr="007F4312">
        <w:rPr>
          <w:rFonts w:cs="Arial"/>
          <w:i/>
          <w:iCs/>
        </w:rPr>
        <w:t>Staphylococcus aureus</w:t>
      </w:r>
      <w:r w:rsidRPr="007F4312">
        <w:rPr>
          <w:rFonts w:cs="Arial"/>
        </w:rPr>
        <w:t xml:space="preserve"> (ATCC 25923), </w:t>
      </w:r>
      <w:r w:rsidRPr="007F4312">
        <w:rPr>
          <w:rFonts w:cs="Arial"/>
          <w:i/>
          <w:iCs/>
        </w:rPr>
        <w:t>Escherichia Coli</w:t>
      </w:r>
      <w:r w:rsidRPr="007F4312">
        <w:rPr>
          <w:rFonts w:cs="Arial"/>
        </w:rPr>
        <w:t xml:space="preserve"> (ATCC 25922)) were collected from the Medical Research Institute, Sri Lanka. These microorganisms were then sub-cultured on Muller Hinton Agar and stored at 4 °C - 8 °C in the refrigerator for a maximum period of one week. Sub-culturing was done weekly until the end of the experimental procedure in order to </w:t>
      </w:r>
      <w:r w:rsidRPr="007F4312">
        <w:rPr>
          <w:rFonts w:cs="Arial"/>
        </w:rPr>
        <w:lastRenderedPageBreak/>
        <w:t>maintain the viability of the organisms. Gram-staining was performed to each of the sub-cultured plates in order to confirm the continuity of the same microorganism.</w:t>
      </w:r>
    </w:p>
    <w:p w14:paraId="595FC05D" w14:textId="3797F5F5" w:rsidR="007F4312" w:rsidRPr="007F4312" w:rsidRDefault="00457E1B" w:rsidP="00457E1B">
      <w:pPr>
        <w:pStyle w:val="Heading2"/>
      </w:pPr>
      <w:r>
        <w:t xml:space="preserve">2.6 </w:t>
      </w:r>
      <w:r w:rsidR="007F4312" w:rsidRPr="007F4312">
        <w:t>Preparation of antibiotic discs</w:t>
      </w:r>
    </w:p>
    <w:p w14:paraId="4963A5F2" w14:textId="60D58C6C" w:rsidR="007F4312" w:rsidRPr="007F4312" w:rsidRDefault="007F4312" w:rsidP="007F4312">
      <w:pPr>
        <w:pStyle w:val="Body"/>
        <w:rPr>
          <w:rFonts w:cs="Arial"/>
        </w:rPr>
      </w:pPr>
      <w:r w:rsidRPr="007F4312">
        <w:rPr>
          <w:rFonts w:cs="Arial"/>
        </w:rPr>
        <w:t xml:space="preserve">Whatman filter papers (No. 4) were punched into 6 mm diameter discs and sterilized at 160°C for 2 hours in a hot air oven. Discs were prepared by </w:t>
      </w:r>
      <w:r w:rsidR="00321E4B" w:rsidRPr="007F4312">
        <w:rPr>
          <w:rFonts w:cs="Arial"/>
        </w:rPr>
        <w:t>loading 20</w:t>
      </w:r>
      <w:r w:rsidRPr="007F4312">
        <w:rPr>
          <w:rFonts w:cs="Arial"/>
        </w:rPr>
        <w:t xml:space="preserve"> µL of plant extract at concentrations of 100 mg/mL, 50 mg/mL, 25 mg/mL, and 12.5 mg/</w:t>
      </w:r>
      <w:proofErr w:type="spellStart"/>
      <w:r w:rsidRPr="007F4312">
        <w:rPr>
          <w:rFonts w:cs="Arial"/>
        </w:rPr>
        <w:t>mL.</w:t>
      </w:r>
      <w:proofErr w:type="spellEnd"/>
      <w:r w:rsidRPr="007F4312">
        <w:rPr>
          <w:rFonts w:cs="Arial"/>
        </w:rPr>
        <w:t xml:space="preserve"> A disc loaded with 5% DMSO served as the negative control, while commercially available antibiotic discs, Erythromycin for </w:t>
      </w:r>
      <w:r w:rsidRPr="007F4312">
        <w:rPr>
          <w:rFonts w:cs="Arial"/>
          <w:i/>
          <w:iCs/>
        </w:rPr>
        <w:t>Staphylococcus aureus</w:t>
      </w:r>
      <w:r w:rsidRPr="007F4312">
        <w:rPr>
          <w:rFonts w:cs="Arial"/>
        </w:rPr>
        <w:t xml:space="preserve">, Cefepime for </w:t>
      </w:r>
      <w:r w:rsidRPr="007F4312">
        <w:rPr>
          <w:rFonts w:cs="Arial"/>
          <w:i/>
          <w:iCs/>
        </w:rPr>
        <w:t>Pseudomonas aeruginosa</w:t>
      </w:r>
      <w:r w:rsidRPr="007F4312">
        <w:rPr>
          <w:rFonts w:cs="Arial"/>
        </w:rPr>
        <w:t xml:space="preserve">, and Ciprofloxacin for </w:t>
      </w:r>
      <w:r w:rsidRPr="007F4312">
        <w:rPr>
          <w:rFonts w:cs="Arial"/>
          <w:i/>
          <w:iCs/>
        </w:rPr>
        <w:t>Escherichia coli</w:t>
      </w:r>
      <w:r w:rsidRPr="007F4312">
        <w:rPr>
          <w:rFonts w:cs="Arial"/>
        </w:rPr>
        <w:t xml:space="preserve"> were used as positive controls following the CLSI guidelines (The Clinical and Laboratory Standards Institute (CLSI)- supplement M100, 2023).</w:t>
      </w:r>
    </w:p>
    <w:p w14:paraId="0EE21FEA" w14:textId="20746772" w:rsidR="007F4312" w:rsidRPr="007F4312" w:rsidRDefault="00457E1B" w:rsidP="00457E1B">
      <w:pPr>
        <w:pStyle w:val="Heading2"/>
      </w:pPr>
      <w:r>
        <w:t xml:space="preserve">2.7 </w:t>
      </w:r>
      <w:r w:rsidR="007F4312" w:rsidRPr="007F4312">
        <w:t>Screening the antibacterial activity of the extracts using the Disc diffusion method</w:t>
      </w:r>
    </w:p>
    <w:p w14:paraId="13EF162C" w14:textId="77777777" w:rsidR="007F4312" w:rsidRPr="007F4312" w:rsidRDefault="007F4312" w:rsidP="007F4312">
      <w:pPr>
        <w:pStyle w:val="Body"/>
        <w:rPr>
          <w:rFonts w:cs="Arial"/>
        </w:rPr>
      </w:pPr>
      <w:r w:rsidRPr="007F4312">
        <w:rPr>
          <w:rFonts w:cs="Arial"/>
        </w:rPr>
        <w:t xml:space="preserve">The antibacterial activity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i/>
          <w:iCs/>
        </w:rPr>
        <w:t xml:space="preserve"> </w:t>
      </w:r>
      <w:r w:rsidRPr="007F4312">
        <w:rPr>
          <w:rFonts w:cs="Arial"/>
        </w:rPr>
        <w:t xml:space="preserve">extracts (methanol and ethanol) was assessed using the Kirby-Bauer disc diffusion method (Hudzicki, 2009). </w:t>
      </w:r>
    </w:p>
    <w:p w14:paraId="7952A8C3" w14:textId="53C20310" w:rsidR="00476D06" w:rsidRPr="00B31E70" w:rsidRDefault="007F4312" w:rsidP="007F4312">
      <w:pPr>
        <w:pStyle w:val="Body"/>
        <w:rPr>
          <w:rFonts w:cs="Arial"/>
        </w:rPr>
      </w:pPr>
      <w:r w:rsidRPr="007F4312">
        <w:rPr>
          <w:rFonts w:cs="Arial"/>
        </w:rPr>
        <w:t xml:space="preserve">Saline suspensions of each test microorganism were prepared by suspending a single colony from the bacterial subculture into 1 mL of sterile, 0.9% w/v saline suspension (Sodium chloride infusion BP 0.9% w/v) and adjusted to equate the turbidity of 0.5 McFarland standard. MHA plates were inoculated by spreading lawn cultures for each microorganism, rotating the plate at an angle of 60° after each inoculation, using a sterile cotton swab. Two plates per organism (ATCC strains and clinical strains of the respective organism) were prepared: one with 100 mg/mL and 50 mg/mL concentrations, and the other with 25 mg/mL and 12.5 mg/mL concentrations of plant extracts. </w:t>
      </w:r>
      <w:proofErr w:type="gramStart"/>
      <w:r w:rsidRPr="007F4312">
        <w:rPr>
          <w:rFonts w:cs="Arial"/>
        </w:rPr>
        <w:t>A  24</w:t>
      </w:r>
      <w:proofErr w:type="gramEnd"/>
      <w:r w:rsidRPr="007F4312">
        <w:rPr>
          <w:rFonts w:cs="Arial"/>
        </w:rPr>
        <w:t xml:space="preserve"> mm gap between discs were maintained to avoid overlapping inhibition zones. Positive and negative control discs were also included in each plate. After 15 minutes of pre-diffusion at room temperature, the plates were incubated at 35°C for 16-18 hours, and the inhibition zone diameters were measured. The procedure was conducted in triplicates.</w:t>
      </w:r>
    </w:p>
    <w:p w14:paraId="73213341" w14:textId="27E4710B" w:rsidR="007F4312" w:rsidRPr="007F4312" w:rsidRDefault="00457E1B" w:rsidP="00457E1B">
      <w:pPr>
        <w:pStyle w:val="Heading2"/>
      </w:pPr>
      <w:r>
        <w:t xml:space="preserve">2.8 </w:t>
      </w:r>
      <w:r w:rsidR="007F4312" w:rsidRPr="007F4312">
        <w:t>Screening the antibacterial activity of the extracts using the Well-diffusion method</w:t>
      </w:r>
    </w:p>
    <w:p w14:paraId="5BB82C8A" w14:textId="77777777" w:rsidR="007F4312" w:rsidRPr="007F4312" w:rsidRDefault="007F4312" w:rsidP="007F4312">
      <w:pPr>
        <w:pStyle w:val="Body"/>
        <w:rPr>
          <w:rFonts w:cs="Arial"/>
        </w:rPr>
      </w:pPr>
      <w:r w:rsidRPr="007F4312">
        <w:rPr>
          <w:rFonts w:cs="Arial"/>
        </w:rPr>
        <w:t>The well diffusion assay followed the same procedure as the disc diffusion assay for creating lawn cultures for each test microorganisms on MHA plates. Wells with a 6mm diameter were punched into the agar using sterile micropipette tips. The bottom of the wells was sealed with</w:t>
      </w:r>
      <w:r w:rsidRPr="007F4312">
        <w:rPr>
          <w:rFonts w:cs="Arial"/>
          <w:b/>
          <w:bCs/>
        </w:rPr>
        <w:t xml:space="preserve"> </w:t>
      </w:r>
      <w:r w:rsidRPr="007F4312">
        <w:rPr>
          <w:rFonts w:cs="Arial"/>
        </w:rPr>
        <w:t xml:space="preserve">10 </w:t>
      </w:r>
      <w:proofErr w:type="spellStart"/>
      <w:r w:rsidRPr="007F4312">
        <w:rPr>
          <w:rFonts w:cs="Arial"/>
        </w:rPr>
        <w:t>μL</w:t>
      </w:r>
      <w:proofErr w:type="spellEnd"/>
      <w:r w:rsidRPr="007F4312">
        <w:rPr>
          <w:rFonts w:cs="Arial"/>
        </w:rPr>
        <w:t xml:space="preserve"> of MHA to prevent leaking of the solutions throughout the plate and was left to solidify. The wells were filled with 100 </w:t>
      </w:r>
      <w:proofErr w:type="spellStart"/>
      <w:r w:rsidRPr="007F4312">
        <w:rPr>
          <w:rFonts w:cs="Arial"/>
        </w:rPr>
        <w:t>μL</w:t>
      </w:r>
      <w:proofErr w:type="spellEnd"/>
      <w:r w:rsidRPr="007F4312">
        <w:rPr>
          <w:rFonts w:cs="Arial"/>
        </w:rPr>
        <w:t xml:space="preserve"> of extracts at concentrations of 100, 50, 25, and 12.5 mg/mL and was allowed to diffuse at room temperature. Each plate had its own negative control well with 100 </w:t>
      </w:r>
      <w:proofErr w:type="spellStart"/>
      <w:r w:rsidRPr="007F4312">
        <w:rPr>
          <w:rFonts w:cs="Arial"/>
        </w:rPr>
        <w:t>μL</w:t>
      </w:r>
      <w:proofErr w:type="spellEnd"/>
      <w:r w:rsidRPr="007F4312">
        <w:rPr>
          <w:rFonts w:cs="Arial"/>
        </w:rPr>
        <w:t xml:space="preserve"> of 5% DMSO and 100 </w:t>
      </w:r>
      <w:proofErr w:type="spellStart"/>
      <w:r w:rsidRPr="007F4312">
        <w:rPr>
          <w:rFonts w:cs="Arial"/>
        </w:rPr>
        <w:t>μL</w:t>
      </w:r>
      <w:proofErr w:type="spellEnd"/>
      <w:r w:rsidRPr="007F4312">
        <w:rPr>
          <w:rFonts w:cs="Arial"/>
        </w:rPr>
        <w:t xml:space="preserve"> of their respective standard positive control. Commercially obtained antibiotic vials were used as positive controls, Clindamycin (2µg) for </w:t>
      </w:r>
      <w:r w:rsidRPr="007F4312">
        <w:rPr>
          <w:rFonts w:cs="Arial"/>
          <w:i/>
          <w:iCs/>
        </w:rPr>
        <w:t>Staphylococcus aureus</w:t>
      </w:r>
      <w:r w:rsidRPr="007F4312">
        <w:rPr>
          <w:rFonts w:cs="Arial"/>
        </w:rPr>
        <w:t xml:space="preserve">, Ceftazidime (30 µg) for </w:t>
      </w:r>
      <w:r w:rsidRPr="007F4312">
        <w:rPr>
          <w:rFonts w:cs="Arial"/>
          <w:i/>
          <w:iCs/>
        </w:rPr>
        <w:t>Pseudomonas aeruginosa</w:t>
      </w:r>
      <w:r w:rsidRPr="007F4312">
        <w:rPr>
          <w:rFonts w:cs="Arial"/>
        </w:rPr>
        <w:t xml:space="preserve"> and Ciprofloxacin (10 µg) for </w:t>
      </w:r>
      <w:r w:rsidRPr="007F4312">
        <w:rPr>
          <w:rFonts w:cs="Arial"/>
          <w:i/>
          <w:iCs/>
        </w:rPr>
        <w:t>Escherichia coli</w:t>
      </w:r>
      <w:r w:rsidRPr="007F4312">
        <w:rPr>
          <w:rFonts w:cs="Arial"/>
        </w:rPr>
        <w:t xml:space="preserve"> (The Clinical and Laboratory Standards Institute (CLSI)- supplement M100, 2023). Plates were incubated at 35 °C for 16-18 hours, and the assay was performed in triplicates. Results were interpreted according to Natarajan </w:t>
      </w:r>
      <w:r w:rsidRPr="007F4312">
        <w:rPr>
          <w:rFonts w:cs="Arial"/>
          <w:i/>
          <w:iCs/>
        </w:rPr>
        <w:t>et al</w:t>
      </w:r>
      <w:r w:rsidRPr="007F4312">
        <w:rPr>
          <w:rFonts w:cs="Arial"/>
        </w:rPr>
        <w:t>., 2010.</w:t>
      </w:r>
    </w:p>
    <w:p w14:paraId="43918193" w14:textId="663047DC" w:rsidR="007F4312" w:rsidRPr="007F4312" w:rsidRDefault="00457E1B" w:rsidP="00457E1B">
      <w:pPr>
        <w:pStyle w:val="Heading2"/>
      </w:pPr>
      <w:r>
        <w:t xml:space="preserve">2.9 </w:t>
      </w:r>
      <w:r w:rsidR="007F4312" w:rsidRPr="007F4312">
        <w:t>Determination of Minimum inhibitory concentration (MIC) using Macro dilution method</w:t>
      </w:r>
    </w:p>
    <w:p w14:paraId="4024BD45" w14:textId="77777777" w:rsidR="007F4312" w:rsidRPr="007F4312" w:rsidRDefault="007F4312" w:rsidP="007F4312">
      <w:pPr>
        <w:pStyle w:val="Body"/>
        <w:rPr>
          <w:rFonts w:cs="Arial"/>
        </w:rPr>
      </w:pPr>
      <w:r w:rsidRPr="007F4312">
        <w:rPr>
          <w:rFonts w:cs="Arial"/>
        </w:rPr>
        <w:t xml:space="preserve">The standard broth dilution method, as per CLSI guidelines (M07), was used to evaluate the antimicrobial efficacy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by assessing the visible microbial growth in the broth after overnight incubation.</w:t>
      </w:r>
    </w:p>
    <w:p w14:paraId="5C7DC3E0" w14:textId="17EB0238" w:rsidR="007F4312" w:rsidRPr="007F4312" w:rsidRDefault="007F4312" w:rsidP="007F4312">
      <w:pPr>
        <w:pStyle w:val="Body"/>
        <w:rPr>
          <w:rFonts w:cs="Arial"/>
        </w:rPr>
      </w:pPr>
      <w:r w:rsidRPr="007F4312">
        <w:rPr>
          <w:rFonts w:cs="Arial"/>
        </w:rPr>
        <w:t>A new stock concentration of 200 mg/ mL was prepared using each extract separately. A twofold serial dilution was prepared on a concentration ranging from 100 mg/ mL to 6.25 mg/ mL with adjusted bacterial concentration (10</w:t>
      </w:r>
      <w:r w:rsidRPr="007F4312">
        <w:rPr>
          <w:rFonts w:cs="Arial"/>
          <w:vertAlign w:val="superscript"/>
        </w:rPr>
        <w:t>8</w:t>
      </w:r>
      <w:r w:rsidRPr="007F4312">
        <w:rPr>
          <w:rFonts w:cs="Arial"/>
        </w:rPr>
        <w:t xml:space="preserve"> CFU/ mL, 0.5 McFarland’s standard) were used to determine MIC in Muller Hinton Broth (MHB). Seven sterilized test tubes were labeled and arranged according to concentration gradient along with negative control (only broth) and positive control/growth control (inoculated broth) tubes. One milliliter of MHB was added to each tube and then each dilution was mixed well and allowed to incubate at 35 °C for 16-18 hours. The visual turbidity of the tubes was noted, both before and after incubation to confirm the MIC value (CLSI guidelines, M07).</w:t>
      </w:r>
      <w:r w:rsidR="00481104">
        <w:rPr>
          <w:rFonts w:cs="Arial"/>
        </w:rPr>
        <w:t xml:space="preserve"> </w:t>
      </w:r>
      <w:r w:rsidRPr="007F4312">
        <w:rPr>
          <w:rFonts w:cs="Arial"/>
        </w:rPr>
        <w:t xml:space="preserve">Minimum inhibitory concentration values were determined as the lowest concentration of the compound that inhibited the growth of the test organism (Isaac and Thomas., 2013). </w:t>
      </w:r>
    </w:p>
    <w:p w14:paraId="5FD050F9" w14:textId="77777777" w:rsidR="007F4312" w:rsidRPr="007F4312" w:rsidRDefault="007F4312" w:rsidP="007F4312">
      <w:pPr>
        <w:pStyle w:val="Body"/>
        <w:rPr>
          <w:rFonts w:cs="Arial"/>
        </w:rPr>
      </w:pPr>
      <w:r w:rsidRPr="007F4312">
        <w:rPr>
          <w:rFonts w:cs="Arial"/>
        </w:rPr>
        <w:t xml:space="preserve">This procedure was repeated with the extract obtained from the maceration technique. The stock solution was prepared at a concentration of 1600 mg/ </w:t>
      </w:r>
      <w:proofErr w:type="spellStart"/>
      <w:r w:rsidRPr="007F4312">
        <w:rPr>
          <w:rFonts w:cs="Arial"/>
        </w:rPr>
        <w:t>mL.</w:t>
      </w:r>
      <w:proofErr w:type="spellEnd"/>
      <w:r w:rsidRPr="007F4312">
        <w:rPr>
          <w:rFonts w:cs="Arial"/>
        </w:rPr>
        <w:t xml:space="preserve"> Then a two-fold serial dilution was performed to obtain a concentration of 800 mg/ mL, 400 mg/ mL, 200 mg/ mL, 100 mg/ mL, 50 mg/ mL, 25 mg/ mL and 12.5mg/ </w:t>
      </w:r>
      <w:proofErr w:type="spellStart"/>
      <w:r w:rsidRPr="007F4312">
        <w:rPr>
          <w:rFonts w:cs="Arial"/>
        </w:rPr>
        <w:t>mL.</w:t>
      </w:r>
      <w:proofErr w:type="spellEnd"/>
    </w:p>
    <w:p w14:paraId="55BF502D" w14:textId="33CDD417" w:rsidR="007F4312" w:rsidRPr="007F4312" w:rsidRDefault="00457E1B" w:rsidP="00457E1B">
      <w:pPr>
        <w:pStyle w:val="Heading2"/>
      </w:pPr>
      <w:r>
        <w:t xml:space="preserve">2.10 </w:t>
      </w:r>
      <w:r w:rsidR="007F4312" w:rsidRPr="007F4312">
        <w:t xml:space="preserve">Investigation of occurrence of </w:t>
      </w:r>
      <w:proofErr w:type="spellStart"/>
      <w:r w:rsidR="007F4312" w:rsidRPr="007F4312">
        <w:t>heteroresistivity</w:t>
      </w:r>
      <w:proofErr w:type="spellEnd"/>
      <w:r w:rsidR="007F4312" w:rsidRPr="007F4312">
        <w:t xml:space="preserve"> in </w:t>
      </w:r>
      <w:r w:rsidR="007F4312" w:rsidRPr="007F4312">
        <w:rPr>
          <w:i/>
          <w:iCs/>
        </w:rPr>
        <w:t>Pseudomonas aeruginosa</w:t>
      </w:r>
      <w:r w:rsidR="007F4312" w:rsidRPr="007F4312">
        <w:t xml:space="preserve"> (ATCC 27853)</w:t>
      </w:r>
    </w:p>
    <w:p w14:paraId="2773A185" w14:textId="5DF724EA" w:rsidR="007F4312" w:rsidRPr="00476D06" w:rsidRDefault="007F4312" w:rsidP="007F4312">
      <w:pPr>
        <w:pStyle w:val="Body"/>
        <w:rPr>
          <w:rFonts w:cs="Arial"/>
        </w:rPr>
      </w:pPr>
      <w:r w:rsidRPr="007F4312">
        <w:rPr>
          <w:rFonts w:cs="Arial"/>
        </w:rPr>
        <w:t xml:space="preserve">Colonies observed within the zone of inhibition on </w:t>
      </w:r>
      <w:r w:rsidRPr="007F4312">
        <w:rPr>
          <w:rFonts w:cs="Arial"/>
          <w:i/>
          <w:iCs/>
        </w:rPr>
        <w:t>Pseudomonas aeruginosa</w:t>
      </w:r>
      <w:r w:rsidRPr="007F4312">
        <w:rPr>
          <w:rFonts w:cs="Arial"/>
        </w:rPr>
        <w:t xml:space="preserve"> (ATCC 27853) cultured plates at concentrations of 100 mg/mL and 50 mg/mL prompted further investigation to determine whether this occurrence was due to contamination or </w:t>
      </w:r>
      <w:proofErr w:type="spellStart"/>
      <w:r w:rsidRPr="007F4312">
        <w:rPr>
          <w:rFonts w:cs="Arial"/>
        </w:rPr>
        <w:t>heteroresistance</w:t>
      </w:r>
      <w:proofErr w:type="spellEnd"/>
      <w:r w:rsidRPr="007F4312">
        <w:rPr>
          <w:rFonts w:cs="Arial"/>
        </w:rPr>
        <w:t>.</w:t>
      </w:r>
      <w:r>
        <w:rPr>
          <w:rFonts w:cs="Arial"/>
        </w:rPr>
        <w:t xml:space="preserve"> </w:t>
      </w:r>
      <w:proofErr w:type="spellStart"/>
      <w:r w:rsidRPr="007F4312">
        <w:rPr>
          <w:rFonts w:cs="Arial"/>
        </w:rPr>
        <w:t>Heteroresistance</w:t>
      </w:r>
      <w:proofErr w:type="spellEnd"/>
      <w:r w:rsidRPr="007F4312">
        <w:rPr>
          <w:rFonts w:cs="Arial"/>
        </w:rPr>
        <w:t xml:space="preserve"> is a subpopulation of bacterial cells that shows a higher level of antibacterial resistance than the rest of the population in the same </w:t>
      </w:r>
      <w:proofErr w:type="gramStart"/>
      <w:r w:rsidRPr="007F4312">
        <w:rPr>
          <w:rFonts w:cs="Arial"/>
        </w:rPr>
        <w:t xml:space="preserve">culture  </w:t>
      </w:r>
      <w:r w:rsidR="005D3A97">
        <w:rPr>
          <w:rFonts w:cs="Arial"/>
        </w:rPr>
        <w:t>(</w:t>
      </w:r>
      <w:proofErr w:type="gramEnd"/>
      <w:r w:rsidR="005D3A97">
        <w:rPr>
          <w:rFonts w:cs="Arial"/>
        </w:rPr>
        <w:t>Omar and Miguel</w:t>
      </w:r>
      <w:r w:rsidRPr="007F4312">
        <w:rPr>
          <w:rFonts w:cs="Arial"/>
        </w:rPr>
        <w:t>, 2015).</w:t>
      </w:r>
    </w:p>
    <w:p w14:paraId="1A08369F" w14:textId="28D3066A" w:rsidR="007F4312" w:rsidRPr="007F4312" w:rsidRDefault="005E078E" w:rsidP="005E078E">
      <w:pPr>
        <w:pStyle w:val="Heading3"/>
        <w:rPr>
          <w:i/>
          <w:iCs/>
        </w:rPr>
      </w:pPr>
      <w:r>
        <w:lastRenderedPageBreak/>
        <w:t xml:space="preserve">2.10.1 </w:t>
      </w:r>
      <w:r w:rsidR="007F4312" w:rsidRPr="007F4312">
        <w:t xml:space="preserve">Evaluating the purity of the pre-inoculum and post - inoculum of </w:t>
      </w:r>
      <w:r w:rsidR="007F4312" w:rsidRPr="007F4312">
        <w:rPr>
          <w:i/>
          <w:iCs/>
        </w:rPr>
        <w:t xml:space="preserve">Pseudomonas aeruginosa </w:t>
      </w:r>
      <w:r w:rsidR="007F4312" w:rsidRPr="007F4312">
        <w:t>(ATCC 27853)</w:t>
      </w:r>
    </w:p>
    <w:p w14:paraId="48243A4B" w14:textId="77777777" w:rsidR="007F4312" w:rsidRPr="007F4312" w:rsidRDefault="007F4312" w:rsidP="007F4312">
      <w:pPr>
        <w:pStyle w:val="Body"/>
        <w:rPr>
          <w:rFonts w:cs="Arial"/>
        </w:rPr>
      </w:pPr>
      <w:r w:rsidRPr="007F4312">
        <w:rPr>
          <w:rFonts w:cs="Arial"/>
        </w:rPr>
        <w:t xml:space="preserve">From the 0.5 MacFarland standard bacterial suspension used for assessing the antibacterial activity of </w:t>
      </w:r>
      <w:r w:rsidRPr="007F4312">
        <w:rPr>
          <w:rFonts w:cs="Arial"/>
          <w:i/>
          <w:iCs/>
        </w:rPr>
        <w:t>Pseudomonas aeruginosa</w:t>
      </w:r>
      <w:r w:rsidRPr="007F4312">
        <w:rPr>
          <w:rFonts w:cs="Arial"/>
        </w:rPr>
        <w:t xml:space="preserve"> (ATCC 27853), a loopful was streaked onto a blood agar plate on the same day. The plate was incubated at 35 °C for 16–18 hours and observed the following day.</w:t>
      </w:r>
    </w:p>
    <w:p w14:paraId="30DD227E" w14:textId="77777777" w:rsidR="007F4312" w:rsidRPr="007F4312" w:rsidRDefault="007F4312" w:rsidP="007F4312">
      <w:pPr>
        <w:pStyle w:val="Body"/>
        <w:rPr>
          <w:rFonts w:cs="Arial"/>
        </w:rPr>
      </w:pPr>
      <w:r w:rsidRPr="007F4312">
        <w:rPr>
          <w:rFonts w:cs="Arial"/>
        </w:rPr>
        <w:t>In order to check for the purity of the post-inoculum, 1–2 colonies from the zone of inhibition and 1–2 colonies from the lawn of the cultured MHA plate used in the antibacterial assay were separately streaked onto two equal areas of a divided blood agar plate, referred to as the post-inoculum plate. The plate was incubated at 35 °C for 16–18 hours and observed the following day.</w:t>
      </w:r>
    </w:p>
    <w:p w14:paraId="2E810E0C" w14:textId="1871B2CC" w:rsidR="007F4312" w:rsidRPr="007F4312" w:rsidRDefault="005E078E" w:rsidP="005E078E">
      <w:pPr>
        <w:pStyle w:val="Heading3"/>
      </w:pPr>
      <w:r>
        <w:t xml:space="preserve">2.10.2 </w:t>
      </w:r>
      <w:r w:rsidR="007F4312" w:rsidRPr="007F4312">
        <w:t xml:space="preserve">Investigation of the progression of </w:t>
      </w:r>
      <w:proofErr w:type="spellStart"/>
      <w:r w:rsidR="007F4312" w:rsidRPr="007F4312">
        <w:t>Heteroresistance</w:t>
      </w:r>
      <w:proofErr w:type="spellEnd"/>
      <w:r w:rsidR="007F4312" w:rsidRPr="007F4312">
        <w:t xml:space="preserve"> in </w:t>
      </w:r>
      <w:r w:rsidR="007F4312" w:rsidRPr="007F4312">
        <w:rPr>
          <w:i/>
          <w:iCs/>
        </w:rPr>
        <w:t>Pseudomonas aeruginosa</w:t>
      </w:r>
      <w:r w:rsidR="007F4312" w:rsidRPr="007F4312">
        <w:t xml:space="preserve"> (ATCC 27853)</w:t>
      </w:r>
    </w:p>
    <w:p w14:paraId="2804A6C5" w14:textId="77777777" w:rsidR="007F4312" w:rsidRPr="007F4312" w:rsidRDefault="007F4312" w:rsidP="007F4312">
      <w:pPr>
        <w:pStyle w:val="Body"/>
        <w:rPr>
          <w:rFonts w:cs="Arial"/>
        </w:rPr>
      </w:pPr>
      <w:r w:rsidRPr="007F4312">
        <w:rPr>
          <w:rFonts w:cs="Arial"/>
        </w:rPr>
        <w:t xml:space="preserve">The continuity of </w:t>
      </w:r>
      <w:proofErr w:type="spellStart"/>
      <w:r w:rsidRPr="007F4312">
        <w:rPr>
          <w:rFonts w:cs="Arial"/>
        </w:rPr>
        <w:t>heteroresistivity</w:t>
      </w:r>
      <w:proofErr w:type="spellEnd"/>
      <w:r w:rsidRPr="007F4312">
        <w:rPr>
          <w:rFonts w:cs="Arial"/>
        </w:rPr>
        <w:t xml:space="preserve"> in </w:t>
      </w:r>
      <w:r w:rsidRPr="007F4312">
        <w:rPr>
          <w:rFonts w:cs="Arial"/>
          <w:i/>
          <w:iCs/>
        </w:rPr>
        <w:t>Pseudomonas aeruginosa</w:t>
      </w:r>
      <w:r w:rsidRPr="007F4312">
        <w:rPr>
          <w:rFonts w:cs="Arial"/>
        </w:rPr>
        <w:t xml:space="preserve"> (ATCC 27853) across generations was assessed using the following procedure. Colonies from the inhibition zone of an MHA plate suspected of </w:t>
      </w:r>
      <w:proofErr w:type="spellStart"/>
      <w:r w:rsidRPr="007F4312">
        <w:rPr>
          <w:rFonts w:cs="Arial"/>
        </w:rPr>
        <w:t>heteroresistivity</w:t>
      </w:r>
      <w:proofErr w:type="spellEnd"/>
      <w:r w:rsidRPr="007F4312">
        <w:rPr>
          <w:rFonts w:cs="Arial"/>
        </w:rPr>
        <w:t xml:space="preserve"> were used to prepare a 0.5 McFarland standard. The spreading of the plate was done as described in Hudzicki, 2009. Impregnated discs containing 100 mg/mL and 50 mg/mL of methanol plant extract were placed alongside a Cefepime disc (positive control) and a 5% DMSO disc (negative control). Then the plates were allowed to incubate at 35 °C for 16 to 18 hours. Zone diameters were measured the following day.</w:t>
      </w:r>
    </w:p>
    <w:p w14:paraId="557EA72F" w14:textId="77777777" w:rsidR="007F4312" w:rsidRPr="007F4312" w:rsidRDefault="007F4312" w:rsidP="007F4312">
      <w:pPr>
        <w:pStyle w:val="Body"/>
        <w:spacing w:after="0"/>
        <w:rPr>
          <w:rFonts w:cs="Arial"/>
        </w:rPr>
      </w:pPr>
      <w:r w:rsidRPr="007F4312">
        <w:rPr>
          <w:rFonts w:cs="Arial"/>
        </w:rPr>
        <w:t>The same procedure was repeated for colonies from the lawn outside the inhibition zone and continued for two consecutive generations, labeled as first, second, and third generations. Gram staining was performed on colonies from the initial plate and the third generation.</w:t>
      </w:r>
    </w:p>
    <w:p w14:paraId="76E0AB2F" w14:textId="77777777" w:rsidR="007F4312" w:rsidRDefault="007F4312" w:rsidP="007F4312">
      <w:pPr>
        <w:pStyle w:val="Body"/>
        <w:spacing w:after="0"/>
        <w:rPr>
          <w:rFonts w:cs="Arial"/>
          <w:b/>
          <w:bCs/>
        </w:rPr>
      </w:pPr>
    </w:p>
    <w:p w14:paraId="2414269B" w14:textId="1648A0FC" w:rsidR="007F4312" w:rsidRDefault="005E078E" w:rsidP="005E078E">
      <w:pPr>
        <w:pStyle w:val="Heading3"/>
      </w:pPr>
      <w:r>
        <w:t xml:space="preserve">2.10.3 </w:t>
      </w:r>
      <w:r w:rsidR="007F4312" w:rsidRPr="007F4312">
        <w:t xml:space="preserve">Confirmation of the organism as </w:t>
      </w:r>
      <w:r w:rsidR="007F4312" w:rsidRPr="007F4312">
        <w:rPr>
          <w:i/>
          <w:iCs/>
        </w:rPr>
        <w:t>Pseudomonas aeruginosa</w:t>
      </w:r>
      <w:r w:rsidR="007F4312" w:rsidRPr="007F4312">
        <w:t xml:space="preserve"> using BD PHOENIX 100 system </w:t>
      </w:r>
    </w:p>
    <w:p w14:paraId="3419DDF4" w14:textId="77777777" w:rsidR="007F4312" w:rsidRDefault="007F4312" w:rsidP="007F4312">
      <w:pPr>
        <w:pStyle w:val="Body"/>
        <w:spacing w:after="0"/>
        <w:rPr>
          <w:rFonts w:cs="Arial"/>
        </w:rPr>
      </w:pPr>
    </w:p>
    <w:p w14:paraId="5F64A4B8" w14:textId="77777777" w:rsidR="007F4312" w:rsidRPr="007F4312" w:rsidRDefault="007F4312" w:rsidP="007F4312">
      <w:pPr>
        <w:pStyle w:val="Body"/>
        <w:spacing w:after="0"/>
        <w:rPr>
          <w:rFonts w:cs="Arial"/>
          <w:b/>
          <w:bCs/>
        </w:rPr>
      </w:pPr>
      <w:r w:rsidRPr="007F4312">
        <w:rPr>
          <w:rFonts w:cs="Arial"/>
        </w:rPr>
        <w:t>Organisms isolated within the inhibition zone and the lawn, outside the zone of inhibition were individually examined to their species level with the use of a BD PHOENIX 100 system.</w:t>
      </w:r>
    </w:p>
    <w:p w14:paraId="331000D5" w14:textId="77777777" w:rsidR="007F4312" w:rsidRDefault="007F4312" w:rsidP="007F4312">
      <w:pPr>
        <w:pStyle w:val="Body"/>
        <w:rPr>
          <w:rFonts w:cs="Arial"/>
          <w:b/>
          <w:bCs/>
        </w:rPr>
      </w:pPr>
    </w:p>
    <w:p w14:paraId="07FCCAFE" w14:textId="64FA84FD" w:rsidR="007F4312" w:rsidRPr="007F4312" w:rsidRDefault="005E078E" w:rsidP="005E078E">
      <w:pPr>
        <w:pStyle w:val="Heading2"/>
      </w:pPr>
      <w:r>
        <w:t xml:space="preserve">2.11 </w:t>
      </w:r>
      <w:r w:rsidR="007F4312" w:rsidRPr="007F4312">
        <w:t xml:space="preserve">Qualitative phytochemical screening of </w:t>
      </w:r>
      <w:proofErr w:type="spellStart"/>
      <w:r w:rsidR="007F4312" w:rsidRPr="007F4312">
        <w:rPr>
          <w:i/>
          <w:iCs/>
        </w:rPr>
        <w:t>Biophytum</w:t>
      </w:r>
      <w:proofErr w:type="spellEnd"/>
      <w:r w:rsidR="007F4312" w:rsidRPr="007F4312">
        <w:rPr>
          <w:i/>
          <w:iCs/>
        </w:rPr>
        <w:t xml:space="preserve"> </w:t>
      </w:r>
      <w:proofErr w:type="spellStart"/>
      <w:r w:rsidR="007F4312" w:rsidRPr="007F4312">
        <w:rPr>
          <w:i/>
          <w:iCs/>
        </w:rPr>
        <w:t>reinwardtii</w:t>
      </w:r>
      <w:proofErr w:type="spellEnd"/>
      <w:r w:rsidR="007F4312" w:rsidRPr="007F4312">
        <w:t xml:space="preserve"> extracts</w:t>
      </w:r>
    </w:p>
    <w:p w14:paraId="08041D10" w14:textId="77777777" w:rsidR="007F4312" w:rsidRPr="007F4312" w:rsidRDefault="007F4312" w:rsidP="007F4312">
      <w:pPr>
        <w:pStyle w:val="Body"/>
        <w:rPr>
          <w:rFonts w:cs="Arial"/>
        </w:rPr>
      </w:pPr>
      <w:r w:rsidRPr="007F4312">
        <w:rPr>
          <w:rFonts w:cs="Arial"/>
        </w:rPr>
        <w:t>Phytochemical analysis was carried out as follows.</w:t>
      </w:r>
    </w:p>
    <w:p w14:paraId="20DB976D" w14:textId="3140D6C6" w:rsidR="007F4312" w:rsidRPr="007F4312" w:rsidRDefault="005E078E" w:rsidP="005E078E">
      <w:pPr>
        <w:pStyle w:val="Heading3"/>
      </w:pPr>
      <w:r>
        <w:t>2.11.1</w:t>
      </w:r>
      <w:r w:rsidR="007F4312" w:rsidRPr="007F4312">
        <w:t>Tests for Alkaloids</w:t>
      </w:r>
    </w:p>
    <w:p w14:paraId="234CF54F" w14:textId="77777777" w:rsidR="007F4312" w:rsidRPr="007F4312" w:rsidRDefault="007F4312" w:rsidP="007F4312">
      <w:pPr>
        <w:pStyle w:val="Body"/>
        <w:rPr>
          <w:rFonts w:cs="Arial"/>
        </w:rPr>
      </w:pPr>
      <w:r w:rsidRPr="007F4312">
        <w:rPr>
          <w:rFonts w:cs="Arial"/>
        </w:rPr>
        <w:t>One milliliter of extract was mixed with 10 mL of 1% Hydrochloric acid (Sigma Aldrich, Germany). Solution was then warmed and filtered accordingly.</w:t>
      </w:r>
    </w:p>
    <w:p w14:paraId="5A6BA0D4" w14:textId="498E7FD8" w:rsidR="007F4312" w:rsidRPr="00476D06" w:rsidRDefault="007F4312" w:rsidP="007F4312">
      <w:pPr>
        <w:pStyle w:val="Body"/>
        <w:rPr>
          <w:rFonts w:cs="Arial"/>
        </w:rPr>
      </w:pPr>
      <w:r w:rsidRPr="007F4312">
        <w:rPr>
          <w:rFonts w:cs="Arial"/>
          <w:b/>
          <w:bCs/>
        </w:rPr>
        <w:t>Wagner’s test:</w:t>
      </w:r>
      <w:r w:rsidRPr="007F4312">
        <w:rPr>
          <w:rFonts w:cs="Arial"/>
        </w:rPr>
        <w:t xml:space="preserve"> A few drops of Wagner’s reagent was added to 2 mL of filtrate along the sides of the test tube. A positive result indicates a reddish- brown precipitate (Banu and Cathrine, 2015).</w:t>
      </w:r>
    </w:p>
    <w:p w14:paraId="6E05C9A4" w14:textId="18206B3D" w:rsidR="007F4312" w:rsidRPr="007F4312" w:rsidRDefault="007E556B" w:rsidP="007E556B">
      <w:pPr>
        <w:pStyle w:val="Heading3"/>
      </w:pPr>
      <w:r>
        <w:t xml:space="preserve">2.11.2 </w:t>
      </w:r>
      <w:r w:rsidR="007F4312" w:rsidRPr="007F4312">
        <w:t xml:space="preserve">Tests for </w:t>
      </w:r>
      <w:r>
        <w:t>P</w:t>
      </w:r>
      <w:r w:rsidR="007F4312" w:rsidRPr="007F4312">
        <w:t>henolic compounds</w:t>
      </w:r>
    </w:p>
    <w:p w14:paraId="6F15969B" w14:textId="77777777" w:rsidR="007F4312" w:rsidRPr="007F4312" w:rsidRDefault="007F4312" w:rsidP="007F4312">
      <w:pPr>
        <w:pStyle w:val="Body"/>
        <w:rPr>
          <w:rFonts w:cs="Arial"/>
        </w:rPr>
      </w:pPr>
      <w:r w:rsidRPr="007F4312">
        <w:rPr>
          <w:rFonts w:cs="Arial"/>
        </w:rPr>
        <w:t>Two milliliters of 2% FeCl3 (Sigma Aldrich, Germany) was mixed with the plant extract. A blue-green or black color change indicates the presence of phenols (Yadav and Agarwala, 2011).</w:t>
      </w:r>
    </w:p>
    <w:p w14:paraId="2A3FA63B" w14:textId="77777777" w:rsidR="00476D06" w:rsidRDefault="00476D06" w:rsidP="007F4312">
      <w:pPr>
        <w:pStyle w:val="Body"/>
        <w:rPr>
          <w:rFonts w:cs="Arial"/>
          <w:b/>
          <w:bCs/>
        </w:rPr>
      </w:pPr>
    </w:p>
    <w:p w14:paraId="66D8EAE4" w14:textId="3A2FEA66" w:rsidR="007F4312" w:rsidRPr="007F4312" w:rsidRDefault="007E556B" w:rsidP="007E556B">
      <w:pPr>
        <w:pStyle w:val="Heading3"/>
      </w:pPr>
      <w:r>
        <w:t xml:space="preserve">2.11.3 </w:t>
      </w:r>
      <w:r w:rsidR="007F4312" w:rsidRPr="007F4312">
        <w:t xml:space="preserve">Test for </w:t>
      </w:r>
      <w:r>
        <w:t>T</w:t>
      </w:r>
      <w:r w:rsidR="007F4312" w:rsidRPr="007F4312">
        <w:t>annins</w:t>
      </w:r>
    </w:p>
    <w:p w14:paraId="2AB81548" w14:textId="77777777" w:rsidR="007F4312" w:rsidRPr="007F4312" w:rsidRDefault="007F4312" w:rsidP="007F4312">
      <w:pPr>
        <w:pStyle w:val="Body"/>
        <w:rPr>
          <w:rFonts w:cs="Arial"/>
        </w:rPr>
      </w:pPr>
      <w:r w:rsidRPr="007F4312">
        <w:rPr>
          <w:rFonts w:cs="Arial"/>
          <w:b/>
          <w:bCs/>
        </w:rPr>
        <w:t>Gelatin Test</w:t>
      </w:r>
      <w:r w:rsidRPr="007F4312">
        <w:rPr>
          <w:rFonts w:cs="Arial"/>
        </w:rPr>
        <w:t>: 1% gelatin solution (BDH Laboratory Chemicals Division, England) containing 10% sodium chloride (Sigma Aldrich, Germany) was added to 1 mL of extract. Formation of white precipitate indicates the presence of tannins (Banu and Cathrine, 2015).</w:t>
      </w:r>
    </w:p>
    <w:p w14:paraId="73152692" w14:textId="47BB5C20" w:rsidR="007F4312" w:rsidRPr="007F4312" w:rsidRDefault="007E556B" w:rsidP="007E556B">
      <w:pPr>
        <w:pStyle w:val="Heading3"/>
      </w:pPr>
      <w:r>
        <w:t xml:space="preserve">2.11.4 </w:t>
      </w:r>
      <w:r w:rsidR="007F4312" w:rsidRPr="007F4312">
        <w:t>Test for flavonoids</w:t>
      </w:r>
    </w:p>
    <w:p w14:paraId="0D75B0D1" w14:textId="77777777" w:rsidR="007F4312" w:rsidRPr="007F4312" w:rsidRDefault="007F4312" w:rsidP="007F4312">
      <w:pPr>
        <w:pStyle w:val="Body"/>
        <w:rPr>
          <w:rFonts w:cs="Arial"/>
        </w:rPr>
      </w:pPr>
      <w:r w:rsidRPr="007F4312">
        <w:rPr>
          <w:rFonts w:cs="Arial"/>
          <w:b/>
          <w:bCs/>
        </w:rPr>
        <w:t>Lead acetate Test</w:t>
      </w:r>
      <w:r w:rsidRPr="007F4312">
        <w:rPr>
          <w:rFonts w:cs="Arial"/>
        </w:rPr>
        <w:t>: Extract of 0.5 mL was treated with few drops of 10% lead acetate solution (Thermo Fisher scientific, Poland). Appearance of pale-yellow color precipitation indicates the presence of flavonoids (Banu and Cathrine, 2015).</w:t>
      </w:r>
    </w:p>
    <w:p w14:paraId="770D0C7A" w14:textId="035F7A5B" w:rsidR="007F4312" w:rsidRPr="007F4312" w:rsidRDefault="007E556B" w:rsidP="007E556B">
      <w:pPr>
        <w:pStyle w:val="Heading3"/>
      </w:pPr>
      <w:r>
        <w:t xml:space="preserve">2.11.5 </w:t>
      </w:r>
      <w:r w:rsidR="007F4312" w:rsidRPr="007F4312">
        <w:t>Test for glycosides</w:t>
      </w:r>
    </w:p>
    <w:p w14:paraId="4AA49A42" w14:textId="77777777" w:rsidR="007F4312" w:rsidRPr="007F4312" w:rsidRDefault="007F4312" w:rsidP="007F4312">
      <w:pPr>
        <w:pStyle w:val="Body"/>
        <w:rPr>
          <w:rFonts w:cs="Arial"/>
        </w:rPr>
      </w:pPr>
      <w:r w:rsidRPr="007F4312">
        <w:rPr>
          <w:rFonts w:cs="Arial"/>
        </w:rPr>
        <w:t>Concentrated HCL was used to hydrolyze 0.5 mL of the extract by placing in a water bath for 2 hours and then was subjected to the following test for glycosides.</w:t>
      </w:r>
    </w:p>
    <w:p w14:paraId="58E1BCCE" w14:textId="5C16E6FB" w:rsidR="007F4312" w:rsidRPr="007F4312" w:rsidRDefault="007F4312" w:rsidP="007F4312">
      <w:pPr>
        <w:pStyle w:val="Body"/>
        <w:rPr>
          <w:rFonts w:cs="Arial"/>
          <w:b/>
          <w:bCs/>
        </w:rPr>
      </w:pPr>
      <w:r w:rsidRPr="007F4312">
        <w:rPr>
          <w:rFonts w:cs="Arial"/>
          <w:b/>
          <w:bCs/>
        </w:rPr>
        <w:lastRenderedPageBreak/>
        <w:t xml:space="preserve">Bontrager’s </w:t>
      </w:r>
      <w:r w:rsidR="0000236C" w:rsidRPr="007F4312">
        <w:rPr>
          <w:rFonts w:cs="Arial"/>
          <w:b/>
          <w:bCs/>
        </w:rPr>
        <w:t>Test:</w:t>
      </w:r>
      <w:r w:rsidR="0000236C" w:rsidRPr="007F4312">
        <w:rPr>
          <w:rFonts w:cs="Arial"/>
        </w:rPr>
        <w:t xml:space="preserve"> Chloroform</w:t>
      </w:r>
      <w:r w:rsidRPr="007F4312">
        <w:rPr>
          <w:rFonts w:cs="Arial"/>
        </w:rPr>
        <w:t xml:space="preserve"> (Sigma Aldrich, Germany) (3 mL) was added to 2 mL of filtered hydrolysate and shaken. Separated Chloroform layer was treated with 10% ammonia solution (Sigma Aldrich, Germany). Pink coloration indicates the presence of glycosides (Banu and Cathrine, 2015).</w:t>
      </w:r>
    </w:p>
    <w:p w14:paraId="67150A38" w14:textId="77777777" w:rsidR="00790ADA" w:rsidRPr="00FB3A86" w:rsidRDefault="00790ADA" w:rsidP="00441B6F">
      <w:pPr>
        <w:pStyle w:val="Body"/>
        <w:spacing w:after="0"/>
        <w:rPr>
          <w:rFonts w:cs="Arial"/>
        </w:rPr>
      </w:pPr>
    </w:p>
    <w:p w14:paraId="2D35E8F3" w14:textId="6836194F" w:rsidR="00902823" w:rsidRDefault="007E556B" w:rsidP="007E556B">
      <w:pPr>
        <w:pStyle w:val="Heading1"/>
      </w:pPr>
      <w:r>
        <w:t>3. RESULTS AND DISCUSSION</w:t>
      </w:r>
    </w:p>
    <w:p w14:paraId="08368D9E" w14:textId="77777777" w:rsidR="00790ADA" w:rsidRPr="00FB3A86" w:rsidRDefault="00790ADA" w:rsidP="00441B6F">
      <w:pPr>
        <w:pStyle w:val="Head1"/>
        <w:spacing w:after="0"/>
        <w:jc w:val="both"/>
        <w:rPr>
          <w:rFonts w:cs="Arial"/>
        </w:rPr>
      </w:pPr>
    </w:p>
    <w:p w14:paraId="2FE3A9FC" w14:textId="77777777" w:rsidR="007F4312" w:rsidRDefault="007F4312" w:rsidP="007E556B">
      <w:pPr>
        <w:pStyle w:val="Heading2"/>
        <w:rPr>
          <w:i/>
          <w:iCs/>
        </w:rPr>
      </w:pPr>
      <w:bookmarkStart w:id="1" w:name="_Toc163424518"/>
      <w:r w:rsidRPr="007F4312">
        <w:t xml:space="preserve">3.1 Evaluation of antibacterial activity of </w:t>
      </w:r>
      <w:proofErr w:type="spellStart"/>
      <w:r w:rsidRPr="007F4312">
        <w:rPr>
          <w:i/>
          <w:iCs/>
        </w:rPr>
        <w:t>Biophytum</w:t>
      </w:r>
      <w:proofErr w:type="spellEnd"/>
      <w:r w:rsidRPr="007F4312">
        <w:rPr>
          <w:i/>
          <w:iCs/>
        </w:rPr>
        <w:t xml:space="preserve"> </w:t>
      </w:r>
      <w:proofErr w:type="spellStart"/>
      <w:r w:rsidRPr="007F4312">
        <w:rPr>
          <w:i/>
          <w:iCs/>
        </w:rPr>
        <w:t>reinwardtii</w:t>
      </w:r>
      <w:bookmarkEnd w:id="1"/>
      <w:proofErr w:type="spellEnd"/>
    </w:p>
    <w:p w14:paraId="4BFCFC3E" w14:textId="77777777" w:rsidR="007F4312" w:rsidRPr="007F4312" w:rsidRDefault="007F4312" w:rsidP="007F4312">
      <w:pPr>
        <w:autoSpaceDE w:val="0"/>
        <w:autoSpaceDN w:val="0"/>
        <w:adjustRightInd w:val="0"/>
        <w:jc w:val="both"/>
        <w:rPr>
          <w:rFonts w:cs="Arial"/>
          <w:b/>
        </w:rPr>
      </w:pPr>
    </w:p>
    <w:p w14:paraId="4365AC3E" w14:textId="77EE9EA7" w:rsidR="007F4312" w:rsidRPr="007F4312" w:rsidRDefault="007F4312" w:rsidP="007F4312">
      <w:pPr>
        <w:autoSpaceDE w:val="0"/>
        <w:autoSpaceDN w:val="0"/>
        <w:adjustRightInd w:val="0"/>
        <w:jc w:val="both"/>
        <w:rPr>
          <w:rFonts w:cs="Arial"/>
        </w:rPr>
      </w:pPr>
      <w:r w:rsidRPr="007F4312">
        <w:rPr>
          <w:rFonts w:cs="Arial"/>
        </w:rPr>
        <w:t xml:space="preserve">The effectiveness of antibacterial activity of ethanol and methanol extracts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compared to standard antibiotics, using disc diffusion method and well diffusion method, was observed only in </w:t>
      </w:r>
      <w:r w:rsidRPr="007F4312">
        <w:rPr>
          <w:rFonts w:cs="Arial"/>
          <w:i/>
          <w:iCs/>
        </w:rPr>
        <w:t xml:space="preserve">Pseudomonas aeruginosa </w:t>
      </w:r>
      <w:r w:rsidRPr="007F4312">
        <w:rPr>
          <w:rFonts w:cs="Arial"/>
        </w:rPr>
        <w:t xml:space="preserve">(ATCC 27853). Methanol extract (Table 1) showed inhibition zones (mm) of 40.66 ± 0.66 at 100 mg/ mL and 23.33 ± 1.33 at 50 mg/ mL in disc diffusion for </w:t>
      </w:r>
      <w:r w:rsidRPr="007F4312">
        <w:rPr>
          <w:rFonts w:cs="Arial"/>
          <w:i/>
          <w:iCs/>
        </w:rPr>
        <w:t xml:space="preserve">Pseudomonas aeruginosa </w:t>
      </w:r>
      <w:r w:rsidRPr="007F4312">
        <w:rPr>
          <w:rFonts w:cs="Arial"/>
        </w:rPr>
        <w:t xml:space="preserve">(ATCC 27853).  In well diffusion using methanol extract (Table 1), </w:t>
      </w:r>
      <w:r w:rsidRPr="007F4312">
        <w:rPr>
          <w:rFonts w:cs="Arial"/>
          <w:i/>
          <w:iCs/>
        </w:rPr>
        <w:t xml:space="preserve">Pseudomonas aeruginosa </w:t>
      </w:r>
      <w:r w:rsidRPr="007F4312">
        <w:rPr>
          <w:rFonts w:cs="Arial"/>
        </w:rPr>
        <w:t xml:space="preserve">(ATCC 27853) showed 27.66 ± 14.25 at 100 mg/ mL and 18.00 ± 4.00 at 50 mg/ </w:t>
      </w:r>
      <w:proofErr w:type="spellStart"/>
      <w:r w:rsidRPr="007F4312">
        <w:rPr>
          <w:rFonts w:cs="Arial"/>
        </w:rPr>
        <w:t>mL.</w:t>
      </w:r>
      <w:proofErr w:type="spellEnd"/>
      <w:r w:rsidRPr="007F4312">
        <w:rPr>
          <w:rFonts w:cs="Arial"/>
        </w:rPr>
        <w:t xml:space="preserve"> Well diffusion performed using ethanol extract (Table 2</w:t>
      </w:r>
      <w:proofErr w:type="gramStart"/>
      <w:r w:rsidRPr="007F4312">
        <w:rPr>
          <w:rFonts w:cs="Arial"/>
        </w:rPr>
        <w:t>)  showed</w:t>
      </w:r>
      <w:proofErr w:type="gramEnd"/>
      <w:r w:rsidRPr="007F4312">
        <w:rPr>
          <w:rFonts w:cs="Arial"/>
        </w:rPr>
        <w:t xml:space="preserve"> 24.33 ± 10.03 at 100 mg/ mL and 17.00 ± 11.93 50 mg/ mL for </w:t>
      </w:r>
      <w:r w:rsidRPr="007F4312">
        <w:rPr>
          <w:rFonts w:cs="Arial"/>
          <w:i/>
          <w:iCs/>
        </w:rPr>
        <w:t xml:space="preserve">Pseudomonas aeruginosa </w:t>
      </w:r>
      <w:r w:rsidRPr="007F4312">
        <w:rPr>
          <w:rFonts w:cs="Arial"/>
        </w:rPr>
        <w:t>(ATCC 27853).  In disc diffusion for ethanol extract, (Table 2</w:t>
      </w:r>
      <w:proofErr w:type="gramStart"/>
      <w:r w:rsidRPr="007F4312">
        <w:rPr>
          <w:rFonts w:cs="Arial"/>
        </w:rPr>
        <w:t xml:space="preserve">)  </w:t>
      </w:r>
      <w:r w:rsidRPr="007F4312">
        <w:rPr>
          <w:rFonts w:cs="Arial"/>
          <w:i/>
          <w:iCs/>
        </w:rPr>
        <w:t>Pseudomonas</w:t>
      </w:r>
      <w:proofErr w:type="gramEnd"/>
      <w:r w:rsidRPr="007F4312">
        <w:rPr>
          <w:rFonts w:cs="Arial"/>
          <w:i/>
          <w:iCs/>
        </w:rPr>
        <w:t xml:space="preserve"> aeruginosa </w:t>
      </w:r>
      <w:r w:rsidRPr="007F4312">
        <w:rPr>
          <w:rFonts w:cs="Arial"/>
        </w:rPr>
        <w:t xml:space="preserve">(ATCC 27853) showed 33.66 ± 5.89 at 100 mg/ mL and 26.00 ± 2.64 at 50 mg/ </w:t>
      </w:r>
      <w:proofErr w:type="spellStart"/>
      <w:r w:rsidRPr="007F4312">
        <w:rPr>
          <w:rFonts w:cs="Arial"/>
        </w:rPr>
        <w:t>mL.</w:t>
      </w:r>
      <w:proofErr w:type="spellEnd"/>
      <w:r w:rsidRPr="007F4312">
        <w:rPr>
          <w:rFonts w:cs="Arial"/>
        </w:rPr>
        <w:t xml:space="preserve"> Other organisms including the ATCC strains of</w:t>
      </w:r>
      <w:r w:rsidRPr="007F4312">
        <w:rPr>
          <w:rFonts w:cs="Arial"/>
          <w:i/>
          <w:iCs/>
        </w:rPr>
        <w:t xml:space="preserve"> Staphylococcus aureus (ATCC 25923), Escherichia Coli (ATCC 25922</w:t>
      </w:r>
      <w:r w:rsidRPr="007F4312">
        <w:rPr>
          <w:rFonts w:cs="Arial"/>
        </w:rPr>
        <w:t xml:space="preserve">) and the clinical strains of </w:t>
      </w:r>
      <w:r w:rsidRPr="007F4312">
        <w:rPr>
          <w:rFonts w:cs="Arial"/>
          <w:i/>
          <w:iCs/>
        </w:rPr>
        <w:t>Staphylococcus aureus, Escherichia Coli</w:t>
      </w:r>
      <w:r w:rsidRPr="007F4312">
        <w:rPr>
          <w:rFonts w:cs="Arial"/>
        </w:rPr>
        <w:t xml:space="preserve"> and </w:t>
      </w:r>
      <w:r w:rsidRPr="007F4312">
        <w:rPr>
          <w:rFonts w:cs="Arial"/>
          <w:i/>
          <w:iCs/>
        </w:rPr>
        <w:t xml:space="preserve">Pseudomonas aeruginosa </w:t>
      </w:r>
      <w:r w:rsidRPr="007F4312">
        <w:rPr>
          <w:rFonts w:cs="Arial"/>
        </w:rPr>
        <w:t xml:space="preserve">showed no zone of inhibition at any of the selected concentrations of the plant extract, but showed inhibition zones for their respective positive controls. </w:t>
      </w:r>
    </w:p>
    <w:p w14:paraId="2E8D9892" w14:textId="77777777" w:rsidR="0026530E" w:rsidRDefault="0026530E" w:rsidP="007F4312">
      <w:pPr>
        <w:autoSpaceDE w:val="0"/>
        <w:autoSpaceDN w:val="0"/>
        <w:adjustRightInd w:val="0"/>
        <w:jc w:val="both"/>
        <w:rPr>
          <w:rFonts w:cs="Arial"/>
        </w:rPr>
      </w:pPr>
    </w:p>
    <w:p w14:paraId="46691731" w14:textId="77777777" w:rsidR="00535E1A" w:rsidRDefault="00535E1A" w:rsidP="007F4312">
      <w:pPr>
        <w:autoSpaceDE w:val="0"/>
        <w:autoSpaceDN w:val="0"/>
        <w:adjustRightInd w:val="0"/>
        <w:jc w:val="both"/>
        <w:rPr>
          <w:rFonts w:cs="Arial"/>
          <w:b/>
          <w:bCs/>
        </w:rPr>
      </w:pPr>
    </w:p>
    <w:p w14:paraId="5BC8CEFA" w14:textId="77777777" w:rsidR="00535E1A" w:rsidRDefault="00535E1A" w:rsidP="007F4312">
      <w:pPr>
        <w:autoSpaceDE w:val="0"/>
        <w:autoSpaceDN w:val="0"/>
        <w:adjustRightInd w:val="0"/>
        <w:jc w:val="both"/>
        <w:rPr>
          <w:rFonts w:cs="Arial"/>
          <w:b/>
          <w:bCs/>
        </w:rPr>
      </w:pPr>
    </w:p>
    <w:p w14:paraId="0922EEE9" w14:textId="51A255F7" w:rsidR="007F4312" w:rsidRDefault="007F4312" w:rsidP="007F4312">
      <w:pPr>
        <w:autoSpaceDE w:val="0"/>
        <w:autoSpaceDN w:val="0"/>
        <w:adjustRightInd w:val="0"/>
        <w:jc w:val="both"/>
        <w:rPr>
          <w:rFonts w:cs="Arial"/>
          <w:b/>
          <w:bCs/>
        </w:rPr>
      </w:pPr>
      <w:r w:rsidRPr="007F4312">
        <w:rPr>
          <w:rFonts w:cs="Arial"/>
          <w:b/>
          <w:bCs/>
        </w:rPr>
        <w:t xml:space="preserve">Table 1: Zones of Inhibition (mean ± standard error of mean) of disc diffusion and well diffusion of </w:t>
      </w:r>
      <w:r w:rsidRPr="007F4312">
        <w:rPr>
          <w:rFonts w:cs="Arial"/>
          <w:b/>
          <w:bCs/>
          <w:i/>
          <w:iCs/>
        </w:rPr>
        <w:t xml:space="preserve">Pseudomonas aeruginosa </w:t>
      </w:r>
      <w:r w:rsidRPr="007F4312">
        <w:rPr>
          <w:rFonts w:cs="Arial"/>
          <w:b/>
          <w:bCs/>
        </w:rPr>
        <w:t>(ATCC 27853) on the methanol extract</w:t>
      </w:r>
    </w:p>
    <w:p w14:paraId="1C341A44" w14:textId="77777777" w:rsidR="007F4312" w:rsidRPr="007F4312" w:rsidRDefault="007F4312" w:rsidP="007F4312">
      <w:pPr>
        <w:autoSpaceDE w:val="0"/>
        <w:autoSpaceDN w:val="0"/>
        <w:adjustRightInd w:val="0"/>
        <w:jc w:val="both"/>
        <w:rPr>
          <w:rFonts w:cs="Arial"/>
          <w:b/>
          <w:bCs/>
        </w:rPr>
      </w:pPr>
    </w:p>
    <w:tbl>
      <w:tblPr>
        <w:tblW w:w="83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96"/>
        <w:gridCol w:w="1844"/>
        <w:gridCol w:w="1547"/>
        <w:gridCol w:w="1417"/>
        <w:gridCol w:w="1560"/>
      </w:tblGrid>
      <w:tr w:rsidR="007F4312" w:rsidRPr="007F4312" w14:paraId="29510F37" w14:textId="77777777" w:rsidTr="005F1BAC">
        <w:trPr>
          <w:jc w:val="center"/>
        </w:trPr>
        <w:tc>
          <w:tcPr>
            <w:tcW w:w="1996" w:type="dxa"/>
            <w:tcBorders>
              <w:bottom w:val="single" w:sz="4" w:space="0" w:color="auto"/>
            </w:tcBorders>
          </w:tcPr>
          <w:p w14:paraId="15E07055" w14:textId="77777777" w:rsidR="007F4312" w:rsidRPr="007F4312" w:rsidRDefault="007F4312" w:rsidP="007F4312">
            <w:pPr>
              <w:autoSpaceDE w:val="0"/>
              <w:autoSpaceDN w:val="0"/>
              <w:adjustRightInd w:val="0"/>
              <w:jc w:val="both"/>
              <w:rPr>
                <w:rFonts w:cs="Arial"/>
                <w:b/>
                <w:bCs/>
              </w:rPr>
            </w:pPr>
            <w:r w:rsidRPr="007F4312">
              <w:rPr>
                <w:rFonts w:cs="Arial"/>
                <w:b/>
                <w:bCs/>
              </w:rPr>
              <w:t>Strain type</w:t>
            </w:r>
          </w:p>
        </w:tc>
        <w:tc>
          <w:tcPr>
            <w:tcW w:w="1844" w:type="dxa"/>
            <w:tcBorders>
              <w:bottom w:val="single" w:sz="4" w:space="0" w:color="auto"/>
            </w:tcBorders>
          </w:tcPr>
          <w:p w14:paraId="5E42273F" w14:textId="77777777" w:rsidR="007F4312" w:rsidRPr="007F4312" w:rsidRDefault="007F4312" w:rsidP="007F4312">
            <w:pPr>
              <w:autoSpaceDE w:val="0"/>
              <w:autoSpaceDN w:val="0"/>
              <w:adjustRightInd w:val="0"/>
              <w:jc w:val="both"/>
              <w:rPr>
                <w:rFonts w:cs="Arial"/>
                <w:b/>
                <w:bCs/>
              </w:rPr>
            </w:pPr>
            <w:r w:rsidRPr="007F4312">
              <w:rPr>
                <w:rFonts w:cs="Arial"/>
                <w:b/>
                <w:bCs/>
              </w:rPr>
              <w:t>method</w:t>
            </w:r>
          </w:p>
        </w:tc>
        <w:tc>
          <w:tcPr>
            <w:tcW w:w="1547" w:type="dxa"/>
            <w:tcBorders>
              <w:bottom w:val="single" w:sz="4" w:space="0" w:color="auto"/>
            </w:tcBorders>
          </w:tcPr>
          <w:p w14:paraId="2AE888D6" w14:textId="77777777" w:rsidR="007F4312" w:rsidRPr="007F4312" w:rsidRDefault="007F4312" w:rsidP="007F4312">
            <w:pPr>
              <w:autoSpaceDE w:val="0"/>
              <w:autoSpaceDN w:val="0"/>
              <w:adjustRightInd w:val="0"/>
              <w:jc w:val="both"/>
              <w:rPr>
                <w:rFonts w:cs="Arial"/>
                <w:b/>
                <w:bCs/>
              </w:rPr>
            </w:pPr>
            <w:r w:rsidRPr="007F4312">
              <w:rPr>
                <w:rFonts w:cs="Arial"/>
                <w:b/>
                <w:bCs/>
              </w:rPr>
              <w:t>100 mg/ mL</w:t>
            </w:r>
          </w:p>
          <w:p w14:paraId="35D63144" w14:textId="77777777" w:rsidR="007F4312" w:rsidRPr="007F4312" w:rsidRDefault="007F4312" w:rsidP="007F4312">
            <w:pPr>
              <w:autoSpaceDE w:val="0"/>
              <w:autoSpaceDN w:val="0"/>
              <w:adjustRightInd w:val="0"/>
              <w:jc w:val="both"/>
              <w:rPr>
                <w:rFonts w:cs="Arial"/>
                <w:b/>
                <w:bCs/>
              </w:rPr>
            </w:pPr>
          </w:p>
        </w:tc>
        <w:tc>
          <w:tcPr>
            <w:tcW w:w="1417" w:type="dxa"/>
            <w:tcBorders>
              <w:bottom w:val="single" w:sz="4" w:space="0" w:color="auto"/>
            </w:tcBorders>
          </w:tcPr>
          <w:p w14:paraId="752CC807" w14:textId="77777777" w:rsidR="007F4312" w:rsidRPr="007F4312" w:rsidRDefault="007F4312" w:rsidP="007F4312">
            <w:pPr>
              <w:autoSpaceDE w:val="0"/>
              <w:autoSpaceDN w:val="0"/>
              <w:adjustRightInd w:val="0"/>
              <w:jc w:val="both"/>
              <w:rPr>
                <w:rFonts w:cs="Arial"/>
                <w:b/>
                <w:bCs/>
              </w:rPr>
            </w:pPr>
            <w:r w:rsidRPr="007F4312">
              <w:rPr>
                <w:rFonts w:cs="Arial"/>
                <w:b/>
                <w:bCs/>
              </w:rPr>
              <w:t>50 mg/ mL</w:t>
            </w:r>
          </w:p>
          <w:p w14:paraId="5202BBF0" w14:textId="77777777" w:rsidR="007F4312" w:rsidRPr="007F4312" w:rsidRDefault="007F4312" w:rsidP="007F4312">
            <w:pPr>
              <w:autoSpaceDE w:val="0"/>
              <w:autoSpaceDN w:val="0"/>
              <w:adjustRightInd w:val="0"/>
              <w:jc w:val="both"/>
              <w:rPr>
                <w:rFonts w:cs="Arial"/>
                <w:b/>
                <w:bCs/>
              </w:rPr>
            </w:pPr>
          </w:p>
        </w:tc>
        <w:tc>
          <w:tcPr>
            <w:tcW w:w="1560" w:type="dxa"/>
            <w:tcBorders>
              <w:bottom w:val="single" w:sz="4" w:space="0" w:color="auto"/>
            </w:tcBorders>
          </w:tcPr>
          <w:p w14:paraId="4DF0C8B8" w14:textId="77777777" w:rsidR="007F4312" w:rsidRPr="007F4312" w:rsidRDefault="007F4312" w:rsidP="007F4312">
            <w:pPr>
              <w:autoSpaceDE w:val="0"/>
              <w:autoSpaceDN w:val="0"/>
              <w:adjustRightInd w:val="0"/>
              <w:jc w:val="both"/>
              <w:rPr>
                <w:rFonts w:cs="Arial"/>
                <w:b/>
                <w:bCs/>
              </w:rPr>
            </w:pPr>
            <w:r w:rsidRPr="007F4312">
              <w:rPr>
                <w:rFonts w:cs="Arial"/>
                <w:b/>
                <w:bCs/>
              </w:rPr>
              <w:t>Positive control</w:t>
            </w:r>
          </w:p>
        </w:tc>
      </w:tr>
      <w:tr w:rsidR="007F4312" w:rsidRPr="007F4312" w14:paraId="1D49F80B" w14:textId="77777777" w:rsidTr="005F1BAC">
        <w:trPr>
          <w:trHeight w:val="773"/>
          <w:jc w:val="center"/>
        </w:trPr>
        <w:tc>
          <w:tcPr>
            <w:tcW w:w="1996" w:type="dxa"/>
            <w:tcBorders>
              <w:bottom w:val="single" w:sz="4" w:space="0" w:color="000000"/>
            </w:tcBorders>
          </w:tcPr>
          <w:p w14:paraId="25C178B0" w14:textId="77777777" w:rsidR="007F4312" w:rsidRPr="007F4312" w:rsidRDefault="007F4312" w:rsidP="007F4312">
            <w:pPr>
              <w:autoSpaceDE w:val="0"/>
              <w:autoSpaceDN w:val="0"/>
              <w:adjustRightInd w:val="0"/>
              <w:jc w:val="both"/>
              <w:rPr>
                <w:rFonts w:cs="Arial"/>
                <w:i/>
                <w:iCs/>
              </w:rPr>
            </w:pPr>
            <w:r w:rsidRPr="007F4312">
              <w:rPr>
                <w:rFonts w:cs="Arial"/>
              </w:rPr>
              <w:t xml:space="preserve">ATCC </w:t>
            </w:r>
            <w:r w:rsidRPr="007F4312">
              <w:rPr>
                <w:rFonts w:cs="Arial"/>
                <w:i/>
                <w:iCs/>
              </w:rPr>
              <w:t xml:space="preserve">Pseudomonas aeruginosa </w:t>
            </w:r>
          </w:p>
          <w:p w14:paraId="0A3FCB43" w14:textId="77777777" w:rsidR="007F4312" w:rsidRPr="007F4312" w:rsidRDefault="007F4312" w:rsidP="007F4312">
            <w:pPr>
              <w:autoSpaceDE w:val="0"/>
              <w:autoSpaceDN w:val="0"/>
              <w:adjustRightInd w:val="0"/>
              <w:jc w:val="both"/>
              <w:rPr>
                <w:rFonts w:cs="Arial"/>
                <w:vanish/>
              </w:rPr>
            </w:pPr>
            <w:r w:rsidRPr="007F4312">
              <w:rPr>
                <w:rFonts w:cs="Arial"/>
              </w:rPr>
              <w:t>(ATCC 27853)</w:t>
            </w:r>
          </w:p>
          <w:p w14:paraId="4C657C37" w14:textId="77777777" w:rsidR="007F4312" w:rsidRPr="007F4312" w:rsidRDefault="007F4312" w:rsidP="007F4312">
            <w:pPr>
              <w:autoSpaceDE w:val="0"/>
              <w:autoSpaceDN w:val="0"/>
              <w:adjustRightInd w:val="0"/>
              <w:jc w:val="both"/>
              <w:rPr>
                <w:rFonts w:cs="Arial"/>
              </w:rPr>
            </w:pPr>
          </w:p>
          <w:p w14:paraId="6C5B30A1" w14:textId="77777777" w:rsidR="007F4312" w:rsidRPr="007F4312" w:rsidRDefault="007F4312" w:rsidP="007F4312">
            <w:pPr>
              <w:autoSpaceDE w:val="0"/>
              <w:autoSpaceDN w:val="0"/>
              <w:adjustRightInd w:val="0"/>
              <w:jc w:val="both"/>
              <w:rPr>
                <w:rFonts w:cs="Arial"/>
                <w:vanish/>
              </w:rPr>
            </w:pPr>
          </w:p>
          <w:p w14:paraId="01658ADA" w14:textId="77777777" w:rsidR="007F4312" w:rsidRPr="007F4312" w:rsidRDefault="007F4312" w:rsidP="007F4312">
            <w:pPr>
              <w:autoSpaceDE w:val="0"/>
              <w:autoSpaceDN w:val="0"/>
              <w:adjustRightInd w:val="0"/>
              <w:jc w:val="both"/>
              <w:rPr>
                <w:rFonts w:cs="Arial"/>
                <w:b/>
                <w:bCs/>
              </w:rPr>
            </w:pPr>
          </w:p>
        </w:tc>
        <w:tc>
          <w:tcPr>
            <w:tcW w:w="1844" w:type="dxa"/>
            <w:tcBorders>
              <w:bottom w:val="single" w:sz="4" w:space="0" w:color="000000"/>
            </w:tcBorders>
          </w:tcPr>
          <w:p w14:paraId="2F8C7223" w14:textId="77777777" w:rsidR="007F4312" w:rsidRPr="007F4312" w:rsidRDefault="007F4312" w:rsidP="007F4312">
            <w:pPr>
              <w:autoSpaceDE w:val="0"/>
              <w:autoSpaceDN w:val="0"/>
              <w:adjustRightInd w:val="0"/>
              <w:jc w:val="both"/>
              <w:rPr>
                <w:rFonts w:cs="Arial"/>
              </w:rPr>
            </w:pPr>
            <w:r w:rsidRPr="007F4312">
              <w:rPr>
                <w:rFonts w:cs="Arial"/>
              </w:rPr>
              <w:t>Disc diffusion</w:t>
            </w:r>
          </w:p>
          <w:p w14:paraId="3A03713F" w14:textId="77777777" w:rsidR="007F4312" w:rsidRPr="007F4312" w:rsidRDefault="007F4312" w:rsidP="007F4312">
            <w:pPr>
              <w:autoSpaceDE w:val="0"/>
              <w:autoSpaceDN w:val="0"/>
              <w:adjustRightInd w:val="0"/>
              <w:jc w:val="both"/>
              <w:rPr>
                <w:rFonts w:cs="Arial"/>
              </w:rPr>
            </w:pPr>
          </w:p>
          <w:p w14:paraId="311C5CA3" w14:textId="77777777" w:rsidR="007F4312" w:rsidRPr="007F4312" w:rsidRDefault="007F4312" w:rsidP="007F4312">
            <w:pPr>
              <w:autoSpaceDE w:val="0"/>
              <w:autoSpaceDN w:val="0"/>
              <w:adjustRightInd w:val="0"/>
              <w:jc w:val="both"/>
              <w:rPr>
                <w:rFonts w:cs="Arial"/>
              </w:rPr>
            </w:pPr>
          </w:p>
          <w:p w14:paraId="281A93D0" w14:textId="77777777" w:rsidR="007F4312" w:rsidRPr="007F4312" w:rsidRDefault="007F4312" w:rsidP="007F4312">
            <w:pPr>
              <w:autoSpaceDE w:val="0"/>
              <w:autoSpaceDN w:val="0"/>
              <w:adjustRightInd w:val="0"/>
              <w:jc w:val="both"/>
              <w:rPr>
                <w:rFonts w:cs="Arial"/>
              </w:rPr>
            </w:pPr>
          </w:p>
          <w:p w14:paraId="1EA547B0" w14:textId="77777777" w:rsidR="007F4312" w:rsidRPr="007F4312" w:rsidRDefault="007F4312" w:rsidP="007F4312">
            <w:pPr>
              <w:autoSpaceDE w:val="0"/>
              <w:autoSpaceDN w:val="0"/>
              <w:adjustRightInd w:val="0"/>
              <w:jc w:val="both"/>
              <w:rPr>
                <w:rFonts w:cs="Arial"/>
                <w:b/>
                <w:bCs/>
              </w:rPr>
            </w:pPr>
            <w:r w:rsidRPr="007F4312">
              <w:rPr>
                <w:rFonts w:cs="Arial"/>
              </w:rPr>
              <w:t>Well diffusion</w:t>
            </w:r>
          </w:p>
        </w:tc>
        <w:tc>
          <w:tcPr>
            <w:tcW w:w="1547" w:type="dxa"/>
            <w:tcBorders>
              <w:bottom w:val="single" w:sz="4" w:space="0" w:color="000000"/>
            </w:tcBorders>
          </w:tcPr>
          <w:p w14:paraId="45BBFC76" w14:textId="77777777" w:rsidR="007F4312" w:rsidRPr="007F4312" w:rsidRDefault="007F4312" w:rsidP="007F4312">
            <w:pPr>
              <w:autoSpaceDE w:val="0"/>
              <w:autoSpaceDN w:val="0"/>
              <w:adjustRightInd w:val="0"/>
              <w:jc w:val="both"/>
              <w:rPr>
                <w:rFonts w:cs="Arial"/>
              </w:rPr>
            </w:pPr>
            <w:r w:rsidRPr="007F4312">
              <w:rPr>
                <w:rFonts w:cs="Arial"/>
              </w:rPr>
              <w:t>40.66 ± 0.66</w:t>
            </w:r>
          </w:p>
          <w:p w14:paraId="57D10652" w14:textId="77777777" w:rsidR="007F4312" w:rsidRPr="007F4312" w:rsidRDefault="007F4312" w:rsidP="007F4312">
            <w:pPr>
              <w:autoSpaceDE w:val="0"/>
              <w:autoSpaceDN w:val="0"/>
              <w:adjustRightInd w:val="0"/>
              <w:jc w:val="both"/>
              <w:rPr>
                <w:rFonts w:cs="Arial"/>
              </w:rPr>
            </w:pPr>
          </w:p>
          <w:p w14:paraId="08EC4E43" w14:textId="77777777" w:rsidR="007F4312" w:rsidRPr="007F4312" w:rsidRDefault="007F4312" w:rsidP="007F4312">
            <w:pPr>
              <w:autoSpaceDE w:val="0"/>
              <w:autoSpaceDN w:val="0"/>
              <w:adjustRightInd w:val="0"/>
              <w:jc w:val="both"/>
              <w:rPr>
                <w:rFonts w:cs="Arial"/>
              </w:rPr>
            </w:pPr>
          </w:p>
          <w:p w14:paraId="6C8304FA" w14:textId="77777777" w:rsidR="007F4312" w:rsidRPr="007F4312" w:rsidRDefault="007F4312" w:rsidP="007F4312">
            <w:pPr>
              <w:autoSpaceDE w:val="0"/>
              <w:autoSpaceDN w:val="0"/>
              <w:adjustRightInd w:val="0"/>
              <w:jc w:val="both"/>
              <w:rPr>
                <w:rFonts w:cs="Arial"/>
              </w:rPr>
            </w:pPr>
          </w:p>
          <w:p w14:paraId="7962E433" w14:textId="77777777" w:rsidR="007F4312" w:rsidRPr="007F4312" w:rsidRDefault="007F4312" w:rsidP="007F4312">
            <w:pPr>
              <w:autoSpaceDE w:val="0"/>
              <w:autoSpaceDN w:val="0"/>
              <w:adjustRightInd w:val="0"/>
              <w:jc w:val="both"/>
              <w:rPr>
                <w:rFonts w:cs="Arial"/>
              </w:rPr>
            </w:pPr>
            <w:r w:rsidRPr="007F4312">
              <w:rPr>
                <w:rFonts w:cs="Arial"/>
              </w:rPr>
              <w:t>27.66 ± 14.25</w:t>
            </w:r>
          </w:p>
          <w:p w14:paraId="61D9829E" w14:textId="77777777" w:rsidR="007F4312" w:rsidRPr="007F4312" w:rsidRDefault="007F4312" w:rsidP="007F4312">
            <w:pPr>
              <w:autoSpaceDE w:val="0"/>
              <w:autoSpaceDN w:val="0"/>
              <w:adjustRightInd w:val="0"/>
              <w:jc w:val="both"/>
              <w:rPr>
                <w:rFonts w:cs="Arial"/>
              </w:rPr>
            </w:pPr>
          </w:p>
        </w:tc>
        <w:tc>
          <w:tcPr>
            <w:tcW w:w="1417" w:type="dxa"/>
            <w:tcBorders>
              <w:bottom w:val="single" w:sz="4" w:space="0" w:color="000000"/>
            </w:tcBorders>
          </w:tcPr>
          <w:p w14:paraId="7074DE9B" w14:textId="77777777" w:rsidR="007F4312" w:rsidRPr="007F4312" w:rsidRDefault="007F4312" w:rsidP="007F4312">
            <w:pPr>
              <w:autoSpaceDE w:val="0"/>
              <w:autoSpaceDN w:val="0"/>
              <w:adjustRightInd w:val="0"/>
              <w:jc w:val="both"/>
              <w:rPr>
                <w:rFonts w:cs="Arial"/>
              </w:rPr>
            </w:pPr>
            <w:r w:rsidRPr="007F4312">
              <w:rPr>
                <w:rFonts w:cs="Arial"/>
              </w:rPr>
              <w:t>23.33 ± 1.33</w:t>
            </w:r>
          </w:p>
          <w:p w14:paraId="4E8CE023" w14:textId="77777777" w:rsidR="007F4312" w:rsidRPr="007F4312" w:rsidRDefault="007F4312" w:rsidP="007F4312">
            <w:pPr>
              <w:autoSpaceDE w:val="0"/>
              <w:autoSpaceDN w:val="0"/>
              <w:adjustRightInd w:val="0"/>
              <w:jc w:val="both"/>
              <w:rPr>
                <w:rFonts w:cs="Arial"/>
              </w:rPr>
            </w:pPr>
          </w:p>
          <w:p w14:paraId="0D7F7410" w14:textId="77777777" w:rsidR="007F4312" w:rsidRPr="007F4312" w:rsidRDefault="007F4312" w:rsidP="007F4312">
            <w:pPr>
              <w:autoSpaceDE w:val="0"/>
              <w:autoSpaceDN w:val="0"/>
              <w:adjustRightInd w:val="0"/>
              <w:jc w:val="both"/>
              <w:rPr>
                <w:rFonts w:cs="Arial"/>
              </w:rPr>
            </w:pPr>
          </w:p>
          <w:p w14:paraId="6D943904" w14:textId="77777777" w:rsidR="007F4312" w:rsidRPr="007F4312" w:rsidRDefault="007F4312" w:rsidP="007F4312">
            <w:pPr>
              <w:autoSpaceDE w:val="0"/>
              <w:autoSpaceDN w:val="0"/>
              <w:adjustRightInd w:val="0"/>
              <w:jc w:val="both"/>
              <w:rPr>
                <w:rFonts w:cs="Arial"/>
              </w:rPr>
            </w:pPr>
          </w:p>
          <w:p w14:paraId="6A5C38ED" w14:textId="77777777" w:rsidR="007F4312" w:rsidRPr="007F4312" w:rsidRDefault="007F4312" w:rsidP="007F4312">
            <w:pPr>
              <w:autoSpaceDE w:val="0"/>
              <w:autoSpaceDN w:val="0"/>
              <w:adjustRightInd w:val="0"/>
              <w:jc w:val="both"/>
              <w:rPr>
                <w:rFonts w:cs="Arial"/>
              </w:rPr>
            </w:pPr>
            <w:r w:rsidRPr="007F4312">
              <w:rPr>
                <w:rFonts w:cs="Arial"/>
              </w:rPr>
              <w:t>18.00 ± 4.00</w:t>
            </w:r>
          </w:p>
          <w:p w14:paraId="6F00BA48" w14:textId="77777777" w:rsidR="007F4312" w:rsidRPr="007F4312" w:rsidRDefault="007F4312" w:rsidP="007F4312">
            <w:pPr>
              <w:autoSpaceDE w:val="0"/>
              <w:autoSpaceDN w:val="0"/>
              <w:adjustRightInd w:val="0"/>
              <w:jc w:val="both"/>
              <w:rPr>
                <w:rFonts w:cs="Arial"/>
              </w:rPr>
            </w:pPr>
          </w:p>
        </w:tc>
        <w:tc>
          <w:tcPr>
            <w:tcW w:w="1560" w:type="dxa"/>
            <w:tcBorders>
              <w:bottom w:val="single" w:sz="4" w:space="0" w:color="000000"/>
            </w:tcBorders>
          </w:tcPr>
          <w:p w14:paraId="09F7425D" w14:textId="77777777" w:rsidR="007F4312" w:rsidRPr="007F4312" w:rsidRDefault="007F4312" w:rsidP="007F4312">
            <w:pPr>
              <w:autoSpaceDE w:val="0"/>
              <w:autoSpaceDN w:val="0"/>
              <w:adjustRightInd w:val="0"/>
              <w:jc w:val="both"/>
              <w:rPr>
                <w:rFonts w:cs="Arial"/>
              </w:rPr>
            </w:pPr>
            <w:r w:rsidRPr="007F4312">
              <w:rPr>
                <w:rFonts w:cs="Arial"/>
              </w:rPr>
              <w:t>29.66 ± 0.57</w:t>
            </w:r>
          </w:p>
          <w:p w14:paraId="6DB993F8" w14:textId="77777777" w:rsidR="007F4312" w:rsidRPr="007F4312" w:rsidRDefault="007F4312" w:rsidP="007F4312">
            <w:pPr>
              <w:autoSpaceDE w:val="0"/>
              <w:autoSpaceDN w:val="0"/>
              <w:adjustRightInd w:val="0"/>
              <w:jc w:val="both"/>
              <w:rPr>
                <w:rFonts w:cs="Arial"/>
              </w:rPr>
            </w:pPr>
          </w:p>
          <w:p w14:paraId="036E750D" w14:textId="77777777" w:rsidR="007F4312" w:rsidRPr="007F4312" w:rsidRDefault="007F4312" w:rsidP="007F4312">
            <w:pPr>
              <w:autoSpaceDE w:val="0"/>
              <w:autoSpaceDN w:val="0"/>
              <w:adjustRightInd w:val="0"/>
              <w:jc w:val="both"/>
              <w:rPr>
                <w:rFonts w:cs="Arial"/>
              </w:rPr>
            </w:pPr>
          </w:p>
          <w:p w14:paraId="3F8D3330" w14:textId="77777777" w:rsidR="007F4312" w:rsidRPr="007F4312" w:rsidRDefault="007F4312" w:rsidP="007F4312">
            <w:pPr>
              <w:autoSpaceDE w:val="0"/>
              <w:autoSpaceDN w:val="0"/>
              <w:adjustRightInd w:val="0"/>
              <w:jc w:val="both"/>
              <w:rPr>
                <w:rFonts w:cs="Arial"/>
              </w:rPr>
            </w:pPr>
          </w:p>
          <w:p w14:paraId="26F18C82" w14:textId="77777777" w:rsidR="007F4312" w:rsidRPr="007F4312" w:rsidRDefault="007F4312" w:rsidP="007F4312">
            <w:pPr>
              <w:autoSpaceDE w:val="0"/>
              <w:autoSpaceDN w:val="0"/>
              <w:adjustRightInd w:val="0"/>
              <w:jc w:val="both"/>
              <w:rPr>
                <w:rFonts w:cs="Arial"/>
              </w:rPr>
            </w:pPr>
            <w:r w:rsidRPr="007F4312">
              <w:rPr>
                <w:rFonts w:cs="Arial"/>
              </w:rPr>
              <w:t>33.66 ± 0.88</w:t>
            </w:r>
          </w:p>
          <w:p w14:paraId="1BA8296D" w14:textId="77777777" w:rsidR="007F4312" w:rsidRPr="007F4312" w:rsidRDefault="007F4312" w:rsidP="007F4312">
            <w:pPr>
              <w:autoSpaceDE w:val="0"/>
              <w:autoSpaceDN w:val="0"/>
              <w:adjustRightInd w:val="0"/>
              <w:jc w:val="both"/>
              <w:rPr>
                <w:rFonts w:cs="Arial"/>
              </w:rPr>
            </w:pPr>
          </w:p>
        </w:tc>
      </w:tr>
    </w:tbl>
    <w:p w14:paraId="39BD6F60" w14:textId="77777777" w:rsidR="007F4312" w:rsidRPr="007F4312" w:rsidRDefault="007F4312" w:rsidP="007F4312">
      <w:pPr>
        <w:autoSpaceDE w:val="0"/>
        <w:autoSpaceDN w:val="0"/>
        <w:adjustRightInd w:val="0"/>
        <w:jc w:val="both"/>
        <w:rPr>
          <w:rFonts w:cs="Arial"/>
          <w:i/>
          <w:iCs/>
          <w:vertAlign w:val="superscript"/>
        </w:rPr>
      </w:pPr>
      <w:r w:rsidRPr="007F4312">
        <w:rPr>
          <w:rFonts w:cs="Arial"/>
          <w:i/>
          <w:iCs/>
          <w:vertAlign w:val="superscript"/>
        </w:rPr>
        <w:t xml:space="preserve">Note-the zone of inhibition were measured by calculating the average of the triplicates, and the standard error of mean was obtained using Microsoft excel </w:t>
      </w:r>
    </w:p>
    <w:p w14:paraId="33668440" w14:textId="77777777" w:rsidR="007F4312" w:rsidRPr="007F4312" w:rsidRDefault="007F4312" w:rsidP="007F4312">
      <w:pPr>
        <w:autoSpaceDE w:val="0"/>
        <w:autoSpaceDN w:val="0"/>
        <w:adjustRightInd w:val="0"/>
        <w:jc w:val="both"/>
        <w:rPr>
          <w:rFonts w:cs="Arial"/>
        </w:rPr>
      </w:pPr>
    </w:p>
    <w:p w14:paraId="7EEC64F0" w14:textId="77777777" w:rsidR="007F4312" w:rsidRDefault="007F4312" w:rsidP="007F4312">
      <w:pPr>
        <w:autoSpaceDE w:val="0"/>
        <w:autoSpaceDN w:val="0"/>
        <w:adjustRightInd w:val="0"/>
        <w:jc w:val="both"/>
        <w:rPr>
          <w:rFonts w:cs="Arial"/>
          <w:b/>
          <w:bCs/>
        </w:rPr>
      </w:pPr>
      <w:r w:rsidRPr="007F4312">
        <w:rPr>
          <w:rFonts w:cs="Arial"/>
          <w:b/>
          <w:bCs/>
        </w:rPr>
        <w:t xml:space="preserve">Table 2: Zones of Inhibition (mean ± standard error of mean) of disc diffusion and well diffusion of </w:t>
      </w:r>
      <w:r w:rsidRPr="007F4312">
        <w:rPr>
          <w:rFonts w:cs="Arial"/>
          <w:b/>
          <w:bCs/>
          <w:i/>
          <w:iCs/>
        </w:rPr>
        <w:t xml:space="preserve">Pseudomonas aeruginosa </w:t>
      </w:r>
      <w:r w:rsidRPr="007F4312">
        <w:rPr>
          <w:rFonts w:cs="Arial"/>
          <w:b/>
          <w:bCs/>
        </w:rPr>
        <w:t>(ATCC 27853) on the ethanol extract</w:t>
      </w:r>
    </w:p>
    <w:p w14:paraId="4DE93549" w14:textId="77777777" w:rsidR="007F4312" w:rsidRPr="007F4312" w:rsidRDefault="007F4312" w:rsidP="007F4312">
      <w:pPr>
        <w:autoSpaceDE w:val="0"/>
        <w:autoSpaceDN w:val="0"/>
        <w:adjustRightInd w:val="0"/>
        <w:jc w:val="both"/>
        <w:rPr>
          <w:rFonts w:cs="Arial"/>
          <w:b/>
          <w:bCs/>
        </w:rPr>
      </w:pPr>
    </w:p>
    <w:tbl>
      <w:tblPr>
        <w:tblW w:w="83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96"/>
        <w:gridCol w:w="1844"/>
        <w:gridCol w:w="1547"/>
        <w:gridCol w:w="1417"/>
        <w:gridCol w:w="1560"/>
      </w:tblGrid>
      <w:tr w:rsidR="007F4312" w:rsidRPr="007F4312" w14:paraId="725D29D8" w14:textId="77777777" w:rsidTr="005F1BAC">
        <w:trPr>
          <w:jc w:val="center"/>
        </w:trPr>
        <w:tc>
          <w:tcPr>
            <w:tcW w:w="1996" w:type="dxa"/>
            <w:tcBorders>
              <w:bottom w:val="single" w:sz="4" w:space="0" w:color="auto"/>
            </w:tcBorders>
          </w:tcPr>
          <w:p w14:paraId="06AE1328" w14:textId="77777777" w:rsidR="007F4312" w:rsidRPr="007F4312" w:rsidRDefault="007F4312" w:rsidP="007F4312">
            <w:pPr>
              <w:autoSpaceDE w:val="0"/>
              <w:autoSpaceDN w:val="0"/>
              <w:adjustRightInd w:val="0"/>
              <w:jc w:val="both"/>
              <w:rPr>
                <w:rFonts w:cs="Arial"/>
                <w:b/>
                <w:bCs/>
              </w:rPr>
            </w:pPr>
            <w:r w:rsidRPr="007F4312">
              <w:rPr>
                <w:rFonts w:cs="Arial"/>
                <w:b/>
                <w:bCs/>
              </w:rPr>
              <w:t>Strain type</w:t>
            </w:r>
          </w:p>
        </w:tc>
        <w:tc>
          <w:tcPr>
            <w:tcW w:w="1844" w:type="dxa"/>
            <w:tcBorders>
              <w:bottom w:val="single" w:sz="4" w:space="0" w:color="auto"/>
            </w:tcBorders>
          </w:tcPr>
          <w:p w14:paraId="5F218CA4" w14:textId="77777777" w:rsidR="007F4312" w:rsidRPr="007F4312" w:rsidRDefault="007F4312" w:rsidP="007F4312">
            <w:pPr>
              <w:autoSpaceDE w:val="0"/>
              <w:autoSpaceDN w:val="0"/>
              <w:adjustRightInd w:val="0"/>
              <w:jc w:val="both"/>
              <w:rPr>
                <w:rFonts w:cs="Arial"/>
                <w:b/>
                <w:bCs/>
              </w:rPr>
            </w:pPr>
            <w:r w:rsidRPr="007F4312">
              <w:rPr>
                <w:rFonts w:cs="Arial"/>
                <w:b/>
                <w:bCs/>
              </w:rPr>
              <w:t>method</w:t>
            </w:r>
          </w:p>
        </w:tc>
        <w:tc>
          <w:tcPr>
            <w:tcW w:w="1547" w:type="dxa"/>
            <w:tcBorders>
              <w:bottom w:val="single" w:sz="4" w:space="0" w:color="auto"/>
            </w:tcBorders>
          </w:tcPr>
          <w:p w14:paraId="251D68BD" w14:textId="77777777" w:rsidR="007F4312" w:rsidRPr="007F4312" w:rsidRDefault="007F4312" w:rsidP="007F4312">
            <w:pPr>
              <w:autoSpaceDE w:val="0"/>
              <w:autoSpaceDN w:val="0"/>
              <w:adjustRightInd w:val="0"/>
              <w:jc w:val="both"/>
              <w:rPr>
                <w:rFonts w:cs="Arial"/>
                <w:b/>
                <w:bCs/>
              </w:rPr>
            </w:pPr>
            <w:r w:rsidRPr="007F4312">
              <w:rPr>
                <w:rFonts w:cs="Arial"/>
                <w:b/>
                <w:bCs/>
              </w:rPr>
              <w:t>100 mg/ mL</w:t>
            </w:r>
          </w:p>
          <w:p w14:paraId="7447E97B" w14:textId="77777777" w:rsidR="007F4312" w:rsidRPr="007F4312" w:rsidRDefault="007F4312" w:rsidP="007F4312">
            <w:pPr>
              <w:autoSpaceDE w:val="0"/>
              <w:autoSpaceDN w:val="0"/>
              <w:adjustRightInd w:val="0"/>
              <w:jc w:val="both"/>
              <w:rPr>
                <w:rFonts w:cs="Arial"/>
                <w:b/>
                <w:bCs/>
              </w:rPr>
            </w:pPr>
          </w:p>
        </w:tc>
        <w:tc>
          <w:tcPr>
            <w:tcW w:w="1417" w:type="dxa"/>
            <w:tcBorders>
              <w:bottom w:val="single" w:sz="4" w:space="0" w:color="auto"/>
            </w:tcBorders>
          </w:tcPr>
          <w:p w14:paraId="05D51730" w14:textId="77777777" w:rsidR="007F4312" w:rsidRPr="007F4312" w:rsidRDefault="007F4312" w:rsidP="007F4312">
            <w:pPr>
              <w:autoSpaceDE w:val="0"/>
              <w:autoSpaceDN w:val="0"/>
              <w:adjustRightInd w:val="0"/>
              <w:jc w:val="both"/>
              <w:rPr>
                <w:rFonts w:cs="Arial"/>
                <w:b/>
                <w:bCs/>
              </w:rPr>
            </w:pPr>
            <w:r w:rsidRPr="007F4312">
              <w:rPr>
                <w:rFonts w:cs="Arial"/>
                <w:b/>
                <w:bCs/>
              </w:rPr>
              <w:t>50 mg/ mL</w:t>
            </w:r>
          </w:p>
          <w:p w14:paraId="5AE73785" w14:textId="77777777" w:rsidR="007F4312" w:rsidRPr="007F4312" w:rsidRDefault="007F4312" w:rsidP="007F4312">
            <w:pPr>
              <w:autoSpaceDE w:val="0"/>
              <w:autoSpaceDN w:val="0"/>
              <w:adjustRightInd w:val="0"/>
              <w:jc w:val="both"/>
              <w:rPr>
                <w:rFonts w:cs="Arial"/>
                <w:b/>
                <w:bCs/>
              </w:rPr>
            </w:pPr>
          </w:p>
        </w:tc>
        <w:tc>
          <w:tcPr>
            <w:tcW w:w="1560" w:type="dxa"/>
            <w:tcBorders>
              <w:bottom w:val="single" w:sz="4" w:space="0" w:color="auto"/>
            </w:tcBorders>
          </w:tcPr>
          <w:p w14:paraId="7349D429" w14:textId="77777777" w:rsidR="007F4312" w:rsidRPr="007F4312" w:rsidRDefault="007F4312" w:rsidP="007F4312">
            <w:pPr>
              <w:autoSpaceDE w:val="0"/>
              <w:autoSpaceDN w:val="0"/>
              <w:adjustRightInd w:val="0"/>
              <w:jc w:val="both"/>
              <w:rPr>
                <w:rFonts w:cs="Arial"/>
                <w:b/>
                <w:bCs/>
              </w:rPr>
            </w:pPr>
            <w:r w:rsidRPr="007F4312">
              <w:rPr>
                <w:rFonts w:cs="Arial"/>
                <w:b/>
                <w:bCs/>
              </w:rPr>
              <w:t>Positive control</w:t>
            </w:r>
          </w:p>
        </w:tc>
      </w:tr>
      <w:tr w:rsidR="007F4312" w:rsidRPr="007F4312" w14:paraId="4E272D3F" w14:textId="77777777" w:rsidTr="005F1BAC">
        <w:trPr>
          <w:trHeight w:val="773"/>
          <w:jc w:val="center"/>
        </w:trPr>
        <w:tc>
          <w:tcPr>
            <w:tcW w:w="1996" w:type="dxa"/>
            <w:tcBorders>
              <w:bottom w:val="single" w:sz="4" w:space="0" w:color="000000"/>
            </w:tcBorders>
          </w:tcPr>
          <w:p w14:paraId="7B1B3488" w14:textId="77777777" w:rsidR="007F4312" w:rsidRPr="007F4312" w:rsidRDefault="007F4312" w:rsidP="007F4312">
            <w:pPr>
              <w:autoSpaceDE w:val="0"/>
              <w:autoSpaceDN w:val="0"/>
              <w:adjustRightInd w:val="0"/>
              <w:jc w:val="both"/>
              <w:rPr>
                <w:rFonts w:cs="Arial"/>
                <w:i/>
                <w:iCs/>
              </w:rPr>
            </w:pPr>
            <w:r w:rsidRPr="007F4312">
              <w:rPr>
                <w:rFonts w:cs="Arial"/>
              </w:rPr>
              <w:t xml:space="preserve">ATCC </w:t>
            </w:r>
            <w:r w:rsidRPr="007F4312">
              <w:rPr>
                <w:rFonts w:cs="Arial"/>
                <w:i/>
                <w:iCs/>
              </w:rPr>
              <w:t xml:space="preserve">Pseudomonas aeruginosa </w:t>
            </w:r>
          </w:p>
          <w:p w14:paraId="5DBB495A" w14:textId="77777777" w:rsidR="007F4312" w:rsidRPr="007F4312" w:rsidRDefault="007F4312" w:rsidP="007F4312">
            <w:pPr>
              <w:autoSpaceDE w:val="0"/>
              <w:autoSpaceDN w:val="0"/>
              <w:adjustRightInd w:val="0"/>
              <w:jc w:val="both"/>
              <w:rPr>
                <w:rFonts w:cs="Arial"/>
                <w:vanish/>
              </w:rPr>
            </w:pPr>
            <w:r w:rsidRPr="007F4312">
              <w:rPr>
                <w:rFonts w:cs="Arial"/>
              </w:rPr>
              <w:t>(ATCC 27853)</w:t>
            </w:r>
          </w:p>
          <w:p w14:paraId="74F9FCF3" w14:textId="77777777" w:rsidR="007F4312" w:rsidRPr="007F4312" w:rsidRDefault="007F4312" w:rsidP="007F4312">
            <w:pPr>
              <w:autoSpaceDE w:val="0"/>
              <w:autoSpaceDN w:val="0"/>
              <w:adjustRightInd w:val="0"/>
              <w:jc w:val="both"/>
              <w:rPr>
                <w:rFonts w:cs="Arial"/>
              </w:rPr>
            </w:pPr>
          </w:p>
          <w:p w14:paraId="3569EEC3" w14:textId="77777777" w:rsidR="007F4312" w:rsidRPr="007F4312" w:rsidRDefault="007F4312" w:rsidP="007F4312">
            <w:pPr>
              <w:autoSpaceDE w:val="0"/>
              <w:autoSpaceDN w:val="0"/>
              <w:adjustRightInd w:val="0"/>
              <w:jc w:val="both"/>
              <w:rPr>
                <w:rFonts w:cs="Arial"/>
                <w:vanish/>
              </w:rPr>
            </w:pPr>
          </w:p>
          <w:p w14:paraId="3BF98BAD" w14:textId="77777777" w:rsidR="007F4312" w:rsidRPr="007F4312" w:rsidRDefault="007F4312" w:rsidP="007F4312">
            <w:pPr>
              <w:autoSpaceDE w:val="0"/>
              <w:autoSpaceDN w:val="0"/>
              <w:adjustRightInd w:val="0"/>
              <w:jc w:val="both"/>
              <w:rPr>
                <w:rFonts w:cs="Arial"/>
                <w:b/>
                <w:bCs/>
              </w:rPr>
            </w:pPr>
          </w:p>
        </w:tc>
        <w:tc>
          <w:tcPr>
            <w:tcW w:w="1844" w:type="dxa"/>
            <w:tcBorders>
              <w:bottom w:val="single" w:sz="4" w:space="0" w:color="000000"/>
            </w:tcBorders>
          </w:tcPr>
          <w:p w14:paraId="6F7047B5" w14:textId="77777777" w:rsidR="007F4312" w:rsidRPr="007F4312" w:rsidRDefault="007F4312" w:rsidP="007F4312">
            <w:pPr>
              <w:autoSpaceDE w:val="0"/>
              <w:autoSpaceDN w:val="0"/>
              <w:adjustRightInd w:val="0"/>
              <w:jc w:val="both"/>
              <w:rPr>
                <w:rFonts w:cs="Arial"/>
              </w:rPr>
            </w:pPr>
            <w:r w:rsidRPr="007F4312">
              <w:rPr>
                <w:rFonts w:cs="Arial"/>
              </w:rPr>
              <w:t>Disc diffusion</w:t>
            </w:r>
          </w:p>
          <w:p w14:paraId="417BDF1E" w14:textId="77777777" w:rsidR="007F4312" w:rsidRPr="007F4312" w:rsidRDefault="007F4312" w:rsidP="007F4312">
            <w:pPr>
              <w:autoSpaceDE w:val="0"/>
              <w:autoSpaceDN w:val="0"/>
              <w:adjustRightInd w:val="0"/>
              <w:jc w:val="both"/>
              <w:rPr>
                <w:rFonts w:cs="Arial"/>
              </w:rPr>
            </w:pPr>
          </w:p>
          <w:p w14:paraId="482B5F2F" w14:textId="77777777" w:rsidR="007F4312" w:rsidRPr="007F4312" w:rsidRDefault="007F4312" w:rsidP="007F4312">
            <w:pPr>
              <w:autoSpaceDE w:val="0"/>
              <w:autoSpaceDN w:val="0"/>
              <w:adjustRightInd w:val="0"/>
              <w:jc w:val="both"/>
              <w:rPr>
                <w:rFonts w:cs="Arial"/>
              </w:rPr>
            </w:pPr>
          </w:p>
          <w:p w14:paraId="42EF6D62" w14:textId="77777777" w:rsidR="007F4312" w:rsidRPr="007F4312" w:rsidRDefault="007F4312" w:rsidP="007F4312">
            <w:pPr>
              <w:autoSpaceDE w:val="0"/>
              <w:autoSpaceDN w:val="0"/>
              <w:adjustRightInd w:val="0"/>
              <w:jc w:val="both"/>
              <w:rPr>
                <w:rFonts w:cs="Arial"/>
              </w:rPr>
            </w:pPr>
          </w:p>
          <w:p w14:paraId="7644243C" w14:textId="77777777" w:rsidR="007F4312" w:rsidRPr="007F4312" w:rsidRDefault="007F4312" w:rsidP="007F4312">
            <w:pPr>
              <w:autoSpaceDE w:val="0"/>
              <w:autoSpaceDN w:val="0"/>
              <w:adjustRightInd w:val="0"/>
              <w:jc w:val="both"/>
              <w:rPr>
                <w:rFonts w:cs="Arial"/>
              </w:rPr>
            </w:pPr>
            <w:r w:rsidRPr="007F4312">
              <w:rPr>
                <w:rFonts w:cs="Arial"/>
              </w:rPr>
              <w:t>Well diffusion</w:t>
            </w:r>
          </w:p>
        </w:tc>
        <w:tc>
          <w:tcPr>
            <w:tcW w:w="1547" w:type="dxa"/>
            <w:tcBorders>
              <w:bottom w:val="single" w:sz="4" w:space="0" w:color="000000"/>
            </w:tcBorders>
          </w:tcPr>
          <w:p w14:paraId="2F2F179F" w14:textId="77777777" w:rsidR="007F4312" w:rsidRPr="007F4312" w:rsidRDefault="007F4312" w:rsidP="007F4312">
            <w:pPr>
              <w:autoSpaceDE w:val="0"/>
              <w:autoSpaceDN w:val="0"/>
              <w:adjustRightInd w:val="0"/>
              <w:jc w:val="both"/>
              <w:rPr>
                <w:rFonts w:cs="Arial"/>
              </w:rPr>
            </w:pPr>
            <w:r w:rsidRPr="007F4312">
              <w:rPr>
                <w:rFonts w:cs="Arial"/>
              </w:rPr>
              <w:t>33.66 ± 5.89</w:t>
            </w:r>
          </w:p>
          <w:p w14:paraId="3CA9F21F" w14:textId="77777777" w:rsidR="007F4312" w:rsidRPr="007F4312" w:rsidRDefault="007F4312" w:rsidP="007F4312">
            <w:pPr>
              <w:autoSpaceDE w:val="0"/>
              <w:autoSpaceDN w:val="0"/>
              <w:adjustRightInd w:val="0"/>
              <w:jc w:val="both"/>
              <w:rPr>
                <w:rFonts w:cs="Arial"/>
              </w:rPr>
            </w:pPr>
          </w:p>
          <w:p w14:paraId="5EBA746A" w14:textId="77777777" w:rsidR="007F4312" w:rsidRPr="007F4312" w:rsidRDefault="007F4312" w:rsidP="007F4312">
            <w:pPr>
              <w:autoSpaceDE w:val="0"/>
              <w:autoSpaceDN w:val="0"/>
              <w:adjustRightInd w:val="0"/>
              <w:jc w:val="both"/>
              <w:rPr>
                <w:rFonts w:cs="Arial"/>
              </w:rPr>
            </w:pPr>
          </w:p>
          <w:p w14:paraId="3210E897" w14:textId="77777777" w:rsidR="007F4312" w:rsidRPr="007F4312" w:rsidRDefault="007F4312" w:rsidP="007F4312">
            <w:pPr>
              <w:autoSpaceDE w:val="0"/>
              <w:autoSpaceDN w:val="0"/>
              <w:adjustRightInd w:val="0"/>
              <w:jc w:val="both"/>
              <w:rPr>
                <w:rFonts w:cs="Arial"/>
              </w:rPr>
            </w:pPr>
          </w:p>
          <w:p w14:paraId="4DB7B9C7" w14:textId="77777777" w:rsidR="007F4312" w:rsidRPr="007F4312" w:rsidRDefault="007F4312" w:rsidP="007F4312">
            <w:pPr>
              <w:autoSpaceDE w:val="0"/>
              <w:autoSpaceDN w:val="0"/>
              <w:adjustRightInd w:val="0"/>
              <w:jc w:val="both"/>
              <w:rPr>
                <w:rFonts w:cs="Arial"/>
              </w:rPr>
            </w:pPr>
            <w:r w:rsidRPr="007F4312">
              <w:rPr>
                <w:rFonts w:cs="Arial"/>
              </w:rPr>
              <w:t>24.33 ± 10.03</w:t>
            </w:r>
          </w:p>
        </w:tc>
        <w:tc>
          <w:tcPr>
            <w:tcW w:w="1417" w:type="dxa"/>
            <w:tcBorders>
              <w:bottom w:val="single" w:sz="4" w:space="0" w:color="000000"/>
            </w:tcBorders>
          </w:tcPr>
          <w:p w14:paraId="1C5EE7BA" w14:textId="77777777" w:rsidR="007F4312" w:rsidRPr="007F4312" w:rsidRDefault="007F4312" w:rsidP="007F4312">
            <w:pPr>
              <w:autoSpaceDE w:val="0"/>
              <w:autoSpaceDN w:val="0"/>
              <w:adjustRightInd w:val="0"/>
              <w:jc w:val="both"/>
              <w:rPr>
                <w:rFonts w:cs="Arial"/>
              </w:rPr>
            </w:pPr>
            <w:r w:rsidRPr="007F4312">
              <w:rPr>
                <w:rFonts w:cs="Arial"/>
              </w:rPr>
              <w:t>26.00 ± 2.64</w:t>
            </w:r>
          </w:p>
          <w:p w14:paraId="7FEC9BA4" w14:textId="77777777" w:rsidR="007F4312" w:rsidRPr="007F4312" w:rsidRDefault="007F4312" w:rsidP="007F4312">
            <w:pPr>
              <w:autoSpaceDE w:val="0"/>
              <w:autoSpaceDN w:val="0"/>
              <w:adjustRightInd w:val="0"/>
              <w:jc w:val="both"/>
              <w:rPr>
                <w:rFonts w:cs="Arial"/>
              </w:rPr>
            </w:pPr>
          </w:p>
          <w:p w14:paraId="331BD0F3" w14:textId="77777777" w:rsidR="007F4312" w:rsidRPr="007F4312" w:rsidRDefault="007F4312" w:rsidP="007F4312">
            <w:pPr>
              <w:autoSpaceDE w:val="0"/>
              <w:autoSpaceDN w:val="0"/>
              <w:adjustRightInd w:val="0"/>
              <w:jc w:val="both"/>
              <w:rPr>
                <w:rFonts w:cs="Arial"/>
              </w:rPr>
            </w:pPr>
          </w:p>
          <w:p w14:paraId="4D2BC32F" w14:textId="77777777" w:rsidR="007F4312" w:rsidRPr="007F4312" w:rsidRDefault="007F4312" w:rsidP="007F4312">
            <w:pPr>
              <w:autoSpaceDE w:val="0"/>
              <w:autoSpaceDN w:val="0"/>
              <w:adjustRightInd w:val="0"/>
              <w:jc w:val="both"/>
              <w:rPr>
                <w:rFonts w:cs="Arial"/>
              </w:rPr>
            </w:pPr>
          </w:p>
          <w:p w14:paraId="22EBB1CD" w14:textId="77777777" w:rsidR="007F4312" w:rsidRPr="007F4312" w:rsidRDefault="007F4312" w:rsidP="007F4312">
            <w:pPr>
              <w:autoSpaceDE w:val="0"/>
              <w:autoSpaceDN w:val="0"/>
              <w:adjustRightInd w:val="0"/>
              <w:jc w:val="both"/>
              <w:rPr>
                <w:rFonts w:cs="Arial"/>
              </w:rPr>
            </w:pPr>
            <w:r w:rsidRPr="007F4312">
              <w:rPr>
                <w:rFonts w:cs="Arial"/>
              </w:rPr>
              <w:t>17.00 ± 11.93</w:t>
            </w:r>
          </w:p>
        </w:tc>
        <w:tc>
          <w:tcPr>
            <w:tcW w:w="1560" w:type="dxa"/>
            <w:tcBorders>
              <w:bottom w:val="single" w:sz="4" w:space="0" w:color="000000"/>
            </w:tcBorders>
          </w:tcPr>
          <w:p w14:paraId="4710C323" w14:textId="77777777" w:rsidR="007F4312" w:rsidRPr="007F4312" w:rsidRDefault="007F4312" w:rsidP="007F4312">
            <w:pPr>
              <w:autoSpaceDE w:val="0"/>
              <w:autoSpaceDN w:val="0"/>
              <w:adjustRightInd w:val="0"/>
              <w:jc w:val="both"/>
              <w:rPr>
                <w:rFonts w:cs="Arial"/>
              </w:rPr>
            </w:pPr>
            <w:r w:rsidRPr="007F4312">
              <w:rPr>
                <w:rFonts w:cs="Arial"/>
              </w:rPr>
              <w:t>29.66 ± 0.33</w:t>
            </w:r>
          </w:p>
          <w:p w14:paraId="691B025C" w14:textId="77777777" w:rsidR="007F4312" w:rsidRPr="007F4312" w:rsidRDefault="007F4312" w:rsidP="007F4312">
            <w:pPr>
              <w:autoSpaceDE w:val="0"/>
              <w:autoSpaceDN w:val="0"/>
              <w:adjustRightInd w:val="0"/>
              <w:jc w:val="both"/>
              <w:rPr>
                <w:rFonts w:cs="Arial"/>
              </w:rPr>
            </w:pPr>
          </w:p>
          <w:p w14:paraId="4C366BCC" w14:textId="77777777" w:rsidR="007F4312" w:rsidRPr="007F4312" w:rsidRDefault="007F4312" w:rsidP="007F4312">
            <w:pPr>
              <w:autoSpaceDE w:val="0"/>
              <w:autoSpaceDN w:val="0"/>
              <w:adjustRightInd w:val="0"/>
              <w:jc w:val="both"/>
              <w:rPr>
                <w:rFonts w:cs="Arial"/>
              </w:rPr>
            </w:pPr>
          </w:p>
          <w:p w14:paraId="5ED24BEC" w14:textId="77777777" w:rsidR="007F4312" w:rsidRPr="007F4312" w:rsidRDefault="007F4312" w:rsidP="007F4312">
            <w:pPr>
              <w:autoSpaceDE w:val="0"/>
              <w:autoSpaceDN w:val="0"/>
              <w:adjustRightInd w:val="0"/>
              <w:jc w:val="both"/>
              <w:rPr>
                <w:rFonts w:cs="Arial"/>
              </w:rPr>
            </w:pPr>
          </w:p>
          <w:p w14:paraId="44B77C45" w14:textId="77777777" w:rsidR="007F4312" w:rsidRPr="007F4312" w:rsidRDefault="007F4312" w:rsidP="007F4312">
            <w:pPr>
              <w:autoSpaceDE w:val="0"/>
              <w:autoSpaceDN w:val="0"/>
              <w:adjustRightInd w:val="0"/>
              <w:jc w:val="both"/>
              <w:rPr>
                <w:rFonts w:cs="Arial"/>
              </w:rPr>
            </w:pPr>
            <w:r w:rsidRPr="007F4312">
              <w:rPr>
                <w:rFonts w:cs="Arial"/>
              </w:rPr>
              <w:t>33.66 ± 0.88</w:t>
            </w:r>
          </w:p>
        </w:tc>
      </w:tr>
    </w:tbl>
    <w:p w14:paraId="4FFF9CFB" w14:textId="77777777" w:rsidR="007F4312" w:rsidRPr="007F4312" w:rsidRDefault="007F4312" w:rsidP="007F4312">
      <w:pPr>
        <w:autoSpaceDE w:val="0"/>
        <w:autoSpaceDN w:val="0"/>
        <w:adjustRightInd w:val="0"/>
        <w:jc w:val="both"/>
        <w:rPr>
          <w:rFonts w:cs="Arial"/>
          <w:i/>
          <w:iCs/>
          <w:vertAlign w:val="superscript"/>
        </w:rPr>
      </w:pPr>
      <w:r w:rsidRPr="007F4312">
        <w:rPr>
          <w:rFonts w:cs="Arial"/>
          <w:i/>
          <w:iCs/>
          <w:vertAlign w:val="superscript"/>
        </w:rPr>
        <w:t xml:space="preserve">Note-the zone of inhibition were measured by calculating the average of the triplicates, and the standard error of mean was obtained using Microsoft excel </w:t>
      </w:r>
    </w:p>
    <w:p w14:paraId="1C3633E2" w14:textId="77777777" w:rsidR="007F4312" w:rsidRPr="007F4312" w:rsidRDefault="007F4312" w:rsidP="007F4312">
      <w:pPr>
        <w:autoSpaceDE w:val="0"/>
        <w:autoSpaceDN w:val="0"/>
        <w:adjustRightInd w:val="0"/>
        <w:jc w:val="both"/>
        <w:rPr>
          <w:rFonts w:cs="Arial"/>
        </w:rPr>
      </w:pPr>
    </w:p>
    <w:p w14:paraId="667131C0" w14:textId="2AA3C598" w:rsidR="007F4312" w:rsidRDefault="007F4312" w:rsidP="007E556B">
      <w:pPr>
        <w:pStyle w:val="Heading2"/>
        <w:rPr>
          <w:i/>
        </w:rPr>
      </w:pPr>
      <w:r w:rsidRPr="007F4312">
        <w:t xml:space="preserve">3.2 Evaluation of the occurrence of </w:t>
      </w:r>
      <w:proofErr w:type="spellStart"/>
      <w:r w:rsidRPr="007F4312">
        <w:t>heteroresistivity</w:t>
      </w:r>
      <w:proofErr w:type="spellEnd"/>
      <w:r w:rsidRPr="007F4312">
        <w:t xml:space="preserve"> in</w:t>
      </w:r>
      <w:r w:rsidRPr="007F4312">
        <w:rPr>
          <w:i/>
        </w:rPr>
        <w:t xml:space="preserve"> Pseudomonas aeruginosa (ATCC 27853)</w:t>
      </w:r>
    </w:p>
    <w:p w14:paraId="1F8E8BFC" w14:textId="77777777" w:rsidR="007F4312" w:rsidRPr="007F4312" w:rsidRDefault="007F4312" w:rsidP="007F4312">
      <w:pPr>
        <w:autoSpaceDE w:val="0"/>
        <w:autoSpaceDN w:val="0"/>
        <w:adjustRightInd w:val="0"/>
        <w:jc w:val="both"/>
        <w:rPr>
          <w:rFonts w:cs="Arial"/>
          <w:b/>
        </w:rPr>
      </w:pPr>
    </w:p>
    <w:p w14:paraId="3A9D1857" w14:textId="77777777" w:rsidR="007F4312" w:rsidRPr="007F4312" w:rsidRDefault="007F4312" w:rsidP="007F4312">
      <w:pPr>
        <w:autoSpaceDE w:val="0"/>
        <w:autoSpaceDN w:val="0"/>
        <w:adjustRightInd w:val="0"/>
        <w:jc w:val="both"/>
        <w:rPr>
          <w:rFonts w:cs="Arial"/>
        </w:rPr>
      </w:pPr>
      <w:r w:rsidRPr="007F4312">
        <w:rPr>
          <w:rFonts w:cs="Arial"/>
          <w:i/>
          <w:iCs/>
        </w:rPr>
        <w:t xml:space="preserve">Pseudomonas aeruginosa </w:t>
      </w:r>
      <w:r w:rsidRPr="007F4312">
        <w:rPr>
          <w:rFonts w:cs="Arial"/>
        </w:rPr>
        <w:t xml:space="preserve">(ATCC 27853) showed </w:t>
      </w:r>
      <w:proofErr w:type="spellStart"/>
      <w:r w:rsidRPr="007F4312">
        <w:rPr>
          <w:rFonts w:cs="Arial"/>
        </w:rPr>
        <w:t>heteroresistance</w:t>
      </w:r>
      <w:proofErr w:type="spellEnd"/>
      <w:r w:rsidRPr="007F4312">
        <w:rPr>
          <w:rFonts w:cs="Arial"/>
        </w:rPr>
        <w:t xml:space="preserve"> for both ethanol and methanol extracts. The blood agar plates prepared to check for the purity of the cultures showed no contamination for pre and post inoculums. The continuation of </w:t>
      </w:r>
      <w:proofErr w:type="spellStart"/>
      <w:r w:rsidRPr="007F4312">
        <w:rPr>
          <w:rFonts w:cs="Arial"/>
        </w:rPr>
        <w:t>heteroresistance</w:t>
      </w:r>
      <w:proofErr w:type="spellEnd"/>
      <w:r w:rsidRPr="007F4312">
        <w:rPr>
          <w:rFonts w:cs="Arial"/>
        </w:rPr>
        <w:t xml:space="preserve"> was observed throughout the </w:t>
      </w:r>
      <w:proofErr w:type="gramStart"/>
      <w:r w:rsidRPr="007F4312">
        <w:rPr>
          <w:rFonts w:cs="Arial"/>
        </w:rPr>
        <w:t>three  consecutive</w:t>
      </w:r>
      <w:proofErr w:type="gramEnd"/>
      <w:r w:rsidRPr="007F4312">
        <w:rPr>
          <w:rFonts w:cs="Arial"/>
        </w:rPr>
        <w:t xml:space="preserve"> generations, assessed on the organisms picked from the lawn, outside the zone of inhibition. </w:t>
      </w:r>
      <w:proofErr w:type="gramStart"/>
      <w:r w:rsidRPr="007F4312">
        <w:rPr>
          <w:rFonts w:cs="Arial"/>
        </w:rPr>
        <w:t>While  the</w:t>
      </w:r>
      <w:proofErr w:type="gramEnd"/>
      <w:r w:rsidRPr="007F4312">
        <w:rPr>
          <w:rFonts w:cs="Arial"/>
        </w:rPr>
        <w:t xml:space="preserve"> organisms picked from  the zone of inhibition, showed complete resistance in all three generations. BD </w:t>
      </w:r>
      <w:proofErr w:type="gramStart"/>
      <w:r w:rsidRPr="007F4312">
        <w:rPr>
          <w:rFonts w:cs="Arial"/>
        </w:rPr>
        <w:t>Phoenix  100</w:t>
      </w:r>
      <w:proofErr w:type="gramEnd"/>
      <w:r w:rsidRPr="007F4312">
        <w:rPr>
          <w:rFonts w:cs="Arial"/>
        </w:rPr>
        <w:t xml:space="preserve"> system confirmed that the two organisms picked each from the lawn, outside the zone of inhibition and within the zone of inhibition were none other than </w:t>
      </w:r>
      <w:r w:rsidRPr="007F4312">
        <w:rPr>
          <w:rFonts w:cs="Arial"/>
          <w:i/>
          <w:iCs/>
        </w:rPr>
        <w:t xml:space="preserve">Pseudomonas aeruginosa </w:t>
      </w:r>
      <w:r w:rsidRPr="007F4312">
        <w:rPr>
          <w:rFonts w:cs="Arial"/>
        </w:rPr>
        <w:t>(ATCC 27853). The oxidase test was also performed on both the organisms in which they showed positivity for the test.</w:t>
      </w:r>
    </w:p>
    <w:p w14:paraId="37BB9A9F" w14:textId="77777777" w:rsidR="007F4312" w:rsidRPr="007F4312" w:rsidRDefault="007F4312" w:rsidP="007F4312">
      <w:pPr>
        <w:autoSpaceDE w:val="0"/>
        <w:autoSpaceDN w:val="0"/>
        <w:adjustRightInd w:val="0"/>
        <w:jc w:val="both"/>
        <w:rPr>
          <w:rFonts w:cs="Arial"/>
        </w:rPr>
      </w:pPr>
    </w:p>
    <w:p w14:paraId="33279782" w14:textId="77777777" w:rsidR="007F4312" w:rsidRDefault="007F4312" w:rsidP="0036119C">
      <w:pPr>
        <w:pStyle w:val="Heading2"/>
      </w:pPr>
      <w:bookmarkStart w:id="2" w:name="_Toc163424520"/>
      <w:r w:rsidRPr="007F4312">
        <w:lastRenderedPageBreak/>
        <w:t>3.3 Determination of the minimum inhibitory concentration (MIC)</w:t>
      </w:r>
      <w:bookmarkEnd w:id="2"/>
    </w:p>
    <w:p w14:paraId="10EC3696" w14:textId="77777777" w:rsidR="007F4312" w:rsidRPr="007F4312" w:rsidRDefault="007F4312" w:rsidP="007F4312">
      <w:pPr>
        <w:autoSpaceDE w:val="0"/>
        <w:autoSpaceDN w:val="0"/>
        <w:adjustRightInd w:val="0"/>
        <w:jc w:val="both"/>
        <w:rPr>
          <w:rFonts w:cs="Arial"/>
          <w:b/>
        </w:rPr>
      </w:pPr>
    </w:p>
    <w:p w14:paraId="50F6E298" w14:textId="77777777" w:rsidR="007F4312" w:rsidRPr="007F4312" w:rsidRDefault="007F4312" w:rsidP="007F4312">
      <w:pPr>
        <w:autoSpaceDE w:val="0"/>
        <w:autoSpaceDN w:val="0"/>
        <w:adjustRightInd w:val="0"/>
        <w:jc w:val="both"/>
        <w:rPr>
          <w:rFonts w:cs="Arial"/>
        </w:rPr>
      </w:pPr>
      <w:r w:rsidRPr="007F4312">
        <w:rPr>
          <w:rFonts w:cs="Arial"/>
        </w:rPr>
        <w:t xml:space="preserve">After 24 h of incubation under aerobic conditions at 37 °C, visual turbidity was noticed in the test tubes starting from 100 mg/ mL to 6.25 mg/ mL for ethanol extract and methanol extract of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indicating the growth of bacteria. However, </w:t>
      </w:r>
      <w:r w:rsidRPr="007F4312">
        <w:rPr>
          <w:rFonts w:cs="Arial"/>
          <w:i/>
          <w:iCs/>
        </w:rPr>
        <w:t xml:space="preserve">Pseudomonas aeruginosa </w:t>
      </w:r>
      <w:r w:rsidRPr="007F4312">
        <w:rPr>
          <w:rFonts w:cs="Arial"/>
        </w:rPr>
        <w:t xml:space="preserve">(ATCC 27853) had shown a slight reduction in turbidity at 100 mg/ mL and 50 mg/ mL in both the ethanol and methanol plant extracts obtained from Soxhlet extraction. MIC performed on the extract obtained from the maceration method showed no results even at the highest concentration of 800 mg/ </w:t>
      </w:r>
      <w:proofErr w:type="spellStart"/>
      <w:r w:rsidRPr="007F4312">
        <w:rPr>
          <w:rFonts w:cs="Arial"/>
        </w:rPr>
        <w:t>mL.</w:t>
      </w:r>
      <w:proofErr w:type="spellEnd"/>
    </w:p>
    <w:p w14:paraId="2A5FD3B6" w14:textId="77777777" w:rsidR="007F4312" w:rsidRPr="007F4312" w:rsidRDefault="007F4312" w:rsidP="007F4312">
      <w:pPr>
        <w:autoSpaceDE w:val="0"/>
        <w:autoSpaceDN w:val="0"/>
        <w:adjustRightInd w:val="0"/>
        <w:jc w:val="both"/>
        <w:rPr>
          <w:rFonts w:cs="Arial"/>
        </w:rPr>
      </w:pPr>
    </w:p>
    <w:p w14:paraId="3949B593" w14:textId="77777777" w:rsidR="00476D06" w:rsidRDefault="00476D06" w:rsidP="007F4312">
      <w:pPr>
        <w:autoSpaceDE w:val="0"/>
        <w:autoSpaceDN w:val="0"/>
        <w:adjustRightInd w:val="0"/>
        <w:jc w:val="both"/>
        <w:rPr>
          <w:rFonts w:cs="Arial"/>
          <w:b/>
        </w:rPr>
      </w:pPr>
    </w:p>
    <w:p w14:paraId="5BC794AE" w14:textId="77777777" w:rsidR="00476D06" w:rsidRDefault="00476D06" w:rsidP="007F4312">
      <w:pPr>
        <w:autoSpaceDE w:val="0"/>
        <w:autoSpaceDN w:val="0"/>
        <w:adjustRightInd w:val="0"/>
        <w:jc w:val="both"/>
        <w:rPr>
          <w:rFonts w:cs="Arial"/>
          <w:b/>
        </w:rPr>
      </w:pPr>
    </w:p>
    <w:p w14:paraId="129FAD9B" w14:textId="77777777" w:rsidR="007F4312" w:rsidRDefault="007F4312" w:rsidP="0036119C">
      <w:pPr>
        <w:pStyle w:val="Heading2"/>
      </w:pPr>
      <w:r w:rsidRPr="007F4312">
        <w:t xml:space="preserve">3.4 Phytochemical analysis of </w:t>
      </w:r>
      <w:proofErr w:type="spellStart"/>
      <w:r w:rsidRPr="007F4312">
        <w:rPr>
          <w:i/>
          <w:iCs/>
        </w:rPr>
        <w:t>Biophytum</w:t>
      </w:r>
      <w:proofErr w:type="spellEnd"/>
      <w:r w:rsidRPr="007F4312">
        <w:rPr>
          <w:i/>
          <w:iCs/>
        </w:rPr>
        <w:t xml:space="preserve"> </w:t>
      </w:r>
      <w:proofErr w:type="spellStart"/>
      <w:r w:rsidRPr="007F4312">
        <w:rPr>
          <w:i/>
          <w:iCs/>
        </w:rPr>
        <w:t>reinwardtii</w:t>
      </w:r>
      <w:proofErr w:type="spellEnd"/>
      <w:r w:rsidRPr="007F4312">
        <w:t xml:space="preserve"> </w:t>
      </w:r>
    </w:p>
    <w:p w14:paraId="12D3D759" w14:textId="77777777" w:rsidR="007F4312" w:rsidRPr="007F4312" w:rsidRDefault="007F4312" w:rsidP="007F4312">
      <w:pPr>
        <w:autoSpaceDE w:val="0"/>
        <w:autoSpaceDN w:val="0"/>
        <w:adjustRightInd w:val="0"/>
        <w:jc w:val="both"/>
        <w:rPr>
          <w:rFonts w:cs="Arial"/>
          <w:b/>
        </w:rPr>
      </w:pPr>
    </w:p>
    <w:p w14:paraId="10F5532F" w14:textId="3E5D80E2" w:rsidR="0000236C" w:rsidRPr="004F05D8" w:rsidRDefault="007F4312" w:rsidP="007F4312">
      <w:pPr>
        <w:autoSpaceDE w:val="0"/>
        <w:autoSpaceDN w:val="0"/>
        <w:adjustRightInd w:val="0"/>
        <w:jc w:val="both"/>
        <w:rPr>
          <w:rFonts w:cs="Arial"/>
        </w:rPr>
      </w:pPr>
      <w:r w:rsidRPr="007F4312">
        <w:rPr>
          <w:rFonts w:cs="Arial"/>
        </w:rPr>
        <w:t xml:space="preserve">The results for the qualitative analysis of phytochemicals in </w:t>
      </w:r>
      <w:proofErr w:type="spellStart"/>
      <w:r w:rsidRPr="007F4312">
        <w:rPr>
          <w:rFonts w:cs="Arial"/>
          <w:i/>
          <w:iCs/>
        </w:rPr>
        <w:t>Biophytum</w:t>
      </w:r>
      <w:proofErr w:type="spellEnd"/>
      <w:r w:rsidRPr="007F4312">
        <w:rPr>
          <w:rFonts w:cs="Arial"/>
          <w:i/>
          <w:iCs/>
        </w:rPr>
        <w:t xml:space="preserve"> </w:t>
      </w:r>
      <w:proofErr w:type="spellStart"/>
      <w:r w:rsidRPr="007F4312">
        <w:rPr>
          <w:rFonts w:cs="Arial"/>
          <w:i/>
          <w:iCs/>
        </w:rPr>
        <w:t>reinwardtii</w:t>
      </w:r>
      <w:proofErr w:type="spellEnd"/>
      <w:r w:rsidRPr="007F4312">
        <w:rPr>
          <w:rFonts w:cs="Arial"/>
        </w:rPr>
        <w:t xml:space="preserve"> showed the presence of flavonoid, glycoside, phenols, alkaloids and the absence of tannins.</w:t>
      </w:r>
    </w:p>
    <w:p w14:paraId="14E39DE9" w14:textId="77777777" w:rsidR="00535E1A" w:rsidRDefault="00535E1A" w:rsidP="007F4312">
      <w:pPr>
        <w:autoSpaceDE w:val="0"/>
        <w:autoSpaceDN w:val="0"/>
        <w:adjustRightInd w:val="0"/>
        <w:jc w:val="both"/>
        <w:rPr>
          <w:rFonts w:cs="Arial"/>
          <w:b/>
          <w:bCs/>
        </w:rPr>
      </w:pPr>
    </w:p>
    <w:p w14:paraId="2167A836" w14:textId="11235E41" w:rsidR="007F4312" w:rsidRDefault="007F4312" w:rsidP="007F4312">
      <w:pPr>
        <w:autoSpaceDE w:val="0"/>
        <w:autoSpaceDN w:val="0"/>
        <w:adjustRightInd w:val="0"/>
        <w:jc w:val="both"/>
        <w:rPr>
          <w:rFonts w:cs="Arial"/>
          <w:b/>
          <w:bCs/>
        </w:rPr>
      </w:pPr>
      <w:r w:rsidRPr="007F4312">
        <w:rPr>
          <w:rFonts w:cs="Arial"/>
          <w:b/>
          <w:bCs/>
        </w:rPr>
        <w:t xml:space="preserve">Table 3 Results of the qualitative phytochemical analysis </w:t>
      </w:r>
    </w:p>
    <w:p w14:paraId="20ACF32A" w14:textId="77777777" w:rsidR="007F4312" w:rsidRPr="007F4312" w:rsidRDefault="007F4312" w:rsidP="007F4312">
      <w:pPr>
        <w:autoSpaceDE w:val="0"/>
        <w:autoSpaceDN w:val="0"/>
        <w:adjustRightInd w:val="0"/>
        <w:jc w:val="both"/>
        <w:rPr>
          <w:rFonts w:cs="Arial"/>
          <w:b/>
          <w:bCs/>
        </w:rPr>
      </w:pPr>
    </w:p>
    <w:tbl>
      <w:tblPr>
        <w:tblW w:w="90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2126"/>
        <w:gridCol w:w="2615"/>
        <w:gridCol w:w="2294"/>
      </w:tblGrid>
      <w:tr w:rsidR="007F4312" w:rsidRPr="007F4312" w14:paraId="25A8DE2F" w14:textId="77777777" w:rsidTr="005F1BAC">
        <w:trPr>
          <w:jc w:val="center"/>
        </w:trPr>
        <w:tc>
          <w:tcPr>
            <w:tcW w:w="1985" w:type="dxa"/>
            <w:tcBorders>
              <w:bottom w:val="single" w:sz="4" w:space="0" w:color="auto"/>
            </w:tcBorders>
          </w:tcPr>
          <w:p w14:paraId="25F95A0B" w14:textId="77777777" w:rsidR="007F4312" w:rsidRPr="007F4312" w:rsidRDefault="007F4312" w:rsidP="007F4312">
            <w:pPr>
              <w:autoSpaceDE w:val="0"/>
              <w:autoSpaceDN w:val="0"/>
              <w:adjustRightInd w:val="0"/>
              <w:jc w:val="both"/>
              <w:rPr>
                <w:rFonts w:cs="Arial"/>
                <w:b/>
                <w:bCs/>
              </w:rPr>
            </w:pPr>
            <w:r w:rsidRPr="007F4312">
              <w:rPr>
                <w:rFonts w:cs="Arial"/>
                <w:b/>
              </w:rPr>
              <w:t>phytochemical</w:t>
            </w:r>
          </w:p>
        </w:tc>
        <w:tc>
          <w:tcPr>
            <w:tcW w:w="2126" w:type="dxa"/>
            <w:tcBorders>
              <w:bottom w:val="single" w:sz="4" w:space="0" w:color="auto"/>
            </w:tcBorders>
          </w:tcPr>
          <w:p w14:paraId="6A000BEB" w14:textId="77777777" w:rsidR="007F4312" w:rsidRPr="007F4312" w:rsidRDefault="007F4312" w:rsidP="007F4312">
            <w:pPr>
              <w:autoSpaceDE w:val="0"/>
              <w:autoSpaceDN w:val="0"/>
              <w:adjustRightInd w:val="0"/>
              <w:jc w:val="both"/>
              <w:rPr>
                <w:rFonts w:cs="Arial"/>
                <w:b/>
                <w:bCs/>
              </w:rPr>
            </w:pPr>
            <w:r w:rsidRPr="007F4312">
              <w:rPr>
                <w:rFonts w:cs="Arial"/>
                <w:b/>
                <w:bCs/>
              </w:rPr>
              <w:t>Method</w:t>
            </w:r>
          </w:p>
        </w:tc>
        <w:tc>
          <w:tcPr>
            <w:tcW w:w="2615" w:type="dxa"/>
            <w:tcBorders>
              <w:bottom w:val="single" w:sz="4" w:space="0" w:color="auto"/>
            </w:tcBorders>
          </w:tcPr>
          <w:p w14:paraId="1ED631DB" w14:textId="77777777" w:rsidR="007F4312" w:rsidRPr="007F4312" w:rsidRDefault="007F4312" w:rsidP="007F4312">
            <w:pPr>
              <w:autoSpaceDE w:val="0"/>
              <w:autoSpaceDN w:val="0"/>
              <w:adjustRightInd w:val="0"/>
              <w:jc w:val="both"/>
              <w:rPr>
                <w:rFonts w:cs="Arial"/>
                <w:b/>
                <w:bCs/>
              </w:rPr>
            </w:pPr>
            <w:r w:rsidRPr="007F4312">
              <w:rPr>
                <w:rFonts w:cs="Arial"/>
                <w:b/>
                <w:bCs/>
              </w:rPr>
              <w:t>Water extract</w:t>
            </w:r>
          </w:p>
        </w:tc>
        <w:tc>
          <w:tcPr>
            <w:tcW w:w="2294" w:type="dxa"/>
            <w:tcBorders>
              <w:bottom w:val="single" w:sz="4" w:space="0" w:color="auto"/>
            </w:tcBorders>
          </w:tcPr>
          <w:p w14:paraId="1A435F39" w14:textId="77777777" w:rsidR="007F4312" w:rsidRPr="007F4312" w:rsidRDefault="007F4312" w:rsidP="007F4312">
            <w:pPr>
              <w:autoSpaceDE w:val="0"/>
              <w:autoSpaceDN w:val="0"/>
              <w:adjustRightInd w:val="0"/>
              <w:jc w:val="both"/>
              <w:rPr>
                <w:rFonts w:cs="Arial"/>
                <w:b/>
                <w:bCs/>
              </w:rPr>
            </w:pPr>
            <w:r w:rsidRPr="007F4312">
              <w:rPr>
                <w:rFonts w:cs="Arial"/>
                <w:b/>
                <w:bCs/>
              </w:rPr>
              <w:t>Ethanol extract</w:t>
            </w:r>
          </w:p>
        </w:tc>
      </w:tr>
      <w:tr w:rsidR="007F4312" w:rsidRPr="007F4312" w14:paraId="57FE764F" w14:textId="77777777" w:rsidTr="005F1BAC">
        <w:trPr>
          <w:trHeight w:val="393"/>
          <w:jc w:val="center"/>
        </w:trPr>
        <w:tc>
          <w:tcPr>
            <w:tcW w:w="1985" w:type="dxa"/>
            <w:tcBorders>
              <w:bottom w:val="nil"/>
            </w:tcBorders>
          </w:tcPr>
          <w:p w14:paraId="5A6067B2" w14:textId="77777777" w:rsidR="007F4312" w:rsidRPr="007F4312" w:rsidRDefault="007F4312" w:rsidP="007F4312">
            <w:pPr>
              <w:autoSpaceDE w:val="0"/>
              <w:autoSpaceDN w:val="0"/>
              <w:adjustRightInd w:val="0"/>
              <w:jc w:val="both"/>
              <w:rPr>
                <w:rFonts w:cs="Arial"/>
              </w:rPr>
            </w:pPr>
            <w:r w:rsidRPr="007F4312">
              <w:rPr>
                <w:rFonts w:cs="Arial"/>
              </w:rPr>
              <w:t>Flavonoid</w:t>
            </w:r>
          </w:p>
        </w:tc>
        <w:tc>
          <w:tcPr>
            <w:tcW w:w="2126" w:type="dxa"/>
            <w:tcBorders>
              <w:bottom w:val="nil"/>
            </w:tcBorders>
          </w:tcPr>
          <w:p w14:paraId="3F770177" w14:textId="77777777" w:rsidR="007F4312" w:rsidRPr="007F4312" w:rsidRDefault="007F4312" w:rsidP="007F4312">
            <w:pPr>
              <w:autoSpaceDE w:val="0"/>
              <w:autoSpaceDN w:val="0"/>
              <w:adjustRightInd w:val="0"/>
              <w:jc w:val="both"/>
              <w:rPr>
                <w:rFonts w:cs="Arial"/>
              </w:rPr>
            </w:pPr>
            <w:r w:rsidRPr="007F4312">
              <w:rPr>
                <w:rFonts w:cs="Arial"/>
              </w:rPr>
              <w:t xml:space="preserve"> lead acetate test</w:t>
            </w:r>
          </w:p>
        </w:tc>
        <w:tc>
          <w:tcPr>
            <w:tcW w:w="2615" w:type="dxa"/>
            <w:tcBorders>
              <w:bottom w:val="nil"/>
            </w:tcBorders>
          </w:tcPr>
          <w:p w14:paraId="537FF7FD" w14:textId="77777777" w:rsidR="007F4312" w:rsidRPr="007F4312" w:rsidRDefault="007F4312" w:rsidP="007F4312">
            <w:pPr>
              <w:autoSpaceDE w:val="0"/>
              <w:autoSpaceDN w:val="0"/>
              <w:adjustRightInd w:val="0"/>
              <w:jc w:val="both"/>
              <w:rPr>
                <w:rFonts w:cs="Arial"/>
              </w:rPr>
            </w:pPr>
            <w:r w:rsidRPr="007F4312">
              <w:rPr>
                <w:rFonts w:cs="Arial"/>
              </w:rPr>
              <w:t>Present</w:t>
            </w:r>
          </w:p>
        </w:tc>
        <w:tc>
          <w:tcPr>
            <w:tcW w:w="2294" w:type="dxa"/>
            <w:tcBorders>
              <w:bottom w:val="nil"/>
            </w:tcBorders>
          </w:tcPr>
          <w:p w14:paraId="6F5982DE" w14:textId="77777777" w:rsidR="007F4312" w:rsidRPr="007F4312" w:rsidRDefault="007F4312" w:rsidP="007F4312">
            <w:pPr>
              <w:autoSpaceDE w:val="0"/>
              <w:autoSpaceDN w:val="0"/>
              <w:adjustRightInd w:val="0"/>
              <w:jc w:val="both"/>
              <w:rPr>
                <w:rFonts w:cs="Arial"/>
              </w:rPr>
            </w:pPr>
            <w:r w:rsidRPr="007F4312">
              <w:rPr>
                <w:rFonts w:cs="Arial"/>
              </w:rPr>
              <w:t>Present</w:t>
            </w:r>
          </w:p>
        </w:tc>
      </w:tr>
      <w:tr w:rsidR="007F4312" w:rsidRPr="007F4312" w14:paraId="146288DD" w14:textId="77777777" w:rsidTr="005F1BAC">
        <w:trPr>
          <w:trHeight w:val="437"/>
          <w:jc w:val="center"/>
        </w:trPr>
        <w:tc>
          <w:tcPr>
            <w:tcW w:w="1985" w:type="dxa"/>
            <w:tcBorders>
              <w:top w:val="nil"/>
              <w:bottom w:val="nil"/>
            </w:tcBorders>
          </w:tcPr>
          <w:p w14:paraId="580D91AF" w14:textId="77777777" w:rsidR="007F4312" w:rsidRPr="007F4312" w:rsidRDefault="007F4312" w:rsidP="007F4312">
            <w:pPr>
              <w:autoSpaceDE w:val="0"/>
              <w:autoSpaceDN w:val="0"/>
              <w:adjustRightInd w:val="0"/>
              <w:jc w:val="both"/>
              <w:rPr>
                <w:rFonts w:cs="Arial"/>
              </w:rPr>
            </w:pPr>
            <w:r w:rsidRPr="007F4312">
              <w:rPr>
                <w:rFonts w:cs="Arial"/>
              </w:rPr>
              <w:t xml:space="preserve">Glycoside </w:t>
            </w:r>
          </w:p>
        </w:tc>
        <w:tc>
          <w:tcPr>
            <w:tcW w:w="2126" w:type="dxa"/>
            <w:tcBorders>
              <w:top w:val="nil"/>
              <w:bottom w:val="nil"/>
            </w:tcBorders>
          </w:tcPr>
          <w:p w14:paraId="1B9AD060" w14:textId="77777777" w:rsidR="007F4312" w:rsidRPr="007F4312" w:rsidRDefault="007F4312" w:rsidP="007F4312">
            <w:pPr>
              <w:autoSpaceDE w:val="0"/>
              <w:autoSpaceDN w:val="0"/>
              <w:adjustRightInd w:val="0"/>
              <w:jc w:val="both"/>
              <w:rPr>
                <w:rFonts w:cs="Arial"/>
              </w:rPr>
            </w:pPr>
            <w:r w:rsidRPr="007F4312">
              <w:rPr>
                <w:rFonts w:cs="Arial"/>
              </w:rPr>
              <w:t>Bontrager’s test</w:t>
            </w:r>
          </w:p>
        </w:tc>
        <w:tc>
          <w:tcPr>
            <w:tcW w:w="2615" w:type="dxa"/>
            <w:tcBorders>
              <w:top w:val="nil"/>
              <w:bottom w:val="nil"/>
            </w:tcBorders>
          </w:tcPr>
          <w:p w14:paraId="1D38B8A3" w14:textId="77777777" w:rsidR="007F4312" w:rsidRPr="007F4312" w:rsidRDefault="007F4312" w:rsidP="007F4312">
            <w:pPr>
              <w:autoSpaceDE w:val="0"/>
              <w:autoSpaceDN w:val="0"/>
              <w:adjustRightInd w:val="0"/>
              <w:jc w:val="both"/>
              <w:rPr>
                <w:rFonts w:cs="Arial"/>
              </w:rPr>
            </w:pPr>
            <w:r w:rsidRPr="007F4312">
              <w:rPr>
                <w:rFonts w:cs="Arial"/>
              </w:rPr>
              <w:t>Present</w:t>
            </w:r>
          </w:p>
        </w:tc>
        <w:tc>
          <w:tcPr>
            <w:tcW w:w="2294" w:type="dxa"/>
            <w:tcBorders>
              <w:top w:val="nil"/>
              <w:bottom w:val="nil"/>
            </w:tcBorders>
          </w:tcPr>
          <w:p w14:paraId="240FFCD0" w14:textId="77777777" w:rsidR="007F4312" w:rsidRPr="007F4312" w:rsidRDefault="007F4312" w:rsidP="007F4312">
            <w:pPr>
              <w:autoSpaceDE w:val="0"/>
              <w:autoSpaceDN w:val="0"/>
              <w:adjustRightInd w:val="0"/>
              <w:jc w:val="both"/>
              <w:rPr>
                <w:rFonts w:cs="Arial"/>
              </w:rPr>
            </w:pPr>
            <w:r w:rsidRPr="007F4312">
              <w:rPr>
                <w:rFonts w:cs="Arial"/>
              </w:rPr>
              <w:t>Absent</w:t>
            </w:r>
          </w:p>
        </w:tc>
      </w:tr>
      <w:tr w:rsidR="007F4312" w:rsidRPr="007F4312" w14:paraId="5CDC77BC" w14:textId="77777777" w:rsidTr="005F1BAC">
        <w:trPr>
          <w:trHeight w:val="429"/>
          <w:jc w:val="center"/>
        </w:trPr>
        <w:tc>
          <w:tcPr>
            <w:tcW w:w="1985" w:type="dxa"/>
            <w:tcBorders>
              <w:top w:val="nil"/>
              <w:bottom w:val="nil"/>
            </w:tcBorders>
          </w:tcPr>
          <w:p w14:paraId="23293CD6" w14:textId="77777777" w:rsidR="007F4312" w:rsidRPr="007F4312" w:rsidRDefault="007F4312" w:rsidP="007F4312">
            <w:pPr>
              <w:autoSpaceDE w:val="0"/>
              <w:autoSpaceDN w:val="0"/>
              <w:adjustRightInd w:val="0"/>
              <w:jc w:val="both"/>
              <w:rPr>
                <w:rFonts w:cs="Arial"/>
              </w:rPr>
            </w:pPr>
            <w:r w:rsidRPr="007F4312">
              <w:rPr>
                <w:rFonts w:cs="Arial"/>
              </w:rPr>
              <w:t xml:space="preserve">Phenol </w:t>
            </w:r>
          </w:p>
        </w:tc>
        <w:tc>
          <w:tcPr>
            <w:tcW w:w="2126" w:type="dxa"/>
            <w:tcBorders>
              <w:top w:val="nil"/>
              <w:bottom w:val="nil"/>
            </w:tcBorders>
          </w:tcPr>
          <w:p w14:paraId="000F9A37" w14:textId="77777777" w:rsidR="007F4312" w:rsidRPr="007F4312" w:rsidRDefault="007F4312" w:rsidP="007F4312">
            <w:pPr>
              <w:autoSpaceDE w:val="0"/>
              <w:autoSpaceDN w:val="0"/>
              <w:adjustRightInd w:val="0"/>
              <w:jc w:val="both"/>
              <w:rPr>
                <w:rFonts w:cs="Arial"/>
              </w:rPr>
            </w:pPr>
            <w:r w:rsidRPr="007F4312">
              <w:rPr>
                <w:rFonts w:cs="Arial"/>
              </w:rPr>
              <w:t xml:space="preserve"> Fecl3 test</w:t>
            </w:r>
          </w:p>
        </w:tc>
        <w:tc>
          <w:tcPr>
            <w:tcW w:w="2615" w:type="dxa"/>
            <w:tcBorders>
              <w:top w:val="nil"/>
              <w:bottom w:val="nil"/>
            </w:tcBorders>
          </w:tcPr>
          <w:p w14:paraId="719BD37E" w14:textId="77777777" w:rsidR="007F4312" w:rsidRPr="007F4312" w:rsidRDefault="007F4312" w:rsidP="007F4312">
            <w:pPr>
              <w:autoSpaceDE w:val="0"/>
              <w:autoSpaceDN w:val="0"/>
              <w:adjustRightInd w:val="0"/>
              <w:jc w:val="both"/>
              <w:rPr>
                <w:rFonts w:cs="Arial"/>
              </w:rPr>
            </w:pPr>
            <w:r w:rsidRPr="007F4312">
              <w:rPr>
                <w:rFonts w:cs="Arial"/>
              </w:rPr>
              <w:t>Present</w:t>
            </w:r>
          </w:p>
        </w:tc>
        <w:tc>
          <w:tcPr>
            <w:tcW w:w="2294" w:type="dxa"/>
            <w:tcBorders>
              <w:top w:val="nil"/>
              <w:bottom w:val="nil"/>
            </w:tcBorders>
          </w:tcPr>
          <w:p w14:paraId="020D8CBA" w14:textId="77777777" w:rsidR="007F4312" w:rsidRPr="007F4312" w:rsidRDefault="007F4312" w:rsidP="007F4312">
            <w:pPr>
              <w:autoSpaceDE w:val="0"/>
              <w:autoSpaceDN w:val="0"/>
              <w:adjustRightInd w:val="0"/>
              <w:jc w:val="both"/>
              <w:rPr>
                <w:rFonts w:cs="Arial"/>
              </w:rPr>
            </w:pPr>
            <w:r w:rsidRPr="007F4312">
              <w:rPr>
                <w:rFonts w:cs="Arial"/>
              </w:rPr>
              <w:t>Present</w:t>
            </w:r>
          </w:p>
        </w:tc>
      </w:tr>
      <w:tr w:rsidR="007F4312" w:rsidRPr="007F4312" w14:paraId="7FFE12A8" w14:textId="77777777" w:rsidTr="005F1BAC">
        <w:trPr>
          <w:trHeight w:val="407"/>
          <w:jc w:val="center"/>
        </w:trPr>
        <w:tc>
          <w:tcPr>
            <w:tcW w:w="1985" w:type="dxa"/>
            <w:tcBorders>
              <w:top w:val="nil"/>
              <w:bottom w:val="nil"/>
            </w:tcBorders>
          </w:tcPr>
          <w:p w14:paraId="10EA6209" w14:textId="77777777" w:rsidR="007F4312" w:rsidRPr="007F4312" w:rsidRDefault="007F4312" w:rsidP="007F4312">
            <w:pPr>
              <w:autoSpaceDE w:val="0"/>
              <w:autoSpaceDN w:val="0"/>
              <w:adjustRightInd w:val="0"/>
              <w:jc w:val="both"/>
              <w:rPr>
                <w:rFonts w:cs="Arial"/>
              </w:rPr>
            </w:pPr>
            <w:r w:rsidRPr="007F4312">
              <w:rPr>
                <w:rFonts w:cs="Arial"/>
              </w:rPr>
              <w:t xml:space="preserve">Tannin </w:t>
            </w:r>
          </w:p>
        </w:tc>
        <w:tc>
          <w:tcPr>
            <w:tcW w:w="2126" w:type="dxa"/>
            <w:tcBorders>
              <w:top w:val="nil"/>
              <w:bottom w:val="nil"/>
            </w:tcBorders>
          </w:tcPr>
          <w:p w14:paraId="0ABFAB9F" w14:textId="77777777" w:rsidR="007F4312" w:rsidRPr="007F4312" w:rsidRDefault="007F4312" w:rsidP="007F4312">
            <w:pPr>
              <w:autoSpaceDE w:val="0"/>
              <w:autoSpaceDN w:val="0"/>
              <w:adjustRightInd w:val="0"/>
              <w:jc w:val="both"/>
              <w:rPr>
                <w:rFonts w:cs="Arial"/>
              </w:rPr>
            </w:pPr>
            <w:r w:rsidRPr="007F4312">
              <w:rPr>
                <w:rFonts w:cs="Arial"/>
              </w:rPr>
              <w:t>Gelatin test</w:t>
            </w:r>
          </w:p>
        </w:tc>
        <w:tc>
          <w:tcPr>
            <w:tcW w:w="2615" w:type="dxa"/>
            <w:tcBorders>
              <w:top w:val="nil"/>
              <w:bottom w:val="nil"/>
            </w:tcBorders>
          </w:tcPr>
          <w:p w14:paraId="762796A6" w14:textId="77777777" w:rsidR="007F4312" w:rsidRPr="007F4312" w:rsidRDefault="007F4312" w:rsidP="007F4312">
            <w:pPr>
              <w:autoSpaceDE w:val="0"/>
              <w:autoSpaceDN w:val="0"/>
              <w:adjustRightInd w:val="0"/>
              <w:jc w:val="both"/>
              <w:rPr>
                <w:rFonts w:cs="Arial"/>
              </w:rPr>
            </w:pPr>
            <w:r w:rsidRPr="007F4312">
              <w:rPr>
                <w:rFonts w:cs="Arial"/>
              </w:rPr>
              <w:t>Absent</w:t>
            </w:r>
          </w:p>
        </w:tc>
        <w:tc>
          <w:tcPr>
            <w:tcW w:w="2294" w:type="dxa"/>
            <w:tcBorders>
              <w:top w:val="nil"/>
              <w:bottom w:val="nil"/>
            </w:tcBorders>
          </w:tcPr>
          <w:p w14:paraId="67CB5EBB" w14:textId="77777777" w:rsidR="007F4312" w:rsidRPr="007F4312" w:rsidRDefault="007F4312" w:rsidP="007F4312">
            <w:pPr>
              <w:autoSpaceDE w:val="0"/>
              <w:autoSpaceDN w:val="0"/>
              <w:adjustRightInd w:val="0"/>
              <w:jc w:val="both"/>
              <w:rPr>
                <w:rFonts w:cs="Arial"/>
              </w:rPr>
            </w:pPr>
            <w:r w:rsidRPr="007F4312">
              <w:rPr>
                <w:rFonts w:cs="Arial"/>
              </w:rPr>
              <w:t>Absent</w:t>
            </w:r>
          </w:p>
        </w:tc>
      </w:tr>
      <w:tr w:rsidR="007F4312" w:rsidRPr="007F4312" w14:paraId="45A6499F" w14:textId="77777777" w:rsidTr="005F1BAC">
        <w:trPr>
          <w:jc w:val="center"/>
        </w:trPr>
        <w:tc>
          <w:tcPr>
            <w:tcW w:w="1985" w:type="dxa"/>
            <w:tcBorders>
              <w:top w:val="nil"/>
              <w:bottom w:val="single" w:sz="4" w:space="0" w:color="auto"/>
            </w:tcBorders>
          </w:tcPr>
          <w:p w14:paraId="511EB85B" w14:textId="77777777" w:rsidR="007F4312" w:rsidRPr="007F4312" w:rsidRDefault="007F4312" w:rsidP="007F4312">
            <w:pPr>
              <w:autoSpaceDE w:val="0"/>
              <w:autoSpaceDN w:val="0"/>
              <w:adjustRightInd w:val="0"/>
              <w:jc w:val="both"/>
              <w:rPr>
                <w:rFonts w:cs="Arial"/>
              </w:rPr>
            </w:pPr>
            <w:r w:rsidRPr="007F4312">
              <w:rPr>
                <w:rFonts w:cs="Arial"/>
              </w:rPr>
              <w:t xml:space="preserve">Alkaloid </w:t>
            </w:r>
          </w:p>
        </w:tc>
        <w:tc>
          <w:tcPr>
            <w:tcW w:w="2126" w:type="dxa"/>
            <w:tcBorders>
              <w:top w:val="nil"/>
              <w:bottom w:val="single" w:sz="4" w:space="0" w:color="auto"/>
            </w:tcBorders>
          </w:tcPr>
          <w:p w14:paraId="229368AE" w14:textId="77777777" w:rsidR="007F4312" w:rsidRPr="007F4312" w:rsidRDefault="007F4312" w:rsidP="007F4312">
            <w:pPr>
              <w:autoSpaceDE w:val="0"/>
              <w:autoSpaceDN w:val="0"/>
              <w:adjustRightInd w:val="0"/>
              <w:jc w:val="both"/>
              <w:rPr>
                <w:rFonts w:cs="Arial"/>
              </w:rPr>
            </w:pPr>
            <w:r w:rsidRPr="007F4312">
              <w:rPr>
                <w:rFonts w:cs="Arial"/>
              </w:rPr>
              <w:t>Wagner’s test</w:t>
            </w:r>
          </w:p>
        </w:tc>
        <w:tc>
          <w:tcPr>
            <w:tcW w:w="2615" w:type="dxa"/>
            <w:tcBorders>
              <w:top w:val="nil"/>
              <w:bottom w:val="single" w:sz="4" w:space="0" w:color="auto"/>
            </w:tcBorders>
          </w:tcPr>
          <w:p w14:paraId="0C23AB17" w14:textId="77777777" w:rsidR="007F4312" w:rsidRPr="007F4312" w:rsidRDefault="007F4312" w:rsidP="007F4312">
            <w:pPr>
              <w:autoSpaceDE w:val="0"/>
              <w:autoSpaceDN w:val="0"/>
              <w:adjustRightInd w:val="0"/>
              <w:jc w:val="both"/>
              <w:rPr>
                <w:rFonts w:cs="Arial"/>
              </w:rPr>
            </w:pPr>
            <w:r w:rsidRPr="007F4312">
              <w:rPr>
                <w:rFonts w:cs="Arial"/>
              </w:rPr>
              <w:t>Present</w:t>
            </w:r>
          </w:p>
        </w:tc>
        <w:tc>
          <w:tcPr>
            <w:tcW w:w="2294" w:type="dxa"/>
            <w:tcBorders>
              <w:top w:val="nil"/>
              <w:bottom w:val="single" w:sz="4" w:space="0" w:color="auto"/>
            </w:tcBorders>
          </w:tcPr>
          <w:p w14:paraId="4F673698" w14:textId="77777777" w:rsidR="007F4312" w:rsidRPr="007F4312" w:rsidRDefault="007F4312" w:rsidP="007F4312">
            <w:pPr>
              <w:autoSpaceDE w:val="0"/>
              <w:autoSpaceDN w:val="0"/>
              <w:adjustRightInd w:val="0"/>
              <w:jc w:val="both"/>
              <w:rPr>
                <w:rFonts w:cs="Arial"/>
              </w:rPr>
            </w:pPr>
            <w:r w:rsidRPr="007F4312">
              <w:rPr>
                <w:rFonts w:cs="Arial"/>
              </w:rPr>
              <w:t>Not done</w:t>
            </w:r>
          </w:p>
        </w:tc>
      </w:tr>
    </w:tbl>
    <w:p w14:paraId="176341E4" w14:textId="77777777" w:rsidR="00927834" w:rsidRDefault="007F4312" w:rsidP="00441B6F">
      <w:pPr>
        <w:autoSpaceDE w:val="0"/>
        <w:autoSpaceDN w:val="0"/>
        <w:adjustRightInd w:val="0"/>
        <w:jc w:val="both"/>
        <w:rPr>
          <w:rFonts w:cs="Arial"/>
          <w:b/>
          <w:bCs/>
          <w:sz w:val="22"/>
          <w:szCs w:val="22"/>
        </w:rPr>
      </w:pPr>
      <w:r w:rsidRPr="007F4312">
        <w:rPr>
          <w:rFonts w:cs="Arial"/>
          <w:i/>
          <w:iCs/>
          <w:vertAlign w:val="superscript"/>
        </w:rPr>
        <w:t xml:space="preserve">Note- the presence or absence for each extract tested for the phytochemicals were marked based on the observation </w:t>
      </w:r>
    </w:p>
    <w:p w14:paraId="55E3753C" w14:textId="77777777" w:rsidR="00C61339" w:rsidRDefault="00C61339" w:rsidP="00C61339">
      <w:pPr>
        <w:pStyle w:val="Body"/>
        <w:rPr>
          <w:rFonts w:cs="Arial"/>
          <w:b/>
          <w:bCs/>
          <w:sz w:val="21"/>
          <w:szCs w:val="21"/>
        </w:rPr>
      </w:pPr>
    </w:p>
    <w:p w14:paraId="12155B7C" w14:textId="77777777" w:rsidR="00C61339" w:rsidRPr="00C61339" w:rsidRDefault="00C61339" w:rsidP="00C61339">
      <w:pPr>
        <w:pStyle w:val="Heading1"/>
      </w:pPr>
      <w:r>
        <w:t xml:space="preserve">4. </w:t>
      </w:r>
      <w:r w:rsidRPr="00C61339">
        <w:t xml:space="preserve">Discussion </w:t>
      </w:r>
    </w:p>
    <w:p w14:paraId="586371F9" w14:textId="12DD1985" w:rsidR="00C61339" w:rsidRPr="00C61339" w:rsidRDefault="00C61339" w:rsidP="00C61339">
      <w:pPr>
        <w:pStyle w:val="Body"/>
        <w:rPr>
          <w:rFonts w:cs="Arial"/>
        </w:rPr>
      </w:pP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has been used in traditional medicine (Jayaweera, 1980</w:t>
      </w:r>
      <w:r w:rsidR="007A6144" w:rsidRPr="00C61339">
        <w:rPr>
          <w:rFonts w:cs="Arial"/>
        </w:rPr>
        <w:t>), but</w:t>
      </w:r>
      <w:r w:rsidRPr="00C61339">
        <w:rPr>
          <w:rFonts w:cs="Arial"/>
        </w:rPr>
        <w:t xml:space="preserve"> its antibacterial activity has not been scientifically validated. Even though the antibacterial properties of ethanol and methanol extracts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have not been previously explored, extensive studies on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a related species in the </w:t>
      </w:r>
      <w:proofErr w:type="spellStart"/>
      <w:r w:rsidRPr="00C61339">
        <w:rPr>
          <w:rFonts w:cs="Arial"/>
          <w:i/>
          <w:iCs/>
        </w:rPr>
        <w:t>Oxalidaceae</w:t>
      </w:r>
      <w:proofErr w:type="spellEnd"/>
      <w:r w:rsidRPr="00C61339">
        <w:rPr>
          <w:rFonts w:cs="Arial"/>
        </w:rPr>
        <w:t xml:space="preserve"> family, provided a basis for comparison with our findings.</w:t>
      </w:r>
    </w:p>
    <w:p w14:paraId="7A1833B2" w14:textId="7F595F1C" w:rsidR="00C61339" w:rsidRPr="00C61339" w:rsidRDefault="00C61339" w:rsidP="00C61339">
      <w:pPr>
        <w:pStyle w:val="Body"/>
        <w:rPr>
          <w:rFonts w:cs="Arial"/>
        </w:rPr>
      </w:pPr>
      <w:r w:rsidRPr="00C61339">
        <w:rPr>
          <w:rFonts w:cs="Arial"/>
        </w:rPr>
        <w:t xml:space="preserve">The evaluation of the antibacterial activity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using agar disc and well diffusion methods revealed that both methanol and ethanol extracts exhibited antibacterial activity against </w:t>
      </w:r>
      <w:r w:rsidRPr="00C61339">
        <w:rPr>
          <w:rFonts w:cs="Arial"/>
          <w:i/>
          <w:iCs/>
        </w:rPr>
        <w:t>Pseudomonas aeruginosa</w:t>
      </w:r>
      <w:r w:rsidRPr="00C61339">
        <w:rPr>
          <w:rFonts w:cs="Arial"/>
        </w:rPr>
        <w:t xml:space="preserve"> (ATCC 27853) at concentrations of 100 mg/mL and 50 mg/mL (Tables No 1 and </w:t>
      </w:r>
      <w:r w:rsidR="007A6144" w:rsidRPr="00C61339">
        <w:rPr>
          <w:rFonts w:cs="Arial"/>
        </w:rPr>
        <w:t>2)</w:t>
      </w:r>
      <w:r w:rsidRPr="00C61339">
        <w:rPr>
          <w:rFonts w:cs="Arial"/>
        </w:rPr>
        <w:t>. However, no activity was observed at lower concentrations (25 mg/mL and 12.5 mg/mL), indicating that effective inhibition occurs only at higher concentrations. In contrast, no antibacterial activity was noted for other tested ATCC strains and clinically isolated organisms at any concentration.</w:t>
      </w:r>
    </w:p>
    <w:p w14:paraId="0D84367E" w14:textId="6F50DC3B" w:rsidR="00C61339" w:rsidRDefault="00C61339" w:rsidP="00C61339">
      <w:pPr>
        <w:pStyle w:val="Body"/>
        <w:spacing w:after="0"/>
        <w:rPr>
          <w:rFonts w:cs="Arial"/>
        </w:rPr>
      </w:pPr>
      <w:r w:rsidRPr="00C61339">
        <w:rPr>
          <w:rFonts w:cs="Arial"/>
        </w:rPr>
        <w:t xml:space="preserve">Comparable studies on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demonstrated antibacterial activity with acetone, ethanol, and petroleum ether extracts against </w:t>
      </w:r>
      <w:r w:rsidRPr="00C61339">
        <w:rPr>
          <w:rFonts w:cs="Arial"/>
          <w:i/>
          <w:iCs/>
        </w:rPr>
        <w:t>Staphylococcus aureus</w:t>
      </w:r>
      <w:r w:rsidRPr="00C61339">
        <w:rPr>
          <w:rFonts w:cs="Arial"/>
        </w:rPr>
        <w:t xml:space="preserve"> and </w:t>
      </w:r>
      <w:r w:rsidRPr="00C61339">
        <w:rPr>
          <w:rFonts w:cs="Arial"/>
          <w:i/>
          <w:iCs/>
        </w:rPr>
        <w:t>Serratia marcescens</w:t>
      </w:r>
      <w:r w:rsidRPr="00C61339">
        <w:rPr>
          <w:rFonts w:cs="Arial"/>
        </w:rPr>
        <w:t xml:space="preserve"> (Thomas and Isaac, 2013). Additionally, sequential Soxhlet extraction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root extracts showed ethanol extraction to be effective against multiple organisms, including </w:t>
      </w:r>
      <w:r w:rsidRPr="00C61339">
        <w:rPr>
          <w:rFonts w:cs="Arial"/>
          <w:i/>
          <w:iCs/>
        </w:rPr>
        <w:t>Staphylococcus aureus, Pseudomonas aeruginosa, Proteus vulgaris, Salmonella typhi,</w:t>
      </w:r>
      <w:r w:rsidRPr="00C61339">
        <w:rPr>
          <w:rFonts w:cs="Arial"/>
        </w:rPr>
        <w:t xml:space="preserve"> and </w:t>
      </w:r>
      <w:r w:rsidRPr="00C61339">
        <w:rPr>
          <w:rFonts w:cs="Arial"/>
          <w:i/>
          <w:iCs/>
        </w:rPr>
        <w:t>Escherichia coli</w:t>
      </w:r>
      <w:r w:rsidRPr="00C61339">
        <w:rPr>
          <w:rFonts w:cs="Arial"/>
        </w:rPr>
        <w:t xml:space="preserve"> (Raj and Mary, 2017). In India, Natarajan </w:t>
      </w:r>
      <w:r w:rsidRPr="00C61339">
        <w:rPr>
          <w:rFonts w:cs="Arial"/>
          <w:i/>
          <w:iCs/>
        </w:rPr>
        <w:t>et al</w:t>
      </w:r>
      <w:r w:rsidRPr="00C61339">
        <w:rPr>
          <w:rFonts w:cs="Arial"/>
        </w:rPr>
        <w:t xml:space="preserve">., 2009 demonstrated that the leaf extracts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(methanol, chloroform, acetone, and petroleum ether) exhibited antimicrobial activity against several human pathogenic bacterial strains using the agar well diffusion method.</w:t>
      </w:r>
      <w:r w:rsidR="003A52B5" w:rsidRPr="003A52B5">
        <w:rPr>
          <w:rFonts w:cs="Arial"/>
        </w:rPr>
        <w:t xml:space="preserve"> </w:t>
      </w:r>
      <w:r w:rsidR="003A52B5" w:rsidRPr="00C61339">
        <w:rPr>
          <w:rFonts w:cs="Arial"/>
        </w:rPr>
        <w:t xml:space="preserve">These findings further support the potential of species within the </w:t>
      </w:r>
      <w:proofErr w:type="spellStart"/>
      <w:r w:rsidR="003A52B5" w:rsidRPr="00C61339">
        <w:rPr>
          <w:rFonts w:cs="Arial"/>
          <w:i/>
          <w:iCs/>
        </w:rPr>
        <w:t>Biophytum</w:t>
      </w:r>
      <w:proofErr w:type="spellEnd"/>
      <w:r w:rsidR="003A52B5" w:rsidRPr="00C61339">
        <w:rPr>
          <w:rFonts w:cs="Arial"/>
        </w:rPr>
        <w:t xml:space="preserve"> genus as a source of antibacterial agents.</w:t>
      </w:r>
      <w:r w:rsidRPr="00C61339">
        <w:rPr>
          <w:rFonts w:cs="Arial"/>
        </w:rPr>
        <w:t xml:space="preserve"> </w:t>
      </w:r>
    </w:p>
    <w:p w14:paraId="242B38F2" w14:textId="77777777" w:rsidR="00C61339" w:rsidRPr="00C61339" w:rsidRDefault="00C61339" w:rsidP="00C61339">
      <w:pPr>
        <w:pStyle w:val="Body"/>
        <w:spacing w:after="0"/>
        <w:rPr>
          <w:rFonts w:cs="Arial"/>
        </w:rPr>
      </w:pPr>
    </w:p>
    <w:p w14:paraId="29346618" w14:textId="77777777" w:rsidR="00C61339" w:rsidRDefault="00C61339" w:rsidP="00C61339">
      <w:pPr>
        <w:pStyle w:val="Body"/>
        <w:spacing w:after="0"/>
        <w:rPr>
          <w:rFonts w:cs="Arial"/>
        </w:rPr>
      </w:pPr>
      <w:r w:rsidRPr="00C61339">
        <w:rPr>
          <w:rFonts w:cs="Arial"/>
        </w:rPr>
        <w:t xml:space="preserve">In contrast, the Sri Lankan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in the present study demonstrated limited antimicrobial activity, which may be influenced by the type of solvent used for extraction and the geographical variation of phytoconstituents.</w:t>
      </w:r>
    </w:p>
    <w:p w14:paraId="5A3D79D0" w14:textId="77777777" w:rsidR="00C61339" w:rsidRPr="00C61339" w:rsidRDefault="00C61339" w:rsidP="00C61339">
      <w:pPr>
        <w:pStyle w:val="Body"/>
        <w:spacing w:after="0"/>
        <w:rPr>
          <w:rFonts w:cs="Arial"/>
        </w:rPr>
      </w:pPr>
    </w:p>
    <w:p w14:paraId="03770B44" w14:textId="77777777" w:rsidR="00C61339" w:rsidRDefault="00C61339" w:rsidP="00C61339">
      <w:pPr>
        <w:pStyle w:val="Body"/>
        <w:spacing w:after="0"/>
        <w:rPr>
          <w:rFonts w:cs="Arial"/>
        </w:rPr>
      </w:pPr>
      <w:r w:rsidRPr="00C61339">
        <w:rPr>
          <w:rFonts w:cs="Arial"/>
        </w:rPr>
        <w:t xml:space="preserve">According to a study conducted on the phytochemical analysis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it was discovered that this plant contains alkaloids, carbohydrates, tannins, glycosides, saponin, phytosterols and phenols (</w:t>
      </w:r>
      <w:proofErr w:type="spellStart"/>
      <w:r w:rsidRPr="00C61339">
        <w:rPr>
          <w:rFonts w:cs="Arial"/>
        </w:rPr>
        <w:t>Sreedevi</w:t>
      </w:r>
      <w:proofErr w:type="spellEnd"/>
      <w:r w:rsidRPr="00C61339">
        <w:rPr>
          <w:rFonts w:cs="Arial"/>
        </w:rPr>
        <w:t xml:space="preserve"> and </w:t>
      </w:r>
      <w:proofErr w:type="spellStart"/>
      <w:r w:rsidRPr="00C61339">
        <w:rPr>
          <w:rFonts w:cs="Arial"/>
        </w:rPr>
        <w:t>Retna</w:t>
      </w:r>
      <w:proofErr w:type="spellEnd"/>
      <w:r w:rsidRPr="00C61339">
        <w:rPr>
          <w:rFonts w:cs="Arial"/>
        </w:rPr>
        <w:t xml:space="preserve">, 2019). In the present study, similar phytochemicals were found. Phytochemical screening was carried out on both aqueous and ethanol extracts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i/>
          <w:iCs/>
        </w:rPr>
        <w:t xml:space="preserve"> </w:t>
      </w:r>
      <w:r w:rsidRPr="00C61339">
        <w:rPr>
          <w:rFonts w:cs="Arial"/>
        </w:rPr>
        <w:t xml:space="preserve">plant. Aqueous extract revealed the presence of flavonoids and phenols. While the ethanol extract revealed the presence of flavonoids, glycosides, phenols and alkaloids (Table no 3). These phytochemicals are known for their antibacterial properties. Alkaloids exhibit antimicrobial activity by interfering with DNA, </w:t>
      </w:r>
      <w:r w:rsidRPr="00C61339">
        <w:rPr>
          <w:rFonts w:cs="Arial"/>
        </w:rPr>
        <w:lastRenderedPageBreak/>
        <w:t xml:space="preserve">cell division, bacterial membranes, virulence genes, and enzyme inhibition (Al-Bayati and Al-Mola, 2008). Phenols act as enzyme inhibitors (Othman </w:t>
      </w:r>
      <w:r w:rsidRPr="00C61339">
        <w:rPr>
          <w:rFonts w:cs="Arial"/>
          <w:i/>
          <w:iCs/>
        </w:rPr>
        <w:t>et al</w:t>
      </w:r>
      <w:r w:rsidRPr="00C61339">
        <w:rPr>
          <w:rFonts w:cs="Arial"/>
        </w:rPr>
        <w:t xml:space="preserve">., 2019), while flavonoids inhibit DNA gyrase, disrupt membrane functions, and interfere with cellular metabolism (Barbieri </w:t>
      </w:r>
      <w:r w:rsidRPr="00C61339">
        <w:rPr>
          <w:rFonts w:cs="Arial"/>
          <w:i/>
          <w:iCs/>
        </w:rPr>
        <w:t>et al</w:t>
      </w:r>
      <w:r w:rsidRPr="00C61339">
        <w:rPr>
          <w:rFonts w:cs="Arial"/>
        </w:rPr>
        <w:t>., 2016).</w:t>
      </w:r>
    </w:p>
    <w:p w14:paraId="08F7D5FF" w14:textId="77777777" w:rsidR="00C61339" w:rsidRPr="00C61339" w:rsidRDefault="00C61339" w:rsidP="00C61339">
      <w:pPr>
        <w:pStyle w:val="Body"/>
        <w:spacing w:after="0"/>
        <w:rPr>
          <w:rFonts w:cs="Arial"/>
        </w:rPr>
      </w:pPr>
    </w:p>
    <w:p w14:paraId="26D94425" w14:textId="77777777" w:rsidR="00C61339" w:rsidRPr="00C61339" w:rsidRDefault="00C61339" w:rsidP="00C61339">
      <w:pPr>
        <w:pStyle w:val="Body"/>
        <w:spacing w:after="0"/>
        <w:rPr>
          <w:rFonts w:cs="Arial"/>
        </w:rPr>
      </w:pPr>
      <w:r w:rsidRPr="00C61339">
        <w:rPr>
          <w:rFonts w:cs="Arial"/>
        </w:rPr>
        <w:t xml:space="preserve">Therefore, it can be postulated that antibacterial activity of the plant </w:t>
      </w:r>
      <w:proofErr w:type="spellStart"/>
      <w:r w:rsidRPr="00C61339">
        <w:rPr>
          <w:rFonts w:cs="Arial"/>
          <w:i/>
          <w:iCs/>
        </w:rPr>
        <w:t>Biophytum</w:t>
      </w:r>
      <w:proofErr w:type="spellEnd"/>
      <w:r w:rsidRPr="00C61339">
        <w:rPr>
          <w:rFonts w:cs="Arial"/>
        </w:rPr>
        <w:t xml:space="preserve"> </w:t>
      </w:r>
      <w:proofErr w:type="spellStart"/>
      <w:r w:rsidRPr="00C61339">
        <w:rPr>
          <w:rFonts w:cs="Arial"/>
          <w:i/>
          <w:iCs/>
        </w:rPr>
        <w:t>reinwardtii</w:t>
      </w:r>
      <w:proofErr w:type="spellEnd"/>
      <w:r w:rsidRPr="00C61339">
        <w:rPr>
          <w:rFonts w:cs="Arial"/>
        </w:rPr>
        <w:t xml:space="preserve"> is due to the phytochemicals present in it. This is further supported by previous studies reporting the presence of terpenoids, steroids, tannins, flavonoids, and saponins in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extracted using 50% alcohol (Oraon and Sinha, 2012).</w:t>
      </w:r>
    </w:p>
    <w:p w14:paraId="7818153B" w14:textId="77777777" w:rsidR="00C61339" w:rsidRPr="00C61339" w:rsidRDefault="00C61339" w:rsidP="00C61339">
      <w:pPr>
        <w:pStyle w:val="Body"/>
        <w:rPr>
          <w:rFonts w:cs="Arial"/>
        </w:rPr>
      </w:pPr>
      <w:r w:rsidRPr="00C61339">
        <w:rPr>
          <w:rFonts w:cs="Arial"/>
        </w:rPr>
        <w:t xml:space="preserve">Previous studies on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in India utilized extraction processes lasting over 24 hours, whereas the current study on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was limited to three to four hours of Soxhlet extraction. The shorter extraction duration may have influenced the antibacterial activity, as extended extraction times generally result in higher yields and potentially greater antibacterial efficacy.</w:t>
      </w:r>
    </w:p>
    <w:p w14:paraId="4EF377D0" w14:textId="77777777" w:rsidR="00C61339" w:rsidRPr="00C61339" w:rsidRDefault="00C61339" w:rsidP="00C61339">
      <w:pPr>
        <w:pStyle w:val="Body"/>
        <w:rPr>
          <w:rFonts w:cs="Arial"/>
        </w:rPr>
      </w:pPr>
      <w:r w:rsidRPr="00C61339">
        <w:rPr>
          <w:rFonts w:cs="Arial"/>
        </w:rPr>
        <w:t xml:space="preserve">The minimum inhibitory concentration (MIC) results from the Macro broth dilution method in the present study showed no antibacterial activity for methanol and ethanol extracts of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rPr>
        <w:t xml:space="preserve"> against any bacterial strains at concentrations ranging from 100 mg/mL to 6.25 mg/mL, except for a slight color reduction at</w:t>
      </w:r>
      <w:r w:rsidRPr="00C61339">
        <w:rPr>
          <w:rFonts w:cs="Arial"/>
          <w:i/>
          <w:iCs/>
        </w:rPr>
        <w:t xml:space="preserve"> </w:t>
      </w:r>
      <w:r w:rsidRPr="00C61339">
        <w:rPr>
          <w:rFonts w:cs="Arial"/>
        </w:rPr>
        <w:t xml:space="preserve">concentrations of 100 mg/mL and 50 mg/mL for </w:t>
      </w:r>
      <w:r w:rsidRPr="00C61339">
        <w:rPr>
          <w:rFonts w:cs="Arial"/>
          <w:i/>
          <w:iCs/>
        </w:rPr>
        <w:t>Pseudomonas aeruginosa</w:t>
      </w:r>
      <w:r w:rsidRPr="00C61339">
        <w:rPr>
          <w:rFonts w:cs="Arial"/>
        </w:rPr>
        <w:t xml:space="preserve"> (ATCC 27853). In contrast, a similar study by Raj </w:t>
      </w:r>
      <w:r w:rsidRPr="00C61339">
        <w:rPr>
          <w:rFonts w:cs="Arial"/>
          <w:i/>
          <w:iCs/>
        </w:rPr>
        <w:t>et al</w:t>
      </w:r>
      <w:r w:rsidRPr="00C61339">
        <w:rPr>
          <w:rFonts w:cs="Arial"/>
        </w:rPr>
        <w:t xml:space="preserve">., 2013 on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sensitivum</w:t>
      </w:r>
      <w:proofErr w:type="spellEnd"/>
      <w:r w:rsidRPr="00C61339">
        <w:rPr>
          <w:rFonts w:cs="Arial"/>
        </w:rPr>
        <w:t xml:space="preserve"> reported MIC values for methanolic extracts ranging from 7.81 mg/L to 31.25 mg/L against </w:t>
      </w:r>
      <w:r w:rsidRPr="00C61339">
        <w:rPr>
          <w:rFonts w:cs="Arial"/>
          <w:i/>
          <w:iCs/>
        </w:rPr>
        <w:t>Streptococcus pyogene</w:t>
      </w:r>
      <w:r w:rsidRPr="00C61339">
        <w:rPr>
          <w:rFonts w:cs="Arial"/>
        </w:rPr>
        <w:t xml:space="preserve">s, </w:t>
      </w:r>
      <w:r w:rsidRPr="00C61339">
        <w:rPr>
          <w:rFonts w:cs="Arial"/>
          <w:i/>
          <w:iCs/>
        </w:rPr>
        <w:t>Staphylococcus aureus</w:t>
      </w:r>
      <w:r w:rsidRPr="00C61339">
        <w:rPr>
          <w:rFonts w:cs="Arial"/>
        </w:rPr>
        <w:t xml:space="preserve">, </w:t>
      </w:r>
      <w:r w:rsidRPr="00C61339">
        <w:rPr>
          <w:rFonts w:cs="Arial"/>
          <w:i/>
          <w:iCs/>
        </w:rPr>
        <w:t>Bacillus cereus</w:t>
      </w:r>
      <w:r w:rsidRPr="00C61339">
        <w:rPr>
          <w:rFonts w:cs="Arial"/>
        </w:rPr>
        <w:t xml:space="preserve">, and </w:t>
      </w:r>
      <w:r w:rsidRPr="00C61339">
        <w:rPr>
          <w:rFonts w:cs="Arial"/>
          <w:i/>
          <w:iCs/>
        </w:rPr>
        <w:t xml:space="preserve">Bacillus </w:t>
      </w:r>
      <w:proofErr w:type="spellStart"/>
      <w:r w:rsidRPr="00C61339">
        <w:rPr>
          <w:rFonts w:cs="Arial"/>
          <w:i/>
          <w:iCs/>
        </w:rPr>
        <w:t>coagulans</w:t>
      </w:r>
      <w:proofErr w:type="spellEnd"/>
      <w:r w:rsidRPr="00C61339">
        <w:rPr>
          <w:rFonts w:cs="Arial"/>
        </w:rPr>
        <w:t>. This discrepancy may reflect differences in extraction methods, phytochemical composition, or bacterial susceptibility.</w:t>
      </w:r>
    </w:p>
    <w:p w14:paraId="6D48384F" w14:textId="51E23FC7" w:rsidR="00C61339" w:rsidRPr="00C61339" w:rsidRDefault="00C61339" w:rsidP="00C61339">
      <w:pPr>
        <w:pStyle w:val="Body"/>
        <w:rPr>
          <w:rFonts w:cs="Arial"/>
        </w:rPr>
      </w:pPr>
      <w:r w:rsidRPr="00C61339">
        <w:rPr>
          <w:rFonts w:cs="Arial"/>
        </w:rPr>
        <w:t xml:space="preserve">Our study was also carried out utilizing the maceration technique with methanol solvent due to insufficient yield from Soxhlet extraction. Although maceration produced a higher yield, no antibacterial activity was observed even at higher concentrations, such as 800 mg/mL, in the macro broth dilution method. Despite soaking the plant material for seven days, the residue obtained was not effective, indicating that maceration is not a suitable extraction method for </w:t>
      </w:r>
      <w:proofErr w:type="spellStart"/>
      <w:r w:rsidRPr="00C61339">
        <w:rPr>
          <w:rFonts w:cs="Arial"/>
          <w:i/>
          <w:iCs/>
        </w:rPr>
        <w:t>Biophytum</w:t>
      </w:r>
      <w:proofErr w:type="spellEnd"/>
      <w:r w:rsidRPr="00C61339">
        <w:rPr>
          <w:rFonts w:cs="Arial"/>
          <w:i/>
          <w:iCs/>
        </w:rPr>
        <w:t xml:space="preserve"> </w:t>
      </w:r>
      <w:proofErr w:type="spellStart"/>
      <w:r w:rsidRPr="00C61339">
        <w:rPr>
          <w:rFonts w:cs="Arial"/>
          <w:i/>
          <w:iCs/>
        </w:rPr>
        <w:t>reinwardtii</w:t>
      </w:r>
      <w:proofErr w:type="spellEnd"/>
      <w:r w:rsidRPr="00C61339">
        <w:rPr>
          <w:rFonts w:cs="Arial"/>
          <w:i/>
          <w:iCs/>
        </w:rPr>
        <w:t>.</w:t>
      </w:r>
      <w:r w:rsidRPr="00C61339">
        <w:rPr>
          <w:rFonts w:cs="Arial"/>
        </w:rPr>
        <w:t xml:space="preserve"> </w:t>
      </w:r>
      <w:r w:rsidR="00012BB1" w:rsidRPr="000B7C79">
        <w:rPr>
          <w:rFonts w:cs="Arial"/>
        </w:rPr>
        <w:t>Therefore, conducting the extraction using the Soxhlet method for longer durations would be an ideal approach.</w:t>
      </w:r>
      <w:r w:rsidR="00012BB1">
        <w:rPr>
          <w:rFonts w:cs="Arial"/>
        </w:rPr>
        <w:t xml:space="preserve"> </w:t>
      </w:r>
      <w:r w:rsidRPr="000B7C79">
        <w:rPr>
          <w:rFonts w:cs="Arial"/>
        </w:rPr>
        <w:t xml:space="preserve">The observation of colonies within the inhibition zone for </w:t>
      </w:r>
      <w:r w:rsidRPr="000B7C79">
        <w:rPr>
          <w:rFonts w:cs="Arial"/>
          <w:i/>
          <w:iCs/>
        </w:rPr>
        <w:t>Pseudomonas aeruginosa</w:t>
      </w:r>
      <w:r w:rsidRPr="000B7C79">
        <w:rPr>
          <w:rFonts w:cs="Arial"/>
        </w:rPr>
        <w:t xml:space="preserve"> (ATCC 27853) at 100 mg/mL and 50 mg/mL </w:t>
      </w:r>
      <w:r w:rsidR="008A6AAC" w:rsidRPr="000B7C79">
        <w:rPr>
          <w:rFonts w:cs="Arial"/>
        </w:rPr>
        <w:t xml:space="preserve">suggested the occurrence of </w:t>
      </w:r>
      <w:proofErr w:type="spellStart"/>
      <w:r w:rsidRPr="000B7C79">
        <w:rPr>
          <w:rFonts w:cs="Arial"/>
        </w:rPr>
        <w:t>heteroresistance</w:t>
      </w:r>
      <w:proofErr w:type="spellEnd"/>
      <w:r w:rsidRPr="000B7C79">
        <w:rPr>
          <w:rFonts w:cs="Arial"/>
        </w:rPr>
        <w:t xml:space="preserve"> in this strain</w:t>
      </w:r>
      <w:r w:rsidRPr="0000236C">
        <w:rPr>
          <w:rFonts w:cs="Arial"/>
        </w:rPr>
        <w:t>.</w:t>
      </w:r>
      <w:r w:rsidRPr="00C61339">
        <w:rPr>
          <w:rFonts w:cs="Arial"/>
        </w:rPr>
        <w:t xml:space="preserve"> </w:t>
      </w:r>
      <w:proofErr w:type="spellStart"/>
      <w:r w:rsidRPr="00C61339">
        <w:rPr>
          <w:rFonts w:cs="Arial"/>
        </w:rPr>
        <w:t>Heteroresistance</w:t>
      </w:r>
      <w:proofErr w:type="spellEnd"/>
      <w:r w:rsidRPr="00C61339">
        <w:rPr>
          <w:rFonts w:cs="Arial"/>
        </w:rPr>
        <w:t xml:space="preserve"> is an intermediate phase where bacteria transition from susceptibility to complete resistance under unfavorable conditions, such as antibiotic pressure (Lin </w:t>
      </w:r>
      <w:r w:rsidRPr="00C61339">
        <w:rPr>
          <w:rFonts w:cs="Arial"/>
          <w:i/>
          <w:iCs/>
        </w:rPr>
        <w:t>et al</w:t>
      </w:r>
      <w:r w:rsidRPr="00C61339">
        <w:rPr>
          <w:rFonts w:cs="Arial"/>
        </w:rPr>
        <w:t xml:space="preserve">., 2019; Xu </w:t>
      </w:r>
      <w:r w:rsidRPr="00C61339">
        <w:rPr>
          <w:rFonts w:cs="Arial"/>
          <w:i/>
          <w:iCs/>
        </w:rPr>
        <w:t>et al</w:t>
      </w:r>
      <w:r w:rsidRPr="00C61339">
        <w:rPr>
          <w:rFonts w:cs="Arial"/>
        </w:rPr>
        <w:t>., 2019).</w:t>
      </w:r>
    </w:p>
    <w:p w14:paraId="06A50F10" w14:textId="45DFB835" w:rsidR="00C61339" w:rsidRPr="00C61339" w:rsidRDefault="00C61339" w:rsidP="00C61339">
      <w:pPr>
        <w:pStyle w:val="Body"/>
        <w:rPr>
          <w:rFonts w:cs="Arial"/>
        </w:rPr>
      </w:pPr>
      <w:r w:rsidRPr="00C61339">
        <w:rPr>
          <w:rFonts w:cs="Arial"/>
        </w:rPr>
        <w:t xml:space="preserve">To investigate </w:t>
      </w:r>
      <w:proofErr w:type="spellStart"/>
      <w:r w:rsidRPr="00C61339">
        <w:rPr>
          <w:rFonts w:cs="Arial"/>
        </w:rPr>
        <w:t>heteroresistance</w:t>
      </w:r>
      <w:proofErr w:type="spellEnd"/>
      <w:r w:rsidRPr="00C61339">
        <w:rPr>
          <w:rFonts w:cs="Arial"/>
        </w:rPr>
        <w:t xml:space="preserve"> progression, colonies from the inhibition zone and the lawn were isolated and analyzed using the disc diffusion method across three generations for reproducibility (Xu </w:t>
      </w:r>
      <w:r w:rsidRPr="00C61339">
        <w:rPr>
          <w:rFonts w:cs="Arial"/>
          <w:i/>
          <w:iCs/>
        </w:rPr>
        <w:t>et al</w:t>
      </w:r>
      <w:r w:rsidRPr="00C61339">
        <w:rPr>
          <w:rFonts w:cs="Arial"/>
        </w:rPr>
        <w:t xml:space="preserve">., 2019). Colonies from the lawn, outside the inhibition zone consistently reproduced </w:t>
      </w:r>
      <w:proofErr w:type="spellStart"/>
      <w:r w:rsidRPr="00C61339">
        <w:rPr>
          <w:rFonts w:cs="Arial"/>
        </w:rPr>
        <w:t>heteroresistance</w:t>
      </w:r>
      <w:proofErr w:type="spellEnd"/>
      <w:r w:rsidRPr="00C61339">
        <w:rPr>
          <w:rFonts w:cs="Arial"/>
        </w:rPr>
        <w:t xml:space="preserve">, while </w:t>
      </w:r>
      <w:r w:rsidR="008A6AAC" w:rsidRPr="00C61339">
        <w:rPr>
          <w:rFonts w:cs="Arial"/>
        </w:rPr>
        <w:t>colonies within</w:t>
      </w:r>
      <w:r w:rsidRPr="00C61339">
        <w:rPr>
          <w:rFonts w:cs="Arial"/>
        </w:rPr>
        <w:t xml:space="preserve"> the inhibition zone demonstrated persistent resistance, suggesting adaptation under antibiotic pressure. These isolates were identified to the species level using the BD PHOENIX 100 system.</w:t>
      </w:r>
    </w:p>
    <w:p w14:paraId="053F7CB5" w14:textId="77777777" w:rsidR="00E053D0" w:rsidRDefault="00C61339" w:rsidP="00C61339">
      <w:pPr>
        <w:pStyle w:val="Body"/>
        <w:rPr>
          <w:rFonts w:cs="Arial"/>
        </w:rPr>
      </w:pPr>
      <w:r w:rsidRPr="00C61339">
        <w:rPr>
          <w:rFonts w:cs="Arial"/>
        </w:rPr>
        <w:t xml:space="preserve">Although no definitive mechanism for </w:t>
      </w:r>
      <w:proofErr w:type="spellStart"/>
      <w:r w:rsidRPr="00C61339">
        <w:rPr>
          <w:rFonts w:cs="Arial"/>
        </w:rPr>
        <w:t>heteroresistance</w:t>
      </w:r>
      <w:proofErr w:type="spellEnd"/>
      <w:r w:rsidRPr="00C61339">
        <w:rPr>
          <w:rFonts w:cs="Arial"/>
        </w:rPr>
        <w:t xml:space="preserve"> in </w:t>
      </w:r>
      <w:r w:rsidRPr="00C61339">
        <w:rPr>
          <w:rFonts w:cs="Arial"/>
          <w:i/>
          <w:iCs/>
        </w:rPr>
        <w:t>Pseudomonas aeruginosa</w:t>
      </w:r>
      <w:r w:rsidRPr="00C61339">
        <w:rPr>
          <w:rFonts w:cs="Arial"/>
        </w:rPr>
        <w:t xml:space="preserve"> has been established, studies have implicated the downregulation of </w:t>
      </w:r>
      <w:proofErr w:type="spellStart"/>
      <w:r w:rsidRPr="00C61339">
        <w:rPr>
          <w:rFonts w:cs="Arial"/>
        </w:rPr>
        <w:t>oprD</w:t>
      </w:r>
      <w:proofErr w:type="spellEnd"/>
      <w:r w:rsidRPr="00C61339">
        <w:rPr>
          <w:rFonts w:cs="Arial"/>
        </w:rPr>
        <w:t xml:space="preserve"> (antibiotic binding site) and upregulation of efflux pump genes (</w:t>
      </w:r>
      <w:proofErr w:type="spellStart"/>
      <w:r w:rsidRPr="00C61339">
        <w:rPr>
          <w:rFonts w:cs="Arial"/>
        </w:rPr>
        <w:t>mexE</w:t>
      </w:r>
      <w:proofErr w:type="spellEnd"/>
      <w:r w:rsidRPr="00C61339">
        <w:rPr>
          <w:rFonts w:cs="Arial"/>
        </w:rPr>
        <w:t xml:space="preserve"> and </w:t>
      </w:r>
      <w:proofErr w:type="spellStart"/>
      <w:r w:rsidRPr="00C61339">
        <w:rPr>
          <w:rFonts w:cs="Arial"/>
        </w:rPr>
        <w:t>mexY</w:t>
      </w:r>
      <w:proofErr w:type="spellEnd"/>
      <w:r w:rsidRPr="00C61339">
        <w:rPr>
          <w:rFonts w:cs="Arial"/>
        </w:rPr>
        <w:t xml:space="preserve">) as potential contributors to imipenem </w:t>
      </w:r>
      <w:proofErr w:type="spellStart"/>
      <w:r w:rsidRPr="00C61339">
        <w:rPr>
          <w:rFonts w:cs="Arial"/>
        </w:rPr>
        <w:t>heteroresistance</w:t>
      </w:r>
      <w:proofErr w:type="spellEnd"/>
      <w:r w:rsidRPr="00C61339">
        <w:rPr>
          <w:rFonts w:cs="Arial"/>
        </w:rPr>
        <w:t xml:space="preserve"> (Xu </w:t>
      </w:r>
      <w:r w:rsidRPr="00C61339">
        <w:rPr>
          <w:rFonts w:cs="Arial"/>
          <w:i/>
          <w:iCs/>
        </w:rPr>
        <w:t>et al</w:t>
      </w:r>
      <w:r w:rsidRPr="00C61339">
        <w:rPr>
          <w:rFonts w:cs="Arial"/>
        </w:rPr>
        <w:t xml:space="preserve">., 2019). These studies utilized PCR, real-time PCR, biofilm assays, and population analysis profiles (PAP). Due to limited resources, further investigation into the </w:t>
      </w:r>
      <w:proofErr w:type="spellStart"/>
      <w:r w:rsidRPr="00C61339">
        <w:rPr>
          <w:rFonts w:cs="Arial"/>
        </w:rPr>
        <w:t>heteroresistance</w:t>
      </w:r>
      <w:proofErr w:type="spellEnd"/>
      <w:r w:rsidRPr="00C61339">
        <w:rPr>
          <w:rFonts w:cs="Arial"/>
        </w:rPr>
        <w:t xml:space="preserve"> mechanisms observed in this study could not be pursued.</w:t>
      </w:r>
    </w:p>
    <w:p w14:paraId="6F9FDF74" w14:textId="77777777" w:rsidR="00790ADA" w:rsidRPr="00FB3A86" w:rsidRDefault="00790ADA" w:rsidP="00441B6F">
      <w:pPr>
        <w:pStyle w:val="Body"/>
        <w:spacing w:after="0"/>
        <w:rPr>
          <w:rFonts w:cs="Arial"/>
        </w:rPr>
      </w:pPr>
    </w:p>
    <w:p w14:paraId="634C4BB7" w14:textId="4712EE46" w:rsidR="00B01FCD" w:rsidRDefault="0036119C" w:rsidP="0036119C">
      <w:pPr>
        <w:pStyle w:val="Heading1"/>
      </w:pPr>
      <w:r>
        <w:t xml:space="preserve">5. </w:t>
      </w:r>
      <w:r w:rsidRPr="00FB3A86">
        <w:t>CONCLUSION</w:t>
      </w:r>
    </w:p>
    <w:p w14:paraId="01019EF3" w14:textId="77777777" w:rsidR="00790ADA" w:rsidRPr="00FB3A86" w:rsidRDefault="00790ADA" w:rsidP="00441B6F">
      <w:pPr>
        <w:pStyle w:val="ConcHead"/>
        <w:spacing w:after="0"/>
        <w:jc w:val="both"/>
        <w:rPr>
          <w:rFonts w:cs="Arial"/>
        </w:rPr>
      </w:pPr>
    </w:p>
    <w:p w14:paraId="1D23C7A6" w14:textId="0BDE1364" w:rsidR="00D26FE8" w:rsidRDefault="00C61339" w:rsidP="00C61339">
      <w:pPr>
        <w:pStyle w:val="Body"/>
        <w:rPr>
          <w:rFonts w:cs="Arial"/>
          <w:i/>
          <w:iCs/>
        </w:rPr>
      </w:pPr>
      <w:r w:rsidRPr="00C61339">
        <w:rPr>
          <w:rFonts w:cs="Arial"/>
        </w:rPr>
        <w:t xml:space="preserve">This study </w:t>
      </w:r>
      <w:r w:rsidR="00D26FE8">
        <w:rPr>
          <w:rFonts w:cs="Arial"/>
        </w:rPr>
        <w:t>suggests</w:t>
      </w:r>
      <w:r w:rsidRPr="00C61339">
        <w:rPr>
          <w:rFonts w:cs="Arial"/>
        </w:rPr>
        <w:t xml:space="preserve"> </w:t>
      </w:r>
      <w:proofErr w:type="gramStart"/>
      <w:r w:rsidRPr="00C61339">
        <w:rPr>
          <w:rFonts w:cs="Arial"/>
        </w:rPr>
        <w:t>that</w:t>
      </w:r>
      <w:r w:rsidR="00D26FE8">
        <w:rPr>
          <w:rFonts w:cs="Arial"/>
        </w:rPr>
        <w:t xml:space="preserve"> </w:t>
      </w:r>
      <w:r w:rsidRPr="00C61339">
        <w:rPr>
          <w:rFonts w:cs="Arial"/>
        </w:rPr>
        <w:t xml:space="preserve"> </w:t>
      </w:r>
      <w:proofErr w:type="spellStart"/>
      <w:r w:rsidRPr="00C61339">
        <w:rPr>
          <w:rFonts w:cs="Arial"/>
          <w:i/>
          <w:iCs/>
        </w:rPr>
        <w:t>Biophytum</w:t>
      </w:r>
      <w:proofErr w:type="spellEnd"/>
      <w:proofErr w:type="gramEnd"/>
      <w:r w:rsidRPr="00C61339">
        <w:rPr>
          <w:rFonts w:cs="Arial"/>
          <w:i/>
          <w:iCs/>
        </w:rPr>
        <w:t xml:space="preserve"> </w:t>
      </w:r>
      <w:proofErr w:type="spellStart"/>
      <w:r w:rsidRPr="00C61339">
        <w:rPr>
          <w:rFonts w:cs="Arial"/>
          <w:i/>
          <w:iCs/>
        </w:rPr>
        <w:t>reinwardtii</w:t>
      </w:r>
      <w:proofErr w:type="spellEnd"/>
      <w:r w:rsidRPr="00C61339">
        <w:rPr>
          <w:rFonts w:cs="Arial"/>
          <w:i/>
          <w:iCs/>
        </w:rPr>
        <w:t xml:space="preserve"> </w:t>
      </w:r>
      <w:r w:rsidR="00D26FE8">
        <w:rPr>
          <w:rFonts w:cs="Arial"/>
          <w:i/>
          <w:iCs/>
        </w:rPr>
        <w:t xml:space="preserve"> </w:t>
      </w:r>
      <w:r w:rsidR="00D26FE8" w:rsidRPr="000B7C79">
        <w:rPr>
          <w:rFonts w:cs="Arial"/>
        </w:rPr>
        <w:t>possesses potential antibacterial activity against microbial pathogens.</w:t>
      </w:r>
      <w:r w:rsidR="00D26FE8">
        <w:rPr>
          <w:rFonts w:cs="Arial"/>
        </w:rPr>
        <w:t xml:space="preserve"> </w:t>
      </w:r>
      <w:r w:rsidR="00D26FE8" w:rsidRPr="00C61339">
        <w:rPr>
          <w:rFonts w:cs="Arial"/>
        </w:rPr>
        <w:t xml:space="preserve">The ATCC strain of </w:t>
      </w:r>
      <w:r w:rsidR="00D26FE8" w:rsidRPr="00C61339">
        <w:rPr>
          <w:rFonts w:cs="Arial"/>
          <w:i/>
          <w:iCs/>
        </w:rPr>
        <w:t xml:space="preserve">Pseudomonas aeruginosa </w:t>
      </w:r>
      <w:r w:rsidR="00D26FE8" w:rsidRPr="00C61339">
        <w:rPr>
          <w:rFonts w:cs="Arial"/>
        </w:rPr>
        <w:t>(ATCC 27853)</w:t>
      </w:r>
      <w:r w:rsidR="00D26FE8">
        <w:rPr>
          <w:rFonts w:cs="Arial"/>
        </w:rPr>
        <w:t xml:space="preserve"> exhibited susceptibility at concentrations of 100mg/mL and 50 mg/ML for both ethanol and methanol extracts. The observation of </w:t>
      </w:r>
      <w:proofErr w:type="spellStart"/>
      <w:r w:rsidR="00D26FE8">
        <w:rPr>
          <w:rFonts w:cs="Arial"/>
        </w:rPr>
        <w:t>heteroresistance</w:t>
      </w:r>
      <w:proofErr w:type="spellEnd"/>
      <w:r w:rsidR="00D26FE8">
        <w:rPr>
          <w:rFonts w:cs="Arial"/>
        </w:rPr>
        <w:t xml:space="preserve"> in </w:t>
      </w:r>
      <w:r w:rsidR="00D26FE8" w:rsidRPr="000B7C79">
        <w:rPr>
          <w:rFonts w:cs="Arial"/>
          <w:i/>
          <w:iCs/>
        </w:rPr>
        <w:t>Pseudomonas aeruginosa</w:t>
      </w:r>
      <w:r w:rsidR="00D26FE8">
        <w:rPr>
          <w:rFonts w:cs="Arial"/>
        </w:rPr>
        <w:t xml:space="preserve"> (ATCC 27853) highlights the need for further investigation to better understand this phenomenon and its possible contributing factors. </w:t>
      </w:r>
      <w:r w:rsidR="00D26FE8" w:rsidRPr="00D26FE8">
        <w:rPr>
          <w:rFonts w:cs="Arial"/>
        </w:rPr>
        <w:t>Phytochemical analysis of aqueous and ethanol extracts revealed the presence of flavonoids, glycosides, phenols, and alkaloids, which may be responsible for the antibacterial activity observed.</w:t>
      </w:r>
      <w:r w:rsidR="00AF3B46" w:rsidRPr="00AF3B46">
        <w:t xml:space="preserve"> </w:t>
      </w:r>
      <w:r w:rsidR="00AF3B46" w:rsidRPr="00AF3B46">
        <w:rPr>
          <w:rFonts w:cs="Arial"/>
        </w:rPr>
        <w:t xml:space="preserve">Additionally, optimizing extraction conditions and extending the duration of extraction in future studies may enhance the antibacterial potential of </w:t>
      </w:r>
      <w:proofErr w:type="spellStart"/>
      <w:r w:rsidR="00AF3B46" w:rsidRPr="000B7C79">
        <w:rPr>
          <w:rFonts w:cs="Arial"/>
          <w:i/>
          <w:iCs/>
        </w:rPr>
        <w:t>Biophytum</w:t>
      </w:r>
      <w:proofErr w:type="spellEnd"/>
      <w:r w:rsidR="00AF3B46" w:rsidRPr="000B7C79">
        <w:rPr>
          <w:rFonts w:cs="Arial"/>
          <w:i/>
          <w:iCs/>
        </w:rPr>
        <w:t xml:space="preserve"> </w:t>
      </w:r>
      <w:proofErr w:type="spellStart"/>
      <w:r w:rsidR="00AF3B46" w:rsidRPr="000B7C79">
        <w:rPr>
          <w:rFonts w:cs="Arial"/>
          <w:i/>
          <w:iCs/>
        </w:rPr>
        <w:t>reinwardtii</w:t>
      </w:r>
      <w:proofErr w:type="spellEnd"/>
      <w:r w:rsidR="00AF3B46" w:rsidRPr="00AF3B46">
        <w:rPr>
          <w:rFonts w:cs="Arial"/>
        </w:rPr>
        <w:t xml:space="preserve"> and provide deeper insights into its bioactive properties.</w:t>
      </w:r>
    </w:p>
    <w:p w14:paraId="363B803B" w14:textId="5AFA7680" w:rsidR="00790ADA" w:rsidRPr="00FB3A86" w:rsidRDefault="00790ADA" w:rsidP="00C61339">
      <w:pPr>
        <w:pStyle w:val="Body"/>
        <w:rPr>
          <w:rFonts w:cs="Arial"/>
        </w:rPr>
      </w:pPr>
    </w:p>
    <w:p w14:paraId="1C54F718" w14:textId="1D71979A" w:rsidR="005C784C" w:rsidRDefault="0036119C" w:rsidP="0036119C">
      <w:pPr>
        <w:pStyle w:val="Heading1"/>
      </w:pPr>
      <w:r>
        <w:lastRenderedPageBreak/>
        <w:t xml:space="preserve">ETHICAL APPROVAL </w:t>
      </w:r>
    </w:p>
    <w:p w14:paraId="02981DE7" w14:textId="69F67CDF" w:rsidR="00476D06" w:rsidRDefault="000C07EA" w:rsidP="000C07EA">
      <w:pPr>
        <w:jc w:val="both"/>
      </w:pPr>
      <w:r>
        <w:t>The ethical approval for obtaining the clinical isolates of test microorganisms was obtained from the Ethics Review Committee of National Hospital of Sri Lanka. (REF: AAJ/ETH/COM/2023/AUG)</w:t>
      </w:r>
    </w:p>
    <w:p w14:paraId="20BFD3A7" w14:textId="77777777" w:rsidR="00476D06" w:rsidRDefault="00476D06" w:rsidP="00441B6F">
      <w:pPr>
        <w:pStyle w:val="ReferHead"/>
        <w:spacing w:after="0"/>
        <w:jc w:val="both"/>
        <w:rPr>
          <w:rFonts w:cs="Arial"/>
        </w:rPr>
      </w:pPr>
    </w:p>
    <w:p w14:paraId="7A277200" w14:textId="2D7C8D81" w:rsidR="00B01FCD" w:rsidRDefault="0036119C" w:rsidP="0036119C">
      <w:pPr>
        <w:pStyle w:val="Heading1"/>
      </w:pPr>
      <w:r w:rsidRPr="00FB3A86">
        <w:t>REFERENCES</w:t>
      </w:r>
    </w:p>
    <w:p w14:paraId="564D7404" w14:textId="77777777" w:rsidR="00790ADA" w:rsidRPr="00FB3A86" w:rsidRDefault="00790ADA" w:rsidP="00441B6F">
      <w:pPr>
        <w:pStyle w:val="ReferHead"/>
        <w:spacing w:after="0"/>
        <w:jc w:val="both"/>
        <w:rPr>
          <w:rFonts w:cs="Arial"/>
        </w:rPr>
      </w:pPr>
    </w:p>
    <w:p w14:paraId="3B1AB7B9" w14:textId="297C29EC" w:rsidR="00F142C9" w:rsidRPr="00B16687" w:rsidRDefault="00B16687" w:rsidP="00B16687">
      <w:pPr>
        <w:pStyle w:val="ListParagraph"/>
        <w:numPr>
          <w:ilvl w:val="0"/>
          <w:numId w:val="33"/>
        </w:numPr>
        <w:jc w:val="both"/>
        <w:rPr>
          <w:rFonts w:cs="Arial"/>
          <w:color w:val="000000" w:themeColor="text1"/>
          <w:shd w:val="clear" w:color="auto" w:fill="FFFFFF"/>
          <w:lang w:bidi="si-LK"/>
        </w:rPr>
      </w:pPr>
      <w:r w:rsidRPr="00B16687">
        <w:rPr>
          <w:rFonts w:cs="Arial"/>
          <w:color w:val="000000" w:themeColor="text1"/>
          <w:shd w:val="clear" w:color="auto" w:fill="FFFFFF"/>
          <w:lang w:bidi="si-LK"/>
        </w:rPr>
        <w:t>Munita, Jose</w:t>
      </w:r>
      <w:r>
        <w:rPr>
          <w:rFonts w:cs="Arial"/>
          <w:color w:val="000000" w:themeColor="text1"/>
          <w:shd w:val="clear" w:color="auto" w:fill="FFFFFF"/>
          <w:lang w:bidi="si-LK"/>
        </w:rPr>
        <w:t>,</w:t>
      </w:r>
      <w:r w:rsidRPr="00B16687">
        <w:rPr>
          <w:rFonts w:cs="Arial"/>
          <w:color w:val="000000" w:themeColor="text1"/>
          <w:shd w:val="clear" w:color="auto" w:fill="FFFFFF"/>
          <w:lang w:bidi="si-LK"/>
        </w:rPr>
        <w:t xml:space="preserve"> M and </w:t>
      </w:r>
      <w:r>
        <w:rPr>
          <w:rFonts w:cs="Arial"/>
          <w:color w:val="000000" w:themeColor="text1"/>
          <w:shd w:val="clear" w:color="auto" w:fill="FFFFFF"/>
          <w:lang w:bidi="si-LK"/>
        </w:rPr>
        <w:t>Arias, C A</w:t>
      </w:r>
      <w:r w:rsidRPr="00B16687">
        <w:rPr>
          <w:rFonts w:cs="Arial"/>
          <w:color w:val="000000" w:themeColor="text1"/>
          <w:shd w:val="clear" w:color="auto" w:fill="FFFFFF"/>
          <w:lang w:bidi="si-LK"/>
        </w:rPr>
        <w:t xml:space="preserve"> "Mechanisms of antibiotic resistance." </w:t>
      </w:r>
      <w:r w:rsidRPr="00B16687">
        <w:rPr>
          <w:rFonts w:cs="Arial"/>
          <w:i/>
          <w:iCs/>
          <w:color w:val="000000" w:themeColor="text1"/>
          <w:shd w:val="clear" w:color="auto" w:fill="FFFFFF"/>
          <w:lang w:bidi="si-LK"/>
        </w:rPr>
        <w:t>Virulence mechanisms of bacterial pathogens</w:t>
      </w:r>
      <w:r w:rsidRPr="00B16687">
        <w:rPr>
          <w:rFonts w:cs="Arial"/>
          <w:color w:val="000000" w:themeColor="text1"/>
          <w:shd w:val="clear" w:color="auto" w:fill="FFFFFF"/>
          <w:lang w:bidi="si-LK"/>
        </w:rPr>
        <w:t> (2016): 481-511.</w:t>
      </w:r>
    </w:p>
    <w:p w14:paraId="6EDF431E" w14:textId="77777777" w:rsidR="00823414" w:rsidRPr="00F142C9" w:rsidRDefault="00823414" w:rsidP="00F142C9">
      <w:pPr>
        <w:pStyle w:val="ListParagraph"/>
        <w:jc w:val="both"/>
        <w:rPr>
          <w:rFonts w:cs="Arial"/>
          <w:color w:val="000000" w:themeColor="text1"/>
          <w:sz w:val="24"/>
          <w:szCs w:val="24"/>
          <w:lang w:bidi="si-LK"/>
        </w:rPr>
      </w:pPr>
    </w:p>
    <w:p w14:paraId="061ECD1D" w14:textId="77777777" w:rsidR="00B41408" w:rsidRPr="00F142C9" w:rsidRDefault="00B41408" w:rsidP="00F142C9">
      <w:pPr>
        <w:pStyle w:val="Body"/>
        <w:numPr>
          <w:ilvl w:val="0"/>
          <w:numId w:val="33"/>
        </w:numPr>
        <w:spacing w:after="0"/>
        <w:rPr>
          <w:rFonts w:cs="Arial"/>
          <w:color w:val="000000" w:themeColor="text1"/>
        </w:rPr>
      </w:pPr>
      <w:r w:rsidRPr="00F142C9">
        <w:rPr>
          <w:rFonts w:cs="Arial"/>
          <w:color w:val="000000" w:themeColor="text1"/>
        </w:rPr>
        <w:t xml:space="preserve">Mary, L and Raj, T (2017): Antibacterial activity of root extract of </w:t>
      </w:r>
      <w:proofErr w:type="spellStart"/>
      <w:r w:rsidRPr="00F142C9">
        <w:rPr>
          <w:rFonts w:cs="Arial"/>
          <w:color w:val="000000" w:themeColor="text1"/>
        </w:rPr>
        <w:t>Biophytum</w:t>
      </w:r>
      <w:proofErr w:type="spellEnd"/>
      <w:r w:rsidRPr="00F142C9">
        <w:rPr>
          <w:rFonts w:cs="Arial"/>
          <w:color w:val="000000" w:themeColor="text1"/>
        </w:rPr>
        <w:t xml:space="preserve"> </w:t>
      </w:r>
      <w:proofErr w:type="spellStart"/>
      <w:r w:rsidRPr="00F142C9">
        <w:rPr>
          <w:rFonts w:cs="Arial"/>
          <w:color w:val="000000" w:themeColor="text1"/>
        </w:rPr>
        <w:t>sensitivum</w:t>
      </w:r>
      <w:proofErr w:type="spellEnd"/>
      <w:r w:rsidRPr="00F142C9">
        <w:rPr>
          <w:rFonts w:cs="Arial"/>
          <w:color w:val="000000" w:themeColor="text1"/>
        </w:rPr>
        <w:t xml:space="preserve"> (L.) DC, </w:t>
      </w:r>
      <w:r w:rsidRPr="00F142C9">
        <w:rPr>
          <w:rFonts w:cs="Arial"/>
          <w:i/>
          <w:iCs/>
          <w:color w:val="000000" w:themeColor="text1"/>
        </w:rPr>
        <w:t>International Journal of Biology Research</w:t>
      </w:r>
      <w:r w:rsidRPr="00F142C9">
        <w:rPr>
          <w:rFonts w:cs="Arial"/>
          <w:color w:val="000000" w:themeColor="text1"/>
        </w:rPr>
        <w:t> 2 (3), pp 16-19.</w:t>
      </w:r>
    </w:p>
    <w:p w14:paraId="66AF84B6" w14:textId="77777777" w:rsidR="00823414" w:rsidRPr="00F142C9" w:rsidRDefault="00823414" w:rsidP="00F142C9">
      <w:pPr>
        <w:pStyle w:val="Body"/>
        <w:spacing w:after="0"/>
        <w:ind w:left="720"/>
        <w:rPr>
          <w:rFonts w:cs="Arial"/>
          <w:color w:val="000000" w:themeColor="text1"/>
        </w:rPr>
      </w:pPr>
    </w:p>
    <w:p w14:paraId="76831647" w14:textId="77777777" w:rsidR="00B41408" w:rsidRPr="00F142C9" w:rsidRDefault="00B41408" w:rsidP="00F142C9">
      <w:pPr>
        <w:pStyle w:val="Body"/>
        <w:numPr>
          <w:ilvl w:val="0"/>
          <w:numId w:val="33"/>
        </w:numPr>
        <w:spacing w:after="0"/>
        <w:rPr>
          <w:rFonts w:cs="Arial"/>
          <w:color w:val="000000" w:themeColor="text1"/>
        </w:rPr>
      </w:pPr>
      <w:r w:rsidRPr="00F142C9">
        <w:rPr>
          <w:rFonts w:cs="Arial"/>
          <w:color w:val="000000" w:themeColor="text1"/>
        </w:rPr>
        <w:t>Sam, S (2019): Importance and effectiveness of herbal medicines, </w:t>
      </w:r>
      <w:r w:rsidRPr="00F142C9">
        <w:rPr>
          <w:rFonts w:cs="Arial"/>
          <w:i/>
          <w:iCs/>
          <w:color w:val="000000" w:themeColor="text1"/>
        </w:rPr>
        <w:t>Journal of pharmacognosy and phytochemistry</w:t>
      </w:r>
      <w:r w:rsidRPr="00F142C9">
        <w:rPr>
          <w:rFonts w:cs="Arial"/>
          <w:color w:val="000000" w:themeColor="text1"/>
        </w:rPr>
        <w:t> 8</w:t>
      </w:r>
      <w:r w:rsidRPr="00F142C9">
        <w:rPr>
          <w:rFonts w:cs="Arial"/>
          <w:i/>
          <w:iCs/>
          <w:color w:val="000000" w:themeColor="text1"/>
        </w:rPr>
        <w:t xml:space="preserve"> </w:t>
      </w:r>
      <w:r w:rsidRPr="00F142C9">
        <w:rPr>
          <w:rFonts w:cs="Arial"/>
          <w:color w:val="000000" w:themeColor="text1"/>
        </w:rPr>
        <w:t>(2), pp 354-357.</w:t>
      </w:r>
    </w:p>
    <w:p w14:paraId="1DFA8BAB" w14:textId="77777777" w:rsidR="00823414" w:rsidRPr="00F142C9" w:rsidRDefault="00823414" w:rsidP="00F142C9">
      <w:pPr>
        <w:pStyle w:val="Body"/>
        <w:spacing w:after="0"/>
        <w:rPr>
          <w:rFonts w:cs="Arial"/>
          <w:color w:val="000000" w:themeColor="text1"/>
        </w:rPr>
      </w:pPr>
    </w:p>
    <w:p w14:paraId="2FCCEBED" w14:textId="77777777" w:rsidR="00B41408" w:rsidRPr="00F142C9" w:rsidRDefault="00B41408" w:rsidP="00F142C9">
      <w:pPr>
        <w:pStyle w:val="Body"/>
        <w:numPr>
          <w:ilvl w:val="0"/>
          <w:numId w:val="33"/>
        </w:numPr>
        <w:spacing w:after="0"/>
        <w:rPr>
          <w:rFonts w:cs="Arial"/>
          <w:color w:val="000000" w:themeColor="text1"/>
        </w:rPr>
      </w:pPr>
      <w:r w:rsidRPr="00F142C9">
        <w:rPr>
          <w:rFonts w:cs="Arial"/>
          <w:color w:val="000000" w:themeColor="text1"/>
        </w:rPr>
        <w:t>Marrelli, M (2021): Medicinal plants, </w:t>
      </w:r>
      <w:r w:rsidRPr="00F142C9">
        <w:rPr>
          <w:rFonts w:cs="Arial"/>
          <w:i/>
          <w:iCs/>
          <w:color w:val="000000" w:themeColor="text1"/>
        </w:rPr>
        <w:t>Plants</w:t>
      </w:r>
      <w:r w:rsidRPr="00F142C9">
        <w:rPr>
          <w:rFonts w:cs="Arial"/>
          <w:color w:val="000000" w:themeColor="text1"/>
        </w:rPr>
        <w:t> </w:t>
      </w:r>
      <w:r w:rsidRPr="00F142C9">
        <w:rPr>
          <w:rFonts w:cs="Arial"/>
          <w:i/>
          <w:iCs/>
          <w:color w:val="000000" w:themeColor="text1"/>
        </w:rPr>
        <w:t xml:space="preserve">10 </w:t>
      </w:r>
      <w:r w:rsidRPr="00F142C9">
        <w:rPr>
          <w:rFonts w:cs="Arial"/>
          <w:color w:val="000000" w:themeColor="text1"/>
        </w:rPr>
        <w:t>(7</w:t>
      </w:r>
      <w:proofErr w:type="gramStart"/>
      <w:r w:rsidRPr="00F142C9">
        <w:rPr>
          <w:rFonts w:cs="Arial"/>
          <w:color w:val="000000" w:themeColor="text1"/>
        </w:rPr>
        <w:t>),  p</w:t>
      </w:r>
      <w:proofErr w:type="gramEnd"/>
      <w:r w:rsidRPr="00F142C9">
        <w:rPr>
          <w:rFonts w:cs="Arial"/>
          <w:color w:val="000000" w:themeColor="text1"/>
        </w:rPr>
        <w:t xml:space="preserve"> 1355.</w:t>
      </w:r>
    </w:p>
    <w:p w14:paraId="63839D8A" w14:textId="77777777" w:rsidR="00823414" w:rsidRPr="00F142C9" w:rsidRDefault="00823414" w:rsidP="00F142C9">
      <w:pPr>
        <w:pStyle w:val="Body"/>
        <w:spacing w:after="0"/>
        <w:ind w:left="720"/>
        <w:rPr>
          <w:rFonts w:cs="Arial"/>
          <w:color w:val="000000" w:themeColor="text1"/>
        </w:rPr>
      </w:pPr>
    </w:p>
    <w:p w14:paraId="4B3FAB0C" w14:textId="77777777" w:rsidR="00B41408" w:rsidRPr="00F142C9" w:rsidRDefault="00B41408" w:rsidP="00F142C9">
      <w:pPr>
        <w:pStyle w:val="Body"/>
        <w:numPr>
          <w:ilvl w:val="0"/>
          <w:numId w:val="33"/>
        </w:numPr>
        <w:spacing w:after="0"/>
        <w:rPr>
          <w:rFonts w:cs="Arial"/>
          <w:color w:val="000000" w:themeColor="text1"/>
        </w:rPr>
      </w:pPr>
      <w:r w:rsidRPr="00F142C9">
        <w:rPr>
          <w:rFonts w:cs="Arial"/>
          <w:color w:val="000000" w:themeColor="text1"/>
        </w:rPr>
        <w:t xml:space="preserve">Anand, U, </w:t>
      </w:r>
      <w:proofErr w:type="spellStart"/>
      <w:r w:rsidRPr="00F142C9">
        <w:rPr>
          <w:rFonts w:cs="Arial"/>
          <w:color w:val="000000" w:themeColor="text1"/>
        </w:rPr>
        <w:t>Jacobo</w:t>
      </w:r>
      <w:proofErr w:type="spellEnd"/>
      <w:r w:rsidRPr="00F142C9">
        <w:rPr>
          <w:rFonts w:cs="Arial"/>
          <w:color w:val="000000" w:themeColor="text1"/>
        </w:rPr>
        <w:t xml:space="preserve">-Herrera, N, </w:t>
      </w:r>
      <w:proofErr w:type="spellStart"/>
      <w:r w:rsidRPr="00F142C9">
        <w:rPr>
          <w:rFonts w:cs="Arial"/>
          <w:color w:val="000000" w:themeColor="text1"/>
        </w:rPr>
        <w:t>Altemimi</w:t>
      </w:r>
      <w:proofErr w:type="spellEnd"/>
      <w:r w:rsidRPr="00F142C9">
        <w:rPr>
          <w:rFonts w:cs="Arial"/>
          <w:color w:val="000000" w:themeColor="text1"/>
        </w:rPr>
        <w:t xml:space="preserve">, A, and </w:t>
      </w:r>
      <w:proofErr w:type="spellStart"/>
      <w:r w:rsidRPr="00F142C9">
        <w:rPr>
          <w:rFonts w:cs="Arial"/>
          <w:color w:val="000000" w:themeColor="text1"/>
        </w:rPr>
        <w:t>Lakhssassi</w:t>
      </w:r>
      <w:proofErr w:type="spellEnd"/>
      <w:r w:rsidRPr="00F142C9">
        <w:rPr>
          <w:rFonts w:cs="Arial"/>
          <w:color w:val="000000" w:themeColor="text1"/>
        </w:rPr>
        <w:t>, N (2019):  A comprehensive review on medicinal plants as antimicrobial therapeutics: potential avenues of biocompatible drug discovery, </w:t>
      </w:r>
      <w:proofErr w:type="gramStart"/>
      <w:r w:rsidRPr="00F142C9">
        <w:rPr>
          <w:rFonts w:cs="Arial"/>
          <w:i/>
          <w:color w:val="000000" w:themeColor="text1"/>
        </w:rPr>
        <w:t>Metabolites</w:t>
      </w:r>
      <w:r w:rsidRPr="00F142C9">
        <w:rPr>
          <w:rFonts w:cs="Arial"/>
          <w:color w:val="000000" w:themeColor="text1"/>
        </w:rPr>
        <w:t xml:space="preserve">  </w:t>
      </w:r>
      <w:r w:rsidRPr="00F142C9">
        <w:rPr>
          <w:rFonts w:cs="Arial"/>
          <w:iCs/>
          <w:color w:val="000000" w:themeColor="text1"/>
        </w:rPr>
        <w:t>9</w:t>
      </w:r>
      <w:proofErr w:type="gramEnd"/>
      <w:r w:rsidRPr="00F142C9">
        <w:rPr>
          <w:rFonts w:cs="Arial"/>
          <w:iCs/>
          <w:color w:val="000000" w:themeColor="text1"/>
        </w:rPr>
        <w:t xml:space="preserve"> (11</w:t>
      </w:r>
      <w:r w:rsidRPr="00F142C9">
        <w:rPr>
          <w:rFonts w:cs="Arial"/>
          <w:color w:val="000000" w:themeColor="text1"/>
        </w:rPr>
        <w:t>),  p 258.</w:t>
      </w:r>
    </w:p>
    <w:p w14:paraId="6491C51F" w14:textId="77777777" w:rsidR="00823414" w:rsidRPr="00F142C9" w:rsidRDefault="00823414" w:rsidP="00F142C9">
      <w:pPr>
        <w:pStyle w:val="Body"/>
        <w:spacing w:after="0"/>
        <w:rPr>
          <w:rFonts w:cs="Arial"/>
          <w:color w:val="000000" w:themeColor="text1"/>
        </w:rPr>
      </w:pPr>
    </w:p>
    <w:p w14:paraId="47442754" w14:textId="77777777" w:rsidR="00823414" w:rsidRPr="00F142C9" w:rsidRDefault="00823414" w:rsidP="00F142C9">
      <w:pPr>
        <w:pStyle w:val="Body"/>
        <w:numPr>
          <w:ilvl w:val="0"/>
          <w:numId w:val="33"/>
        </w:numPr>
        <w:spacing w:after="0"/>
        <w:rPr>
          <w:rFonts w:cs="Arial"/>
          <w:color w:val="000000" w:themeColor="text1"/>
        </w:rPr>
      </w:pPr>
      <w:r w:rsidRPr="00F142C9">
        <w:rPr>
          <w:rFonts w:cs="Arial"/>
          <w:color w:val="000000" w:themeColor="text1"/>
        </w:rPr>
        <w:t xml:space="preserve">Chukwuebuka, E and Chinenye, I J (2015): Biological functions and anti-nutritional effects of phytochemicals in living </w:t>
      </w:r>
      <w:proofErr w:type="gramStart"/>
      <w:r w:rsidRPr="00F142C9">
        <w:rPr>
          <w:rFonts w:cs="Arial"/>
          <w:color w:val="000000" w:themeColor="text1"/>
        </w:rPr>
        <w:t xml:space="preserve">system,  </w:t>
      </w:r>
      <w:r w:rsidRPr="00F142C9">
        <w:rPr>
          <w:rFonts w:cs="Arial"/>
          <w:i/>
          <w:color w:val="000000" w:themeColor="text1"/>
        </w:rPr>
        <w:t>Journal</w:t>
      </w:r>
      <w:proofErr w:type="gramEnd"/>
      <w:r w:rsidRPr="00F142C9">
        <w:rPr>
          <w:rFonts w:cs="Arial"/>
          <w:i/>
          <w:color w:val="000000" w:themeColor="text1"/>
        </w:rPr>
        <w:t xml:space="preserve"> of pharmacy and Biological Science  </w:t>
      </w:r>
      <w:r w:rsidRPr="00F142C9">
        <w:rPr>
          <w:rFonts w:cs="Arial"/>
          <w:color w:val="000000" w:themeColor="text1"/>
        </w:rPr>
        <w:t>10 (2), pp 10-19.</w:t>
      </w:r>
    </w:p>
    <w:p w14:paraId="1CA59F07" w14:textId="77777777" w:rsidR="00823414" w:rsidRPr="00F142C9" w:rsidRDefault="00823414" w:rsidP="00F142C9">
      <w:pPr>
        <w:pStyle w:val="Body"/>
        <w:spacing w:after="0"/>
        <w:ind w:left="720"/>
        <w:rPr>
          <w:rFonts w:cs="Arial"/>
          <w:color w:val="000000" w:themeColor="text1"/>
        </w:rPr>
      </w:pPr>
    </w:p>
    <w:p w14:paraId="18D29D65" w14:textId="746BDA43" w:rsidR="00823414" w:rsidRPr="00F142C9" w:rsidRDefault="00823414" w:rsidP="00F142C9">
      <w:pPr>
        <w:pStyle w:val="Body"/>
        <w:numPr>
          <w:ilvl w:val="0"/>
          <w:numId w:val="33"/>
        </w:numPr>
        <w:spacing w:after="0"/>
        <w:rPr>
          <w:rFonts w:cs="Arial"/>
          <w:color w:val="000000" w:themeColor="text1"/>
        </w:rPr>
      </w:pPr>
      <w:r w:rsidRPr="00F142C9">
        <w:rPr>
          <w:rFonts w:cs="Arial"/>
          <w:color w:val="000000" w:themeColor="text1"/>
        </w:rPr>
        <w:t xml:space="preserve">Ibrahim, T A and </w:t>
      </w:r>
      <w:proofErr w:type="spellStart"/>
      <w:r w:rsidRPr="00F142C9">
        <w:rPr>
          <w:rFonts w:cs="Arial"/>
          <w:color w:val="000000" w:themeColor="text1"/>
        </w:rPr>
        <w:t>Fagbohun</w:t>
      </w:r>
      <w:proofErr w:type="spellEnd"/>
      <w:r w:rsidRPr="00F142C9">
        <w:rPr>
          <w:rFonts w:cs="Arial"/>
          <w:color w:val="000000" w:themeColor="text1"/>
        </w:rPr>
        <w:t xml:space="preserve">, E D (2013): Phytochemical and Mineral Quality </w:t>
      </w:r>
      <w:proofErr w:type="gramStart"/>
      <w:r w:rsidRPr="00F142C9">
        <w:rPr>
          <w:rFonts w:cs="Arial"/>
          <w:color w:val="000000" w:themeColor="text1"/>
        </w:rPr>
        <w:t>Of</w:t>
      </w:r>
      <w:proofErr w:type="gramEnd"/>
      <w:r w:rsidRPr="00F142C9">
        <w:rPr>
          <w:rFonts w:cs="Arial"/>
          <w:color w:val="000000" w:themeColor="text1"/>
        </w:rPr>
        <w:t xml:space="preserve"> Dried Seeds of </w:t>
      </w:r>
      <w:proofErr w:type="spellStart"/>
      <w:r w:rsidRPr="00F142C9">
        <w:rPr>
          <w:rFonts w:cs="Arial"/>
          <w:i/>
          <w:iCs/>
          <w:color w:val="000000" w:themeColor="text1"/>
        </w:rPr>
        <w:t>Buchholzia</w:t>
      </w:r>
      <w:proofErr w:type="spellEnd"/>
      <w:r w:rsidRPr="00F142C9">
        <w:rPr>
          <w:rFonts w:cs="Arial"/>
          <w:i/>
          <w:iCs/>
          <w:color w:val="000000" w:themeColor="text1"/>
        </w:rPr>
        <w:t xml:space="preserve"> </w:t>
      </w:r>
      <w:proofErr w:type="spellStart"/>
      <w:r w:rsidRPr="00F142C9">
        <w:rPr>
          <w:rFonts w:cs="Arial"/>
          <w:i/>
          <w:iCs/>
          <w:color w:val="000000" w:themeColor="text1"/>
        </w:rPr>
        <w:t>coriacea</w:t>
      </w:r>
      <w:proofErr w:type="spellEnd"/>
      <w:r w:rsidRPr="00F142C9">
        <w:rPr>
          <w:rFonts w:cs="Arial"/>
          <w:i/>
          <w:iCs/>
          <w:color w:val="000000" w:themeColor="text1"/>
        </w:rPr>
        <w:t>,</w:t>
      </w:r>
      <w:r w:rsidRPr="00F142C9">
        <w:rPr>
          <w:rFonts w:cs="Arial"/>
          <w:color w:val="000000" w:themeColor="text1"/>
        </w:rPr>
        <w:t xml:space="preserve"> </w:t>
      </w:r>
      <w:r w:rsidRPr="00F142C9">
        <w:rPr>
          <w:rFonts w:cs="Arial"/>
          <w:i/>
          <w:color w:val="000000" w:themeColor="text1"/>
        </w:rPr>
        <w:t>Journal of Applied Phytotechnology in Environmental Sanitation</w:t>
      </w:r>
      <w:r w:rsidRPr="00F142C9">
        <w:rPr>
          <w:rFonts w:cs="Arial"/>
          <w:color w:val="000000" w:themeColor="text1"/>
        </w:rPr>
        <w:t> </w:t>
      </w:r>
      <w:r w:rsidRPr="00F142C9">
        <w:rPr>
          <w:rFonts w:cs="Arial"/>
          <w:i/>
          <w:color w:val="000000" w:themeColor="text1"/>
        </w:rPr>
        <w:t xml:space="preserve">2 </w:t>
      </w:r>
      <w:r w:rsidRPr="00F142C9">
        <w:rPr>
          <w:rFonts w:cs="Arial"/>
          <w:color w:val="000000" w:themeColor="text1"/>
        </w:rPr>
        <w:t>(4).</w:t>
      </w:r>
    </w:p>
    <w:p w14:paraId="51593118" w14:textId="77777777" w:rsidR="00E8376C" w:rsidRPr="00F142C9" w:rsidRDefault="00E8376C" w:rsidP="00F142C9">
      <w:pPr>
        <w:pStyle w:val="ListParagraph"/>
        <w:jc w:val="both"/>
        <w:rPr>
          <w:rFonts w:cs="Arial"/>
          <w:color w:val="000000" w:themeColor="text1"/>
        </w:rPr>
      </w:pPr>
    </w:p>
    <w:p w14:paraId="68A132B9" w14:textId="0AD5A39D"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Al-Bayati, F A and Al-Mola, H F (2008): Antibacterial and antifungal activities of different parts of Tribulus terrestris L. growing in Iraq, Journal of Zhejiang University: Science B 9 (2), pp 154–159.</w:t>
      </w:r>
    </w:p>
    <w:p w14:paraId="62ECFAF7" w14:textId="77777777" w:rsidR="00823414" w:rsidRPr="00F142C9" w:rsidRDefault="00823414" w:rsidP="00F142C9">
      <w:pPr>
        <w:pStyle w:val="Body"/>
        <w:spacing w:after="0"/>
        <w:rPr>
          <w:rFonts w:cs="Arial"/>
          <w:color w:val="000000" w:themeColor="text1"/>
        </w:rPr>
      </w:pPr>
    </w:p>
    <w:p w14:paraId="3864B650" w14:textId="4FD15242" w:rsidR="00823414" w:rsidRPr="00F142C9" w:rsidRDefault="00823414" w:rsidP="00F142C9">
      <w:pPr>
        <w:pStyle w:val="Body"/>
        <w:numPr>
          <w:ilvl w:val="0"/>
          <w:numId w:val="33"/>
        </w:numPr>
        <w:spacing w:after="0"/>
        <w:rPr>
          <w:rFonts w:cs="Arial"/>
          <w:color w:val="000000" w:themeColor="text1"/>
        </w:rPr>
      </w:pPr>
      <w:r w:rsidRPr="00F142C9">
        <w:rPr>
          <w:rFonts w:cs="Arial"/>
          <w:color w:val="000000" w:themeColor="text1"/>
        </w:rPr>
        <w:t xml:space="preserve">Jayaweera, D M A (1980): </w:t>
      </w:r>
      <w:r w:rsidRPr="00F142C9">
        <w:rPr>
          <w:rFonts w:cs="Arial"/>
          <w:i/>
          <w:iCs/>
          <w:color w:val="000000" w:themeColor="text1"/>
        </w:rPr>
        <w:t>Medicinal plants (Indigenous and exotic) used in Ceylon.</w:t>
      </w:r>
      <w:r w:rsidRPr="00F142C9">
        <w:rPr>
          <w:rFonts w:cs="Arial"/>
          <w:color w:val="000000" w:themeColor="text1"/>
        </w:rPr>
        <w:t xml:space="preserve"> Sri Lanka The National Science Foundation Publication; Part II.</w:t>
      </w:r>
    </w:p>
    <w:p w14:paraId="2D03D42E" w14:textId="77777777" w:rsidR="00E8376C" w:rsidRPr="00F142C9" w:rsidRDefault="00E8376C" w:rsidP="00F142C9">
      <w:pPr>
        <w:pStyle w:val="ListParagraph"/>
        <w:jc w:val="both"/>
        <w:rPr>
          <w:rFonts w:cs="Arial"/>
          <w:color w:val="000000" w:themeColor="text1"/>
        </w:rPr>
      </w:pPr>
    </w:p>
    <w:p w14:paraId="2C4D832C" w14:textId="46D980B4"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Banu, K S and Cathrine, L (2015): General techniques involved in phytochemical analysis, International journal of advanced research in chemical science 2 </w:t>
      </w:r>
      <w:proofErr w:type="gramStart"/>
      <w:r w:rsidRPr="00F142C9">
        <w:rPr>
          <w:color w:val="000000" w:themeColor="text1"/>
        </w:rPr>
        <w:t>( 4</w:t>
      </w:r>
      <w:proofErr w:type="gramEnd"/>
      <w:r w:rsidRPr="00F142C9">
        <w:rPr>
          <w:color w:val="000000" w:themeColor="text1"/>
        </w:rPr>
        <w:t>), pp 25 32.</w:t>
      </w:r>
    </w:p>
    <w:p w14:paraId="0FA9AADC" w14:textId="77777777" w:rsidR="00E8376C" w:rsidRPr="00F142C9" w:rsidRDefault="00E8376C" w:rsidP="00F142C9">
      <w:pPr>
        <w:pStyle w:val="ListParagraph"/>
        <w:jc w:val="both"/>
        <w:rPr>
          <w:rFonts w:cs="Arial"/>
          <w:color w:val="000000" w:themeColor="text1"/>
        </w:rPr>
      </w:pPr>
    </w:p>
    <w:p w14:paraId="212B44B2" w14:textId="27436D73"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BD Phoenix Automated Microbiology System User's Manual (2020): USA Becton, Dickinson and Company.</w:t>
      </w:r>
    </w:p>
    <w:p w14:paraId="20065F44" w14:textId="77777777" w:rsidR="00E8376C" w:rsidRPr="00F142C9" w:rsidRDefault="00E8376C" w:rsidP="00F142C9">
      <w:pPr>
        <w:pStyle w:val="ListParagraph"/>
        <w:jc w:val="both"/>
        <w:rPr>
          <w:rFonts w:cs="Arial"/>
          <w:color w:val="000000" w:themeColor="text1"/>
        </w:rPr>
      </w:pPr>
    </w:p>
    <w:p w14:paraId="60CA9A63" w14:textId="34448D4E"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CLSI supplement M100 (2023): Performance Standards for Antimicrobial Susceptibility Testing. Available at: </w:t>
      </w:r>
      <w:hyperlink r:id="rId15" w:history="1">
        <w:r w:rsidRPr="00F142C9">
          <w:rPr>
            <w:rStyle w:val="Hyperlink"/>
            <w:color w:val="000000" w:themeColor="text1"/>
          </w:rPr>
          <w:t>http://em100.edaptivedocs.net/dashboard.aspx</w:t>
        </w:r>
      </w:hyperlink>
    </w:p>
    <w:p w14:paraId="44EDB7A3" w14:textId="77777777" w:rsidR="00E8376C" w:rsidRPr="00F142C9" w:rsidRDefault="00E8376C" w:rsidP="00F142C9">
      <w:pPr>
        <w:pStyle w:val="ListParagraph"/>
        <w:jc w:val="both"/>
        <w:rPr>
          <w:rFonts w:cs="Arial"/>
          <w:color w:val="000000" w:themeColor="text1"/>
        </w:rPr>
      </w:pPr>
    </w:p>
    <w:p w14:paraId="66E2BCFB" w14:textId="5CDFC529"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Hudzicki, J (2009): Kirby-Bauer disk diffusion susceptibility test protocol, American society for microbiology, 15, pp 55-63.Available: </w:t>
      </w:r>
      <w:hyperlink r:id="rId16" w:history="1">
        <w:r w:rsidRPr="00F142C9">
          <w:rPr>
            <w:rStyle w:val="Hyperlink"/>
            <w:color w:val="000000" w:themeColor="text1"/>
          </w:rPr>
          <w:t>https://www.asm.org/Protocols/Kirby-Bauer-Disk-Diffusion-Susceptibility-Test-Pro</w:t>
        </w:r>
      </w:hyperlink>
    </w:p>
    <w:p w14:paraId="0F9B9B5A" w14:textId="77777777" w:rsidR="00E8376C" w:rsidRPr="00F142C9" w:rsidRDefault="00E8376C" w:rsidP="00F142C9">
      <w:pPr>
        <w:pStyle w:val="ListParagraph"/>
        <w:jc w:val="both"/>
        <w:rPr>
          <w:rFonts w:cs="Arial"/>
          <w:color w:val="000000" w:themeColor="text1"/>
        </w:rPr>
      </w:pPr>
    </w:p>
    <w:p w14:paraId="5D3863DD" w14:textId="4F744869"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Isaac, J and Thomas, T (2013) Antibacterial evaluation of </w:t>
      </w:r>
      <w:proofErr w:type="spellStart"/>
      <w:r w:rsidRPr="00F142C9">
        <w:rPr>
          <w:color w:val="000000" w:themeColor="text1"/>
        </w:rPr>
        <w:t>Biophytum</w:t>
      </w:r>
      <w:proofErr w:type="spellEnd"/>
      <w:r w:rsidRPr="00F142C9">
        <w:rPr>
          <w:color w:val="000000" w:themeColor="text1"/>
        </w:rPr>
        <w:t xml:space="preserve"> </w:t>
      </w:r>
      <w:proofErr w:type="spellStart"/>
      <w:r w:rsidRPr="00F142C9">
        <w:rPr>
          <w:color w:val="000000" w:themeColor="text1"/>
        </w:rPr>
        <w:t>sesitivum</w:t>
      </w:r>
      <w:proofErr w:type="spellEnd"/>
      <w:r w:rsidRPr="00F142C9">
        <w:rPr>
          <w:color w:val="000000" w:themeColor="text1"/>
        </w:rPr>
        <w:t xml:space="preserve"> (L) DC. var. </w:t>
      </w:r>
      <w:proofErr w:type="spellStart"/>
      <w:r w:rsidRPr="00F142C9">
        <w:rPr>
          <w:color w:val="000000" w:themeColor="text1"/>
        </w:rPr>
        <w:t>candolleanum</w:t>
      </w:r>
      <w:proofErr w:type="spellEnd"/>
      <w:r w:rsidRPr="00F142C9">
        <w:rPr>
          <w:color w:val="000000" w:themeColor="text1"/>
        </w:rPr>
        <w:t xml:space="preserve"> [</w:t>
      </w:r>
      <w:proofErr w:type="spellStart"/>
      <w:r w:rsidRPr="00F142C9">
        <w:rPr>
          <w:color w:val="000000" w:themeColor="text1"/>
        </w:rPr>
        <w:t>wigh</w:t>
      </w:r>
      <w:proofErr w:type="spellEnd"/>
      <w:r w:rsidRPr="00F142C9">
        <w:rPr>
          <w:color w:val="000000" w:themeColor="text1"/>
        </w:rPr>
        <w:t xml:space="preserve">] </w:t>
      </w:r>
      <w:proofErr w:type="spellStart"/>
      <w:r w:rsidRPr="00F142C9">
        <w:rPr>
          <w:color w:val="000000" w:themeColor="text1"/>
        </w:rPr>
        <w:t>Edgew</w:t>
      </w:r>
      <w:proofErr w:type="spellEnd"/>
      <w:r w:rsidRPr="00F142C9">
        <w:rPr>
          <w:color w:val="000000" w:themeColor="text1"/>
        </w:rPr>
        <w:t>. and Hook. F, Bioprospecting of Plant Genetic Resources, pp 53-55.</w:t>
      </w:r>
    </w:p>
    <w:p w14:paraId="1ACE3D02" w14:textId="77777777" w:rsidR="00E8376C" w:rsidRPr="00F142C9" w:rsidRDefault="00E8376C" w:rsidP="00F142C9">
      <w:pPr>
        <w:pStyle w:val="ListParagraph"/>
        <w:jc w:val="both"/>
        <w:rPr>
          <w:rFonts w:cs="Arial"/>
          <w:color w:val="000000" w:themeColor="text1"/>
        </w:rPr>
      </w:pPr>
    </w:p>
    <w:p w14:paraId="3B0ABBE3" w14:textId="072F24A7"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Mary, L and Raj, T (2017): Antibacterial activity of root extract of </w:t>
      </w:r>
      <w:proofErr w:type="spellStart"/>
      <w:r w:rsidRPr="00F142C9">
        <w:rPr>
          <w:color w:val="000000" w:themeColor="text1"/>
        </w:rPr>
        <w:t>Biophytum</w:t>
      </w:r>
      <w:proofErr w:type="spellEnd"/>
      <w:r w:rsidRPr="00F142C9">
        <w:rPr>
          <w:color w:val="000000" w:themeColor="text1"/>
        </w:rPr>
        <w:t xml:space="preserve"> </w:t>
      </w:r>
      <w:proofErr w:type="spellStart"/>
      <w:r w:rsidRPr="00F142C9">
        <w:rPr>
          <w:color w:val="000000" w:themeColor="text1"/>
        </w:rPr>
        <w:t>sensitivum</w:t>
      </w:r>
      <w:proofErr w:type="spellEnd"/>
      <w:r w:rsidRPr="00F142C9">
        <w:rPr>
          <w:color w:val="000000" w:themeColor="text1"/>
        </w:rPr>
        <w:t xml:space="preserve"> (L.) DC, International Journal of Biology Research 2 (3), pp 16-19.</w:t>
      </w:r>
    </w:p>
    <w:p w14:paraId="7E5D4EFA" w14:textId="77777777" w:rsidR="00E8376C" w:rsidRPr="00F142C9" w:rsidRDefault="00E8376C" w:rsidP="00F142C9">
      <w:pPr>
        <w:pStyle w:val="ListParagraph"/>
        <w:jc w:val="both"/>
        <w:rPr>
          <w:rFonts w:cs="Arial"/>
          <w:color w:val="000000" w:themeColor="text1"/>
        </w:rPr>
      </w:pPr>
    </w:p>
    <w:p w14:paraId="369DC6F4" w14:textId="33AB7424"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Natarajan, D, Shivakumar, M S and Srinivasan, R (2010): Antibacterial activity of leaf extracts of </w:t>
      </w:r>
      <w:proofErr w:type="spellStart"/>
      <w:r w:rsidRPr="00F142C9">
        <w:rPr>
          <w:color w:val="000000" w:themeColor="text1"/>
        </w:rPr>
        <w:t>Biophytum</w:t>
      </w:r>
      <w:proofErr w:type="spellEnd"/>
      <w:r w:rsidRPr="00F142C9">
        <w:rPr>
          <w:color w:val="000000" w:themeColor="text1"/>
        </w:rPr>
        <w:t xml:space="preserve"> </w:t>
      </w:r>
      <w:proofErr w:type="spellStart"/>
      <w:r w:rsidRPr="00F142C9">
        <w:rPr>
          <w:color w:val="000000" w:themeColor="text1"/>
        </w:rPr>
        <w:t>sensitivum</w:t>
      </w:r>
      <w:proofErr w:type="spellEnd"/>
      <w:r w:rsidRPr="00F142C9">
        <w:rPr>
          <w:color w:val="000000" w:themeColor="text1"/>
        </w:rPr>
        <w:t xml:space="preserve"> (L.) DC, Journal of pharmaceutical sciences and research 2 (11), pp 710-720.</w:t>
      </w:r>
    </w:p>
    <w:p w14:paraId="210DDB8C" w14:textId="77777777" w:rsidR="00E8376C" w:rsidRPr="00F142C9" w:rsidRDefault="00E8376C" w:rsidP="00F142C9">
      <w:pPr>
        <w:pStyle w:val="ListParagraph"/>
        <w:jc w:val="both"/>
        <w:rPr>
          <w:rFonts w:cs="Arial"/>
          <w:color w:val="000000" w:themeColor="text1"/>
        </w:rPr>
      </w:pPr>
    </w:p>
    <w:p w14:paraId="539369BC" w14:textId="0515033F"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t xml:space="preserve">Oraon, A and Sinha, B N (2012): Sub chronic toxicity potential of the alcoholic extract of </w:t>
      </w:r>
      <w:proofErr w:type="spellStart"/>
      <w:r w:rsidRPr="00F142C9">
        <w:rPr>
          <w:color w:val="000000" w:themeColor="text1"/>
        </w:rPr>
        <w:t>Biophytum</w:t>
      </w:r>
      <w:proofErr w:type="spellEnd"/>
      <w:r w:rsidRPr="00F142C9">
        <w:rPr>
          <w:color w:val="000000" w:themeColor="text1"/>
        </w:rPr>
        <w:t xml:space="preserve"> </w:t>
      </w:r>
      <w:proofErr w:type="spellStart"/>
      <w:r w:rsidRPr="00F142C9">
        <w:rPr>
          <w:color w:val="000000" w:themeColor="text1"/>
        </w:rPr>
        <w:t>reinwardtii</w:t>
      </w:r>
      <w:proofErr w:type="spellEnd"/>
      <w:r w:rsidRPr="00F142C9">
        <w:rPr>
          <w:color w:val="000000" w:themeColor="text1"/>
        </w:rPr>
        <w:t xml:space="preserve"> whole plant, Journal of Natural Sciences Research 2 (6), pp 94-99.</w:t>
      </w:r>
    </w:p>
    <w:p w14:paraId="03282A8B" w14:textId="77777777" w:rsidR="00E8376C" w:rsidRPr="00F142C9" w:rsidRDefault="00E8376C" w:rsidP="00F142C9">
      <w:pPr>
        <w:pStyle w:val="ListParagraph"/>
        <w:jc w:val="both"/>
        <w:rPr>
          <w:rFonts w:cs="Arial"/>
          <w:color w:val="000000" w:themeColor="text1"/>
        </w:rPr>
      </w:pPr>
    </w:p>
    <w:p w14:paraId="122A2C9B" w14:textId="7F0777C7" w:rsidR="00E8376C" w:rsidRPr="00F142C9" w:rsidRDefault="00E8376C" w:rsidP="00F142C9">
      <w:pPr>
        <w:pStyle w:val="Body"/>
        <w:numPr>
          <w:ilvl w:val="0"/>
          <w:numId w:val="33"/>
        </w:numPr>
        <w:spacing w:after="0"/>
        <w:rPr>
          <w:rFonts w:cs="Arial"/>
          <w:color w:val="000000" w:themeColor="text1"/>
        </w:rPr>
      </w:pPr>
      <w:proofErr w:type="spellStart"/>
      <w:r w:rsidRPr="00F142C9">
        <w:rPr>
          <w:color w:val="000000" w:themeColor="text1"/>
        </w:rPr>
        <w:t>Sreedevi</w:t>
      </w:r>
      <w:proofErr w:type="spellEnd"/>
      <w:r w:rsidRPr="00F142C9">
        <w:rPr>
          <w:color w:val="000000" w:themeColor="text1"/>
        </w:rPr>
        <w:t xml:space="preserve">, A and </w:t>
      </w:r>
      <w:proofErr w:type="spellStart"/>
      <w:r w:rsidRPr="00F142C9">
        <w:rPr>
          <w:color w:val="000000" w:themeColor="text1"/>
        </w:rPr>
        <w:t>Retna</w:t>
      </w:r>
      <w:proofErr w:type="spellEnd"/>
      <w:r w:rsidRPr="00F142C9">
        <w:rPr>
          <w:color w:val="000000" w:themeColor="text1"/>
        </w:rPr>
        <w:t xml:space="preserve">, A M (2019): Evaluation of phytochemical standardization and antioxidant activity of leaf part of </w:t>
      </w:r>
      <w:proofErr w:type="spellStart"/>
      <w:r w:rsidRPr="00F142C9">
        <w:rPr>
          <w:color w:val="000000" w:themeColor="text1"/>
        </w:rPr>
        <w:t>Biophytum</w:t>
      </w:r>
      <w:proofErr w:type="spellEnd"/>
      <w:r w:rsidRPr="00F142C9">
        <w:rPr>
          <w:color w:val="000000" w:themeColor="text1"/>
        </w:rPr>
        <w:t xml:space="preserve"> </w:t>
      </w:r>
      <w:proofErr w:type="spellStart"/>
      <w:r w:rsidRPr="00F142C9">
        <w:rPr>
          <w:color w:val="000000" w:themeColor="text1"/>
        </w:rPr>
        <w:t>sensitivum</w:t>
      </w:r>
      <w:proofErr w:type="spellEnd"/>
      <w:r w:rsidRPr="00F142C9">
        <w:rPr>
          <w:color w:val="000000" w:themeColor="text1"/>
        </w:rPr>
        <w:t>, International Journal of Advanced Scientific Research and Management (4).</w:t>
      </w:r>
    </w:p>
    <w:p w14:paraId="5C3E5E27" w14:textId="77777777" w:rsidR="00E8376C" w:rsidRPr="00F142C9" w:rsidRDefault="00E8376C" w:rsidP="00F142C9">
      <w:pPr>
        <w:pStyle w:val="ListParagraph"/>
        <w:jc w:val="both"/>
        <w:rPr>
          <w:rFonts w:cs="Arial"/>
          <w:color w:val="000000" w:themeColor="text1"/>
        </w:rPr>
      </w:pPr>
    </w:p>
    <w:p w14:paraId="5C8AF870" w14:textId="612634DA" w:rsidR="00E8376C" w:rsidRPr="00F142C9" w:rsidRDefault="00E8376C" w:rsidP="00F142C9">
      <w:pPr>
        <w:pStyle w:val="Body"/>
        <w:numPr>
          <w:ilvl w:val="0"/>
          <w:numId w:val="33"/>
        </w:numPr>
        <w:spacing w:after="0"/>
        <w:rPr>
          <w:rFonts w:cs="Arial"/>
          <w:color w:val="000000" w:themeColor="text1"/>
        </w:rPr>
      </w:pPr>
      <w:r w:rsidRPr="00F142C9">
        <w:rPr>
          <w:color w:val="000000" w:themeColor="text1"/>
        </w:rPr>
        <w:lastRenderedPageBreak/>
        <w:t>Yadav, R N S, and Agarwala, M (2011): Phytochemical analysis of some medicinal plants, Journal of Phytology 3 (12): pp 10-14. Available: http://journal phytology.com/</w:t>
      </w:r>
    </w:p>
    <w:p w14:paraId="724A6706" w14:textId="77777777" w:rsidR="005D3A97" w:rsidRPr="00F142C9" w:rsidRDefault="005D3A97" w:rsidP="00F142C9">
      <w:pPr>
        <w:pStyle w:val="ListParagraph"/>
        <w:jc w:val="both"/>
        <w:rPr>
          <w:rFonts w:cs="Arial"/>
          <w:color w:val="000000" w:themeColor="text1"/>
        </w:rPr>
      </w:pPr>
    </w:p>
    <w:p w14:paraId="11C6830A" w14:textId="6DE1F1EB" w:rsidR="005D3A97" w:rsidRPr="00F142C9" w:rsidRDefault="005D3A97" w:rsidP="00F142C9">
      <w:pPr>
        <w:pStyle w:val="Body"/>
        <w:numPr>
          <w:ilvl w:val="0"/>
          <w:numId w:val="33"/>
        </w:numPr>
        <w:spacing w:after="0"/>
        <w:rPr>
          <w:rFonts w:cs="Arial"/>
          <w:color w:val="000000" w:themeColor="text1"/>
        </w:rPr>
      </w:pPr>
      <w:r w:rsidRPr="00F142C9">
        <w:rPr>
          <w:rFonts w:cs="Arial"/>
          <w:color w:val="000000" w:themeColor="text1"/>
          <w:shd w:val="clear" w:color="auto" w:fill="FFFFFF"/>
        </w:rPr>
        <w:t>El-</w:t>
      </w:r>
      <w:proofErr w:type="spellStart"/>
      <w:r w:rsidRPr="00F142C9">
        <w:rPr>
          <w:rFonts w:cs="Arial"/>
          <w:color w:val="000000" w:themeColor="text1"/>
          <w:shd w:val="clear" w:color="auto" w:fill="FFFFFF"/>
        </w:rPr>
        <w:t>Halfawy</w:t>
      </w:r>
      <w:proofErr w:type="spellEnd"/>
      <w:r w:rsidRPr="00F142C9">
        <w:rPr>
          <w:rFonts w:cs="Arial"/>
          <w:color w:val="000000" w:themeColor="text1"/>
          <w:shd w:val="clear" w:color="auto" w:fill="FFFFFF"/>
        </w:rPr>
        <w:t xml:space="preserve">, O.M. and Valvano, M.A., (2015). Antimicrobial </w:t>
      </w:r>
      <w:proofErr w:type="spellStart"/>
      <w:r w:rsidRPr="00F142C9">
        <w:rPr>
          <w:rFonts w:cs="Arial"/>
          <w:color w:val="000000" w:themeColor="text1"/>
          <w:shd w:val="clear" w:color="auto" w:fill="FFFFFF"/>
        </w:rPr>
        <w:t>heteroresistance</w:t>
      </w:r>
      <w:proofErr w:type="spellEnd"/>
      <w:r w:rsidRPr="00F142C9">
        <w:rPr>
          <w:rFonts w:cs="Arial"/>
          <w:color w:val="000000" w:themeColor="text1"/>
          <w:shd w:val="clear" w:color="auto" w:fill="FFFFFF"/>
        </w:rPr>
        <w:t>: an emerging field in need of clarity. </w:t>
      </w:r>
      <w:r w:rsidRPr="00F142C9">
        <w:rPr>
          <w:rFonts w:cs="Arial"/>
          <w:i/>
          <w:iCs/>
          <w:color w:val="000000" w:themeColor="text1"/>
          <w:shd w:val="clear" w:color="auto" w:fill="FFFFFF"/>
        </w:rPr>
        <w:t>Clinical microbiology reviews</w:t>
      </w:r>
      <w:r w:rsidRPr="00F142C9">
        <w:rPr>
          <w:rFonts w:cs="Arial"/>
          <w:color w:val="000000" w:themeColor="text1"/>
          <w:shd w:val="clear" w:color="auto" w:fill="FFFFFF"/>
        </w:rPr>
        <w:t>, </w:t>
      </w:r>
      <w:r w:rsidRPr="00F142C9">
        <w:rPr>
          <w:rFonts w:cs="Arial"/>
          <w:i/>
          <w:iCs/>
          <w:color w:val="000000" w:themeColor="text1"/>
          <w:shd w:val="clear" w:color="auto" w:fill="FFFFFF"/>
        </w:rPr>
        <w:t>28</w:t>
      </w:r>
      <w:r w:rsidRPr="00F142C9">
        <w:rPr>
          <w:rFonts w:cs="Arial"/>
          <w:color w:val="000000" w:themeColor="text1"/>
          <w:shd w:val="clear" w:color="auto" w:fill="FFFFFF"/>
        </w:rPr>
        <w:t>(1), pp.191-207.</w:t>
      </w:r>
    </w:p>
    <w:p w14:paraId="33468AE4" w14:textId="77777777" w:rsidR="00814D58" w:rsidRPr="00F142C9" w:rsidRDefault="00814D58" w:rsidP="00F142C9">
      <w:pPr>
        <w:pStyle w:val="ListParagraph"/>
        <w:jc w:val="both"/>
        <w:rPr>
          <w:rFonts w:cs="Arial"/>
          <w:color w:val="000000" w:themeColor="text1"/>
        </w:rPr>
      </w:pPr>
    </w:p>
    <w:p w14:paraId="100AB631" w14:textId="7D438FC4" w:rsidR="00814D58" w:rsidRPr="00F142C9" w:rsidRDefault="00814D58" w:rsidP="00F142C9">
      <w:pPr>
        <w:pStyle w:val="Body"/>
        <w:numPr>
          <w:ilvl w:val="0"/>
          <w:numId w:val="33"/>
        </w:numPr>
        <w:spacing w:after="0"/>
        <w:rPr>
          <w:rFonts w:cs="Arial"/>
          <w:color w:val="000000" w:themeColor="text1"/>
        </w:rPr>
      </w:pPr>
      <w:r w:rsidRPr="00F142C9">
        <w:rPr>
          <w:color w:val="000000" w:themeColor="text1"/>
        </w:rPr>
        <w:t xml:space="preserve">CLSI M07 (2022) </w:t>
      </w:r>
      <w:r w:rsidRPr="00F142C9">
        <w:rPr>
          <w:rStyle w:val="Emphasis"/>
          <w:color w:val="000000" w:themeColor="text1"/>
        </w:rPr>
        <w:t>Methods for dilution antimicrobial susceptibility tests for bacteria that grow aerobically</w:t>
      </w:r>
      <w:r w:rsidRPr="00F142C9">
        <w:rPr>
          <w:color w:val="000000" w:themeColor="text1"/>
        </w:rPr>
        <w:t xml:space="preserve">. 12th </w:t>
      </w:r>
      <w:proofErr w:type="spellStart"/>
      <w:r w:rsidRPr="00F142C9">
        <w:rPr>
          <w:color w:val="000000" w:themeColor="text1"/>
        </w:rPr>
        <w:t>edn</w:t>
      </w:r>
      <w:proofErr w:type="spellEnd"/>
      <w:r w:rsidRPr="00F142C9">
        <w:rPr>
          <w:color w:val="000000" w:themeColor="text1"/>
        </w:rPr>
        <w:t>. Wayne, PA: Clinical and Laboratory Standards Institute</w:t>
      </w:r>
    </w:p>
    <w:p w14:paraId="66A6AA36" w14:textId="77777777" w:rsidR="00814D58" w:rsidRPr="00F142C9" w:rsidRDefault="00814D58" w:rsidP="00F142C9">
      <w:pPr>
        <w:pStyle w:val="ListParagraph"/>
        <w:jc w:val="both"/>
        <w:rPr>
          <w:rFonts w:cs="Arial"/>
          <w:color w:val="000000" w:themeColor="text1"/>
        </w:rPr>
      </w:pPr>
    </w:p>
    <w:p w14:paraId="6CF71A1A" w14:textId="7D712419" w:rsidR="00790ADA" w:rsidRPr="00F142C9" w:rsidRDefault="00814D58" w:rsidP="00F142C9">
      <w:pPr>
        <w:pStyle w:val="Body"/>
        <w:numPr>
          <w:ilvl w:val="0"/>
          <w:numId w:val="33"/>
        </w:numPr>
        <w:spacing w:after="0"/>
        <w:rPr>
          <w:rFonts w:cs="Arial"/>
          <w:color w:val="000000" w:themeColor="text1"/>
        </w:rPr>
      </w:pPr>
      <w:r w:rsidRPr="00F142C9">
        <w:rPr>
          <w:color w:val="000000" w:themeColor="text1"/>
        </w:rPr>
        <w:t xml:space="preserve">Xu, Y, Zheng, X, Zeng, W, Chen, T, Liao, W, Qian, J, Lin, J, Zhou, C, Tian, X, Cao, J and Zhou, T (2020): Mechanisms of </w:t>
      </w:r>
      <w:proofErr w:type="spellStart"/>
      <w:r w:rsidRPr="00F142C9">
        <w:rPr>
          <w:color w:val="000000" w:themeColor="text1"/>
        </w:rPr>
        <w:t>heteroresistance</w:t>
      </w:r>
      <w:proofErr w:type="spellEnd"/>
      <w:r w:rsidRPr="00F142C9">
        <w:rPr>
          <w:color w:val="000000" w:themeColor="text1"/>
        </w:rPr>
        <w:t xml:space="preserve"> and resistance to imipenem in Pseudomonas aeruginosa, Infection and drug resistance, pp 1419-1428</w:t>
      </w:r>
    </w:p>
    <w:p w14:paraId="50745B67" w14:textId="77777777" w:rsidR="00B01FCD" w:rsidRPr="00F142C9" w:rsidRDefault="00B01FCD" w:rsidP="00F142C9">
      <w:pPr>
        <w:pStyle w:val="Appendix"/>
        <w:spacing w:after="0"/>
        <w:jc w:val="both"/>
        <w:rPr>
          <w:rFonts w:cs="Arial"/>
          <w:b w:val="0"/>
          <w:color w:val="000000" w:themeColor="text1"/>
        </w:rPr>
      </w:pPr>
    </w:p>
    <w:sectPr w:rsidR="00B01FCD" w:rsidRPr="00F142C9" w:rsidSect="00B77DE8">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2D82" w14:textId="77777777" w:rsidR="00BA7F74" w:rsidRDefault="00BA7F74" w:rsidP="00C37E61">
      <w:r>
        <w:separator/>
      </w:r>
    </w:p>
  </w:endnote>
  <w:endnote w:type="continuationSeparator" w:id="0">
    <w:p w14:paraId="3A83F73A" w14:textId="77777777" w:rsidR="00BA7F74" w:rsidRDefault="00BA7F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1C6A" w14:textId="77777777" w:rsidR="00B77DE8" w:rsidRDefault="00B7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F4D2" w14:textId="192C9E05" w:rsidR="00F563DE" w:rsidRDefault="00F563DE">
    <w:pPr>
      <w:pStyle w:val="Footer"/>
    </w:pPr>
  </w:p>
  <w:p w14:paraId="22086A7B" w14:textId="01B05F0C"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42A3" w14:textId="2BAD52FD" w:rsidR="00754C9A" w:rsidRPr="00C31B94" w:rsidRDefault="00754C9A" w:rsidP="00C31B9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1BE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7A27" w14:textId="77777777" w:rsidR="00BA7F74" w:rsidRDefault="00BA7F74" w:rsidP="00C37E61">
      <w:r>
        <w:separator/>
      </w:r>
    </w:p>
  </w:footnote>
  <w:footnote w:type="continuationSeparator" w:id="0">
    <w:p w14:paraId="01F660BE" w14:textId="77777777" w:rsidR="00BA7F74" w:rsidRDefault="00BA7F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64E2" w14:textId="29EFE45A" w:rsidR="00B77DE8" w:rsidRDefault="00B77DE8">
    <w:pPr>
      <w:pStyle w:val="Header"/>
    </w:pPr>
    <w:r>
      <w:rPr>
        <w:noProof/>
      </w:rPr>
      <w:pict w14:anchorId="2550D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6EAF" w14:textId="0E9B0ED4" w:rsidR="00B77DE8" w:rsidRDefault="00B77DE8">
    <w:pPr>
      <w:pStyle w:val="Header"/>
    </w:pPr>
    <w:r>
      <w:rPr>
        <w:noProof/>
      </w:rPr>
      <w:pict w14:anchorId="610B6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4523" w14:textId="7B079278" w:rsidR="00296529" w:rsidRPr="00296529" w:rsidRDefault="00B77DE8" w:rsidP="00296529">
    <w:pPr>
      <w:ind w:left="2160"/>
      <w:jc w:val="center"/>
      <w:rPr>
        <w:rFonts w:ascii="Times New Roman" w:eastAsia="Calibri" w:hAnsi="Times New Roman"/>
        <w:i/>
        <w:sz w:val="18"/>
        <w:szCs w:val="22"/>
      </w:rPr>
    </w:pPr>
    <w:r>
      <w:rPr>
        <w:noProof/>
      </w:rPr>
      <w:pict w14:anchorId="5DB16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199D15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4DA0E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2328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DC050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B9E6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D5A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3DC7" w14:textId="79CB8D64" w:rsidR="00B77DE8" w:rsidRDefault="00B77DE8">
    <w:pPr>
      <w:pStyle w:val="Header"/>
    </w:pPr>
    <w:r>
      <w:rPr>
        <w:noProof/>
      </w:rPr>
      <w:pict w14:anchorId="136DE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88FA" w14:textId="1CB7C3F3" w:rsidR="00B77DE8" w:rsidRDefault="00B77DE8">
    <w:pPr>
      <w:pStyle w:val="Header"/>
    </w:pPr>
    <w:r>
      <w:rPr>
        <w:noProof/>
      </w:rPr>
      <w:pict w14:anchorId="626D7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7A20" w14:textId="248F1BF3" w:rsidR="00B77DE8" w:rsidRDefault="00B77DE8">
    <w:pPr>
      <w:pStyle w:val="Header"/>
    </w:pPr>
    <w:r>
      <w:rPr>
        <w:noProof/>
      </w:rPr>
      <w:pict w14:anchorId="792BE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8C0D46"/>
    <w:multiLevelType w:val="multilevel"/>
    <w:tmpl w:val="71682AB6"/>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AAB4C7F"/>
    <w:multiLevelType w:val="multilevel"/>
    <w:tmpl w:val="910E6A3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88C118E"/>
    <w:multiLevelType w:val="hybridMultilevel"/>
    <w:tmpl w:val="37FC0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7"/>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36C"/>
    <w:rsid w:val="00012BB1"/>
    <w:rsid w:val="00030174"/>
    <w:rsid w:val="00044157"/>
    <w:rsid w:val="000449A8"/>
    <w:rsid w:val="0004579C"/>
    <w:rsid w:val="00057357"/>
    <w:rsid w:val="00057EF4"/>
    <w:rsid w:val="000A1462"/>
    <w:rsid w:val="000A3990"/>
    <w:rsid w:val="000A47FA"/>
    <w:rsid w:val="000A65D3"/>
    <w:rsid w:val="000B1E33"/>
    <w:rsid w:val="000B7C79"/>
    <w:rsid w:val="000C07EA"/>
    <w:rsid w:val="000D5AAE"/>
    <w:rsid w:val="000D689F"/>
    <w:rsid w:val="000D7950"/>
    <w:rsid w:val="000E466F"/>
    <w:rsid w:val="000E7B7B"/>
    <w:rsid w:val="000E7D62"/>
    <w:rsid w:val="000F3D78"/>
    <w:rsid w:val="00103357"/>
    <w:rsid w:val="00123C9F"/>
    <w:rsid w:val="00126190"/>
    <w:rsid w:val="00126D78"/>
    <w:rsid w:val="00130F17"/>
    <w:rsid w:val="001320BF"/>
    <w:rsid w:val="00163BC4"/>
    <w:rsid w:val="00184FB3"/>
    <w:rsid w:val="00191062"/>
    <w:rsid w:val="00192B72"/>
    <w:rsid w:val="00197605"/>
    <w:rsid w:val="001A29D8"/>
    <w:rsid w:val="001A5CAA"/>
    <w:rsid w:val="001B0427"/>
    <w:rsid w:val="001D3A51"/>
    <w:rsid w:val="001E10D2"/>
    <w:rsid w:val="001E1DFB"/>
    <w:rsid w:val="001E25B4"/>
    <w:rsid w:val="001E44FE"/>
    <w:rsid w:val="00200595"/>
    <w:rsid w:val="00204835"/>
    <w:rsid w:val="00227FC3"/>
    <w:rsid w:val="00231920"/>
    <w:rsid w:val="0023195C"/>
    <w:rsid w:val="00233057"/>
    <w:rsid w:val="0024282C"/>
    <w:rsid w:val="002460DC"/>
    <w:rsid w:val="00250985"/>
    <w:rsid w:val="002556F6"/>
    <w:rsid w:val="0026530E"/>
    <w:rsid w:val="00283105"/>
    <w:rsid w:val="00284C4C"/>
    <w:rsid w:val="00287796"/>
    <w:rsid w:val="00287E68"/>
    <w:rsid w:val="00296529"/>
    <w:rsid w:val="002B27FB"/>
    <w:rsid w:val="002B685A"/>
    <w:rsid w:val="002C57D2"/>
    <w:rsid w:val="002E0D56"/>
    <w:rsid w:val="00315186"/>
    <w:rsid w:val="00321E4B"/>
    <w:rsid w:val="0033343E"/>
    <w:rsid w:val="00345826"/>
    <w:rsid w:val="003512C2"/>
    <w:rsid w:val="003566ED"/>
    <w:rsid w:val="0036119C"/>
    <w:rsid w:val="00365D17"/>
    <w:rsid w:val="00371FB6"/>
    <w:rsid w:val="003763C1"/>
    <w:rsid w:val="00376BBE"/>
    <w:rsid w:val="0039224F"/>
    <w:rsid w:val="003A43A4"/>
    <w:rsid w:val="003A52B5"/>
    <w:rsid w:val="003A7E18"/>
    <w:rsid w:val="003C4C86"/>
    <w:rsid w:val="003C6258"/>
    <w:rsid w:val="003E2904"/>
    <w:rsid w:val="003E674E"/>
    <w:rsid w:val="00400EC2"/>
    <w:rsid w:val="00401927"/>
    <w:rsid w:val="00405E58"/>
    <w:rsid w:val="0041027F"/>
    <w:rsid w:val="00412475"/>
    <w:rsid w:val="00421F38"/>
    <w:rsid w:val="00423789"/>
    <w:rsid w:val="00440F43"/>
    <w:rsid w:val="00441B6F"/>
    <w:rsid w:val="00446221"/>
    <w:rsid w:val="00450E62"/>
    <w:rsid w:val="004539DB"/>
    <w:rsid w:val="00457E1B"/>
    <w:rsid w:val="004609B9"/>
    <w:rsid w:val="00471A80"/>
    <w:rsid w:val="0047228A"/>
    <w:rsid w:val="00476D06"/>
    <w:rsid w:val="00481104"/>
    <w:rsid w:val="00492C59"/>
    <w:rsid w:val="004C5FF0"/>
    <w:rsid w:val="004D305E"/>
    <w:rsid w:val="004D4277"/>
    <w:rsid w:val="004D627C"/>
    <w:rsid w:val="004F05D8"/>
    <w:rsid w:val="00502516"/>
    <w:rsid w:val="00505F06"/>
    <w:rsid w:val="00506828"/>
    <w:rsid w:val="0053056E"/>
    <w:rsid w:val="00535E1A"/>
    <w:rsid w:val="00554FDA"/>
    <w:rsid w:val="005A206B"/>
    <w:rsid w:val="005C784C"/>
    <w:rsid w:val="005D17F6"/>
    <w:rsid w:val="005D3A97"/>
    <w:rsid w:val="005E078E"/>
    <w:rsid w:val="005E5539"/>
    <w:rsid w:val="005E643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A3E"/>
    <w:rsid w:val="00704174"/>
    <w:rsid w:val="0073431E"/>
    <w:rsid w:val="007369E6"/>
    <w:rsid w:val="00746E59"/>
    <w:rsid w:val="00754C9A"/>
    <w:rsid w:val="0075599A"/>
    <w:rsid w:val="00761D52"/>
    <w:rsid w:val="0077749E"/>
    <w:rsid w:val="00790ADA"/>
    <w:rsid w:val="007A0AB3"/>
    <w:rsid w:val="007A6144"/>
    <w:rsid w:val="007D2288"/>
    <w:rsid w:val="007E088F"/>
    <w:rsid w:val="007E556B"/>
    <w:rsid w:val="007F4312"/>
    <w:rsid w:val="007F7B32"/>
    <w:rsid w:val="00804BC2"/>
    <w:rsid w:val="0081431A"/>
    <w:rsid w:val="00814D58"/>
    <w:rsid w:val="00823414"/>
    <w:rsid w:val="0083216F"/>
    <w:rsid w:val="00860000"/>
    <w:rsid w:val="00861812"/>
    <w:rsid w:val="00863BD3"/>
    <w:rsid w:val="008641ED"/>
    <w:rsid w:val="0086660D"/>
    <w:rsid w:val="00866D66"/>
    <w:rsid w:val="008671C6"/>
    <w:rsid w:val="00875803"/>
    <w:rsid w:val="008A6AAC"/>
    <w:rsid w:val="008B459E"/>
    <w:rsid w:val="008E13AE"/>
    <w:rsid w:val="008E1506"/>
    <w:rsid w:val="008E710C"/>
    <w:rsid w:val="008F69D6"/>
    <w:rsid w:val="00902823"/>
    <w:rsid w:val="00915CA6"/>
    <w:rsid w:val="00922EF2"/>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2C6"/>
    <w:rsid w:val="00A347C0"/>
    <w:rsid w:val="00A51431"/>
    <w:rsid w:val="00A539AD"/>
    <w:rsid w:val="00A83F4C"/>
    <w:rsid w:val="00A94063"/>
    <w:rsid w:val="00AA6219"/>
    <w:rsid w:val="00AA74E0"/>
    <w:rsid w:val="00AB703F"/>
    <w:rsid w:val="00AC6BB8"/>
    <w:rsid w:val="00AE008F"/>
    <w:rsid w:val="00AE6A33"/>
    <w:rsid w:val="00AF3B46"/>
    <w:rsid w:val="00B01FCD"/>
    <w:rsid w:val="00B16687"/>
    <w:rsid w:val="00B1776C"/>
    <w:rsid w:val="00B31E70"/>
    <w:rsid w:val="00B356ED"/>
    <w:rsid w:val="00B41408"/>
    <w:rsid w:val="00B44285"/>
    <w:rsid w:val="00B52583"/>
    <w:rsid w:val="00B52896"/>
    <w:rsid w:val="00B77DE8"/>
    <w:rsid w:val="00B95236"/>
    <w:rsid w:val="00B96BD9"/>
    <w:rsid w:val="00BA1B01"/>
    <w:rsid w:val="00BA2641"/>
    <w:rsid w:val="00BA7F74"/>
    <w:rsid w:val="00BB37AA"/>
    <w:rsid w:val="00BC53A0"/>
    <w:rsid w:val="00BC652C"/>
    <w:rsid w:val="00BE05DE"/>
    <w:rsid w:val="00BE62AD"/>
    <w:rsid w:val="00BF121F"/>
    <w:rsid w:val="00BF1F80"/>
    <w:rsid w:val="00C0282D"/>
    <w:rsid w:val="00C166EF"/>
    <w:rsid w:val="00C17EB0"/>
    <w:rsid w:val="00C27F5F"/>
    <w:rsid w:val="00C30A0F"/>
    <w:rsid w:val="00C31B94"/>
    <w:rsid w:val="00C34E98"/>
    <w:rsid w:val="00C37E61"/>
    <w:rsid w:val="00C61339"/>
    <w:rsid w:val="00C66937"/>
    <w:rsid w:val="00C70F1B"/>
    <w:rsid w:val="00C71A47"/>
    <w:rsid w:val="00C7464C"/>
    <w:rsid w:val="00C748A6"/>
    <w:rsid w:val="00C85588"/>
    <w:rsid w:val="00CC3D31"/>
    <w:rsid w:val="00CD6755"/>
    <w:rsid w:val="00CD6856"/>
    <w:rsid w:val="00CE0089"/>
    <w:rsid w:val="00CE793C"/>
    <w:rsid w:val="00CF193C"/>
    <w:rsid w:val="00D173F1"/>
    <w:rsid w:val="00D26FE8"/>
    <w:rsid w:val="00D639D1"/>
    <w:rsid w:val="00D71F16"/>
    <w:rsid w:val="00D74CB0"/>
    <w:rsid w:val="00D8295D"/>
    <w:rsid w:val="00DB71A1"/>
    <w:rsid w:val="00DC2A65"/>
    <w:rsid w:val="00DC3B20"/>
    <w:rsid w:val="00DD212F"/>
    <w:rsid w:val="00DD3BB6"/>
    <w:rsid w:val="00DE15F0"/>
    <w:rsid w:val="00DE5663"/>
    <w:rsid w:val="00DE78AA"/>
    <w:rsid w:val="00E053D0"/>
    <w:rsid w:val="00E15994"/>
    <w:rsid w:val="00E3114E"/>
    <w:rsid w:val="00E31A70"/>
    <w:rsid w:val="00E35B02"/>
    <w:rsid w:val="00E66496"/>
    <w:rsid w:val="00E66B35"/>
    <w:rsid w:val="00E66E10"/>
    <w:rsid w:val="00E769F6"/>
    <w:rsid w:val="00E8376C"/>
    <w:rsid w:val="00E8407C"/>
    <w:rsid w:val="00E84F3C"/>
    <w:rsid w:val="00EA012C"/>
    <w:rsid w:val="00EC6A55"/>
    <w:rsid w:val="00ED0288"/>
    <w:rsid w:val="00EE52CB"/>
    <w:rsid w:val="00EF07BE"/>
    <w:rsid w:val="00EF581D"/>
    <w:rsid w:val="00EF7FD8"/>
    <w:rsid w:val="00F05F54"/>
    <w:rsid w:val="00F06F59"/>
    <w:rsid w:val="00F142C9"/>
    <w:rsid w:val="00F17988"/>
    <w:rsid w:val="00F469F0"/>
    <w:rsid w:val="00F53273"/>
    <w:rsid w:val="00F563DE"/>
    <w:rsid w:val="00F755E4"/>
    <w:rsid w:val="00F77D02"/>
    <w:rsid w:val="00F90156"/>
    <w:rsid w:val="00F90A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DCB1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7796"/>
    <w:rPr>
      <w:rFonts w:ascii="Arial" w:hAnsi="Arial"/>
    </w:rPr>
  </w:style>
  <w:style w:type="paragraph" w:styleId="Heading1">
    <w:name w:val="heading 1"/>
    <w:basedOn w:val="Normal"/>
    <w:next w:val="Normal"/>
    <w:qFormat/>
    <w:rsid w:val="007E556B"/>
    <w:pPr>
      <w:keepNext/>
      <w:spacing w:before="240" w:after="60"/>
      <w:outlineLvl w:val="0"/>
    </w:pPr>
    <w:rPr>
      <w:b/>
      <w:kern w:val="28"/>
      <w:sz w:val="22"/>
    </w:rPr>
  </w:style>
  <w:style w:type="paragraph" w:styleId="Heading2">
    <w:name w:val="heading 2"/>
    <w:basedOn w:val="Normal"/>
    <w:next w:val="Normal"/>
    <w:link w:val="Heading2Char"/>
    <w:unhideWhenUsed/>
    <w:qFormat/>
    <w:rsid w:val="0047228A"/>
    <w:pPr>
      <w:keepNext/>
      <w:keepLines/>
      <w:spacing w:before="40"/>
      <w:outlineLvl w:val="1"/>
    </w:pPr>
    <w:rPr>
      <w:rFonts w:eastAsiaTheme="majorEastAsia" w:cstheme="majorBidi"/>
      <w:b/>
      <w:sz w:val="22"/>
      <w:szCs w:val="26"/>
    </w:rPr>
  </w:style>
  <w:style w:type="paragraph" w:styleId="Heading3">
    <w:name w:val="heading 3"/>
    <w:basedOn w:val="Normal"/>
    <w:next w:val="Normal"/>
    <w:link w:val="Heading3Char"/>
    <w:unhideWhenUsed/>
    <w:qFormat/>
    <w:rsid w:val="005E078E"/>
    <w:pPr>
      <w:keepNext/>
      <w:keepLines/>
      <w:spacing w:before="40"/>
      <w:outlineLvl w:val="2"/>
    </w:pPr>
    <w:rPr>
      <w:rFonts w:eastAsiaTheme="majorEastAsia" w:cstheme="majorBidi"/>
      <w:b/>
      <w:szCs w:val="24"/>
      <w:u w:val="single"/>
    </w:rPr>
  </w:style>
  <w:style w:type="paragraph" w:styleId="Heading4">
    <w:name w:val="heading 4"/>
    <w:basedOn w:val="Normal"/>
    <w:next w:val="Normal"/>
    <w:link w:val="Heading4Char"/>
    <w:semiHidden/>
    <w:unhideWhenUsed/>
    <w:qFormat/>
    <w:rsid w:val="005E078E"/>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47228A"/>
    <w:rPr>
      <w:rFonts w:ascii="Arial" w:eastAsiaTheme="majorEastAsia" w:hAnsi="Arial" w:cstheme="majorBidi"/>
      <w:b/>
      <w:sz w:val="22"/>
      <w:szCs w:val="26"/>
    </w:rPr>
  </w:style>
  <w:style w:type="paragraph" w:styleId="ListParagraph">
    <w:name w:val="List Paragraph"/>
    <w:basedOn w:val="Normal"/>
    <w:uiPriority w:val="34"/>
    <w:qFormat/>
    <w:rsid w:val="00823414"/>
    <w:pPr>
      <w:ind w:left="720"/>
      <w:contextualSpacing/>
    </w:pPr>
  </w:style>
  <w:style w:type="paragraph" w:customStyle="1" w:styleId="Head">
    <w:name w:val="Head"/>
    <w:basedOn w:val="Body"/>
    <w:rsid w:val="005E078E"/>
    <w:rPr>
      <w:rFonts w:cs="Arial"/>
      <w:b/>
      <w:bCs/>
    </w:rPr>
  </w:style>
  <w:style w:type="character" w:customStyle="1" w:styleId="Heading3Char">
    <w:name w:val="Heading 3 Char"/>
    <w:basedOn w:val="DefaultParagraphFont"/>
    <w:link w:val="Heading3"/>
    <w:rsid w:val="005E078E"/>
    <w:rPr>
      <w:rFonts w:ascii="Arial" w:eastAsiaTheme="majorEastAsia" w:hAnsi="Arial" w:cstheme="majorBidi"/>
      <w:b/>
      <w:szCs w:val="24"/>
      <w:u w:val="single"/>
    </w:rPr>
  </w:style>
  <w:style w:type="character" w:customStyle="1" w:styleId="Heading4Char">
    <w:name w:val="Heading 4 Char"/>
    <w:basedOn w:val="DefaultParagraphFont"/>
    <w:link w:val="Heading4"/>
    <w:semiHidden/>
    <w:rsid w:val="005E078E"/>
    <w:rPr>
      <w:rFonts w:ascii="Arial" w:eastAsiaTheme="majorEastAsia" w:hAnsi="Arial" w:cstheme="majorBidi"/>
      <w:b/>
      <w:i/>
      <w:iCs/>
    </w:rPr>
  </w:style>
  <w:style w:type="character" w:customStyle="1" w:styleId="FooterChar">
    <w:name w:val="Footer Char"/>
    <w:basedOn w:val="DefaultParagraphFont"/>
    <w:link w:val="Footer"/>
    <w:uiPriority w:val="99"/>
    <w:rsid w:val="00F563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856365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9800044">
      <w:bodyDiv w:val="1"/>
      <w:marLeft w:val="0"/>
      <w:marRight w:val="0"/>
      <w:marTop w:val="0"/>
      <w:marBottom w:val="0"/>
      <w:divBdr>
        <w:top w:val="none" w:sz="0" w:space="0" w:color="auto"/>
        <w:left w:val="none" w:sz="0" w:space="0" w:color="auto"/>
        <w:bottom w:val="none" w:sz="0" w:space="0" w:color="auto"/>
        <w:right w:val="none" w:sz="0" w:space="0" w:color="auto"/>
      </w:divBdr>
    </w:div>
    <w:div w:id="1577592456">
      <w:bodyDiv w:val="1"/>
      <w:marLeft w:val="0"/>
      <w:marRight w:val="0"/>
      <w:marTop w:val="0"/>
      <w:marBottom w:val="0"/>
      <w:divBdr>
        <w:top w:val="none" w:sz="0" w:space="0" w:color="auto"/>
        <w:left w:val="none" w:sz="0" w:space="0" w:color="auto"/>
        <w:bottom w:val="none" w:sz="0" w:space="0" w:color="auto"/>
        <w:right w:val="none" w:sz="0" w:space="0" w:color="auto"/>
      </w:divBdr>
    </w:div>
    <w:div w:id="16738712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25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sm.org/Protocols/Kirby-Bauer-Disk-Diffusion-Susceptibility-Test-Pro"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m100.edaptivedocs.net/dashboard.aspx"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CF9C-9ABB-494C-8D11-B75D207B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10</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2025-02-28T10:56:00Z</dcterms:created>
  <dcterms:modified xsi:type="dcterms:W3CDTF">2025-03-12T09:58:00Z</dcterms:modified>
</cp:coreProperties>
</file>