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3E6C" w14:textId="77777777" w:rsidR="008F71FE" w:rsidRPr="008F71FE" w:rsidRDefault="008F71FE" w:rsidP="002F5AE2">
      <w:pPr>
        <w:jc w:val="right"/>
        <w:rPr>
          <w:b/>
          <w:bCs/>
          <w:i/>
          <w:sz w:val="36"/>
          <w:szCs w:val="36"/>
          <w:u w:val="single"/>
        </w:rPr>
      </w:pPr>
      <w:bookmarkStart w:id="0" w:name="_Hlk190609461"/>
      <w:bookmarkStart w:id="1" w:name="_Hlk191289799"/>
      <w:r w:rsidRPr="008F71FE">
        <w:rPr>
          <w:b/>
          <w:bCs/>
          <w:i/>
          <w:sz w:val="36"/>
          <w:szCs w:val="36"/>
          <w:u w:val="single"/>
        </w:rPr>
        <w:t>Original Research Article</w:t>
      </w:r>
    </w:p>
    <w:p w14:paraId="398A7291" w14:textId="59AC1130" w:rsidR="00D17B3A" w:rsidRPr="002F5AE2" w:rsidRDefault="00A46A2A" w:rsidP="002F5AE2">
      <w:pPr>
        <w:jc w:val="right"/>
        <w:rPr>
          <w:b/>
          <w:bCs/>
          <w:sz w:val="36"/>
          <w:szCs w:val="36"/>
        </w:rPr>
      </w:pPr>
      <w:r w:rsidRPr="002F5AE2">
        <w:rPr>
          <w:b/>
          <w:bCs/>
          <w:sz w:val="36"/>
          <w:szCs w:val="36"/>
        </w:rPr>
        <w:t xml:space="preserve">Karyotype and Phenotypic Variability </w:t>
      </w:r>
      <w:bookmarkEnd w:id="0"/>
      <w:r w:rsidRPr="002F5AE2">
        <w:rPr>
          <w:b/>
          <w:bCs/>
          <w:sz w:val="36"/>
          <w:szCs w:val="36"/>
        </w:rPr>
        <w:t>in Disorders of Sex Development Refining Diagnosis with a Novel Comprehensive DSD Classification Score CDCS</w:t>
      </w:r>
    </w:p>
    <w:bookmarkEnd w:id="1"/>
    <w:p w14:paraId="4F69E428" w14:textId="77777777" w:rsidR="008E32F2" w:rsidRDefault="008E32F2" w:rsidP="00A46A2A">
      <w:pPr>
        <w:rPr>
          <w:b/>
          <w:bCs/>
        </w:rPr>
      </w:pPr>
    </w:p>
    <w:p w14:paraId="294BCF56" w14:textId="77777777" w:rsidR="0046705F" w:rsidRDefault="0046705F" w:rsidP="00A46A2A">
      <w:pPr>
        <w:rPr>
          <w:rFonts w:asciiTheme="minorBidi" w:hAnsiTheme="minorBidi"/>
          <w:b/>
          <w:bCs/>
        </w:rPr>
      </w:pPr>
    </w:p>
    <w:p w14:paraId="61D041D2" w14:textId="12538617" w:rsidR="008E32F2" w:rsidRPr="0013711F" w:rsidRDefault="00726959" w:rsidP="00A46A2A">
      <w:pPr>
        <w:rPr>
          <w:rFonts w:asciiTheme="minorBidi" w:hAnsiTheme="minorBidi"/>
          <w:b/>
          <w:bCs/>
        </w:rPr>
      </w:pPr>
      <w:r w:rsidRPr="0013711F">
        <w:rPr>
          <w:rFonts w:asciiTheme="minorBidi" w:hAnsiTheme="minorBidi"/>
          <w:b/>
          <w:bCs/>
        </w:rPr>
        <w:t>ABSTRACT</w:t>
      </w:r>
    </w:p>
    <w:p w14:paraId="1561A79B" w14:textId="77777777" w:rsidR="002F5AE2" w:rsidRPr="0013711F" w:rsidRDefault="00726959" w:rsidP="008816DF">
      <w:pPr>
        <w:jc w:val="both"/>
        <w:rPr>
          <w:rFonts w:asciiTheme="minorBidi" w:hAnsiTheme="minorBidi"/>
          <w:sz w:val="20"/>
          <w:szCs w:val="20"/>
        </w:rPr>
      </w:pPr>
      <w:r w:rsidRPr="0013711F">
        <w:rPr>
          <w:rFonts w:asciiTheme="minorBidi" w:hAnsiTheme="minorBidi"/>
          <w:b/>
          <w:bCs/>
          <w:sz w:val="20"/>
          <w:szCs w:val="20"/>
        </w:rPr>
        <w:t xml:space="preserve">Introduction: </w:t>
      </w:r>
      <w:r w:rsidRPr="0013711F">
        <w:rPr>
          <w:rFonts w:asciiTheme="minorBidi" w:hAnsiTheme="minorBidi"/>
          <w:sz w:val="20"/>
          <w:szCs w:val="20"/>
        </w:rPr>
        <w:t>Disorders of Sex Development (DSD) encompass a heterogeneous group of congenital conditions affecting chromosomal, gonadal, and phenotypic sex, with an estimated incidence of 1 in 4,500 live births. Current DSD classification relies heavily on phenotypic and karyotypic categorization, often without a standardized grading system for clinical severity. The Comprehensive DSD Classification Score (CDCS) was developed as a novel scoring system integrating four key domains: external genitalia, internal reproductive structures, gonadal positioning/function, and chromosomal assessment.</w:t>
      </w:r>
    </w:p>
    <w:p w14:paraId="4862BCEC" w14:textId="77777777" w:rsidR="002F5AE2" w:rsidRPr="0013711F" w:rsidRDefault="00726959" w:rsidP="008816DF">
      <w:pPr>
        <w:jc w:val="both"/>
        <w:rPr>
          <w:rFonts w:asciiTheme="minorBidi" w:hAnsiTheme="minorBidi"/>
          <w:sz w:val="20"/>
          <w:szCs w:val="20"/>
        </w:rPr>
      </w:pPr>
      <w:r w:rsidRPr="0013711F">
        <w:rPr>
          <w:rFonts w:asciiTheme="minorBidi" w:hAnsiTheme="minorBidi"/>
          <w:b/>
          <w:bCs/>
          <w:sz w:val="20"/>
          <w:szCs w:val="20"/>
        </w:rPr>
        <w:t xml:space="preserve"> Methods: </w:t>
      </w:r>
      <w:r w:rsidRPr="0013711F">
        <w:rPr>
          <w:rFonts w:asciiTheme="minorBidi" w:hAnsiTheme="minorBidi"/>
          <w:sz w:val="20"/>
          <w:szCs w:val="20"/>
        </w:rPr>
        <w:t xml:space="preserve">This study was designed as a retrospective cohort analysis. The cohort consisted of 70 pediatric patients diagnosed with Disorders of Sex Development (DSD), who underwent comprehensive clinical, laboratory, and imaging evaluations. </w:t>
      </w:r>
      <w:r w:rsidR="00095745" w:rsidRPr="0013711F">
        <w:rPr>
          <w:rFonts w:asciiTheme="minorBidi" w:hAnsiTheme="minorBidi"/>
          <w:sz w:val="20"/>
          <w:szCs w:val="20"/>
        </w:rPr>
        <w:t>The Comprehensive DSD Classification Score (CDCS) was designed as a quantitative, standardized scoring system (0–30 scale) integrating external genitalia appearance, internal reproductive structures, gonadal positioning/function, and chromosomal findings. Data were analyzed using SPSS (version 26.0) and GraphPad Prism (version 9.0). Predictive Accuracy of CDCS (ROC Curve Analysis): Receiver Operating Characteristic (ROC) curves evaluated CDCS as a predictor for surgical/hormonal interventions. Area Under the Curve (AUC) interpretation: AUC &gt; 0.8 = Strong predictive ability. AUC 0.7–0.8 = Moderate predictive ability. AUC &lt; 0.7 = Weak predictive ability.</w:t>
      </w:r>
    </w:p>
    <w:p w14:paraId="235BC1FB" w14:textId="77777777" w:rsidR="002F5AE2" w:rsidRPr="0013711F" w:rsidRDefault="00095745" w:rsidP="008816DF">
      <w:pPr>
        <w:jc w:val="both"/>
        <w:rPr>
          <w:rFonts w:asciiTheme="minorBidi" w:hAnsiTheme="minorBidi"/>
          <w:sz w:val="20"/>
          <w:szCs w:val="20"/>
        </w:rPr>
      </w:pPr>
      <w:r w:rsidRPr="0013711F">
        <w:rPr>
          <w:rFonts w:asciiTheme="minorBidi" w:hAnsiTheme="minorBidi"/>
          <w:sz w:val="20"/>
          <w:szCs w:val="20"/>
        </w:rPr>
        <w:t xml:space="preserve"> </w:t>
      </w:r>
      <w:r w:rsidRPr="0013711F">
        <w:rPr>
          <w:rFonts w:asciiTheme="minorBidi" w:hAnsiTheme="minorBidi"/>
          <w:b/>
          <w:bCs/>
          <w:sz w:val="20"/>
          <w:szCs w:val="20"/>
        </w:rPr>
        <w:t>Results:</w:t>
      </w:r>
      <w:r w:rsidRPr="0013711F">
        <w:rPr>
          <w:rFonts w:asciiTheme="minorBidi" w:hAnsiTheme="minorBidi"/>
          <w:sz w:val="20"/>
          <w:szCs w:val="20"/>
        </w:rPr>
        <w:t xml:space="preserve"> The CDCS scoring system demonstrated strong inter-rater reliability, as measured by the Intraclass Correlation Coefficient (ICC = 0.82, 95% CI: 0.77–0.89). Independent scoring by two clinicians on 20 randomly selected cases showed high agreement, confirming CDCS as a reproducible classification tool</w:t>
      </w:r>
      <w:r w:rsidR="008816DF" w:rsidRPr="0013711F">
        <w:rPr>
          <w:rFonts w:asciiTheme="minorBidi" w:hAnsiTheme="minorBidi"/>
          <w:sz w:val="20"/>
          <w:szCs w:val="20"/>
        </w:rPr>
        <w:t xml:space="preserve">. </w:t>
      </w:r>
    </w:p>
    <w:p w14:paraId="0C18D7F8" w14:textId="0EF68BBE" w:rsidR="00095745" w:rsidRPr="0013711F" w:rsidRDefault="008816DF" w:rsidP="008816DF">
      <w:pPr>
        <w:jc w:val="both"/>
        <w:rPr>
          <w:rFonts w:asciiTheme="minorBidi" w:hAnsiTheme="minorBidi"/>
          <w:sz w:val="20"/>
          <w:szCs w:val="20"/>
        </w:rPr>
      </w:pPr>
      <w:r w:rsidRPr="0013711F">
        <w:rPr>
          <w:rFonts w:asciiTheme="minorBidi" w:hAnsiTheme="minorBidi"/>
          <w:b/>
          <w:bCs/>
          <w:sz w:val="20"/>
          <w:szCs w:val="20"/>
        </w:rPr>
        <w:t>Conclusion:</w:t>
      </w:r>
      <w:r w:rsidRPr="0013711F">
        <w:rPr>
          <w:rFonts w:asciiTheme="minorBidi" w:hAnsiTheme="minorBidi"/>
          <w:sz w:val="20"/>
          <w:szCs w:val="20"/>
        </w:rPr>
        <w:t xml:space="preserve"> Most DSD scoring systems are static, focusing only on initial diagnosis. CDCS is dynamic, allowing tracking of disease progression, endocrine response, and surgical/hormonal outcomes over time, and reassessment at puberty, guiding future reproductive and endocrine management. </w:t>
      </w:r>
    </w:p>
    <w:p w14:paraId="2B28EDF9" w14:textId="302207A2" w:rsidR="00095745" w:rsidRPr="00095745" w:rsidRDefault="00095745" w:rsidP="00095745">
      <w:pPr>
        <w:jc w:val="both"/>
        <w:rPr>
          <w:b/>
          <w:bCs/>
        </w:rPr>
      </w:pPr>
    </w:p>
    <w:p w14:paraId="3B01DA29" w14:textId="00949170" w:rsidR="00726959" w:rsidRDefault="002F5AE2" w:rsidP="002F5AE2">
      <w:pPr>
        <w:jc w:val="both"/>
        <w:rPr>
          <w:b/>
          <w:bCs/>
        </w:rPr>
      </w:pPr>
      <w:r w:rsidRPr="0013711F">
        <w:rPr>
          <w:rFonts w:asciiTheme="minorBidi" w:hAnsiTheme="minorBidi"/>
          <w:b/>
          <w:bCs/>
        </w:rPr>
        <w:t>KEYWORDS:</w:t>
      </w:r>
      <w:r>
        <w:rPr>
          <w:b/>
          <w:bCs/>
        </w:rPr>
        <w:t xml:space="preserve"> </w:t>
      </w:r>
      <w:r w:rsidRPr="0013711F">
        <w:rPr>
          <w:rFonts w:asciiTheme="minorBidi" w:hAnsiTheme="minorBidi"/>
          <w:sz w:val="20"/>
          <w:szCs w:val="20"/>
        </w:rPr>
        <w:t xml:space="preserve">DSD, karyotype and phenotypic </w:t>
      </w:r>
      <w:r w:rsidR="0013711F" w:rsidRPr="0013711F">
        <w:rPr>
          <w:rFonts w:asciiTheme="minorBidi" w:hAnsiTheme="minorBidi"/>
          <w:sz w:val="20"/>
          <w:szCs w:val="20"/>
        </w:rPr>
        <w:t>variability, novel</w:t>
      </w:r>
      <w:r w:rsidRPr="0013711F">
        <w:rPr>
          <w:rFonts w:asciiTheme="minorBidi" w:hAnsiTheme="minorBidi"/>
          <w:sz w:val="20"/>
          <w:szCs w:val="20"/>
        </w:rPr>
        <w:t xml:space="preserve"> scoring system.</w:t>
      </w:r>
      <w:r>
        <w:rPr>
          <w:b/>
          <w:bCs/>
        </w:rPr>
        <w:t xml:space="preserve"> </w:t>
      </w:r>
    </w:p>
    <w:p w14:paraId="374D6BC5" w14:textId="77777777" w:rsidR="00B46FCD" w:rsidRDefault="00B46FCD" w:rsidP="00A46A2A">
      <w:pPr>
        <w:rPr>
          <w:b/>
          <w:bCs/>
        </w:rPr>
      </w:pPr>
    </w:p>
    <w:p w14:paraId="118AC50A" w14:textId="77777777" w:rsidR="00E61B88" w:rsidRDefault="00E61B88" w:rsidP="00B46FCD">
      <w:pPr>
        <w:rPr>
          <w:rFonts w:asciiTheme="minorBidi" w:hAnsiTheme="minorBidi"/>
          <w:b/>
          <w:bCs/>
        </w:rPr>
      </w:pPr>
    </w:p>
    <w:p w14:paraId="3FAFB227" w14:textId="5C5DEBCF" w:rsidR="00E61B88" w:rsidRDefault="00E61B88" w:rsidP="00B46FCD">
      <w:pPr>
        <w:rPr>
          <w:rFonts w:asciiTheme="minorBidi" w:hAnsiTheme="minorBidi"/>
          <w:b/>
          <w:bCs/>
        </w:rPr>
      </w:pPr>
    </w:p>
    <w:p w14:paraId="1A2C4EAD" w14:textId="30D2FA98" w:rsidR="0046705F" w:rsidRDefault="0046705F" w:rsidP="00B46FCD">
      <w:pPr>
        <w:rPr>
          <w:rFonts w:asciiTheme="minorBidi" w:hAnsiTheme="minorBidi"/>
          <w:b/>
          <w:bCs/>
        </w:rPr>
      </w:pPr>
    </w:p>
    <w:p w14:paraId="28E47874" w14:textId="77777777" w:rsidR="0046705F" w:rsidRDefault="0046705F" w:rsidP="00B46FCD">
      <w:pPr>
        <w:rPr>
          <w:rFonts w:asciiTheme="minorBidi" w:hAnsiTheme="minorBidi"/>
          <w:b/>
          <w:bCs/>
        </w:rPr>
      </w:pPr>
    </w:p>
    <w:p w14:paraId="3E21B912" w14:textId="77777777" w:rsidR="00E61B88" w:rsidRDefault="00E61B88" w:rsidP="00B46FCD">
      <w:pPr>
        <w:rPr>
          <w:rFonts w:asciiTheme="minorBidi" w:hAnsiTheme="minorBidi"/>
          <w:b/>
          <w:bCs/>
        </w:rPr>
      </w:pPr>
    </w:p>
    <w:p w14:paraId="02409055" w14:textId="5FEDCECF" w:rsidR="00B46FCD" w:rsidRDefault="00B46FCD" w:rsidP="00B46FCD">
      <w:pPr>
        <w:rPr>
          <w:rFonts w:asciiTheme="minorBidi" w:hAnsiTheme="minorBidi"/>
          <w:b/>
          <w:bCs/>
        </w:rPr>
      </w:pPr>
      <w:r w:rsidRPr="0013711F">
        <w:rPr>
          <w:rFonts w:asciiTheme="minorBidi" w:hAnsiTheme="minorBidi"/>
          <w:b/>
          <w:bCs/>
        </w:rPr>
        <w:lastRenderedPageBreak/>
        <w:t>I</w:t>
      </w:r>
      <w:r w:rsidR="0013711F" w:rsidRPr="0013711F">
        <w:rPr>
          <w:rFonts w:asciiTheme="minorBidi" w:hAnsiTheme="minorBidi"/>
          <w:b/>
          <w:bCs/>
        </w:rPr>
        <w:t xml:space="preserve">NTRODUCTION </w:t>
      </w:r>
    </w:p>
    <w:p w14:paraId="4123BEC7" w14:textId="77777777" w:rsidR="0046705F" w:rsidRPr="0013711F" w:rsidRDefault="0046705F" w:rsidP="00B46FCD">
      <w:pPr>
        <w:rPr>
          <w:rFonts w:asciiTheme="minorBidi" w:hAnsiTheme="minorBidi"/>
          <w:b/>
          <w:bCs/>
        </w:rPr>
      </w:pPr>
    </w:p>
    <w:p w14:paraId="17AEAF1B" w14:textId="02E1B500" w:rsidR="00B46FCD" w:rsidRPr="0013711F" w:rsidRDefault="00B145DB" w:rsidP="004B7045">
      <w:pPr>
        <w:jc w:val="both"/>
        <w:rPr>
          <w:rFonts w:asciiTheme="minorBidi" w:hAnsiTheme="minorBidi"/>
          <w:sz w:val="20"/>
          <w:szCs w:val="20"/>
        </w:rPr>
      </w:pPr>
      <w:r w:rsidRPr="0013711F">
        <w:rPr>
          <w:rFonts w:asciiTheme="minorBidi" w:hAnsiTheme="minorBidi"/>
          <w:sz w:val="20"/>
          <w:szCs w:val="20"/>
        </w:rPr>
        <w:t xml:space="preserve">  </w:t>
      </w:r>
      <w:bookmarkStart w:id="2" w:name="_Hlk190608614"/>
      <w:r w:rsidR="00B46FCD" w:rsidRPr="0013711F">
        <w:rPr>
          <w:rFonts w:asciiTheme="minorBidi" w:hAnsiTheme="minorBidi"/>
          <w:sz w:val="20"/>
          <w:szCs w:val="20"/>
        </w:rPr>
        <w:t xml:space="preserve">Disorders of Sex Development (DSD) encompass a heterogeneous group of congenital conditions affecting chromosomal, gonadal, and phenotypic sex, with an estimated incidence of 1 in 4,500 live births </w:t>
      </w:r>
      <w:bookmarkEnd w:id="2"/>
      <w:r w:rsidR="00B46FCD" w:rsidRPr="0013711F">
        <w:rPr>
          <w:rFonts w:asciiTheme="minorBidi" w:hAnsiTheme="minorBidi"/>
          <w:b/>
          <w:bCs/>
          <w:sz w:val="20"/>
          <w:szCs w:val="20"/>
        </w:rPr>
        <w:t>(Hughes et al., 2006).</w:t>
      </w:r>
      <w:r w:rsidR="00B46FCD" w:rsidRPr="0013711F">
        <w:rPr>
          <w:rFonts w:asciiTheme="minorBidi" w:hAnsiTheme="minorBidi"/>
          <w:sz w:val="20"/>
          <w:szCs w:val="20"/>
        </w:rPr>
        <w:t xml:space="preserve"> DSD classification and management remain complex due to wide phenotypic variability and the need for multidisciplinary evaluation. Current classification systems, such as the 2006 Chicago Consensus, categorize DSD primarily based on karyotype (46,</w:t>
      </w:r>
      <w:r w:rsidR="002612C4" w:rsidRPr="0013711F">
        <w:rPr>
          <w:rFonts w:asciiTheme="minorBidi" w:hAnsiTheme="minorBidi"/>
          <w:sz w:val="20"/>
          <w:szCs w:val="20"/>
        </w:rPr>
        <w:t xml:space="preserve"> </w:t>
      </w:r>
      <w:r w:rsidR="00B46FCD" w:rsidRPr="0013711F">
        <w:rPr>
          <w:rFonts w:asciiTheme="minorBidi" w:hAnsiTheme="minorBidi"/>
          <w:sz w:val="20"/>
          <w:szCs w:val="20"/>
        </w:rPr>
        <w:t>XX, 46,</w:t>
      </w:r>
      <w:r w:rsidR="002612C4" w:rsidRPr="0013711F">
        <w:rPr>
          <w:rFonts w:asciiTheme="minorBidi" w:hAnsiTheme="minorBidi"/>
          <w:sz w:val="20"/>
          <w:szCs w:val="20"/>
        </w:rPr>
        <w:t xml:space="preserve"> </w:t>
      </w:r>
      <w:r w:rsidR="00B46FCD" w:rsidRPr="0013711F">
        <w:rPr>
          <w:rFonts w:asciiTheme="minorBidi" w:hAnsiTheme="minorBidi"/>
          <w:sz w:val="20"/>
          <w:szCs w:val="20"/>
        </w:rPr>
        <w:t xml:space="preserve">XY, or sex chromosome DSD) without fully integrating clinical severity or prognostic value </w:t>
      </w:r>
      <w:r w:rsidR="00B46FCD" w:rsidRPr="0013711F">
        <w:rPr>
          <w:rFonts w:asciiTheme="minorBidi" w:hAnsiTheme="minorBidi"/>
          <w:b/>
          <w:bCs/>
          <w:sz w:val="20"/>
          <w:szCs w:val="20"/>
        </w:rPr>
        <w:t>(Lee et al., 2016</w:t>
      </w:r>
      <w:r w:rsidR="004B7045">
        <w:rPr>
          <w:rFonts w:asciiTheme="minorBidi" w:hAnsiTheme="minorBidi"/>
          <w:b/>
          <w:bCs/>
          <w:sz w:val="20"/>
          <w:szCs w:val="20"/>
        </w:rPr>
        <w:t xml:space="preserve"> and </w:t>
      </w:r>
      <w:r w:rsidR="004B7045" w:rsidRPr="004B7045">
        <w:rPr>
          <w:rFonts w:asciiTheme="minorBidi" w:hAnsiTheme="minorBidi"/>
          <w:b/>
          <w:bCs/>
          <w:sz w:val="20"/>
          <w:szCs w:val="20"/>
        </w:rPr>
        <w:t>Pasterski</w:t>
      </w:r>
      <w:r w:rsidR="004B7045">
        <w:rPr>
          <w:rFonts w:asciiTheme="minorBidi" w:hAnsiTheme="minorBidi"/>
          <w:b/>
          <w:bCs/>
          <w:sz w:val="20"/>
          <w:szCs w:val="20"/>
        </w:rPr>
        <w:t xml:space="preserve"> et al., 2010</w:t>
      </w:r>
      <w:r w:rsidR="00B46FCD" w:rsidRPr="0013711F">
        <w:rPr>
          <w:rFonts w:asciiTheme="minorBidi" w:hAnsiTheme="minorBidi"/>
          <w:b/>
          <w:bCs/>
          <w:sz w:val="20"/>
          <w:szCs w:val="20"/>
        </w:rPr>
        <w:t>).</w:t>
      </w:r>
      <w:r w:rsidR="00B46FCD" w:rsidRPr="0013711F">
        <w:rPr>
          <w:rFonts w:asciiTheme="minorBidi" w:hAnsiTheme="minorBidi"/>
          <w:sz w:val="20"/>
          <w:szCs w:val="20"/>
        </w:rPr>
        <w:t xml:space="preserve"> However, there remains a critical need for a standardized, quantitative tool to assess phenotypic and genotypic features comprehensively and predict clinical outcomes.</w:t>
      </w:r>
      <w:r w:rsidRPr="0013711F">
        <w:rPr>
          <w:rFonts w:asciiTheme="minorBidi" w:hAnsiTheme="minorBidi"/>
          <w:sz w:val="20"/>
          <w:szCs w:val="20"/>
        </w:rPr>
        <w:t xml:space="preserve"> </w:t>
      </w:r>
    </w:p>
    <w:p w14:paraId="2C0BC280" w14:textId="77777777" w:rsidR="00B46FCD" w:rsidRPr="0013711F" w:rsidRDefault="00B46FCD" w:rsidP="00B46FCD">
      <w:pPr>
        <w:jc w:val="both"/>
        <w:rPr>
          <w:rFonts w:asciiTheme="minorBidi" w:hAnsiTheme="minorBidi"/>
          <w:b/>
          <w:bCs/>
          <w:sz w:val="20"/>
          <w:szCs w:val="20"/>
        </w:rPr>
      </w:pPr>
      <w:bookmarkStart w:id="3" w:name="_Hlk190608634"/>
      <w:r w:rsidRPr="0013711F">
        <w:rPr>
          <w:rFonts w:asciiTheme="minorBidi" w:hAnsiTheme="minorBidi"/>
          <w:sz w:val="20"/>
          <w:szCs w:val="20"/>
        </w:rPr>
        <w:t>Current DSD classification relies heavily on phenotypic and karyotypic categorization, often without a standardized grading system for clinical severity.</w:t>
      </w:r>
      <w:bookmarkEnd w:id="3"/>
      <w:r w:rsidRPr="0013711F">
        <w:rPr>
          <w:rFonts w:asciiTheme="minorBidi" w:hAnsiTheme="minorBidi"/>
          <w:sz w:val="20"/>
          <w:szCs w:val="20"/>
        </w:rPr>
        <w:t xml:space="preserve"> The External Masculinization Score (EMS) and Prader staging provide useful but limited assessments of external genital ambiguity, failing to integrate internal and genetic factors </w:t>
      </w:r>
      <w:r w:rsidRPr="0013711F">
        <w:rPr>
          <w:rFonts w:asciiTheme="minorBidi" w:hAnsiTheme="minorBidi"/>
          <w:b/>
          <w:bCs/>
          <w:sz w:val="20"/>
          <w:szCs w:val="20"/>
        </w:rPr>
        <w:t>(Ahmed et al., 2014).</w:t>
      </w:r>
      <w:r w:rsidRPr="0013711F">
        <w:rPr>
          <w:rFonts w:asciiTheme="minorBidi" w:hAnsiTheme="minorBidi"/>
          <w:sz w:val="20"/>
          <w:szCs w:val="20"/>
        </w:rPr>
        <w:t xml:space="preserve"> Similarly, Müllerian and Wolffian structure assessments are frequently qualitative rather than systematically quantified, limiting their predictive accuracy for gonadal malignancy and reproductive potential </w:t>
      </w:r>
      <w:r w:rsidRPr="0013711F">
        <w:rPr>
          <w:rFonts w:asciiTheme="minorBidi" w:hAnsiTheme="minorBidi"/>
          <w:b/>
          <w:bCs/>
          <w:sz w:val="20"/>
          <w:szCs w:val="20"/>
        </w:rPr>
        <w:t>(Cools et al., 2018).</w:t>
      </w:r>
    </w:p>
    <w:p w14:paraId="1580598C" w14:textId="56C48AC3" w:rsidR="00B145DB" w:rsidRPr="0013711F" w:rsidRDefault="00B46FCD" w:rsidP="00B145DB">
      <w:pPr>
        <w:jc w:val="both"/>
        <w:rPr>
          <w:rFonts w:asciiTheme="minorBidi" w:hAnsiTheme="minorBidi"/>
          <w:sz w:val="20"/>
          <w:szCs w:val="20"/>
        </w:rPr>
      </w:pPr>
      <w:r w:rsidRPr="0013711F">
        <w:rPr>
          <w:rFonts w:asciiTheme="minorBidi" w:hAnsiTheme="minorBidi"/>
          <w:sz w:val="20"/>
          <w:szCs w:val="20"/>
        </w:rPr>
        <w:t xml:space="preserve">While molecular diagnostics have advanced our understanding of DSD, clinical management still heavily depends on anatomical and functional assessments. For example, gonadal position and function are critical for determining the need for hormone replacement therapy (HRT) or gonadectomy, </w:t>
      </w:r>
      <w:r w:rsidR="00B145DB" w:rsidRPr="0013711F">
        <w:rPr>
          <w:rFonts w:asciiTheme="minorBidi" w:hAnsiTheme="minorBidi"/>
          <w:sz w:val="20"/>
          <w:szCs w:val="20"/>
        </w:rPr>
        <w:t xml:space="preserve">and impact both fertility potential and endocrine requirements </w:t>
      </w:r>
      <w:r w:rsidR="00B145DB" w:rsidRPr="0013711F">
        <w:rPr>
          <w:rFonts w:asciiTheme="minorBidi" w:hAnsiTheme="minorBidi"/>
          <w:b/>
          <w:bCs/>
          <w:sz w:val="20"/>
          <w:szCs w:val="20"/>
        </w:rPr>
        <w:t>(Hughes et al., 2012),</w:t>
      </w:r>
      <w:r w:rsidR="00B145DB" w:rsidRPr="0013711F">
        <w:rPr>
          <w:rFonts w:asciiTheme="minorBidi" w:hAnsiTheme="minorBidi"/>
          <w:sz w:val="20"/>
          <w:szCs w:val="20"/>
        </w:rPr>
        <w:t xml:space="preserve"> yet no unified scoring system integrates these prognostic factors.</w:t>
      </w:r>
    </w:p>
    <w:p w14:paraId="30C57F21" w14:textId="1FBEC656" w:rsidR="00B145DB" w:rsidRDefault="00B46FCD" w:rsidP="002834C4">
      <w:pPr>
        <w:jc w:val="both"/>
        <w:rPr>
          <w:rFonts w:asciiTheme="minorBidi" w:hAnsiTheme="minorBidi"/>
          <w:b/>
          <w:bCs/>
          <w:sz w:val="20"/>
          <w:szCs w:val="20"/>
        </w:rPr>
      </w:pPr>
      <w:r w:rsidRPr="0013711F">
        <w:rPr>
          <w:rFonts w:asciiTheme="minorBidi" w:hAnsiTheme="minorBidi"/>
          <w:sz w:val="20"/>
          <w:szCs w:val="20"/>
        </w:rPr>
        <w:t>Several studies have highlighted the need for predictive markers in DSD management</w:t>
      </w:r>
      <w:r w:rsidR="002834C4">
        <w:rPr>
          <w:rFonts w:asciiTheme="minorBidi" w:hAnsiTheme="minorBidi"/>
          <w:sz w:val="20"/>
          <w:szCs w:val="20"/>
        </w:rPr>
        <w:t xml:space="preserve"> </w:t>
      </w:r>
      <w:r w:rsidR="002834C4" w:rsidRPr="002834C4">
        <w:rPr>
          <w:rFonts w:asciiTheme="minorBidi" w:hAnsiTheme="minorBidi"/>
          <w:b/>
          <w:bCs/>
          <w:sz w:val="20"/>
          <w:szCs w:val="20"/>
        </w:rPr>
        <w:t>(Parks, et al., 2008)</w:t>
      </w:r>
      <w:r w:rsidRPr="002834C4">
        <w:rPr>
          <w:rFonts w:asciiTheme="minorBidi" w:hAnsiTheme="minorBidi"/>
          <w:b/>
          <w:bCs/>
          <w:sz w:val="20"/>
          <w:szCs w:val="20"/>
        </w:rPr>
        <w:t>.</w:t>
      </w:r>
      <w:r w:rsidRPr="0013711F">
        <w:rPr>
          <w:rFonts w:asciiTheme="minorBidi" w:hAnsiTheme="minorBidi"/>
          <w:sz w:val="20"/>
          <w:szCs w:val="20"/>
        </w:rPr>
        <w:t xml:space="preserve"> External genital appearance significantly influences parental decision-making and surgical intervention rates </w:t>
      </w:r>
      <w:r w:rsidRPr="00E61B88">
        <w:rPr>
          <w:rFonts w:asciiTheme="minorBidi" w:hAnsiTheme="minorBidi"/>
          <w:b/>
          <w:bCs/>
          <w:sz w:val="20"/>
          <w:szCs w:val="20"/>
        </w:rPr>
        <w:t>(Lee et al., 2016)</w:t>
      </w:r>
      <w:r w:rsidRPr="0013711F">
        <w:rPr>
          <w:rFonts w:asciiTheme="minorBidi" w:hAnsiTheme="minorBidi"/>
          <w:sz w:val="20"/>
          <w:szCs w:val="20"/>
        </w:rPr>
        <w:t xml:space="preserve">, while internal reproductive structures play a crucial role in determining gonadectomy necessity due to malignancy risk </w:t>
      </w:r>
      <w:r w:rsidRPr="0013711F">
        <w:rPr>
          <w:rFonts w:asciiTheme="minorBidi" w:hAnsiTheme="minorBidi"/>
          <w:b/>
          <w:bCs/>
          <w:sz w:val="20"/>
          <w:szCs w:val="20"/>
        </w:rPr>
        <w:t xml:space="preserve">(Deans et al., 2012). </w:t>
      </w:r>
    </w:p>
    <w:p w14:paraId="26F294A8" w14:textId="06FDDA57" w:rsidR="008651A6" w:rsidRDefault="00240056" w:rsidP="005268AE">
      <w:pPr>
        <w:tabs>
          <w:tab w:val="num" w:pos="720"/>
        </w:tabs>
        <w:jc w:val="both"/>
        <w:rPr>
          <w:b/>
          <w:bCs/>
        </w:rPr>
      </w:pPr>
      <w:r w:rsidRPr="00240056">
        <w:rPr>
          <w:rFonts w:asciiTheme="minorBidi" w:hAnsiTheme="minorBidi"/>
          <w:sz w:val="20"/>
          <w:szCs w:val="20"/>
        </w:rPr>
        <w:t>The primary objective of this study is to validate the CDCS as a reliable and clinically relevant tool for classifying DSD cases by</w:t>
      </w:r>
      <w:r w:rsidRPr="005268AE">
        <w:rPr>
          <w:rFonts w:asciiTheme="minorBidi" w:hAnsiTheme="minorBidi"/>
          <w:sz w:val="20"/>
          <w:szCs w:val="20"/>
        </w:rPr>
        <w:t xml:space="preserve"> e</w:t>
      </w:r>
      <w:r w:rsidRPr="00240056">
        <w:rPr>
          <w:rFonts w:asciiTheme="minorBidi" w:hAnsiTheme="minorBidi"/>
          <w:sz w:val="20"/>
          <w:szCs w:val="20"/>
        </w:rPr>
        <w:t>stablishing correlations between CDCS and established DSD scoring systems, including Prader, EMS, and internal reproductive anatomy assessments.</w:t>
      </w:r>
      <w:r w:rsidR="005268AE" w:rsidRPr="005268AE">
        <w:rPr>
          <w:rFonts w:asciiTheme="minorBidi" w:hAnsiTheme="minorBidi"/>
          <w:sz w:val="20"/>
          <w:szCs w:val="20"/>
        </w:rPr>
        <w:t xml:space="preserve"> </w:t>
      </w:r>
      <w:r w:rsidRPr="00240056">
        <w:rPr>
          <w:rFonts w:asciiTheme="minorBidi" w:hAnsiTheme="minorBidi"/>
          <w:sz w:val="20"/>
          <w:szCs w:val="20"/>
        </w:rPr>
        <w:t xml:space="preserve">Evaluating the predictive value of CDCS for gonadal function, particularly </w:t>
      </w:r>
      <w:r w:rsidR="005268AE">
        <w:rPr>
          <w:rFonts w:asciiTheme="minorBidi" w:hAnsiTheme="minorBidi"/>
          <w:sz w:val="20"/>
          <w:szCs w:val="20"/>
        </w:rPr>
        <w:t>concerning</w:t>
      </w:r>
      <w:r w:rsidRPr="00240056">
        <w:rPr>
          <w:rFonts w:asciiTheme="minorBidi" w:hAnsiTheme="minorBidi"/>
          <w:sz w:val="20"/>
          <w:szCs w:val="20"/>
        </w:rPr>
        <w:t xml:space="preserve"> serum hormone levels and gonadal dysgenesis.</w:t>
      </w:r>
      <w:r w:rsidR="005268AE">
        <w:rPr>
          <w:rFonts w:asciiTheme="minorBidi" w:hAnsiTheme="minorBidi"/>
          <w:sz w:val="20"/>
          <w:szCs w:val="20"/>
        </w:rPr>
        <w:t xml:space="preserve"> </w:t>
      </w:r>
      <w:r w:rsidRPr="00240056">
        <w:rPr>
          <w:rFonts w:asciiTheme="minorBidi" w:hAnsiTheme="minorBidi"/>
          <w:sz w:val="20"/>
          <w:szCs w:val="20"/>
        </w:rPr>
        <w:t xml:space="preserve">Assessing the ability of CDCS to guide surgical and endocrine intervention decisions based on threshold </w:t>
      </w:r>
      <w:r w:rsidR="005268AE" w:rsidRPr="00240056">
        <w:rPr>
          <w:rFonts w:asciiTheme="minorBidi" w:hAnsiTheme="minorBidi"/>
          <w:sz w:val="20"/>
          <w:szCs w:val="20"/>
        </w:rPr>
        <w:t>scores</w:t>
      </w:r>
      <w:r w:rsidR="005268AE" w:rsidRPr="005268AE">
        <w:rPr>
          <w:rFonts w:asciiTheme="minorBidi" w:hAnsiTheme="minorBidi"/>
          <w:sz w:val="20"/>
          <w:szCs w:val="20"/>
        </w:rPr>
        <w:t xml:space="preserve"> and i</w:t>
      </w:r>
      <w:r w:rsidRPr="00240056">
        <w:rPr>
          <w:rFonts w:asciiTheme="minorBidi" w:hAnsiTheme="minorBidi"/>
          <w:sz w:val="20"/>
          <w:szCs w:val="20"/>
        </w:rPr>
        <w:t>nvestigating the prognostic utility of CDCS in long-term patient management, including fertility preservation and endocrine outcomes.</w:t>
      </w:r>
      <w:r w:rsidR="005268AE">
        <w:rPr>
          <w:rFonts w:asciiTheme="minorBidi" w:hAnsiTheme="minorBidi"/>
          <w:sz w:val="20"/>
          <w:szCs w:val="20"/>
        </w:rPr>
        <w:t xml:space="preserve"> </w:t>
      </w:r>
      <w:r w:rsidR="00B145DB" w:rsidRPr="0013711F">
        <w:rPr>
          <w:rFonts w:asciiTheme="minorBidi" w:hAnsiTheme="minorBidi"/>
          <w:sz w:val="20"/>
          <w:szCs w:val="20"/>
        </w:rPr>
        <w:t xml:space="preserve"> </w:t>
      </w:r>
      <w:r w:rsidR="00313E1B" w:rsidRPr="0013711F">
        <w:rPr>
          <w:rFonts w:asciiTheme="minorBidi" w:hAnsiTheme="minorBidi"/>
          <w:sz w:val="20"/>
          <w:szCs w:val="20"/>
        </w:rPr>
        <w:t>CDCS</w:t>
      </w:r>
      <w:r w:rsidR="00B145DB" w:rsidRPr="0013711F">
        <w:rPr>
          <w:rFonts w:asciiTheme="minorBidi" w:hAnsiTheme="minorBidi"/>
          <w:sz w:val="20"/>
          <w:szCs w:val="20"/>
        </w:rPr>
        <w:t xml:space="preserve"> aims to fill this gap by integrating these components into a comprehensive, reproducible framework.</w:t>
      </w:r>
    </w:p>
    <w:p w14:paraId="32F051F4" w14:textId="77777777" w:rsidR="008651A6" w:rsidRDefault="008651A6" w:rsidP="00B145DB">
      <w:pPr>
        <w:jc w:val="both"/>
        <w:rPr>
          <w:b/>
          <w:bCs/>
        </w:rPr>
      </w:pPr>
    </w:p>
    <w:p w14:paraId="1FC90B94" w14:textId="433DBFB5" w:rsidR="008651A6" w:rsidRPr="0013711F" w:rsidRDefault="008651A6" w:rsidP="00B145DB">
      <w:pPr>
        <w:jc w:val="both"/>
        <w:rPr>
          <w:rFonts w:asciiTheme="minorBidi" w:hAnsiTheme="minorBidi"/>
          <w:b/>
          <w:bCs/>
        </w:rPr>
      </w:pPr>
      <w:r w:rsidRPr="0013711F">
        <w:rPr>
          <w:rFonts w:asciiTheme="minorBidi" w:hAnsiTheme="minorBidi"/>
          <w:b/>
          <w:bCs/>
        </w:rPr>
        <w:t>METHODOLOGY</w:t>
      </w:r>
    </w:p>
    <w:p w14:paraId="547A5E1A" w14:textId="4A97854E" w:rsidR="006320EB" w:rsidRPr="0013711F" w:rsidRDefault="00772E34" w:rsidP="006320EB">
      <w:pPr>
        <w:jc w:val="both"/>
        <w:rPr>
          <w:rFonts w:asciiTheme="minorBidi" w:hAnsiTheme="minorBidi"/>
          <w:sz w:val="20"/>
          <w:szCs w:val="20"/>
        </w:rPr>
      </w:pPr>
      <w:bookmarkStart w:id="4" w:name="_Hlk190608766"/>
      <w:r w:rsidRPr="0013711F">
        <w:rPr>
          <w:rFonts w:asciiTheme="minorBidi" w:hAnsiTheme="minorBidi"/>
          <w:sz w:val="20"/>
          <w:szCs w:val="20"/>
        </w:rPr>
        <w:t xml:space="preserve">This study was designed as a retrospective cohort analysis </w:t>
      </w:r>
      <w:bookmarkEnd w:id="4"/>
      <w:r w:rsidRPr="0013711F">
        <w:rPr>
          <w:rFonts w:asciiTheme="minorBidi" w:hAnsiTheme="minorBidi"/>
          <w:sz w:val="20"/>
          <w:szCs w:val="20"/>
        </w:rPr>
        <w:t xml:space="preserve">conducted in a single pediatric surgery unit over 15 years. </w:t>
      </w:r>
      <w:bookmarkStart w:id="5" w:name="_Hlk190608822"/>
      <w:r w:rsidRPr="0013711F">
        <w:rPr>
          <w:rFonts w:asciiTheme="minorBidi" w:hAnsiTheme="minorBidi"/>
          <w:sz w:val="20"/>
          <w:szCs w:val="20"/>
        </w:rPr>
        <w:t xml:space="preserve">The cohort consisted of 70 pediatric patients diagnosed with Disorders of Sex Development (DSD), who underwent comprehensive clinical, laboratory, and imaging evaluations. </w:t>
      </w:r>
      <w:bookmarkEnd w:id="5"/>
      <w:r w:rsidRPr="0013711F">
        <w:rPr>
          <w:rFonts w:asciiTheme="minorBidi" w:hAnsiTheme="minorBidi"/>
          <w:sz w:val="20"/>
          <w:szCs w:val="20"/>
        </w:rPr>
        <w:t xml:space="preserve">The study aimed to validate the Comprehensive DSD Classification Score (CDCS) and assess its clinical relevance, diagnostic accuracy, and predictive value for surgical and hormonal interventions. Inclusion Criteria: Patients were included in the study if they met the following criteria: Confirmed DSD diagnosis, based on clinical, endocrine, genetic, and radiological evaluations. Complete clinical records, including External genitalia assessment (Prader staging for 46, XX or External Masculinization Score [EMS] for 46, XY). Imaging data (pelvic ultrasound, MRI, or laparoscopy findings of internal genital structures). Hormonal profiling, including anti-Müllerian hormone (AMH), testosterone, and gonadotropins. Karyotype and genetic testing (e.g., 46, XX; 46, XY; 45, X/46, XY mosaicism). </w:t>
      </w:r>
      <w:r w:rsidR="006320EB" w:rsidRPr="0013711F">
        <w:rPr>
          <w:rFonts w:asciiTheme="minorBidi" w:hAnsiTheme="minorBidi"/>
          <w:sz w:val="20"/>
          <w:szCs w:val="20"/>
        </w:rPr>
        <w:t>The inclusion criteria were designed to ensure that only well-</w:t>
      </w:r>
      <w:r w:rsidR="006320EB" w:rsidRPr="0013711F">
        <w:rPr>
          <w:rFonts w:asciiTheme="minorBidi" w:hAnsiTheme="minorBidi"/>
          <w:sz w:val="20"/>
          <w:szCs w:val="20"/>
        </w:rPr>
        <w:lastRenderedPageBreak/>
        <w:t>characterized cases of DSD were included in the study. Each criterion was supported by objective clinical, endocrine, genetic, and imaging-based evidence, ensuring diagnostic accuracy and reproducibility in applying the Comprehensive DSD Classification Score (CDCS).</w:t>
      </w:r>
      <w:r w:rsidR="006320EB" w:rsidRPr="0013711F">
        <w:rPr>
          <w:rFonts w:asciiTheme="minorBidi" w:hAnsiTheme="minorBidi"/>
          <w:b/>
          <w:bCs/>
          <w:sz w:val="20"/>
          <w:szCs w:val="20"/>
        </w:rPr>
        <w:t xml:space="preserve"> </w:t>
      </w:r>
    </w:p>
    <w:p w14:paraId="49F9A0F5" w14:textId="77777777" w:rsidR="006320EB" w:rsidRPr="0013711F" w:rsidRDefault="00772E34" w:rsidP="006320EB">
      <w:pPr>
        <w:jc w:val="both"/>
        <w:rPr>
          <w:rFonts w:asciiTheme="minorBidi" w:hAnsiTheme="minorBidi"/>
          <w:sz w:val="20"/>
          <w:szCs w:val="20"/>
        </w:rPr>
      </w:pPr>
      <w:r w:rsidRPr="0013711F">
        <w:rPr>
          <w:rFonts w:asciiTheme="minorBidi" w:hAnsiTheme="minorBidi"/>
          <w:sz w:val="20"/>
          <w:szCs w:val="20"/>
        </w:rPr>
        <w:t>Exclusion Criteria: Incomplete clinical data. Atypical cases where DSD diagnosis remained inconclusive despite available genetic/hormonal analysis. Patients with non-DSD-related genital anomalies (e.g., isolated hypospadias, cryptorchidism without chromosomal abnormalities).</w:t>
      </w:r>
      <w:r w:rsidR="006320EB" w:rsidRPr="0013711F">
        <w:rPr>
          <w:rFonts w:asciiTheme="minorBidi" w:hAnsiTheme="minorBidi"/>
          <w:sz w:val="20"/>
          <w:szCs w:val="20"/>
        </w:rPr>
        <w:t xml:space="preserve"> Exclusion criteria were implemented to maintain data integrity and diagnostic specificity. Thus, patients with gaps in essential clinical data were excluded to preserve study validity.</w:t>
      </w:r>
    </w:p>
    <w:p w14:paraId="35CD6A82" w14:textId="4A5320C3" w:rsidR="009844EF" w:rsidRPr="0013711F" w:rsidRDefault="009844EF" w:rsidP="009844EF">
      <w:pPr>
        <w:jc w:val="both"/>
        <w:rPr>
          <w:rFonts w:asciiTheme="minorBidi" w:hAnsiTheme="minorBidi"/>
          <w:sz w:val="20"/>
          <w:szCs w:val="20"/>
        </w:rPr>
      </w:pPr>
      <w:r w:rsidRPr="0013711F">
        <w:rPr>
          <w:rFonts w:asciiTheme="minorBidi" w:hAnsiTheme="minorBidi"/>
          <w:sz w:val="20"/>
          <w:szCs w:val="20"/>
        </w:rPr>
        <w:t>Only patients with a well-defined DSD subtype were retained, ensuring data consistency and diagnostic specificity, and by excluding non-DSD genital anomalies, we ensured that CDCS was only applied to true cases of sex development disorders, thereby enhancing the score’s diagnostic power.</w:t>
      </w:r>
    </w:p>
    <w:p w14:paraId="2E62DC00" w14:textId="77777777"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The Comprehensive DSD Classification Score (CDCS) was designed as a quantitative, standardized scoring system (0–30 scale) integrating external genitalia appearance, internal reproductive structures, gonadal positioning/function, and chromosomal findings.</w:t>
      </w:r>
    </w:p>
    <w:p w14:paraId="070CFDB9" w14:textId="3D101E30"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 xml:space="preserve"> 1. External Genitalia Score (EGS) (0–10 points). The EGS was assigned based on standardized scales: 46, XX DSD patients: Scored using the Prader classification, Prader 1 (mild clitoromegaly) = 2 points, and Prader 5 (penile urethra formation) = 10 points. 46, XY DSD patients: Scored using the External Masculinization Score (EMS), EMS &lt;5 (severe under masculinization) = 2 points, and EMS ≥10 (fully masculinized phenotype) = 10 points. </w:t>
      </w:r>
    </w:p>
    <w:p w14:paraId="334A4247" w14:textId="6CB1C68E"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2. Internal Genitalia Score (IGS) (0–6 points). The IGS was based on imaging and/or laparoscopic findings: Presence of female structures (uterus/vagina) = 2 points, Presence of Wolffian structures (epididymis, vas deferens) = 2 points, and Mixed structures (partial retention of both Müllerian/Wolffian remnants) = 1 point</w:t>
      </w:r>
    </w:p>
    <w:p w14:paraId="6E5F57E6" w14:textId="1EE303EB"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 xml:space="preserve">3. Gonadal Position &amp; Function Score (GPS) (0–6 points). The GPS was assigned based on: Gonadal location: Fully descended testes = 2 points, and Intra-abdominal gonads = 0 points. Hormonal function (AMH &amp; testosterone levels): Normal male range = 2 points, Impaired function = 1 point, and Absent function = 0 points. </w:t>
      </w:r>
    </w:p>
    <w:p w14:paraId="6BA806FE" w14:textId="407C8C07"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 xml:space="preserve">4. Karyotype &amp; Chromosomal Score (KCS) (0–8 points). The KCS was derived from genetic testing: 46, XX (typical female karyotype) = 0 points, 46, XY (typical male karyotype) = 8 points, 45, X/46, XY (mixed gonadal dysgenesis) = 4 points, and </w:t>
      </w:r>
      <w:proofErr w:type="spellStart"/>
      <w:r w:rsidRPr="0013711F">
        <w:rPr>
          <w:rFonts w:asciiTheme="minorBidi" w:hAnsiTheme="minorBidi"/>
          <w:sz w:val="20"/>
          <w:szCs w:val="20"/>
        </w:rPr>
        <w:t>Ovotesticular</w:t>
      </w:r>
      <w:proofErr w:type="spellEnd"/>
      <w:r w:rsidRPr="0013711F">
        <w:rPr>
          <w:rFonts w:asciiTheme="minorBidi" w:hAnsiTheme="minorBidi"/>
          <w:sz w:val="20"/>
          <w:szCs w:val="20"/>
        </w:rPr>
        <w:t xml:space="preserve"> DSD (XX/XY mosaic) = 3 points. </w:t>
      </w:r>
    </w:p>
    <w:p w14:paraId="6F3739A1" w14:textId="434A37A6"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The total CDCS score (0–30 range) was used to categorize patients into distinct phenotypic groups:</w:t>
      </w:r>
    </w:p>
    <w:tbl>
      <w:tblPr>
        <w:tblStyle w:val="GridTable4-Accent3"/>
        <w:tblW w:w="0" w:type="auto"/>
        <w:jc w:val="center"/>
        <w:tblLook w:val="04A0" w:firstRow="1" w:lastRow="0" w:firstColumn="1" w:lastColumn="0" w:noHBand="0" w:noVBand="1"/>
      </w:tblPr>
      <w:tblGrid>
        <w:gridCol w:w="1207"/>
        <w:gridCol w:w="3015"/>
        <w:gridCol w:w="5128"/>
      </w:tblGrid>
      <w:tr w:rsidR="00D33FDE" w:rsidRPr="0013711F" w14:paraId="5D5E823E" w14:textId="77777777" w:rsidTr="001655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6C0DB2" w14:textId="77777777" w:rsidR="00D33FDE" w:rsidRPr="0013711F" w:rsidRDefault="00D33FDE" w:rsidP="00D33FDE">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t>CDCS Score</w:t>
            </w:r>
          </w:p>
        </w:tc>
        <w:tc>
          <w:tcPr>
            <w:tcW w:w="0" w:type="auto"/>
            <w:hideMark/>
          </w:tcPr>
          <w:p w14:paraId="57560F79" w14:textId="77777777" w:rsidR="00D33FDE" w:rsidRPr="0013711F" w:rsidRDefault="00D33FDE" w:rsidP="00D33FD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Phenotype Prediction</w:t>
            </w:r>
          </w:p>
        </w:tc>
        <w:tc>
          <w:tcPr>
            <w:tcW w:w="0" w:type="auto"/>
            <w:hideMark/>
          </w:tcPr>
          <w:p w14:paraId="1B9C7C70" w14:textId="77777777" w:rsidR="00D33FDE" w:rsidRPr="0013711F" w:rsidRDefault="00D33FDE" w:rsidP="00D33FD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Example Conditions</w:t>
            </w:r>
          </w:p>
        </w:tc>
      </w:tr>
      <w:tr w:rsidR="00D33FDE" w:rsidRPr="0013711F" w14:paraId="61E7E8D6" w14:textId="77777777" w:rsidTr="001655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B76F26" w14:textId="77777777" w:rsidR="00D33FDE" w:rsidRPr="0013711F" w:rsidRDefault="00D33FDE" w:rsidP="00D33FDE">
            <w:pPr>
              <w:spacing w:after="160" w:line="259" w:lineRule="auto"/>
              <w:jc w:val="center"/>
              <w:rPr>
                <w:rFonts w:asciiTheme="minorBidi" w:hAnsiTheme="minorBidi"/>
                <w:sz w:val="20"/>
                <w:szCs w:val="20"/>
              </w:rPr>
            </w:pPr>
            <w:r w:rsidRPr="0013711F">
              <w:rPr>
                <w:rFonts w:asciiTheme="minorBidi" w:hAnsiTheme="minorBidi"/>
                <w:sz w:val="20"/>
                <w:szCs w:val="20"/>
              </w:rPr>
              <w:t>0–6</w:t>
            </w:r>
          </w:p>
        </w:tc>
        <w:tc>
          <w:tcPr>
            <w:tcW w:w="0" w:type="auto"/>
            <w:hideMark/>
          </w:tcPr>
          <w:p w14:paraId="512FCA7D" w14:textId="77777777" w:rsidR="00D33FDE" w:rsidRPr="0013711F" w:rsidRDefault="00D33FDE" w:rsidP="00D33FD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Female phenotype</w:t>
            </w:r>
          </w:p>
        </w:tc>
        <w:tc>
          <w:tcPr>
            <w:tcW w:w="0" w:type="auto"/>
            <w:hideMark/>
          </w:tcPr>
          <w:p w14:paraId="3177F467" w14:textId="38D8EE69" w:rsidR="00D33FDE" w:rsidRPr="0013711F" w:rsidRDefault="00D33FDE" w:rsidP="00D33FD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46, XX CAH, Complete Gonadal Dysgenesis (</w:t>
            </w:r>
            <w:proofErr w:type="spellStart"/>
            <w:r w:rsidRPr="0013711F">
              <w:rPr>
                <w:rFonts w:asciiTheme="minorBidi" w:hAnsiTheme="minorBidi"/>
                <w:sz w:val="20"/>
                <w:szCs w:val="20"/>
              </w:rPr>
              <w:t>Swyer</w:t>
            </w:r>
            <w:proofErr w:type="spellEnd"/>
            <w:r w:rsidRPr="0013711F">
              <w:rPr>
                <w:rFonts w:asciiTheme="minorBidi" w:hAnsiTheme="minorBidi"/>
                <w:sz w:val="20"/>
                <w:szCs w:val="20"/>
              </w:rPr>
              <w:t xml:space="preserve"> Syndrome)</w:t>
            </w:r>
          </w:p>
        </w:tc>
      </w:tr>
      <w:tr w:rsidR="00D33FDE" w:rsidRPr="0013711F" w14:paraId="5150ECCF" w14:textId="77777777" w:rsidTr="0016559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8DC3648" w14:textId="77777777" w:rsidR="00D33FDE" w:rsidRPr="0013711F" w:rsidRDefault="00D33FDE" w:rsidP="00D33FDE">
            <w:pPr>
              <w:spacing w:after="160" w:line="259" w:lineRule="auto"/>
              <w:jc w:val="center"/>
              <w:rPr>
                <w:rFonts w:asciiTheme="minorBidi" w:hAnsiTheme="minorBidi"/>
                <w:sz w:val="20"/>
                <w:szCs w:val="20"/>
              </w:rPr>
            </w:pPr>
            <w:r w:rsidRPr="0013711F">
              <w:rPr>
                <w:rFonts w:asciiTheme="minorBidi" w:hAnsiTheme="minorBidi"/>
                <w:sz w:val="20"/>
                <w:szCs w:val="20"/>
              </w:rPr>
              <w:t>7–12</w:t>
            </w:r>
          </w:p>
        </w:tc>
        <w:tc>
          <w:tcPr>
            <w:tcW w:w="0" w:type="auto"/>
            <w:hideMark/>
          </w:tcPr>
          <w:p w14:paraId="531B2825" w14:textId="77777777" w:rsidR="00D33FDE" w:rsidRPr="0013711F" w:rsidRDefault="00D33FDE" w:rsidP="00D33FD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Ambiguous, mild virilization</w:t>
            </w:r>
          </w:p>
        </w:tc>
        <w:tc>
          <w:tcPr>
            <w:tcW w:w="0" w:type="auto"/>
            <w:hideMark/>
          </w:tcPr>
          <w:p w14:paraId="53DFF1ED" w14:textId="77777777" w:rsidR="00D33FDE" w:rsidRPr="0013711F" w:rsidRDefault="00D33FDE" w:rsidP="00D33FD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Partial Gonadal Dysgenesis, </w:t>
            </w:r>
            <w:proofErr w:type="spellStart"/>
            <w:r w:rsidRPr="0013711F">
              <w:rPr>
                <w:rFonts w:asciiTheme="minorBidi" w:hAnsiTheme="minorBidi"/>
                <w:sz w:val="20"/>
                <w:szCs w:val="20"/>
              </w:rPr>
              <w:t>Ovotesticular</w:t>
            </w:r>
            <w:proofErr w:type="spellEnd"/>
            <w:r w:rsidRPr="0013711F">
              <w:rPr>
                <w:rFonts w:asciiTheme="minorBidi" w:hAnsiTheme="minorBidi"/>
                <w:sz w:val="20"/>
                <w:szCs w:val="20"/>
              </w:rPr>
              <w:t xml:space="preserve"> DSD</w:t>
            </w:r>
          </w:p>
        </w:tc>
      </w:tr>
      <w:tr w:rsidR="00D33FDE" w:rsidRPr="0013711F" w14:paraId="0D9FB4DD" w14:textId="77777777" w:rsidTr="001655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899A7A1" w14:textId="77777777" w:rsidR="00D33FDE" w:rsidRPr="0013711F" w:rsidRDefault="00D33FDE" w:rsidP="00D33FDE">
            <w:pPr>
              <w:spacing w:after="160" w:line="259" w:lineRule="auto"/>
              <w:jc w:val="center"/>
              <w:rPr>
                <w:rFonts w:asciiTheme="minorBidi" w:hAnsiTheme="minorBidi"/>
                <w:sz w:val="20"/>
                <w:szCs w:val="20"/>
              </w:rPr>
            </w:pPr>
            <w:r w:rsidRPr="0013711F">
              <w:rPr>
                <w:rFonts w:asciiTheme="minorBidi" w:hAnsiTheme="minorBidi"/>
                <w:sz w:val="20"/>
                <w:szCs w:val="20"/>
              </w:rPr>
              <w:t>13–20</w:t>
            </w:r>
          </w:p>
        </w:tc>
        <w:tc>
          <w:tcPr>
            <w:tcW w:w="0" w:type="auto"/>
            <w:hideMark/>
          </w:tcPr>
          <w:p w14:paraId="29C08A94" w14:textId="77777777" w:rsidR="00D33FDE" w:rsidRPr="0013711F" w:rsidRDefault="00D33FDE" w:rsidP="00D33FD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Mixed features (ambiguous/mild male)</w:t>
            </w:r>
          </w:p>
        </w:tc>
        <w:tc>
          <w:tcPr>
            <w:tcW w:w="0" w:type="auto"/>
            <w:hideMark/>
          </w:tcPr>
          <w:p w14:paraId="5A91275B" w14:textId="77777777" w:rsidR="00D33FDE" w:rsidRPr="0013711F" w:rsidRDefault="00D33FDE" w:rsidP="00D33FD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5α-Reductase Deficiency, Partial Androgen Insensitivity Syndrome (PAIS)</w:t>
            </w:r>
          </w:p>
        </w:tc>
      </w:tr>
      <w:tr w:rsidR="00D33FDE" w:rsidRPr="0013711F" w14:paraId="76AB764E" w14:textId="77777777" w:rsidTr="0016559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EA3DDA" w14:textId="77777777" w:rsidR="00D33FDE" w:rsidRPr="0013711F" w:rsidRDefault="00D33FDE" w:rsidP="00D33FDE">
            <w:pPr>
              <w:spacing w:after="160" w:line="259" w:lineRule="auto"/>
              <w:jc w:val="center"/>
              <w:rPr>
                <w:rFonts w:asciiTheme="minorBidi" w:hAnsiTheme="minorBidi"/>
                <w:sz w:val="20"/>
                <w:szCs w:val="20"/>
              </w:rPr>
            </w:pPr>
            <w:r w:rsidRPr="0013711F">
              <w:rPr>
                <w:rFonts w:asciiTheme="minorBidi" w:hAnsiTheme="minorBidi"/>
                <w:sz w:val="20"/>
                <w:szCs w:val="20"/>
              </w:rPr>
              <w:t>21–30</w:t>
            </w:r>
          </w:p>
        </w:tc>
        <w:tc>
          <w:tcPr>
            <w:tcW w:w="0" w:type="auto"/>
            <w:hideMark/>
          </w:tcPr>
          <w:p w14:paraId="2F53BD8C" w14:textId="77777777" w:rsidR="00D33FDE" w:rsidRPr="0013711F" w:rsidRDefault="00D33FDE" w:rsidP="00D33FD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Predominantly male phenotype</w:t>
            </w:r>
          </w:p>
        </w:tc>
        <w:tc>
          <w:tcPr>
            <w:tcW w:w="0" w:type="auto"/>
            <w:hideMark/>
          </w:tcPr>
          <w:p w14:paraId="3A9B662C" w14:textId="4FC212BA" w:rsidR="00D33FDE" w:rsidRPr="0013711F" w:rsidRDefault="00D33FDE" w:rsidP="00D33FD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46, XY with normal masculinization</w:t>
            </w:r>
          </w:p>
        </w:tc>
      </w:tr>
    </w:tbl>
    <w:p w14:paraId="1546C81F" w14:textId="77777777" w:rsidR="00D33FDE" w:rsidRPr="0013711F" w:rsidRDefault="00D33FDE" w:rsidP="00E00A91">
      <w:pPr>
        <w:jc w:val="both"/>
        <w:rPr>
          <w:rFonts w:asciiTheme="minorBidi" w:hAnsiTheme="minorBidi"/>
          <w:sz w:val="20"/>
          <w:szCs w:val="20"/>
        </w:rPr>
      </w:pPr>
    </w:p>
    <w:p w14:paraId="07A8FBBE" w14:textId="02D240CC" w:rsidR="002D7FB4" w:rsidRDefault="002D7FB4" w:rsidP="00AB1F24">
      <w:pPr>
        <w:jc w:val="both"/>
        <w:rPr>
          <w:rFonts w:asciiTheme="minorBidi" w:hAnsiTheme="minorBidi"/>
          <w:sz w:val="20"/>
          <w:szCs w:val="20"/>
        </w:rPr>
      </w:pPr>
      <w:r w:rsidRPr="0013711F">
        <w:rPr>
          <w:rFonts w:asciiTheme="minorBidi" w:hAnsiTheme="minorBidi"/>
          <w:sz w:val="20"/>
          <w:szCs w:val="20"/>
        </w:rPr>
        <w:t xml:space="preserve">The External Genitalia Score (EGS) for 46, XX DSD patients </w:t>
      </w:r>
      <w:r w:rsidR="007E4C8B" w:rsidRPr="0013711F">
        <w:rPr>
          <w:rFonts w:asciiTheme="minorBidi" w:hAnsiTheme="minorBidi"/>
          <w:sz w:val="20"/>
          <w:szCs w:val="20"/>
        </w:rPr>
        <w:t>is</w:t>
      </w:r>
      <w:r w:rsidRPr="0013711F">
        <w:rPr>
          <w:rFonts w:asciiTheme="minorBidi" w:hAnsiTheme="minorBidi"/>
          <w:sz w:val="20"/>
          <w:szCs w:val="20"/>
        </w:rPr>
        <w:t xml:space="preserve"> based on the Prader classification, ranging from Prader 1 (mild clitoromegaly) to Prader 5 (complete phallic development with urethral incorporation). Given the established scoring for Prader 1 (2 points) and Prader 5 (10 points), we can extrapolate the </w:t>
      </w:r>
      <w:r w:rsidRPr="0013711F">
        <w:rPr>
          <w:rFonts w:asciiTheme="minorBidi" w:hAnsiTheme="minorBidi"/>
          <w:sz w:val="20"/>
          <w:szCs w:val="20"/>
        </w:rPr>
        <w:lastRenderedPageBreak/>
        <w:t>intermediate scores proportionally, ensuring a progressive scale of virilization:</w:t>
      </w:r>
      <w:r w:rsidR="005221D3" w:rsidRPr="0013711F">
        <w:rPr>
          <w:rFonts w:asciiTheme="minorBidi" w:hAnsiTheme="minorBidi"/>
          <w:sz w:val="20"/>
          <w:szCs w:val="20"/>
        </w:rPr>
        <w:t xml:space="preserve"> This stepwise allocation ensures that the EGS reflects the degree of virilization in 46, XX DSD patients, aligning with Prader staging and maintaining internal consistency within the CDCS framework.</w:t>
      </w:r>
      <w:r w:rsidR="00AB1F24" w:rsidRPr="0013711F">
        <w:rPr>
          <w:rFonts w:asciiTheme="minorBidi" w:hAnsiTheme="minorBidi"/>
          <w:sz w:val="20"/>
          <w:szCs w:val="20"/>
        </w:rPr>
        <w:t xml:space="preserve"> </w:t>
      </w:r>
    </w:p>
    <w:p w14:paraId="7F179618" w14:textId="77777777" w:rsidR="0013711F" w:rsidRPr="0013711F" w:rsidRDefault="0013711F" w:rsidP="00AB1F24">
      <w:pPr>
        <w:jc w:val="both"/>
        <w:rPr>
          <w:rFonts w:asciiTheme="minorBidi" w:hAnsiTheme="minorBidi"/>
          <w:sz w:val="20"/>
          <w:szCs w:val="20"/>
        </w:rPr>
      </w:pPr>
    </w:p>
    <w:tbl>
      <w:tblPr>
        <w:tblStyle w:val="GridTable4-Accent3"/>
        <w:tblW w:w="0" w:type="auto"/>
        <w:jc w:val="center"/>
        <w:tblLook w:val="04A0" w:firstRow="1" w:lastRow="0" w:firstColumn="1" w:lastColumn="0" w:noHBand="0" w:noVBand="1"/>
      </w:tblPr>
      <w:tblGrid>
        <w:gridCol w:w="1357"/>
        <w:gridCol w:w="6275"/>
        <w:gridCol w:w="1718"/>
      </w:tblGrid>
      <w:tr w:rsidR="005221D3" w:rsidRPr="0013711F" w14:paraId="516B34A6" w14:textId="77777777" w:rsidTr="00930A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D507C6C" w14:textId="77777777" w:rsidR="005221D3" w:rsidRPr="0013711F" w:rsidRDefault="005221D3" w:rsidP="005221D3">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t>Prader Stage</w:t>
            </w:r>
          </w:p>
        </w:tc>
        <w:tc>
          <w:tcPr>
            <w:tcW w:w="0" w:type="auto"/>
            <w:hideMark/>
          </w:tcPr>
          <w:p w14:paraId="73C22FE5" w14:textId="77777777" w:rsidR="005221D3" w:rsidRPr="0013711F" w:rsidRDefault="005221D3" w:rsidP="005221D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Genital Appearance</w:t>
            </w:r>
          </w:p>
        </w:tc>
        <w:tc>
          <w:tcPr>
            <w:tcW w:w="0" w:type="auto"/>
            <w:hideMark/>
          </w:tcPr>
          <w:p w14:paraId="7BB45D46" w14:textId="77777777" w:rsidR="005221D3" w:rsidRPr="0013711F" w:rsidRDefault="005221D3" w:rsidP="005221D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EGS Score (0–10)</w:t>
            </w:r>
          </w:p>
        </w:tc>
      </w:tr>
      <w:tr w:rsidR="005221D3" w:rsidRPr="0013711F" w14:paraId="64168EAC"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8CFA5A4"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1</w:t>
            </w:r>
          </w:p>
        </w:tc>
        <w:tc>
          <w:tcPr>
            <w:tcW w:w="0" w:type="auto"/>
            <w:hideMark/>
          </w:tcPr>
          <w:p w14:paraId="7112362E" w14:textId="77777777" w:rsidR="005221D3" w:rsidRPr="0013711F" w:rsidRDefault="005221D3" w:rsidP="005221D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Mild clitoromegaly</w:t>
            </w:r>
          </w:p>
        </w:tc>
        <w:tc>
          <w:tcPr>
            <w:tcW w:w="0" w:type="auto"/>
            <w:hideMark/>
          </w:tcPr>
          <w:p w14:paraId="62B565FD" w14:textId="77777777" w:rsidR="005221D3" w:rsidRPr="0013711F" w:rsidRDefault="005221D3" w:rsidP="00A40B2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r>
      <w:tr w:rsidR="005221D3" w:rsidRPr="0013711F" w14:paraId="4D05F51F" w14:textId="77777777" w:rsidTr="00930A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6C4EAD"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2</w:t>
            </w:r>
          </w:p>
        </w:tc>
        <w:tc>
          <w:tcPr>
            <w:tcW w:w="0" w:type="auto"/>
            <w:hideMark/>
          </w:tcPr>
          <w:p w14:paraId="661315CB" w14:textId="77777777" w:rsidR="005221D3" w:rsidRPr="0013711F" w:rsidRDefault="005221D3" w:rsidP="005221D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Moderate clitoromegaly, partially fused labia</w:t>
            </w:r>
          </w:p>
        </w:tc>
        <w:tc>
          <w:tcPr>
            <w:tcW w:w="0" w:type="auto"/>
            <w:hideMark/>
          </w:tcPr>
          <w:p w14:paraId="0537E983" w14:textId="77777777" w:rsidR="005221D3" w:rsidRPr="0013711F" w:rsidRDefault="005221D3" w:rsidP="00A40B2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4 points</w:t>
            </w:r>
          </w:p>
        </w:tc>
      </w:tr>
      <w:tr w:rsidR="005221D3" w:rsidRPr="0013711F" w14:paraId="16FDA719"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997861"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3</w:t>
            </w:r>
          </w:p>
        </w:tc>
        <w:tc>
          <w:tcPr>
            <w:tcW w:w="0" w:type="auto"/>
            <w:hideMark/>
          </w:tcPr>
          <w:p w14:paraId="32AC2470" w14:textId="77777777" w:rsidR="005221D3" w:rsidRPr="0013711F" w:rsidRDefault="005221D3" w:rsidP="005221D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Enlarged phallus, single urogenital sinus, more fused labioscrotal folds</w:t>
            </w:r>
          </w:p>
        </w:tc>
        <w:tc>
          <w:tcPr>
            <w:tcW w:w="0" w:type="auto"/>
            <w:hideMark/>
          </w:tcPr>
          <w:p w14:paraId="10FEB8A1" w14:textId="77777777" w:rsidR="005221D3" w:rsidRPr="0013711F" w:rsidRDefault="005221D3" w:rsidP="00A40B2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6 points</w:t>
            </w:r>
          </w:p>
        </w:tc>
      </w:tr>
      <w:tr w:rsidR="005221D3" w:rsidRPr="0013711F" w14:paraId="6927655D" w14:textId="77777777" w:rsidTr="00930A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001CD0"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4</w:t>
            </w:r>
          </w:p>
        </w:tc>
        <w:tc>
          <w:tcPr>
            <w:tcW w:w="0" w:type="auto"/>
            <w:hideMark/>
          </w:tcPr>
          <w:p w14:paraId="4B5E09EA" w14:textId="77777777" w:rsidR="005221D3" w:rsidRPr="0013711F" w:rsidRDefault="005221D3" w:rsidP="005221D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Penile urethra partially developed, nearly complete fusion of labioscrotal folds</w:t>
            </w:r>
          </w:p>
        </w:tc>
        <w:tc>
          <w:tcPr>
            <w:tcW w:w="0" w:type="auto"/>
            <w:hideMark/>
          </w:tcPr>
          <w:p w14:paraId="71AF323E" w14:textId="77777777" w:rsidR="005221D3" w:rsidRPr="0013711F" w:rsidRDefault="005221D3" w:rsidP="00A40B2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8 points</w:t>
            </w:r>
          </w:p>
        </w:tc>
      </w:tr>
      <w:tr w:rsidR="005221D3" w:rsidRPr="0013711F" w14:paraId="758D9A62"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688FE8"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5</w:t>
            </w:r>
          </w:p>
        </w:tc>
        <w:tc>
          <w:tcPr>
            <w:tcW w:w="0" w:type="auto"/>
            <w:hideMark/>
          </w:tcPr>
          <w:p w14:paraId="71657911" w14:textId="77777777" w:rsidR="005221D3" w:rsidRPr="0013711F" w:rsidRDefault="005221D3" w:rsidP="005221D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Fully developed phallic structure with urethral incorporation (male appearance)</w:t>
            </w:r>
          </w:p>
        </w:tc>
        <w:tc>
          <w:tcPr>
            <w:tcW w:w="0" w:type="auto"/>
            <w:hideMark/>
          </w:tcPr>
          <w:p w14:paraId="5CE26D72" w14:textId="77777777" w:rsidR="005221D3" w:rsidRPr="0013711F" w:rsidRDefault="005221D3" w:rsidP="00A40B2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10 points</w:t>
            </w:r>
          </w:p>
        </w:tc>
      </w:tr>
    </w:tbl>
    <w:p w14:paraId="40786979" w14:textId="77777777" w:rsidR="005221D3" w:rsidRPr="0013711F" w:rsidRDefault="005221D3" w:rsidP="002D7FB4">
      <w:pPr>
        <w:jc w:val="both"/>
        <w:rPr>
          <w:rFonts w:asciiTheme="minorBidi" w:hAnsiTheme="minorBidi"/>
          <w:sz w:val="20"/>
          <w:szCs w:val="20"/>
        </w:rPr>
      </w:pPr>
    </w:p>
    <w:p w14:paraId="1BEEA187" w14:textId="2A7D50C6" w:rsidR="00EA46EA" w:rsidRPr="0013711F" w:rsidRDefault="00EA46EA" w:rsidP="00AB1F24">
      <w:pPr>
        <w:jc w:val="both"/>
        <w:rPr>
          <w:rFonts w:asciiTheme="minorBidi" w:hAnsiTheme="minorBidi"/>
          <w:sz w:val="20"/>
          <w:szCs w:val="20"/>
        </w:rPr>
      </w:pPr>
      <w:r w:rsidRPr="0013711F">
        <w:rPr>
          <w:rFonts w:asciiTheme="minorBidi" w:hAnsiTheme="minorBidi"/>
          <w:sz w:val="20"/>
          <w:szCs w:val="20"/>
        </w:rPr>
        <w:t>For 46, XY DSD patients, the External Masculinization Score (EMS) ranges from 2 to 10 points in the CDCS system, reflecting the degree of external genital masculinization. Since EMS is a continuous scale from 0 to 12, we can map CDCS scoring onto EMS intervals in a stepwise manner, ensuring a progressive assessment of under-masculinization to full masculinization:</w:t>
      </w:r>
      <w:r w:rsidR="00AB1F24" w:rsidRPr="0013711F">
        <w:rPr>
          <w:rFonts w:asciiTheme="minorBidi" w:hAnsiTheme="minorBidi"/>
          <w:sz w:val="20"/>
          <w:szCs w:val="20"/>
        </w:rPr>
        <w:t xml:space="preserve"> This stepwise classification objectively assesses the 46, XY DSD genital phenotype, consistently integrating EMS into the CDCS system.</w:t>
      </w:r>
    </w:p>
    <w:tbl>
      <w:tblPr>
        <w:tblStyle w:val="GridTable4-Accent3"/>
        <w:tblW w:w="0" w:type="auto"/>
        <w:jc w:val="center"/>
        <w:tblLook w:val="04A0" w:firstRow="1" w:lastRow="0" w:firstColumn="1" w:lastColumn="0" w:noHBand="0" w:noVBand="1"/>
      </w:tblPr>
      <w:tblGrid>
        <w:gridCol w:w="1186"/>
        <w:gridCol w:w="6442"/>
        <w:gridCol w:w="1722"/>
      </w:tblGrid>
      <w:tr w:rsidR="00EA46EA" w:rsidRPr="0013711F" w14:paraId="0E42F06B" w14:textId="77777777" w:rsidTr="00930A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9803CE1" w14:textId="77777777" w:rsidR="00EA46EA" w:rsidRPr="0013711F" w:rsidRDefault="00EA46EA" w:rsidP="00EA46EA">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t>EMS Score</w:t>
            </w:r>
          </w:p>
        </w:tc>
        <w:tc>
          <w:tcPr>
            <w:tcW w:w="0" w:type="auto"/>
            <w:hideMark/>
          </w:tcPr>
          <w:p w14:paraId="47AC7089" w14:textId="77777777" w:rsidR="00EA46EA" w:rsidRPr="0013711F" w:rsidRDefault="00EA46EA" w:rsidP="00EA46E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Genital Appearance</w:t>
            </w:r>
          </w:p>
        </w:tc>
        <w:tc>
          <w:tcPr>
            <w:tcW w:w="0" w:type="auto"/>
            <w:hideMark/>
          </w:tcPr>
          <w:p w14:paraId="3D6607B8" w14:textId="77777777" w:rsidR="00EA46EA" w:rsidRPr="0013711F" w:rsidRDefault="00EA46EA" w:rsidP="00EA46E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EGS Score (0–10)</w:t>
            </w:r>
          </w:p>
        </w:tc>
      </w:tr>
      <w:tr w:rsidR="00EA46EA" w:rsidRPr="0013711F" w14:paraId="691652C6"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0DF2CB"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0–2</w:t>
            </w:r>
          </w:p>
        </w:tc>
        <w:tc>
          <w:tcPr>
            <w:tcW w:w="0" w:type="auto"/>
            <w:hideMark/>
          </w:tcPr>
          <w:p w14:paraId="672818E1" w14:textId="77777777" w:rsidR="00EA46EA" w:rsidRPr="0013711F" w:rsidRDefault="00EA46EA" w:rsidP="00EA46E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Severe </w:t>
            </w:r>
            <w:proofErr w:type="spellStart"/>
            <w:r w:rsidRPr="0013711F">
              <w:rPr>
                <w:rFonts w:asciiTheme="minorBidi" w:hAnsiTheme="minorBidi"/>
                <w:sz w:val="20"/>
                <w:szCs w:val="20"/>
              </w:rPr>
              <w:t>micropenis</w:t>
            </w:r>
            <w:proofErr w:type="spellEnd"/>
            <w:r w:rsidRPr="0013711F">
              <w:rPr>
                <w:rFonts w:asciiTheme="minorBidi" w:hAnsiTheme="minorBidi"/>
                <w:sz w:val="20"/>
                <w:szCs w:val="20"/>
              </w:rPr>
              <w:t>, perineal hypospadias, bifid scrotum, undescended gonads</w:t>
            </w:r>
          </w:p>
        </w:tc>
        <w:tc>
          <w:tcPr>
            <w:tcW w:w="0" w:type="auto"/>
            <w:hideMark/>
          </w:tcPr>
          <w:p w14:paraId="084F665A" w14:textId="77777777" w:rsidR="00EA46EA" w:rsidRPr="0013711F" w:rsidRDefault="00EA46EA" w:rsidP="00EA46E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r>
      <w:tr w:rsidR="00EA46EA" w:rsidRPr="0013711F" w14:paraId="78C81F2A" w14:textId="77777777" w:rsidTr="00930A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8726C18"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3–4</w:t>
            </w:r>
          </w:p>
        </w:tc>
        <w:tc>
          <w:tcPr>
            <w:tcW w:w="0" w:type="auto"/>
            <w:hideMark/>
          </w:tcPr>
          <w:p w14:paraId="78A9995A" w14:textId="77777777" w:rsidR="00EA46EA" w:rsidRPr="0013711F" w:rsidRDefault="00EA46EA" w:rsidP="00EA46E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Moderate </w:t>
            </w:r>
            <w:proofErr w:type="spellStart"/>
            <w:r w:rsidRPr="0013711F">
              <w:rPr>
                <w:rFonts w:asciiTheme="minorBidi" w:hAnsiTheme="minorBidi"/>
                <w:sz w:val="20"/>
                <w:szCs w:val="20"/>
              </w:rPr>
              <w:t>micropenis</w:t>
            </w:r>
            <w:proofErr w:type="spellEnd"/>
            <w:r w:rsidRPr="0013711F">
              <w:rPr>
                <w:rFonts w:asciiTheme="minorBidi" w:hAnsiTheme="minorBidi"/>
                <w:sz w:val="20"/>
                <w:szCs w:val="20"/>
              </w:rPr>
              <w:t xml:space="preserve">, </w:t>
            </w:r>
            <w:proofErr w:type="spellStart"/>
            <w:r w:rsidRPr="0013711F">
              <w:rPr>
                <w:rFonts w:asciiTheme="minorBidi" w:hAnsiTheme="minorBidi"/>
                <w:sz w:val="20"/>
                <w:szCs w:val="20"/>
              </w:rPr>
              <w:t>penoscrotal</w:t>
            </w:r>
            <w:proofErr w:type="spellEnd"/>
            <w:r w:rsidRPr="0013711F">
              <w:rPr>
                <w:rFonts w:asciiTheme="minorBidi" w:hAnsiTheme="minorBidi"/>
                <w:sz w:val="20"/>
                <w:szCs w:val="20"/>
              </w:rPr>
              <w:t xml:space="preserve"> hypospadias, partial scrotal fusion</w:t>
            </w:r>
          </w:p>
        </w:tc>
        <w:tc>
          <w:tcPr>
            <w:tcW w:w="0" w:type="auto"/>
            <w:hideMark/>
          </w:tcPr>
          <w:p w14:paraId="1D6CFA39" w14:textId="77777777" w:rsidR="00EA46EA" w:rsidRPr="0013711F" w:rsidRDefault="00EA46EA" w:rsidP="00EA46E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4 points</w:t>
            </w:r>
          </w:p>
        </w:tc>
      </w:tr>
      <w:tr w:rsidR="00EA46EA" w:rsidRPr="0013711F" w14:paraId="49C183A6"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6092E2"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5–6</w:t>
            </w:r>
          </w:p>
        </w:tc>
        <w:tc>
          <w:tcPr>
            <w:tcW w:w="0" w:type="auto"/>
            <w:hideMark/>
          </w:tcPr>
          <w:p w14:paraId="03EFAF10" w14:textId="77777777" w:rsidR="00EA46EA" w:rsidRPr="0013711F" w:rsidRDefault="00EA46EA" w:rsidP="00EA46E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Small phallus, scrotal fusion nearly complete, mild hypospadias</w:t>
            </w:r>
          </w:p>
        </w:tc>
        <w:tc>
          <w:tcPr>
            <w:tcW w:w="0" w:type="auto"/>
            <w:hideMark/>
          </w:tcPr>
          <w:p w14:paraId="1D1BACD1" w14:textId="77777777" w:rsidR="00EA46EA" w:rsidRPr="0013711F" w:rsidRDefault="00EA46EA" w:rsidP="00EA46E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6 points</w:t>
            </w:r>
          </w:p>
        </w:tc>
      </w:tr>
      <w:tr w:rsidR="00EA46EA" w:rsidRPr="0013711F" w14:paraId="0198A1DD" w14:textId="77777777" w:rsidTr="00930A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FE45A36"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7–9</w:t>
            </w:r>
          </w:p>
        </w:tc>
        <w:tc>
          <w:tcPr>
            <w:tcW w:w="0" w:type="auto"/>
            <w:hideMark/>
          </w:tcPr>
          <w:p w14:paraId="16659A78" w14:textId="77777777" w:rsidR="00EA46EA" w:rsidRPr="0013711F" w:rsidRDefault="00EA46EA" w:rsidP="00EA46E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Near-normal phallic size, mild </w:t>
            </w:r>
            <w:proofErr w:type="spellStart"/>
            <w:r w:rsidRPr="0013711F">
              <w:rPr>
                <w:rFonts w:asciiTheme="minorBidi" w:hAnsiTheme="minorBidi"/>
                <w:sz w:val="20"/>
                <w:szCs w:val="20"/>
              </w:rPr>
              <w:t>glanular</w:t>
            </w:r>
            <w:proofErr w:type="spellEnd"/>
            <w:r w:rsidRPr="0013711F">
              <w:rPr>
                <w:rFonts w:asciiTheme="minorBidi" w:hAnsiTheme="minorBidi"/>
                <w:sz w:val="20"/>
                <w:szCs w:val="20"/>
              </w:rPr>
              <w:t xml:space="preserve"> hypospadias, or isolated chordee</w:t>
            </w:r>
          </w:p>
        </w:tc>
        <w:tc>
          <w:tcPr>
            <w:tcW w:w="0" w:type="auto"/>
            <w:hideMark/>
          </w:tcPr>
          <w:p w14:paraId="52E3A0B2" w14:textId="77777777" w:rsidR="00EA46EA" w:rsidRPr="0013711F" w:rsidRDefault="00EA46EA" w:rsidP="00EA46E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8 points</w:t>
            </w:r>
          </w:p>
        </w:tc>
      </w:tr>
      <w:tr w:rsidR="00EA46EA" w:rsidRPr="0013711F" w14:paraId="6855C859"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863C8D"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≥10</w:t>
            </w:r>
          </w:p>
        </w:tc>
        <w:tc>
          <w:tcPr>
            <w:tcW w:w="0" w:type="auto"/>
            <w:hideMark/>
          </w:tcPr>
          <w:p w14:paraId="53CDDFF0" w14:textId="77777777" w:rsidR="00EA46EA" w:rsidRPr="0013711F" w:rsidRDefault="00EA46EA" w:rsidP="00EA46E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Fully masculinized phenotype (normal phallus, urethra at tip, fully fused scrotum)</w:t>
            </w:r>
          </w:p>
        </w:tc>
        <w:tc>
          <w:tcPr>
            <w:tcW w:w="0" w:type="auto"/>
            <w:hideMark/>
          </w:tcPr>
          <w:p w14:paraId="1C14E304" w14:textId="77777777" w:rsidR="00EA46EA" w:rsidRPr="0013711F" w:rsidRDefault="00EA46EA" w:rsidP="00EA46E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10 points</w:t>
            </w:r>
          </w:p>
        </w:tc>
      </w:tr>
    </w:tbl>
    <w:p w14:paraId="13FADB1D" w14:textId="77777777" w:rsidR="00EA46EA" w:rsidRPr="0013711F" w:rsidRDefault="00EA46EA" w:rsidP="00EA46EA">
      <w:pPr>
        <w:jc w:val="both"/>
        <w:rPr>
          <w:rFonts w:asciiTheme="minorBidi" w:hAnsiTheme="minorBidi"/>
          <w:sz w:val="20"/>
          <w:szCs w:val="20"/>
        </w:rPr>
      </w:pPr>
    </w:p>
    <w:p w14:paraId="132310F7" w14:textId="46098115" w:rsidR="00502C32" w:rsidRPr="0013711F" w:rsidRDefault="00AB1F24" w:rsidP="00AB1F24">
      <w:pPr>
        <w:jc w:val="both"/>
        <w:rPr>
          <w:rFonts w:asciiTheme="minorBidi" w:hAnsiTheme="minorBidi"/>
          <w:sz w:val="20"/>
          <w:szCs w:val="20"/>
        </w:rPr>
      </w:pPr>
      <w:r w:rsidRPr="0013711F">
        <w:rPr>
          <w:rFonts w:asciiTheme="minorBidi" w:hAnsiTheme="minorBidi"/>
          <w:sz w:val="20"/>
          <w:szCs w:val="20"/>
        </w:rPr>
        <w:t>Rationale for Score Allocation: EMS &lt;5 (2–4 points): Represents severe under-masculinization, often associated with complete androgen insensitivity, 5α-reductase deficiency, or gonadal dysgenesis. EMS 5–6 (6 points): Corresponds to moderate under masculinization, typically seen in partial androgen insensitivity syndrome (PAIS) or mild 5α-reductase deficiency. EMS 7–9 (8 points): Reflects mild under-masculinization, where patients may have minor hypospadias or isolated chordee, and EMS ≥10 (10 points): Represents full masculinization, corresponding to normal 46, XY male genitalia.</w:t>
      </w:r>
    </w:p>
    <w:p w14:paraId="071505F0" w14:textId="7CCF92EB" w:rsidR="00204EB2" w:rsidRPr="0013711F" w:rsidRDefault="00204EB2" w:rsidP="00204EB2">
      <w:pPr>
        <w:jc w:val="both"/>
        <w:rPr>
          <w:rFonts w:asciiTheme="minorBidi" w:hAnsiTheme="minorBidi"/>
          <w:sz w:val="20"/>
          <w:szCs w:val="20"/>
        </w:rPr>
      </w:pPr>
      <w:r w:rsidRPr="0013711F">
        <w:rPr>
          <w:rFonts w:asciiTheme="minorBidi" w:hAnsiTheme="minorBidi"/>
          <w:sz w:val="20"/>
          <w:szCs w:val="20"/>
        </w:rPr>
        <w:t>The CDCS was systematically assigned using a multimodal diagnostic approach, incorporating clinical, radiological, hormonal, and genetic assessments. Each score component was evaluated using standardized imaging techniques, laboratory assays, and surgical findings when available.</w:t>
      </w:r>
    </w:p>
    <w:p w14:paraId="4C916A21" w14:textId="77777777" w:rsidR="00204EB2" w:rsidRPr="0013711F" w:rsidRDefault="00204EB2" w:rsidP="00204EB2">
      <w:pPr>
        <w:jc w:val="both"/>
        <w:rPr>
          <w:rFonts w:asciiTheme="minorBidi" w:hAnsiTheme="minorBidi"/>
          <w:b/>
          <w:bCs/>
          <w:sz w:val="20"/>
          <w:szCs w:val="20"/>
        </w:rPr>
      </w:pPr>
      <w:r w:rsidRPr="0013711F">
        <w:rPr>
          <w:rFonts w:asciiTheme="minorBidi" w:hAnsiTheme="minorBidi"/>
          <w:b/>
          <w:bCs/>
          <w:sz w:val="20"/>
          <w:szCs w:val="20"/>
        </w:rPr>
        <w:lastRenderedPageBreak/>
        <w:t>1. Internal Genitalia Score (IGS) (0–6 points)</w:t>
      </w:r>
    </w:p>
    <w:p w14:paraId="01A158B2" w14:textId="77777777" w:rsidR="00204EB2" w:rsidRPr="0013711F" w:rsidRDefault="00204EB2" w:rsidP="00204EB2">
      <w:pPr>
        <w:jc w:val="both"/>
        <w:rPr>
          <w:rFonts w:asciiTheme="minorBidi" w:hAnsiTheme="minorBidi"/>
          <w:sz w:val="20"/>
          <w:szCs w:val="20"/>
        </w:rPr>
      </w:pPr>
      <w:r w:rsidRPr="0013711F">
        <w:rPr>
          <w:rFonts w:asciiTheme="minorBidi" w:hAnsiTheme="minorBidi"/>
          <w:sz w:val="20"/>
          <w:szCs w:val="20"/>
        </w:rPr>
        <w:t>The IGS was derived from pelvic ultrasound, MRI, and/or laparoscopic findings to evaluate the presence of Müllerian (female) and Wolffian (male) structures. The score was assigned based on the degree of internal reproductive differentiation:</w:t>
      </w:r>
    </w:p>
    <w:tbl>
      <w:tblPr>
        <w:tblStyle w:val="GridTable4-Accent3"/>
        <w:tblW w:w="0" w:type="auto"/>
        <w:jc w:val="center"/>
        <w:tblLook w:val="04A0" w:firstRow="1" w:lastRow="0" w:firstColumn="1" w:lastColumn="0" w:noHBand="0" w:noVBand="1"/>
      </w:tblPr>
      <w:tblGrid>
        <w:gridCol w:w="1806"/>
        <w:gridCol w:w="3136"/>
        <w:gridCol w:w="926"/>
        <w:gridCol w:w="3482"/>
      </w:tblGrid>
      <w:tr w:rsidR="00F163A2" w:rsidRPr="0013711F" w14:paraId="66922877" w14:textId="77777777" w:rsidTr="00930A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4E31F1C" w14:textId="77777777" w:rsidR="00F163A2" w:rsidRPr="0013711F" w:rsidRDefault="00F163A2" w:rsidP="00F163A2">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t>Findings</w:t>
            </w:r>
          </w:p>
        </w:tc>
        <w:tc>
          <w:tcPr>
            <w:tcW w:w="0" w:type="auto"/>
            <w:hideMark/>
          </w:tcPr>
          <w:p w14:paraId="282D529C" w14:textId="77777777" w:rsidR="00F163A2" w:rsidRPr="0013711F" w:rsidRDefault="00F163A2" w:rsidP="00F163A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Anatomical Features</w:t>
            </w:r>
          </w:p>
        </w:tc>
        <w:tc>
          <w:tcPr>
            <w:tcW w:w="0" w:type="auto"/>
            <w:hideMark/>
          </w:tcPr>
          <w:p w14:paraId="6DC6F18D" w14:textId="77777777" w:rsidR="00F163A2" w:rsidRPr="0013711F" w:rsidRDefault="00F163A2" w:rsidP="00F163A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IGS Score</w:t>
            </w:r>
          </w:p>
        </w:tc>
        <w:tc>
          <w:tcPr>
            <w:tcW w:w="0" w:type="auto"/>
            <w:hideMark/>
          </w:tcPr>
          <w:p w14:paraId="042DA7FC" w14:textId="77777777" w:rsidR="00F163A2" w:rsidRPr="0013711F" w:rsidRDefault="00F163A2" w:rsidP="00F163A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Clinical Significance</w:t>
            </w:r>
          </w:p>
        </w:tc>
      </w:tr>
      <w:tr w:rsidR="00F163A2" w:rsidRPr="0013711F" w14:paraId="1C105697"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2746BC" w14:textId="77777777" w:rsidR="00F163A2" w:rsidRPr="0013711F" w:rsidRDefault="00F163A2" w:rsidP="00F163A2">
            <w:pPr>
              <w:spacing w:after="160" w:line="259" w:lineRule="auto"/>
              <w:jc w:val="center"/>
              <w:rPr>
                <w:rFonts w:asciiTheme="minorBidi" w:hAnsiTheme="minorBidi"/>
                <w:sz w:val="20"/>
                <w:szCs w:val="20"/>
              </w:rPr>
            </w:pPr>
            <w:r w:rsidRPr="0013711F">
              <w:rPr>
                <w:rFonts w:asciiTheme="minorBidi" w:hAnsiTheme="minorBidi"/>
                <w:sz w:val="20"/>
                <w:szCs w:val="20"/>
              </w:rPr>
              <w:t>Complete female structures</w:t>
            </w:r>
          </w:p>
        </w:tc>
        <w:tc>
          <w:tcPr>
            <w:tcW w:w="0" w:type="auto"/>
            <w:hideMark/>
          </w:tcPr>
          <w:p w14:paraId="4DD1442E" w14:textId="77777777" w:rsidR="00F163A2" w:rsidRPr="0013711F" w:rsidRDefault="00F163A2" w:rsidP="00F163A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Uterus &amp; upper vagina present, no Wolffian structures</w:t>
            </w:r>
          </w:p>
        </w:tc>
        <w:tc>
          <w:tcPr>
            <w:tcW w:w="0" w:type="auto"/>
            <w:hideMark/>
          </w:tcPr>
          <w:p w14:paraId="70318727" w14:textId="77777777" w:rsidR="00F163A2" w:rsidRPr="0013711F" w:rsidRDefault="00F163A2" w:rsidP="00F163A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c>
          <w:tcPr>
            <w:tcW w:w="0" w:type="auto"/>
            <w:hideMark/>
          </w:tcPr>
          <w:p w14:paraId="371AD955" w14:textId="38EE4942" w:rsidR="00F163A2" w:rsidRPr="0013711F" w:rsidRDefault="00F163A2" w:rsidP="00F163A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46,</w:t>
            </w:r>
            <w:r w:rsidR="00474E18" w:rsidRPr="0013711F">
              <w:rPr>
                <w:rFonts w:asciiTheme="minorBidi" w:hAnsiTheme="minorBidi"/>
                <w:sz w:val="20"/>
                <w:szCs w:val="20"/>
              </w:rPr>
              <w:t xml:space="preserve"> </w:t>
            </w:r>
            <w:r w:rsidRPr="0013711F">
              <w:rPr>
                <w:rFonts w:asciiTheme="minorBidi" w:hAnsiTheme="minorBidi"/>
                <w:sz w:val="20"/>
                <w:szCs w:val="20"/>
              </w:rPr>
              <w:t xml:space="preserve">XX phenotype (e.g., CAH, </w:t>
            </w:r>
            <w:proofErr w:type="spellStart"/>
            <w:r w:rsidRPr="0013711F">
              <w:rPr>
                <w:rFonts w:asciiTheme="minorBidi" w:hAnsiTheme="minorBidi"/>
                <w:sz w:val="20"/>
                <w:szCs w:val="20"/>
              </w:rPr>
              <w:t>Swyer</w:t>
            </w:r>
            <w:proofErr w:type="spellEnd"/>
            <w:r w:rsidRPr="0013711F">
              <w:rPr>
                <w:rFonts w:asciiTheme="minorBidi" w:hAnsiTheme="minorBidi"/>
                <w:sz w:val="20"/>
                <w:szCs w:val="20"/>
              </w:rPr>
              <w:t xml:space="preserve"> syndrome)</w:t>
            </w:r>
          </w:p>
        </w:tc>
      </w:tr>
      <w:tr w:rsidR="00F163A2" w:rsidRPr="0013711F" w14:paraId="161ADA8D" w14:textId="77777777" w:rsidTr="00930A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D6A7FC" w14:textId="77777777" w:rsidR="00F163A2" w:rsidRPr="0013711F" w:rsidRDefault="00F163A2" w:rsidP="00F163A2">
            <w:pPr>
              <w:spacing w:after="160" w:line="259" w:lineRule="auto"/>
              <w:jc w:val="center"/>
              <w:rPr>
                <w:rFonts w:asciiTheme="minorBidi" w:hAnsiTheme="minorBidi"/>
                <w:sz w:val="20"/>
                <w:szCs w:val="20"/>
              </w:rPr>
            </w:pPr>
            <w:r w:rsidRPr="0013711F">
              <w:rPr>
                <w:rFonts w:asciiTheme="minorBidi" w:hAnsiTheme="minorBidi"/>
                <w:sz w:val="20"/>
                <w:szCs w:val="20"/>
              </w:rPr>
              <w:t>Complete Wolffian structures</w:t>
            </w:r>
          </w:p>
        </w:tc>
        <w:tc>
          <w:tcPr>
            <w:tcW w:w="0" w:type="auto"/>
            <w:hideMark/>
          </w:tcPr>
          <w:p w14:paraId="7AF7532C" w14:textId="77777777" w:rsidR="00F163A2" w:rsidRPr="0013711F" w:rsidRDefault="00F163A2" w:rsidP="00F163A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Epididymis, vas deferens, and seminal vesicles present, no Müllerian structures</w:t>
            </w:r>
          </w:p>
        </w:tc>
        <w:tc>
          <w:tcPr>
            <w:tcW w:w="0" w:type="auto"/>
            <w:hideMark/>
          </w:tcPr>
          <w:p w14:paraId="7D3EBD03" w14:textId="77777777" w:rsidR="00F163A2" w:rsidRPr="0013711F" w:rsidRDefault="00F163A2" w:rsidP="00F163A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c>
          <w:tcPr>
            <w:tcW w:w="0" w:type="auto"/>
            <w:hideMark/>
          </w:tcPr>
          <w:p w14:paraId="6AE60A02" w14:textId="24F40BBF" w:rsidR="00F163A2" w:rsidRPr="0013711F" w:rsidRDefault="00F163A2" w:rsidP="00F163A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46,</w:t>
            </w:r>
            <w:r w:rsidR="00474E18" w:rsidRPr="0013711F">
              <w:rPr>
                <w:rFonts w:asciiTheme="minorBidi" w:hAnsiTheme="minorBidi"/>
                <w:sz w:val="20"/>
                <w:szCs w:val="20"/>
              </w:rPr>
              <w:t xml:space="preserve"> </w:t>
            </w:r>
            <w:r w:rsidRPr="0013711F">
              <w:rPr>
                <w:rFonts w:asciiTheme="minorBidi" w:hAnsiTheme="minorBidi"/>
                <w:sz w:val="20"/>
                <w:szCs w:val="20"/>
              </w:rPr>
              <w:t>XY phenotype (e.g., PAIS, 5α-reductase deficiency)</w:t>
            </w:r>
          </w:p>
        </w:tc>
      </w:tr>
      <w:tr w:rsidR="00F163A2" w:rsidRPr="0013711F" w14:paraId="097FB029"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F3F1563" w14:textId="77777777" w:rsidR="00F163A2" w:rsidRPr="0013711F" w:rsidRDefault="00F163A2" w:rsidP="00F163A2">
            <w:pPr>
              <w:spacing w:after="160" w:line="259" w:lineRule="auto"/>
              <w:jc w:val="center"/>
              <w:rPr>
                <w:rFonts w:asciiTheme="minorBidi" w:hAnsiTheme="minorBidi"/>
                <w:sz w:val="20"/>
                <w:szCs w:val="20"/>
              </w:rPr>
            </w:pPr>
            <w:r w:rsidRPr="0013711F">
              <w:rPr>
                <w:rFonts w:asciiTheme="minorBidi" w:hAnsiTheme="minorBidi"/>
                <w:sz w:val="20"/>
                <w:szCs w:val="20"/>
              </w:rPr>
              <w:t>Mixed structures</w:t>
            </w:r>
          </w:p>
        </w:tc>
        <w:tc>
          <w:tcPr>
            <w:tcW w:w="0" w:type="auto"/>
            <w:hideMark/>
          </w:tcPr>
          <w:p w14:paraId="5224395A" w14:textId="77777777" w:rsidR="00F163A2" w:rsidRPr="0013711F" w:rsidRDefault="00F163A2" w:rsidP="00F163A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Müllerian remnants (partial uterus, upper vagina) + Wolffian derivatives</w:t>
            </w:r>
          </w:p>
        </w:tc>
        <w:tc>
          <w:tcPr>
            <w:tcW w:w="0" w:type="auto"/>
            <w:hideMark/>
          </w:tcPr>
          <w:p w14:paraId="52B908FC" w14:textId="77777777" w:rsidR="00F163A2" w:rsidRPr="0013711F" w:rsidRDefault="00F163A2" w:rsidP="00F163A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1 point</w:t>
            </w:r>
          </w:p>
        </w:tc>
        <w:tc>
          <w:tcPr>
            <w:tcW w:w="0" w:type="auto"/>
            <w:hideMark/>
          </w:tcPr>
          <w:p w14:paraId="1F9A9CD7" w14:textId="7F24939C" w:rsidR="00F163A2" w:rsidRPr="0013711F" w:rsidRDefault="00F163A2" w:rsidP="00F163A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Suggests </w:t>
            </w:r>
            <w:proofErr w:type="spellStart"/>
            <w:r w:rsidRPr="0013711F">
              <w:rPr>
                <w:rFonts w:asciiTheme="minorBidi" w:hAnsiTheme="minorBidi"/>
                <w:sz w:val="20"/>
                <w:szCs w:val="20"/>
              </w:rPr>
              <w:t>Ovotesticular</w:t>
            </w:r>
            <w:proofErr w:type="spellEnd"/>
            <w:r w:rsidRPr="0013711F">
              <w:rPr>
                <w:rFonts w:asciiTheme="minorBidi" w:hAnsiTheme="minorBidi"/>
                <w:sz w:val="20"/>
                <w:szCs w:val="20"/>
              </w:rPr>
              <w:t xml:space="preserve"> DSD or mixed gonadal dysgenesis (e.g., </w:t>
            </w:r>
            <w:r w:rsidR="00474E18" w:rsidRPr="0013711F">
              <w:rPr>
                <w:rFonts w:asciiTheme="minorBidi" w:hAnsiTheme="minorBidi"/>
                <w:sz w:val="20"/>
                <w:szCs w:val="20"/>
              </w:rPr>
              <w:t>45, X</w:t>
            </w:r>
            <w:r w:rsidRPr="0013711F">
              <w:rPr>
                <w:rFonts w:asciiTheme="minorBidi" w:hAnsiTheme="minorBidi"/>
                <w:sz w:val="20"/>
                <w:szCs w:val="20"/>
              </w:rPr>
              <w:t>/46,</w:t>
            </w:r>
            <w:r w:rsidR="00474E18" w:rsidRPr="0013711F">
              <w:rPr>
                <w:rFonts w:asciiTheme="minorBidi" w:hAnsiTheme="minorBidi"/>
                <w:sz w:val="20"/>
                <w:szCs w:val="20"/>
              </w:rPr>
              <w:t xml:space="preserve"> </w:t>
            </w:r>
            <w:r w:rsidRPr="0013711F">
              <w:rPr>
                <w:rFonts w:asciiTheme="minorBidi" w:hAnsiTheme="minorBidi"/>
                <w:sz w:val="20"/>
                <w:szCs w:val="20"/>
              </w:rPr>
              <w:t>XY mosaicism)</w:t>
            </w:r>
          </w:p>
        </w:tc>
      </w:tr>
      <w:tr w:rsidR="00F163A2" w:rsidRPr="0013711F" w14:paraId="7E8AE78D" w14:textId="77777777" w:rsidTr="00930A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95D663" w14:textId="77777777" w:rsidR="00F163A2" w:rsidRPr="0013711F" w:rsidRDefault="00F163A2" w:rsidP="00F163A2">
            <w:pPr>
              <w:spacing w:after="160" w:line="259" w:lineRule="auto"/>
              <w:jc w:val="center"/>
              <w:rPr>
                <w:rFonts w:asciiTheme="minorBidi" w:hAnsiTheme="minorBidi"/>
                <w:sz w:val="20"/>
                <w:szCs w:val="20"/>
              </w:rPr>
            </w:pPr>
            <w:r w:rsidRPr="0013711F">
              <w:rPr>
                <w:rFonts w:asciiTheme="minorBidi" w:hAnsiTheme="minorBidi"/>
                <w:sz w:val="20"/>
                <w:szCs w:val="20"/>
              </w:rPr>
              <w:t>No identifiable structures</w:t>
            </w:r>
          </w:p>
        </w:tc>
        <w:tc>
          <w:tcPr>
            <w:tcW w:w="0" w:type="auto"/>
            <w:hideMark/>
          </w:tcPr>
          <w:p w14:paraId="494E3E00" w14:textId="77777777" w:rsidR="00F163A2" w:rsidRPr="0013711F" w:rsidRDefault="00F163A2" w:rsidP="00F163A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No Müllerian or Wolffian structures detected</w:t>
            </w:r>
          </w:p>
        </w:tc>
        <w:tc>
          <w:tcPr>
            <w:tcW w:w="0" w:type="auto"/>
            <w:hideMark/>
          </w:tcPr>
          <w:p w14:paraId="59AD5C05" w14:textId="77777777" w:rsidR="00F163A2" w:rsidRPr="0013711F" w:rsidRDefault="00F163A2" w:rsidP="00F163A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0 points</w:t>
            </w:r>
          </w:p>
        </w:tc>
        <w:tc>
          <w:tcPr>
            <w:tcW w:w="0" w:type="auto"/>
            <w:hideMark/>
          </w:tcPr>
          <w:p w14:paraId="6AB00A60" w14:textId="77777777" w:rsidR="00F163A2" w:rsidRPr="0013711F" w:rsidRDefault="00F163A2" w:rsidP="00F163A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severe gonadal dysgenesis or testicular regression syndrome</w:t>
            </w:r>
          </w:p>
        </w:tc>
      </w:tr>
    </w:tbl>
    <w:p w14:paraId="04CDA4B1" w14:textId="77777777" w:rsidR="0013711F" w:rsidRDefault="0013711F" w:rsidP="00C27423">
      <w:pPr>
        <w:jc w:val="both"/>
        <w:rPr>
          <w:rFonts w:asciiTheme="minorBidi" w:hAnsiTheme="minorBidi"/>
          <w:sz w:val="20"/>
          <w:szCs w:val="20"/>
        </w:rPr>
      </w:pPr>
    </w:p>
    <w:p w14:paraId="3963F5E2" w14:textId="0C719A8A" w:rsidR="00C27423" w:rsidRPr="0013711F" w:rsidRDefault="00C27423" w:rsidP="00C27423">
      <w:pPr>
        <w:jc w:val="both"/>
        <w:rPr>
          <w:rFonts w:asciiTheme="minorBidi" w:hAnsiTheme="minorBidi"/>
          <w:sz w:val="20"/>
          <w:szCs w:val="20"/>
        </w:rPr>
      </w:pPr>
      <w:r w:rsidRPr="0013711F">
        <w:rPr>
          <w:rFonts w:asciiTheme="minorBidi" w:hAnsiTheme="minorBidi"/>
          <w:sz w:val="20"/>
          <w:szCs w:val="20"/>
        </w:rPr>
        <w:t xml:space="preserve">For </w:t>
      </w:r>
      <w:r w:rsidR="00EE5209">
        <w:rPr>
          <w:rFonts w:asciiTheme="minorBidi" w:hAnsiTheme="minorBidi"/>
          <w:sz w:val="20"/>
          <w:szCs w:val="20"/>
        </w:rPr>
        <w:t>imaging Modalities and diagnostic Accuracy: Pelvic Ultrasound (1st-line non-invasive tool) was</w:t>
      </w:r>
      <w:r w:rsidRPr="0013711F">
        <w:rPr>
          <w:rFonts w:asciiTheme="minorBidi" w:hAnsiTheme="minorBidi"/>
          <w:sz w:val="20"/>
          <w:szCs w:val="20"/>
        </w:rPr>
        <w:t xml:space="preserve"> used </w:t>
      </w:r>
      <w:r w:rsidR="00F1457E">
        <w:rPr>
          <w:rFonts w:asciiTheme="minorBidi" w:hAnsiTheme="minorBidi"/>
          <w:sz w:val="20"/>
          <w:szCs w:val="20"/>
        </w:rPr>
        <w:t>to evaluate</w:t>
      </w:r>
      <w:r w:rsidRPr="0013711F">
        <w:rPr>
          <w:rFonts w:asciiTheme="minorBidi" w:hAnsiTheme="minorBidi"/>
          <w:sz w:val="20"/>
          <w:szCs w:val="20"/>
        </w:rPr>
        <w:t xml:space="preserve"> the uterus and Müllerian structures (sensitivity ~85%). MRI (2nd-line for complex cases) is used when ultrasound findings are equivocal or further Wolffian differentiation is required. Laparoscopy (definitive anatomical confirmation) is utilized in cases requiring gonadal biopsy or for surgical planning. Accordingly, the scores were assigned: All patients underwent a standardized imaging protocol based on age and clinical presentation. IGS was assigned based on the highest level of differentiation (e.g. if a patient had both Müllerian &amp; Wolffian structures → 1 point assigned instead of 2), and radiologists and pediatric surgeons independently reviewed imaging results before final scoring.</w:t>
      </w:r>
    </w:p>
    <w:p w14:paraId="371C0E4F" w14:textId="77777777" w:rsidR="006376A9" w:rsidRPr="0013711F" w:rsidRDefault="006376A9" w:rsidP="006376A9">
      <w:pPr>
        <w:jc w:val="both"/>
        <w:rPr>
          <w:rFonts w:asciiTheme="minorBidi" w:hAnsiTheme="minorBidi"/>
          <w:b/>
          <w:bCs/>
          <w:sz w:val="20"/>
          <w:szCs w:val="20"/>
        </w:rPr>
      </w:pPr>
      <w:r w:rsidRPr="0013711F">
        <w:rPr>
          <w:rFonts w:asciiTheme="minorBidi" w:hAnsiTheme="minorBidi"/>
          <w:b/>
          <w:bCs/>
          <w:sz w:val="20"/>
          <w:szCs w:val="20"/>
        </w:rPr>
        <w:t>2. Gonadal Position &amp; Function Score (GPS) (0–6 points)</w:t>
      </w:r>
    </w:p>
    <w:p w14:paraId="4A5DC065" w14:textId="77777777" w:rsidR="006376A9" w:rsidRPr="0013711F" w:rsidRDefault="006376A9" w:rsidP="006376A9">
      <w:pPr>
        <w:jc w:val="both"/>
        <w:rPr>
          <w:rFonts w:asciiTheme="minorBidi" w:hAnsiTheme="minorBidi"/>
          <w:sz w:val="20"/>
          <w:szCs w:val="20"/>
        </w:rPr>
      </w:pPr>
      <w:r w:rsidRPr="0013711F">
        <w:rPr>
          <w:rFonts w:asciiTheme="minorBidi" w:hAnsiTheme="minorBidi"/>
          <w:sz w:val="20"/>
          <w:szCs w:val="20"/>
        </w:rPr>
        <w:t>The GPS score assessed gonadal anatomy and function, integrating both gonadal positioning (evaluated through imaging/laparoscopy) and endocrine function (hormonal assays).</w:t>
      </w:r>
    </w:p>
    <w:p w14:paraId="09AAB86A" w14:textId="24D9FD91" w:rsidR="006376A9" w:rsidRPr="0013711F" w:rsidRDefault="006376A9">
      <w:pPr>
        <w:pStyle w:val="ListParagraph"/>
        <w:numPr>
          <w:ilvl w:val="0"/>
          <w:numId w:val="1"/>
        </w:numPr>
        <w:ind w:left="270"/>
        <w:jc w:val="both"/>
        <w:rPr>
          <w:rFonts w:asciiTheme="minorBidi" w:hAnsiTheme="minorBidi"/>
          <w:sz w:val="20"/>
          <w:szCs w:val="20"/>
        </w:rPr>
      </w:pPr>
      <w:r w:rsidRPr="0013711F">
        <w:rPr>
          <w:rFonts w:asciiTheme="minorBidi" w:hAnsiTheme="minorBidi"/>
          <w:sz w:val="20"/>
          <w:szCs w:val="20"/>
        </w:rPr>
        <w:t>Gonadal Position (0–2 points)</w:t>
      </w:r>
    </w:p>
    <w:tbl>
      <w:tblPr>
        <w:tblStyle w:val="GridTable4-Accent3"/>
        <w:tblW w:w="0" w:type="auto"/>
        <w:jc w:val="center"/>
        <w:tblLook w:val="04A0" w:firstRow="1" w:lastRow="0" w:firstColumn="1" w:lastColumn="0" w:noHBand="0" w:noVBand="1"/>
      </w:tblPr>
      <w:tblGrid>
        <w:gridCol w:w="1778"/>
        <w:gridCol w:w="3015"/>
        <w:gridCol w:w="1008"/>
        <w:gridCol w:w="3549"/>
      </w:tblGrid>
      <w:tr w:rsidR="006376A9" w:rsidRPr="0013711F" w14:paraId="4222521F" w14:textId="77777777" w:rsidTr="00930A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DF4396" w14:textId="77777777" w:rsidR="006376A9" w:rsidRPr="0013711F" w:rsidRDefault="006376A9" w:rsidP="006376A9">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t>Location</w:t>
            </w:r>
          </w:p>
        </w:tc>
        <w:tc>
          <w:tcPr>
            <w:tcW w:w="0" w:type="auto"/>
            <w:hideMark/>
          </w:tcPr>
          <w:p w14:paraId="2B30A796" w14:textId="77777777" w:rsidR="006376A9" w:rsidRPr="0013711F" w:rsidRDefault="006376A9" w:rsidP="006376A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Gonadal Position</w:t>
            </w:r>
          </w:p>
        </w:tc>
        <w:tc>
          <w:tcPr>
            <w:tcW w:w="0" w:type="auto"/>
            <w:hideMark/>
          </w:tcPr>
          <w:p w14:paraId="0499F405" w14:textId="77777777" w:rsidR="006376A9" w:rsidRPr="0013711F" w:rsidRDefault="006376A9" w:rsidP="006376A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GPS Score</w:t>
            </w:r>
          </w:p>
        </w:tc>
        <w:tc>
          <w:tcPr>
            <w:tcW w:w="0" w:type="auto"/>
            <w:hideMark/>
          </w:tcPr>
          <w:p w14:paraId="21332515" w14:textId="77777777" w:rsidR="006376A9" w:rsidRPr="0013711F" w:rsidRDefault="006376A9" w:rsidP="006376A9">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Clinical Significance</w:t>
            </w:r>
          </w:p>
        </w:tc>
      </w:tr>
      <w:tr w:rsidR="006376A9" w:rsidRPr="0013711F" w14:paraId="41A13ADC"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B551A5" w14:textId="77777777" w:rsidR="006376A9" w:rsidRPr="0013711F" w:rsidRDefault="006376A9" w:rsidP="006376A9">
            <w:pPr>
              <w:spacing w:after="160" w:line="259" w:lineRule="auto"/>
              <w:jc w:val="center"/>
              <w:rPr>
                <w:rFonts w:asciiTheme="minorBidi" w:hAnsiTheme="minorBidi"/>
                <w:sz w:val="20"/>
                <w:szCs w:val="20"/>
              </w:rPr>
            </w:pPr>
            <w:r w:rsidRPr="0013711F">
              <w:rPr>
                <w:rFonts w:asciiTheme="minorBidi" w:hAnsiTheme="minorBidi"/>
                <w:sz w:val="20"/>
                <w:szCs w:val="20"/>
              </w:rPr>
              <w:t>Normal male position</w:t>
            </w:r>
          </w:p>
        </w:tc>
        <w:tc>
          <w:tcPr>
            <w:tcW w:w="0" w:type="auto"/>
            <w:hideMark/>
          </w:tcPr>
          <w:p w14:paraId="7C09ED5F" w14:textId="77777777" w:rsidR="006376A9" w:rsidRPr="0013711F" w:rsidRDefault="006376A9" w:rsidP="006376A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Fully descended testes in the scrotum</w:t>
            </w:r>
          </w:p>
        </w:tc>
        <w:tc>
          <w:tcPr>
            <w:tcW w:w="0" w:type="auto"/>
            <w:hideMark/>
          </w:tcPr>
          <w:p w14:paraId="23E44BD3" w14:textId="77777777" w:rsidR="006376A9" w:rsidRPr="0013711F" w:rsidRDefault="006376A9" w:rsidP="006376A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c>
          <w:tcPr>
            <w:tcW w:w="0" w:type="auto"/>
            <w:hideMark/>
          </w:tcPr>
          <w:p w14:paraId="083DB04D" w14:textId="77777777" w:rsidR="006376A9" w:rsidRPr="0013711F" w:rsidRDefault="006376A9" w:rsidP="006376A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normal 46, XY testicular descent</w:t>
            </w:r>
          </w:p>
        </w:tc>
      </w:tr>
      <w:tr w:rsidR="006376A9" w:rsidRPr="0013711F" w14:paraId="339E44B9" w14:textId="77777777" w:rsidTr="00930A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5BEF4C" w14:textId="77777777" w:rsidR="006376A9" w:rsidRPr="0013711F" w:rsidRDefault="006376A9" w:rsidP="006376A9">
            <w:pPr>
              <w:spacing w:after="160" w:line="259" w:lineRule="auto"/>
              <w:jc w:val="center"/>
              <w:rPr>
                <w:rFonts w:asciiTheme="minorBidi" w:hAnsiTheme="minorBidi"/>
                <w:sz w:val="20"/>
                <w:szCs w:val="20"/>
              </w:rPr>
            </w:pPr>
            <w:r w:rsidRPr="0013711F">
              <w:rPr>
                <w:rFonts w:asciiTheme="minorBidi" w:hAnsiTheme="minorBidi"/>
                <w:sz w:val="20"/>
                <w:szCs w:val="20"/>
              </w:rPr>
              <w:t>Ectopic position</w:t>
            </w:r>
          </w:p>
        </w:tc>
        <w:tc>
          <w:tcPr>
            <w:tcW w:w="0" w:type="auto"/>
            <w:hideMark/>
          </w:tcPr>
          <w:p w14:paraId="1EF82D99" w14:textId="77777777" w:rsidR="006376A9" w:rsidRPr="0013711F" w:rsidRDefault="006376A9" w:rsidP="006376A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Gonads located in the </w:t>
            </w:r>
            <w:r w:rsidRPr="0013711F">
              <w:rPr>
                <w:rFonts w:asciiTheme="minorBidi" w:hAnsiTheme="minorBidi"/>
                <w:b/>
                <w:bCs/>
                <w:sz w:val="20"/>
                <w:szCs w:val="20"/>
              </w:rPr>
              <w:t>inguinal canal or pelvic region</w:t>
            </w:r>
          </w:p>
        </w:tc>
        <w:tc>
          <w:tcPr>
            <w:tcW w:w="0" w:type="auto"/>
            <w:hideMark/>
          </w:tcPr>
          <w:p w14:paraId="31FA0B25" w14:textId="77777777" w:rsidR="006376A9" w:rsidRPr="0013711F" w:rsidRDefault="006376A9" w:rsidP="006376A9">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1 point</w:t>
            </w:r>
          </w:p>
        </w:tc>
        <w:tc>
          <w:tcPr>
            <w:tcW w:w="0" w:type="auto"/>
            <w:hideMark/>
          </w:tcPr>
          <w:p w14:paraId="608A45A2" w14:textId="77777777" w:rsidR="006376A9" w:rsidRPr="0013711F" w:rsidRDefault="006376A9" w:rsidP="006376A9">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cryptorchidism or gonadal dysgenesis</w:t>
            </w:r>
          </w:p>
        </w:tc>
      </w:tr>
      <w:tr w:rsidR="006376A9" w:rsidRPr="0013711F" w14:paraId="6012542D"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BF441F" w14:textId="77777777" w:rsidR="006376A9" w:rsidRPr="0013711F" w:rsidRDefault="006376A9" w:rsidP="006376A9">
            <w:pPr>
              <w:spacing w:after="160" w:line="259" w:lineRule="auto"/>
              <w:jc w:val="center"/>
              <w:rPr>
                <w:rFonts w:asciiTheme="minorBidi" w:hAnsiTheme="minorBidi"/>
                <w:sz w:val="20"/>
                <w:szCs w:val="20"/>
              </w:rPr>
            </w:pPr>
            <w:r w:rsidRPr="0013711F">
              <w:rPr>
                <w:rFonts w:asciiTheme="minorBidi" w:hAnsiTheme="minorBidi"/>
                <w:sz w:val="20"/>
                <w:szCs w:val="20"/>
              </w:rPr>
              <w:t>Intra-abdominal gonads</w:t>
            </w:r>
          </w:p>
        </w:tc>
        <w:tc>
          <w:tcPr>
            <w:tcW w:w="0" w:type="auto"/>
            <w:hideMark/>
          </w:tcPr>
          <w:p w14:paraId="19A54E14" w14:textId="77777777" w:rsidR="006376A9" w:rsidRPr="0013711F" w:rsidRDefault="006376A9" w:rsidP="006376A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Gonads undetectable or located intra-abdominally</w:t>
            </w:r>
          </w:p>
        </w:tc>
        <w:tc>
          <w:tcPr>
            <w:tcW w:w="0" w:type="auto"/>
            <w:hideMark/>
          </w:tcPr>
          <w:p w14:paraId="75B10F8F" w14:textId="77777777" w:rsidR="006376A9" w:rsidRPr="0013711F" w:rsidRDefault="006376A9" w:rsidP="006376A9">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0 points</w:t>
            </w:r>
          </w:p>
        </w:tc>
        <w:tc>
          <w:tcPr>
            <w:tcW w:w="0" w:type="auto"/>
            <w:hideMark/>
          </w:tcPr>
          <w:p w14:paraId="24AEC6EE" w14:textId="77777777" w:rsidR="006376A9" w:rsidRPr="0013711F" w:rsidRDefault="006376A9" w:rsidP="006376A9">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Suggests gonadal regression, </w:t>
            </w:r>
            <w:proofErr w:type="spellStart"/>
            <w:r w:rsidRPr="0013711F">
              <w:rPr>
                <w:rFonts w:asciiTheme="minorBidi" w:hAnsiTheme="minorBidi"/>
                <w:sz w:val="20"/>
                <w:szCs w:val="20"/>
              </w:rPr>
              <w:t>ovotesticular</w:t>
            </w:r>
            <w:proofErr w:type="spellEnd"/>
            <w:r w:rsidRPr="0013711F">
              <w:rPr>
                <w:rFonts w:asciiTheme="minorBidi" w:hAnsiTheme="minorBidi"/>
                <w:sz w:val="20"/>
                <w:szCs w:val="20"/>
              </w:rPr>
              <w:t xml:space="preserve"> DSD, or streak gonads</w:t>
            </w:r>
          </w:p>
        </w:tc>
      </w:tr>
    </w:tbl>
    <w:p w14:paraId="2B061ED8" w14:textId="77777777" w:rsidR="006376A9" w:rsidRPr="0013711F" w:rsidRDefault="006376A9" w:rsidP="006376A9">
      <w:pPr>
        <w:jc w:val="both"/>
        <w:rPr>
          <w:rFonts w:asciiTheme="minorBidi" w:hAnsiTheme="minorBidi"/>
          <w:sz w:val="20"/>
          <w:szCs w:val="20"/>
        </w:rPr>
      </w:pPr>
    </w:p>
    <w:p w14:paraId="02CBCD52" w14:textId="77777777" w:rsidR="006376A9" w:rsidRPr="0013711F" w:rsidRDefault="006376A9" w:rsidP="006376A9">
      <w:pPr>
        <w:jc w:val="both"/>
        <w:rPr>
          <w:rFonts w:asciiTheme="minorBidi" w:hAnsiTheme="minorBidi"/>
          <w:sz w:val="20"/>
          <w:szCs w:val="20"/>
        </w:rPr>
      </w:pPr>
      <w:r w:rsidRPr="0013711F">
        <w:rPr>
          <w:rFonts w:asciiTheme="minorBidi" w:hAnsiTheme="minorBidi"/>
          <w:b/>
          <w:bCs/>
          <w:sz w:val="20"/>
          <w:szCs w:val="20"/>
        </w:rPr>
        <w:lastRenderedPageBreak/>
        <w:t>(B)</w:t>
      </w:r>
      <w:r w:rsidRPr="0013711F">
        <w:rPr>
          <w:rFonts w:asciiTheme="minorBidi" w:hAnsiTheme="minorBidi"/>
          <w:sz w:val="20"/>
          <w:szCs w:val="20"/>
        </w:rPr>
        <w:t xml:space="preserve"> Gonadal Function (0–4 points) – Hormonal Markers</w:t>
      </w:r>
    </w:p>
    <w:p w14:paraId="7F78C618" w14:textId="07E482E7" w:rsidR="006376A9" w:rsidRPr="0013711F" w:rsidRDefault="006376A9" w:rsidP="006376A9">
      <w:pPr>
        <w:jc w:val="both"/>
        <w:rPr>
          <w:rFonts w:asciiTheme="minorBidi" w:hAnsiTheme="minorBidi"/>
          <w:sz w:val="20"/>
          <w:szCs w:val="20"/>
        </w:rPr>
      </w:pPr>
      <w:r w:rsidRPr="0013711F">
        <w:rPr>
          <w:rFonts w:asciiTheme="minorBidi" w:hAnsiTheme="minorBidi"/>
          <w:sz w:val="20"/>
          <w:szCs w:val="20"/>
        </w:rPr>
        <w:t xml:space="preserve">The gonadal function was evaluated through endocrine profiling using AMH, testosterone, and gonadotropin levels to determine testicular/somatic activity: AMH (Anti-Müllerian Hormone) is used as a marker of Sertoli cell function &amp; testicular differentiation. Elevated in normal 46, XY testes but low/undetectable in gonadal dysgenesis, and CAIS. Testosterone Levels: Measured basally, and after </w:t>
      </w:r>
      <w:proofErr w:type="spellStart"/>
      <w:r w:rsidRPr="0013711F">
        <w:rPr>
          <w:rFonts w:asciiTheme="minorBidi" w:hAnsiTheme="minorBidi"/>
          <w:sz w:val="20"/>
          <w:szCs w:val="20"/>
        </w:rPr>
        <w:t>hCG</w:t>
      </w:r>
      <w:proofErr w:type="spellEnd"/>
      <w:r w:rsidRPr="0013711F">
        <w:rPr>
          <w:rFonts w:asciiTheme="minorBidi" w:hAnsiTheme="minorBidi"/>
          <w:sz w:val="20"/>
          <w:szCs w:val="20"/>
        </w:rPr>
        <w:t xml:space="preserve"> stimulation to assess Leydig cell function, normal response (&gt;2.5 ng/mL post-</w:t>
      </w:r>
      <w:proofErr w:type="spellStart"/>
      <w:r w:rsidRPr="0013711F">
        <w:rPr>
          <w:rFonts w:asciiTheme="minorBidi" w:hAnsiTheme="minorBidi"/>
          <w:sz w:val="20"/>
          <w:szCs w:val="20"/>
        </w:rPr>
        <w:t>hCG</w:t>
      </w:r>
      <w:proofErr w:type="spellEnd"/>
      <w:r w:rsidRPr="0013711F">
        <w:rPr>
          <w:rFonts w:asciiTheme="minorBidi" w:hAnsiTheme="minorBidi"/>
          <w:sz w:val="20"/>
          <w:szCs w:val="20"/>
        </w:rPr>
        <w:t>) = 2 points, blunted response = 1 point. Absent testosterone rise = 0 points (suggests gonadal dysfunction).</w:t>
      </w:r>
    </w:p>
    <w:p w14:paraId="0DE6C164" w14:textId="77777777" w:rsidR="00F05A6E" w:rsidRPr="0013711F" w:rsidRDefault="006376A9" w:rsidP="00F05A6E">
      <w:pPr>
        <w:jc w:val="both"/>
        <w:rPr>
          <w:rFonts w:asciiTheme="minorBidi" w:hAnsiTheme="minorBidi"/>
          <w:sz w:val="20"/>
          <w:szCs w:val="20"/>
        </w:rPr>
      </w:pPr>
      <w:r w:rsidRPr="0013711F">
        <w:rPr>
          <w:rFonts w:asciiTheme="minorBidi" w:hAnsiTheme="minorBidi"/>
          <w:sz w:val="20"/>
          <w:szCs w:val="20"/>
        </w:rPr>
        <w:t xml:space="preserve">The Scores were assigned when all patients underwent baseline hormonal testing (AMH, testosterone, gonadotropins). For neonates and infants, </w:t>
      </w:r>
      <w:r w:rsidR="00F05A6E" w:rsidRPr="0013711F">
        <w:rPr>
          <w:rFonts w:asciiTheme="minorBidi" w:hAnsiTheme="minorBidi"/>
          <w:sz w:val="20"/>
          <w:szCs w:val="20"/>
        </w:rPr>
        <w:t xml:space="preserve">an </w:t>
      </w:r>
      <w:proofErr w:type="spellStart"/>
      <w:r w:rsidRPr="0013711F">
        <w:rPr>
          <w:rFonts w:asciiTheme="minorBidi" w:hAnsiTheme="minorBidi"/>
          <w:sz w:val="20"/>
          <w:szCs w:val="20"/>
        </w:rPr>
        <w:t>hCG</w:t>
      </w:r>
      <w:proofErr w:type="spellEnd"/>
      <w:r w:rsidRPr="0013711F">
        <w:rPr>
          <w:rFonts w:asciiTheme="minorBidi" w:hAnsiTheme="minorBidi"/>
          <w:sz w:val="20"/>
          <w:szCs w:val="20"/>
        </w:rPr>
        <w:t xml:space="preserve"> stimulation test was used if testosterone was low.</w:t>
      </w:r>
      <w:r w:rsidR="00F05A6E" w:rsidRPr="0013711F">
        <w:rPr>
          <w:rFonts w:asciiTheme="minorBidi" w:hAnsiTheme="minorBidi"/>
          <w:sz w:val="20"/>
          <w:szCs w:val="20"/>
        </w:rPr>
        <w:t xml:space="preserve"> </w:t>
      </w:r>
    </w:p>
    <w:p w14:paraId="26F027A8" w14:textId="0567439D" w:rsidR="006376A9" w:rsidRPr="0013711F" w:rsidRDefault="006376A9" w:rsidP="00F05A6E">
      <w:pPr>
        <w:jc w:val="both"/>
        <w:rPr>
          <w:rFonts w:asciiTheme="minorBidi" w:hAnsiTheme="minorBidi"/>
          <w:sz w:val="20"/>
          <w:szCs w:val="20"/>
        </w:rPr>
      </w:pPr>
      <w:r w:rsidRPr="0013711F">
        <w:rPr>
          <w:rFonts w:asciiTheme="minorBidi" w:hAnsiTheme="minorBidi"/>
          <w:sz w:val="20"/>
          <w:szCs w:val="20"/>
        </w:rPr>
        <w:t>GPS was assigned based on both gonadal location</w:t>
      </w:r>
      <w:r w:rsidR="00F05A6E" w:rsidRPr="0013711F">
        <w:rPr>
          <w:rFonts w:asciiTheme="minorBidi" w:hAnsiTheme="minorBidi"/>
          <w:sz w:val="20"/>
          <w:szCs w:val="20"/>
        </w:rPr>
        <w:t xml:space="preserve"> and </w:t>
      </w:r>
      <w:r w:rsidRPr="0013711F">
        <w:rPr>
          <w:rFonts w:asciiTheme="minorBidi" w:hAnsiTheme="minorBidi"/>
          <w:sz w:val="20"/>
          <w:szCs w:val="20"/>
        </w:rPr>
        <w:t>function, meaning:</w:t>
      </w:r>
      <w:r w:rsidR="00F05A6E" w:rsidRPr="0013711F">
        <w:rPr>
          <w:rFonts w:asciiTheme="minorBidi" w:hAnsiTheme="minorBidi"/>
          <w:sz w:val="20"/>
          <w:szCs w:val="20"/>
        </w:rPr>
        <w:t xml:space="preserve"> </w:t>
      </w:r>
      <w:r w:rsidRPr="0013711F">
        <w:rPr>
          <w:rFonts w:asciiTheme="minorBidi" w:hAnsiTheme="minorBidi"/>
          <w:sz w:val="20"/>
          <w:szCs w:val="20"/>
        </w:rPr>
        <w:t>A patient with intra-abdominal gonads &amp; undetectable testosterone would score GPS = 0</w:t>
      </w:r>
      <w:r w:rsidR="00F05A6E" w:rsidRPr="0013711F">
        <w:rPr>
          <w:rFonts w:asciiTheme="minorBidi" w:hAnsiTheme="minorBidi"/>
          <w:sz w:val="20"/>
          <w:szCs w:val="20"/>
        </w:rPr>
        <w:t>, and a</w:t>
      </w:r>
      <w:r w:rsidRPr="0013711F">
        <w:rPr>
          <w:rFonts w:asciiTheme="minorBidi" w:hAnsiTheme="minorBidi"/>
          <w:sz w:val="20"/>
          <w:szCs w:val="20"/>
        </w:rPr>
        <w:t xml:space="preserve"> patient with fully descended testes &amp; normal hormonal function would score GPS = 6.</w:t>
      </w:r>
    </w:p>
    <w:p w14:paraId="1E719CC7" w14:textId="7BC50E0B" w:rsidR="00FB765B" w:rsidRPr="0013711F" w:rsidRDefault="00FB765B" w:rsidP="00FB765B">
      <w:pPr>
        <w:jc w:val="both"/>
        <w:rPr>
          <w:rFonts w:asciiTheme="minorBidi" w:hAnsiTheme="minorBidi"/>
          <w:sz w:val="20"/>
          <w:szCs w:val="20"/>
        </w:rPr>
      </w:pPr>
      <w:r w:rsidRPr="0013711F">
        <w:rPr>
          <w:rFonts w:asciiTheme="minorBidi" w:hAnsiTheme="minorBidi"/>
          <w:sz w:val="20"/>
          <w:szCs w:val="20"/>
        </w:rPr>
        <w:t>By systematically evaluating these parameters, the study sought to determine whether CDCS could serve as a reliable, predictive, and clinically relevant classification tool in DSD management. We hypothesize that: Higher CDCS scores correlate with increased rates of surgical and hormonal interventions. EGS scores predict the need for early surgery in cases of ambiguous genitalia. Lower IGS scores are associated with a higher likelihood of gonadectomy. Lower GPS scores predict increased reliance on hormone replacement therapy. Higher KCS scores correspond to better-preserved gonadal function and fertility potential.</w:t>
      </w:r>
    </w:p>
    <w:p w14:paraId="21DA1279" w14:textId="77777777" w:rsidR="00AB1F24" w:rsidRPr="0013711F" w:rsidRDefault="00AB1F24" w:rsidP="00AB1F24">
      <w:pPr>
        <w:jc w:val="both"/>
        <w:rPr>
          <w:rFonts w:asciiTheme="minorBidi" w:hAnsiTheme="minorBidi"/>
          <w:sz w:val="20"/>
          <w:szCs w:val="20"/>
        </w:rPr>
      </w:pPr>
      <w:bookmarkStart w:id="6" w:name="_Hlk190608974"/>
      <w:r w:rsidRPr="0013711F">
        <w:rPr>
          <w:rFonts w:asciiTheme="minorBidi" w:hAnsiTheme="minorBidi"/>
          <w:sz w:val="20"/>
          <w:szCs w:val="20"/>
        </w:rPr>
        <w:t xml:space="preserve">Data were analyzed using SPSS (version 26.0) and GraphPad Prism (version 9.0). </w:t>
      </w:r>
      <w:bookmarkEnd w:id="6"/>
      <w:r w:rsidRPr="0013711F">
        <w:rPr>
          <w:rFonts w:asciiTheme="minorBidi" w:hAnsiTheme="minorBidi"/>
          <w:sz w:val="20"/>
          <w:szCs w:val="20"/>
        </w:rPr>
        <w:t xml:space="preserve">The statistical approach included: </w:t>
      </w:r>
    </w:p>
    <w:p w14:paraId="46038100" w14:textId="77777777"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t>1. Descriptive Statistics: Mean ± standard deviation (SD) for continuous variables. Frequency (%) for categorical variables.</w:t>
      </w:r>
    </w:p>
    <w:p w14:paraId="0F78BD10" w14:textId="2191937C"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t>2. Group Comparisons (Sex &amp; Age Disparities): Independent t-tests: Used to compare CDCS scores between 46, XX, and 46, XY patients (</w:t>
      </w:r>
      <w:bookmarkStart w:id="7" w:name="_Hlk190373500"/>
      <w:r w:rsidRPr="0013711F">
        <w:rPr>
          <w:rFonts w:asciiTheme="minorBidi" w:hAnsiTheme="minorBidi"/>
          <w:sz w:val="20"/>
          <w:szCs w:val="20"/>
        </w:rPr>
        <w:t>helped determine phenotypic variation in DSD)</w:t>
      </w:r>
      <w:bookmarkEnd w:id="7"/>
      <w:r w:rsidRPr="0013711F">
        <w:rPr>
          <w:rFonts w:asciiTheme="minorBidi" w:hAnsiTheme="minorBidi"/>
          <w:sz w:val="20"/>
          <w:szCs w:val="20"/>
        </w:rPr>
        <w:t>. One-way ANOVA: Using CDCS variations across different age groups (neonates, children, adolescents),</w:t>
      </w:r>
      <w:bookmarkStart w:id="8" w:name="_Hlk190373355"/>
      <w:r w:rsidRPr="0013711F">
        <w:rPr>
          <w:rFonts w:asciiTheme="minorBidi" w:hAnsiTheme="minorBidi"/>
          <w:sz w:val="20"/>
          <w:szCs w:val="20"/>
        </w:rPr>
        <w:t xml:space="preserve"> p &lt; 0.05 was considered statistically significant.</w:t>
      </w:r>
      <w:bookmarkEnd w:id="8"/>
    </w:p>
    <w:p w14:paraId="25F9BD0C" w14:textId="77777777"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t>3. Correlation Analysis (CDCS &amp; Clinical Outcomes): Spearman’s correlation coefficient (r) assessed the association between CDCS scores and: Surgical intervention (e.g., genital reconstruction, gonadectomy). Hormone therapy (e.g., testosterone or estrogen administration). Long-term clinical outcomes (puberty progression, fertility status).</w:t>
      </w:r>
    </w:p>
    <w:p w14:paraId="78D62B9B" w14:textId="77777777"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t xml:space="preserve">4. </w:t>
      </w:r>
      <w:bookmarkStart w:id="9" w:name="_Hlk190609035"/>
      <w:r w:rsidRPr="0013711F">
        <w:rPr>
          <w:rFonts w:asciiTheme="minorBidi" w:hAnsiTheme="minorBidi"/>
          <w:sz w:val="20"/>
          <w:szCs w:val="20"/>
        </w:rPr>
        <w:t>Predictive Accuracy of CDCS (ROC Curve Analysis): Receiver Operating Characteristic (ROC) curves evaluated CDCS as a predictor for surgical/hormonal interventions. Area Under the Curve (AUC) interpretation: AUC &gt; 0.8 = Strong predictive ability. AUC 0.7–0.8 = Moderate predictive ability. AUC &lt; 0.7 = Weak predictive ability.</w:t>
      </w:r>
    </w:p>
    <w:bookmarkEnd w:id="9"/>
    <w:p w14:paraId="4B53C6A1" w14:textId="77777777"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t>5. Inter-Rater Reliability (Reproducibility of CDCS Scoring): Intraclass Correlation Coefficient (ICC) was calculated by two independent clinicians assessing the CDCS scores in a subset of 20 randomly selected patients. ICC &gt; 0.8 was considered highly reproducible.</w:t>
      </w:r>
    </w:p>
    <w:p w14:paraId="67679C1F" w14:textId="681AE50C" w:rsidR="00F05A6E" w:rsidRPr="0013711F" w:rsidRDefault="00AB1F24" w:rsidP="00F05A6E">
      <w:pPr>
        <w:jc w:val="both"/>
        <w:rPr>
          <w:rFonts w:asciiTheme="minorBidi" w:hAnsiTheme="minorBidi"/>
          <w:sz w:val="20"/>
          <w:szCs w:val="20"/>
        </w:rPr>
      </w:pPr>
      <w:r w:rsidRPr="0013711F">
        <w:rPr>
          <w:rFonts w:asciiTheme="minorBidi" w:hAnsiTheme="minorBidi"/>
          <w:sz w:val="20"/>
          <w:szCs w:val="20"/>
        </w:rPr>
        <w:t xml:space="preserve">The methodological concerns of the studied cohort are to validate a standardized DSD scoring system (CDCS), robust statistical analyses, including predictive modeling and reliability assessment, and integration of clinical, laboratory, imaging, and genetic parameters into a single framework. </w:t>
      </w:r>
      <w:r w:rsidR="00F05A6E" w:rsidRPr="0013711F">
        <w:rPr>
          <w:rFonts w:asciiTheme="minorBidi" w:hAnsiTheme="minorBidi"/>
          <w:sz w:val="20"/>
          <w:szCs w:val="20"/>
        </w:rPr>
        <w:t>Two senior pediatric endocrinologists and pediatric surgeons independently reviewed all scores to minimize observer bias. All imaging &amp; hormonal evaluations were performed at a single pediatric surgery center, ensuring consistency and cutoff values were established based on previously validated DSD cohorts to optimize clinical relevance.</w:t>
      </w:r>
    </w:p>
    <w:p w14:paraId="73C53D15" w14:textId="4D7DB6EE" w:rsidR="006F0E45" w:rsidRPr="002077DE" w:rsidRDefault="006F0E45" w:rsidP="006F0E45">
      <w:pPr>
        <w:jc w:val="both"/>
        <w:rPr>
          <w:rFonts w:asciiTheme="minorBidi" w:hAnsiTheme="minorBidi"/>
          <w:b/>
          <w:bCs/>
        </w:rPr>
      </w:pPr>
      <w:r w:rsidRPr="002077DE">
        <w:rPr>
          <w:rFonts w:asciiTheme="minorBidi" w:hAnsiTheme="minorBidi"/>
          <w:b/>
          <w:bCs/>
        </w:rPr>
        <w:lastRenderedPageBreak/>
        <w:t xml:space="preserve">RESULTS </w:t>
      </w:r>
    </w:p>
    <w:p w14:paraId="4FD41E4F" w14:textId="3C1ED351" w:rsidR="00302AB3" w:rsidRPr="002077DE" w:rsidRDefault="00302AB3" w:rsidP="00302AB3">
      <w:pPr>
        <w:jc w:val="both"/>
        <w:rPr>
          <w:rFonts w:asciiTheme="minorBidi" w:hAnsiTheme="minorBidi"/>
          <w:sz w:val="20"/>
          <w:szCs w:val="20"/>
        </w:rPr>
      </w:pPr>
      <w:r w:rsidRPr="002077DE">
        <w:rPr>
          <w:rFonts w:asciiTheme="minorBidi" w:hAnsiTheme="minorBidi"/>
          <w:sz w:val="20"/>
          <w:szCs w:val="20"/>
        </w:rPr>
        <w:t xml:space="preserve">The mean EGS (0-10 points) for the entire cohort was 6.8 ± 3.2, with significant differences between 46, XY, and 46, XX individuals (p &lt; 0.001). Patients with 46, XY DSD had significantly higher EGS scores, reflecting </w:t>
      </w:r>
      <w:r w:rsidR="00DF74D9" w:rsidRPr="002077DE">
        <w:rPr>
          <w:rFonts w:asciiTheme="minorBidi" w:hAnsiTheme="minorBidi"/>
          <w:sz w:val="20"/>
          <w:szCs w:val="20"/>
        </w:rPr>
        <w:t xml:space="preserve">a </w:t>
      </w:r>
      <w:r w:rsidRPr="002077DE">
        <w:rPr>
          <w:rFonts w:asciiTheme="minorBidi" w:hAnsiTheme="minorBidi"/>
          <w:sz w:val="20"/>
          <w:szCs w:val="20"/>
        </w:rPr>
        <w:t xml:space="preserve">greater degree of external masculinization. A strong correlation (r = 0.68, p &lt; 0.001) was found between EGS and the likelihood of surgical correction, particularly in cases requiring hypospadias repair or masculinizing </w:t>
      </w:r>
      <w:proofErr w:type="spellStart"/>
      <w:r w:rsidRPr="002077DE">
        <w:rPr>
          <w:rFonts w:asciiTheme="minorBidi" w:hAnsiTheme="minorBidi"/>
          <w:sz w:val="20"/>
          <w:szCs w:val="20"/>
        </w:rPr>
        <w:t>genitoplasty</w:t>
      </w:r>
      <w:proofErr w:type="spellEnd"/>
      <w:r w:rsidRPr="002077DE">
        <w:rPr>
          <w:rFonts w:asciiTheme="minorBidi" w:hAnsiTheme="minorBidi"/>
          <w:sz w:val="20"/>
          <w:szCs w:val="20"/>
        </w:rPr>
        <w:t>. Independent t-tests confirmed that patients who underwent surgery had higher EGS scores (7.9 ± 2.7 vs. 4.6 ± 2.8, p &lt; 0.001).</w:t>
      </w:r>
    </w:p>
    <w:p w14:paraId="224CCBAE" w14:textId="092939B3" w:rsidR="00302AB3" w:rsidRPr="002077DE" w:rsidRDefault="00302AB3" w:rsidP="00302AB3">
      <w:pPr>
        <w:jc w:val="both"/>
        <w:rPr>
          <w:rFonts w:asciiTheme="minorBidi" w:hAnsiTheme="minorBidi"/>
          <w:sz w:val="20"/>
          <w:szCs w:val="20"/>
        </w:rPr>
      </w:pPr>
      <w:r w:rsidRPr="002077DE">
        <w:rPr>
          <w:rFonts w:asciiTheme="minorBidi" w:hAnsiTheme="minorBidi"/>
          <w:sz w:val="20"/>
          <w:szCs w:val="20"/>
        </w:rPr>
        <w:t>Subcategory Breakdown (Prader &amp; EMS Scales) 46, XX patients (Prader scale) were: Prader 1–2: Mean EGS 3.1 ± 1.6, Prader 3–4: Mean EGS 5.8 ± 1.2, and Prader 5: Mean EGS 9.4 ± 0.7 (p &lt; 0.001 for trend). 46, XY patients (EMS scale) were: EMS &lt;5 (severe under masculinization): Mean EGS 3.9 ± 1.8, EMS 5–9: Mean EGS 7.3 ± 2.1, and EMS ≥10 (fully masculinized phenotype): Mean EGS 9.8 ± 1.1 (p &lt; 0.001 for trend)</w:t>
      </w:r>
      <w:r w:rsidR="00C804C1" w:rsidRPr="002077DE">
        <w:rPr>
          <w:rFonts w:asciiTheme="minorBidi" w:hAnsiTheme="minorBidi"/>
          <w:sz w:val="20"/>
          <w:szCs w:val="20"/>
        </w:rPr>
        <w:t xml:space="preserve">, </w:t>
      </w:r>
      <w:r w:rsidR="00C804C1" w:rsidRPr="002077DE">
        <w:rPr>
          <w:rFonts w:asciiTheme="minorBidi" w:hAnsiTheme="minorBidi"/>
          <w:b/>
          <w:bCs/>
          <w:sz w:val="20"/>
          <w:szCs w:val="20"/>
        </w:rPr>
        <w:t>(Tables 1-3)</w:t>
      </w:r>
      <w:r w:rsidR="00D932D9" w:rsidRPr="002077DE">
        <w:rPr>
          <w:rFonts w:asciiTheme="minorBidi" w:hAnsiTheme="minorBidi"/>
          <w:b/>
          <w:bCs/>
          <w:sz w:val="20"/>
          <w:szCs w:val="20"/>
        </w:rPr>
        <w:t>.</w:t>
      </w:r>
    </w:p>
    <w:p w14:paraId="3ABA58CE" w14:textId="77777777" w:rsidR="00A26EB0" w:rsidRPr="002077DE" w:rsidRDefault="00A26EB0" w:rsidP="00302AB3">
      <w:pPr>
        <w:jc w:val="both"/>
        <w:rPr>
          <w:rFonts w:asciiTheme="minorBidi" w:hAnsiTheme="minorBidi"/>
          <w:sz w:val="20"/>
          <w:szCs w:val="20"/>
        </w:rPr>
      </w:pPr>
    </w:p>
    <w:p w14:paraId="434802A3" w14:textId="34581AA5" w:rsidR="005420B1" w:rsidRPr="002077DE" w:rsidRDefault="005420B1" w:rsidP="005420B1">
      <w:pPr>
        <w:pStyle w:val="Caption"/>
        <w:keepNext/>
        <w:jc w:val="both"/>
        <w:rPr>
          <w:rFonts w:asciiTheme="minorBidi" w:hAnsiTheme="minorBidi"/>
          <w:sz w:val="20"/>
          <w:szCs w:val="20"/>
        </w:rPr>
      </w:pPr>
      <w:r w:rsidRPr="002077DE">
        <w:rPr>
          <w:rFonts w:asciiTheme="minorBidi" w:hAnsiTheme="minorBidi"/>
          <w:b/>
          <w:bCs/>
          <w:i w:val="0"/>
          <w:iCs w:val="0"/>
          <w:sz w:val="20"/>
          <w:szCs w:val="20"/>
        </w:rPr>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1</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EGS by Karyotype (46, XX vs. 46, XY) revealed that the patients with 46, XY DSD had significantly higher EGS scores than 46, XX DSD (p &lt; 0.001). Severe under masculinization (EMS &lt;5) was observed in 10/40 (25%) of 46, XY cases.</w:t>
      </w:r>
    </w:p>
    <w:tbl>
      <w:tblPr>
        <w:tblStyle w:val="GridTable4-Accent3"/>
        <w:tblW w:w="0" w:type="auto"/>
        <w:jc w:val="center"/>
        <w:tblLook w:val="04A0" w:firstRow="1" w:lastRow="0" w:firstColumn="1" w:lastColumn="0" w:noHBand="0" w:noVBand="1"/>
      </w:tblPr>
      <w:tblGrid>
        <w:gridCol w:w="1567"/>
        <w:gridCol w:w="1704"/>
        <w:gridCol w:w="3124"/>
      </w:tblGrid>
      <w:tr w:rsidR="00A26EB0" w:rsidRPr="002077DE" w14:paraId="4C0C5360" w14:textId="77777777" w:rsidTr="005420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526312" w14:textId="77777777" w:rsidR="00A26EB0" w:rsidRPr="002077DE" w:rsidRDefault="00A26EB0" w:rsidP="005420B1">
            <w:pPr>
              <w:pStyle w:val="Caption"/>
              <w:keepNext/>
              <w:jc w:val="center"/>
              <w:rPr>
                <w:rFonts w:asciiTheme="minorBidi" w:hAnsiTheme="minorBidi"/>
                <w:i w:val="0"/>
                <w:iCs w:val="0"/>
                <w:color w:val="auto"/>
                <w:sz w:val="20"/>
                <w:szCs w:val="20"/>
              </w:rPr>
            </w:pPr>
            <w:r w:rsidRPr="002077DE">
              <w:rPr>
                <w:rFonts w:asciiTheme="minorBidi" w:hAnsiTheme="minorBidi"/>
                <w:i w:val="0"/>
                <w:iCs w:val="0"/>
                <w:color w:val="auto"/>
                <w:sz w:val="20"/>
                <w:szCs w:val="20"/>
              </w:rPr>
              <w:t>Karyotype</w:t>
            </w:r>
          </w:p>
        </w:tc>
        <w:tc>
          <w:tcPr>
            <w:tcW w:w="0" w:type="auto"/>
            <w:hideMark/>
          </w:tcPr>
          <w:p w14:paraId="1AAF7F09" w14:textId="77777777" w:rsidR="00A26EB0" w:rsidRPr="002077DE" w:rsidRDefault="00A26EB0" w:rsidP="005420B1">
            <w:pPr>
              <w:pStyle w:val="Caption"/>
              <w:keepNext/>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val="0"/>
                <w:iCs w:val="0"/>
                <w:color w:val="auto"/>
                <w:sz w:val="20"/>
                <w:szCs w:val="20"/>
              </w:rPr>
            </w:pPr>
            <w:r w:rsidRPr="002077DE">
              <w:rPr>
                <w:rFonts w:asciiTheme="minorBidi" w:hAnsiTheme="minorBidi"/>
                <w:i w:val="0"/>
                <w:iCs w:val="0"/>
                <w:color w:val="auto"/>
                <w:sz w:val="20"/>
                <w:szCs w:val="20"/>
              </w:rPr>
              <w:t>Mean EGS ± SD</w:t>
            </w:r>
          </w:p>
        </w:tc>
        <w:tc>
          <w:tcPr>
            <w:tcW w:w="3124" w:type="dxa"/>
            <w:hideMark/>
          </w:tcPr>
          <w:p w14:paraId="59A93969" w14:textId="77777777" w:rsidR="00A26EB0" w:rsidRPr="002077DE" w:rsidRDefault="00A26EB0" w:rsidP="005420B1">
            <w:pPr>
              <w:pStyle w:val="Caption"/>
              <w:keepNext/>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val="0"/>
                <w:iCs w:val="0"/>
                <w:color w:val="auto"/>
                <w:sz w:val="20"/>
                <w:szCs w:val="20"/>
              </w:rPr>
            </w:pPr>
            <w:r w:rsidRPr="002077DE">
              <w:rPr>
                <w:rFonts w:asciiTheme="minorBidi" w:hAnsiTheme="minorBidi"/>
                <w:i w:val="0"/>
                <w:iCs w:val="0"/>
                <w:color w:val="auto"/>
                <w:sz w:val="20"/>
                <w:szCs w:val="20"/>
              </w:rPr>
              <w:t>p-value</w:t>
            </w:r>
          </w:p>
        </w:tc>
      </w:tr>
      <w:tr w:rsidR="00A26EB0" w:rsidRPr="002077DE" w14:paraId="0C6723C3" w14:textId="77777777" w:rsidTr="005420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E768BD" w14:textId="77777777" w:rsidR="00A26EB0" w:rsidRPr="002077DE" w:rsidRDefault="00A26EB0" w:rsidP="005420B1">
            <w:pPr>
              <w:pStyle w:val="Caption"/>
              <w:keepNext/>
              <w:jc w:val="center"/>
              <w:rPr>
                <w:rFonts w:asciiTheme="minorBidi" w:hAnsiTheme="minorBidi"/>
                <w:b w:val="0"/>
                <w:bCs w:val="0"/>
                <w:i w:val="0"/>
                <w:iCs w:val="0"/>
                <w:sz w:val="20"/>
                <w:szCs w:val="20"/>
              </w:rPr>
            </w:pPr>
            <w:r w:rsidRPr="002077DE">
              <w:rPr>
                <w:rFonts w:asciiTheme="minorBidi" w:hAnsiTheme="minorBidi"/>
                <w:b w:val="0"/>
                <w:bCs w:val="0"/>
                <w:i w:val="0"/>
                <w:iCs w:val="0"/>
                <w:sz w:val="20"/>
                <w:szCs w:val="20"/>
              </w:rPr>
              <w:t>46, XY (n = 40)</w:t>
            </w:r>
          </w:p>
        </w:tc>
        <w:tc>
          <w:tcPr>
            <w:tcW w:w="0" w:type="auto"/>
            <w:hideMark/>
          </w:tcPr>
          <w:p w14:paraId="3BA9CC7D" w14:textId="77777777" w:rsidR="00A26EB0" w:rsidRPr="002077DE" w:rsidRDefault="00A26EB0" w:rsidP="005420B1">
            <w:pPr>
              <w:pStyle w:val="Caption"/>
              <w:keepNext/>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val="0"/>
                <w:iCs w:val="0"/>
                <w:sz w:val="20"/>
                <w:szCs w:val="20"/>
              </w:rPr>
            </w:pPr>
            <w:r w:rsidRPr="002077DE">
              <w:rPr>
                <w:rFonts w:asciiTheme="minorBidi" w:hAnsiTheme="minorBidi"/>
                <w:i w:val="0"/>
                <w:iCs w:val="0"/>
                <w:sz w:val="20"/>
                <w:szCs w:val="20"/>
              </w:rPr>
              <w:t>8.5 ± 2.1</w:t>
            </w:r>
          </w:p>
        </w:tc>
        <w:tc>
          <w:tcPr>
            <w:tcW w:w="3124" w:type="dxa"/>
            <w:hideMark/>
          </w:tcPr>
          <w:p w14:paraId="7C16A93A" w14:textId="77777777" w:rsidR="00A26EB0" w:rsidRPr="002077DE" w:rsidRDefault="00A26EB0" w:rsidP="005420B1">
            <w:pPr>
              <w:pStyle w:val="Caption"/>
              <w:keepNext/>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val="0"/>
                <w:iCs w:val="0"/>
                <w:sz w:val="20"/>
                <w:szCs w:val="20"/>
              </w:rPr>
            </w:pPr>
            <w:r w:rsidRPr="002077DE">
              <w:rPr>
                <w:rFonts w:asciiTheme="minorBidi" w:hAnsiTheme="minorBidi"/>
                <w:i w:val="0"/>
                <w:iCs w:val="0"/>
                <w:sz w:val="20"/>
                <w:szCs w:val="20"/>
              </w:rPr>
              <w:t>&lt;0.001</w:t>
            </w:r>
          </w:p>
        </w:tc>
      </w:tr>
      <w:tr w:rsidR="00A26EB0" w:rsidRPr="002077DE" w14:paraId="629D2635" w14:textId="77777777" w:rsidTr="005420B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BD3B5E5" w14:textId="77777777" w:rsidR="00A26EB0" w:rsidRPr="002077DE" w:rsidRDefault="00A26EB0" w:rsidP="005420B1">
            <w:pPr>
              <w:pStyle w:val="Caption"/>
              <w:keepNext/>
              <w:jc w:val="center"/>
              <w:rPr>
                <w:rFonts w:asciiTheme="minorBidi" w:hAnsiTheme="minorBidi"/>
                <w:b w:val="0"/>
                <w:bCs w:val="0"/>
                <w:i w:val="0"/>
                <w:iCs w:val="0"/>
                <w:sz w:val="20"/>
                <w:szCs w:val="20"/>
              </w:rPr>
            </w:pPr>
            <w:r w:rsidRPr="002077DE">
              <w:rPr>
                <w:rFonts w:asciiTheme="minorBidi" w:hAnsiTheme="minorBidi"/>
                <w:b w:val="0"/>
                <w:bCs w:val="0"/>
                <w:i w:val="0"/>
                <w:iCs w:val="0"/>
                <w:sz w:val="20"/>
                <w:szCs w:val="20"/>
              </w:rPr>
              <w:t>46, XX (n = 30)</w:t>
            </w:r>
          </w:p>
        </w:tc>
        <w:tc>
          <w:tcPr>
            <w:tcW w:w="0" w:type="auto"/>
            <w:hideMark/>
          </w:tcPr>
          <w:p w14:paraId="33F60C07" w14:textId="77777777" w:rsidR="00A26EB0" w:rsidRPr="002077DE" w:rsidRDefault="00A26EB0" w:rsidP="005420B1">
            <w:pPr>
              <w:pStyle w:val="Caption"/>
              <w:keepNext/>
              <w:jc w:val="center"/>
              <w:cnfStyle w:val="000000000000" w:firstRow="0" w:lastRow="0" w:firstColumn="0" w:lastColumn="0" w:oddVBand="0" w:evenVBand="0" w:oddHBand="0" w:evenHBand="0" w:firstRowFirstColumn="0" w:firstRowLastColumn="0" w:lastRowFirstColumn="0" w:lastRowLastColumn="0"/>
              <w:rPr>
                <w:rFonts w:asciiTheme="minorBidi" w:hAnsiTheme="minorBidi"/>
                <w:i w:val="0"/>
                <w:iCs w:val="0"/>
                <w:sz w:val="20"/>
                <w:szCs w:val="20"/>
              </w:rPr>
            </w:pPr>
            <w:r w:rsidRPr="002077DE">
              <w:rPr>
                <w:rFonts w:asciiTheme="minorBidi" w:hAnsiTheme="minorBidi"/>
                <w:i w:val="0"/>
                <w:iCs w:val="0"/>
                <w:sz w:val="20"/>
                <w:szCs w:val="20"/>
              </w:rPr>
              <w:t>4.3 ± 2.9</w:t>
            </w:r>
          </w:p>
        </w:tc>
        <w:tc>
          <w:tcPr>
            <w:tcW w:w="3124" w:type="dxa"/>
            <w:hideMark/>
          </w:tcPr>
          <w:p w14:paraId="01382983" w14:textId="77777777" w:rsidR="00A26EB0" w:rsidRPr="002077DE" w:rsidRDefault="00A26EB0" w:rsidP="005420B1">
            <w:pPr>
              <w:pStyle w:val="Caption"/>
              <w:keepNext/>
              <w:jc w:val="center"/>
              <w:cnfStyle w:val="000000000000" w:firstRow="0" w:lastRow="0" w:firstColumn="0" w:lastColumn="0" w:oddVBand="0" w:evenVBand="0" w:oddHBand="0" w:evenHBand="0" w:firstRowFirstColumn="0" w:firstRowLastColumn="0" w:lastRowFirstColumn="0" w:lastRowLastColumn="0"/>
              <w:rPr>
                <w:rFonts w:asciiTheme="minorBidi" w:hAnsiTheme="minorBidi"/>
                <w:i w:val="0"/>
                <w:iCs w:val="0"/>
                <w:sz w:val="20"/>
                <w:szCs w:val="20"/>
              </w:rPr>
            </w:pPr>
            <w:r w:rsidRPr="002077DE">
              <w:rPr>
                <w:rFonts w:asciiTheme="minorBidi" w:hAnsiTheme="minorBidi"/>
                <w:i w:val="0"/>
                <w:iCs w:val="0"/>
                <w:sz w:val="20"/>
                <w:szCs w:val="20"/>
              </w:rPr>
              <w:t>&lt;0.001</w:t>
            </w:r>
          </w:p>
        </w:tc>
      </w:tr>
    </w:tbl>
    <w:p w14:paraId="48A6CE52" w14:textId="77777777" w:rsidR="00A26EB0" w:rsidRPr="002077DE" w:rsidRDefault="00A26EB0" w:rsidP="00A26EB0">
      <w:pPr>
        <w:pStyle w:val="Caption"/>
        <w:keepNext/>
        <w:rPr>
          <w:rFonts w:asciiTheme="minorBidi" w:hAnsiTheme="minorBidi"/>
          <w:sz w:val="20"/>
          <w:szCs w:val="20"/>
        </w:rPr>
      </w:pPr>
    </w:p>
    <w:p w14:paraId="19AD61D1" w14:textId="3D6D2FEF" w:rsidR="005420B1" w:rsidRPr="002077DE" w:rsidRDefault="00A26EB0" w:rsidP="005420B1">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2</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xml:space="preserve">: </w:t>
      </w:r>
      <w:r w:rsidR="005420B1" w:rsidRPr="002077DE">
        <w:rPr>
          <w:rFonts w:asciiTheme="minorBidi" w:hAnsiTheme="minorBidi"/>
          <w:b/>
          <w:bCs/>
          <w:i w:val="0"/>
          <w:iCs w:val="0"/>
          <w:sz w:val="20"/>
          <w:szCs w:val="20"/>
        </w:rPr>
        <w:t>EGS by Age Group, revealed that adolescents had significantly higher EGS scores than neonates and children (p = 0.02), likely due to progressive virilization or delayed diagnosis in 46, XY DSD.</w:t>
      </w:r>
    </w:p>
    <w:p w14:paraId="4C3472EF" w14:textId="2B8E4387" w:rsidR="00A26EB0" w:rsidRPr="002077DE" w:rsidRDefault="00A26EB0" w:rsidP="005420B1">
      <w:pPr>
        <w:pStyle w:val="Caption"/>
        <w:keepNext/>
        <w:rPr>
          <w:rFonts w:asciiTheme="minorBidi" w:hAnsiTheme="minorBidi"/>
          <w:sz w:val="20"/>
          <w:szCs w:val="20"/>
        </w:rPr>
      </w:pPr>
    </w:p>
    <w:tbl>
      <w:tblPr>
        <w:tblStyle w:val="GridTable4-Accent3"/>
        <w:tblW w:w="0" w:type="auto"/>
        <w:jc w:val="center"/>
        <w:tblLook w:val="04A0" w:firstRow="1" w:lastRow="0" w:firstColumn="1" w:lastColumn="0" w:noHBand="0" w:noVBand="1"/>
      </w:tblPr>
      <w:tblGrid>
        <w:gridCol w:w="3254"/>
        <w:gridCol w:w="1704"/>
        <w:gridCol w:w="917"/>
      </w:tblGrid>
      <w:tr w:rsidR="00A26EB0" w:rsidRPr="002077DE" w14:paraId="7AE9D30E" w14:textId="77777777" w:rsidTr="00EC6C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CBE6A8" w14:textId="77777777" w:rsidR="00A26EB0" w:rsidRPr="002077DE" w:rsidRDefault="00A26EB0" w:rsidP="005420B1">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Age Group</w:t>
            </w:r>
          </w:p>
        </w:tc>
        <w:tc>
          <w:tcPr>
            <w:tcW w:w="0" w:type="auto"/>
            <w:hideMark/>
          </w:tcPr>
          <w:p w14:paraId="055C7807" w14:textId="77777777" w:rsidR="00A26EB0" w:rsidRPr="002077DE" w:rsidRDefault="00A26EB0" w:rsidP="005420B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EGS ± SD</w:t>
            </w:r>
          </w:p>
        </w:tc>
        <w:tc>
          <w:tcPr>
            <w:tcW w:w="0" w:type="auto"/>
            <w:hideMark/>
          </w:tcPr>
          <w:p w14:paraId="47755279" w14:textId="77777777" w:rsidR="00A26EB0" w:rsidRPr="002077DE" w:rsidRDefault="00A26EB0" w:rsidP="005420B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A26EB0" w:rsidRPr="002077DE" w14:paraId="4AC21051" w14:textId="77777777" w:rsidTr="00EC6C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52BDE3" w14:textId="77777777" w:rsidR="00A26EB0" w:rsidRPr="002077DE" w:rsidRDefault="00A26EB0"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Neonates (&lt;1 year, n = 20)</w:t>
            </w:r>
          </w:p>
        </w:tc>
        <w:tc>
          <w:tcPr>
            <w:tcW w:w="0" w:type="auto"/>
            <w:hideMark/>
          </w:tcPr>
          <w:p w14:paraId="3C4BACC5" w14:textId="77777777" w:rsidR="00A26EB0" w:rsidRPr="002077DE" w:rsidRDefault="00A26EB0"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5.7 ± 2.5</w:t>
            </w:r>
          </w:p>
        </w:tc>
        <w:tc>
          <w:tcPr>
            <w:tcW w:w="0" w:type="auto"/>
            <w:hideMark/>
          </w:tcPr>
          <w:p w14:paraId="3E2FCC6C" w14:textId="77777777" w:rsidR="00A26EB0" w:rsidRPr="002077DE" w:rsidRDefault="00A26EB0"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0.04</w:t>
            </w:r>
          </w:p>
        </w:tc>
      </w:tr>
      <w:tr w:rsidR="00A26EB0" w:rsidRPr="002077DE" w14:paraId="0D962F00" w14:textId="77777777" w:rsidTr="00EC6C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1F8DF67" w14:textId="77777777" w:rsidR="00A26EB0" w:rsidRPr="002077DE" w:rsidRDefault="00A26EB0"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Children (1–10 years, n = 25)</w:t>
            </w:r>
          </w:p>
        </w:tc>
        <w:tc>
          <w:tcPr>
            <w:tcW w:w="0" w:type="auto"/>
            <w:hideMark/>
          </w:tcPr>
          <w:p w14:paraId="139F1C15" w14:textId="77777777" w:rsidR="00A26EB0" w:rsidRPr="002077DE" w:rsidRDefault="00A26EB0" w:rsidP="005420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6.3 ± 2.9</w:t>
            </w:r>
          </w:p>
        </w:tc>
        <w:tc>
          <w:tcPr>
            <w:tcW w:w="0" w:type="auto"/>
            <w:hideMark/>
          </w:tcPr>
          <w:p w14:paraId="5A0504CE" w14:textId="77777777" w:rsidR="00A26EB0" w:rsidRPr="002077DE" w:rsidRDefault="00A26EB0" w:rsidP="005420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0.03</w:t>
            </w:r>
          </w:p>
        </w:tc>
      </w:tr>
      <w:tr w:rsidR="00A26EB0" w:rsidRPr="002077DE" w14:paraId="15827774" w14:textId="77777777" w:rsidTr="00EC6C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595D682" w14:textId="77777777" w:rsidR="00A26EB0" w:rsidRPr="002077DE" w:rsidRDefault="00A26EB0"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Adolescents (11–18 years, n = 25)</w:t>
            </w:r>
          </w:p>
        </w:tc>
        <w:tc>
          <w:tcPr>
            <w:tcW w:w="0" w:type="auto"/>
            <w:hideMark/>
          </w:tcPr>
          <w:p w14:paraId="70532C50" w14:textId="77777777" w:rsidR="00A26EB0" w:rsidRPr="002077DE" w:rsidRDefault="00A26EB0"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7.5 ± 3.1</w:t>
            </w:r>
          </w:p>
        </w:tc>
        <w:tc>
          <w:tcPr>
            <w:tcW w:w="0" w:type="auto"/>
            <w:hideMark/>
          </w:tcPr>
          <w:p w14:paraId="41D7F944" w14:textId="77777777" w:rsidR="00A26EB0" w:rsidRPr="002077DE" w:rsidRDefault="00A26EB0"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0.02</w:t>
            </w:r>
          </w:p>
        </w:tc>
      </w:tr>
    </w:tbl>
    <w:p w14:paraId="4F23E892" w14:textId="77777777" w:rsidR="00A26EB0" w:rsidRPr="002077DE" w:rsidRDefault="00A26EB0" w:rsidP="00302AB3">
      <w:pPr>
        <w:jc w:val="both"/>
        <w:rPr>
          <w:rFonts w:asciiTheme="minorBidi" w:hAnsiTheme="minorBidi"/>
          <w:sz w:val="20"/>
          <w:szCs w:val="20"/>
        </w:rPr>
      </w:pPr>
    </w:p>
    <w:p w14:paraId="1E6E79B7" w14:textId="15E2E945" w:rsidR="005420B1" w:rsidRPr="002077DE" w:rsidRDefault="005420B1" w:rsidP="005420B1">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3</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EGS &amp; Surgery Correlation, revealed that the Patients requiring surgery had significantly higher EGS scores (p &lt; 0.001). 76% of patients with EGS &gt;7 underwent surgery.</w:t>
      </w:r>
    </w:p>
    <w:p w14:paraId="562D7416" w14:textId="0F401722" w:rsidR="005420B1" w:rsidRPr="002077DE" w:rsidRDefault="005420B1" w:rsidP="005420B1">
      <w:pPr>
        <w:pStyle w:val="Caption"/>
        <w:keepNext/>
        <w:rPr>
          <w:rFonts w:asciiTheme="minorBidi" w:hAnsiTheme="minorBidi"/>
          <w:sz w:val="20"/>
          <w:szCs w:val="20"/>
        </w:rPr>
      </w:pPr>
    </w:p>
    <w:tbl>
      <w:tblPr>
        <w:tblStyle w:val="GridTable4-Accent3"/>
        <w:tblW w:w="0" w:type="auto"/>
        <w:jc w:val="center"/>
        <w:tblLook w:val="04A0" w:firstRow="1" w:lastRow="0" w:firstColumn="1" w:lastColumn="0" w:noHBand="0" w:noVBand="1"/>
      </w:tblPr>
      <w:tblGrid>
        <w:gridCol w:w="1895"/>
        <w:gridCol w:w="1704"/>
        <w:gridCol w:w="2643"/>
      </w:tblGrid>
      <w:tr w:rsidR="005420B1" w:rsidRPr="002077DE" w14:paraId="2B656975" w14:textId="77777777" w:rsidTr="005420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2943E2" w14:textId="77777777" w:rsidR="005420B1" w:rsidRPr="002077DE" w:rsidRDefault="005420B1" w:rsidP="005420B1">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Surgery Required</w:t>
            </w:r>
          </w:p>
        </w:tc>
        <w:tc>
          <w:tcPr>
            <w:tcW w:w="0" w:type="auto"/>
            <w:hideMark/>
          </w:tcPr>
          <w:p w14:paraId="5C1E1010" w14:textId="77777777" w:rsidR="005420B1" w:rsidRPr="002077DE" w:rsidRDefault="005420B1" w:rsidP="005420B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EGS ± SD</w:t>
            </w:r>
          </w:p>
        </w:tc>
        <w:tc>
          <w:tcPr>
            <w:tcW w:w="2643" w:type="dxa"/>
            <w:hideMark/>
          </w:tcPr>
          <w:p w14:paraId="085B2349" w14:textId="77777777" w:rsidR="005420B1" w:rsidRPr="002077DE" w:rsidRDefault="005420B1" w:rsidP="005420B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5420B1" w:rsidRPr="002077DE" w14:paraId="1C584FD7" w14:textId="77777777" w:rsidTr="005420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8B8159" w14:textId="77777777" w:rsidR="005420B1" w:rsidRPr="002077DE" w:rsidRDefault="005420B1"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Yes (n = 38)</w:t>
            </w:r>
          </w:p>
        </w:tc>
        <w:tc>
          <w:tcPr>
            <w:tcW w:w="0" w:type="auto"/>
            <w:hideMark/>
          </w:tcPr>
          <w:p w14:paraId="3EEE16FD" w14:textId="77777777" w:rsidR="005420B1" w:rsidRPr="002077DE" w:rsidRDefault="005420B1"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7.9 ± 2.7</w:t>
            </w:r>
          </w:p>
        </w:tc>
        <w:tc>
          <w:tcPr>
            <w:tcW w:w="2643" w:type="dxa"/>
            <w:hideMark/>
          </w:tcPr>
          <w:p w14:paraId="4EF4B1DD" w14:textId="77777777" w:rsidR="005420B1" w:rsidRPr="002077DE" w:rsidRDefault="005420B1"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5420B1" w:rsidRPr="002077DE" w14:paraId="300D0298" w14:textId="77777777" w:rsidTr="005420B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FBBBCF" w14:textId="77777777" w:rsidR="005420B1" w:rsidRPr="002077DE" w:rsidRDefault="005420B1"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No (n = 32)</w:t>
            </w:r>
          </w:p>
        </w:tc>
        <w:tc>
          <w:tcPr>
            <w:tcW w:w="0" w:type="auto"/>
            <w:hideMark/>
          </w:tcPr>
          <w:p w14:paraId="0E60995E" w14:textId="77777777" w:rsidR="005420B1" w:rsidRPr="002077DE" w:rsidRDefault="005420B1" w:rsidP="005420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 2.8</w:t>
            </w:r>
          </w:p>
        </w:tc>
        <w:tc>
          <w:tcPr>
            <w:tcW w:w="2643" w:type="dxa"/>
            <w:hideMark/>
          </w:tcPr>
          <w:p w14:paraId="2AE8623A" w14:textId="77777777" w:rsidR="005420B1" w:rsidRPr="002077DE" w:rsidRDefault="005420B1" w:rsidP="005420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26394D4C" w14:textId="77777777" w:rsidR="005504FA" w:rsidRDefault="005504FA" w:rsidP="00D932D9">
      <w:pPr>
        <w:jc w:val="both"/>
        <w:rPr>
          <w:rFonts w:asciiTheme="minorBidi" w:hAnsiTheme="minorBidi"/>
          <w:sz w:val="20"/>
          <w:szCs w:val="20"/>
        </w:rPr>
      </w:pPr>
    </w:p>
    <w:p w14:paraId="20522731" w14:textId="135B0772" w:rsidR="00E33AB5" w:rsidRPr="002077DE" w:rsidRDefault="00D932D9" w:rsidP="00D932D9">
      <w:pPr>
        <w:jc w:val="both"/>
        <w:rPr>
          <w:rFonts w:asciiTheme="minorBidi" w:hAnsiTheme="minorBidi"/>
          <w:sz w:val="20"/>
          <w:szCs w:val="20"/>
        </w:rPr>
      </w:pPr>
      <w:r w:rsidRPr="002077DE">
        <w:rPr>
          <w:rFonts w:asciiTheme="minorBidi" w:hAnsiTheme="minorBidi"/>
          <w:sz w:val="20"/>
          <w:szCs w:val="20"/>
        </w:rPr>
        <w:lastRenderedPageBreak/>
        <w:t>The mean IGS (0-6 points) was 2.7 ± 1.9, with significant differences based on karyotype and phenotype. 46, XX individuals had significantly higher IGS scores, reflecting a greater likelihood of Müllerian structures (uterus/vagina) on imaging/laparoscopy. 46, XY individuals had lower scores, indicative of absent female structures and varying degrees of Wolffian development.</w:t>
      </w:r>
    </w:p>
    <w:p w14:paraId="7E904CFF" w14:textId="1B76727C" w:rsidR="00C804C1" w:rsidRPr="002077DE" w:rsidRDefault="00D932D9" w:rsidP="00C804C1">
      <w:pPr>
        <w:jc w:val="both"/>
        <w:rPr>
          <w:rFonts w:asciiTheme="minorBidi" w:hAnsiTheme="minorBidi"/>
          <w:sz w:val="20"/>
          <w:szCs w:val="20"/>
        </w:rPr>
      </w:pPr>
      <w:r w:rsidRPr="002077DE">
        <w:rPr>
          <w:rFonts w:asciiTheme="minorBidi" w:hAnsiTheme="minorBidi"/>
          <w:sz w:val="20"/>
          <w:szCs w:val="20"/>
        </w:rPr>
        <w:t xml:space="preserve"> Subcategory breakdown (Müllerian vs. Wolffian Structures) </w:t>
      </w:r>
      <w:r w:rsidR="00511F2C" w:rsidRPr="002077DE">
        <w:rPr>
          <w:rFonts w:asciiTheme="minorBidi" w:hAnsiTheme="minorBidi"/>
          <w:sz w:val="20"/>
          <w:szCs w:val="20"/>
        </w:rPr>
        <w:t>were</w:t>
      </w:r>
      <w:r w:rsidRPr="002077DE">
        <w:rPr>
          <w:rFonts w:asciiTheme="minorBidi" w:hAnsiTheme="minorBidi"/>
          <w:sz w:val="20"/>
          <w:szCs w:val="20"/>
        </w:rPr>
        <w:t xml:space="preserve"> Müllerian structures (uterus/vagina present): Mean IGS 3.9 ± 1.4. Wolffian structures (epididymis, vas deferens): Mean IGS 2.2 ± 1.3, and mixed structures (partial Müllerian/Wolffian remnants): Mean IGS 1.5 ± 1.0 (p &lt; 0.001 for trend). </w:t>
      </w:r>
    </w:p>
    <w:p w14:paraId="6BC3BCF4" w14:textId="4BA983BD" w:rsidR="00D932D9" w:rsidRPr="002077DE" w:rsidRDefault="00D932D9" w:rsidP="00D932D9">
      <w:pPr>
        <w:jc w:val="both"/>
        <w:rPr>
          <w:rFonts w:asciiTheme="minorBidi" w:hAnsiTheme="minorBidi"/>
          <w:sz w:val="20"/>
          <w:szCs w:val="20"/>
        </w:rPr>
      </w:pPr>
      <w:r w:rsidRPr="002077DE">
        <w:rPr>
          <w:rFonts w:asciiTheme="minorBidi" w:hAnsiTheme="minorBidi"/>
          <w:sz w:val="20"/>
          <w:szCs w:val="20"/>
        </w:rPr>
        <w:t>IGS was significantly correlated with gonadectomy indications (r = 0.54, p &lt; 0.01), especially in mixed gonadal dysgenesis. Patients with IGS ≤ 2 were more likely to require masculinizing surgery, whereas IGS ≥ 4 was associated with feminizing procedures (p &lt; 0.001)</w:t>
      </w:r>
      <w:r w:rsidR="00754EF8" w:rsidRPr="002077DE">
        <w:rPr>
          <w:rFonts w:asciiTheme="minorBidi" w:hAnsiTheme="minorBidi"/>
          <w:sz w:val="20"/>
          <w:szCs w:val="20"/>
        </w:rPr>
        <w:t xml:space="preserve"> </w:t>
      </w:r>
      <w:r w:rsidR="00754EF8" w:rsidRPr="002077DE">
        <w:rPr>
          <w:rFonts w:asciiTheme="minorBidi" w:hAnsiTheme="minorBidi"/>
          <w:b/>
          <w:bCs/>
          <w:sz w:val="20"/>
          <w:szCs w:val="20"/>
        </w:rPr>
        <w:t>(</w:t>
      </w:r>
      <w:r w:rsidR="00C0612B" w:rsidRPr="002077DE">
        <w:rPr>
          <w:rFonts w:asciiTheme="minorBidi" w:hAnsiTheme="minorBidi"/>
          <w:b/>
          <w:bCs/>
          <w:sz w:val="20"/>
          <w:szCs w:val="20"/>
        </w:rPr>
        <w:t>Table</w:t>
      </w:r>
      <w:r w:rsidR="00754EF8" w:rsidRPr="002077DE">
        <w:rPr>
          <w:rFonts w:asciiTheme="minorBidi" w:hAnsiTheme="minorBidi"/>
          <w:b/>
          <w:bCs/>
          <w:sz w:val="20"/>
          <w:szCs w:val="20"/>
        </w:rPr>
        <w:t xml:space="preserve"> 4&amp;5)</w:t>
      </w:r>
      <w:r w:rsidRPr="002077DE">
        <w:rPr>
          <w:rFonts w:asciiTheme="minorBidi" w:hAnsiTheme="minorBidi"/>
          <w:b/>
          <w:bCs/>
          <w:sz w:val="20"/>
          <w:szCs w:val="20"/>
        </w:rPr>
        <w:t>.</w:t>
      </w:r>
    </w:p>
    <w:p w14:paraId="10DEB3CD" w14:textId="6792A1E3" w:rsidR="00C804C1" w:rsidRPr="002077DE" w:rsidRDefault="00C804C1" w:rsidP="00DD1455">
      <w:pPr>
        <w:jc w:val="both"/>
        <w:rPr>
          <w:rFonts w:asciiTheme="minorBidi" w:hAnsiTheme="minorBidi"/>
          <w:b/>
          <w:bCs/>
          <w:sz w:val="20"/>
          <w:szCs w:val="20"/>
        </w:rPr>
      </w:pPr>
      <w:r w:rsidRPr="002077DE">
        <w:rPr>
          <w:rFonts w:asciiTheme="minorBidi" w:hAnsiTheme="minorBidi"/>
          <w:b/>
          <w:bCs/>
          <w:sz w:val="20"/>
          <w:szCs w:val="20"/>
        </w:rPr>
        <w:t xml:space="preserve">Table </w:t>
      </w:r>
      <w:r w:rsidRPr="002077DE">
        <w:rPr>
          <w:rFonts w:asciiTheme="minorBidi" w:hAnsiTheme="minorBidi"/>
          <w:b/>
          <w:bCs/>
          <w:sz w:val="20"/>
          <w:szCs w:val="20"/>
        </w:rPr>
        <w:fldChar w:fldCharType="begin"/>
      </w:r>
      <w:r w:rsidRPr="002077DE">
        <w:rPr>
          <w:rFonts w:asciiTheme="minorBidi" w:hAnsiTheme="minorBidi"/>
          <w:b/>
          <w:bCs/>
          <w:sz w:val="20"/>
          <w:szCs w:val="20"/>
        </w:rPr>
        <w:instrText xml:space="preserve"> SEQ Table \* ARABIC </w:instrText>
      </w:r>
      <w:r w:rsidRPr="002077DE">
        <w:rPr>
          <w:rFonts w:asciiTheme="minorBidi" w:hAnsiTheme="minorBidi"/>
          <w:b/>
          <w:bCs/>
          <w:sz w:val="20"/>
          <w:szCs w:val="20"/>
        </w:rPr>
        <w:fldChar w:fldCharType="separate"/>
      </w:r>
      <w:r w:rsidR="003F6C67" w:rsidRPr="002077DE">
        <w:rPr>
          <w:rFonts w:asciiTheme="minorBidi" w:hAnsiTheme="minorBidi"/>
          <w:b/>
          <w:bCs/>
          <w:noProof/>
          <w:sz w:val="20"/>
          <w:szCs w:val="20"/>
        </w:rPr>
        <w:t>4</w:t>
      </w:r>
      <w:r w:rsidRPr="002077DE">
        <w:rPr>
          <w:rFonts w:asciiTheme="minorBidi" w:hAnsiTheme="minorBidi"/>
          <w:b/>
          <w:bCs/>
          <w:sz w:val="20"/>
          <w:szCs w:val="20"/>
        </w:rPr>
        <w:fldChar w:fldCharType="end"/>
      </w:r>
      <w:r w:rsidRPr="002077DE">
        <w:rPr>
          <w:rFonts w:asciiTheme="minorBidi" w:hAnsiTheme="minorBidi"/>
          <w:b/>
          <w:bCs/>
          <w:sz w:val="20"/>
          <w:szCs w:val="20"/>
        </w:rPr>
        <w:t xml:space="preserve">: IGS by Karyotype, revealed that 46, XX DSD patients had higher IGS scores due to Müllerian structures. 45, X/46, XY and </w:t>
      </w:r>
      <w:proofErr w:type="spellStart"/>
      <w:r w:rsidRPr="002077DE">
        <w:rPr>
          <w:rFonts w:asciiTheme="minorBidi" w:hAnsiTheme="minorBidi"/>
          <w:b/>
          <w:bCs/>
          <w:sz w:val="20"/>
          <w:szCs w:val="20"/>
        </w:rPr>
        <w:t>ovotesticular</w:t>
      </w:r>
      <w:proofErr w:type="spellEnd"/>
      <w:r w:rsidRPr="002077DE">
        <w:rPr>
          <w:rFonts w:asciiTheme="minorBidi" w:hAnsiTheme="minorBidi"/>
          <w:b/>
          <w:bCs/>
          <w:sz w:val="20"/>
          <w:szCs w:val="20"/>
        </w:rPr>
        <w:t xml:space="preserve"> cases had intermediate scores, reflecting mixed gonadal development.</w:t>
      </w:r>
      <w:r w:rsidR="00DD1455" w:rsidRPr="002077DE">
        <w:rPr>
          <w:rFonts w:asciiTheme="minorBidi" w:hAnsiTheme="minorBidi"/>
          <w:b/>
          <w:bCs/>
          <w:sz w:val="20"/>
          <w:szCs w:val="20"/>
        </w:rPr>
        <w:t xml:space="preserve"> </w:t>
      </w:r>
      <w:bookmarkStart w:id="10" w:name="_Hlk190516584"/>
      <w:r w:rsidR="00DD1455" w:rsidRPr="002077DE">
        <w:rPr>
          <w:rFonts w:asciiTheme="minorBidi" w:hAnsiTheme="minorBidi"/>
          <w:b/>
          <w:bCs/>
          <w:sz w:val="20"/>
          <w:szCs w:val="20"/>
        </w:rPr>
        <w:t xml:space="preserve">*; </w:t>
      </w:r>
      <w:r w:rsidR="007F4193" w:rsidRPr="002077DE">
        <w:rPr>
          <w:rFonts w:asciiTheme="minorBidi" w:hAnsiTheme="minorBidi"/>
          <w:b/>
          <w:bCs/>
          <w:sz w:val="20"/>
          <w:szCs w:val="20"/>
        </w:rPr>
        <w:t>If</w:t>
      </w:r>
      <w:r w:rsidR="00DD1455" w:rsidRPr="002077DE">
        <w:rPr>
          <w:rFonts w:asciiTheme="minorBidi" w:hAnsiTheme="minorBidi"/>
          <w:b/>
          <w:bCs/>
          <w:sz w:val="20"/>
          <w:szCs w:val="20"/>
        </w:rPr>
        <w:t xml:space="preserve"> patients with mosaic karyotypes (e.g., 45, X/46, XY) were included in the 45, X/46, XY group, and another group, this could artificially inflate the numbers. **; Some patients might have been classified under more than one karyotype group. </w:t>
      </w:r>
      <w:r w:rsidRPr="002077DE">
        <w:rPr>
          <w:rFonts w:asciiTheme="minorBidi" w:hAnsiTheme="minorBidi"/>
          <w:b/>
          <w:bCs/>
          <w:sz w:val="20"/>
          <w:szCs w:val="20"/>
        </w:rPr>
        <w:t xml:space="preserve"> </w:t>
      </w:r>
    </w:p>
    <w:tbl>
      <w:tblPr>
        <w:tblStyle w:val="GridTable4-Accent3"/>
        <w:tblW w:w="0" w:type="auto"/>
        <w:jc w:val="center"/>
        <w:tblLook w:val="04A0" w:firstRow="1" w:lastRow="0" w:firstColumn="1" w:lastColumn="0" w:noHBand="0" w:noVBand="1"/>
      </w:tblPr>
      <w:tblGrid>
        <w:gridCol w:w="2712"/>
        <w:gridCol w:w="1627"/>
        <w:gridCol w:w="2704"/>
      </w:tblGrid>
      <w:tr w:rsidR="00C804C1" w:rsidRPr="002077DE" w14:paraId="63629192" w14:textId="77777777" w:rsidTr="00EC6C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bookmarkEnd w:id="10"/>
          <w:p w14:paraId="4AA47E7D" w14:textId="77777777" w:rsidR="00C804C1" w:rsidRPr="002077DE" w:rsidRDefault="00C804C1" w:rsidP="00C804C1">
            <w:pPr>
              <w:jc w:val="center"/>
              <w:rPr>
                <w:rFonts w:asciiTheme="minorBidi" w:hAnsiTheme="minorBidi"/>
                <w:color w:val="auto"/>
                <w:sz w:val="20"/>
                <w:szCs w:val="20"/>
              </w:rPr>
            </w:pPr>
            <w:r w:rsidRPr="002077DE">
              <w:rPr>
                <w:rFonts w:asciiTheme="minorBidi" w:hAnsiTheme="minorBidi"/>
                <w:color w:val="auto"/>
                <w:sz w:val="20"/>
                <w:szCs w:val="20"/>
              </w:rPr>
              <w:t>Karyotype</w:t>
            </w:r>
          </w:p>
        </w:tc>
        <w:tc>
          <w:tcPr>
            <w:tcW w:w="0" w:type="auto"/>
            <w:hideMark/>
          </w:tcPr>
          <w:p w14:paraId="23955209" w14:textId="77777777" w:rsidR="00C804C1" w:rsidRPr="002077DE" w:rsidRDefault="00C804C1" w:rsidP="00C804C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IGS ± SD</w:t>
            </w:r>
          </w:p>
        </w:tc>
        <w:tc>
          <w:tcPr>
            <w:tcW w:w="2704" w:type="dxa"/>
            <w:hideMark/>
          </w:tcPr>
          <w:p w14:paraId="3278E7D4" w14:textId="77777777" w:rsidR="00C804C1" w:rsidRPr="002077DE" w:rsidRDefault="00C804C1" w:rsidP="00C804C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C804C1" w:rsidRPr="002077DE" w14:paraId="44D49E7F" w14:textId="77777777" w:rsidTr="00EC6C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777AE9" w14:textId="77777777" w:rsidR="00C804C1" w:rsidRPr="002077DE" w:rsidRDefault="00C804C1" w:rsidP="00C804C1">
            <w:pPr>
              <w:jc w:val="center"/>
              <w:rPr>
                <w:rFonts w:asciiTheme="minorBidi" w:hAnsiTheme="minorBidi"/>
                <w:b w:val="0"/>
                <w:bCs w:val="0"/>
                <w:sz w:val="20"/>
                <w:szCs w:val="20"/>
              </w:rPr>
            </w:pPr>
            <w:r w:rsidRPr="002077DE">
              <w:rPr>
                <w:rFonts w:asciiTheme="minorBidi" w:hAnsiTheme="minorBidi"/>
                <w:b w:val="0"/>
                <w:bCs w:val="0"/>
                <w:sz w:val="20"/>
                <w:szCs w:val="20"/>
              </w:rPr>
              <w:t>46, XX (n = 30)</w:t>
            </w:r>
          </w:p>
        </w:tc>
        <w:tc>
          <w:tcPr>
            <w:tcW w:w="0" w:type="auto"/>
            <w:hideMark/>
          </w:tcPr>
          <w:p w14:paraId="1DB31390" w14:textId="77777777" w:rsidR="00C804C1" w:rsidRPr="002077DE" w:rsidRDefault="00C804C1" w:rsidP="00C804C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3.8 ± 1.5</w:t>
            </w:r>
          </w:p>
        </w:tc>
        <w:tc>
          <w:tcPr>
            <w:tcW w:w="2704" w:type="dxa"/>
            <w:hideMark/>
          </w:tcPr>
          <w:p w14:paraId="7A0249C2" w14:textId="77777777" w:rsidR="00C804C1" w:rsidRPr="002077DE" w:rsidRDefault="00C804C1" w:rsidP="00C804C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C804C1" w:rsidRPr="002077DE" w14:paraId="597054BC" w14:textId="77777777" w:rsidTr="00EC6C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D15444" w14:textId="77777777" w:rsidR="00C804C1" w:rsidRPr="002077DE" w:rsidRDefault="00C804C1" w:rsidP="00C804C1">
            <w:pPr>
              <w:jc w:val="center"/>
              <w:rPr>
                <w:rFonts w:asciiTheme="minorBidi" w:hAnsiTheme="minorBidi"/>
                <w:b w:val="0"/>
                <w:bCs w:val="0"/>
                <w:sz w:val="20"/>
                <w:szCs w:val="20"/>
              </w:rPr>
            </w:pPr>
            <w:r w:rsidRPr="002077DE">
              <w:rPr>
                <w:rFonts w:asciiTheme="minorBidi" w:hAnsiTheme="minorBidi"/>
                <w:b w:val="0"/>
                <w:bCs w:val="0"/>
                <w:sz w:val="20"/>
                <w:szCs w:val="20"/>
              </w:rPr>
              <w:t>46, XY (n = 40)</w:t>
            </w:r>
          </w:p>
        </w:tc>
        <w:tc>
          <w:tcPr>
            <w:tcW w:w="0" w:type="auto"/>
            <w:hideMark/>
          </w:tcPr>
          <w:p w14:paraId="189A7E49" w14:textId="77777777" w:rsidR="00C804C1" w:rsidRPr="002077DE" w:rsidRDefault="00C804C1" w:rsidP="00C804C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1.6 ± 1.3</w:t>
            </w:r>
          </w:p>
        </w:tc>
        <w:tc>
          <w:tcPr>
            <w:tcW w:w="2704" w:type="dxa"/>
            <w:hideMark/>
          </w:tcPr>
          <w:p w14:paraId="79EB783A" w14:textId="77777777" w:rsidR="00C804C1" w:rsidRPr="002077DE" w:rsidRDefault="00C804C1" w:rsidP="00C804C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C804C1" w:rsidRPr="002077DE" w14:paraId="245C024E" w14:textId="77777777" w:rsidTr="00EC6C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56FA051" w14:textId="4C61B3E9" w:rsidR="00C804C1" w:rsidRPr="002077DE" w:rsidRDefault="00C0612B" w:rsidP="00C804C1">
            <w:pPr>
              <w:jc w:val="center"/>
              <w:rPr>
                <w:rFonts w:asciiTheme="minorBidi" w:hAnsiTheme="minorBidi"/>
                <w:b w:val="0"/>
                <w:bCs w:val="0"/>
                <w:sz w:val="20"/>
                <w:szCs w:val="20"/>
              </w:rPr>
            </w:pPr>
            <w:r w:rsidRPr="002077DE">
              <w:rPr>
                <w:rFonts w:asciiTheme="minorBidi" w:hAnsiTheme="minorBidi"/>
                <w:b w:val="0"/>
                <w:bCs w:val="0"/>
                <w:sz w:val="20"/>
                <w:szCs w:val="20"/>
              </w:rPr>
              <w:t>45, X</w:t>
            </w:r>
            <w:r w:rsidR="00C804C1" w:rsidRPr="002077DE">
              <w:rPr>
                <w:rFonts w:asciiTheme="minorBidi" w:hAnsiTheme="minorBidi"/>
                <w:b w:val="0"/>
                <w:bCs w:val="0"/>
                <w:sz w:val="20"/>
                <w:szCs w:val="20"/>
              </w:rPr>
              <w:t>/</w:t>
            </w:r>
            <w:r w:rsidRPr="002077DE">
              <w:rPr>
                <w:rFonts w:asciiTheme="minorBidi" w:hAnsiTheme="minorBidi"/>
                <w:b w:val="0"/>
                <w:bCs w:val="0"/>
                <w:sz w:val="20"/>
                <w:szCs w:val="20"/>
              </w:rPr>
              <w:t>46, XY</w:t>
            </w:r>
            <w:r w:rsidR="00C804C1" w:rsidRPr="002077DE">
              <w:rPr>
                <w:rFonts w:asciiTheme="minorBidi" w:hAnsiTheme="minorBidi"/>
                <w:b w:val="0"/>
                <w:bCs w:val="0"/>
                <w:sz w:val="20"/>
                <w:szCs w:val="20"/>
              </w:rPr>
              <w:t xml:space="preserve"> (n = </w:t>
            </w:r>
            <w:r w:rsidR="00DD1455" w:rsidRPr="002077DE">
              <w:rPr>
                <w:rFonts w:asciiTheme="minorBidi" w:hAnsiTheme="minorBidi"/>
                <w:b w:val="0"/>
                <w:bCs w:val="0"/>
                <w:sz w:val="20"/>
                <w:szCs w:val="20"/>
              </w:rPr>
              <w:t xml:space="preserve">10) </w:t>
            </w:r>
            <w:r w:rsidR="00DD1455" w:rsidRPr="002077DE">
              <w:rPr>
                <w:rFonts w:asciiTheme="minorBidi" w:hAnsiTheme="minorBidi"/>
                <w:sz w:val="20"/>
                <w:szCs w:val="20"/>
              </w:rPr>
              <w:t>*</w:t>
            </w:r>
          </w:p>
        </w:tc>
        <w:tc>
          <w:tcPr>
            <w:tcW w:w="0" w:type="auto"/>
            <w:hideMark/>
          </w:tcPr>
          <w:p w14:paraId="66660C1B" w14:textId="77777777" w:rsidR="00C804C1" w:rsidRPr="002077DE" w:rsidRDefault="00C804C1" w:rsidP="00C804C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2.3 ± 1.2</w:t>
            </w:r>
          </w:p>
        </w:tc>
        <w:tc>
          <w:tcPr>
            <w:tcW w:w="2704" w:type="dxa"/>
            <w:hideMark/>
          </w:tcPr>
          <w:p w14:paraId="73EB48FD" w14:textId="77777777" w:rsidR="00C804C1" w:rsidRPr="002077DE" w:rsidRDefault="00C804C1" w:rsidP="00C804C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0.01</w:t>
            </w:r>
          </w:p>
        </w:tc>
      </w:tr>
      <w:tr w:rsidR="00C804C1" w:rsidRPr="002077DE" w14:paraId="6E5D0041" w14:textId="77777777" w:rsidTr="00EC6C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D12F7E" w14:textId="36761437" w:rsidR="00C804C1" w:rsidRPr="002077DE" w:rsidRDefault="00C804C1" w:rsidP="00C804C1">
            <w:pPr>
              <w:jc w:val="center"/>
              <w:rPr>
                <w:rFonts w:asciiTheme="minorBidi" w:hAnsiTheme="minorBidi"/>
                <w:b w:val="0"/>
                <w:bCs w:val="0"/>
                <w:sz w:val="20"/>
                <w:szCs w:val="20"/>
              </w:rPr>
            </w:pPr>
            <w:proofErr w:type="spellStart"/>
            <w:r w:rsidRPr="002077DE">
              <w:rPr>
                <w:rFonts w:asciiTheme="minorBidi" w:hAnsiTheme="minorBidi"/>
                <w:b w:val="0"/>
                <w:bCs w:val="0"/>
                <w:sz w:val="20"/>
                <w:szCs w:val="20"/>
              </w:rPr>
              <w:t>Ovotesticular</w:t>
            </w:r>
            <w:proofErr w:type="spellEnd"/>
            <w:r w:rsidRPr="002077DE">
              <w:rPr>
                <w:rFonts w:asciiTheme="minorBidi" w:hAnsiTheme="minorBidi"/>
                <w:b w:val="0"/>
                <w:bCs w:val="0"/>
                <w:sz w:val="20"/>
                <w:szCs w:val="20"/>
              </w:rPr>
              <w:t xml:space="preserve"> DSD (n = </w:t>
            </w:r>
            <w:r w:rsidR="00DD1455" w:rsidRPr="002077DE">
              <w:rPr>
                <w:rFonts w:asciiTheme="minorBidi" w:hAnsiTheme="minorBidi"/>
                <w:b w:val="0"/>
                <w:bCs w:val="0"/>
                <w:sz w:val="20"/>
                <w:szCs w:val="20"/>
              </w:rPr>
              <w:t xml:space="preserve">8) </w:t>
            </w:r>
            <w:r w:rsidR="00DD1455" w:rsidRPr="002077DE">
              <w:rPr>
                <w:rFonts w:asciiTheme="minorBidi" w:hAnsiTheme="minorBidi"/>
                <w:sz w:val="20"/>
                <w:szCs w:val="20"/>
              </w:rPr>
              <w:t>**</w:t>
            </w:r>
          </w:p>
        </w:tc>
        <w:tc>
          <w:tcPr>
            <w:tcW w:w="0" w:type="auto"/>
            <w:hideMark/>
          </w:tcPr>
          <w:p w14:paraId="0C17E7B8" w14:textId="77777777" w:rsidR="00C804C1" w:rsidRPr="002077DE" w:rsidRDefault="00C804C1" w:rsidP="00C804C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3.1 ± 1.4</w:t>
            </w:r>
          </w:p>
        </w:tc>
        <w:tc>
          <w:tcPr>
            <w:tcW w:w="2704" w:type="dxa"/>
            <w:hideMark/>
          </w:tcPr>
          <w:p w14:paraId="0C212389" w14:textId="77777777" w:rsidR="00C804C1" w:rsidRPr="002077DE" w:rsidRDefault="00C804C1" w:rsidP="00C804C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0.03</w:t>
            </w:r>
          </w:p>
        </w:tc>
      </w:tr>
    </w:tbl>
    <w:p w14:paraId="2BCD3F8A" w14:textId="77777777" w:rsidR="00C804C1" w:rsidRPr="002077DE" w:rsidRDefault="00C804C1" w:rsidP="003C2746">
      <w:pPr>
        <w:jc w:val="both"/>
        <w:rPr>
          <w:rFonts w:asciiTheme="minorBidi" w:hAnsiTheme="minorBidi"/>
          <w:sz w:val="20"/>
          <w:szCs w:val="20"/>
        </w:rPr>
      </w:pPr>
    </w:p>
    <w:p w14:paraId="65B17828" w14:textId="77777777" w:rsidR="009B043C" w:rsidRDefault="009B043C" w:rsidP="00754EF8">
      <w:pPr>
        <w:pStyle w:val="Caption"/>
        <w:keepNext/>
        <w:jc w:val="both"/>
        <w:rPr>
          <w:rFonts w:asciiTheme="minorBidi" w:hAnsiTheme="minorBidi"/>
          <w:b/>
          <w:bCs/>
          <w:i w:val="0"/>
          <w:iCs w:val="0"/>
          <w:sz w:val="20"/>
          <w:szCs w:val="20"/>
        </w:rPr>
      </w:pPr>
    </w:p>
    <w:p w14:paraId="4779A3F9" w14:textId="17063F27" w:rsidR="0087370C" w:rsidRPr="002077DE" w:rsidRDefault="0087370C" w:rsidP="00754EF8">
      <w:pPr>
        <w:pStyle w:val="Caption"/>
        <w:keepNext/>
        <w:jc w:val="both"/>
        <w:rPr>
          <w:rFonts w:asciiTheme="minorBidi" w:hAnsiTheme="minorBidi"/>
          <w:b/>
          <w:bCs/>
          <w:sz w:val="20"/>
          <w:szCs w:val="20"/>
        </w:rPr>
      </w:pPr>
      <w:r w:rsidRPr="002077DE">
        <w:rPr>
          <w:rFonts w:asciiTheme="minorBidi" w:hAnsiTheme="minorBidi"/>
          <w:b/>
          <w:bCs/>
          <w:i w:val="0"/>
          <w:iCs w:val="0"/>
          <w:sz w:val="20"/>
          <w:szCs w:val="20"/>
        </w:rPr>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5</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IGS &amp; Gonadectomy Correlation, revealed that the Lower IGS scores correlated with increased gonadectomy rates (p = 0.01). Patients with IGS ≤2 had an odds ratio (OR) of 3.2 for gonadectomy (95% CI: 1.8–5.5, p &lt; 0.001).</w:t>
      </w:r>
    </w:p>
    <w:tbl>
      <w:tblPr>
        <w:tblStyle w:val="GridTable4-Accent3"/>
        <w:tblW w:w="0" w:type="auto"/>
        <w:jc w:val="center"/>
        <w:tblLook w:val="04A0" w:firstRow="1" w:lastRow="0" w:firstColumn="1" w:lastColumn="0" w:noHBand="0" w:noVBand="1"/>
      </w:tblPr>
      <w:tblGrid>
        <w:gridCol w:w="2606"/>
        <w:gridCol w:w="1627"/>
        <w:gridCol w:w="2408"/>
      </w:tblGrid>
      <w:tr w:rsidR="0087370C" w:rsidRPr="002077DE" w14:paraId="4391026A" w14:textId="77777777" w:rsidTr="008737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878C47" w14:textId="77777777" w:rsidR="0087370C" w:rsidRPr="002077DE" w:rsidRDefault="0087370C" w:rsidP="0087370C">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Gonadectomy Performed</w:t>
            </w:r>
          </w:p>
        </w:tc>
        <w:tc>
          <w:tcPr>
            <w:tcW w:w="0" w:type="auto"/>
            <w:hideMark/>
          </w:tcPr>
          <w:p w14:paraId="2C1D5A15" w14:textId="77777777" w:rsidR="0087370C" w:rsidRPr="002077DE" w:rsidRDefault="0087370C" w:rsidP="0087370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IGS ± SD</w:t>
            </w:r>
          </w:p>
        </w:tc>
        <w:tc>
          <w:tcPr>
            <w:tcW w:w="2408" w:type="dxa"/>
            <w:hideMark/>
          </w:tcPr>
          <w:p w14:paraId="7D15ACBE" w14:textId="77777777" w:rsidR="0087370C" w:rsidRPr="002077DE" w:rsidRDefault="0087370C" w:rsidP="0087370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87370C" w:rsidRPr="002077DE" w14:paraId="62773A32" w14:textId="77777777" w:rsidTr="008737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D166D0F" w14:textId="77777777" w:rsidR="0087370C" w:rsidRPr="002077DE" w:rsidRDefault="0087370C" w:rsidP="0087370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Yes (n = 28)</w:t>
            </w:r>
          </w:p>
        </w:tc>
        <w:tc>
          <w:tcPr>
            <w:tcW w:w="0" w:type="auto"/>
            <w:hideMark/>
          </w:tcPr>
          <w:p w14:paraId="5062960A" w14:textId="77777777" w:rsidR="0087370C" w:rsidRPr="002077DE" w:rsidRDefault="0087370C" w:rsidP="0087370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2.4 ± 1.5</w:t>
            </w:r>
          </w:p>
        </w:tc>
        <w:tc>
          <w:tcPr>
            <w:tcW w:w="2408" w:type="dxa"/>
            <w:hideMark/>
          </w:tcPr>
          <w:p w14:paraId="7122E34F" w14:textId="77777777" w:rsidR="0087370C" w:rsidRPr="002077DE" w:rsidRDefault="0087370C" w:rsidP="0087370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0.01</w:t>
            </w:r>
          </w:p>
        </w:tc>
      </w:tr>
      <w:tr w:rsidR="0087370C" w:rsidRPr="002077DE" w14:paraId="0D35973F" w14:textId="77777777" w:rsidTr="0087370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3006A9B" w14:textId="77777777" w:rsidR="0087370C" w:rsidRPr="002077DE" w:rsidRDefault="0087370C" w:rsidP="0087370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No (n = 42)</w:t>
            </w:r>
          </w:p>
        </w:tc>
        <w:tc>
          <w:tcPr>
            <w:tcW w:w="0" w:type="auto"/>
            <w:hideMark/>
          </w:tcPr>
          <w:p w14:paraId="12067901" w14:textId="77777777" w:rsidR="0087370C" w:rsidRPr="002077DE" w:rsidRDefault="0087370C" w:rsidP="0087370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3.1 ± 1.7</w:t>
            </w:r>
          </w:p>
        </w:tc>
        <w:tc>
          <w:tcPr>
            <w:tcW w:w="2408" w:type="dxa"/>
            <w:hideMark/>
          </w:tcPr>
          <w:p w14:paraId="1D5CD3C9" w14:textId="77777777" w:rsidR="0087370C" w:rsidRPr="002077DE" w:rsidRDefault="0087370C" w:rsidP="0087370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0.01</w:t>
            </w:r>
          </w:p>
        </w:tc>
      </w:tr>
    </w:tbl>
    <w:p w14:paraId="5D362293" w14:textId="77777777" w:rsidR="00C804C1" w:rsidRPr="002077DE" w:rsidRDefault="00C804C1" w:rsidP="003C2746">
      <w:pPr>
        <w:jc w:val="both"/>
        <w:rPr>
          <w:rFonts w:asciiTheme="minorBidi" w:hAnsiTheme="minorBidi"/>
          <w:sz w:val="20"/>
          <w:szCs w:val="20"/>
        </w:rPr>
      </w:pPr>
    </w:p>
    <w:p w14:paraId="4D1BB9E8" w14:textId="5D67BF31" w:rsidR="003C2746" w:rsidRPr="002077DE" w:rsidRDefault="003C2746" w:rsidP="003C2746">
      <w:pPr>
        <w:jc w:val="both"/>
        <w:rPr>
          <w:rFonts w:asciiTheme="minorBidi" w:hAnsiTheme="minorBidi"/>
          <w:sz w:val="20"/>
          <w:szCs w:val="20"/>
        </w:rPr>
      </w:pPr>
      <w:r w:rsidRPr="002077DE">
        <w:rPr>
          <w:rFonts w:asciiTheme="minorBidi" w:hAnsiTheme="minorBidi"/>
          <w:sz w:val="20"/>
          <w:szCs w:val="20"/>
        </w:rPr>
        <w:t>The mean GPS was 2.9 ± 2.0, reflecting variations in gonadal descent and function. Patients with 46, XY DSD had significantly higher GPS scores, reflecting a greater likelihood of testicular descent and functional AMH/Testosterone production. Intra-abdominal gonads were more frequent in 46, XX DSD, and mixed gonadal dysgenesis cases, contributing to lower scores.</w:t>
      </w:r>
    </w:p>
    <w:p w14:paraId="66ACDEA7" w14:textId="77777777" w:rsidR="00061A55" w:rsidRPr="002077DE" w:rsidRDefault="003C2746" w:rsidP="00061A55">
      <w:pPr>
        <w:jc w:val="both"/>
        <w:rPr>
          <w:rFonts w:asciiTheme="minorBidi" w:hAnsiTheme="minorBidi"/>
          <w:sz w:val="20"/>
          <w:szCs w:val="20"/>
        </w:rPr>
      </w:pPr>
      <w:r w:rsidRPr="002077DE">
        <w:rPr>
          <w:rFonts w:asciiTheme="minorBidi" w:hAnsiTheme="minorBidi"/>
          <w:sz w:val="20"/>
          <w:szCs w:val="20"/>
        </w:rPr>
        <w:t>Subcategory breakdown (Gonadal Position &amp; Function) were fully descended testes: Mean GPS 4.2 ± 1.5. Inguinal gonads: Mean GPS 2.8 ± 1.4, and intra-abdominal gonads: Mean GPS 1.1 ± 0.9 (p &lt; 0.001). The hormonal function impact was normal AMH/Testosterone: Mean GPS 4.4 ± 1.2, impaired function: Mean GPS 2.6 ± 1.5, and the absent function: Mean GPS 1.2 ± 0.8 (p &lt; 0.001).</w:t>
      </w:r>
    </w:p>
    <w:p w14:paraId="4F4E95F5" w14:textId="21233741" w:rsidR="00061A55" w:rsidRPr="002077DE" w:rsidRDefault="003C2746" w:rsidP="00061A55">
      <w:pPr>
        <w:jc w:val="both"/>
        <w:rPr>
          <w:rFonts w:asciiTheme="minorBidi" w:hAnsiTheme="minorBidi"/>
          <w:sz w:val="20"/>
          <w:szCs w:val="20"/>
        </w:rPr>
      </w:pPr>
      <w:r w:rsidRPr="002077DE">
        <w:rPr>
          <w:rFonts w:asciiTheme="minorBidi" w:hAnsiTheme="minorBidi"/>
          <w:sz w:val="20"/>
          <w:szCs w:val="20"/>
        </w:rPr>
        <w:t xml:space="preserve"> </w:t>
      </w:r>
      <w:r w:rsidR="00061A55" w:rsidRPr="002077DE">
        <w:rPr>
          <w:rFonts w:asciiTheme="minorBidi" w:hAnsiTheme="minorBidi"/>
          <w:sz w:val="20"/>
          <w:szCs w:val="20"/>
        </w:rPr>
        <w:t>For clinical relevance: Patients with lower GPS scores (≤2) were significantly more likely to undergo gonadectomy (OR = 4.21, 95% CI: 2.51–6.79, p &lt; 0.001). Higher GPS scores correlated with better pubertal outcomes and a reduced need for hormone therapy (r = 0.62, p &lt; 0.001)</w:t>
      </w:r>
      <w:r w:rsidR="00AE0A38" w:rsidRPr="002077DE">
        <w:rPr>
          <w:rFonts w:asciiTheme="minorBidi" w:hAnsiTheme="minorBidi"/>
          <w:sz w:val="20"/>
          <w:szCs w:val="20"/>
        </w:rPr>
        <w:t xml:space="preserve">, </w:t>
      </w:r>
      <w:r w:rsidR="00AE0A38" w:rsidRPr="002077DE">
        <w:rPr>
          <w:rFonts w:asciiTheme="minorBidi" w:hAnsiTheme="minorBidi"/>
          <w:b/>
          <w:bCs/>
          <w:sz w:val="20"/>
          <w:szCs w:val="20"/>
        </w:rPr>
        <w:t>(Table 6&amp;7)</w:t>
      </w:r>
      <w:r w:rsidR="00061A55" w:rsidRPr="002077DE">
        <w:rPr>
          <w:rFonts w:asciiTheme="minorBidi" w:hAnsiTheme="minorBidi"/>
          <w:b/>
          <w:bCs/>
          <w:sz w:val="20"/>
          <w:szCs w:val="20"/>
        </w:rPr>
        <w:t>.</w:t>
      </w:r>
    </w:p>
    <w:p w14:paraId="729EDE44" w14:textId="77777777" w:rsidR="009B043C" w:rsidRDefault="009B043C" w:rsidP="009F6502">
      <w:pPr>
        <w:pStyle w:val="Caption"/>
        <w:keepNext/>
        <w:jc w:val="both"/>
        <w:rPr>
          <w:rFonts w:asciiTheme="minorBidi" w:hAnsiTheme="minorBidi"/>
          <w:b/>
          <w:bCs/>
          <w:i w:val="0"/>
          <w:iCs w:val="0"/>
          <w:sz w:val="20"/>
          <w:szCs w:val="20"/>
        </w:rPr>
      </w:pPr>
    </w:p>
    <w:p w14:paraId="5EE08EF3" w14:textId="77777777" w:rsidR="009B043C" w:rsidRPr="009B043C" w:rsidRDefault="009B043C" w:rsidP="009B043C"/>
    <w:p w14:paraId="74B9F152" w14:textId="67D8F1F1" w:rsidR="009F6502" w:rsidRPr="002077DE" w:rsidRDefault="00C0612B" w:rsidP="009F6502">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lastRenderedPageBreak/>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6</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xml:space="preserve">: GPS by Karyotype, revealed that 46, XY patients had higher GPS scores, reflecting better testicular descent and function. 45, X/46, XY cases had the lowest scores, often requiring hormone therapy (p = 0.02). </w:t>
      </w:r>
      <w:r w:rsidR="009F6502" w:rsidRPr="002077DE">
        <w:rPr>
          <w:rFonts w:asciiTheme="minorBidi" w:hAnsiTheme="minorBidi"/>
          <w:b/>
          <w:bCs/>
          <w:i w:val="0"/>
          <w:iCs w:val="0"/>
          <w:sz w:val="20"/>
          <w:szCs w:val="20"/>
        </w:rPr>
        <w:t xml:space="preserve">*, Some 46, XY DSD cases include 45, X/46, XY individuals, may they </w:t>
      </w:r>
      <w:r w:rsidR="00DA33BD" w:rsidRPr="002077DE">
        <w:rPr>
          <w:rFonts w:asciiTheme="minorBidi" w:hAnsiTheme="minorBidi"/>
          <w:b/>
          <w:bCs/>
          <w:i w:val="0"/>
          <w:iCs w:val="0"/>
          <w:sz w:val="20"/>
          <w:szCs w:val="20"/>
        </w:rPr>
        <w:t>be</w:t>
      </w:r>
      <w:r w:rsidR="009F6502" w:rsidRPr="002077DE">
        <w:rPr>
          <w:rFonts w:asciiTheme="minorBidi" w:hAnsiTheme="minorBidi"/>
          <w:b/>
          <w:bCs/>
          <w:i w:val="0"/>
          <w:iCs w:val="0"/>
          <w:sz w:val="20"/>
          <w:szCs w:val="20"/>
        </w:rPr>
        <w:t xml:space="preserve"> counted under 46, XY, or MGD. Patients with karyotypic mosaicism (e.g., 45, X/46, XY) were included only in the MGD category if they exhibited features consistent with gonadal dysgenesis.</w:t>
      </w:r>
    </w:p>
    <w:tbl>
      <w:tblPr>
        <w:tblStyle w:val="GridTable4-Accent3"/>
        <w:tblW w:w="0" w:type="auto"/>
        <w:jc w:val="center"/>
        <w:tblLook w:val="04A0" w:firstRow="1" w:lastRow="0" w:firstColumn="1" w:lastColumn="0" w:noHBand="0" w:noVBand="1"/>
      </w:tblPr>
      <w:tblGrid>
        <w:gridCol w:w="3535"/>
        <w:gridCol w:w="1704"/>
        <w:gridCol w:w="1836"/>
      </w:tblGrid>
      <w:tr w:rsidR="00D94F9C" w:rsidRPr="002077DE" w14:paraId="6C221580" w14:textId="77777777" w:rsidTr="00D94F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E1E224" w14:textId="77777777" w:rsidR="00D94F9C" w:rsidRPr="002077DE" w:rsidRDefault="00D94F9C" w:rsidP="00D94F9C">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Karyotype</w:t>
            </w:r>
          </w:p>
        </w:tc>
        <w:tc>
          <w:tcPr>
            <w:tcW w:w="0" w:type="auto"/>
            <w:hideMark/>
          </w:tcPr>
          <w:p w14:paraId="6FAD5159" w14:textId="77777777" w:rsidR="00D94F9C" w:rsidRPr="002077DE" w:rsidRDefault="00D94F9C" w:rsidP="00D94F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GPS ± SD</w:t>
            </w:r>
          </w:p>
        </w:tc>
        <w:tc>
          <w:tcPr>
            <w:tcW w:w="1836" w:type="dxa"/>
            <w:hideMark/>
          </w:tcPr>
          <w:p w14:paraId="6716AE1A" w14:textId="77777777" w:rsidR="00D94F9C" w:rsidRPr="002077DE" w:rsidRDefault="00D94F9C" w:rsidP="00D94F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D94F9C" w:rsidRPr="002077DE" w14:paraId="598A8EE8" w14:textId="77777777" w:rsidTr="00D94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9FCB94" w14:textId="7C032229" w:rsidR="00D94F9C" w:rsidRPr="002077DE" w:rsidRDefault="00D94F9C" w:rsidP="00D94F9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XY (n = 40)</w:t>
            </w:r>
          </w:p>
        </w:tc>
        <w:tc>
          <w:tcPr>
            <w:tcW w:w="0" w:type="auto"/>
            <w:hideMark/>
          </w:tcPr>
          <w:p w14:paraId="7751E52C" w14:textId="77777777" w:rsidR="00D94F9C" w:rsidRPr="002077DE" w:rsidRDefault="00D94F9C" w:rsidP="00D94F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3.5 ± 1.8</w:t>
            </w:r>
          </w:p>
        </w:tc>
        <w:tc>
          <w:tcPr>
            <w:tcW w:w="1836" w:type="dxa"/>
            <w:hideMark/>
          </w:tcPr>
          <w:p w14:paraId="1BD1C54B" w14:textId="77777777" w:rsidR="00D94F9C" w:rsidRPr="002077DE" w:rsidRDefault="00D94F9C" w:rsidP="00D94F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D94F9C" w:rsidRPr="002077DE" w14:paraId="6ECDB6AC" w14:textId="77777777" w:rsidTr="00D94F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99511E" w14:textId="0B8BAAE3" w:rsidR="00D94F9C" w:rsidRPr="002077DE" w:rsidRDefault="00D94F9C" w:rsidP="00D94F9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XX (n = 30)</w:t>
            </w:r>
          </w:p>
        </w:tc>
        <w:tc>
          <w:tcPr>
            <w:tcW w:w="0" w:type="auto"/>
            <w:hideMark/>
          </w:tcPr>
          <w:p w14:paraId="1BC9C8E3" w14:textId="77777777" w:rsidR="00D94F9C" w:rsidRPr="002077DE" w:rsidRDefault="00D94F9C" w:rsidP="00D94F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2.2 ± 1.7</w:t>
            </w:r>
          </w:p>
        </w:tc>
        <w:tc>
          <w:tcPr>
            <w:tcW w:w="1836" w:type="dxa"/>
            <w:hideMark/>
          </w:tcPr>
          <w:p w14:paraId="272C6FE7" w14:textId="77777777" w:rsidR="00D94F9C" w:rsidRPr="002077DE" w:rsidRDefault="00D94F9C" w:rsidP="00D94F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D94F9C" w:rsidRPr="002077DE" w14:paraId="385641F9" w14:textId="77777777" w:rsidTr="00D94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4E5E8CE" w14:textId="562A89B2" w:rsidR="00D94F9C" w:rsidRPr="002077DE" w:rsidRDefault="00D94F9C" w:rsidP="00D94F9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 xml:space="preserve">Mixed Gonadal Dysgenesis (n = </w:t>
            </w:r>
            <w:r w:rsidR="009F6502" w:rsidRPr="002077DE">
              <w:rPr>
                <w:rFonts w:asciiTheme="minorBidi" w:hAnsiTheme="minorBidi"/>
                <w:b w:val="0"/>
                <w:bCs w:val="0"/>
                <w:sz w:val="20"/>
                <w:szCs w:val="20"/>
              </w:rPr>
              <w:t xml:space="preserve">10) </w:t>
            </w:r>
            <w:r w:rsidR="009F6502" w:rsidRPr="002077DE">
              <w:rPr>
                <w:rFonts w:asciiTheme="minorBidi" w:hAnsiTheme="minorBidi"/>
                <w:sz w:val="20"/>
                <w:szCs w:val="20"/>
              </w:rPr>
              <w:t>*</w:t>
            </w:r>
          </w:p>
        </w:tc>
        <w:tc>
          <w:tcPr>
            <w:tcW w:w="0" w:type="auto"/>
            <w:hideMark/>
          </w:tcPr>
          <w:p w14:paraId="63211EA5" w14:textId="77777777" w:rsidR="00D94F9C" w:rsidRPr="002077DE" w:rsidRDefault="00D94F9C" w:rsidP="00D94F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1.8 ± 1.4</w:t>
            </w:r>
          </w:p>
        </w:tc>
        <w:tc>
          <w:tcPr>
            <w:tcW w:w="1836" w:type="dxa"/>
            <w:hideMark/>
          </w:tcPr>
          <w:p w14:paraId="08A18ACB" w14:textId="77777777" w:rsidR="00D94F9C" w:rsidRPr="002077DE" w:rsidRDefault="00D94F9C" w:rsidP="00D94F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0.02</w:t>
            </w:r>
          </w:p>
        </w:tc>
      </w:tr>
    </w:tbl>
    <w:p w14:paraId="0F568EAB" w14:textId="77777777" w:rsidR="009B043C" w:rsidRDefault="009B043C" w:rsidP="00AE0A38">
      <w:pPr>
        <w:pStyle w:val="Caption"/>
        <w:keepNext/>
        <w:jc w:val="both"/>
        <w:rPr>
          <w:rFonts w:asciiTheme="minorBidi" w:hAnsiTheme="minorBidi"/>
          <w:b/>
          <w:bCs/>
          <w:i w:val="0"/>
          <w:iCs w:val="0"/>
          <w:sz w:val="20"/>
          <w:szCs w:val="20"/>
        </w:rPr>
      </w:pPr>
    </w:p>
    <w:p w14:paraId="6EECE2B1" w14:textId="45F97DA9" w:rsidR="00AE0A38" w:rsidRPr="002077DE" w:rsidRDefault="00AE0A38" w:rsidP="00AE0A38">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7</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GPS &amp; Hormone Therapy Correlation revealed that the lower GPS scores were significantly correlated with increased hormone therapy use (p &lt; 0.001). Patients with GPS ≤2 were 4.1 times more likely to require hormone therapy (95% CI: 2.3–7.2, p &lt; 0.001).</w:t>
      </w:r>
    </w:p>
    <w:tbl>
      <w:tblPr>
        <w:tblStyle w:val="GridTable4-Accent3"/>
        <w:tblW w:w="0" w:type="auto"/>
        <w:jc w:val="center"/>
        <w:tblLook w:val="04A0" w:firstRow="1" w:lastRow="0" w:firstColumn="1" w:lastColumn="0" w:noHBand="0" w:noVBand="1"/>
      </w:tblPr>
      <w:tblGrid>
        <w:gridCol w:w="1928"/>
        <w:gridCol w:w="1704"/>
        <w:gridCol w:w="2818"/>
      </w:tblGrid>
      <w:tr w:rsidR="00AE0A38" w:rsidRPr="002077DE" w14:paraId="19D0242D" w14:textId="77777777" w:rsidTr="00AE0A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65AAFE8" w14:textId="77777777" w:rsidR="00AE0A38" w:rsidRPr="002077DE" w:rsidRDefault="00AE0A38" w:rsidP="00AE0A38">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Hormone Therapy</w:t>
            </w:r>
          </w:p>
        </w:tc>
        <w:tc>
          <w:tcPr>
            <w:tcW w:w="0" w:type="auto"/>
            <w:hideMark/>
          </w:tcPr>
          <w:p w14:paraId="501B2162" w14:textId="77777777" w:rsidR="00AE0A38" w:rsidRPr="002077DE" w:rsidRDefault="00AE0A38" w:rsidP="00AE0A3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GPS ± SD</w:t>
            </w:r>
          </w:p>
        </w:tc>
        <w:tc>
          <w:tcPr>
            <w:tcW w:w="2818" w:type="dxa"/>
            <w:hideMark/>
          </w:tcPr>
          <w:p w14:paraId="3BDC9F18" w14:textId="77777777" w:rsidR="00AE0A38" w:rsidRPr="002077DE" w:rsidRDefault="00AE0A38" w:rsidP="00AE0A3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AE0A38" w:rsidRPr="002077DE" w14:paraId="587963D6" w14:textId="77777777" w:rsidTr="00AE0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089E9F" w14:textId="77777777"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Yes (n = 34)</w:t>
            </w:r>
          </w:p>
        </w:tc>
        <w:tc>
          <w:tcPr>
            <w:tcW w:w="0" w:type="auto"/>
            <w:hideMark/>
          </w:tcPr>
          <w:p w14:paraId="22BA3685"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2.4 ± 1.5</w:t>
            </w:r>
          </w:p>
        </w:tc>
        <w:tc>
          <w:tcPr>
            <w:tcW w:w="2818" w:type="dxa"/>
            <w:hideMark/>
          </w:tcPr>
          <w:p w14:paraId="5CCA505A"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32B3DA43" w14:textId="77777777" w:rsidTr="00AE0A3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F7EC19" w14:textId="77777777"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No (n = 36)</w:t>
            </w:r>
          </w:p>
        </w:tc>
        <w:tc>
          <w:tcPr>
            <w:tcW w:w="0" w:type="auto"/>
            <w:hideMark/>
          </w:tcPr>
          <w:p w14:paraId="19294F61"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3.8 ± 1.2</w:t>
            </w:r>
          </w:p>
        </w:tc>
        <w:tc>
          <w:tcPr>
            <w:tcW w:w="2818" w:type="dxa"/>
            <w:hideMark/>
          </w:tcPr>
          <w:p w14:paraId="60D6FCFA"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1E250BC1" w14:textId="77777777" w:rsidR="00AE0A38" w:rsidRPr="002077DE" w:rsidRDefault="00AE0A38" w:rsidP="00AE0A38">
      <w:pPr>
        <w:jc w:val="center"/>
        <w:rPr>
          <w:rFonts w:asciiTheme="minorBidi" w:hAnsiTheme="minorBidi"/>
          <w:sz w:val="20"/>
          <w:szCs w:val="20"/>
        </w:rPr>
      </w:pPr>
    </w:p>
    <w:p w14:paraId="10C35ED2" w14:textId="77777777" w:rsidR="009E45D2" w:rsidRPr="002077DE" w:rsidRDefault="009E45D2" w:rsidP="00AE0A38">
      <w:pPr>
        <w:jc w:val="center"/>
        <w:rPr>
          <w:rFonts w:asciiTheme="minorBidi" w:hAnsiTheme="minorBidi"/>
          <w:sz w:val="20"/>
          <w:szCs w:val="20"/>
        </w:rPr>
      </w:pPr>
    </w:p>
    <w:p w14:paraId="2F04701F" w14:textId="5D387080" w:rsidR="00061A55" w:rsidRPr="002077DE" w:rsidRDefault="00061A55" w:rsidP="00061A55">
      <w:pPr>
        <w:jc w:val="both"/>
        <w:rPr>
          <w:rFonts w:asciiTheme="minorBidi" w:hAnsiTheme="minorBidi"/>
          <w:sz w:val="20"/>
          <w:szCs w:val="20"/>
        </w:rPr>
      </w:pPr>
      <w:r w:rsidRPr="002077DE">
        <w:rPr>
          <w:rFonts w:asciiTheme="minorBidi" w:hAnsiTheme="minorBidi"/>
          <w:sz w:val="20"/>
          <w:szCs w:val="20"/>
        </w:rPr>
        <w:t xml:space="preserve">The mean KCS was 4.7 ± 2.6, reflecting variability in chromosomal patterns across the cohort. 46, XY individuals scored the highest, aligning with a fully male chromosomal complement. 45, X/46, XY, and </w:t>
      </w:r>
      <w:proofErr w:type="spellStart"/>
      <w:r w:rsidRPr="002077DE">
        <w:rPr>
          <w:rFonts w:asciiTheme="minorBidi" w:hAnsiTheme="minorBidi"/>
          <w:sz w:val="20"/>
          <w:szCs w:val="20"/>
        </w:rPr>
        <w:t>ovotesticular</w:t>
      </w:r>
      <w:proofErr w:type="spellEnd"/>
      <w:r w:rsidRPr="002077DE">
        <w:rPr>
          <w:rFonts w:asciiTheme="minorBidi" w:hAnsiTheme="minorBidi"/>
          <w:sz w:val="20"/>
          <w:szCs w:val="20"/>
        </w:rPr>
        <w:t xml:space="preserve"> DSD had intermediate scores, reflecting mosaic patterns with variable gonadal differentiation. KCS was significantly correlated with gonadal function (r = 0.71, p &lt; 0.001) and surgical intervention (p &lt; 0.001).</w:t>
      </w:r>
    </w:p>
    <w:p w14:paraId="1453E9B8" w14:textId="77777777" w:rsidR="00061A55" w:rsidRPr="002077DE" w:rsidRDefault="00061A55" w:rsidP="00061A55">
      <w:pPr>
        <w:jc w:val="both"/>
        <w:rPr>
          <w:rFonts w:asciiTheme="minorBidi" w:hAnsiTheme="minorBidi"/>
          <w:sz w:val="20"/>
          <w:szCs w:val="20"/>
        </w:rPr>
      </w:pPr>
    </w:p>
    <w:p w14:paraId="6B7F6E1C" w14:textId="76A496CC" w:rsidR="00AE0A38" w:rsidRPr="002077DE" w:rsidRDefault="00AE0A38" w:rsidP="00AE0A38">
      <w:pPr>
        <w:pStyle w:val="Caption"/>
        <w:keepNext/>
        <w:jc w:val="both"/>
        <w:rPr>
          <w:rFonts w:asciiTheme="minorBidi" w:hAnsiTheme="minorBidi"/>
          <w:i w:val="0"/>
          <w:iCs w:val="0"/>
          <w:sz w:val="20"/>
          <w:szCs w:val="20"/>
        </w:rPr>
      </w:pPr>
      <w:r w:rsidRPr="002077DE">
        <w:rPr>
          <w:rFonts w:asciiTheme="minorBidi" w:hAnsiTheme="minorBidi"/>
          <w:b/>
          <w:bCs/>
          <w:i w:val="0"/>
          <w:iCs w:val="0"/>
          <w:sz w:val="20"/>
          <w:szCs w:val="20"/>
        </w:rPr>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8</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xml:space="preserve">: KCS by Karyotype, highlighted that mixed gonadal dysgenesis and </w:t>
      </w:r>
      <w:proofErr w:type="spellStart"/>
      <w:r w:rsidRPr="002077DE">
        <w:rPr>
          <w:rFonts w:asciiTheme="minorBidi" w:hAnsiTheme="minorBidi"/>
          <w:b/>
          <w:bCs/>
          <w:i w:val="0"/>
          <w:iCs w:val="0"/>
          <w:sz w:val="20"/>
          <w:szCs w:val="20"/>
        </w:rPr>
        <w:t>ovotesticular</w:t>
      </w:r>
      <w:proofErr w:type="spellEnd"/>
      <w:r w:rsidRPr="002077DE">
        <w:rPr>
          <w:rFonts w:asciiTheme="minorBidi" w:hAnsiTheme="minorBidi"/>
          <w:b/>
          <w:bCs/>
          <w:i w:val="0"/>
          <w:iCs w:val="0"/>
          <w:sz w:val="20"/>
          <w:szCs w:val="20"/>
        </w:rPr>
        <w:t xml:space="preserve"> DSD cases had intermediate scores, reflecting chromosomal mosaicism. *; If patients with mosaic karyotypes (e.g., 45, X/46, XY) were included in the 45, X/46, XY group, and another group, this could artificially inflate the numbers. **; Some patients might have been classified under more than one karyotype group.  </w:t>
      </w:r>
    </w:p>
    <w:tbl>
      <w:tblPr>
        <w:tblStyle w:val="GridTable4-Accent3"/>
        <w:tblW w:w="0" w:type="auto"/>
        <w:jc w:val="center"/>
        <w:tblLook w:val="04A0" w:firstRow="1" w:lastRow="0" w:firstColumn="1" w:lastColumn="0" w:noHBand="0" w:noVBand="1"/>
      </w:tblPr>
      <w:tblGrid>
        <w:gridCol w:w="3535"/>
        <w:gridCol w:w="1704"/>
        <w:gridCol w:w="1595"/>
      </w:tblGrid>
      <w:tr w:rsidR="00AE0A38" w:rsidRPr="002077DE" w14:paraId="53D3C352" w14:textId="77777777" w:rsidTr="00AE0A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A7852D" w14:textId="77777777" w:rsidR="00AE0A38" w:rsidRPr="002077DE" w:rsidRDefault="00AE0A38" w:rsidP="00AE0A38">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Karyotype</w:t>
            </w:r>
          </w:p>
        </w:tc>
        <w:tc>
          <w:tcPr>
            <w:tcW w:w="0" w:type="auto"/>
            <w:hideMark/>
          </w:tcPr>
          <w:p w14:paraId="3CACDA47" w14:textId="77777777" w:rsidR="00AE0A38" w:rsidRPr="002077DE" w:rsidRDefault="00AE0A38" w:rsidP="00AE0A3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KCS ± SD</w:t>
            </w:r>
          </w:p>
        </w:tc>
        <w:tc>
          <w:tcPr>
            <w:tcW w:w="1595" w:type="dxa"/>
            <w:hideMark/>
          </w:tcPr>
          <w:p w14:paraId="4E3EA1D8" w14:textId="77777777" w:rsidR="00AE0A38" w:rsidRPr="002077DE" w:rsidRDefault="00AE0A38" w:rsidP="00AE0A3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AE0A38" w:rsidRPr="002077DE" w14:paraId="4EFB6F32" w14:textId="77777777" w:rsidTr="00AE0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F8F12F" w14:textId="460D1AEE"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XY (n = 40)</w:t>
            </w:r>
          </w:p>
        </w:tc>
        <w:tc>
          <w:tcPr>
            <w:tcW w:w="0" w:type="auto"/>
            <w:hideMark/>
          </w:tcPr>
          <w:p w14:paraId="52499474"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8.0 ± 0.6</w:t>
            </w:r>
          </w:p>
        </w:tc>
        <w:tc>
          <w:tcPr>
            <w:tcW w:w="1595" w:type="dxa"/>
            <w:hideMark/>
          </w:tcPr>
          <w:p w14:paraId="6BD1140F"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3315EFC9" w14:textId="77777777" w:rsidTr="00AE0A3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E5B2CC" w14:textId="0CE80B68"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XX (n = 30)</w:t>
            </w:r>
          </w:p>
        </w:tc>
        <w:tc>
          <w:tcPr>
            <w:tcW w:w="0" w:type="auto"/>
            <w:hideMark/>
          </w:tcPr>
          <w:p w14:paraId="6D090995"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 ± 0.0</w:t>
            </w:r>
          </w:p>
        </w:tc>
        <w:tc>
          <w:tcPr>
            <w:tcW w:w="1595" w:type="dxa"/>
            <w:hideMark/>
          </w:tcPr>
          <w:p w14:paraId="0EC1924B"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710E7ACD" w14:textId="77777777" w:rsidTr="00AE0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B9CAFC2" w14:textId="4E837C0F"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 xml:space="preserve">Mixed Gonadal Dysgenesis (n = 10) </w:t>
            </w:r>
            <w:r w:rsidRPr="002077DE">
              <w:rPr>
                <w:rFonts w:asciiTheme="minorBidi" w:hAnsiTheme="minorBidi"/>
                <w:sz w:val="20"/>
                <w:szCs w:val="20"/>
              </w:rPr>
              <w:t>*</w:t>
            </w:r>
          </w:p>
        </w:tc>
        <w:tc>
          <w:tcPr>
            <w:tcW w:w="0" w:type="auto"/>
            <w:hideMark/>
          </w:tcPr>
          <w:p w14:paraId="750F9917"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4.1 ± 1.5</w:t>
            </w:r>
          </w:p>
        </w:tc>
        <w:tc>
          <w:tcPr>
            <w:tcW w:w="1595" w:type="dxa"/>
            <w:hideMark/>
          </w:tcPr>
          <w:p w14:paraId="7270EBAF"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075950D0" w14:textId="77777777" w:rsidTr="00AE0A3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8A0FC5" w14:textId="7B4AC5A9" w:rsidR="00AE0A38" w:rsidRPr="002077DE" w:rsidRDefault="00AE0A38" w:rsidP="00AE0A38">
            <w:pPr>
              <w:spacing w:after="160" w:line="259" w:lineRule="auto"/>
              <w:jc w:val="center"/>
              <w:rPr>
                <w:rFonts w:asciiTheme="minorBidi" w:hAnsiTheme="minorBidi"/>
                <w:b w:val="0"/>
                <w:bCs w:val="0"/>
                <w:sz w:val="20"/>
                <w:szCs w:val="20"/>
              </w:rPr>
            </w:pPr>
            <w:proofErr w:type="spellStart"/>
            <w:r w:rsidRPr="002077DE">
              <w:rPr>
                <w:rFonts w:asciiTheme="minorBidi" w:hAnsiTheme="minorBidi"/>
                <w:b w:val="0"/>
                <w:bCs w:val="0"/>
                <w:sz w:val="20"/>
                <w:szCs w:val="20"/>
              </w:rPr>
              <w:t>Ovotesticular</w:t>
            </w:r>
            <w:proofErr w:type="spellEnd"/>
            <w:r w:rsidRPr="002077DE">
              <w:rPr>
                <w:rFonts w:asciiTheme="minorBidi" w:hAnsiTheme="minorBidi"/>
                <w:b w:val="0"/>
                <w:bCs w:val="0"/>
                <w:sz w:val="20"/>
                <w:szCs w:val="20"/>
              </w:rPr>
              <w:t xml:space="preserve"> DSD (n = 8) </w:t>
            </w:r>
            <w:r w:rsidRPr="002077DE">
              <w:rPr>
                <w:rFonts w:asciiTheme="minorBidi" w:hAnsiTheme="minorBidi"/>
                <w:sz w:val="20"/>
                <w:szCs w:val="20"/>
              </w:rPr>
              <w:t>**</w:t>
            </w:r>
          </w:p>
        </w:tc>
        <w:tc>
          <w:tcPr>
            <w:tcW w:w="0" w:type="auto"/>
            <w:hideMark/>
          </w:tcPr>
          <w:p w14:paraId="728BD7CC"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3.5 ± 1.2</w:t>
            </w:r>
          </w:p>
        </w:tc>
        <w:tc>
          <w:tcPr>
            <w:tcW w:w="1595" w:type="dxa"/>
            <w:hideMark/>
          </w:tcPr>
          <w:p w14:paraId="79E2A823"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78C00755" w14:textId="14DBB511" w:rsidR="003C2746" w:rsidRPr="002077DE" w:rsidRDefault="003C2746" w:rsidP="003C2746">
      <w:pPr>
        <w:jc w:val="both"/>
        <w:rPr>
          <w:rFonts w:asciiTheme="minorBidi" w:hAnsiTheme="minorBidi"/>
          <w:sz w:val="20"/>
          <w:szCs w:val="20"/>
        </w:rPr>
      </w:pPr>
    </w:p>
    <w:p w14:paraId="3C25FEDD" w14:textId="08716EFC" w:rsidR="009E45D2" w:rsidRPr="002077DE" w:rsidRDefault="009E45D2" w:rsidP="009E45D2">
      <w:pPr>
        <w:pStyle w:val="Caption"/>
        <w:keepNext/>
        <w:jc w:val="both"/>
        <w:rPr>
          <w:rFonts w:asciiTheme="minorBidi" w:hAnsiTheme="minorBidi"/>
          <w:sz w:val="20"/>
          <w:szCs w:val="20"/>
        </w:rPr>
      </w:pPr>
      <w:r w:rsidRPr="002077DE">
        <w:rPr>
          <w:rFonts w:asciiTheme="minorBidi" w:hAnsiTheme="minorBidi"/>
          <w:b/>
          <w:bCs/>
          <w:i w:val="0"/>
          <w:iCs w:val="0"/>
          <w:sz w:val="20"/>
          <w:szCs w:val="20"/>
        </w:rPr>
        <w:lastRenderedPageBreak/>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9</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KCS &amp; Gonadal Function Correlation, highlighted that higher KCS scores correlated with better gonadal function (r = 0.71, p &lt; 0.001).</w:t>
      </w:r>
    </w:p>
    <w:tbl>
      <w:tblPr>
        <w:tblStyle w:val="GridTable4-Accent3"/>
        <w:tblW w:w="0" w:type="auto"/>
        <w:jc w:val="center"/>
        <w:tblLook w:val="04A0" w:firstRow="1" w:lastRow="0" w:firstColumn="1" w:lastColumn="0" w:noHBand="0" w:noVBand="1"/>
      </w:tblPr>
      <w:tblGrid>
        <w:gridCol w:w="2028"/>
        <w:gridCol w:w="1704"/>
        <w:gridCol w:w="2801"/>
      </w:tblGrid>
      <w:tr w:rsidR="00AE0A38" w:rsidRPr="002077DE" w14:paraId="3D2E4526" w14:textId="77777777" w:rsidTr="009E45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FFA82E" w14:textId="77777777" w:rsidR="00AE0A38" w:rsidRPr="002077DE" w:rsidRDefault="00AE0A38" w:rsidP="009E45D2">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Functional Gonads</w:t>
            </w:r>
          </w:p>
        </w:tc>
        <w:tc>
          <w:tcPr>
            <w:tcW w:w="0" w:type="auto"/>
            <w:hideMark/>
          </w:tcPr>
          <w:p w14:paraId="0DE3DAA2" w14:textId="77777777" w:rsidR="00AE0A38" w:rsidRPr="002077DE" w:rsidRDefault="00AE0A38" w:rsidP="009E45D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KCS ± SD</w:t>
            </w:r>
          </w:p>
        </w:tc>
        <w:tc>
          <w:tcPr>
            <w:tcW w:w="2801" w:type="dxa"/>
            <w:hideMark/>
          </w:tcPr>
          <w:p w14:paraId="79473E4F" w14:textId="77777777" w:rsidR="00AE0A38" w:rsidRPr="002077DE" w:rsidRDefault="00AE0A38" w:rsidP="009E45D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AE0A38" w:rsidRPr="002077DE" w14:paraId="445D08B9" w14:textId="77777777" w:rsidTr="009E45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1FA4BD" w14:textId="77777777" w:rsidR="00AE0A38" w:rsidRPr="002077DE" w:rsidRDefault="00AE0A38" w:rsidP="009E45D2">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Yes (n = 38)</w:t>
            </w:r>
          </w:p>
        </w:tc>
        <w:tc>
          <w:tcPr>
            <w:tcW w:w="0" w:type="auto"/>
            <w:hideMark/>
          </w:tcPr>
          <w:p w14:paraId="5FFFA9A5" w14:textId="77777777" w:rsidR="00AE0A38" w:rsidRPr="002077DE" w:rsidRDefault="00AE0A38" w:rsidP="009E45D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6.4 ± 1.2</w:t>
            </w:r>
          </w:p>
        </w:tc>
        <w:tc>
          <w:tcPr>
            <w:tcW w:w="2801" w:type="dxa"/>
            <w:hideMark/>
          </w:tcPr>
          <w:p w14:paraId="6E1C079D" w14:textId="77777777" w:rsidR="00AE0A38" w:rsidRPr="002077DE" w:rsidRDefault="00AE0A38" w:rsidP="009E45D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36FBE5A3" w14:textId="77777777" w:rsidTr="009E45D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0247042" w14:textId="77777777" w:rsidR="00AE0A38" w:rsidRPr="002077DE" w:rsidRDefault="00AE0A38" w:rsidP="009E45D2">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No (n = 32)</w:t>
            </w:r>
          </w:p>
        </w:tc>
        <w:tc>
          <w:tcPr>
            <w:tcW w:w="0" w:type="auto"/>
            <w:hideMark/>
          </w:tcPr>
          <w:p w14:paraId="50F35FA7" w14:textId="77777777" w:rsidR="00AE0A38" w:rsidRPr="002077DE" w:rsidRDefault="00AE0A38" w:rsidP="009E45D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2.9 ± 1.4</w:t>
            </w:r>
          </w:p>
        </w:tc>
        <w:tc>
          <w:tcPr>
            <w:tcW w:w="2801" w:type="dxa"/>
            <w:hideMark/>
          </w:tcPr>
          <w:p w14:paraId="23A9750B" w14:textId="77777777" w:rsidR="00AE0A38" w:rsidRPr="002077DE" w:rsidRDefault="00AE0A38" w:rsidP="009E45D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5AA071A6" w14:textId="77777777" w:rsidR="003C2746" w:rsidRPr="002077DE" w:rsidRDefault="003C2746" w:rsidP="00D932D9">
      <w:pPr>
        <w:jc w:val="both"/>
        <w:rPr>
          <w:rFonts w:asciiTheme="minorBidi" w:hAnsiTheme="minorBidi"/>
          <w:sz w:val="20"/>
          <w:szCs w:val="20"/>
        </w:rPr>
      </w:pPr>
    </w:p>
    <w:p w14:paraId="57379D45" w14:textId="4F34DC65" w:rsidR="00D932D9" w:rsidRPr="002077DE" w:rsidRDefault="00D932D9" w:rsidP="00D932D9">
      <w:pPr>
        <w:jc w:val="both"/>
        <w:rPr>
          <w:rFonts w:asciiTheme="minorBidi" w:hAnsiTheme="minorBidi"/>
          <w:b/>
          <w:bCs/>
          <w:sz w:val="20"/>
          <w:szCs w:val="20"/>
        </w:rPr>
      </w:pPr>
    </w:p>
    <w:p w14:paraId="5D8EF617" w14:textId="360A7BE2" w:rsidR="006F0E45" w:rsidRPr="002077DE" w:rsidRDefault="006F0E45" w:rsidP="006F0E45">
      <w:pPr>
        <w:jc w:val="both"/>
        <w:rPr>
          <w:rFonts w:asciiTheme="minorBidi" w:hAnsiTheme="minorBidi"/>
          <w:b/>
          <w:bCs/>
          <w:sz w:val="20"/>
          <w:szCs w:val="20"/>
        </w:rPr>
      </w:pPr>
      <w:r w:rsidRPr="002077DE">
        <w:rPr>
          <w:rFonts w:asciiTheme="minorBidi" w:hAnsiTheme="minorBidi"/>
          <w:sz w:val="20"/>
          <w:szCs w:val="20"/>
        </w:rPr>
        <w:t>The mean Comprehensive DSD Classification Score (CDCS) for the cohort was 14.3 ± 5.8, with a statistically significant difference between 46, XY, and 46, XX patients (p &lt; 0.01), demonstrating clear sex-based disparities in phenotypic presentation and clinical severity</w:t>
      </w:r>
      <w:r w:rsidR="00E66E17" w:rsidRPr="002077DE">
        <w:rPr>
          <w:rFonts w:asciiTheme="minorBidi" w:hAnsiTheme="minorBidi"/>
          <w:sz w:val="20"/>
          <w:szCs w:val="20"/>
        </w:rPr>
        <w:t xml:space="preserve"> </w:t>
      </w:r>
      <w:r w:rsidR="007824DB" w:rsidRPr="002077DE">
        <w:rPr>
          <w:rFonts w:asciiTheme="minorBidi" w:hAnsiTheme="minorBidi"/>
          <w:b/>
          <w:bCs/>
          <w:sz w:val="20"/>
          <w:szCs w:val="20"/>
        </w:rPr>
        <w:t>(</w:t>
      </w:r>
      <w:r w:rsidR="00E66E17" w:rsidRPr="002077DE">
        <w:rPr>
          <w:rFonts w:asciiTheme="minorBidi" w:hAnsiTheme="minorBidi"/>
          <w:b/>
          <w:bCs/>
          <w:sz w:val="20"/>
          <w:szCs w:val="20"/>
        </w:rPr>
        <w:t>Table 1</w:t>
      </w:r>
      <w:r w:rsidR="007824DB" w:rsidRPr="002077DE">
        <w:rPr>
          <w:rFonts w:asciiTheme="minorBidi" w:hAnsiTheme="minorBidi"/>
          <w:b/>
          <w:bCs/>
          <w:sz w:val="20"/>
          <w:szCs w:val="20"/>
        </w:rPr>
        <w:t>0)</w:t>
      </w:r>
      <w:r w:rsidRPr="002077DE">
        <w:rPr>
          <w:rFonts w:asciiTheme="minorBidi" w:hAnsiTheme="minorBidi"/>
          <w:b/>
          <w:bCs/>
          <w:sz w:val="20"/>
          <w:szCs w:val="20"/>
        </w:rPr>
        <w:t>.</w:t>
      </w:r>
    </w:p>
    <w:p w14:paraId="3DE9D90D" w14:textId="38571041" w:rsidR="00E66E17" w:rsidRPr="002077DE" w:rsidRDefault="00E66E17" w:rsidP="00E66E17">
      <w:pPr>
        <w:pStyle w:val="Caption"/>
        <w:keepNext/>
        <w:jc w:val="both"/>
        <w:rPr>
          <w:rFonts w:asciiTheme="minorBidi" w:hAnsiTheme="minorBidi"/>
          <w:color w:val="auto"/>
          <w:sz w:val="20"/>
          <w:szCs w:val="20"/>
        </w:rPr>
      </w:pPr>
      <w:r w:rsidRPr="002077DE">
        <w:rPr>
          <w:rFonts w:asciiTheme="minorBidi" w:hAnsiTheme="minorBidi"/>
          <w:b/>
          <w:bCs/>
          <w:i w:val="0"/>
          <w:iCs w:val="0"/>
          <w:color w:val="auto"/>
          <w:sz w:val="20"/>
          <w:szCs w:val="20"/>
        </w:rPr>
        <w:t xml:space="preserve">Table </w:t>
      </w:r>
      <w:r w:rsidRPr="002077DE">
        <w:rPr>
          <w:rFonts w:asciiTheme="minorBidi" w:hAnsiTheme="minorBidi"/>
          <w:b/>
          <w:bCs/>
          <w:i w:val="0"/>
          <w:iCs w:val="0"/>
          <w:color w:val="auto"/>
          <w:sz w:val="20"/>
          <w:szCs w:val="20"/>
        </w:rPr>
        <w:fldChar w:fldCharType="begin"/>
      </w:r>
      <w:r w:rsidRPr="002077DE">
        <w:rPr>
          <w:rFonts w:asciiTheme="minorBidi" w:hAnsiTheme="minorBidi"/>
          <w:b/>
          <w:bCs/>
          <w:i w:val="0"/>
          <w:iCs w:val="0"/>
          <w:color w:val="auto"/>
          <w:sz w:val="20"/>
          <w:szCs w:val="20"/>
        </w:rPr>
        <w:instrText xml:space="preserve"> SEQ Table \* ARABIC </w:instrText>
      </w:r>
      <w:r w:rsidRPr="002077DE">
        <w:rPr>
          <w:rFonts w:asciiTheme="minorBidi" w:hAnsiTheme="minorBidi"/>
          <w:b/>
          <w:bCs/>
          <w:i w:val="0"/>
          <w:iCs w:val="0"/>
          <w:color w:val="auto"/>
          <w:sz w:val="20"/>
          <w:szCs w:val="20"/>
        </w:rPr>
        <w:fldChar w:fldCharType="separate"/>
      </w:r>
      <w:r w:rsidR="003F6C67" w:rsidRPr="002077DE">
        <w:rPr>
          <w:rFonts w:asciiTheme="minorBidi" w:hAnsiTheme="minorBidi"/>
          <w:b/>
          <w:bCs/>
          <w:i w:val="0"/>
          <w:iCs w:val="0"/>
          <w:noProof/>
          <w:color w:val="auto"/>
          <w:sz w:val="20"/>
          <w:szCs w:val="20"/>
        </w:rPr>
        <w:t>10</w:t>
      </w:r>
      <w:r w:rsidRPr="002077DE">
        <w:rPr>
          <w:rFonts w:asciiTheme="minorBidi" w:hAnsiTheme="minorBidi"/>
          <w:b/>
          <w:bCs/>
          <w:i w:val="0"/>
          <w:iCs w:val="0"/>
          <w:color w:val="auto"/>
          <w:sz w:val="20"/>
          <w:szCs w:val="20"/>
        </w:rPr>
        <w:fldChar w:fldCharType="end"/>
      </w:r>
      <w:r w:rsidRPr="002077DE">
        <w:rPr>
          <w:rFonts w:asciiTheme="minorBidi" w:hAnsiTheme="minorBidi"/>
          <w:b/>
          <w:bCs/>
          <w:i w:val="0"/>
          <w:iCs w:val="0"/>
          <w:color w:val="auto"/>
          <w:sz w:val="20"/>
          <w:szCs w:val="20"/>
        </w:rPr>
        <w:t>:</w:t>
      </w:r>
      <w:r w:rsidRPr="002077DE">
        <w:rPr>
          <w:rFonts w:asciiTheme="minorBidi" w:hAnsiTheme="minorBidi"/>
          <w:i w:val="0"/>
          <w:iCs w:val="0"/>
          <w:color w:val="auto"/>
          <w:sz w:val="20"/>
          <w:szCs w:val="20"/>
        </w:rPr>
        <w:t xml:space="preserve"> 46, XY individuals exhibited significantly higher CDCS scores, consistent with greater external masculinization and a higher likelihood of requiring surgical or hormonal intervention. 46, XX individuals scored lower, predominantly due to less external genital ambiguity and milder clinical presentations.</w:t>
      </w:r>
    </w:p>
    <w:tbl>
      <w:tblPr>
        <w:tblStyle w:val="GridTable4-Accent3"/>
        <w:tblW w:w="0" w:type="auto"/>
        <w:jc w:val="center"/>
        <w:tblLook w:val="04A0" w:firstRow="1" w:lastRow="0" w:firstColumn="1" w:lastColumn="0" w:noHBand="0" w:noVBand="1"/>
      </w:tblPr>
      <w:tblGrid>
        <w:gridCol w:w="1295"/>
        <w:gridCol w:w="3160"/>
        <w:gridCol w:w="2357"/>
      </w:tblGrid>
      <w:tr w:rsidR="006F0E45" w:rsidRPr="002077DE" w14:paraId="46725C2E" w14:textId="77777777" w:rsidTr="00A948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83B522" w14:textId="77777777" w:rsidR="006F0E45" w:rsidRPr="002077DE" w:rsidRDefault="006F0E45" w:rsidP="00A948C4">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Karyotype</w:t>
            </w:r>
          </w:p>
        </w:tc>
        <w:tc>
          <w:tcPr>
            <w:tcW w:w="0" w:type="auto"/>
            <w:hideMark/>
          </w:tcPr>
          <w:p w14:paraId="67C8BEF4" w14:textId="77777777" w:rsidR="006F0E45" w:rsidRPr="002077DE" w:rsidRDefault="006F0E45" w:rsidP="00A948C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CDCS Score (Mean ± SD)</w:t>
            </w:r>
          </w:p>
        </w:tc>
        <w:tc>
          <w:tcPr>
            <w:tcW w:w="2357" w:type="dxa"/>
            <w:hideMark/>
          </w:tcPr>
          <w:p w14:paraId="1B527C2C" w14:textId="77777777" w:rsidR="006F0E45" w:rsidRPr="002077DE" w:rsidRDefault="006F0E45" w:rsidP="00A948C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6F0E45" w:rsidRPr="002077DE" w14:paraId="00333049" w14:textId="77777777" w:rsidTr="00A948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473365" w14:textId="68E85A7A" w:rsidR="006F0E45" w:rsidRPr="002077DE" w:rsidRDefault="00CE0168" w:rsidP="00A948C4">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XY</w:t>
            </w:r>
            <w:r w:rsidR="006F0E45" w:rsidRPr="002077DE">
              <w:rPr>
                <w:rFonts w:asciiTheme="minorBidi" w:hAnsiTheme="minorBidi"/>
                <w:b w:val="0"/>
                <w:bCs w:val="0"/>
                <w:sz w:val="20"/>
                <w:szCs w:val="20"/>
              </w:rPr>
              <w:t xml:space="preserve"> DSD</w:t>
            </w:r>
          </w:p>
        </w:tc>
        <w:tc>
          <w:tcPr>
            <w:tcW w:w="0" w:type="auto"/>
            <w:hideMark/>
          </w:tcPr>
          <w:p w14:paraId="428B65A2" w14:textId="77777777" w:rsidR="006F0E45" w:rsidRPr="002077DE" w:rsidRDefault="006F0E45" w:rsidP="00A948C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18.2 ± 4.6</w:t>
            </w:r>
          </w:p>
        </w:tc>
        <w:tc>
          <w:tcPr>
            <w:tcW w:w="2357" w:type="dxa"/>
            <w:hideMark/>
          </w:tcPr>
          <w:p w14:paraId="78C6DDAD" w14:textId="77777777" w:rsidR="006F0E45" w:rsidRPr="002077DE" w:rsidRDefault="006F0E45" w:rsidP="00A948C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&lt;0.01</w:t>
            </w:r>
          </w:p>
        </w:tc>
      </w:tr>
      <w:tr w:rsidR="006F0E45" w:rsidRPr="002077DE" w14:paraId="6F626A79" w14:textId="77777777" w:rsidTr="00A948C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D00C81" w14:textId="0AD92939" w:rsidR="006F0E45" w:rsidRPr="002077DE" w:rsidRDefault="00CE0168" w:rsidP="00A948C4">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XX</w:t>
            </w:r>
            <w:r w:rsidR="006F0E45" w:rsidRPr="002077DE">
              <w:rPr>
                <w:rFonts w:asciiTheme="minorBidi" w:hAnsiTheme="minorBidi"/>
                <w:b w:val="0"/>
                <w:bCs w:val="0"/>
                <w:sz w:val="20"/>
                <w:szCs w:val="20"/>
              </w:rPr>
              <w:t xml:space="preserve"> DSD</w:t>
            </w:r>
          </w:p>
        </w:tc>
        <w:tc>
          <w:tcPr>
            <w:tcW w:w="0" w:type="auto"/>
            <w:hideMark/>
          </w:tcPr>
          <w:p w14:paraId="367C7C3E" w14:textId="77777777" w:rsidR="006F0E45" w:rsidRPr="002077DE" w:rsidRDefault="006F0E45" w:rsidP="00A948C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9.7 ± 5.1</w:t>
            </w:r>
          </w:p>
        </w:tc>
        <w:tc>
          <w:tcPr>
            <w:tcW w:w="2357" w:type="dxa"/>
            <w:hideMark/>
          </w:tcPr>
          <w:p w14:paraId="60B73468" w14:textId="77777777" w:rsidR="006F0E45" w:rsidRPr="002077DE" w:rsidRDefault="006F0E45" w:rsidP="00A948C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&lt;0.01</w:t>
            </w:r>
          </w:p>
        </w:tc>
      </w:tr>
    </w:tbl>
    <w:p w14:paraId="4C0BCDAE" w14:textId="77777777" w:rsidR="00E66E17" w:rsidRPr="002077DE" w:rsidRDefault="00E66E17" w:rsidP="006F0E45">
      <w:pPr>
        <w:jc w:val="both"/>
        <w:rPr>
          <w:rFonts w:asciiTheme="minorBidi" w:hAnsiTheme="minorBidi"/>
          <w:b/>
          <w:bCs/>
          <w:sz w:val="20"/>
          <w:szCs w:val="20"/>
        </w:rPr>
      </w:pPr>
    </w:p>
    <w:p w14:paraId="2B0029DF" w14:textId="2091E116" w:rsidR="006F0E45" w:rsidRPr="002077DE" w:rsidRDefault="006F0E45" w:rsidP="00A948C4">
      <w:pPr>
        <w:jc w:val="both"/>
        <w:rPr>
          <w:rFonts w:asciiTheme="minorBidi" w:hAnsiTheme="minorBidi"/>
          <w:sz w:val="20"/>
          <w:szCs w:val="20"/>
        </w:rPr>
      </w:pPr>
      <w:r w:rsidRPr="002077DE">
        <w:rPr>
          <w:rFonts w:asciiTheme="minorBidi" w:hAnsiTheme="minorBidi"/>
          <w:sz w:val="20"/>
          <w:szCs w:val="20"/>
        </w:rPr>
        <w:t>CDCS Score Distribution by Sex</w:t>
      </w:r>
      <w:r w:rsidR="00E66E17" w:rsidRPr="002077DE">
        <w:rPr>
          <w:rFonts w:asciiTheme="minorBidi" w:hAnsiTheme="minorBidi"/>
          <w:sz w:val="20"/>
          <w:szCs w:val="20"/>
        </w:rPr>
        <w:t xml:space="preserve">: </w:t>
      </w:r>
      <w:r w:rsidRPr="002077DE">
        <w:rPr>
          <w:rFonts w:asciiTheme="minorBidi" w:hAnsiTheme="minorBidi"/>
          <w:sz w:val="20"/>
          <w:szCs w:val="20"/>
        </w:rPr>
        <w:t>A one-way ANOVA confirmed that CDCS varied significantly among different karyotypic groups (F = 12.84, p &lt; 0.001).</w:t>
      </w:r>
      <w:r w:rsidR="00E66E17" w:rsidRPr="002077DE">
        <w:rPr>
          <w:rFonts w:asciiTheme="minorBidi" w:hAnsiTheme="minorBidi"/>
          <w:sz w:val="20"/>
          <w:szCs w:val="20"/>
        </w:rPr>
        <w:t xml:space="preserve"> </w:t>
      </w:r>
      <w:r w:rsidRPr="002077DE">
        <w:rPr>
          <w:rFonts w:asciiTheme="minorBidi" w:hAnsiTheme="minorBidi"/>
          <w:sz w:val="20"/>
          <w:szCs w:val="20"/>
        </w:rPr>
        <w:t>Post-hoc Bonferroni analysis showed significant differences between 46,</w:t>
      </w:r>
      <w:r w:rsidR="00E66E17" w:rsidRPr="002077DE">
        <w:rPr>
          <w:rFonts w:asciiTheme="minorBidi" w:hAnsiTheme="minorBidi"/>
          <w:sz w:val="20"/>
          <w:szCs w:val="20"/>
        </w:rPr>
        <w:t xml:space="preserve"> </w:t>
      </w:r>
      <w:r w:rsidRPr="002077DE">
        <w:rPr>
          <w:rFonts w:asciiTheme="minorBidi" w:hAnsiTheme="minorBidi"/>
          <w:sz w:val="20"/>
          <w:szCs w:val="20"/>
        </w:rPr>
        <w:t>XY DSD vs. 46,</w:t>
      </w:r>
      <w:r w:rsidR="00E66E17" w:rsidRPr="002077DE">
        <w:rPr>
          <w:rFonts w:asciiTheme="minorBidi" w:hAnsiTheme="minorBidi"/>
          <w:sz w:val="20"/>
          <w:szCs w:val="20"/>
        </w:rPr>
        <w:t xml:space="preserve"> </w:t>
      </w:r>
      <w:r w:rsidRPr="002077DE">
        <w:rPr>
          <w:rFonts w:asciiTheme="minorBidi" w:hAnsiTheme="minorBidi"/>
          <w:sz w:val="20"/>
          <w:szCs w:val="20"/>
        </w:rPr>
        <w:t>XX DSD (p &lt; 0.001) but not within subgroups of the same karyotype.</w:t>
      </w:r>
      <w:r w:rsidR="00A948C4" w:rsidRPr="002077DE">
        <w:rPr>
          <w:rFonts w:asciiTheme="minorBidi" w:hAnsiTheme="minorBidi"/>
          <w:sz w:val="20"/>
          <w:szCs w:val="20"/>
        </w:rPr>
        <w:t xml:space="preserve"> </w:t>
      </w:r>
      <w:r w:rsidR="009E45D2" w:rsidRPr="002077DE">
        <w:rPr>
          <w:rFonts w:asciiTheme="minorBidi" w:hAnsiTheme="minorBidi"/>
          <w:sz w:val="20"/>
          <w:szCs w:val="20"/>
        </w:rPr>
        <w:t xml:space="preserve">Based on the cohort </w:t>
      </w:r>
      <w:r w:rsidR="00A948C4" w:rsidRPr="002077DE">
        <w:rPr>
          <w:rFonts w:asciiTheme="minorBidi" w:hAnsiTheme="minorBidi"/>
          <w:sz w:val="20"/>
          <w:szCs w:val="20"/>
        </w:rPr>
        <w:t xml:space="preserve">study, </w:t>
      </w:r>
      <w:r w:rsidR="009E45D2" w:rsidRPr="002077DE">
        <w:rPr>
          <w:rFonts w:asciiTheme="minorBidi" w:hAnsiTheme="minorBidi"/>
          <w:sz w:val="20"/>
          <w:szCs w:val="20"/>
        </w:rPr>
        <w:t xml:space="preserve">the estimated </w:t>
      </w:r>
      <w:r w:rsidR="00A948C4" w:rsidRPr="002077DE">
        <w:rPr>
          <w:rFonts w:asciiTheme="minorBidi" w:hAnsiTheme="minorBidi"/>
          <w:sz w:val="20"/>
          <w:szCs w:val="20"/>
        </w:rPr>
        <w:t>m</w:t>
      </w:r>
      <w:r w:rsidR="009E45D2" w:rsidRPr="002077DE">
        <w:rPr>
          <w:rFonts w:asciiTheme="minorBidi" w:hAnsiTheme="minorBidi"/>
          <w:sz w:val="20"/>
          <w:szCs w:val="20"/>
        </w:rPr>
        <w:t xml:space="preserve">ean CDCS Score for </w:t>
      </w:r>
      <w:r w:rsidR="00A948C4" w:rsidRPr="002077DE">
        <w:rPr>
          <w:rFonts w:asciiTheme="minorBidi" w:hAnsiTheme="minorBidi"/>
          <w:sz w:val="20"/>
          <w:szCs w:val="20"/>
        </w:rPr>
        <w:t>45, X</w:t>
      </w:r>
      <w:r w:rsidR="009E45D2" w:rsidRPr="002077DE">
        <w:rPr>
          <w:rFonts w:asciiTheme="minorBidi" w:hAnsiTheme="minorBidi"/>
          <w:sz w:val="20"/>
          <w:szCs w:val="20"/>
        </w:rPr>
        <w:t>/46,</w:t>
      </w:r>
      <w:r w:rsidR="00A948C4" w:rsidRPr="002077DE">
        <w:rPr>
          <w:rFonts w:asciiTheme="minorBidi" w:hAnsiTheme="minorBidi"/>
          <w:sz w:val="20"/>
          <w:szCs w:val="20"/>
        </w:rPr>
        <w:t xml:space="preserve"> </w:t>
      </w:r>
      <w:r w:rsidR="009E45D2" w:rsidRPr="002077DE">
        <w:rPr>
          <w:rFonts w:asciiTheme="minorBidi" w:hAnsiTheme="minorBidi"/>
          <w:sz w:val="20"/>
          <w:szCs w:val="20"/>
        </w:rPr>
        <w:t>XY (Mixed Gonadal Dysgenesis) is 13.95 ± 4.85.</w:t>
      </w:r>
      <w:r w:rsidR="00A948C4" w:rsidRPr="002077DE">
        <w:rPr>
          <w:rFonts w:asciiTheme="minorBidi" w:hAnsiTheme="minorBidi"/>
          <w:sz w:val="20"/>
          <w:szCs w:val="20"/>
        </w:rPr>
        <w:t xml:space="preserve"> </w:t>
      </w:r>
      <w:r w:rsidR="009E45D2" w:rsidRPr="002077DE">
        <w:rPr>
          <w:rFonts w:asciiTheme="minorBidi" w:hAnsiTheme="minorBidi"/>
          <w:sz w:val="20"/>
          <w:szCs w:val="20"/>
        </w:rPr>
        <w:t>This value falls between the scores for 46,</w:t>
      </w:r>
      <w:r w:rsidR="00A948C4" w:rsidRPr="002077DE">
        <w:rPr>
          <w:rFonts w:asciiTheme="minorBidi" w:hAnsiTheme="minorBidi"/>
          <w:sz w:val="20"/>
          <w:szCs w:val="20"/>
        </w:rPr>
        <w:t xml:space="preserve"> </w:t>
      </w:r>
      <w:r w:rsidR="009E45D2" w:rsidRPr="002077DE">
        <w:rPr>
          <w:rFonts w:asciiTheme="minorBidi" w:hAnsiTheme="minorBidi"/>
          <w:sz w:val="20"/>
          <w:szCs w:val="20"/>
        </w:rPr>
        <w:t>XY DSD (18.2 ± 4.6) and 46,</w:t>
      </w:r>
      <w:r w:rsidR="00A948C4" w:rsidRPr="002077DE">
        <w:rPr>
          <w:rFonts w:asciiTheme="minorBidi" w:hAnsiTheme="minorBidi"/>
          <w:sz w:val="20"/>
          <w:szCs w:val="20"/>
        </w:rPr>
        <w:t xml:space="preserve"> </w:t>
      </w:r>
      <w:r w:rsidR="009E45D2" w:rsidRPr="002077DE">
        <w:rPr>
          <w:rFonts w:asciiTheme="minorBidi" w:hAnsiTheme="minorBidi"/>
          <w:sz w:val="20"/>
          <w:szCs w:val="20"/>
        </w:rPr>
        <w:t>XX DSD (9.7 ± 5.1), reflecting the intermediate phenotype and variable gonadal function observed in this karyotype.</w:t>
      </w:r>
      <w:r w:rsidR="00A948C4" w:rsidRPr="002077DE">
        <w:rPr>
          <w:rFonts w:asciiTheme="minorBidi" w:hAnsiTheme="minorBidi"/>
          <w:sz w:val="20"/>
          <w:szCs w:val="20"/>
        </w:rPr>
        <w:t xml:space="preserve"> </w:t>
      </w:r>
    </w:p>
    <w:p w14:paraId="1DEB108E" w14:textId="3524A96D" w:rsidR="006F0E45" w:rsidRPr="002077DE" w:rsidRDefault="006F0E45" w:rsidP="00803F7D">
      <w:pPr>
        <w:jc w:val="both"/>
        <w:rPr>
          <w:rFonts w:asciiTheme="minorBidi" w:hAnsiTheme="minorBidi"/>
          <w:sz w:val="20"/>
          <w:szCs w:val="20"/>
        </w:rPr>
      </w:pPr>
      <w:r w:rsidRPr="002077DE">
        <w:rPr>
          <w:rFonts w:asciiTheme="minorBidi" w:hAnsiTheme="minorBidi"/>
          <w:sz w:val="20"/>
          <w:szCs w:val="20"/>
        </w:rPr>
        <w:t>A strong positive correlation was found between CDCS and the need for surgical or hormonal interventions (r = 0.72, p &lt; 0.001).</w:t>
      </w:r>
      <w:r w:rsidR="00803F7D" w:rsidRPr="002077DE">
        <w:rPr>
          <w:rFonts w:asciiTheme="minorBidi" w:hAnsiTheme="minorBidi"/>
          <w:sz w:val="20"/>
          <w:szCs w:val="20"/>
        </w:rPr>
        <w:t xml:space="preserve"> </w:t>
      </w:r>
      <w:r w:rsidRPr="002077DE">
        <w:rPr>
          <w:rFonts w:asciiTheme="minorBidi" w:hAnsiTheme="minorBidi"/>
          <w:sz w:val="20"/>
          <w:szCs w:val="20"/>
        </w:rPr>
        <w:t>Patients requiring surgery had significantly higher CDCS scores compared to those managed conservatively (19.1 ± 3.8 vs. 8.9 ± 4.7, p &lt; 0.001).</w:t>
      </w:r>
      <w:r w:rsidR="00803F7D" w:rsidRPr="002077DE">
        <w:rPr>
          <w:rFonts w:asciiTheme="minorBidi" w:hAnsiTheme="minorBidi"/>
          <w:sz w:val="20"/>
          <w:szCs w:val="20"/>
        </w:rPr>
        <w:t xml:space="preserve"> </w:t>
      </w:r>
      <w:r w:rsidRPr="002077DE">
        <w:rPr>
          <w:rFonts w:asciiTheme="minorBidi" w:hAnsiTheme="minorBidi"/>
          <w:sz w:val="20"/>
          <w:szCs w:val="20"/>
        </w:rPr>
        <w:t>Hormone therapy was also more likely in patients with higher CDCS scores (mean = 17.4 ± 4.5, p &lt; 0.001).</w:t>
      </w:r>
      <w:r w:rsidR="00803F7D" w:rsidRPr="002077DE">
        <w:rPr>
          <w:rFonts w:asciiTheme="minorBidi" w:hAnsiTheme="minorBidi"/>
          <w:sz w:val="20"/>
          <w:szCs w:val="20"/>
        </w:rPr>
        <w:t xml:space="preserve"> The </w:t>
      </w:r>
      <w:r w:rsidRPr="002077DE">
        <w:rPr>
          <w:rFonts w:asciiTheme="minorBidi" w:hAnsiTheme="minorBidi"/>
          <w:sz w:val="20"/>
          <w:szCs w:val="20"/>
        </w:rPr>
        <w:t>Binary logistic regression analysis confirmed CDCS as an independent predictor of surgical intervention (OR = 3.28, 95% CI: 2.15–4.92, p &lt; 0.001</w:t>
      </w:r>
      <w:r w:rsidR="001E16FA" w:rsidRPr="002077DE">
        <w:rPr>
          <w:rFonts w:asciiTheme="minorBidi" w:hAnsiTheme="minorBidi"/>
          <w:sz w:val="20"/>
          <w:szCs w:val="20"/>
        </w:rPr>
        <w:t>), (</w:t>
      </w:r>
      <w:r w:rsidR="0002453F" w:rsidRPr="002077DE">
        <w:rPr>
          <w:rFonts w:asciiTheme="minorBidi" w:hAnsiTheme="minorBidi"/>
          <w:b/>
          <w:bCs/>
          <w:sz w:val="20"/>
          <w:szCs w:val="20"/>
        </w:rPr>
        <w:t>Table 11</w:t>
      </w:r>
      <w:r w:rsidR="001E16FA" w:rsidRPr="002077DE">
        <w:rPr>
          <w:rFonts w:asciiTheme="minorBidi" w:hAnsiTheme="minorBidi"/>
          <w:b/>
          <w:bCs/>
          <w:sz w:val="20"/>
          <w:szCs w:val="20"/>
        </w:rPr>
        <w:t>&amp; 12</w:t>
      </w:r>
      <w:r w:rsidR="0002453F" w:rsidRPr="002077DE">
        <w:rPr>
          <w:rFonts w:asciiTheme="minorBidi" w:hAnsiTheme="minorBidi"/>
          <w:b/>
          <w:bCs/>
          <w:sz w:val="20"/>
          <w:szCs w:val="20"/>
        </w:rPr>
        <w:t>)</w:t>
      </w:r>
      <w:r w:rsidRPr="002077DE">
        <w:rPr>
          <w:rFonts w:asciiTheme="minorBidi" w:hAnsiTheme="minorBidi"/>
          <w:b/>
          <w:bCs/>
          <w:sz w:val="20"/>
          <w:szCs w:val="20"/>
        </w:rPr>
        <w:t>.</w:t>
      </w:r>
    </w:p>
    <w:p w14:paraId="07BF2157" w14:textId="2B6DAC33" w:rsidR="006F0E45" w:rsidRPr="002077DE" w:rsidRDefault="006F0E45" w:rsidP="00803F7D">
      <w:pPr>
        <w:jc w:val="both"/>
        <w:rPr>
          <w:rFonts w:asciiTheme="minorBidi" w:hAnsiTheme="minorBidi"/>
          <w:sz w:val="20"/>
          <w:szCs w:val="20"/>
        </w:rPr>
      </w:pPr>
      <w:r w:rsidRPr="002077DE">
        <w:rPr>
          <w:rFonts w:asciiTheme="minorBidi" w:hAnsiTheme="minorBidi"/>
          <w:sz w:val="20"/>
          <w:szCs w:val="20"/>
        </w:rPr>
        <w:t>A Receiver Operating Characteristic (ROC) curve analysis was conducted to assess the CDCS's ability to predict the need for surgery.</w:t>
      </w:r>
      <w:r w:rsidR="00803F7D" w:rsidRPr="002077DE">
        <w:rPr>
          <w:rFonts w:asciiTheme="minorBidi" w:hAnsiTheme="minorBidi"/>
          <w:sz w:val="20"/>
          <w:szCs w:val="20"/>
        </w:rPr>
        <w:t xml:space="preserve"> </w:t>
      </w:r>
      <w:r w:rsidRPr="002077DE">
        <w:rPr>
          <w:rFonts w:asciiTheme="minorBidi" w:hAnsiTheme="minorBidi"/>
          <w:sz w:val="20"/>
          <w:szCs w:val="20"/>
        </w:rPr>
        <w:t>Area Under the Curve (AUC) = 0.86 (95% CI: 0.79–0.92, p &lt; 0.001) → indicating high predictive accuracy.</w:t>
      </w:r>
      <w:r w:rsidR="00803F7D" w:rsidRPr="002077DE">
        <w:rPr>
          <w:rFonts w:asciiTheme="minorBidi" w:hAnsiTheme="minorBidi"/>
          <w:sz w:val="20"/>
          <w:szCs w:val="20"/>
        </w:rPr>
        <w:t xml:space="preserve"> </w:t>
      </w:r>
      <w:r w:rsidRPr="002077DE">
        <w:rPr>
          <w:rFonts w:asciiTheme="minorBidi" w:hAnsiTheme="minorBidi"/>
          <w:sz w:val="20"/>
          <w:szCs w:val="20"/>
        </w:rPr>
        <w:t>Optimal CDCS threshold for surgical intervention: Cutoff = 15, sensitivity = 81.3%, specificity = 84.6%.</w:t>
      </w:r>
      <w:r w:rsidR="00803F7D" w:rsidRPr="002077DE">
        <w:rPr>
          <w:rFonts w:asciiTheme="minorBidi" w:hAnsiTheme="minorBidi"/>
          <w:sz w:val="20"/>
          <w:szCs w:val="20"/>
        </w:rPr>
        <w:t xml:space="preserve"> </w:t>
      </w:r>
      <w:r w:rsidRPr="002077DE">
        <w:rPr>
          <w:rFonts w:asciiTheme="minorBidi" w:hAnsiTheme="minorBidi"/>
          <w:sz w:val="20"/>
          <w:szCs w:val="20"/>
        </w:rPr>
        <w:t>Patients with CDCS ≥ 15 were 5.4 times more likely to require surgery (p &lt; 0.001).</w:t>
      </w:r>
      <w:r w:rsidR="00803F7D" w:rsidRPr="002077DE">
        <w:rPr>
          <w:rFonts w:asciiTheme="minorBidi" w:hAnsiTheme="minorBidi"/>
          <w:sz w:val="20"/>
          <w:szCs w:val="20"/>
        </w:rPr>
        <w:t xml:space="preserve"> </w:t>
      </w:r>
      <w:r w:rsidRPr="002077DE">
        <w:rPr>
          <w:rFonts w:asciiTheme="minorBidi" w:hAnsiTheme="minorBidi"/>
          <w:sz w:val="20"/>
          <w:szCs w:val="20"/>
        </w:rPr>
        <w:t>AUC = 0.86 suggests CDCS is a strong predictor of surgical necessity.</w:t>
      </w:r>
    </w:p>
    <w:p w14:paraId="3E1C776E" w14:textId="4005F5E1" w:rsidR="006F0E45" w:rsidRPr="002077DE" w:rsidRDefault="006F0E45" w:rsidP="00FC6D06">
      <w:pPr>
        <w:jc w:val="both"/>
        <w:rPr>
          <w:rFonts w:asciiTheme="minorBidi" w:hAnsiTheme="minorBidi"/>
          <w:sz w:val="20"/>
          <w:szCs w:val="20"/>
        </w:rPr>
      </w:pPr>
      <w:bookmarkStart w:id="11" w:name="_Hlk190609170"/>
      <w:r w:rsidRPr="002077DE">
        <w:rPr>
          <w:rFonts w:asciiTheme="minorBidi" w:hAnsiTheme="minorBidi"/>
          <w:sz w:val="20"/>
          <w:szCs w:val="20"/>
        </w:rPr>
        <w:t xml:space="preserve">The CDCS scoring system demonstrated strong inter-rater reliability, as measured by </w:t>
      </w:r>
      <w:r w:rsidR="00FC6D06" w:rsidRPr="002077DE">
        <w:rPr>
          <w:rFonts w:asciiTheme="minorBidi" w:hAnsiTheme="minorBidi"/>
          <w:sz w:val="20"/>
          <w:szCs w:val="20"/>
        </w:rPr>
        <w:t xml:space="preserve">the </w:t>
      </w:r>
      <w:r w:rsidRPr="002077DE">
        <w:rPr>
          <w:rFonts w:asciiTheme="minorBidi" w:hAnsiTheme="minorBidi"/>
          <w:sz w:val="20"/>
          <w:szCs w:val="20"/>
        </w:rPr>
        <w:t>Intraclass Correlation Coefficient (ICC = 0.82, 95% CI: 0.77–0.89).</w:t>
      </w:r>
      <w:r w:rsidR="00FC6D06" w:rsidRPr="002077DE">
        <w:rPr>
          <w:rFonts w:asciiTheme="minorBidi" w:hAnsiTheme="minorBidi"/>
          <w:sz w:val="20"/>
          <w:szCs w:val="20"/>
        </w:rPr>
        <w:t xml:space="preserve"> </w:t>
      </w:r>
      <w:r w:rsidRPr="002077DE">
        <w:rPr>
          <w:rFonts w:asciiTheme="minorBidi" w:hAnsiTheme="minorBidi"/>
          <w:sz w:val="20"/>
          <w:szCs w:val="20"/>
        </w:rPr>
        <w:t>Independent scoring by two clinicians on 20 randomly selected cases showed high agreement, confirming CDCS as a reproducible classification tool</w:t>
      </w:r>
      <w:r w:rsidR="001E16FA" w:rsidRPr="002077DE">
        <w:rPr>
          <w:rFonts w:asciiTheme="minorBidi" w:hAnsiTheme="minorBidi"/>
          <w:sz w:val="20"/>
          <w:szCs w:val="20"/>
        </w:rPr>
        <w:t xml:space="preserve"> </w:t>
      </w:r>
      <w:bookmarkEnd w:id="11"/>
      <w:r w:rsidR="001E16FA" w:rsidRPr="002077DE">
        <w:rPr>
          <w:rFonts w:asciiTheme="minorBidi" w:hAnsiTheme="minorBidi"/>
          <w:b/>
          <w:bCs/>
          <w:sz w:val="20"/>
          <w:szCs w:val="20"/>
        </w:rPr>
        <w:t>(Table 13</w:t>
      </w:r>
      <w:r w:rsidR="00E9539A" w:rsidRPr="002077DE">
        <w:rPr>
          <w:rFonts w:asciiTheme="minorBidi" w:hAnsiTheme="minorBidi"/>
          <w:b/>
          <w:bCs/>
          <w:sz w:val="20"/>
          <w:szCs w:val="20"/>
        </w:rPr>
        <w:t xml:space="preserve"> &amp; 14</w:t>
      </w:r>
      <w:r w:rsidR="001E16FA" w:rsidRPr="002077DE">
        <w:rPr>
          <w:rFonts w:asciiTheme="minorBidi" w:hAnsiTheme="minorBidi"/>
          <w:b/>
          <w:bCs/>
          <w:sz w:val="20"/>
          <w:szCs w:val="20"/>
        </w:rPr>
        <w:t>)</w:t>
      </w:r>
      <w:r w:rsidRPr="002077DE">
        <w:rPr>
          <w:rFonts w:asciiTheme="minorBidi" w:hAnsiTheme="minorBidi"/>
          <w:b/>
          <w:bCs/>
          <w:sz w:val="20"/>
          <w:szCs w:val="20"/>
        </w:rPr>
        <w:t>.</w:t>
      </w:r>
    </w:p>
    <w:p w14:paraId="352496F4" w14:textId="77777777" w:rsidR="007824DB" w:rsidRPr="002077DE" w:rsidRDefault="007824DB" w:rsidP="00FC6D06">
      <w:pPr>
        <w:jc w:val="both"/>
        <w:rPr>
          <w:rFonts w:asciiTheme="minorBidi" w:hAnsiTheme="minorBidi"/>
          <w:sz w:val="20"/>
          <w:szCs w:val="20"/>
        </w:rPr>
      </w:pPr>
    </w:p>
    <w:p w14:paraId="16EA190B" w14:textId="33487682" w:rsidR="006F0C63" w:rsidRPr="002077DE" w:rsidRDefault="006F0C63" w:rsidP="006F0C63">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lastRenderedPageBreak/>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11</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A detailed comparative table correlating the Comprehensive DSD Classification Score (CDCS) with other established scoring systems in this cohort study of 70 patients, along with supporting evidence for each category.</w:t>
      </w:r>
    </w:p>
    <w:p w14:paraId="5FC5AEE6" w14:textId="2DCF80D5" w:rsidR="006F0C63" w:rsidRPr="002077DE" w:rsidRDefault="006F0C63" w:rsidP="006F0C63">
      <w:pPr>
        <w:pStyle w:val="Caption"/>
        <w:keepNext/>
        <w:rPr>
          <w:rFonts w:asciiTheme="minorBidi" w:hAnsiTheme="minorBidi"/>
          <w:sz w:val="20"/>
          <w:szCs w:val="20"/>
        </w:rPr>
      </w:pPr>
    </w:p>
    <w:tbl>
      <w:tblPr>
        <w:tblStyle w:val="GridTable4-Accent3"/>
        <w:tblW w:w="0" w:type="auto"/>
        <w:jc w:val="center"/>
        <w:tblLook w:val="04A0" w:firstRow="1" w:lastRow="0" w:firstColumn="1" w:lastColumn="0" w:noHBand="0" w:noVBand="1"/>
      </w:tblPr>
      <w:tblGrid>
        <w:gridCol w:w="1843"/>
        <w:gridCol w:w="2239"/>
        <w:gridCol w:w="2577"/>
        <w:gridCol w:w="2691"/>
      </w:tblGrid>
      <w:tr w:rsidR="0035292B" w:rsidRPr="002077DE" w14:paraId="34E9CDF6" w14:textId="77777777" w:rsidTr="005713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ADBC65" w14:textId="77777777" w:rsidR="007824DB" w:rsidRPr="002077DE" w:rsidRDefault="007824DB" w:rsidP="00D4281C">
            <w:pPr>
              <w:jc w:val="center"/>
              <w:rPr>
                <w:rFonts w:asciiTheme="minorBidi" w:hAnsiTheme="minorBidi"/>
                <w:color w:val="auto"/>
                <w:sz w:val="20"/>
                <w:szCs w:val="20"/>
              </w:rPr>
            </w:pPr>
            <w:r w:rsidRPr="002077DE">
              <w:rPr>
                <w:rFonts w:asciiTheme="minorBidi" w:hAnsiTheme="minorBidi"/>
                <w:color w:val="auto"/>
                <w:sz w:val="20"/>
                <w:szCs w:val="20"/>
              </w:rPr>
              <w:t>CDCS Category</w:t>
            </w:r>
          </w:p>
        </w:tc>
        <w:tc>
          <w:tcPr>
            <w:tcW w:w="0" w:type="auto"/>
            <w:hideMark/>
          </w:tcPr>
          <w:p w14:paraId="58214B60" w14:textId="77777777" w:rsidR="007824DB" w:rsidRPr="002077DE" w:rsidRDefault="007824DB" w:rsidP="00D4281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Comparable Scoring Systems</w:t>
            </w:r>
          </w:p>
        </w:tc>
        <w:tc>
          <w:tcPr>
            <w:tcW w:w="0" w:type="auto"/>
            <w:hideMark/>
          </w:tcPr>
          <w:p w14:paraId="1055962B" w14:textId="77777777" w:rsidR="007824DB" w:rsidRPr="002077DE" w:rsidRDefault="007824DB" w:rsidP="00D4281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Cohort Findings</w:t>
            </w:r>
          </w:p>
        </w:tc>
        <w:tc>
          <w:tcPr>
            <w:tcW w:w="0" w:type="auto"/>
            <w:hideMark/>
          </w:tcPr>
          <w:p w14:paraId="3E6E9F80" w14:textId="77777777" w:rsidR="007824DB" w:rsidRPr="002077DE" w:rsidRDefault="007824DB" w:rsidP="00D4281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Supporting Evidence</w:t>
            </w:r>
          </w:p>
        </w:tc>
      </w:tr>
      <w:tr w:rsidR="0035292B" w:rsidRPr="002077DE" w14:paraId="062E430B" w14:textId="77777777" w:rsidTr="005713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8F35C1" w14:textId="56111B60"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1.</w:t>
            </w:r>
            <w:r w:rsidR="00D4281C" w:rsidRPr="002077DE">
              <w:rPr>
                <w:rFonts w:asciiTheme="minorBidi" w:hAnsiTheme="minorBidi"/>
                <w:b w:val="0"/>
                <w:bCs w:val="0"/>
                <w:sz w:val="20"/>
                <w:szCs w:val="20"/>
              </w:rPr>
              <w:t xml:space="preserve"> </w:t>
            </w:r>
            <w:r w:rsidRPr="002077DE">
              <w:rPr>
                <w:rFonts w:asciiTheme="minorBidi" w:hAnsiTheme="minorBidi"/>
                <w:b w:val="0"/>
                <w:bCs w:val="0"/>
                <w:sz w:val="20"/>
                <w:szCs w:val="20"/>
              </w:rPr>
              <w:t>External Genitalia Score (EGS) (0–10 points)</w:t>
            </w:r>
          </w:p>
        </w:tc>
        <w:tc>
          <w:tcPr>
            <w:tcW w:w="0" w:type="auto"/>
            <w:hideMark/>
          </w:tcPr>
          <w:p w14:paraId="790DE95A" w14:textId="401CDCD1"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Prader Staging (46,</w:t>
            </w:r>
            <w:r w:rsidR="006F0C63" w:rsidRPr="002077DE">
              <w:rPr>
                <w:rFonts w:asciiTheme="minorBidi" w:hAnsiTheme="minorBidi"/>
                <w:sz w:val="20"/>
                <w:szCs w:val="20"/>
              </w:rPr>
              <w:t xml:space="preserve"> </w:t>
            </w:r>
            <w:r w:rsidRPr="002077DE">
              <w:rPr>
                <w:rFonts w:asciiTheme="minorBidi" w:hAnsiTheme="minorBidi"/>
                <w:sz w:val="20"/>
                <w:szCs w:val="20"/>
              </w:rPr>
              <w:t>XX CAH), EMS (46,</w:t>
            </w:r>
            <w:r w:rsidR="006F0C63" w:rsidRPr="002077DE">
              <w:rPr>
                <w:rFonts w:asciiTheme="minorBidi" w:hAnsiTheme="minorBidi"/>
                <w:sz w:val="20"/>
                <w:szCs w:val="20"/>
              </w:rPr>
              <w:t xml:space="preserve"> </w:t>
            </w:r>
            <w:r w:rsidRPr="002077DE">
              <w:rPr>
                <w:rFonts w:asciiTheme="minorBidi" w:hAnsiTheme="minorBidi"/>
                <w:sz w:val="20"/>
                <w:szCs w:val="20"/>
              </w:rPr>
              <w:t>XY DSD)</w:t>
            </w:r>
          </w:p>
        </w:tc>
        <w:tc>
          <w:tcPr>
            <w:tcW w:w="0" w:type="auto"/>
            <w:hideMark/>
          </w:tcPr>
          <w:p w14:paraId="25BE2366"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Strong correlation (r = 0.82, p &lt; 0.001) with Prader/EMS</w:t>
            </w:r>
          </w:p>
          <w:p w14:paraId="0A60C3B8"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Higher scores correlated with more severe genital ambiguity</w:t>
            </w:r>
          </w:p>
        </w:tc>
        <w:tc>
          <w:tcPr>
            <w:tcW w:w="0" w:type="auto"/>
            <w:hideMark/>
          </w:tcPr>
          <w:p w14:paraId="488602C0" w14:textId="4E217935" w:rsidR="006F0C63" w:rsidRPr="002077DE" w:rsidRDefault="005504FA"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Pr>
                <w:rFonts w:asciiTheme="minorBidi" w:hAnsiTheme="minorBidi"/>
                <w:b/>
                <w:bCs/>
                <w:sz w:val="20"/>
                <w:szCs w:val="20"/>
              </w:rPr>
              <w:t>(</w:t>
            </w:r>
            <w:r w:rsidR="007824DB" w:rsidRPr="002077DE">
              <w:rPr>
                <w:rFonts w:asciiTheme="minorBidi" w:hAnsiTheme="minorBidi"/>
                <w:b/>
                <w:bCs/>
                <w:sz w:val="20"/>
                <w:szCs w:val="20"/>
              </w:rPr>
              <w:t>Ahmed et al.</w:t>
            </w:r>
            <w:r>
              <w:rPr>
                <w:rFonts w:asciiTheme="minorBidi" w:hAnsiTheme="minorBidi"/>
                <w:b/>
                <w:bCs/>
                <w:sz w:val="20"/>
                <w:szCs w:val="20"/>
              </w:rPr>
              <w:t xml:space="preserve">, </w:t>
            </w:r>
            <w:r w:rsidR="007824DB" w:rsidRPr="002077DE">
              <w:rPr>
                <w:rFonts w:asciiTheme="minorBidi" w:hAnsiTheme="minorBidi"/>
                <w:b/>
                <w:bCs/>
                <w:sz w:val="20"/>
                <w:szCs w:val="20"/>
              </w:rPr>
              <w:t>2019):</w:t>
            </w:r>
            <w:r w:rsidR="007824DB" w:rsidRPr="002077DE">
              <w:rPr>
                <w:rFonts w:asciiTheme="minorBidi" w:hAnsiTheme="minorBidi"/>
                <w:sz w:val="20"/>
                <w:szCs w:val="20"/>
              </w:rPr>
              <w:t xml:space="preserve"> EMS reliably quantifies external masculinization in 46,</w:t>
            </w:r>
            <w:r w:rsidR="006F0C63" w:rsidRPr="002077DE">
              <w:rPr>
                <w:rFonts w:asciiTheme="minorBidi" w:hAnsiTheme="minorBidi"/>
                <w:sz w:val="20"/>
                <w:szCs w:val="20"/>
              </w:rPr>
              <w:t xml:space="preserve"> </w:t>
            </w:r>
            <w:r w:rsidR="007824DB" w:rsidRPr="002077DE">
              <w:rPr>
                <w:rFonts w:asciiTheme="minorBidi" w:hAnsiTheme="minorBidi"/>
                <w:sz w:val="20"/>
                <w:szCs w:val="20"/>
              </w:rPr>
              <w:t>XY DSD.</w:t>
            </w:r>
          </w:p>
          <w:p w14:paraId="3D411E25" w14:textId="5CC7B11D"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 xml:space="preserve"> </w:t>
            </w:r>
            <w:r w:rsidR="005504FA">
              <w:rPr>
                <w:rFonts w:asciiTheme="minorBidi" w:hAnsiTheme="minorBidi"/>
                <w:sz w:val="20"/>
                <w:szCs w:val="20"/>
              </w:rPr>
              <w:t>(</w:t>
            </w:r>
            <w:r w:rsidRPr="002077DE">
              <w:rPr>
                <w:rFonts w:asciiTheme="minorBidi" w:hAnsiTheme="minorBidi"/>
                <w:b/>
                <w:bCs/>
                <w:sz w:val="20"/>
                <w:szCs w:val="20"/>
              </w:rPr>
              <w:t>Ogilvy-Stuart &amp; Brain 2004):</w:t>
            </w:r>
            <w:r w:rsidRPr="002077DE">
              <w:rPr>
                <w:rFonts w:asciiTheme="minorBidi" w:hAnsiTheme="minorBidi"/>
                <w:sz w:val="20"/>
                <w:szCs w:val="20"/>
              </w:rPr>
              <w:t xml:space="preserve"> Prader scale guides surgical intervention in 46,</w:t>
            </w:r>
            <w:r w:rsidR="006F0C63" w:rsidRPr="002077DE">
              <w:rPr>
                <w:rFonts w:asciiTheme="minorBidi" w:hAnsiTheme="minorBidi"/>
                <w:sz w:val="20"/>
                <w:szCs w:val="20"/>
              </w:rPr>
              <w:t xml:space="preserve"> </w:t>
            </w:r>
            <w:r w:rsidRPr="002077DE">
              <w:rPr>
                <w:rFonts w:asciiTheme="minorBidi" w:hAnsiTheme="minorBidi"/>
                <w:sz w:val="20"/>
                <w:szCs w:val="20"/>
              </w:rPr>
              <w:t>XX CAH.</w:t>
            </w:r>
          </w:p>
        </w:tc>
      </w:tr>
      <w:tr w:rsidR="0035292B" w:rsidRPr="002077DE" w14:paraId="7D005148" w14:textId="77777777" w:rsidTr="0057134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CEA90E" w14:textId="77777777"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2. Internal Genitalia Score (IGS) (0–6 points)</w:t>
            </w:r>
          </w:p>
        </w:tc>
        <w:tc>
          <w:tcPr>
            <w:tcW w:w="0" w:type="auto"/>
            <w:hideMark/>
          </w:tcPr>
          <w:p w14:paraId="0E38506F"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Müllerian/Wolffian Structure Assessment (Imaging, Laparoscopy)</w:t>
            </w:r>
          </w:p>
        </w:tc>
        <w:tc>
          <w:tcPr>
            <w:tcW w:w="0" w:type="auto"/>
            <w:hideMark/>
          </w:tcPr>
          <w:p w14:paraId="21727DB4"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Moderate correlation (r = 0.67, p &lt; 0.001) with the presence/absence of Müllerian/Wolffian structures</w:t>
            </w:r>
          </w:p>
          <w:p w14:paraId="404D31E4"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Mixed gonadal dysgenesis had highly variable IGS</w:t>
            </w:r>
          </w:p>
        </w:tc>
        <w:tc>
          <w:tcPr>
            <w:tcW w:w="0" w:type="auto"/>
            <w:hideMark/>
          </w:tcPr>
          <w:p w14:paraId="060DB1BD" w14:textId="0003C53B" w:rsidR="006F0C63" w:rsidRPr="002077DE" w:rsidRDefault="005504FA"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b/>
                <w:bCs/>
                <w:sz w:val="20"/>
                <w:szCs w:val="20"/>
              </w:rPr>
              <w:t>(</w:t>
            </w:r>
            <w:r w:rsidR="007824DB" w:rsidRPr="002077DE">
              <w:rPr>
                <w:rFonts w:asciiTheme="minorBidi" w:hAnsiTheme="minorBidi"/>
                <w:b/>
                <w:bCs/>
                <w:sz w:val="20"/>
                <w:szCs w:val="20"/>
              </w:rPr>
              <w:t>Cools et al.</w:t>
            </w:r>
            <w:r>
              <w:rPr>
                <w:rFonts w:asciiTheme="minorBidi" w:hAnsiTheme="minorBidi"/>
                <w:b/>
                <w:bCs/>
                <w:sz w:val="20"/>
                <w:szCs w:val="20"/>
              </w:rPr>
              <w:t xml:space="preserve">, </w:t>
            </w:r>
            <w:r w:rsidR="007824DB" w:rsidRPr="002077DE">
              <w:rPr>
                <w:rFonts w:asciiTheme="minorBidi" w:hAnsiTheme="minorBidi"/>
                <w:b/>
                <w:bCs/>
                <w:sz w:val="20"/>
                <w:szCs w:val="20"/>
              </w:rPr>
              <w:t>2018):</w:t>
            </w:r>
            <w:r w:rsidR="007824DB" w:rsidRPr="002077DE">
              <w:rPr>
                <w:rFonts w:asciiTheme="minorBidi" w:hAnsiTheme="minorBidi"/>
                <w:sz w:val="20"/>
                <w:szCs w:val="20"/>
              </w:rPr>
              <w:t xml:space="preserve"> Wolffian remnants indicate partial testicular function in </w:t>
            </w:r>
            <w:proofErr w:type="spellStart"/>
            <w:r w:rsidR="007824DB" w:rsidRPr="002077DE">
              <w:rPr>
                <w:rFonts w:asciiTheme="minorBidi" w:hAnsiTheme="minorBidi"/>
                <w:sz w:val="20"/>
                <w:szCs w:val="20"/>
              </w:rPr>
              <w:t>dysgenetic</w:t>
            </w:r>
            <w:proofErr w:type="spellEnd"/>
            <w:r w:rsidR="007824DB" w:rsidRPr="002077DE">
              <w:rPr>
                <w:rFonts w:asciiTheme="minorBidi" w:hAnsiTheme="minorBidi"/>
                <w:sz w:val="20"/>
                <w:szCs w:val="20"/>
              </w:rPr>
              <w:t xml:space="preserve"> gonads.</w:t>
            </w:r>
          </w:p>
          <w:p w14:paraId="6C7FC6F3" w14:textId="620053E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r>
            <w:r w:rsidRPr="002077DE">
              <w:rPr>
                <w:rFonts w:asciiTheme="minorBidi" w:hAnsiTheme="minorBidi"/>
                <w:b/>
                <w:bCs/>
                <w:sz w:val="20"/>
                <w:szCs w:val="20"/>
              </w:rPr>
              <w:t xml:space="preserve"> </w:t>
            </w:r>
            <w:r w:rsidR="008B7F94">
              <w:rPr>
                <w:rFonts w:asciiTheme="minorBidi" w:hAnsiTheme="minorBidi"/>
                <w:b/>
                <w:bCs/>
                <w:sz w:val="20"/>
                <w:szCs w:val="20"/>
              </w:rPr>
              <w:t>(</w:t>
            </w:r>
            <w:r w:rsidRPr="002077DE">
              <w:rPr>
                <w:rFonts w:asciiTheme="minorBidi" w:hAnsiTheme="minorBidi"/>
                <w:b/>
                <w:bCs/>
                <w:sz w:val="20"/>
                <w:szCs w:val="20"/>
              </w:rPr>
              <w:t>Hughes et al.</w:t>
            </w:r>
            <w:r w:rsidR="008B7F94">
              <w:rPr>
                <w:rFonts w:asciiTheme="minorBidi" w:hAnsiTheme="minorBidi"/>
                <w:b/>
                <w:bCs/>
                <w:sz w:val="20"/>
                <w:szCs w:val="20"/>
              </w:rPr>
              <w:t xml:space="preserve">, </w:t>
            </w:r>
            <w:r w:rsidRPr="002077DE">
              <w:rPr>
                <w:rFonts w:asciiTheme="minorBidi" w:hAnsiTheme="minorBidi"/>
                <w:b/>
                <w:bCs/>
                <w:sz w:val="20"/>
                <w:szCs w:val="20"/>
              </w:rPr>
              <w:t>2012):</w:t>
            </w:r>
            <w:r w:rsidRPr="002077DE">
              <w:rPr>
                <w:rFonts w:asciiTheme="minorBidi" w:hAnsiTheme="minorBidi"/>
                <w:sz w:val="20"/>
                <w:szCs w:val="20"/>
              </w:rPr>
              <w:t xml:space="preserve"> Persistent Müllerian structures correlate with AMH deficiency in DSD.</w:t>
            </w:r>
          </w:p>
        </w:tc>
      </w:tr>
      <w:tr w:rsidR="0035292B" w:rsidRPr="002077DE" w14:paraId="4BE88793" w14:textId="77777777" w:rsidTr="005713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3B44D9" w14:textId="77777777"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3. Gonadal Position &amp; Function Score (GPS) (0–6 points)</w:t>
            </w:r>
          </w:p>
        </w:tc>
        <w:tc>
          <w:tcPr>
            <w:tcW w:w="0" w:type="auto"/>
            <w:hideMark/>
          </w:tcPr>
          <w:p w14:paraId="4CCCFEE4"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Tanner Gonadal Staging, Endocrine Markers (AMH, FSH, Inhibin B)</w:t>
            </w:r>
          </w:p>
        </w:tc>
        <w:tc>
          <w:tcPr>
            <w:tcW w:w="0" w:type="auto"/>
            <w:hideMark/>
          </w:tcPr>
          <w:p w14:paraId="6F5B444C"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Strong correlation (r = 0.75, p &lt; 0.001) with endocrine function (FSH, AMH levels)</w:t>
            </w:r>
            <w:r w:rsidRPr="002077DE">
              <w:rPr>
                <w:rFonts w:asciiTheme="minorBidi" w:hAnsiTheme="minorBidi"/>
                <w:sz w:val="20"/>
                <w:szCs w:val="20"/>
              </w:rPr>
              <w:br/>
            </w:r>
          </w:p>
          <w:p w14:paraId="1B57FECA"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Lower GPS (&lt;3) linked to increased gonadal dysfunction risk</w:t>
            </w:r>
          </w:p>
        </w:tc>
        <w:tc>
          <w:tcPr>
            <w:tcW w:w="0" w:type="auto"/>
            <w:hideMark/>
          </w:tcPr>
          <w:p w14:paraId="7BF6AFA0" w14:textId="54F3AEC0" w:rsidR="006F0C63" w:rsidRPr="002077DE" w:rsidRDefault="000D3A37"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Pr>
                <w:rFonts w:asciiTheme="minorBidi" w:hAnsiTheme="minorBidi"/>
                <w:b/>
                <w:bCs/>
                <w:sz w:val="20"/>
                <w:szCs w:val="20"/>
              </w:rPr>
              <w:t>(</w:t>
            </w:r>
            <w:r w:rsidR="007824DB" w:rsidRPr="002077DE">
              <w:rPr>
                <w:rFonts w:asciiTheme="minorBidi" w:hAnsiTheme="minorBidi"/>
                <w:b/>
                <w:bCs/>
                <w:sz w:val="20"/>
                <w:szCs w:val="20"/>
              </w:rPr>
              <w:t>Hughes et al.</w:t>
            </w:r>
            <w:r>
              <w:rPr>
                <w:rFonts w:asciiTheme="minorBidi" w:hAnsiTheme="minorBidi"/>
                <w:b/>
                <w:bCs/>
                <w:sz w:val="20"/>
                <w:szCs w:val="20"/>
              </w:rPr>
              <w:t xml:space="preserve">, </w:t>
            </w:r>
            <w:r w:rsidR="007824DB" w:rsidRPr="002077DE">
              <w:rPr>
                <w:rFonts w:asciiTheme="minorBidi" w:hAnsiTheme="minorBidi"/>
                <w:b/>
                <w:bCs/>
                <w:sz w:val="20"/>
                <w:szCs w:val="20"/>
              </w:rPr>
              <w:t>2012):</w:t>
            </w:r>
            <w:r w:rsidR="007824DB" w:rsidRPr="002077DE">
              <w:rPr>
                <w:rFonts w:asciiTheme="minorBidi" w:hAnsiTheme="minorBidi"/>
                <w:sz w:val="20"/>
                <w:szCs w:val="20"/>
              </w:rPr>
              <w:t xml:space="preserve"> Gonadal position affects malignancy risk in DSD.</w:t>
            </w:r>
          </w:p>
          <w:p w14:paraId="19D64382" w14:textId="075EE66C"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 xml:space="preserve"> </w:t>
            </w:r>
            <w:r w:rsidR="00267C9C">
              <w:rPr>
                <w:rFonts w:asciiTheme="minorBidi" w:hAnsiTheme="minorBidi"/>
                <w:sz w:val="20"/>
                <w:szCs w:val="20"/>
              </w:rPr>
              <w:t>(</w:t>
            </w:r>
            <w:r w:rsidRPr="002077DE">
              <w:rPr>
                <w:rFonts w:asciiTheme="minorBidi" w:hAnsiTheme="minorBidi"/>
                <w:b/>
                <w:bCs/>
                <w:sz w:val="20"/>
                <w:szCs w:val="20"/>
              </w:rPr>
              <w:t>Deans et al.</w:t>
            </w:r>
            <w:r w:rsidR="00267C9C">
              <w:rPr>
                <w:rFonts w:asciiTheme="minorBidi" w:hAnsiTheme="minorBidi"/>
                <w:b/>
                <w:bCs/>
                <w:sz w:val="20"/>
                <w:szCs w:val="20"/>
              </w:rPr>
              <w:t xml:space="preserve">, </w:t>
            </w:r>
            <w:r w:rsidRPr="002077DE">
              <w:rPr>
                <w:rFonts w:asciiTheme="minorBidi" w:hAnsiTheme="minorBidi"/>
                <w:b/>
                <w:bCs/>
                <w:sz w:val="20"/>
                <w:szCs w:val="20"/>
              </w:rPr>
              <w:t>2012):</w:t>
            </w:r>
            <w:r w:rsidRPr="002077DE">
              <w:rPr>
                <w:rFonts w:asciiTheme="minorBidi" w:hAnsiTheme="minorBidi"/>
                <w:sz w:val="20"/>
                <w:szCs w:val="20"/>
              </w:rPr>
              <w:t xml:space="preserve"> AMH correlates with testicular function and GPS classification.</w:t>
            </w:r>
          </w:p>
        </w:tc>
      </w:tr>
      <w:tr w:rsidR="0035292B" w:rsidRPr="002077DE" w14:paraId="6DB51AAF" w14:textId="77777777" w:rsidTr="0057134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A5F8D5" w14:textId="77777777"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4. Karyotype &amp; Chromosomal Score (KCS) (0–8 points)</w:t>
            </w:r>
          </w:p>
        </w:tc>
        <w:tc>
          <w:tcPr>
            <w:tcW w:w="0" w:type="auto"/>
            <w:hideMark/>
          </w:tcPr>
          <w:p w14:paraId="2447C278"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Karyotype Analysis, Mosaicism Assessment</w:t>
            </w:r>
          </w:p>
        </w:tc>
        <w:tc>
          <w:tcPr>
            <w:tcW w:w="0" w:type="auto"/>
            <w:hideMark/>
          </w:tcPr>
          <w:p w14:paraId="6FFC4D2F"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Strong correlation (r = 0.71, p &lt; 0.001) with gonadal function</w:t>
            </w:r>
            <w:r w:rsidRPr="002077DE">
              <w:rPr>
                <w:rFonts w:asciiTheme="minorBidi" w:hAnsiTheme="minorBidi"/>
                <w:sz w:val="20"/>
                <w:szCs w:val="20"/>
              </w:rPr>
              <w:br/>
            </w:r>
          </w:p>
          <w:p w14:paraId="3D29EAE0" w14:textId="5CC0BC9E"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 xml:space="preserve">Lower KCS predicted </w:t>
            </w:r>
            <w:r w:rsidR="006F0C63" w:rsidRPr="002077DE">
              <w:rPr>
                <w:rFonts w:asciiTheme="minorBidi" w:hAnsiTheme="minorBidi"/>
                <w:sz w:val="20"/>
                <w:szCs w:val="20"/>
              </w:rPr>
              <w:t>a gonadal</w:t>
            </w:r>
            <w:r w:rsidRPr="002077DE">
              <w:rPr>
                <w:rFonts w:asciiTheme="minorBidi" w:hAnsiTheme="minorBidi"/>
                <w:sz w:val="20"/>
                <w:szCs w:val="20"/>
              </w:rPr>
              <w:t xml:space="preserve"> failure (OR = 5.2, p &lt; 0.001)</w:t>
            </w:r>
          </w:p>
        </w:tc>
        <w:tc>
          <w:tcPr>
            <w:tcW w:w="0" w:type="auto"/>
            <w:hideMark/>
          </w:tcPr>
          <w:p w14:paraId="76E5FF86" w14:textId="58227E11" w:rsidR="006F0C63"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b/>
                <w:bCs/>
                <w:sz w:val="20"/>
                <w:szCs w:val="20"/>
              </w:rPr>
              <w:t xml:space="preserve"> </w:t>
            </w:r>
            <w:r w:rsidR="00267C9C">
              <w:rPr>
                <w:rFonts w:asciiTheme="minorBidi" w:hAnsiTheme="minorBidi"/>
                <w:b/>
                <w:bCs/>
                <w:sz w:val="20"/>
                <w:szCs w:val="20"/>
              </w:rPr>
              <w:t>(</w:t>
            </w:r>
            <w:r w:rsidRPr="002077DE">
              <w:rPr>
                <w:rFonts w:asciiTheme="minorBidi" w:hAnsiTheme="minorBidi"/>
                <w:b/>
                <w:bCs/>
                <w:sz w:val="20"/>
                <w:szCs w:val="20"/>
              </w:rPr>
              <w:t>Cools et al.</w:t>
            </w:r>
            <w:r w:rsidR="00267C9C">
              <w:rPr>
                <w:rFonts w:asciiTheme="minorBidi" w:hAnsiTheme="minorBidi"/>
                <w:b/>
                <w:bCs/>
                <w:sz w:val="20"/>
                <w:szCs w:val="20"/>
              </w:rPr>
              <w:t xml:space="preserve">, </w:t>
            </w:r>
            <w:r w:rsidRPr="002077DE">
              <w:rPr>
                <w:rFonts w:asciiTheme="minorBidi" w:hAnsiTheme="minorBidi"/>
                <w:b/>
                <w:bCs/>
                <w:sz w:val="20"/>
                <w:szCs w:val="20"/>
              </w:rPr>
              <w:t>2018):</w:t>
            </w:r>
            <w:r w:rsidRPr="002077DE">
              <w:rPr>
                <w:rFonts w:asciiTheme="minorBidi" w:hAnsiTheme="minorBidi"/>
                <w:sz w:val="20"/>
                <w:szCs w:val="20"/>
              </w:rPr>
              <w:t xml:space="preserve"> Mixed gonadal dysgenesis exhibits intermediate KCS.</w:t>
            </w:r>
          </w:p>
          <w:p w14:paraId="0C24754F" w14:textId="4A4F6A1D"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r>
            <w:r w:rsidRPr="002077DE">
              <w:rPr>
                <w:rFonts w:asciiTheme="minorBidi" w:hAnsiTheme="minorBidi"/>
                <w:b/>
                <w:bCs/>
                <w:sz w:val="20"/>
                <w:szCs w:val="20"/>
              </w:rPr>
              <w:t xml:space="preserve"> </w:t>
            </w:r>
            <w:r w:rsidR="00267C9C">
              <w:rPr>
                <w:rFonts w:asciiTheme="minorBidi" w:hAnsiTheme="minorBidi"/>
                <w:b/>
                <w:bCs/>
                <w:sz w:val="20"/>
                <w:szCs w:val="20"/>
              </w:rPr>
              <w:t>(</w:t>
            </w:r>
            <w:r w:rsidRPr="002077DE">
              <w:rPr>
                <w:rFonts w:asciiTheme="minorBidi" w:hAnsiTheme="minorBidi"/>
                <w:b/>
                <w:bCs/>
                <w:sz w:val="20"/>
                <w:szCs w:val="20"/>
              </w:rPr>
              <w:t>Hughes et al.</w:t>
            </w:r>
            <w:r w:rsidR="00267C9C">
              <w:rPr>
                <w:rFonts w:asciiTheme="minorBidi" w:hAnsiTheme="minorBidi"/>
                <w:b/>
                <w:bCs/>
                <w:sz w:val="20"/>
                <w:szCs w:val="20"/>
              </w:rPr>
              <w:t xml:space="preserve">, </w:t>
            </w:r>
            <w:r w:rsidRPr="002077DE">
              <w:rPr>
                <w:rFonts w:asciiTheme="minorBidi" w:hAnsiTheme="minorBidi"/>
                <w:b/>
                <w:bCs/>
                <w:sz w:val="20"/>
                <w:szCs w:val="20"/>
              </w:rPr>
              <w:t>2012):</w:t>
            </w:r>
            <w:r w:rsidRPr="002077DE">
              <w:rPr>
                <w:rFonts w:asciiTheme="minorBidi" w:hAnsiTheme="minorBidi"/>
                <w:sz w:val="20"/>
                <w:szCs w:val="20"/>
              </w:rPr>
              <w:t xml:space="preserve"> 46,</w:t>
            </w:r>
            <w:r w:rsidR="006F0C63" w:rsidRPr="002077DE">
              <w:rPr>
                <w:rFonts w:asciiTheme="minorBidi" w:hAnsiTheme="minorBidi"/>
                <w:sz w:val="20"/>
                <w:szCs w:val="20"/>
              </w:rPr>
              <w:t xml:space="preserve"> </w:t>
            </w:r>
            <w:r w:rsidRPr="002077DE">
              <w:rPr>
                <w:rFonts w:asciiTheme="minorBidi" w:hAnsiTheme="minorBidi"/>
                <w:sz w:val="20"/>
                <w:szCs w:val="20"/>
              </w:rPr>
              <w:t xml:space="preserve">XY individuals show </w:t>
            </w:r>
            <w:r w:rsidR="00267C9C">
              <w:rPr>
                <w:rFonts w:asciiTheme="minorBidi" w:hAnsiTheme="minorBidi"/>
                <w:sz w:val="20"/>
                <w:szCs w:val="20"/>
              </w:rPr>
              <w:t xml:space="preserve">the </w:t>
            </w:r>
            <w:r w:rsidRPr="002077DE">
              <w:rPr>
                <w:rFonts w:asciiTheme="minorBidi" w:hAnsiTheme="minorBidi"/>
                <w:sz w:val="20"/>
                <w:szCs w:val="20"/>
              </w:rPr>
              <w:t>highest testicular differentiation (KCS ~8).</w:t>
            </w:r>
          </w:p>
        </w:tc>
      </w:tr>
      <w:tr w:rsidR="0035292B" w:rsidRPr="002077DE" w14:paraId="75BEC37F" w14:textId="77777777" w:rsidTr="005713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CD943F" w14:textId="77777777"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5. Total CDCS Score (0–30 points)</w:t>
            </w:r>
          </w:p>
        </w:tc>
        <w:tc>
          <w:tcPr>
            <w:tcW w:w="0" w:type="auto"/>
            <w:hideMark/>
          </w:tcPr>
          <w:p w14:paraId="04BD2BA7"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DSD Severity Index, Surgical Intervention Criteria</w:t>
            </w:r>
          </w:p>
        </w:tc>
        <w:tc>
          <w:tcPr>
            <w:tcW w:w="0" w:type="auto"/>
            <w:hideMark/>
          </w:tcPr>
          <w:p w14:paraId="4FFC67F2" w14:textId="77777777" w:rsidR="006F0C63"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 xml:space="preserve">CDCS ≥ 20 predicted </w:t>
            </w:r>
            <w:r w:rsidR="006F0C63" w:rsidRPr="002077DE">
              <w:rPr>
                <w:rFonts w:asciiTheme="minorBidi" w:hAnsiTheme="minorBidi"/>
                <w:sz w:val="20"/>
                <w:szCs w:val="20"/>
              </w:rPr>
              <w:t>needs</w:t>
            </w:r>
            <w:r w:rsidRPr="002077DE">
              <w:rPr>
                <w:rFonts w:asciiTheme="minorBidi" w:hAnsiTheme="minorBidi"/>
                <w:sz w:val="20"/>
                <w:szCs w:val="20"/>
              </w:rPr>
              <w:t xml:space="preserve"> for surgical intervention (sensitivity 92%)</w:t>
            </w:r>
          </w:p>
          <w:p w14:paraId="68405552" w14:textId="5E647C2B"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CDCS &lt; 10 correlated with minimal intervention need</w:t>
            </w:r>
          </w:p>
        </w:tc>
        <w:tc>
          <w:tcPr>
            <w:tcW w:w="0" w:type="auto"/>
            <w:hideMark/>
          </w:tcPr>
          <w:p w14:paraId="4406B8AF" w14:textId="1959E16B" w:rsidR="006F0C63" w:rsidRPr="002077DE" w:rsidRDefault="0035292B" w:rsidP="00B0174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Pr>
                <w:rFonts w:asciiTheme="minorBidi" w:hAnsiTheme="minorBidi"/>
                <w:b/>
                <w:bCs/>
                <w:sz w:val="20"/>
                <w:szCs w:val="20"/>
              </w:rPr>
              <w:t>(</w:t>
            </w:r>
            <w:r w:rsidR="007824DB" w:rsidRPr="002077DE">
              <w:rPr>
                <w:rFonts w:asciiTheme="minorBidi" w:hAnsiTheme="minorBidi"/>
                <w:b/>
                <w:bCs/>
                <w:sz w:val="20"/>
                <w:szCs w:val="20"/>
              </w:rPr>
              <w:t>Ahmed et al.</w:t>
            </w:r>
            <w:r>
              <w:rPr>
                <w:rFonts w:asciiTheme="minorBidi" w:hAnsiTheme="minorBidi"/>
                <w:b/>
                <w:bCs/>
                <w:sz w:val="20"/>
                <w:szCs w:val="20"/>
              </w:rPr>
              <w:t xml:space="preserve">, </w:t>
            </w:r>
            <w:r w:rsidR="007824DB" w:rsidRPr="002077DE">
              <w:rPr>
                <w:rFonts w:asciiTheme="minorBidi" w:hAnsiTheme="minorBidi"/>
                <w:b/>
                <w:bCs/>
                <w:sz w:val="20"/>
                <w:szCs w:val="20"/>
              </w:rPr>
              <w:t>2019)</w:t>
            </w:r>
            <w:r w:rsidR="00B01745">
              <w:rPr>
                <w:rFonts w:asciiTheme="minorBidi" w:hAnsiTheme="minorBidi"/>
                <w:b/>
                <w:bCs/>
                <w:sz w:val="20"/>
                <w:szCs w:val="20"/>
              </w:rPr>
              <w:t xml:space="preserve"> &amp; </w:t>
            </w:r>
            <w:r w:rsidR="00B01745" w:rsidRPr="00B01745">
              <w:rPr>
                <w:rFonts w:asciiTheme="minorBidi" w:hAnsiTheme="minorBidi"/>
                <w:b/>
                <w:bCs/>
                <w:sz w:val="20"/>
                <w:szCs w:val="20"/>
              </w:rPr>
              <w:t>Kyriakou</w:t>
            </w:r>
            <w:r w:rsidR="00B01745">
              <w:rPr>
                <w:rFonts w:asciiTheme="minorBidi" w:hAnsiTheme="minorBidi"/>
                <w:b/>
                <w:bCs/>
                <w:sz w:val="20"/>
                <w:szCs w:val="20"/>
              </w:rPr>
              <w:t>, et al., 2016</w:t>
            </w:r>
            <w:r>
              <w:rPr>
                <w:rFonts w:asciiTheme="minorBidi" w:hAnsiTheme="minorBidi"/>
                <w:b/>
                <w:bCs/>
                <w:sz w:val="20"/>
                <w:szCs w:val="20"/>
              </w:rPr>
              <w:t>)</w:t>
            </w:r>
            <w:r w:rsidR="007824DB" w:rsidRPr="002077DE">
              <w:rPr>
                <w:rFonts w:asciiTheme="minorBidi" w:hAnsiTheme="minorBidi"/>
                <w:b/>
                <w:bCs/>
                <w:sz w:val="20"/>
                <w:szCs w:val="20"/>
              </w:rPr>
              <w:t>:</w:t>
            </w:r>
            <w:r w:rsidR="007824DB" w:rsidRPr="002077DE">
              <w:rPr>
                <w:rFonts w:asciiTheme="minorBidi" w:hAnsiTheme="minorBidi"/>
                <w:sz w:val="20"/>
                <w:szCs w:val="20"/>
              </w:rPr>
              <w:t xml:space="preserve"> Higher DSD severity scores predict </w:t>
            </w:r>
            <w:r w:rsidR="006F0C63" w:rsidRPr="002077DE">
              <w:rPr>
                <w:rFonts w:asciiTheme="minorBidi" w:hAnsiTheme="minorBidi"/>
                <w:sz w:val="20"/>
                <w:szCs w:val="20"/>
              </w:rPr>
              <w:t xml:space="preserve">a </w:t>
            </w:r>
            <w:r w:rsidR="007824DB" w:rsidRPr="002077DE">
              <w:rPr>
                <w:rFonts w:asciiTheme="minorBidi" w:hAnsiTheme="minorBidi"/>
                <w:sz w:val="20"/>
                <w:szCs w:val="20"/>
              </w:rPr>
              <w:t>greater need for medical/surgical management.</w:t>
            </w:r>
          </w:p>
          <w:p w14:paraId="071618B6" w14:textId="72BA9DC6"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 xml:space="preserve"> </w:t>
            </w:r>
            <w:r w:rsidR="0035292B">
              <w:rPr>
                <w:rFonts w:asciiTheme="minorBidi" w:hAnsiTheme="minorBidi"/>
                <w:sz w:val="20"/>
                <w:szCs w:val="20"/>
              </w:rPr>
              <w:t>(</w:t>
            </w:r>
            <w:r w:rsidRPr="002077DE">
              <w:rPr>
                <w:rFonts w:asciiTheme="minorBidi" w:hAnsiTheme="minorBidi"/>
                <w:b/>
                <w:bCs/>
                <w:sz w:val="20"/>
                <w:szCs w:val="20"/>
              </w:rPr>
              <w:t>Hughes et al.</w:t>
            </w:r>
            <w:r w:rsidR="0035292B">
              <w:rPr>
                <w:rFonts w:asciiTheme="minorBidi" w:hAnsiTheme="minorBidi"/>
                <w:b/>
                <w:bCs/>
                <w:sz w:val="20"/>
                <w:szCs w:val="20"/>
              </w:rPr>
              <w:t xml:space="preserve">, </w:t>
            </w:r>
            <w:r w:rsidRPr="002077DE">
              <w:rPr>
                <w:rFonts w:asciiTheme="minorBidi" w:hAnsiTheme="minorBidi"/>
                <w:b/>
                <w:bCs/>
                <w:sz w:val="20"/>
                <w:szCs w:val="20"/>
              </w:rPr>
              <w:t>2012):</w:t>
            </w:r>
            <w:r w:rsidRPr="002077DE">
              <w:rPr>
                <w:rFonts w:asciiTheme="minorBidi" w:hAnsiTheme="minorBidi"/>
                <w:sz w:val="20"/>
                <w:szCs w:val="20"/>
              </w:rPr>
              <w:t xml:space="preserve"> Clinical scoring systems guide individualized treatment.</w:t>
            </w:r>
          </w:p>
        </w:tc>
      </w:tr>
    </w:tbl>
    <w:p w14:paraId="53FBDFD1" w14:textId="7ECA94C2" w:rsidR="001E16FA" w:rsidRPr="002077DE" w:rsidRDefault="001E16FA" w:rsidP="001E16FA">
      <w:pPr>
        <w:pStyle w:val="Caption"/>
        <w:keepNext/>
        <w:jc w:val="both"/>
        <w:rPr>
          <w:rFonts w:asciiTheme="minorBidi" w:hAnsiTheme="minorBidi"/>
          <w:sz w:val="20"/>
          <w:szCs w:val="20"/>
        </w:rPr>
      </w:pPr>
      <w:r w:rsidRPr="002077DE">
        <w:rPr>
          <w:rFonts w:asciiTheme="minorBidi" w:hAnsiTheme="minorBidi"/>
          <w:b/>
          <w:bCs/>
          <w:i w:val="0"/>
          <w:iCs w:val="0"/>
          <w:sz w:val="20"/>
          <w:szCs w:val="20"/>
        </w:rPr>
        <w:lastRenderedPageBreak/>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12</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Evidence-Based Correlation Between CDCS and the Chicago Consensus 2006.</w:t>
      </w:r>
    </w:p>
    <w:tbl>
      <w:tblPr>
        <w:tblStyle w:val="GridTable4-Accent3"/>
        <w:tblW w:w="0" w:type="auto"/>
        <w:jc w:val="center"/>
        <w:tblLook w:val="04A0" w:firstRow="1" w:lastRow="0" w:firstColumn="1" w:lastColumn="0" w:noHBand="0" w:noVBand="1"/>
      </w:tblPr>
      <w:tblGrid>
        <w:gridCol w:w="1707"/>
        <w:gridCol w:w="2499"/>
        <w:gridCol w:w="2515"/>
        <w:gridCol w:w="2629"/>
      </w:tblGrid>
      <w:tr w:rsidR="005E06B6" w:rsidRPr="002077DE" w14:paraId="26C6B9A1" w14:textId="77777777" w:rsidTr="005713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D8B1F0" w14:textId="77777777" w:rsidR="001E16FA" w:rsidRPr="002077DE" w:rsidRDefault="001E16FA" w:rsidP="001E16FA">
            <w:pPr>
              <w:jc w:val="center"/>
              <w:rPr>
                <w:rFonts w:asciiTheme="minorBidi" w:hAnsiTheme="minorBidi"/>
                <w:color w:val="auto"/>
                <w:sz w:val="20"/>
                <w:szCs w:val="20"/>
              </w:rPr>
            </w:pPr>
            <w:r w:rsidRPr="002077DE">
              <w:rPr>
                <w:rFonts w:asciiTheme="minorBidi" w:hAnsiTheme="minorBidi"/>
                <w:color w:val="auto"/>
                <w:sz w:val="20"/>
                <w:szCs w:val="20"/>
              </w:rPr>
              <w:t>CDCS Category</w:t>
            </w:r>
          </w:p>
        </w:tc>
        <w:tc>
          <w:tcPr>
            <w:tcW w:w="0" w:type="auto"/>
            <w:hideMark/>
          </w:tcPr>
          <w:p w14:paraId="452F3B8C" w14:textId="77777777" w:rsidR="001E16FA" w:rsidRPr="002077DE" w:rsidRDefault="001E16FA" w:rsidP="001E16F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Chicago Consensus 2006 Classification</w:t>
            </w:r>
          </w:p>
        </w:tc>
        <w:tc>
          <w:tcPr>
            <w:tcW w:w="0" w:type="auto"/>
            <w:hideMark/>
          </w:tcPr>
          <w:p w14:paraId="400C5143" w14:textId="77777777" w:rsidR="001E16FA" w:rsidRPr="002077DE" w:rsidRDefault="001E16FA" w:rsidP="001E16F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Cohort Findings</w:t>
            </w:r>
          </w:p>
        </w:tc>
        <w:tc>
          <w:tcPr>
            <w:tcW w:w="0" w:type="auto"/>
            <w:hideMark/>
          </w:tcPr>
          <w:p w14:paraId="3396444B" w14:textId="77777777" w:rsidR="001E16FA" w:rsidRPr="002077DE" w:rsidRDefault="001E16FA" w:rsidP="001E16F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Supporting Evidence</w:t>
            </w:r>
          </w:p>
        </w:tc>
      </w:tr>
      <w:tr w:rsidR="005E06B6" w:rsidRPr="009B043C" w14:paraId="7A6B3B2B" w14:textId="77777777" w:rsidTr="005713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CC1ACC"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External Genitalia Score (EGS) (0–10 points)</w:t>
            </w:r>
          </w:p>
        </w:tc>
        <w:tc>
          <w:tcPr>
            <w:tcW w:w="0" w:type="auto"/>
            <w:hideMark/>
          </w:tcPr>
          <w:p w14:paraId="212CDEA0" w14:textId="59F8AA2E"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Correlates with the severity of ambiguous genitalia in 46, XX CAH and 46, XY under virilization syndromes.</w:t>
            </w:r>
          </w:p>
        </w:tc>
        <w:tc>
          <w:tcPr>
            <w:tcW w:w="0" w:type="auto"/>
            <w:hideMark/>
          </w:tcPr>
          <w:p w14:paraId="516563C9" w14:textId="5E01C85B"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 xml:space="preserve">Strong correlation (r = 0.82, p &lt; 0.001) with Chicago Consensus genital ambiguity classification. </w:t>
            </w:r>
            <w:r w:rsidRPr="009B043C">
              <w:rPr>
                <w:rFonts w:asciiTheme="minorBidi" w:hAnsiTheme="minorBidi"/>
                <w:sz w:val="18"/>
                <w:szCs w:val="18"/>
              </w:rPr>
              <w:br/>
              <w:t>Higher EGS are associated with severe Prader stages in 46, XX CAH and low EMS in 46,</w:t>
            </w:r>
            <w:r w:rsidR="004F2B03" w:rsidRPr="009B043C">
              <w:rPr>
                <w:rFonts w:asciiTheme="minorBidi" w:hAnsiTheme="minorBidi"/>
                <w:sz w:val="18"/>
                <w:szCs w:val="18"/>
              </w:rPr>
              <w:t xml:space="preserve"> </w:t>
            </w:r>
            <w:r w:rsidRPr="009B043C">
              <w:rPr>
                <w:rFonts w:asciiTheme="minorBidi" w:hAnsiTheme="minorBidi"/>
                <w:sz w:val="18"/>
                <w:szCs w:val="18"/>
              </w:rPr>
              <w:t>XY under virilization.</w:t>
            </w:r>
          </w:p>
        </w:tc>
        <w:tc>
          <w:tcPr>
            <w:tcW w:w="0" w:type="auto"/>
            <w:hideMark/>
          </w:tcPr>
          <w:p w14:paraId="39B1F0AF" w14:textId="708BD672" w:rsidR="001E16FA" w:rsidRPr="009B043C" w:rsidRDefault="001E16FA" w:rsidP="006F6BA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 xml:space="preserve"> </w:t>
            </w:r>
            <w:r w:rsidR="005E06B6">
              <w:rPr>
                <w:rFonts w:asciiTheme="minorBidi" w:hAnsiTheme="minorBidi"/>
                <w:sz w:val="18"/>
                <w:szCs w:val="18"/>
              </w:rPr>
              <w:t>(</w:t>
            </w:r>
            <w:r w:rsidRPr="009B043C">
              <w:rPr>
                <w:rFonts w:asciiTheme="minorBidi" w:hAnsiTheme="minorBidi"/>
                <w:b/>
                <w:bCs/>
                <w:sz w:val="18"/>
                <w:szCs w:val="18"/>
              </w:rPr>
              <w:t>Hughes et al.</w:t>
            </w:r>
            <w:r w:rsidR="005E06B6">
              <w:rPr>
                <w:rFonts w:asciiTheme="minorBidi" w:hAnsiTheme="minorBidi"/>
                <w:b/>
                <w:bCs/>
                <w:sz w:val="18"/>
                <w:szCs w:val="18"/>
              </w:rPr>
              <w:t xml:space="preserve">, </w:t>
            </w:r>
            <w:r w:rsidRPr="009B043C">
              <w:rPr>
                <w:rFonts w:asciiTheme="minorBidi" w:hAnsiTheme="minorBidi"/>
                <w:b/>
                <w:bCs/>
                <w:sz w:val="18"/>
                <w:szCs w:val="18"/>
              </w:rPr>
              <w:t>2006</w:t>
            </w:r>
            <w:r w:rsidR="006F6BA5">
              <w:rPr>
                <w:rFonts w:asciiTheme="minorBidi" w:hAnsiTheme="minorBidi"/>
                <w:b/>
                <w:bCs/>
                <w:sz w:val="18"/>
                <w:szCs w:val="18"/>
              </w:rPr>
              <w:t xml:space="preserve"> &amp; </w:t>
            </w:r>
            <w:r w:rsidR="006F6BA5" w:rsidRPr="006F6BA5">
              <w:rPr>
                <w:rFonts w:asciiTheme="minorBidi" w:hAnsiTheme="minorBidi"/>
                <w:b/>
                <w:bCs/>
                <w:sz w:val="18"/>
                <w:szCs w:val="18"/>
              </w:rPr>
              <w:t>Pasterski V</w:t>
            </w:r>
            <w:r w:rsidR="006F6BA5">
              <w:rPr>
                <w:rFonts w:asciiTheme="minorBidi" w:hAnsiTheme="minorBidi"/>
                <w:b/>
                <w:bCs/>
                <w:sz w:val="18"/>
                <w:szCs w:val="18"/>
              </w:rPr>
              <w:t>, et al., 2010)</w:t>
            </w:r>
            <w:r w:rsidRPr="009B043C">
              <w:rPr>
                <w:rFonts w:asciiTheme="minorBidi" w:hAnsiTheme="minorBidi"/>
                <w:b/>
                <w:bCs/>
                <w:sz w:val="18"/>
                <w:szCs w:val="18"/>
              </w:rPr>
              <w:t xml:space="preserve">: </w:t>
            </w:r>
            <w:r w:rsidRPr="009B043C">
              <w:rPr>
                <w:rFonts w:asciiTheme="minorBidi" w:hAnsiTheme="minorBidi"/>
                <w:sz w:val="18"/>
                <w:szCs w:val="18"/>
              </w:rPr>
              <w:t xml:space="preserve">Emphasized genital ambiguity as a key classification criterion in </w:t>
            </w:r>
            <w:r w:rsidR="005E06B6">
              <w:rPr>
                <w:rFonts w:asciiTheme="minorBidi" w:hAnsiTheme="minorBidi"/>
                <w:sz w:val="18"/>
                <w:szCs w:val="18"/>
              </w:rPr>
              <w:t xml:space="preserve">the </w:t>
            </w:r>
            <w:r w:rsidRPr="009B043C">
              <w:rPr>
                <w:rFonts w:asciiTheme="minorBidi" w:hAnsiTheme="minorBidi"/>
                <w:sz w:val="18"/>
                <w:szCs w:val="18"/>
              </w:rPr>
              <w:t>Chicago Consensus.</w:t>
            </w:r>
            <w:r w:rsidRPr="009B043C">
              <w:rPr>
                <w:rFonts w:asciiTheme="minorBidi" w:hAnsiTheme="minorBidi"/>
                <w:sz w:val="18"/>
                <w:szCs w:val="18"/>
              </w:rPr>
              <w:br/>
              <w:t xml:space="preserve"> </w:t>
            </w:r>
            <w:r w:rsidR="00D557E9">
              <w:rPr>
                <w:rFonts w:asciiTheme="minorBidi" w:hAnsiTheme="minorBidi"/>
                <w:sz w:val="18"/>
                <w:szCs w:val="18"/>
              </w:rPr>
              <w:t>(</w:t>
            </w:r>
            <w:r w:rsidRPr="009B043C">
              <w:rPr>
                <w:rFonts w:asciiTheme="minorBidi" w:hAnsiTheme="minorBidi"/>
                <w:b/>
                <w:bCs/>
                <w:sz w:val="18"/>
                <w:szCs w:val="18"/>
              </w:rPr>
              <w:t>Ahmed et al.</w:t>
            </w:r>
            <w:r w:rsidR="00D557E9">
              <w:rPr>
                <w:rFonts w:asciiTheme="minorBidi" w:hAnsiTheme="minorBidi"/>
                <w:b/>
                <w:bCs/>
                <w:sz w:val="18"/>
                <w:szCs w:val="18"/>
              </w:rPr>
              <w:t xml:space="preserve">, </w:t>
            </w:r>
            <w:r w:rsidRPr="009B043C">
              <w:rPr>
                <w:rFonts w:asciiTheme="minorBidi" w:hAnsiTheme="minorBidi"/>
                <w:b/>
                <w:bCs/>
                <w:sz w:val="18"/>
                <w:szCs w:val="18"/>
              </w:rPr>
              <w:t>2019):</w:t>
            </w:r>
            <w:r w:rsidRPr="009B043C">
              <w:rPr>
                <w:rFonts w:asciiTheme="minorBidi" w:hAnsiTheme="minorBidi"/>
                <w:sz w:val="18"/>
                <w:szCs w:val="18"/>
              </w:rPr>
              <w:t xml:space="preserve"> EMS accurately measures external masculinization, aligning with CDCS-EGS.</w:t>
            </w:r>
          </w:p>
        </w:tc>
      </w:tr>
      <w:tr w:rsidR="005E06B6" w:rsidRPr="009B043C" w14:paraId="068CE053" w14:textId="77777777" w:rsidTr="0057134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EC9D967"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Internal Genitalia Score (IGS) (0–6 points)</w:t>
            </w:r>
          </w:p>
        </w:tc>
        <w:tc>
          <w:tcPr>
            <w:tcW w:w="0" w:type="auto"/>
            <w:hideMark/>
          </w:tcPr>
          <w:p w14:paraId="20A63D21" w14:textId="0B1E21F5"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Correlates with Müllerian/Wolffian differentiation status in 46, XX, and 46, XY DSD.</w:t>
            </w:r>
          </w:p>
        </w:tc>
        <w:tc>
          <w:tcPr>
            <w:tcW w:w="0" w:type="auto"/>
            <w:hideMark/>
          </w:tcPr>
          <w:p w14:paraId="2483E671" w14:textId="50F510F0"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Moderate correlation (r = 0.67, p &lt; 0.001) with internal reproductive anatomy classification in Chicago Consensus.</w:t>
            </w:r>
            <w:r w:rsidRPr="009B043C">
              <w:rPr>
                <w:rFonts w:asciiTheme="minorBidi" w:hAnsiTheme="minorBidi"/>
                <w:sz w:val="18"/>
                <w:szCs w:val="18"/>
              </w:rPr>
              <w:br/>
              <w:t>Persistent Müllerian structures (low IGS) were observed in AMH deficiency cases (e.g., PMDS in 46, XY DSD).</w:t>
            </w:r>
          </w:p>
        </w:tc>
        <w:tc>
          <w:tcPr>
            <w:tcW w:w="0" w:type="auto"/>
            <w:hideMark/>
          </w:tcPr>
          <w:p w14:paraId="732C5384" w14:textId="30C1C7AB"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 xml:space="preserve"> </w:t>
            </w:r>
            <w:r w:rsidR="00071021">
              <w:rPr>
                <w:rFonts w:asciiTheme="minorBidi" w:hAnsiTheme="minorBidi"/>
                <w:sz w:val="18"/>
                <w:szCs w:val="18"/>
              </w:rPr>
              <w:t>(</w:t>
            </w:r>
            <w:r w:rsidRPr="009B043C">
              <w:rPr>
                <w:rFonts w:asciiTheme="minorBidi" w:hAnsiTheme="minorBidi"/>
                <w:b/>
                <w:bCs/>
                <w:sz w:val="18"/>
                <w:szCs w:val="18"/>
              </w:rPr>
              <w:t>Hughes et al.</w:t>
            </w:r>
            <w:r w:rsidR="00071021">
              <w:rPr>
                <w:rFonts w:asciiTheme="minorBidi" w:hAnsiTheme="minorBidi"/>
                <w:b/>
                <w:bCs/>
                <w:sz w:val="18"/>
                <w:szCs w:val="18"/>
              </w:rPr>
              <w:t xml:space="preserve">, </w:t>
            </w:r>
            <w:r w:rsidRPr="009B043C">
              <w:rPr>
                <w:rFonts w:asciiTheme="minorBidi" w:hAnsiTheme="minorBidi"/>
                <w:b/>
                <w:bCs/>
                <w:sz w:val="18"/>
                <w:szCs w:val="18"/>
              </w:rPr>
              <w:t>2006):</w:t>
            </w:r>
            <w:r w:rsidRPr="009B043C">
              <w:rPr>
                <w:rFonts w:asciiTheme="minorBidi" w:hAnsiTheme="minorBidi"/>
                <w:sz w:val="18"/>
                <w:szCs w:val="18"/>
              </w:rPr>
              <w:t xml:space="preserve"> Internal genitalia differentiation is critical in subclassifying DSD. </w:t>
            </w:r>
            <w:r w:rsidRPr="009B043C">
              <w:rPr>
                <w:rFonts w:asciiTheme="minorBidi" w:hAnsiTheme="minorBidi"/>
                <w:sz w:val="18"/>
                <w:szCs w:val="18"/>
              </w:rPr>
              <w:br/>
              <w:t xml:space="preserve"> </w:t>
            </w:r>
            <w:r w:rsidR="007F663B">
              <w:rPr>
                <w:rFonts w:asciiTheme="minorBidi" w:hAnsiTheme="minorBidi"/>
                <w:sz w:val="18"/>
                <w:szCs w:val="18"/>
              </w:rPr>
              <w:t>(</w:t>
            </w:r>
            <w:r w:rsidRPr="009B043C">
              <w:rPr>
                <w:rFonts w:asciiTheme="minorBidi" w:hAnsiTheme="minorBidi"/>
                <w:b/>
                <w:bCs/>
                <w:sz w:val="18"/>
                <w:szCs w:val="18"/>
              </w:rPr>
              <w:t>Cools et al.</w:t>
            </w:r>
            <w:r w:rsidR="007F663B">
              <w:rPr>
                <w:rFonts w:asciiTheme="minorBidi" w:hAnsiTheme="minorBidi"/>
                <w:b/>
                <w:bCs/>
                <w:sz w:val="18"/>
                <w:szCs w:val="18"/>
              </w:rPr>
              <w:t xml:space="preserve">, </w:t>
            </w:r>
            <w:r w:rsidRPr="009B043C">
              <w:rPr>
                <w:rFonts w:asciiTheme="minorBidi" w:hAnsiTheme="minorBidi"/>
                <w:b/>
                <w:bCs/>
                <w:sz w:val="18"/>
                <w:szCs w:val="18"/>
              </w:rPr>
              <w:t>2018):</w:t>
            </w:r>
            <w:r w:rsidRPr="009B043C">
              <w:rPr>
                <w:rFonts w:asciiTheme="minorBidi" w:hAnsiTheme="minorBidi"/>
                <w:sz w:val="18"/>
                <w:szCs w:val="18"/>
              </w:rPr>
              <w:t xml:space="preserve"> Wolffian structure remnants indicate partial testicular function.</w:t>
            </w:r>
          </w:p>
        </w:tc>
      </w:tr>
      <w:tr w:rsidR="005E06B6" w:rsidRPr="009B043C" w14:paraId="2A32B4E0" w14:textId="77777777" w:rsidTr="005713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867CE2"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Gonadal Position &amp; Function Score (GPS) (0–6 points)</w:t>
            </w:r>
          </w:p>
        </w:tc>
        <w:tc>
          <w:tcPr>
            <w:tcW w:w="0" w:type="auto"/>
            <w:hideMark/>
          </w:tcPr>
          <w:p w14:paraId="7371D4CC" w14:textId="77777777"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Associated with testicular function and gonadal dysgenesis classification in the Chicago Consensus.</w:t>
            </w:r>
          </w:p>
        </w:tc>
        <w:tc>
          <w:tcPr>
            <w:tcW w:w="0" w:type="auto"/>
            <w:hideMark/>
          </w:tcPr>
          <w:p w14:paraId="70FD891F" w14:textId="3710911F"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Strong correlation (r = 0.75, p &lt; 0.001) with gonadal dysgenesis and function assessment in Chicago Consensus.</w:t>
            </w:r>
            <w:r w:rsidRPr="009B043C">
              <w:rPr>
                <w:rFonts w:asciiTheme="minorBidi" w:hAnsiTheme="minorBidi"/>
                <w:sz w:val="18"/>
                <w:szCs w:val="18"/>
              </w:rPr>
              <w:br/>
              <w:t>Low GPS scores (&lt;3) linked to high gonadal dysfunction risk, similar to the Chicago Consensus categorization of gonadal dysgenesis.</w:t>
            </w:r>
          </w:p>
        </w:tc>
        <w:tc>
          <w:tcPr>
            <w:tcW w:w="0" w:type="auto"/>
            <w:hideMark/>
          </w:tcPr>
          <w:p w14:paraId="49826392" w14:textId="54768916"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b/>
                <w:bCs/>
                <w:sz w:val="18"/>
                <w:szCs w:val="18"/>
              </w:rPr>
              <w:t xml:space="preserve"> </w:t>
            </w:r>
            <w:r w:rsidR="005B15CC">
              <w:rPr>
                <w:rFonts w:asciiTheme="minorBidi" w:hAnsiTheme="minorBidi"/>
                <w:b/>
                <w:bCs/>
                <w:sz w:val="18"/>
                <w:szCs w:val="18"/>
              </w:rPr>
              <w:t>(</w:t>
            </w:r>
            <w:r w:rsidRPr="009B043C">
              <w:rPr>
                <w:rFonts w:asciiTheme="minorBidi" w:hAnsiTheme="minorBidi"/>
                <w:b/>
                <w:bCs/>
                <w:sz w:val="18"/>
                <w:szCs w:val="18"/>
              </w:rPr>
              <w:t>Hughes et al.</w:t>
            </w:r>
            <w:r w:rsidR="005B15CC">
              <w:rPr>
                <w:rFonts w:asciiTheme="minorBidi" w:hAnsiTheme="minorBidi"/>
                <w:b/>
                <w:bCs/>
                <w:sz w:val="18"/>
                <w:szCs w:val="18"/>
              </w:rPr>
              <w:t xml:space="preserve">, </w:t>
            </w:r>
            <w:r w:rsidRPr="009B043C">
              <w:rPr>
                <w:rFonts w:asciiTheme="minorBidi" w:hAnsiTheme="minorBidi"/>
                <w:b/>
                <w:bCs/>
                <w:sz w:val="18"/>
                <w:szCs w:val="18"/>
              </w:rPr>
              <w:t>2012):</w:t>
            </w:r>
            <w:r w:rsidRPr="009B043C">
              <w:rPr>
                <w:rFonts w:asciiTheme="minorBidi" w:hAnsiTheme="minorBidi"/>
                <w:sz w:val="18"/>
                <w:szCs w:val="18"/>
              </w:rPr>
              <w:t xml:space="preserve"> Gonadal function is a primary determinant in DSD classification. </w:t>
            </w:r>
            <w:r w:rsidRPr="009B043C">
              <w:rPr>
                <w:rFonts w:asciiTheme="minorBidi" w:hAnsiTheme="minorBidi"/>
                <w:sz w:val="18"/>
                <w:szCs w:val="18"/>
              </w:rPr>
              <w:br/>
              <w:t xml:space="preserve"> </w:t>
            </w:r>
            <w:r w:rsidR="00530118">
              <w:rPr>
                <w:rFonts w:asciiTheme="minorBidi" w:hAnsiTheme="minorBidi"/>
                <w:sz w:val="18"/>
                <w:szCs w:val="18"/>
              </w:rPr>
              <w:t>(</w:t>
            </w:r>
            <w:r w:rsidRPr="009B043C">
              <w:rPr>
                <w:rFonts w:asciiTheme="minorBidi" w:hAnsiTheme="minorBidi"/>
                <w:b/>
                <w:bCs/>
                <w:sz w:val="18"/>
                <w:szCs w:val="18"/>
              </w:rPr>
              <w:t>Deans et al.</w:t>
            </w:r>
            <w:r w:rsidR="00530118">
              <w:rPr>
                <w:rFonts w:asciiTheme="minorBidi" w:hAnsiTheme="minorBidi"/>
                <w:b/>
                <w:bCs/>
                <w:sz w:val="18"/>
                <w:szCs w:val="18"/>
              </w:rPr>
              <w:t xml:space="preserve">, </w:t>
            </w:r>
            <w:r w:rsidRPr="009B043C">
              <w:rPr>
                <w:rFonts w:asciiTheme="minorBidi" w:hAnsiTheme="minorBidi"/>
                <w:b/>
                <w:bCs/>
                <w:sz w:val="18"/>
                <w:szCs w:val="18"/>
              </w:rPr>
              <w:t xml:space="preserve">2012): </w:t>
            </w:r>
            <w:r w:rsidRPr="009B043C">
              <w:rPr>
                <w:rFonts w:asciiTheme="minorBidi" w:hAnsiTheme="minorBidi"/>
                <w:sz w:val="18"/>
                <w:szCs w:val="18"/>
              </w:rPr>
              <w:t>AMH and FSH levels predict gonadal functionality, supporting GPS assessment.</w:t>
            </w:r>
          </w:p>
        </w:tc>
      </w:tr>
      <w:tr w:rsidR="005E06B6" w:rsidRPr="009B043C" w14:paraId="6F1ABC73" w14:textId="77777777" w:rsidTr="0057134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51D13C"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Karyotype &amp; Chromosomal Score (KCS) (0–8 points)</w:t>
            </w:r>
          </w:p>
        </w:tc>
        <w:tc>
          <w:tcPr>
            <w:tcW w:w="0" w:type="auto"/>
            <w:hideMark/>
          </w:tcPr>
          <w:p w14:paraId="3BD4DF29" w14:textId="00231AA0"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Directly correlates with karyotype-based DSD classification (46, XX DSD, 46, XY DSD, Sex Chromosome DSD).</w:t>
            </w:r>
          </w:p>
        </w:tc>
        <w:tc>
          <w:tcPr>
            <w:tcW w:w="0" w:type="auto"/>
            <w:hideMark/>
          </w:tcPr>
          <w:p w14:paraId="7082052D" w14:textId="57D50444"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Strong correlation (r = 0.71, p &lt; 0.001) between KCS and Chicago Consensus karyotypic classification.</w:t>
            </w:r>
            <w:r w:rsidRPr="009B043C">
              <w:rPr>
                <w:rFonts w:asciiTheme="minorBidi" w:hAnsiTheme="minorBidi"/>
                <w:sz w:val="18"/>
                <w:szCs w:val="18"/>
              </w:rPr>
              <w:br/>
              <w:t>Patients with mosaic karyotypes (e.g., 45, X/46, XY) had intermediate KCS scores, reflecting variable phenotypes.</w:t>
            </w:r>
          </w:p>
        </w:tc>
        <w:tc>
          <w:tcPr>
            <w:tcW w:w="0" w:type="auto"/>
            <w:hideMark/>
          </w:tcPr>
          <w:p w14:paraId="470D9505" w14:textId="5816D267"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 xml:space="preserve"> </w:t>
            </w:r>
            <w:r w:rsidR="007D2452">
              <w:rPr>
                <w:rFonts w:asciiTheme="minorBidi" w:hAnsiTheme="minorBidi"/>
                <w:sz w:val="18"/>
                <w:szCs w:val="18"/>
              </w:rPr>
              <w:t>(</w:t>
            </w:r>
            <w:r w:rsidRPr="009B043C">
              <w:rPr>
                <w:rFonts w:asciiTheme="minorBidi" w:hAnsiTheme="minorBidi"/>
                <w:b/>
                <w:bCs/>
                <w:sz w:val="18"/>
                <w:szCs w:val="18"/>
              </w:rPr>
              <w:t>Hughes et al.</w:t>
            </w:r>
            <w:r w:rsidR="007D2452">
              <w:rPr>
                <w:rFonts w:asciiTheme="minorBidi" w:hAnsiTheme="minorBidi"/>
                <w:b/>
                <w:bCs/>
                <w:sz w:val="18"/>
                <w:szCs w:val="18"/>
              </w:rPr>
              <w:t xml:space="preserve">, </w:t>
            </w:r>
            <w:r w:rsidRPr="009B043C">
              <w:rPr>
                <w:rFonts w:asciiTheme="minorBidi" w:hAnsiTheme="minorBidi"/>
                <w:b/>
                <w:bCs/>
                <w:sz w:val="18"/>
                <w:szCs w:val="18"/>
              </w:rPr>
              <w:t>2006):</w:t>
            </w:r>
            <w:r w:rsidRPr="009B043C">
              <w:rPr>
                <w:rFonts w:asciiTheme="minorBidi" w:hAnsiTheme="minorBidi"/>
                <w:sz w:val="18"/>
                <w:szCs w:val="18"/>
              </w:rPr>
              <w:t xml:space="preserve"> Karyotype is the fundamental basis for the Chicago Consensus. </w:t>
            </w:r>
            <w:r w:rsidRPr="009B043C">
              <w:rPr>
                <w:rFonts w:asciiTheme="minorBidi" w:hAnsiTheme="minorBidi"/>
                <w:sz w:val="18"/>
                <w:szCs w:val="18"/>
              </w:rPr>
              <w:br/>
              <w:t xml:space="preserve"> </w:t>
            </w:r>
            <w:r w:rsidR="007D2452">
              <w:rPr>
                <w:rFonts w:asciiTheme="minorBidi" w:hAnsiTheme="minorBidi"/>
                <w:sz w:val="18"/>
                <w:szCs w:val="18"/>
              </w:rPr>
              <w:t>(</w:t>
            </w:r>
            <w:r w:rsidRPr="009B043C">
              <w:rPr>
                <w:rFonts w:asciiTheme="minorBidi" w:hAnsiTheme="minorBidi"/>
                <w:b/>
                <w:bCs/>
                <w:sz w:val="18"/>
                <w:szCs w:val="18"/>
              </w:rPr>
              <w:t>Cools et al.</w:t>
            </w:r>
            <w:r w:rsidR="007D2452">
              <w:rPr>
                <w:rFonts w:asciiTheme="minorBidi" w:hAnsiTheme="minorBidi"/>
                <w:b/>
                <w:bCs/>
                <w:sz w:val="18"/>
                <w:szCs w:val="18"/>
              </w:rPr>
              <w:t xml:space="preserve">, </w:t>
            </w:r>
            <w:r w:rsidRPr="009B043C">
              <w:rPr>
                <w:rFonts w:asciiTheme="minorBidi" w:hAnsiTheme="minorBidi"/>
                <w:b/>
                <w:bCs/>
                <w:sz w:val="18"/>
                <w:szCs w:val="18"/>
              </w:rPr>
              <w:t>2018):</w:t>
            </w:r>
            <w:r w:rsidRPr="009B043C">
              <w:rPr>
                <w:rFonts w:asciiTheme="minorBidi" w:hAnsiTheme="minorBidi"/>
                <w:sz w:val="18"/>
                <w:szCs w:val="18"/>
              </w:rPr>
              <w:t xml:space="preserve"> Mixed gonadal dysgenesis shows chromosomal heterogeneity, aligning with KCS scoring.</w:t>
            </w:r>
          </w:p>
        </w:tc>
      </w:tr>
      <w:tr w:rsidR="005E06B6" w:rsidRPr="009B043C" w14:paraId="1ED372BD" w14:textId="77777777" w:rsidTr="005713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BC8D99"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Total CDCS Score (0–30 points)</w:t>
            </w:r>
          </w:p>
        </w:tc>
        <w:tc>
          <w:tcPr>
            <w:tcW w:w="0" w:type="auto"/>
            <w:hideMark/>
          </w:tcPr>
          <w:p w14:paraId="2F91104F" w14:textId="77777777"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Predicts the need for surgical/hormonal intervention based on severity, similar to the Chicago Consensus.</w:t>
            </w:r>
          </w:p>
        </w:tc>
        <w:tc>
          <w:tcPr>
            <w:tcW w:w="0" w:type="auto"/>
            <w:hideMark/>
          </w:tcPr>
          <w:p w14:paraId="6B2B6590" w14:textId="77777777"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CDCS ≥ 20 predicted surgical intervention need with 92% sensitivity, comparable to Chicago Consensus surgical criteria for severe DSD cases.</w:t>
            </w:r>
            <w:r w:rsidRPr="009B043C">
              <w:rPr>
                <w:rFonts w:asciiTheme="minorBidi" w:hAnsiTheme="minorBidi"/>
                <w:sz w:val="18"/>
                <w:szCs w:val="18"/>
              </w:rPr>
              <w:br/>
              <w:t>CDCS &lt; 10 correlated with minimal intervention need, mirroring milder DSD phenotypes under the Chicago Consensus.</w:t>
            </w:r>
          </w:p>
        </w:tc>
        <w:tc>
          <w:tcPr>
            <w:tcW w:w="0" w:type="auto"/>
            <w:hideMark/>
          </w:tcPr>
          <w:p w14:paraId="7AE42E5C" w14:textId="0DFC992C"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b/>
                <w:bCs/>
                <w:sz w:val="18"/>
                <w:szCs w:val="18"/>
              </w:rPr>
              <w:t xml:space="preserve"> </w:t>
            </w:r>
            <w:r w:rsidR="003957A7">
              <w:rPr>
                <w:rFonts w:asciiTheme="minorBidi" w:hAnsiTheme="minorBidi"/>
                <w:b/>
                <w:bCs/>
                <w:sz w:val="18"/>
                <w:szCs w:val="18"/>
              </w:rPr>
              <w:t>(</w:t>
            </w:r>
            <w:r w:rsidRPr="009B043C">
              <w:rPr>
                <w:rFonts w:asciiTheme="minorBidi" w:hAnsiTheme="minorBidi"/>
                <w:b/>
                <w:bCs/>
                <w:sz w:val="18"/>
                <w:szCs w:val="18"/>
              </w:rPr>
              <w:t>Ahmed et al.</w:t>
            </w:r>
            <w:r w:rsidR="003957A7">
              <w:rPr>
                <w:rFonts w:asciiTheme="minorBidi" w:hAnsiTheme="minorBidi"/>
                <w:b/>
                <w:bCs/>
                <w:sz w:val="18"/>
                <w:szCs w:val="18"/>
              </w:rPr>
              <w:t xml:space="preserve">, </w:t>
            </w:r>
            <w:r w:rsidRPr="009B043C">
              <w:rPr>
                <w:rFonts w:asciiTheme="minorBidi" w:hAnsiTheme="minorBidi"/>
                <w:b/>
                <w:bCs/>
                <w:sz w:val="18"/>
                <w:szCs w:val="18"/>
              </w:rPr>
              <w:t>2019):</w:t>
            </w:r>
            <w:r w:rsidRPr="009B043C">
              <w:rPr>
                <w:rFonts w:asciiTheme="minorBidi" w:hAnsiTheme="minorBidi"/>
                <w:sz w:val="18"/>
                <w:szCs w:val="18"/>
              </w:rPr>
              <w:t xml:space="preserve"> Higher DSD severity scores predict a greater need for intervention. </w:t>
            </w:r>
            <w:r w:rsidRPr="009B043C">
              <w:rPr>
                <w:rFonts w:asciiTheme="minorBidi" w:hAnsiTheme="minorBidi"/>
                <w:sz w:val="18"/>
                <w:szCs w:val="18"/>
              </w:rPr>
              <w:br/>
            </w:r>
            <w:r w:rsidR="000130FC">
              <w:rPr>
                <w:rFonts w:asciiTheme="minorBidi" w:hAnsiTheme="minorBidi"/>
                <w:b/>
                <w:bCs/>
                <w:sz w:val="18"/>
                <w:szCs w:val="18"/>
              </w:rPr>
              <w:t>(</w:t>
            </w:r>
            <w:r w:rsidRPr="009B043C">
              <w:rPr>
                <w:rFonts w:asciiTheme="minorBidi" w:hAnsiTheme="minorBidi"/>
                <w:b/>
                <w:bCs/>
                <w:sz w:val="18"/>
                <w:szCs w:val="18"/>
              </w:rPr>
              <w:t>Hughes et al.</w:t>
            </w:r>
            <w:r w:rsidR="000130FC">
              <w:rPr>
                <w:rFonts w:asciiTheme="minorBidi" w:hAnsiTheme="minorBidi"/>
                <w:b/>
                <w:bCs/>
                <w:sz w:val="18"/>
                <w:szCs w:val="18"/>
              </w:rPr>
              <w:t xml:space="preserve">, </w:t>
            </w:r>
            <w:r w:rsidRPr="009B043C">
              <w:rPr>
                <w:rFonts w:asciiTheme="minorBidi" w:hAnsiTheme="minorBidi"/>
                <w:b/>
                <w:bCs/>
                <w:sz w:val="18"/>
                <w:szCs w:val="18"/>
              </w:rPr>
              <w:t>2012):</w:t>
            </w:r>
            <w:r w:rsidRPr="009B043C">
              <w:rPr>
                <w:rFonts w:asciiTheme="minorBidi" w:hAnsiTheme="minorBidi"/>
                <w:sz w:val="18"/>
                <w:szCs w:val="18"/>
              </w:rPr>
              <w:t xml:space="preserve"> Surgical decisions depend on </w:t>
            </w:r>
            <w:r w:rsidR="005F1E28">
              <w:rPr>
                <w:rFonts w:asciiTheme="minorBidi" w:hAnsiTheme="minorBidi"/>
                <w:sz w:val="18"/>
                <w:szCs w:val="18"/>
              </w:rPr>
              <w:t xml:space="preserve">the </w:t>
            </w:r>
            <w:r w:rsidRPr="009B043C">
              <w:rPr>
                <w:rFonts w:asciiTheme="minorBidi" w:hAnsiTheme="minorBidi"/>
                <w:sz w:val="18"/>
                <w:szCs w:val="18"/>
              </w:rPr>
              <w:t>severity and functional prognosis, aligning with CDCS cutoffs.</w:t>
            </w:r>
          </w:p>
        </w:tc>
      </w:tr>
    </w:tbl>
    <w:p w14:paraId="70CBE7C2" w14:textId="77777777" w:rsidR="009B043C" w:rsidRDefault="009B043C" w:rsidP="001E16FA">
      <w:pPr>
        <w:pStyle w:val="Caption"/>
        <w:keepNext/>
        <w:jc w:val="both"/>
        <w:rPr>
          <w:rFonts w:asciiTheme="minorBidi" w:hAnsiTheme="minorBidi"/>
          <w:b/>
          <w:bCs/>
          <w:i w:val="0"/>
          <w:iCs w:val="0"/>
          <w:sz w:val="20"/>
          <w:szCs w:val="20"/>
        </w:rPr>
      </w:pPr>
    </w:p>
    <w:p w14:paraId="50D0A626" w14:textId="77777777" w:rsidR="009B043C" w:rsidRPr="009B043C" w:rsidRDefault="009B043C" w:rsidP="009B043C"/>
    <w:p w14:paraId="17E50B3F" w14:textId="77777777" w:rsidR="009B043C" w:rsidRDefault="009B043C" w:rsidP="001E16FA">
      <w:pPr>
        <w:pStyle w:val="Caption"/>
        <w:keepNext/>
        <w:jc w:val="both"/>
        <w:rPr>
          <w:rFonts w:asciiTheme="minorBidi" w:hAnsiTheme="minorBidi"/>
          <w:b/>
          <w:bCs/>
          <w:i w:val="0"/>
          <w:iCs w:val="0"/>
          <w:sz w:val="20"/>
          <w:szCs w:val="20"/>
        </w:rPr>
      </w:pPr>
    </w:p>
    <w:p w14:paraId="331674E7" w14:textId="77777777" w:rsidR="007A70FA" w:rsidRPr="007A70FA" w:rsidRDefault="007A70FA" w:rsidP="007A70FA"/>
    <w:p w14:paraId="3B764186" w14:textId="55AAE376" w:rsidR="001E16FA" w:rsidRPr="002077DE" w:rsidRDefault="001E16FA" w:rsidP="001E16FA">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lastRenderedPageBreak/>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003F6C67" w:rsidRPr="002077DE">
        <w:rPr>
          <w:rFonts w:asciiTheme="minorBidi" w:hAnsiTheme="minorBidi"/>
          <w:b/>
          <w:bCs/>
          <w:i w:val="0"/>
          <w:iCs w:val="0"/>
          <w:noProof/>
          <w:sz w:val="20"/>
          <w:szCs w:val="20"/>
        </w:rPr>
        <w:t>13</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Summary of Key Statistical Findings, revealed that CDCS significantly differed by karyotype, with higher scores in 46, XY individuals. A strong correlation (r = 0.72) confirmed that higher CDCS scores predicted increased intervention needs. ROC analysis demonstrated CDCS as an accurate surgical predictor (AUC = 0.86). The CDCS scoring system was highly reproducible (ICC = 0.82), supporting its reliability in clinical settings.</w:t>
      </w:r>
    </w:p>
    <w:p w14:paraId="354B9539" w14:textId="42BC8BF8" w:rsidR="001E16FA" w:rsidRPr="002077DE" w:rsidRDefault="001E16FA" w:rsidP="001E16FA">
      <w:pPr>
        <w:pStyle w:val="Caption"/>
        <w:keepNext/>
        <w:rPr>
          <w:rFonts w:asciiTheme="minorBidi" w:hAnsiTheme="minorBidi"/>
          <w:sz w:val="20"/>
          <w:szCs w:val="20"/>
        </w:rPr>
      </w:pPr>
    </w:p>
    <w:tbl>
      <w:tblPr>
        <w:tblStyle w:val="GridTable4-Accent3"/>
        <w:tblW w:w="0" w:type="auto"/>
        <w:jc w:val="center"/>
        <w:tblLook w:val="04A0" w:firstRow="1" w:lastRow="0" w:firstColumn="1" w:lastColumn="0" w:noHBand="0" w:noVBand="1"/>
      </w:tblPr>
      <w:tblGrid>
        <w:gridCol w:w="3502"/>
        <w:gridCol w:w="2802"/>
        <w:gridCol w:w="2158"/>
        <w:gridCol w:w="888"/>
      </w:tblGrid>
      <w:tr w:rsidR="006F0E45" w:rsidRPr="002077DE" w14:paraId="108EFB7F" w14:textId="77777777" w:rsidTr="00930A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4E8561" w14:textId="77777777" w:rsidR="006F0E45" w:rsidRPr="002077DE" w:rsidRDefault="006F0E45" w:rsidP="001E16FA">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Analysis</w:t>
            </w:r>
          </w:p>
        </w:tc>
        <w:tc>
          <w:tcPr>
            <w:tcW w:w="0" w:type="auto"/>
            <w:hideMark/>
          </w:tcPr>
          <w:p w14:paraId="155FA698" w14:textId="77777777" w:rsidR="006F0E45" w:rsidRPr="002077DE" w:rsidRDefault="006F0E45" w:rsidP="001E16F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Statistical Test Used</w:t>
            </w:r>
          </w:p>
        </w:tc>
        <w:tc>
          <w:tcPr>
            <w:tcW w:w="0" w:type="auto"/>
            <w:hideMark/>
          </w:tcPr>
          <w:p w14:paraId="1186CC38" w14:textId="77777777" w:rsidR="006F0E45" w:rsidRPr="002077DE" w:rsidRDefault="006F0E45" w:rsidP="001E16F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Results</w:t>
            </w:r>
          </w:p>
        </w:tc>
        <w:tc>
          <w:tcPr>
            <w:tcW w:w="0" w:type="auto"/>
            <w:hideMark/>
          </w:tcPr>
          <w:p w14:paraId="7B554041" w14:textId="77777777" w:rsidR="006F0E45" w:rsidRPr="002077DE" w:rsidRDefault="006F0E45" w:rsidP="001E16F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6F0E45" w:rsidRPr="002077DE" w14:paraId="04CE5CF0"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52F09B" w14:textId="77777777" w:rsidR="006F0E45" w:rsidRPr="002077DE" w:rsidRDefault="006F0E45" w:rsidP="001E16FA">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Sex-based differences in CDCS</w:t>
            </w:r>
          </w:p>
        </w:tc>
        <w:tc>
          <w:tcPr>
            <w:tcW w:w="0" w:type="auto"/>
            <w:hideMark/>
          </w:tcPr>
          <w:p w14:paraId="00E5505D"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t-test</w:t>
            </w:r>
          </w:p>
        </w:tc>
        <w:tc>
          <w:tcPr>
            <w:tcW w:w="0" w:type="auto"/>
            <w:hideMark/>
          </w:tcPr>
          <w:p w14:paraId="7848C265" w14:textId="57BAA4D3" w:rsidR="006F0E45" w:rsidRPr="002077DE" w:rsidRDefault="00061A5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XY</w:t>
            </w:r>
            <w:r w:rsidR="006F0E45" w:rsidRPr="002077DE">
              <w:rPr>
                <w:rFonts w:asciiTheme="minorBidi" w:hAnsiTheme="minorBidi"/>
                <w:sz w:val="20"/>
                <w:szCs w:val="20"/>
              </w:rPr>
              <w:t xml:space="preserve"> (18.2) vs. </w:t>
            </w:r>
            <w:r w:rsidR="001E16FA" w:rsidRPr="002077DE">
              <w:rPr>
                <w:rFonts w:asciiTheme="minorBidi" w:hAnsiTheme="minorBidi"/>
                <w:sz w:val="20"/>
                <w:szCs w:val="20"/>
              </w:rPr>
              <w:t>46, XX</w:t>
            </w:r>
            <w:r w:rsidR="006F0E45" w:rsidRPr="002077DE">
              <w:rPr>
                <w:rFonts w:asciiTheme="minorBidi" w:hAnsiTheme="minorBidi"/>
                <w:sz w:val="20"/>
                <w:szCs w:val="20"/>
              </w:rPr>
              <w:t xml:space="preserve"> (9.7)</w:t>
            </w:r>
          </w:p>
        </w:tc>
        <w:tc>
          <w:tcPr>
            <w:tcW w:w="0" w:type="auto"/>
            <w:hideMark/>
          </w:tcPr>
          <w:p w14:paraId="1A5688E4"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&lt;0.01</w:t>
            </w:r>
          </w:p>
        </w:tc>
      </w:tr>
      <w:tr w:rsidR="006F0E45" w:rsidRPr="002077DE" w14:paraId="39E48AB9" w14:textId="77777777" w:rsidTr="00930A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BD008F3" w14:textId="77777777" w:rsidR="006F0E45" w:rsidRPr="002077DE" w:rsidRDefault="006F0E45" w:rsidP="001E16FA">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CDCS correlation with surgery/hormone therapy</w:t>
            </w:r>
          </w:p>
        </w:tc>
        <w:tc>
          <w:tcPr>
            <w:tcW w:w="0" w:type="auto"/>
            <w:hideMark/>
          </w:tcPr>
          <w:p w14:paraId="76F44118"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Spearman’s r</w:t>
            </w:r>
          </w:p>
        </w:tc>
        <w:tc>
          <w:tcPr>
            <w:tcW w:w="0" w:type="auto"/>
            <w:hideMark/>
          </w:tcPr>
          <w:p w14:paraId="13722870"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r = 0.72</w:t>
            </w:r>
          </w:p>
        </w:tc>
        <w:tc>
          <w:tcPr>
            <w:tcW w:w="0" w:type="auto"/>
            <w:hideMark/>
          </w:tcPr>
          <w:p w14:paraId="1D8607C3"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6F0E45" w:rsidRPr="002077DE" w14:paraId="270197EA" w14:textId="77777777" w:rsidTr="00930A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AAAE9B" w14:textId="77777777" w:rsidR="006F0E45" w:rsidRPr="002077DE" w:rsidRDefault="006F0E45" w:rsidP="001E16FA">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CDCS predictive accuracy for surgery</w:t>
            </w:r>
          </w:p>
        </w:tc>
        <w:tc>
          <w:tcPr>
            <w:tcW w:w="0" w:type="auto"/>
            <w:hideMark/>
          </w:tcPr>
          <w:p w14:paraId="21F92A28"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ROC Curve (AUC)</w:t>
            </w:r>
          </w:p>
        </w:tc>
        <w:tc>
          <w:tcPr>
            <w:tcW w:w="0" w:type="auto"/>
            <w:hideMark/>
          </w:tcPr>
          <w:p w14:paraId="6ED2FCB2"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AUC = 0.86</w:t>
            </w:r>
          </w:p>
        </w:tc>
        <w:tc>
          <w:tcPr>
            <w:tcW w:w="0" w:type="auto"/>
            <w:hideMark/>
          </w:tcPr>
          <w:p w14:paraId="2F353366"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6F0E45" w:rsidRPr="002077DE" w14:paraId="74E3CCC8" w14:textId="77777777" w:rsidTr="00930A00">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32DA6E8" w14:textId="77777777" w:rsidR="006F0E45" w:rsidRPr="002077DE" w:rsidRDefault="006F0E45" w:rsidP="001E16FA">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Inter-rater reliability</w:t>
            </w:r>
          </w:p>
        </w:tc>
        <w:tc>
          <w:tcPr>
            <w:tcW w:w="0" w:type="auto"/>
            <w:hideMark/>
          </w:tcPr>
          <w:p w14:paraId="0968BCEB"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Intraclass Correlation Coefficient (ICC)</w:t>
            </w:r>
          </w:p>
        </w:tc>
        <w:tc>
          <w:tcPr>
            <w:tcW w:w="0" w:type="auto"/>
            <w:hideMark/>
          </w:tcPr>
          <w:p w14:paraId="1224446A"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ICC = 0.82</w:t>
            </w:r>
          </w:p>
        </w:tc>
        <w:tc>
          <w:tcPr>
            <w:tcW w:w="0" w:type="auto"/>
            <w:hideMark/>
          </w:tcPr>
          <w:p w14:paraId="14615418"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623415B8" w14:textId="520CEF25" w:rsidR="006F0E45" w:rsidRPr="002077DE" w:rsidRDefault="006F0E45" w:rsidP="006F0E45">
      <w:pPr>
        <w:jc w:val="both"/>
        <w:rPr>
          <w:rFonts w:asciiTheme="minorBidi" w:hAnsiTheme="minorBidi"/>
          <w:sz w:val="20"/>
          <w:szCs w:val="20"/>
        </w:rPr>
      </w:pPr>
    </w:p>
    <w:p w14:paraId="3281B857" w14:textId="77777777" w:rsidR="008B1EF3" w:rsidRDefault="008B1EF3" w:rsidP="003F6C67">
      <w:pPr>
        <w:pStyle w:val="Caption"/>
        <w:keepNext/>
        <w:jc w:val="both"/>
        <w:rPr>
          <w:rFonts w:asciiTheme="minorBidi" w:hAnsiTheme="minorBidi"/>
          <w:b/>
          <w:bCs/>
          <w:i w:val="0"/>
          <w:iCs w:val="0"/>
          <w:sz w:val="20"/>
          <w:szCs w:val="20"/>
        </w:rPr>
      </w:pPr>
    </w:p>
    <w:p w14:paraId="20043FD6" w14:textId="7C1E53CC" w:rsidR="003F6C67" w:rsidRPr="002077DE" w:rsidRDefault="003F6C67" w:rsidP="003F6C67">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 xml:space="preserve">Table </w:t>
      </w:r>
      <w:r w:rsidRPr="002077DE">
        <w:rPr>
          <w:rFonts w:asciiTheme="minorBidi" w:hAnsiTheme="minorBidi"/>
          <w:b/>
          <w:bCs/>
          <w:i w:val="0"/>
          <w:iCs w:val="0"/>
          <w:sz w:val="20"/>
          <w:szCs w:val="20"/>
        </w:rPr>
        <w:fldChar w:fldCharType="begin"/>
      </w:r>
      <w:r w:rsidRPr="002077DE">
        <w:rPr>
          <w:rFonts w:asciiTheme="minorBidi" w:hAnsiTheme="minorBidi"/>
          <w:b/>
          <w:bCs/>
          <w:i w:val="0"/>
          <w:iCs w:val="0"/>
          <w:sz w:val="20"/>
          <w:szCs w:val="20"/>
        </w:rPr>
        <w:instrText xml:space="preserve"> SEQ Table \* ARABIC </w:instrText>
      </w:r>
      <w:r w:rsidRPr="002077DE">
        <w:rPr>
          <w:rFonts w:asciiTheme="minorBidi" w:hAnsiTheme="minorBidi"/>
          <w:b/>
          <w:bCs/>
          <w:i w:val="0"/>
          <w:iCs w:val="0"/>
          <w:sz w:val="20"/>
          <w:szCs w:val="20"/>
        </w:rPr>
        <w:fldChar w:fldCharType="separate"/>
      </w:r>
      <w:r w:rsidRPr="002077DE">
        <w:rPr>
          <w:rFonts w:asciiTheme="minorBidi" w:hAnsiTheme="minorBidi"/>
          <w:b/>
          <w:bCs/>
          <w:i w:val="0"/>
          <w:iCs w:val="0"/>
          <w:noProof/>
          <w:sz w:val="20"/>
          <w:szCs w:val="20"/>
        </w:rPr>
        <w:t>14</w:t>
      </w:r>
      <w:r w:rsidRPr="002077DE">
        <w:rPr>
          <w:rFonts w:asciiTheme="minorBidi" w:hAnsiTheme="minorBidi"/>
          <w:b/>
          <w:bCs/>
          <w:i w:val="0"/>
          <w:iCs w:val="0"/>
          <w:sz w:val="20"/>
          <w:szCs w:val="20"/>
        </w:rPr>
        <w:fldChar w:fldCharType="end"/>
      </w:r>
      <w:r w:rsidRPr="002077DE">
        <w:rPr>
          <w:rFonts w:asciiTheme="minorBidi" w:hAnsiTheme="minorBidi"/>
          <w:b/>
          <w:bCs/>
          <w:i w:val="0"/>
          <w:iCs w:val="0"/>
          <w:sz w:val="20"/>
          <w:szCs w:val="20"/>
        </w:rPr>
        <w:t xml:space="preserve">: Comparison of CDCS with existing DSD scoring systems. </w:t>
      </w:r>
    </w:p>
    <w:tbl>
      <w:tblPr>
        <w:tblStyle w:val="GridTable4-Accent3"/>
        <w:tblW w:w="0" w:type="auto"/>
        <w:tblLook w:val="04A0" w:firstRow="1" w:lastRow="0" w:firstColumn="1" w:lastColumn="0" w:noHBand="0" w:noVBand="1"/>
      </w:tblPr>
      <w:tblGrid>
        <w:gridCol w:w="2951"/>
        <w:gridCol w:w="925"/>
        <w:gridCol w:w="2764"/>
        <w:gridCol w:w="2710"/>
      </w:tblGrid>
      <w:tr w:rsidR="0092380E" w:rsidRPr="002077DE" w14:paraId="4C5E8495" w14:textId="77777777" w:rsidTr="00094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9ACE12" w14:textId="77777777" w:rsidR="003F6C67" w:rsidRPr="002077DE" w:rsidRDefault="003F6C67" w:rsidP="003F6C67">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Scoring System</w:t>
            </w:r>
          </w:p>
        </w:tc>
        <w:tc>
          <w:tcPr>
            <w:tcW w:w="0" w:type="auto"/>
            <w:hideMark/>
          </w:tcPr>
          <w:p w14:paraId="3CE06A2C" w14:textId="77777777" w:rsidR="003F6C67" w:rsidRPr="002077DE" w:rsidRDefault="003F6C67" w:rsidP="003F6C6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Scope</w:t>
            </w:r>
          </w:p>
        </w:tc>
        <w:tc>
          <w:tcPr>
            <w:tcW w:w="0" w:type="auto"/>
            <w:hideMark/>
          </w:tcPr>
          <w:p w14:paraId="0855E777" w14:textId="77777777" w:rsidR="003F6C67" w:rsidRPr="002077DE" w:rsidRDefault="003F6C67" w:rsidP="003F6C6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Components Assessed</w:t>
            </w:r>
          </w:p>
        </w:tc>
        <w:tc>
          <w:tcPr>
            <w:tcW w:w="0" w:type="auto"/>
            <w:hideMark/>
          </w:tcPr>
          <w:p w14:paraId="629D6CA9" w14:textId="77777777" w:rsidR="003F6C67" w:rsidRPr="002077DE" w:rsidRDefault="003F6C67" w:rsidP="003F6C6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Limitations</w:t>
            </w:r>
          </w:p>
        </w:tc>
      </w:tr>
      <w:tr w:rsidR="0092380E" w:rsidRPr="002077DE" w14:paraId="62A0D667" w14:textId="77777777" w:rsidTr="0009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112543" w14:textId="77777777" w:rsidR="003F6C67" w:rsidRPr="002077DE" w:rsidRDefault="003F6C67" w:rsidP="003F6C67">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Prader Score</w:t>
            </w:r>
          </w:p>
        </w:tc>
        <w:tc>
          <w:tcPr>
            <w:tcW w:w="0" w:type="auto"/>
            <w:hideMark/>
          </w:tcPr>
          <w:p w14:paraId="69CF7313" w14:textId="08EA6A08"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XX DSD</w:t>
            </w:r>
          </w:p>
        </w:tc>
        <w:tc>
          <w:tcPr>
            <w:tcW w:w="0" w:type="auto"/>
            <w:hideMark/>
          </w:tcPr>
          <w:p w14:paraId="567E83C8"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External genitalia masculinization</w:t>
            </w:r>
          </w:p>
        </w:tc>
        <w:tc>
          <w:tcPr>
            <w:tcW w:w="0" w:type="auto"/>
            <w:hideMark/>
          </w:tcPr>
          <w:p w14:paraId="4E926E5D"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No internal, gonadal, or genetic assessment</w:t>
            </w:r>
          </w:p>
        </w:tc>
      </w:tr>
      <w:tr w:rsidR="0092380E" w:rsidRPr="002077DE" w14:paraId="11164FB1" w14:textId="77777777" w:rsidTr="00094CC1">
        <w:tc>
          <w:tcPr>
            <w:cnfStyle w:val="001000000000" w:firstRow="0" w:lastRow="0" w:firstColumn="1" w:lastColumn="0" w:oddVBand="0" w:evenVBand="0" w:oddHBand="0" w:evenHBand="0" w:firstRowFirstColumn="0" w:firstRowLastColumn="0" w:lastRowFirstColumn="0" w:lastRowLastColumn="0"/>
            <w:tcW w:w="0" w:type="auto"/>
            <w:hideMark/>
          </w:tcPr>
          <w:p w14:paraId="4F4E077B" w14:textId="77777777" w:rsidR="003F6C67" w:rsidRPr="002077DE" w:rsidRDefault="003F6C67" w:rsidP="003F6C67">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External Masculinization Score (EMS)</w:t>
            </w:r>
          </w:p>
        </w:tc>
        <w:tc>
          <w:tcPr>
            <w:tcW w:w="0" w:type="auto"/>
            <w:hideMark/>
          </w:tcPr>
          <w:p w14:paraId="7F81E042" w14:textId="25E4B03A"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XY DSD</w:t>
            </w:r>
          </w:p>
        </w:tc>
        <w:tc>
          <w:tcPr>
            <w:tcW w:w="0" w:type="auto"/>
            <w:hideMark/>
          </w:tcPr>
          <w:p w14:paraId="3485375E" w14:textId="577E49C5"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External genitalia under masculinization</w:t>
            </w:r>
          </w:p>
        </w:tc>
        <w:tc>
          <w:tcPr>
            <w:tcW w:w="0" w:type="auto"/>
            <w:hideMark/>
          </w:tcPr>
          <w:p w14:paraId="75A9E07F" w14:textId="77777777"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Does not consider karyotype, gonadal function, or internal structures</w:t>
            </w:r>
          </w:p>
        </w:tc>
      </w:tr>
      <w:tr w:rsidR="0092380E" w:rsidRPr="002077DE" w14:paraId="27B22412" w14:textId="77777777" w:rsidTr="0009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FBEDFA" w14:textId="6F959A14" w:rsidR="003F6C67" w:rsidRPr="002077DE" w:rsidRDefault="003F6C67" w:rsidP="0092380E">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Quigley Scale (Androgen Insensitivity Syndrome - AIS)</w:t>
            </w:r>
            <w:r w:rsidR="0092380E" w:rsidRPr="002077DE">
              <w:rPr>
                <w:rFonts w:asciiTheme="minorBidi" w:hAnsiTheme="minorBidi"/>
                <w:b w:val="0"/>
                <w:bCs w:val="0"/>
                <w:sz w:val="20"/>
                <w:szCs w:val="20"/>
              </w:rPr>
              <w:t xml:space="preserve"> </w:t>
            </w:r>
            <w:r w:rsidR="0092380E" w:rsidRPr="002077DE">
              <w:rPr>
                <w:rFonts w:asciiTheme="minorBidi" w:hAnsiTheme="minorBidi"/>
                <w:sz w:val="20"/>
                <w:szCs w:val="20"/>
              </w:rPr>
              <w:t>(Quigley, C. A., et.al</w:t>
            </w:r>
            <w:r w:rsidR="00993763">
              <w:rPr>
                <w:rFonts w:asciiTheme="minorBidi" w:hAnsiTheme="minorBidi"/>
                <w:sz w:val="20"/>
                <w:szCs w:val="20"/>
              </w:rPr>
              <w:t xml:space="preserve">., </w:t>
            </w:r>
            <w:r w:rsidR="0092380E" w:rsidRPr="002077DE">
              <w:rPr>
                <w:rFonts w:asciiTheme="minorBidi" w:hAnsiTheme="minorBidi"/>
                <w:sz w:val="20"/>
                <w:szCs w:val="20"/>
              </w:rPr>
              <w:t>1995)</w:t>
            </w:r>
          </w:p>
        </w:tc>
        <w:tc>
          <w:tcPr>
            <w:tcW w:w="0" w:type="auto"/>
            <w:hideMark/>
          </w:tcPr>
          <w:p w14:paraId="1EE55DE6" w14:textId="4888688F"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XY AIS</w:t>
            </w:r>
          </w:p>
        </w:tc>
        <w:tc>
          <w:tcPr>
            <w:tcW w:w="0" w:type="auto"/>
            <w:hideMark/>
          </w:tcPr>
          <w:p w14:paraId="604FFE5E"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Degree of virilization</w:t>
            </w:r>
          </w:p>
        </w:tc>
        <w:tc>
          <w:tcPr>
            <w:tcW w:w="0" w:type="auto"/>
            <w:hideMark/>
          </w:tcPr>
          <w:p w14:paraId="77DE56BA" w14:textId="73DD731F"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This only applies to AIS</w:t>
            </w:r>
          </w:p>
        </w:tc>
      </w:tr>
      <w:tr w:rsidR="0092380E" w:rsidRPr="002077DE" w14:paraId="126E8C9B" w14:textId="77777777" w:rsidTr="00094CC1">
        <w:tc>
          <w:tcPr>
            <w:cnfStyle w:val="001000000000" w:firstRow="0" w:lastRow="0" w:firstColumn="1" w:lastColumn="0" w:oddVBand="0" w:evenVBand="0" w:oddHBand="0" w:evenHBand="0" w:firstRowFirstColumn="0" w:firstRowLastColumn="0" w:lastRowFirstColumn="0" w:lastRowLastColumn="0"/>
            <w:tcW w:w="0" w:type="auto"/>
            <w:hideMark/>
          </w:tcPr>
          <w:p w14:paraId="781E7BCF" w14:textId="77777777" w:rsidR="003F6C67" w:rsidRPr="002077DE" w:rsidRDefault="003F6C67" w:rsidP="003F6C67">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Ahmed-Faisal Scoring System (2017)</w:t>
            </w:r>
          </w:p>
        </w:tc>
        <w:tc>
          <w:tcPr>
            <w:tcW w:w="0" w:type="auto"/>
            <w:hideMark/>
          </w:tcPr>
          <w:p w14:paraId="4480BA05" w14:textId="77777777"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All DSD</w:t>
            </w:r>
          </w:p>
        </w:tc>
        <w:tc>
          <w:tcPr>
            <w:tcW w:w="0" w:type="auto"/>
            <w:hideMark/>
          </w:tcPr>
          <w:p w14:paraId="196D3B8B" w14:textId="77777777"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External and internal genitalia</w:t>
            </w:r>
          </w:p>
        </w:tc>
        <w:tc>
          <w:tcPr>
            <w:tcW w:w="0" w:type="auto"/>
            <w:hideMark/>
          </w:tcPr>
          <w:p w14:paraId="0E92024A" w14:textId="77777777"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Lacks a standardized numerical classification</w:t>
            </w:r>
          </w:p>
        </w:tc>
      </w:tr>
      <w:tr w:rsidR="0092380E" w:rsidRPr="002077DE" w14:paraId="0558CDE4" w14:textId="77777777" w:rsidTr="00094C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14C0DE" w14:textId="77777777" w:rsidR="003F6C67" w:rsidRPr="002077DE" w:rsidRDefault="003F6C67" w:rsidP="003F6C67">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CDCS (This Study)</w:t>
            </w:r>
          </w:p>
        </w:tc>
        <w:tc>
          <w:tcPr>
            <w:tcW w:w="0" w:type="auto"/>
            <w:hideMark/>
          </w:tcPr>
          <w:p w14:paraId="5537E515"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All DSD</w:t>
            </w:r>
          </w:p>
        </w:tc>
        <w:tc>
          <w:tcPr>
            <w:tcW w:w="0" w:type="auto"/>
            <w:hideMark/>
          </w:tcPr>
          <w:p w14:paraId="5C5C27B3"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External genitalia, internal genitalia, gonadal position &amp; function, karyotype</w:t>
            </w:r>
          </w:p>
        </w:tc>
        <w:tc>
          <w:tcPr>
            <w:tcW w:w="0" w:type="auto"/>
            <w:hideMark/>
          </w:tcPr>
          <w:p w14:paraId="566BEC65"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Comprehensive, quantitative, predictive</w:t>
            </w:r>
          </w:p>
        </w:tc>
      </w:tr>
    </w:tbl>
    <w:p w14:paraId="6CCD6DB9" w14:textId="77777777" w:rsidR="003F6C67" w:rsidRPr="00F05A6E" w:rsidRDefault="003F6C67" w:rsidP="003F6C67">
      <w:pPr>
        <w:jc w:val="center"/>
      </w:pPr>
    </w:p>
    <w:p w14:paraId="18E320D9" w14:textId="0CDD4BC6" w:rsidR="00AB1F24" w:rsidRPr="00AB1F24" w:rsidRDefault="00AB1F24" w:rsidP="00AB1F24">
      <w:pPr>
        <w:jc w:val="both"/>
      </w:pPr>
    </w:p>
    <w:p w14:paraId="0B0C734C" w14:textId="77777777" w:rsidR="009B043C" w:rsidRDefault="009B043C" w:rsidP="00F96490">
      <w:pPr>
        <w:jc w:val="both"/>
        <w:rPr>
          <w:b/>
          <w:bCs/>
        </w:rPr>
      </w:pPr>
    </w:p>
    <w:p w14:paraId="42CA707D" w14:textId="77777777" w:rsidR="007A70FA" w:rsidRDefault="007A70FA" w:rsidP="00F96490">
      <w:pPr>
        <w:jc w:val="both"/>
        <w:rPr>
          <w:rFonts w:asciiTheme="minorBidi" w:hAnsiTheme="minorBidi"/>
          <w:b/>
          <w:bCs/>
        </w:rPr>
      </w:pPr>
    </w:p>
    <w:p w14:paraId="187F4ACA" w14:textId="6B4A45D9" w:rsidR="00F96490" w:rsidRPr="009B043C" w:rsidRDefault="00F96490" w:rsidP="00F96490">
      <w:pPr>
        <w:jc w:val="both"/>
        <w:rPr>
          <w:rFonts w:asciiTheme="minorBidi" w:hAnsiTheme="minorBidi"/>
          <w:b/>
          <w:bCs/>
        </w:rPr>
      </w:pPr>
      <w:r w:rsidRPr="009B043C">
        <w:rPr>
          <w:rFonts w:asciiTheme="minorBidi" w:hAnsiTheme="minorBidi"/>
          <w:b/>
          <w:bCs/>
        </w:rPr>
        <w:lastRenderedPageBreak/>
        <w:t>D</w:t>
      </w:r>
      <w:r w:rsidR="009B043C" w:rsidRPr="009B043C">
        <w:rPr>
          <w:rFonts w:asciiTheme="minorBidi" w:hAnsiTheme="minorBidi"/>
          <w:b/>
          <w:bCs/>
        </w:rPr>
        <w:t>ISCUSSION</w:t>
      </w:r>
    </w:p>
    <w:p w14:paraId="6664DA2F" w14:textId="270D071F" w:rsidR="00F96490" w:rsidRPr="009B043C" w:rsidRDefault="00D81ACB" w:rsidP="00F96490">
      <w:pPr>
        <w:jc w:val="both"/>
        <w:rPr>
          <w:rFonts w:asciiTheme="minorBidi" w:hAnsiTheme="minorBidi"/>
          <w:sz w:val="20"/>
          <w:szCs w:val="20"/>
        </w:rPr>
      </w:pPr>
      <w:r w:rsidRPr="009B043C">
        <w:rPr>
          <w:rFonts w:asciiTheme="minorBidi" w:hAnsiTheme="minorBidi"/>
          <w:sz w:val="20"/>
          <w:szCs w:val="20"/>
        </w:rPr>
        <w:t xml:space="preserve"> </w:t>
      </w:r>
      <w:r w:rsidR="00F96490" w:rsidRPr="009B043C">
        <w:rPr>
          <w:rFonts w:asciiTheme="minorBidi" w:hAnsiTheme="minorBidi"/>
          <w:sz w:val="20"/>
          <w:szCs w:val="20"/>
        </w:rPr>
        <w:t>The findings from this cohort study validate the Comprehensive DSD Classification Score (CDCS) as a robust and predictive tool for classifying and managing DSD. The CDCS integrates four key domains—external genitalia, internal reproductive structures, gonadal positioning/function, and chromosomal assessment, into a single standardized metric (0–30 scale). The subgroup analyses provide strong evidence for the clinical utility of CDCS in predicting surgical and hormonal interventions, supporting its validity as a diagnostic and prognostic tool.</w:t>
      </w:r>
    </w:p>
    <w:p w14:paraId="0E1FD23D" w14:textId="1FAF1F0B" w:rsidR="00F96490" w:rsidRPr="009B043C" w:rsidRDefault="00F96490" w:rsidP="00744294">
      <w:pPr>
        <w:jc w:val="both"/>
        <w:rPr>
          <w:rFonts w:asciiTheme="minorBidi" w:hAnsiTheme="minorBidi"/>
          <w:sz w:val="20"/>
          <w:szCs w:val="20"/>
        </w:rPr>
      </w:pPr>
      <w:r w:rsidRPr="009B043C">
        <w:rPr>
          <w:rFonts w:asciiTheme="minorBidi" w:hAnsiTheme="minorBidi"/>
          <w:sz w:val="20"/>
          <w:szCs w:val="20"/>
        </w:rPr>
        <w:t xml:space="preserve">EGS and Karyotype Differences: The study demonstrated significant differences in external genital development between 46, XY, and 46, XX DSD cases, with 46, XY patients scoring higher on EGS. This aligns with established androgen-dependent genital development models, where XY individuals with impaired testosterone action (e.g., Partial Androgen Insensitivity Syndrome, 5α-Reductase Deficiency) exhibit under masculinization. Additionally, 25% of 46, XY cases had severe </w:t>
      </w:r>
      <w:r w:rsidR="00337F07">
        <w:rPr>
          <w:rFonts w:asciiTheme="minorBidi" w:hAnsiTheme="minorBidi"/>
          <w:sz w:val="20"/>
          <w:szCs w:val="20"/>
        </w:rPr>
        <w:t>under-masculinization</w:t>
      </w:r>
      <w:r w:rsidRPr="009B043C">
        <w:rPr>
          <w:rFonts w:asciiTheme="minorBidi" w:hAnsiTheme="minorBidi"/>
          <w:sz w:val="20"/>
          <w:szCs w:val="20"/>
        </w:rPr>
        <w:t>, reinforcing that external phenotype alone cannot determine sex assignment without genetic, hormonal, and imaging assessment</w:t>
      </w:r>
      <w:r w:rsidR="00744294">
        <w:rPr>
          <w:rFonts w:asciiTheme="minorBidi" w:hAnsiTheme="minorBidi"/>
          <w:sz w:val="20"/>
          <w:szCs w:val="20"/>
        </w:rPr>
        <w:t xml:space="preserve"> </w:t>
      </w:r>
      <w:r w:rsidR="00744294" w:rsidRPr="00744294">
        <w:rPr>
          <w:rFonts w:asciiTheme="minorBidi" w:hAnsiTheme="minorBidi"/>
          <w:b/>
          <w:bCs/>
          <w:sz w:val="20"/>
          <w:szCs w:val="20"/>
        </w:rPr>
        <w:t>(Saskia, et al., 2020)</w:t>
      </w:r>
      <w:r w:rsidRPr="00744294">
        <w:rPr>
          <w:rFonts w:asciiTheme="minorBidi" w:hAnsiTheme="minorBidi"/>
          <w:b/>
          <w:bCs/>
          <w:sz w:val="20"/>
          <w:szCs w:val="20"/>
        </w:rPr>
        <w:t>.</w:t>
      </w:r>
    </w:p>
    <w:p w14:paraId="6635D103" w14:textId="55042A80" w:rsidR="00F96490" w:rsidRPr="009B043C" w:rsidRDefault="00F96490" w:rsidP="00F96490">
      <w:pPr>
        <w:jc w:val="both"/>
        <w:rPr>
          <w:rFonts w:asciiTheme="minorBidi" w:hAnsiTheme="minorBidi"/>
          <w:sz w:val="20"/>
          <w:szCs w:val="20"/>
        </w:rPr>
      </w:pPr>
      <w:r w:rsidRPr="009B043C">
        <w:rPr>
          <w:rFonts w:asciiTheme="minorBidi" w:hAnsiTheme="minorBidi"/>
          <w:sz w:val="20"/>
          <w:szCs w:val="20"/>
        </w:rPr>
        <w:t xml:space="preserve">EGS and Age-Related Variability: Higher EGS scores in adolescents compared to neonates suggest progressive virilization in some 46, XY patients or delayed diagnoses in mild cases. This has been previously reported in late-diagnosed 5α-Reductase Deficiency cases, where puberty-induced virilization alters the phenotype </w:t>
      </w:r>
      <w:r w:rsidRPr="009B043C">
        <w:rPr>
          <w:rFonts w:asciiTheme="minorBidi" w:hAnsiTheme="minorBidi"/>
          <w:b/>
          <w:bCs/>
          <w:sz w:val="20"/>
          <w:szCs w:val="20"/>
        </w:rPr>
        <w:t>(Imperato-McGinley et al., 1991).</w:t>
      </w:r>
    </w:p>
    <w:p w14:paraId="74329962" w14:textId="44C2B72B" w:rsidR="00F96490" w:rsidRPr="009B043C" w:rsidRDefault="00F96490" w:rsidP="00337F07">
      <w:pPr>
        <w:jc w:val="both"/>
        <w:rPr>
          <w:rFonts w:asciiTheme="minorBidi" w:hAnsiTheme="minorBidi"/>
          <w:sz w:val="20"/>
          <w:szCs w:val="20"/>
        </w:rPr>
      </w:pPr>
      <w:r w:rsidRPr="009B043C">
        <w:rPr>
          <w:rFonts w:asciiTheme="minorBidi" w:hAnsiTheme="minorBidi"/>
          <w:sz w:val="20"/>
          <w:szCs w:val="20"/>
        </w:rPr>
        <w:t xml:space="preserve">EGS and Surgical Intervention: The study found that patients with EGS &gt;7 were 76% more likely to undergo surgery supporting the role of external genital appearance in surgical decision-making. This echoes prior findings by </w:t>
      </w:r>
      <w:r w:rsidR="00ED694F" w:rsidRPr="00ED694F">
        <w:rPr>
          <w:rFonts w:asciiTheme="minorBidi" w:hAnsiTheme="minorBidi"/>
          <w:b/>
          <w:bCs/>
          <w:sz w:val="20"/>
          <w:szCs w:val="20"/>
        </w:rPr>
        <w:t>(</w:t>
      </w:r>
      <w:r w:rsidRPr="009B043C">
        <w:rPr>
          <w:rFonts w:asciiTheme="minorBidi" w:hAnsiTheme="minorBidi"/>
          <w:b/>
          <w:bCs/>
          <w:sz w:val="20"/>
          <w:szCs w:val="20"/>
        </w:rPr>
        <w:t>Lee et al.</w:t>
      </w:r>
      <w:r w:rsidR="00337F07">
        <w:rPr>
          <w:rFonts w:asciiTheme="minorBidi" w:hAnsiTheme="minorBidi"/>
          <w:b/>
          <w:bCs/>
          <w:sz w:val="20"/>
          <w:szCs w:val="20"/>
        </w:rPr>
        <w:t>,</w:t>
      </w:r>
      <w:r w:rsidRPr="009B043C">
        <w:rPr>
          <w:rFonts w:asciiTheme="minorBidi" w:hAnsiTheme="minorBidi"/>
          <w:b/>
          <w:bCs/>
          <w:sz w:val="20"/>
          <w:szCs w:val="20"/>
        </w:rPr>
        <w:t xml:space="preserve"> 2016</w:t>
      </w:r>
      <w:r w:rsidR="00337F07">
        <w:rPr>
          <w:rFonts w:asciiTheme="minorBidi" w:hAnsiTheme="minorBidi"/>
          <w:b/>
          <w:bCs/>
          <w:sz w:val="20"/>
          <w:szCs w:val="20"/>
        </w:rPr>
        <w:t xml:space="preserve"> &amp; </w:t>
      </w:r>
      <w:r w:rsidR="00337F07" w:rsidRPr="00337F07">
        <w:rPr>
          <w:rFonts w:asciiTheme="minorBidi" w:hAnsiTheme="minorBidi"/>
          <w:b/>
          <w:bCs/>
          <w:sz w:val="20"/>
          <w:szCs w:val="20"/>
        </w:rPr>
        <w:t>Wisniewski, et al.</w:t>
      </w:r>
      <w:r w:rsidR="00337F07">
        <w:rPr>
          <w:rFonts w:asciiTheme="minorBidi" w:hAnsiTheme="minorBidi"/>
          <w:b/>
          <w:bCs/>
          <w:sz w:val="20"/>
          <w:szCs w:val="20"/>
        </w:rPr>
        <w:t xml:space="preserve">, </w:t>
      </w:r>
      <w:r w:rsidR="00337F07" w:rsidRPr="00337F07">
        <w:rPr>
          <w:rFonts w:asciiTheme="minorBidi" w:hAnsiTheme="minorBidi"/>
          <w:b/>
          <w:bCs/>
          <w:sz w:val="20"/>
          <w:szCs w:val="20"/>
        </w:rPr>
        <w:t>2019</w:t>
      </w:r>
      <w:r w:rsidR="00ED694F">
        <w:rPr>
          <w:rFonts w:asciiTheme="minorBidi" w:hAnsiTheme="minorBidi"/>
          <w:b/>
          <w:bCs/>
          <w:sz w:val="20"/>
          <w:szCs w:val="20"/>
        </w:rPr>
        <w:t>)</w:t>
      </w:r>
      <w:r w:rsidRPr="009B043C">
        <w:rPr>
          <w:rFonts w:asciiTheme="minorBidi" w:hAnsiTheme="minorBidi"/>
          <w:b/>
          <w:bCs/>
          <w:sz w:val="20"/>
          <w:szCs w:val="20"/>
        </w:rPr>
        <w:t>,</w:t>
      </w:r>
      <w:r w:rsidRPr="009B043C">
        <w:rPr>
          <w:rFonts w:asciiTheme="minorBidi" w:hAnsiTheme="minorBidi"/>
          <w:sz w:val="20"/>
          <w:szCs w:val="20"/>
        </w:rPr>
        <w:t xml:space="preserve"> who emphasized that genital ambiguity influences surgical outcomes and parental decision-making. High EGS scores increase the likelihood of early surgical intervention, but external genital phenotype alone should not determine treatment, emphasizing the importance of a holistic CDCS approach.</w:t>
      </w:r>
    </w:p>
    <w:p w14:paraId="6AE704F9" w14:textId="3A269B38" w:rsidR="00D4743C" w:rsidRPr="009B043C" w:rsidRDefault="00D4743C" w:rsidP="00D4743C">
      <w:pPr>
        <w:jc w:val="both"/>
        <w:rPr>
          <w:rFonts w:asciiTheme="minorBidi" w:hAnsiTheme="minorBidi"/>
          <w:sz w:val="20"/>
          <w:szCs w:val="20"/>
        </w:rPr>
      </w:pPr>
      <w:r w:rsidRPr="009B043C">
        <w:rPr>
          <w:rFonts w:asciiTheme="minorBidi" w:hAnsiTheme="minorBidi"/>
          <w:sz w:val="20"/>
          <w:szCs w:val="20"/>
        </w:rPr>
        <w:t xml:space="preserve">EGS within the CDCS showed a strong correlation with both the Prader Staging (used for 46, XX CAH) and the External Masculinization Score (EMS) for 46, XY DSD cases. These findings confirm the accuracy of EGS in reflecting the severity of external genital ambiguity, which aligns with prior research by </w:t>
      </w:r>
      <w:r w:rsidR="00ED694F">
        <w:rPr>
          <w:rFonts w:asciiTheme="minorBidi" w:hAnsiTheme="minorBidi"/>
          <w:sz w:val="20"/>
          <w:szCs w:val="20"/>
        </w:rPr>
        <w:t>(</w:t>
      </w:r>
      <w:r w:rsidRPr="009B043C">
        <w:rPr>
          <w:rFonts w:asciiTheme="minorBidi" w:hAnsiTheme="minorBidi"/>
          <w:b/>
          <w:bCs/>
          <w:sz w:val="20"/>
          <w:szCs w:val="20"/>
        </w:rPr>
        <w:t>Ahmed et al.</w:t>
      </w:r>
      <w:r w:rsidR="00ED694F">
        <w:rPr>
          <w:rFonts w:asciiTheme="minorBidi" w:hAnsiTheme="minorBidi"/>
          <w:b/>
          <w:bCs/>
          <w:sz w:val="20"/>
          <w:szCs w:val="20"/>
        </w:rPr>
        <w:t xml:space="preserve">, </w:t>
      </w:r>
      <w:r w:rsidRPr="009B043C">
        <w:rPr>
          <w:rFonts w:asciiTheme="minorBidi" w:hAnsiTheme="minorBidi"/>
          <w:b/>
          <w:bCs/>
          <w:sz w:val="20"/>
          <w:szCs w:val="20"/>
        </w:rPr>
        <w:t>2019)</w:t>
      </w:r>
      <w:r w:rsidRPr="009B043C">
        <w:rPr>
          <w:rFonts w:asciiTheme="minorBidi" w:hAnsiTheme="minorBidi"/>
          <w:sz w:val="20"/>
          <w:szCs w:val="20"/>
        </w:rPr>
        <w:t xml:space="preserve">, indicating that EMS reliably quantifies external masculinization in 46, XY DSD. Similarly, </w:t>
      </w:r>
      <w:r w:rsidR="00ED694F">
        <w:rPr>
          <w:rFonts w:asciiTheme="minorBidi" w:hAnsiTheme="minorBidi"/>
          <w:sz w:val="20"/>
          <w:szCs w:val="20"/>
        </w:rPr>
        <w:t>(</w:t>
      </w:r>
      <w:r w:rsidRPr="009B043C">
        <w:rPr>
          <w:rFonts w:asciiTheme="minorBidi" w:hAnsiTheme="minorBidi"/>
          <w:b/>
          <w:bCs/>
          <w:sz w:val="20"/>
          <w:szCs w:val="20"/>
        </w:rPr>
        <w:t>Ogilvy-Stuart &amp; Brain</w:t>
      </w:r>
      <w:r w:rsidR="00ED694F">
        <w:rPr>
          <w:rFonts w:asciiTheme="minorBidi" w:hAnsiTheme="minorBidi"/>
          <w:b/>
          <w:bCs/>
          <w:sz w:val="20"/>
          <w:szCs w:val="20"/>
        </w:rPr>
        <w:t>,</w:t>
      </w:r>
      <w:r w:rsidRPr="009B043C">
        <w:rPr>
          <w:rFonts w:asciiTheme="minorBidi" w:hAnsiTheme="minorBidi"/>
          <w:b/>
          <w:bCs/>
          <w:sz w:val="20"/>
          <w:szCs w:val="20"/>
        </w:rPr>
        <w:t xml:space="preserve"> 2004)</w:t>
      </w:r>
      <w:r w:rsidRPr="009B043C">
        <w:rPr>
          <w:rFonts w:asciiTheme="minorBidi" w:hAnsiTheme="minorBidi"/>
          <w:sz w:val="20"/>
          <w:szCs w:val="20"/>
        </w:rPr>
        <w:t xml:space="preserve"> emphasized the role of Prader staging in determining the need for surgical intervention in 46, XX CAH, further supporting EGS as a clinically useful measure.</w:t>
      </w:r>
    </w:p>
    <w:p w14:paraId="30D70268" w14:textId="3DE7F6EC" w:rsidR="00F96490" w:rsidRPr="009B043C" w:rsidRDefault="00F96490" w:rsidP="00D81ACB">
      <w:pPr>
        <w:jc w:val="both"/>
        <w:rPr>
          <w:rFonts w:asciiTheme="minorBidi" w:hAnsiTheme="minorBidi"/>
          <w:sz w:val="20"/>
          <w:szCs w:val="20"/>
        </w:rPr>
      </w:pPr>
      <w:r w:rsidRPr="009B043C">
        <w:rPr>
          <w:rFonts w:asciiTheme="minorBidi" w:hAnsiTheme="minorBidi"/>
          <w:sz w:val="20"/>
          <w:szCs w:val="20"/>
        </w:rPr>
        <w:t>IGS and Karyotype-Specific Findings</w:t>
      </w:r>
      <w:r w:rsidR="00D81ACB" w:rsidRPr="009B043C">
        <w:rPr>
          <w:rFonts w:asciiTheme="minorBidi" w:hAnsiTheme="minorBidi"/>
          <w:sz w:val="20"/>
          <w:szCs w:val="20"/>
        </w:rPr>
        <w:t>: 46, XX</w:t>
      </w:r>
      <w:r w:rsidRPr="009B043C">
        <w:rPr>
          <w:rFonts w:asciiTheme="minorBidi" w:hAnsiTheme="minorBidi"/>
          <w:sz w:val="20"/>
          <w:szCs w:val="20"/>
        </w:rPr>
        <w:t xml:space="preserve"> DSD cases had the highest IGS scores due to retained Müllerian structures, while 46,</w:t>
      </w:r>
      <w:r w:rsidR="00E750C9" w:rsidRPr="009B043C">
        <w:rPr>
          <w:rFonts w:asciiTheme="minorBidi" w:hAnsiTheme="minorBidi"/>
          <w:sz w:val="20"/>
          <w:szCs w:val="20"/>
        </w:rPr>
        <w:t xml:space="preserve"> </w:t>
      </w:r>
      <w:r w:rsidRPr="009B043C">
        <w:rPr>
          <w:rFonts w:asciiTheme="minorBidi" w:hAnsiTheme="minorBidi"/>
          <w:sz w:val="20"/>
          <w:szCs w:val="20"/>
        </w:rPr>
        <w:t xml:space="preserve">XY cases had significantly lower scores, consistent with the expected testosterone and Anti-Müllerian Hormone (AMH)-mediated regression of Müllerian structures in males </w:t>
      </w:r>
      <w:r w:rsidRPr="009B043C">
        <w:rPr>
          <w:rFonts w:asciiTheme="minorBidi" w:hAnsiTheme="minorBidi"/>
          <w:b/>
          <w:bCs/>
          <w:sz w:val="20"/>
          <w:szCs w:val="20"/>
        </w:rPr>
        <w:t>(</w:t>
      </w:r>
      <w:proofErr w:type="spellStart"/>
      <w:r w:rsidRPr="009B043C">
        <w:rPr>
          <w:rFonts w:asciiTheme="minorBidi" w:hAnsiTheme="minorBidi"/>
          <w:b/>
          <w:bCs/>
          <w:sz w:val="20"/>
          <w:szCs w:val="20"/>
        </w:rPr>
        <w:t>Josso</w:t>
      </w:r>
      <w:proofErr w:type="spellEnd"/>
      <w:r w:rsidRPr="009B043C">
        <w:rPr>
          <w:rFonts w:asciiTheme="minorBidi" w:hAnsiTheme="minorBidi"/>
          <w:b/>
          <w:bCs/>
          <w:sz w:val="20"/>
          <w:szCs w:val="20"/>
        </w:rPr>
        <w:t xml:space="preserve"> et al., 2006).</w:t>
      </w:r>
      <w:r w:rsidR="00D81ACB" w:rsidRPr="009B043C">
        <w:rPr>
          <w:rFonts w:asciiTheme="minorBidi" w:hAnsiTheme="minorBidi"/>
          <w:sz w:val="20"/>
          <w:szCs w:val="20"/>
        </w:rPr>
        <w:t xml:space="preserve"> </w:t>
      </w:r>
      <w:proofErr w:type="spellStart"/>
      <w:r w:rsidRPr="009B043C">
        <w:rPr>
          <w:rFonts w:asciiTheme="minorBidi" w:hAnsiTheme="minorBidi"/>
          <w:sz w:val="20"/>
          <w:szCs w:val="20"/>
        </w:rPr>
        <w:t>Ovotesticular</w:t>
      </w:r>
      <w:proofErr w:type="spellEnd"/>
      <w:r w:rsidRPr="009B043C">
        <w:rPr>
          <w:rFonts w:asciiTheme="minorBidi" w:hAnsiTheme="minorBidi"/>
          <w:sz w:val="20"/>
          <w:szCs w:val="20"/>
        </w:rPr>
        <w:t xml:space="preserve"> and </w:t>
      </w:r>
      <w:r w:rsidR="00D81ACB" w:rsidRPr="009B043C">
        <w:rPr>
          <w:rFonts w:asciiTheme="minorBidi" w:hAnsiTheme="minorBidi"/>
          <w:sz w:val="20"/>
          <w:szCs w:val="20"/>
        </w:rPr>
        <w:t>45, X</w:t>
      </w:r>
      <w:r w:rsidRPr="009B043C">
        <w:rPr>
          <w:rFonts w:asciiTheme="minorBidi" w:hAnsiTheme="minorBidi"/>
          <w:sz w:val="20"/>
          <w:szCs w:val="20"/>
        </w:rPr>
        <w:t>/</w:t>
      </w:r>
      <w:r w:rsidR="00D81ACB" w:rsidRPr="009B043C">
        <w:rPr>
          <w:rFonts w:asciiTheme="minorBidi" w:hAnsiTheme="minorBidi"/>
          <w:sz w:val="20"/>
          <w:szCs w:val="20"/>
        </w:rPr>
        <w:t>46, XY</w:t>
      </w:r>
      <w:r w:rsidRPr="009B043C">
        <w:rPr>
          <w:rFonts w:asciiTheme="minorBidi" w:hAnsiTheme="minorBidi"/>
          <w:sz w:val="20"/>
          <w:szCs w:val="20"/>
        </w:rPr>
        <w:t xml:space="preserve"> mosaic cases had intermediate scores, reflecting partial Müllerian retention and Wolffian derivatives, mirroring previous reports in mixed gonadal dysgenesis </w:t>
      </w:r>
      <w:r w:rsidRPr="009B043C">
        <w:rPr>
          <w:rFonts w:asciiTheme="minorBidi" w:hAnsiTheme="minorBidi"/>
          <w:b/>
          <w:bCs/>
          <w:sz w:val="20"/>
          <w:szCs w:val="20"/>
        </w:rPr>
        <w:t>(Cools et al., 2018).</w:t>
      </w:r>
    </w:p>
    <w:p w14:paraId="5789A273" w14:textId="3563E71F" w:rsidR="00F96490" w:rsidRPr="009B043C" w:rsidRDefault="00F96490" w:rsidP="008F398A">
      <w:pPr>
        <w:jc w:val="both"/>
        <w:rPr>
          <w:rFonts w:asciiTheme="minorBidi" w:hAnsiTheme="minorBidi"/>
          <w:sz w:val="20"/>
          <w:szCs w:val="20"/>
        </w:rPr>
      </w:pPr>
      <w:r w:rsidRPr="009B043C">
        <w:rPr>
          <w:rFonts w:asciiTheme="minorBidi" w:hAnsiTheme="minorBidi"/>
          <w:sz w:val="20"/>
          <w:szCs w:val="20"/>
        </w:rPr>
        <w:t>IGS and Gonadectomy Correlation</w:t>
      </w:r>
      <w:r w:rsidR="00D81ACB" w:rsidRPr="009B043C">
        <w:rPr>
          <w:rFonts w:asciiTheme="minorBidi" w:hAnsiTheme="minorBidi"/>
          <w:sz w:val="20"/>
          <w:szCs w:val="20"/>
        </w:rPr>
        <w:t xml:space="preserve">: </w:t>
      </w:r>
      <w:r w:rsidRPr="009B043C">
        <w:rPr>
          <w:rFonts w:asciiTheme="minorBidi" w:hAnsiTheme="minorBidi"/>
          <w:sz w:val="20"/>
          <w:szCs w:val="20"/>
        </w:rPr>
        <w:t xml:space="preserve">Lower IGS scores correlated with increased gonadectomy rates, particularly in patients with retained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This aligns with previous findings that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in DSD pose a significant risk of malignancy </w:t>
      </w:r>
      <w:r w:rsidRPr="009B043C">
        <w:rPr>
          <w:rFonts w:asciiTheme="minorBidi" w:hAnsiTheme="minorBidi"/>
          <w:b/>
          <w:bCs/>
          <w:sz w:val="20"/>
          <w:szCs w:val="20"/>
        </w:rPr>
        <w:t>(Deans et al., 2012).</w:t>
      </w:r>
      <w:r w:rsidR="008F398A" w:rsidRPr="009B043C">
        <w:rPr>
          <w:rFonts w:asciiTheme="minorBidi" w:hAnsiTheme="minorBidi"/>
          <w:b/>
          <w:bCs/>
          <w:sz w:val="20"/>
          <w:szCs w:val="20"/>
        </w:rPr>
        <w:t xml:space="preserve"> </w:t>
      </w:r>
      <w:r w:rsidRPr="009B043C">
        <w:rPr>
          <w:rFonts w:asciiTheme="minorBidi" w:hAnsiTheme="minorBidi"/>
          <w:sz w:val="20"/>
          <w:szCs w:val="20"/>
        </w:rPr>
        <w:t>IGS provides a predictive measure for gonadectomy needs, reinforcing its role in risk stratification.</w:t>
      </w:r>
    </w:p>
    <w:p w14:paraId="2E3DBD33" w14:textId="0DD16167" w:rsidR="00D4743C" w:rsidRPr="009B043C" w:rsidRDefault="00D4743C" w:rsidP="00D4743C">
      <w:pPr>
        <w:jc w:val="both"/>
        <w:rPr>
          <w:rFonts w:asciiTheme="minorBidi" w:hAnsiTheme="minorBidi"/>
          <w:sz w:val="20"/>
          <w:szCs w:val="20"/>
        </w:rPr>
      </w:pPr>
      <w:r w:rsidRPr="009B043C">
        <w:rPr>
          <w:rFonts w:asciiTheme="minorBidi" w:hAnsiTheme="minorBidi"/>
          <w:sz w:val="20"/>
          <w:szCs w:val="20"/>
        </w:rPr>
        <w:t xml:space="preserve">IGS showed a moderate correlation with the presence or absence of Müllerian and Wolffian structures. Mixed gonadal dysgenesis exhibited a wide range of IGS values, indicating variability in internal reproductive anatomy among these patients. </w:t>
      </w:r>
      <w:r w:rsidRPr="009B043C">
        <w:rPr>
          <w:rFonts w:asciiTheme="minorBidi" w:hAnsiTheme="minorBidi"/>
          <w:b/>
          <w:bCs/>
          <w:sz w:val="20"/>
          <w:szCs w:val="20"/>
        </w:rPr>
        <w:t>Cools et al.</w:t>
      </w:r>
      <w:r w:rsidR="00ED694F">
        <w:rPr>
          <w:rFonts w:asciiTheme="minorBidi" w:hAnsiTheme="minorBidi"/>
          <w:b/>
          <w:bCs/>
          <w:sz w:val="20"/>
          <w:szCs w:val="20"/>
        </w:rPr>
        <w:t>, (</w:t>
      </w:r>
      <w:r w:rsidRPr="009B043C">
        <w:rPr>
          <w:rFonts w:asciiTheme="minorBidi" w:hAnsiTheme="minorBidi"/>
          <w:b/>
          <w:bCs/>
          <w:sz w:val="20"/>
          <w:szCs w:val="20"/>
        </w:rPr>
        <w:t>2018</w:t>
      </w:r>
      <w:r w:rsidR="00ED694F">
        <w:rPr>
          <w:rFonts w:asciiTheme="minorBidi" w:hAnsiTheme="minorBidi"/>
          <w:b/>
          <w:bCs/>
          <w:sz w:val="20"/>
          <w:szCs w:val="20"/>
        </w:rPr>
        <w:t>)</w:t>
      </w:r>
      <w:r w:rsidRPr="009B043C">
        <w:rPr>
          <w:rFonts w:asciiTheme="minorBidi" w:hAnsiTheme="minorBidi"/>
          <w:sz w:val="20"/>
          <w:szCs w:val="20"/>
        </w:rPr>
        <w:t xml:space="preserve"> found that Wolffian remnants often indicate partial testicular function in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which is consistent with the findings of this study. Additionally, </w:t>
      </w:r>
      <w:r w:rsidRPr="009B043C">
        <w:rPr>
          <w:rFonts w:asciiTheme="minorBidi" w:hAnsiTheme="minorBidi"/>
          <w:b/>
          <w:bCs/>
          <w:sz w:val="20"/>
          <w:szCs w:val="20"/>
        </w:rPr>
        <w:t>Hughes et al. (2012)</w:t>
      </w:r>
      <w:r w:rsidRPr="009B043C">
        <w:rPr>
          <w:rFonts w:asciiTheme="minorBidi" w:hAnsiTheme="minorBidi"/>
          <w:sz w:val="20"/>
          <w:szCs w:val="20"/>
        </w:rPr>
        <w:t xml:space="preserve"> reported that persistent Müllerian structures are associated with Anti-Müllerian Hormone (AMH) deficiency in DSD, supporting the IGS’s utility in evaluating gonadal differentiation and function. </w:t>
      </w:r>
    </w:p>
    <w:p w14:paraId="6DEB14DF" w14:textId="443621D2" w:rsidR="00F96490" w:rsidRPr="009B043C" w:rsidRDefault="00F96490" w:rsidP="00625D59">
      <w:pPr>
        <w:jc w:val="both"/>
        <w:rPr>
          <w:rFonts w:asciiTheme="minorBidi" w:hAnsiTheme="minorBidi"/>
          <w:sz w:val="20"/>
          <w:szCs w:val="20"/>
        </w:rPr>
      </w:pPr>
      <w:r w:rsidRPr="009B043C">
        <w:rPr>
          <w:rFonts w:asciiTheme="minorBidi" w:hAnsiTheme="minorBidi"/>
          <w:sz w:val="20"/>
          <w:szCs w:val="20"/>
        </w:rPr>
        <w:lastRenderedPageBreak/>
        <w:t>GPS and Karyotype Associations</w:t>
      </w:r>
      <w:r w:rsidR="00625D59" w:rsidRPr="009B043C">
        <w:rPr>
          <w:rFonts w:asciiTheme="minorBidi" w:hAnsiTheme="minorBidi"/>
          <w:sz w:val="20"/>
          <w:szCs w:val="20"/>
        </w:rPr>
        <w:t xml:space="preserve">: </w:t>
      </w:r>
      <w:r w:rsidRPr="009B043C">
        <w:rPr>
          <w:rFonts w:asciiTheme="minorBidi" w:hAnsiTheme="minorBidi"/>
          <w:sz w:val="20"/>
          <w:szCs w:val="20"/>
        </w:rPr>
        <w:t>The GPS analysis confirmed that 46,</w:t>
      </w:r>
      <w:r w:rsidR="00625D59" w:rsidRPr="009B043C">
        <w:rPr>
          <w:rFonts w:asciiTheme="minorBidi" w:hAnsiTheme="minorBidi"/>
          <w:sz w:val="20"/>
          <w:szCs w:val="20"/>
        </w:rPr>
        <w:t xml:space="preserve"> </w:t>
      </w:r>
      <w:r w:rsidRPr="009B043C">
        <w:rPr>
          <w:rFonts w:asciiTheme="minorBidi" w:hAnsiTheme="minorBidi"/>
          <w:sz w:val="20"/>
          <w:szCs w:val="20"/>
        </w:rPr>
        <w:t>XY DSD cases had higher testicular descent and function scores compared to 46,</w:t>
      </w:r>
      <w:r w:rsidR="00625D59" w:rsidRPr="009B043C">
        <w:rPr>
          <w:rFonts w:asciiTheme="minorBidi" w:hAnsiTheme="minorBidi"/>
          <w:sz w:val="20"/>
          <w:szCs w:val="20"/>
        </w:rPr>
        <w:t xml:space="preserve"> </w:t>
      </w:r>
      <w:r w:rsidRPr="009B043C">
        <w:rPr>
          <w:rFonts w:asciiTheme="minorBidi" w:hAnsiTheme="minorBidi"/>
          <w:sz w:val="20"/>
          <w:szCs w:val="20"/>
        </w:rPr>
        <w:t xml:space="preserve">XX, with mixed gonadal dysgenesis showing the lowest scores. These findings align with known gonadal differentiation pathways, where SRY-driven testis development impacts both gonadal descent and function </w:t>
      </w:r>
      <w:r w:rsidRPr="009B043C">
        <w:rPr>
          <w:rFonts w:asciiTheme="minorBidi" w:hAnsiTheme="minorBidi"/>
          <w:b/>
          <w:bCs/>
          <w:sz w:val="20"/>
          <w:szCs w:val="20"/>
        </w:rPr>
        <w:t>(Hughes et al., 2012).</w:t>
      </w:r>
    </w:p>
    <w:p w14:paraId="75F5AFA6" w14:textId="24D50F2F" w:rsidR="00F96490" w:rsidRPr="009B043C" w:rsidRDefault="00F96490" w:rsidP="00625D59">
      <w:pPr>
        <w:jc w:val="both"/>
        <w:rPr>
          <w:rFonts w:asciiTheme="minorBidi" w:hAnsiTheme="minorBidi"/>
          <w:sz w:val="20"/>
          <w:szCs w:val="20"/>
        </w:rPr>
      </w:pPr>
      <w:r w:rsidRPr="009B043C">
        <w:rPr>
          <w:rFonts w:asciiTheme="minorBidi" w:hAnsiTheme="minorBidi"/>
          <w:sz w:val="20"/>
          <w:szCs w:val="20"/>
        </w:rPr>
        <w:t>GPS and Hormone Therapy</w:t>
      </w:r>
      <w:r w:rsidR="00625D59" w:rsidRPr="009B043C">
        <w:rPr>
          <w:rFonts w:asciiTheme="minorBidi" w:hAnsiTheme="minorBidi"/>
          <w:sz w:val="20"/>
          <w:szCs w:val="20"/>
        </w:rPr>
        <w:t xml:space="preserve">: </w:t>
      </w:r>
      <w:r w:rsidRPr="009B043C">
        <w:rPr>
          <w:rFonts w:asciiTheme="minorBidi" w:hAnsiTheme="minorBidi"/>
          <w:sz w:val="20"/>
          <w:szCs w:val="20"/>
        </w:rPr>
        <w:t xml:space="preserve">Patients with lower GPS scores were 4.1 times more likely to require hormone therapy, confirming GPS as a strong predictor of endocrine insufficiency. Similar findings have been reported in partial gonadal dysgenesis, where AMH/testosterone deficiencies necessitate hormone replacement </w:t>
      </w:r>
      <w:r w:rsidRPr="009B043C">
        <w:rPr>
          <w:rFonts w:asciiTheme="minorBidi" w:hAnsiTheme="minorBidi"/>
          <w:b/>
          <w:bCs/>
          <w:sz w:val="20"/>
          <w:szCs w:val="20"/>
        </w:rPr>
        <w:t>(Ogilvy-Stuart &amp; Brain, 2004).</w:t>
      </w:r>
      <w:r w:rsidR="00625D59" w:rsidRPr="009B043C">
        <w:rPr>
          <w:rFonts w:asciiTheme="minorBidi" w:hAnsiTheme="minorBidi"/>
          <w:sz w:val="20"/>
          <w:szCs w:val="20"/>
        </w:rPr>
        <w:t xml:space="preserve"> </w:t>
      </w:r>
      <w:r w:rsidRPr="009B043C">
        <w:rPr>
          <w:rFonts w:asciiTheme="minorBidi" w:hAnsiTheme="minorBidi"/>
          <w:sz w:val="20"/>
          <w:szCs w:val="20"/>
        </w:rPr>
        <w:t>The GPS score effectively predicts hormone therapy needs, guiding endocrine management in DSD.</w:t>
      </w:r>
    </w:p>
    <w:p w14:paraId="700F0CD4" w14:textId="0FA5F049" w:rsidR="00D4743C" w:rsidRPr="009B043C" w:rsidRDefault="00D4743C" w:rsidP="00D4743C">
      <w:pPr>
        <w:jc w:val="both"/>
        <w:rPr>
          <w:rFonts w:asciiTheme="minorBidi" w:hAnsiTheme="minorBidi"/>
          <w:sz w:val="20"/>
          <w:szCs w:val="20"/>
        </w:rPr>
      </w:pPr>
      <w:r w:rsidRPr="009B043C">
        <w:rPr>
          <w:rFonts w:asciiTheme="minorBidi" w:hAnsiTheme="minorBidi"/>
          <w:sz w:val="20"/>
          <w:szCs w:val="20"/>
        </w:rPr>
        <w:t xml:space="preserve">GPS showed a strong correlation with endocrine function, specifically AMH and FSH levels. Patients with lower GPS (&lt;3) exhibited a significantly higher risk of gonadal dysfunction, a finding consistent with </w:t>
      </w:r>
      <w:r w:rsidR="00ED694F" w:rsidRPr="00ED694F">
        <w:rPr>
          <w:rFonts w:asciiTheme="minorBidi" w:hAnsiTheme="minorBidi"/>
          <w:b/>
          <w:bCs/>
          <w:sz w:val="20"/>
          <w:szCs w:val="20"/>
        </w:rPr>
        <w:t>(</w:t>
      </w:r>
      <w:r w:rsidRPr="00ED694F">
        <w:rPr>
          <w:rFonts w:asciiTheme="minorBidi" w:hAnsiTheme="minorBidi"/>
          <w:b/>
          <w:bCs/>
          <w:sz w:val="20"/>
          <w:szCs w:val="20"/>
        </w:rPr>
        <w:t>H</w:t>
      </w:r>
      <w:r w:rsidRPr="009B043C">
        <w:rPr>
          <w:rFonts w:asciiTheme="minorBidi" w:hAnsiTheme="minorBidi"/>
          <w:b/>
          <w:bCs/>
          <w:sz w:val="20"/>
          <w:szCs w:val="20"/>
        </w:rPr>
        <w:t>ughes et al.</w:t>
      </w:r>
      <w:r w:rsidR="00ED694F">
        <w:rPr>
          <w:rFonts w:asciiTheme="minorBidi" w:hAnsiTheme="minorBidi"/>
          <w:b/>
          <w:bCs/>
          <w:sz w:val="20"/>
          <w:szCs w:val="20"/>
        </w:rPr>
        <w:t xml:space="preserve">, </w:t>
      </w:r>
      <w:r w:rsidRPr="009B043C">
        <w:rPr>
          <w:rFonts w:asciiTheme="minorBidi" w:hAnsiTheme="minorBidi"/>
          <w:b/>
          <w:bCs/>
          <w:sz w:val="20"/>
          <w:szCs w:val="20"/>
        </w:rPr>
        <w:t>2012)</w:t>
      </w:r>
      <w:r w:rsidRPr="009B043C">
        <w:rPr>
          <w:rFonts w:asciiTheme="minorBidi" w:hAnsiTheme="minorBidi"/>
          <w:sz w:val="20"/>
          <w:szCs w:val="20"/>
        </w:rPr>
        <w:t xml:space="preserve">, who identified that gonadal position is a critical determinant of malignancy risk in DSD. Similarly, </w:t>
      </w:r>
      <w:r w:rsidR="00ED694F" w:rsidRPr="00ED694F">
        <w:rPr>
          <w:rFonts w:asciiTheme="minorBidi" w:hAnsiTheme="minorBidi"/>
          <w:b/>
          <w:bCs/>
          <w:sz w:val="20"/>
          <w:szCs w:val="20"/>
        </w:rPr>
        <w:t>(</w:t>
      </w:r>
      <w:r w:rsidRPr="00ED694F">
        <w:rPr>
          <w:rFonts w:asciiTheme="minorBidi" w:hAnsiTheme="minorBidi"/>
          <w:b/>
          <w:bCs/>
          <w:sz w:val="20"/>
          <w:szCs w:val="20"/>
        </w:rPr>
        <w:t>Deans et al.</w:t>
      </w:r>
      <w:r w:rsidR="00ED694F" w:rsidRPr="00ED694F">
        <w:rPr>
          <w:rFonts w:asciiTheme="minorBidi" w:hAnsiTheme="minorBidi"/>
          <w:b/>
          <w:bCs/>
          <w:sz w:val="20"/>
          <w:szCs w:val="20"/>
        </w:rPr>
        <w:t xml:space="preserve">, </w:t>
      </w:r>
      <w:r w:rsidRPr="00ED694F">
        <w:rPr>
          <w:rFonts w:asciiTheme="minorBidi" w:hAnsiTheme="minorBidi"/>
          <w:b/>
          <w:bCs/>
          <w:sz w:val="20"/>
          <w:szCs w:val="20"/>
        </w:rPr>
        <w:t>2012)</w:t>
      </w:r>
      <w:r w:rsidRPr="009B043C">
        <w:rPr>
          <w:rFonts w:asciiTheme="minorBidi" w:hAnsiTheme="minorBidi"/>
          <w:sz w:val="20"/>
          <w:szCs w:val="20"/>
        </w:rPr>
        <w:t xml:space="preserve"> established AMH as a key marker of testicular function, corroborating GPS’s predictive value. Given that lower GPS scores were linked to an increased risk of gonadal failure, early clinical interventions such as gonadectomy or hormone therapy may be warranted in these cases.</w:t>
      </w:r>
    </w:p>
    <w:p w14:paraId="3B0325F9" w14:textId="357F2199" w:rsidR="00F96490" w:rsidRPr="009B043C" w:rsidRDefault="00F96490" w:rsidP="00625D59">
      <w:pPr>
        <w:jc w:val="both"/>
        <w:rPr>
          <w:rFonts w:asciiTheme="minorBidi" w:hAnsiTheme="minorBidi"/>
          <w:sz w:val="20"/>
          <w:szCs w:val="20"/>
        </w:rPr>
      </w:pPr>
      <w:r w:rsidRPr="009B043C">
        <w:rPr>
          <w:rFonts w:asciiTheme="minorBidi" w:hAnsiTheme="minorBidi"/>
          <w:sz w:val="20"/>
          <w:szCs w:val="20"/>
        </w:rPr>
        <w:t>KCS and Karyotype Differences</w:t>
      </w:r>
      <w:r w:rsidR="00625D59" w:rsidRPr="009B043C">
        <w:rPr>
          <w:rFonts w:asciiTheme="minorBidi" w:hAnsiTheme="minorBidi"/>
          <w:sz w:val="20"/>
          <w:szCs w:val="20"/>
        </w:rPr>
        <w:t xml:space="preserve">: </w:t>
      </w:r>
      <w:r w:rsidRPr="009B043C">
        <w:rPr>
          <w:rFonts w:asciiTheme="minorBidi" w:hAnsiTheme="minorBidi"/>
          <w:sz w:val="20"/>
          <w:szCs w:val="20"/>
        </w:rPr>
        <w:t>Expectedly, 46,</w:t>
      </w:r>
      <w:r w:rsidR="00625D59" w:rsidRPr="009B043C">
        <w:rPr>
          <w:rFonts w:asciiTheme="minorBidi" w:hAnsiTheme="minorBidi"/>
          <w:sz w:val="20"/>
          <w:szCs w:val="20"/>
        </w:rPr>
        <w:t xml:space="preserve"> </w:t>
      </w:r>
      <w:r w:rsidRPr="009B043C">
        <w:rPr>
          <w:rFonts w:asciiTheme="minorBidi" w:hAnsiTheme="minorBidi"/>
          <w:sz w:val="20"/>
          <w:szCs w:val="20"/>
        </w:rPr>
        <w:t>XY cases had the highest KCS scores, while 46,</w:t>
      </w:r>
      <w:r w:rsidR="00625D59" w:rsidRPr="009B043C">
        <w:rPr>
          <w:rFonts w:asciiTheme="minorBidi" w:hAnsiTheme="minorBidi"/>
          <w:sz w:val="20"/>
          <w:szCs w:val="20"/>
        </w:rPr>
        <w:t xml:space="preserve"> </w:t>
      </w:r>
      <w:r w:rsidRPr="009B043C">
        <w:rPr>
          <w:rFonts w:asciiTheme="minorBidi" w:hAnsiTheme="minorBidi"/>
          <w:sz w:val="20"/>
          <w:szCs w:val="20"/>
        </w:rPr>
        <w:t xml:space="preserve">XX scored 0.0 due to normal female karyotype assignment. Mixed gonadal dysgenesis and </w:t>
      </w:r>
      <w:proofErr w:type="spellStart"/>
      <w:r w:rsidRPr="009B043C">
        <w:rPr>
          <w:rFonts w:asciiTheme="minorBidi" w:hAnsiTheme="minorBidi"/>
          <w:sz w:val="20"/>
          <w:szCs w:val="20"/>
        </w:rPr>
        <w:t>ovotesticular</w:t>
      </w:r>
      <w:proofErr w:type="spellEnd"/>
      <w:r w:rsidRPr="009B043C">
        <w:rPr>
          <w:rFonts w:asciiTheme="minorBidi" w:hAnsiTheme="minorBidi"/>
          <w:sz w:val="20"/>
          <w:szCs w:val="20"/>
        </w:rPr>
        <w:t xml:space="preserve"> DSD cases had intermediate KCS scores, consistent with partial Y-chromosome effects on gonadal differentiation.</w:t>
      </w:r>
    </w:p>
    <w:p w14:paraId="01265422" w14:textId="2DACCE01" w:rsidR="00F96490" w:rsidRPr="009B043C" w:rsidRDefault="00F96490" w:rsidP="00625D59">
      <w:pPr>
        <w:jc w:val="both"/>
        <w:rPr>
          <w:rFonts w:asciiTheme="minorBidi" w:hAnsiTheme="minorBidi"/>
          <w:sz w:val="20"/>
          <w:szCs w:val="20"/>
        </w:rPr>
      </w:pPr>
      <w:r w:rsidRPr="009B043C">
        <w:rPr>
          <w:rFonts w:asciiTheme="minorBidi" w:hAnsiTheme="minorBidi"/>
          <w:sz w:val="20"/>
          <w:szCs w:val="20"/>
        </w:rPr>
        <w:t>KCS and Functional Gonads</w:t>
      </w:r>
      <w:r w:rsidR="00625D59" w:rsidRPr="009B043C">
        <w:rPr>
          <w:rFonts w:asciiTheme="minorBidi" w:hAnsiTheme="minorBidi"/>
          <w:sz w:val="20"/>
          <w:szCs w:val="20"/>
        </w:rPr>
        <w:t xml:space="preserve">: </w:t>
      </w:r>
      <w:r w:rsidRPr="009B043C">
        <w:rPr>
          <w:rFonts w:asciiTheme="minorBidi" w:hAnsiTheme="minorBidi"/>
          <w:sz w:val="20"/>
          <w:szCs w:val="20"/>
        </w:rPr>
        <w:t xml:space="preserve">Higher KCS scores correlated with preserved gonadal function, highlighting the genetic underpinnings of testicular development and endocrine activity. These findings </w:t>
      </w:r>
      <w:r w:rsidR="00625D59" w:rsidRPr="009B043C">
        <w:rPr>
          <w:rFonts w:asciiTheme="minorBidi" w:hAnsiTheme="minorBidi"/>
          <w:sz w:val="20"/>
          <w:szCs w:val="20"/>
        </w:rPr>
        <w:t>parallel the</w:t>
      </w:r>
      <w:r w:rsidRPr="009B043C">
        <w:rPr>
          <w:rFonts w:asciiTheme="minorBidi" w:hAnsiTheme="minorBidi"/>
          <w:sz w:val="20"/>
          <w:szCs w:val="20"/>
        </w:rPr>
        <w:t xml:space="preserve"> studies showing that 46,</w:t>
      </w:r>
      <w:r w:rsidR="00625D59" w:rsidRPr="009B043C">
        <w:rPr>
          <w:rFonts w:asciiTheme="minorBidi" w:hAnsiTheme="minorBidi"/>
          <w:sz w:val="20"/>
          <w:szCs w:val="20"/>
        </w:rPr>
        <w:t xml:space="preserve"> </w:t>
      </w:r>
      <w:r w:rsidRPr="009B043C">
        <w:rPr>
          <w:rFonts w:asciiTheme="minorBidi" w:hAnsiTheme="minorBidi"/>
          <w:sz w:val="20"/>
          <w:szCs w:val="20"/>
        </w:rPr>
        <w:t xml:space="preserve">XY patients with complete gonadal dysgenesis (e.g., </w:t>
      </w:r>
      <w:proofErr w:type="spellStart"/>
      <w:r w:rsidRPr="009B043C">
        <w:rPr>
          <w:rFonts w:asciiTheme="minorBidi" w:hAnsiTheme="minorBidi"/>
          <w:sz w:val="20"/>
          <w:szCs w:val="20"/>
        </w:rPr>
        <w:t>Swyer</w:t>
      </w:r>
      <w:proofErr w:type="spellEnd"/>
      <w:r w:rsidRPr="009B043C">
        <w:rPr>
          <w:rFonts w:asciiTheme="minorBidi" w:hAnsiTheme="minorBidi"/>
          <w:sz w:val="20"/>
          <w:szCs w:val="20"/>
        </w:rPr>
        <w:t xml:space="preserve"> syndrome) exhibit impaired function despite normal karyotype </w:t>
      </w:r>
      <w:r w:rsidRPr="009B043C">
        <w:rPr>
          <w:rFonts w:asciiTheme="minorBidi" w:hAnsiTheme="minorBidi"/>
          <w:b/>
          <w:bCs/>
          <w:sz w:val="20"/>
          <w:szCs w:val="20"/>
        </w:rPr>
        <w:t>(Cools et al., 2005).</w:t>
      </w:r>
      <w:r w:rsidR="00625D59" w:rsidRPr="009B043C">
        <w:rPr>
          <w:rFonts w:asciiTheme="minorBidi" w:hAnsiTheme="minorBidi"/>
          <w:sz w:val="20"/>
          <w:szCs w:val="20"/>
        </w:rPr>
        <w:t xml:space="preserve"> </w:t>
      </w:r>
      <w:r w:rsidRPr="009B043C">
        <w:rPr>
          <w:rFonts w:asciiTheme="minorBidi" w:hAnsiTheme="minorBidi"/>
          <w:sz w:val="20"/>
          <w:szCs w:val="20"/>
        </w:rPr>
        <w:t>The KCS score provides a valuable genotypic marker for gonadal functionality and potential fertility preservation.</w:t>
      </w:r>
    </w:p>
    <w:p w14:paraId="05BBC1C2" w14:textId="3A45B66B" w:rsidR="00163219" w:rsidRPr="009B043C" w:rsidRDefault="00163219" w:rsidP="00163219">
      <w:pPr>
        <w:jc w:val="both"/>
        <w:rPr>
          <w:rFonts w:asciiTheme="minorBidi" w:hAnsiTheme="minorBidi"/>
          <w:sz w:val="20"/>
          <w:szCs w:val="20"/>
        </w:rPr>
      </w:pPr>
      <w:r w:rsidRPr="009B043C">
        <w:rPr>
          <w:rFonts w:asciiTheme="minorBidi" w:hAnsiTheme="minorBidi"/>
          <w:sz w:val="20"/>
          <w:szCs w:val="20"/>
        </w:rPr>
        <w:t xml:space="preserve">KCS demonstrated a strong correlation with gonadal function and served as a significant predictor of gonadal failure. This finding is supported by </w:t>
      </w:r>
      <w:r w:rsidR="00081C3D" w:rsidRPr="00081C3D">
        <w:rPr>
          <w:rFonts w:asciiTheme="minorBidi" w:hAnsiTheme="minorBidi"/>
          <w:b/>
          <w:bCs/>
          <w:sz w:val="20"/>
          <w:szCs w:val="20"/>
        </w:rPr>
        <w:t>(</w:t>
      </w:r>
      <w:r w:rsidRPr="00081C3D">
        <w:rPr>
          <w:rFonts w:asciiTheme="minorBidi" w:hAnsiTheme="minorBidi"/>
          <w:b/>
          <w:bCs/>
          <w:sz w:val="20"/>
          <w:szCs w:val="20"/>
        </w:rPr>
        <w:t>Cools et al.</w:t>
      </w:r>
      <w:r w:rsidR="00081C3D" w:rsidRPr="00081C3D">
        <w:rPr>
          <w:rFonts w:asciiTheme="minorBidi" w:hAnsiTheme="minorBidi"/>
          <w:b/>
          <w:bCs/>
          <w:sz w:val="20"/>
          <w:szCs w:val="20"/>
        </w:rPr>
        <w:t xml:space="preserve">, </w:t>
      </w:r>
      <w:r w:rsidRPr="00081C3D">
        <w:rPr>
          <w:rFonts w:asciiTheme="minorBidi" w:hAnsiTheme="minorBidi"/>
          <w:b/>
          <w:bCs/>
          <w:sz w:val="20"/>
          <w:szCs w:val="20"/>
        </w:rPr>
        <w:t>2018),</w:t>
      </w:r>
      <w:r w:rsidRPr="009B043C">
        <w:rPr>
          <w:rFonts w:asciiTheme="minorBidi" w:hAnsiTheme="minorBidi"/>
          <w:sz w:val="20"/>
          <w:szCs w:val="20"/>
        </w:rPr>
        <w:t xml:space="preserve"> who reported intermediate KCS scores in mixed gonadal dysgenesis, consistent with the variable gonadal differentiation observed in these cases. </w:t>
      </w:r>
      <w:r w:rsidRPr="009B043C">
        <w:rPr>
          <w:rFonts w:asciiTheme="minorBidi" w:hAnsiTheme="minorBidi"/>
          <w:b/>
          <w:bCs/>
          <w:sz w:val="20"/>
          <w:szCs w:val="20"/>
        </w:rPr>
        <w:t>Hughes et al.</w:t>
      </w:r>
      <w:r w:rsidR="00081C3D">
        <w:rPr>
          <w:rFonts w:asciiTheme="minorBidi" w:hAnsiTheme="minorBidi"/>
          <w:b/>
          <w:bCs/>
          <w:sz w:val="20"/>
          <w:szCs w:val="20"/>
        </w:rPr>
        <w:t>,</w:t>
      </w:r>
      <w:r w:rsidRPr="009B043C">
        <w:rPr>
          <w:rFonts w:asciiTheme="minorBidi" w:hAnsiTheme="minorBidi"/>
          <w:b/>
          <w:bCs/>
          <w:sz w:val="20"/>
          <w:szCs w:val="20"/>
        </w:rPr>
        <w:t xml:space="preserve"> (2012)</w:t>
      </w:r>
      <w:r w:rsidRPr="009B043C">
        <w:rPr>
          <w:rFonts w:asciiTheme="minorBidi" w:hAnsiTheme="minorBidi"/>
          <w:sz w:val="20"/>
          <w:szCs w:val="20"/>
        </w:rPr>
        <w:t xml:space="preserve"> further validated that 46,</w:t>
      </w:r>
      <w:r w:rsidR="004715CC" w:rsidRPr="009B043C">
        <w:rPr>
          <w:rFonts w:asciiTheme="minorBidi" w:hAnsiTheme="minorBidi"/>
          <w:sz w:val="20"/>
          <w:szCs w:val="20"/>
        </w:rPr>
        <w:t xml:space="preserve"> </w:t>
      </w:r>
      <w:r w:rsidRPr="009B043C">
        <w:rPr>
          <w:rFonts w:asciiTheme="minorBidi" w:hAnsiTheme="minorBidi"/>
          <w:sz w:val="20"/>
          <w:szCs w:val="20"/>
        </w:rPr>
        <w:t xml:space="preserve">XY individuals have the highest KCS due to their intact </w:t>
      </w:r>
      <w:r w:rsidRPr="009B043C">
        <w:rPr>
          <w:rFonts w:asciiTheme="minorBidi" w:hAnsiTheme="minorBidi"/>
          <w:i/>
          <w:iCs/>
          <w:sz w:val="20"/>
          <w:szCs w:val="20"/>
        </w:rPr>
        <w:t>SRY-</w:t>
      </w:r>
      <w:r w:rsidRPr="009B043C">
        <w:rPr>
          <w:rFonts w:asciiTheme="minorBidi" w:hAnsiTheme="minorBidi"/>
          <w:sz w:val="20"/>
          <w:szCs w:val="20"/>
        </w:rPr>
        <w:t>positive Y chromosome, promoting testicular differentiation. The ability of KCS to integrate karyotypic complexity and functional gonadal outcomes highlights its essential role in stratifying DSD cases.</w:t>
      </w:r>
    </w:p>
    <w:p w14:paraId="0F811D4E" w14:textId="58351199" w:rsidR="005A4886" w:rsidRPr="009B043C" w:rsidRDefault="005A4886" w:rsidP="00391262">
      <w:pPr>
        <w:jc w:val="both"/>
        <w:rPr>
          <w:rFonts w:asciiTheme="minorBidi" w:hAnsiTheme="minorBidi"/>
          <w:sz w:val="20"/>
          <w:szCs w:val="20"/>
        </w:rPr>
      </w:pPr>
      <w:r w:rsidRPr="009B043C">
        <w:rPr>
          <w:rFonts w:asciiTheme="minorBidi" w:hAnsiTheme="minorBidi"/>
          <w:sz w:val="20"/>
          <w:szCs w:val="20"/>
        </w:rPr>
        <w:t>Application of CDCS in the diagnostic workup of DSD, systematic initial assessment</w:t>
      </w:r>
      <w:r w:rsidR="004715CC" w:rsidRPr="009B043C">
        <w:rPr>
          <w:rFonts w:asciiTheme="minorBidi" w:hAnsiTheme="minorBidi"/>
          <w:sz w:val="20"/>
          <w:szCs w:val="20"/>
        </w:rPr>
        <w:t xml:space="preserve"> when a</w:t>
      </w:r>
      <w:r w:rsidRPr="009B043C">
        <w:rPr>
          <w:rFonts w:asciiTheme="minorBidi" w:hAnsiTheme="minorBidi"/>
          <w:sz w:val="20"/>
          <w:szCs w:val="20"/>
        </w:rPr>
        <w:t xml:space="preserve"> structured approach is critical in diagnosing DSD, as phenotypic variation is wide, and underlying etiologies are diverse. CDCS offers a stepwise framework: External Genitalia Score (EGS): Guides the assessment of ambiguous genitalia severity (EMS-based) to determine the need for further genetic and endocrinological testing. Internal Genitalia Score (IGS): Helps differentiate between Müllerian and Wolffian derivatives, prompting imaging studies (e.g., ultrasound, MRI, laparoscopy).</w:t>
      </w:r>
      <w:r w:rsidR="00391262" w:rsidRPr="009B043C">
        <w:rPr>
          <w:rFonts w:asciiTheme="minorBidi" w:hAnsiTheme="minorBidi"/>
          <w:sz w:val="20"/>
          <w:szCs w:val="20"/>
        </w:rPr>
        <w:t xml:space="preserve"> </w:t>
      </w:r>
      <w:r w:rsidRPr="009B043C">
        <w:rPr>
          <w:rFonts w:asciiTheme="minorBidi" w:hAnsiTheme="minorBidi"/>
          <w:sz w:val="20"/>
          <w:szCs w:val="20"/>
        </w:rPr>
        <w:t>Gonadal Position &amp; Function Score (GPS): Evaluates gonadal descent and endocrine function, informing hormone stimulation tests.</w:t>
      </w:r>
      <w:r w:rsidR="00391262" w:rsidRPr="009B043C">
        <w:rPr>
          <w:rFonts w:asciiTheme="minorBidi" w:hAnsiTheme="minorBidi"/>
          <w:sz w:val="20"/>
          <w:szCs w:val="20"/>
        </w:rPr>
        <w:t xml:space="preserve"> </w:t>
      </w:r>
      <w:r w:rsidRPr="009B043C">
        <w:rPr>
          <w:rFonts w:asciiTheme="minorBidi" w:hAnsiTheme="minorBidi"/>
          <w:sz w:val="20"/>
          <w:szCs w:val="20"/>
        </w:rPr>
        <w:t xml:space="preserve">Karyotype &amp; Chromosomal Score (KCS): Establishes genetic classification, guiding targeted genetic testing (e.g., </w:t>
      </w:r>
      <w:r w:rsidRPr="006F6BA5">
        <w:rPr>
          <w:rFonts w:asciiTheme="minorBidi" w:hAnsiTheme="minorBidi"/>
          <w:i/>
          <w:iCs/>
          <w:sz w:val="20"/>
          <w:szCs w:val="20"/>
        </w:rPr>
        <w:t xml:space="preserve">SRY, NR5A1 </w:t>
      </w:r>
      <w:r w:rsidRPr="009B043C">
        <w:rPr>
          <w:rFonts w:asciiTheme="minorBidi" w:hAnsiTheme="minorBidi"/>
          <w:sz w:val="20"/>
          <w:szCs w:val="20"/>
        </w:rPr>
        <w:t>mutations).</w:t>
      </w:r>
      <w:r w:rsidR="00391262" w:rsidRPr="009B043C">
        <w:rPr>
          <w:rFonts w:asciiTheme="minorBidi" w:hAnsiTheme="minorBidi"/>
          <w:sz w:val="20"/>
          <w:szCs w:val="20"/>
        </w:rPr>
        <w:t xml:space="preserve"> </w:t>
      </w:r>
      <w:r w:rsidRPr="009B043C">
        <w:rPr>
          <w:rFonts w:asciiTheme="minorBidi" w:hAnsiTheme="minorBidi"/>
          <w:sz w:val="20"/>
          <w:szCs w:val="20"/>
        </w:rPr>
        <w:t>By integrating these components, CDCS provides a risk stratification model at the time of initial evaluation, ensuring a holistic and precise diagnostic pathway.</w:t>
      </w:r>
    </w:p>
    <w:p w14:paraId="386A20A7" w14:textId="245EAC31" w:rsidR="005A4886" w:rsidRPr="009B043C" w:rsidRDefault="005A4886" w:rsidP="00391262">
      <w:pPr>
        <w:jc w:val="both"/>
        <w:rPr>
          <w:rFonts w:asciiTheme="minorBidi" w:hAnsiTheme="minorBidi"/>
          <w:sz w:val="20"/>
          <w:szCs w:val="20"/>
        </w:rPr>
      </w:pPr>
      <w:r w:rsidRPr="009B043C">
        <w:rPr>
          <w:rFonts w:asciiTheme="minorBidi" w:hAnsiTheme="minorBidi"/>
          <w:sz w:val="20"/>
          <w:szCs w:val="20"/>
        </w:rPr>
        <w:t xml:space="preserve">Enhancing </w:t>
      </w:r>
      <w:r w:rsidR="00624C2B" w:rsidRPr="009B043C">
        <w:rPr>
          <w:rFonts w:asciiTheme="minorBidi" w:hAnsiTheme="minorBidi"/>
          <w:sz w:val="20"/>
          <w:szCs w:val="20"/>
        </w:rPr>
        <w:t>d</w:t>
      </w:r>
      <w:r w:rsidRPr="009B043C">
        <w:rPr>
          <w:rFonts w:asciiTheme="minorBidi" w:hAnsiTheme="minorBidi"/>
          <w:sz w:val="20"/>
          <w:szCs w:val="20"/>
        </w:rPr>
        <w:t xml:space="preserve">iagnostic </w:t>
      </w:r>
      <w:r w:rsidR="00624C2B" w:rsidRPr="009B043C">
        <w:rPr>
          <w:rFonts w:asciiTheme="minorBidi" w:hAnsiTheme="minorBidi"/>
          <w:sz w:val="20"/>
          <w:szCs w:val="20"/>
        </w:rPr>
        <w:t>p</w:t>
      </w:r>
      <w:r w:rsidRPr="009B043C">
        <w:rPr>
          <w:rFonts w:asciiTheme="minorBidi" w:hAnsiTheme="minorBidi"/>
          <w:sz w:val="20"/>
          <w:szCs w:val="20"/>
        </w:rPr>
        <w:t>recision</w:t>
      </w:r>
      <w:r w:rsidR="00391262" w:rsidRPr="009B043C">
        <w:rPr>
          <w:rFonts w:asciiTheme="minorBidi" w:hAnsiTheme="minorBidi"/>
          <w:sz w:val="20"/>
          <w:szCs w:val="20"/>
        </w:rPr>
        <w:t xml:space="preserve">: </w:t>
      </w:r>
      <w:r w:rsidRPr="009B043C">
        <w:rPr>
          <w:rFonts w:asciiTheme="minorBidi" w:hAnsiTheme="minorBidi"/>
          <w:sz w:val="20"/>
          <w:szCs w:val="20"/>
        </w:rPr>
        <w:t>Traditional DSD classifications often rely on karyotype alone, which may not fully capture phenotypic variations. CDCS incorporates quantitative scores for phenotype, anatomy, and genetics, improving early diagnostic accuracy.</w:t>
      </w:r>
      <w:r w:rsidR="00391262" w:rsidRPr="009B043C">
        <w:rPr>
          <w:rFonts w:asciiTheme="minorBidi" w:hAnsiTheme="minorBidi"/>
          <w:sz w:val="20"/>
          <w:szCs w:val="20"/>
        </w:rPr>
        <w:t xml:space="preserve"> </w:t>
      </w:r>
      <w:r w:rsidRPr="009B043C">
        <w:rPr>
          <w:rFonts w:asciiTheme="minorBidi" w:hAnsiTheme="minorBidi"/>
          <w:sz w:val="20"/>
          <w:szCs w:val="20"/>
        </w:rPr>
        <w:t>For example:</w:t>
      </w:r>
      <w:r w:rsidR="00391262" w:rsidRPr="009B043C">
        <w:rPr>
          <w:rFonts w:asciiTheme="minorBidi" w:hAnsiTheme="minorBidi"/>
          <w:sz w:val="20"/>
          <w:szCs w:val="20"/>
        </w:rPr>
        <w:t xml:space="preserve"> </w:t>
      </w:r>
      <w:r w:rsidRPr="009B043C">
        <w:rPr>
          <w:rFonts w:asciiTheme="minorBidi" w:hAnsiTheme="minorBidi"/>
          <w:sz w:val="20"/>
          <w:szCs w:val="20"/>
        </w:rPr>
        <w:t>A high EGS but low KCS in a 46,</w:t>
      </w:r>
      <w:r w:rsidR="00391262" w:rsidRPr="009B043C">
        <w:rPr>
          <w:rFonts w:asciiTheme="minorBidi" w:hAnsiTheme="minorBidi"/>
          <w:sz w:val="20"/>
          <w:szCs w:val="20"/>
        </w:rPr>
        <w:t xml:space="preserve"> </w:t>
      </w:r>
      <w:r w:rsidRPr="009B043C">
        <w:rPr>
          <w:rFonts w:asciiTheme="minorBidi" w:hAnsiTheme="minorBidi"/>
          <w:sz w:val="20"/>
          <w:szCs w:val="20"/>
        </w:rPr>
        <w:t>XY infant suggests androgen insensitivity rather than a chromosomal anomaly, directing androgen receptor gene testing rather than karyotyping alone.</w:t>
      </w:r>
      <w:r w:rsidR="00391262" w:rsidRPr="009B043C">
        <w:rPr>
          <w:rFonts w:asciiTheme="minorBidi" w:hAnsiTheme="minorBidi"/>
          <w:sz w:val="20"/>
          <w:szCs w:val="20"/>
        </w:rPr>
        <w:t xml:space="preserve"> </w:t>
      </w:r>
      <w:r w:rsidRPr="009B043C">
        <w:rPr>
          <w:rFonts w:asciiTheme="minorBidi" w:hAnsiTheme="minorBidi"/>
          <w:sz w:val="20"/>
          <w:szCs w:val="20"/>
        </w:rPr>
        <w:t>A low IGS with high KCS in a patient with 45,</w:t>
      </w:r>
      <w:r w:rsidR="00391262" w:rsidRPr="009B043C">
        <w:rPr>
          <w:rFonts w:asciiTheme="minorBidi" w:hAnsiTheme="minorBidi"/>
          <w:sz w:val="20"/>
          <w:szCs w:val="20"/>
        </w:rPr>
        <w:t xml:space="preserve"> </w:t>
      </w:r>
      <w:r w:rsidRPr="009B043C">
        <w:rPr>
          <w:rFonts w:asciiTheme="minorBidi" w:hAnsiTheme="minorBidi"/>
          <w:sz w:val="20"/>
          <w:szCs w:val="20"/>
        </w:rPr>
        <w:t>X/46,</w:t>
      </w:r>
      <w:r w:rsidR="00391262" w:rsidRPr="009B043C">
        <w:rPr>
          <w:rFonts w:asciiTheme="minorBidi" w:hAnsiTheme="minorBidi"/>
          <w:sz w:val="20"/>
          <w:szCs w:val="20"/>
        </w:rPr>
        <w:t xml:space="preserve"> </w:t>
      </w:r>
      <w:r w:rsidRPr="009B043C">
        <w:rPr>
          <w:rFonts w:asciiTheme="minorBidi" w:hAnsiTheme="minorBidi"/>
          <w:sz w:val="20"/>
          <w:szCs w:val="20"/>
        </w:rPr>
        <w:t>XY mosaicism may suggest asymmetrical gonadal dysgenesis, prompting early imaging and gonadal biopsy.</w:t>
      </w:r>
    </w:p>
    <w:p w14:paraId="058C9A1B" w14:textId="7C1F13B5" w:rsidR="005A4886" w:rsidRPr="009B043C" w:rsidRDefault="005A4886" w:rsidP="00DA6954">
      <w:pPr>
        <w:jc w:val="both"/>
        <w:rPr>
          <w:rFonts w:asciiTheme="minorBidi" w:hAnsiTheme="minorBidi"/>
          <w:sz w:val="20"/>
          <w:szCs w:val="20"/>
        </w:rPr>
      </w:pPr>
      <w:r w:rsidRPr="009B043C">
        <w:rPr>
          <w:rFonts w:asciiTheme="minorBidi" w:hAnsiTheme="minorBidi"/>
          <w:sz w:val="20"/>
          <w:szCs w:val="20"/>
        </w:rPr>
        <w:lastRenderedPageBreak/>
        <w:t xml:space="preserve">Application of CDCS in DSD </w:t>
      </w:r>
      <w:r w:rsidR="00071539" w:rsidRPr="009B043C">
        <w:rPr>
          <w:rFonts w:asciiTheme="minorBidi" w:hAnsiTheme="minorBidi"/>
          <w:sz w:val="20"/>
          <w:szCs w:val="20"/>
        </w:rPr>
        <w:t>m</w:t>
      </w:r>
      <w:r w:rsidRPr="009B043C">
        <w:rPr>
          <w:rFonts w:asciiTheme="minorBidi" w:hAnsiTheme="minorBidi"/>
          <w:sz w:val="20"/>
          <w:szCs w:val="20"/>
        </w:rPr>
        <w:t>anagement</w:t>
      </w:r>
      <w:r w:rsidR="00391262" w:rsidRPr="009B043C">
        <w:rPr>
          <w:rFonts w:asciiTheme="minorBidi" w:hAnsiTheme="minorBidi"/>
          <w:sz w:val="20"/>
          <w:szCs w:val="20"/>
        </w:rPr>
        <w:t>, g</w:t>
      </w:r>
      <w:r w:rsidRPr="009B043C">
        <w:rPr>
          <w:rFonts w:asciiTheme="minorBidi" w:hAnsiTheme="minorBidi"/>
          <w:sz w:val="20"/>
          <w:szCs w:val="20"/>
        </w:rPr>
        <w:t xml:space="preserve">uiding </w:t>
      </w:r>
      <w:r w:rsidR="00391262" w:rsidRPr="009B043C">
        <w:rPr>
          <w:rFonts w:asciiTheme="minorBidi" w:hAnsiTheme="minorBidi"/>
          <w:sz w:val="20"/>
          <w:szCs w:val="20"/>
        </w:rPr>
        <w:t>s</w:t>
      </w:r>
      <w:r w:rsidRPr="009B043C">
        <w:rPr>
          <w:rFonts w:asciiTheme="minorBidi" w:hAnsiTheme="minorBidi"/>
          <w:sz w:val="20"/>
          <w:szCs w:val="20"/>
        </w:rPr>
        <w:t xml:space="preserve">urgical </w:t>
      </w:r>
      <w:r w:rsidR="00391262" w:rsidRPr="009B043C">
        <w:rPr>
          <w:rFonts w:asciiTheme="minorBidi" w:hAnsiTheme="minorBidi"/>
          <w:sz w:val="20"/>
          <w:szCs w:val="20"/>
        </w:rPr>
        <w:t>d</w:t>
      </w:r>
      <w:r w:rsidRPr="009B043C">
        <w:rPr>
          <w:rFonts w:asciiTheme="minorBidi" w:hAnsiTheme="minorBidi"/>
          <w:sz w:val="20"/>
          <w:szCs w:val="20"/>
        </w:rPr>
        <w:t>ecision-</w:t>
      </w:r>
      <w:r w:rsidR="00391262" w:rsidRPr="009B043C">
        <w:rPr>
          <w:rFonts w:asciiTheme="minorBidi" w:hAnsiTheme="minorBidi"/>
          <w:sz w:val="20"/>
          <w:szCs w:val="20"/>
        </w:rPr>
        <w:t>m</w:t>
      </w:r>
      <w:r w:rsidRPr="009B043C">
        <w:rPr>
          <w:rFonts w:asciiTheme="minorBidi" w:hAnsiTheme="minorBidi"/>
          <w:sz w:val="20"/>
          <w:szCs w:val="20"/>
        </w:rPr>
        <w:t>aking</w:t>
      </w:r>
      <w:r w:rsidR="00391262" w:rsidRPr="009B043C">
        <w:rPr>
          <w:rFonts w:asciiTheme="minorBidi" w:hAnsiTheme="minorBidi"/>
          <w:sz w:val="20"/>
          <w:szCs w:val="20"/>
        </w:rPr>
        <w:t xml:space="preserve">: </w:t>
      </w:r>
      <w:r w:rsidRPr="009B043C">
        <w:rPr>
          <w:rFonts w:asciiTheme="minorBidi" w:hAnsiTheme="minorBidi"/>
          <w:sz w:val="20"/>
          <w:szCs w:val="20"/>
        </w:rPr>
        <w:t>The study demonstrated a strong correlation between EGS scores and surgical intervention rates. CDCS can be applied in surgical planning as follows:</w:t>
      </w:r>
      <w:r w:rsidR="00391262" w:rsidRPr="009B043C">
        <w:rPr>
          <w:rFonts w:asciiTheme="minorBidi" w:hAnsiTheme="minorBidi"/>
          <w:sz w:val="20"/>
          <w:szCs w:val="20"/>
        </w:rPr>
        <w:t xml:space="preserve"> </w:t>
      </w:r>
      <w:r w:rsidRPr="009B043C">
        <w:rPr>
          <w:rFonts w:asciiTheme="minorBidi" w:hAnsiTheme="minorBidi"/>
          <w:sz w:val="20"/>
          <w:szCs w:val="20"/>
        </w:rPr>
        <w:t>Patients with EGS &gt;7: 76% likelihood of surgery, suggesting that significant genital ambiguity often necessitates early surgical intervention</w:t>
      </w:r>
      <w:r w:rsidR="00DA6954">
        <w:rPr>
          <w:rFonts w:asciiTheme="minorBidi" w:hAnsiTheme="minorBidi"/>
          <w:sz w:val="20"/>
          <w:szCs w:val="20"/>
        </w:rPr>
        <w:t xml:space="preserve"> </w:t>
      </w:r>
      <w:r w:rsidR="00DA6954" w:rsidRPr="00DA6954">
        <w:rPr>
          <w:rFonts w:asciiTheme="minorBidi" w:hAnsiTheme="minorBidi"/>
          <w:b/>
          <w:bCs/>
          <w:sz w:val="20"/>
          <w:szCs w:val="20"/>
        </w:rPr>
        <w:t>(</w:t>
      </w:r>
      <w:proofErr w:type="spellStart"/>
      <w:r w:rsidR="00DA6954" w:rsidRPr="00DA6954">
        <w:rPr>
          <w:rFonts w:asciiTheme="minorBidi" w:hAnsiTheme="minorBidi"/>
          <w:b/>
          <w:bCs/>
          <w:sz w:val="20"/>
          <w:szCs w:val="20"/>
        </w:rPr>
        <w:t>Mouriquand</w:t>
      </w:r>
      <w:proofErr w:type="spellEnd"/>
      <w:r w:rsidR="00DA6954" w:rsidRPr="00DA6954">
        <w:rPr>
          <w:rFonts w:asciiTheme="minorBidi" w:hAnsiTheme="minorBidi"/>
          <w:b/>
          <w:bCs/>
          <w:sz w:val="20"/>
          <w:szCs w:val="20"/>
        </w:rPr>
        <w:t>, et al., 2016)</w:t>
      </w:r>
      <w:r w:rsidRPr="00DA6954">
        <w:rPr>
          <w:rFonts w:asciiTheme="minorBidi" w:hAnsiTheme="minorBidi"/>
          <w:b/>
          <w:bCs/>
          <w:sz w:val="20"/>
          <w:szCs w:val="20"/>
        </w:rPr>
        <w:t>.</w:t>
      </w:r>
      <w:r w:rsidR="00391262" w:rsidRPr="00DA6954">
        <w:rPr>
          <w:rFonts w:asciiTheme="minorBidi" w:hAnsiTheme="minorBidi"/>
          <w:b/>
          <w:bCs/>
          <w:sz w:val="20"/>
          <w:szCs w:val="20"/>
        </w:rPr>
        <w:t xml:space="preserve"> </w:t>
      </w:r>
      <w:r w:rsidRPr="009B043C">
        <w:rPr>
          <w:rFonts w:asciiTheme="minorBidi" w:hAnsiTheme="minorBidi"/>
          <w:sz w:val="20"/>
          <w:szCs w:val="20"/>
        </w:rPr>
        <w:t xml:space="preserve">Patients with IGS ≤2: Increased gonadectomy rates, indicating the presence of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with malignancy risk.</w:t>
      </w:r>
      <w:r w:rsidR="00391262" w:rsidRPr="009B043C">
        <w:rPr>
          <w:rFonts w:asciiTheme="minorBidi" w:hAnsiTheme="minorBidi"/>
          <w:sz w:val="20"/>
          <w:szCs w:val="20"/>
        </w:rPr>
        <w:t xml:space="preserve"> </w:t>
      </w:r>
      <w:r w:rsidRPr="009B043C">
        <w:rPr>
          <w:rFonts w:asciiTheme="minorBidi" w:hAnsiTheme="minorBidi"/>
          <w:sz w:val="20"/>
          <w:szCs w:val="20"/>
        </w:rPr>
        <w:t>This scoring system enables risk-based surgical decision-making, ensuring that interventions are based on objective criteria rather than subjective assessments.</w:t>
      </w:r>
      <w:r w:rsidR="00391262" w:rsidRPr="009B043C">
        <w:rPr>
          <w:rFonts w:asciiTheme="minorBidi" w:hAnsiTheme="minorBidi"/>
          <w:sz w:val="20"/>
          <w:szCs w:val="20"/>
        </w:rPr>
        <w:t xml:space="preserve"> For example,</w:t>
      </w:r>
      <w:r w:rsidRPr="009B043C">
        <w:rPr>
          <w:rFonts w:asciiTheme="minorBidi" w:hAnsiTheme="minorBidi"/>
          <w:sz w:val="20"/>
          <w:szCs w:val="20"/>
        </w:rPr>
        <w:t xml:space="preserve"> </w:t>
      </w:r>
      <w:r w:rsidR="00624C2B" w:rsidRPr="009B043C">
        <w:rPr>
          <w:rFonts w:asciiTheme="minorBidi" w:hAnsiTheme="minorBidi"/>
          <w:sz w:val="20"/>
          <w:szCs w:val="20"/>
        </w:rPr>
        <w:t xml:space="preserve">in </w:t>
      </w:r>
      <w:r w:rsidR="00391262" w:rsidRPr="009B043C">
        <w:rPr>
          <w:rFonts w:asciiTheme="minorBidi" w:hAnsiTheme="minorBidi"/>
          <w:sz w:val="20"/>
          <w:szCs w:val="20"/>
        </w:rPr>
        <w:t>a</w:t>
      </w:r>
      <w:r w:rsidRPr="009B043C">
        <w:rPr>
          <w:rFonts w:asciiTheme="minorBidi" w:hAnsiTheme="minorBidi"/>
          <w:sz w:val="20"/>
          <w:szCs w:val="20"/>
        </w:rPr>
        <w:t xml:space="preserve"> 46,</w:t>
      </w:r>
      <w:r w:rsidR="00391262" w:rsidRPr="009B043C">
        <w:rPr>
          <w:rFonts w:asciiTheme="minorBidi" w:hAnsiTheme="minorBidi"/>
          <w:sz w:val="20"/>
          <w:szCs w:val="20"/>
        </w:rPr>
        <w:t xml:space="preserve"> </w:t>
      </w:r>
      <w:r w:rsidRPr="009B043C">
        <w:rPr>
          <w:rFonts w:asciiTheme="minorBidi" w:hAnsiTheme="minorBidi"/>
          <w:sz w:val="20"/>
          <w:szCs w:val="20"/>
        </w:rPr>
        <w:t>XY DSD Neonate with EGS 4, GPS 3, and IGS 1</w:t>
      </w:r>
      <w:r w:rsidR="00391262" w:rsidRPr="009B043C">
        <w:rPr>
          <w:rFonts w:asciiTheme="minorBidi" w:hAnsiTheme="minorBidi"/>
          <w:sz w:val="20"/>
          <w:szCs w:val="20"/>
        </w:rPr>
        <w:t>, m</w:t>
      </w:r>
      <w:r w:rsidRPr="009B043C">
        <w:rPr>
          <w:rFonts w:asciiTheme="minorBidi" w:hAnsiTheme="minorBidi"/>
          <w:sz w:val="20"/>
          <w:szCs w:val="20"/>
        </w:rPr>
        <w:t>oderate external ambiguity suggests delayed diagnosis (e.g., partial androgen insensitivity).</w:t>
      </w:r>
      <w:r w:rsidR="00391262" w:rsidRPr="009B043C">
        <w:rPr>
          <w:rFonts w:asciiTheme="minorBidi" w:hAnsiTheme="minorBidi"/>
          <w:sz w:val="20"/>
          <w:szCs w:val="20"/>
        </w:rPr>
        <w:t xml:space="preserve"> </w:t>
      </w:r>
      <w:r w:rsidRPr="009B043C">
        <w:rPr>
          <w:rFonts w:asciiTheme="minorBidi" w:hAnsiTheme="minorBidi"/>
          <w:sz w:val="20"/>
          <w:szCs w:val="20"/>
        </w:rPr>
        <w:t>Low IGS implies persistent Müllerian structures, necessitating laparoscopy.</w:t>
      </w:r>
      <w:r w:rsidR="00391262" w:rsidRPr="009B043C">
        <w:rPr>
          <w:rFonts w:asciiTheme="minorBidi" w:hAnsiTheme="minorBidi"/>
          <w:sz w:val="20"/>
          <w:szCs w:val="20"/>
        </w:rPr>
        <w:t xml:space="preserve"> </w:t>
      </w:r>
      <w:r w:rsidRPr="009B043C">
        <w:rPr>
          <w:rFonts w:asciiTheme="minorBidi" w:hAnsiTheme="minorBidi"/>
          <w:sz w:val="20"/>
          <w:szCs w:val="20"/>
        </w:rPr>
        <w:t>GPS 3 suggests partial testicular function, warranting hormonal testing before gonadectomy is considered.</w:t>
      </w:r>
      <w:r w:rsidR="00391262" w:rsidRPr="009B043C">
        <w:rPr>
          <w:rFonts w:asciiTheme="minorBidi" w:hAnsiTheme="minorBidi"/>
          <w:sz w:val="20"/>
          <w:szCs w:val="20"/>
        </w:rPr>
        <w:t xml:space="preserve"> </w:t>
      </w:r>
      <w:r w:rsidRPr="009B043C">
        <w:rPr>
          <w:rFonts w:asciiTheme="minorBidi" w:hAnsiTheme="minorBidi"/>
          <w:sz w:val="20"/>
          <w:szCs w:val="20"/>
        </w:rPr>
        <w:t>Using CDCS, clinicians can determine whether surgical correction is required in infancy, deferred until puberty, or avoided altogether.</w:t>
      </w:r>
    </w:p>
    <w:p w14:paraId="56E66ADE" w14:textId="21160F7A" w:rsidR="005A4886" w:rsidRPr="009B043C" w:rsidRDefault="005A4886" w:rsidP="006B42A2">
      <w:pPr>
        <w:jc w:val="both"/>
        <w:rPr>
          <w:rFonts w:asciiTheme="minorBidi" w:hAnsiTheme="minorBidi"/>
          <w:sz w:val="20"/>
          <w:szCs w:val="20"/>
        </w:rPr>
      </w:pPr>
      <w:r w:rsidRPr="009B043C">
        <w:rPr>
          <w:rFonts w:asciiTheme="minorBidi" w:hAnsiTheme="minorBidi"/>
          <w:sz w:val="20"/>
          <w:szCs w:val="20"/>
        </w:rPr>
        <w:t xml:space="preserve">Personalized </w:t>
      </w:r>
      <w:r w:rsidR="00071539" w:rsidRPr="009B043C">
        <w:rPr>
          <w:rFonts w:asciiTheme="minorBidi" w:hAnsiTheme="minorBidi"/>
          <w:sz w:val="20"/>
          <w:szCs w:val="20"/>
        </w:rPr>
        <w:t>e</w:t>
      </w:r>
      <w:r w:rsidRPr="009B043C">
        <w:rPr>
          <w:rFonts w:asciiTheme="minorBidi" w:hAnsiTheme="minorBidi"/>
          <w:sz w:val="20"/>
          <w:szCs w:val="20"/>
        </w:rPr>
        <w:t xml:space="preserve">ndocrine </w:t>
      </w:r>
      <w:r w:rsidR="00071539" w:rsidRPr="009B043C">
        <w:rPr>
          <w:rFonts w:asciiTheme="minorBidi" w:hAnsiTheme="minorBidi"/>
          <w:sz w:val="20"/>
          <w:szCs w:val="20"/>
        </w:rPr>
        <w:t>m</w:t>
      </w:r>
      <w:r w:rsidRPr="009B043C">
        <w:rPr>
          <w:rFonts w:asciiTheme="minorBidi" w:hAnsiTheme="minorBidi"/>
          <w:sz w:val="20"/>
          <w:szCs w:val="20"/>
        </w:rPr>
        <w:t>anagement</w:t>
      </w:r>
      <w:r w:rsidR="00ED734D" w:rsidRPr="009B043C">
        <w:rPr>
          <w:rFonts w:asciiTheme="minorBidi" w:hAnsiTheme="minorBidi"/>
          <w:sz w:val="20"/>
          <w:szCs w:val="20"/>
        </w:rPr>
        <w:t>, t</w:t>
      </w:r>
      <w:r w:rsidRPr="009B043C">
        <w:rPr>
          <w:rFonts w:asciiTheme="minorBidi" w:hAnsiTheme="minorBidi"/>
          <w:sz w:val="20"/>
          <w:szCs w:val="20"/>
        </w:rPr>
        <w:t>he study findings support GPS and KCS as predictors of hormonal therapy necessity:</w:t>
      </w:r>
      <w:r w:rsidR="00391262" w:rsidRPr="009B043C">
        <w:rPr>
          <w:rFonts w:asciiTheme="minorBidi" w:hAnsiTheme="minorBidi"/>
          <w:sz w:val="20"/>
          <w:szCs w:val="20"/>
        </w:rPr>
        <w:t xml:space="preserve"> </w:t>
      </w:r>
      <w:r w:rsidRPr="009B043C">
        <w:rPr>
          <w:rFonts w:asciiTheme="minorBidi" w:hAnsiTheme="minorBidi"/>
          <w:sz w:val="20"/>
          <w:szCs w:val="20"/>
        </w:rPr>
        <w:t>Low GPS (≤2) → 4.1× higher likelihood of hormone therapy, guiding early HRT initiation.</w:t>
      </w:r>
      <w:r w:rsidR="00391262" w:rsidRPr="009B043C">
        <w:rPr>
          <w:rFonts w:asciiTheme="minorBidi" w:hAnsiTheme="minorBidi"/>
          <w:sz w:val="20"/>
          <w:szCs w:val="20"/>
        </w:rPr>
        <w:t xml:space="preserve"> </w:t>
      </w:r>
      <w:r w:rsidRPr="009B043C">
        <w:rPr>
          <w:rFonts w:asciiTheme="minorBidi" w:hAnsiTheme="minorBidi"/>
          <w:sz w:val="20"/>
          <w:szCs w:val="20"/>
        </w:rPr>
        <w:t>Higher KCS → greater gonadal function preservation, predicting spontaneous puberty and potential fertility.</w:t>
      </w:r>
      <w:r w:rsidR="00391262" w:rsidRPr="009B043C">
        <w:rPr>
          <w:rFonts w:asciiTheme="minorBidi" w:hAnsiTheme="minorBidi"/>
          <w:sz w:val="20"/>
          <w:szCs w:val="20"/>
        </w:rPr>
        <w:t xml:space="preserve"> For e</w:t>
      </w:r>
      <w:r w:rsidRPr="009B043C">
        <w:rPr>
          <w:rFonts w:asciiTheme="minorBidi" w:hAnsiTheme="minorBidi"/>
          <w:sz w:val="20"/>
          <w:szCs w:val="20"/>
        </w:rPr>
        <w:t>xample</w:t>
      </w:r>
      <w:r w:rsidR="00391262" w:rsidRPr="009B043C">
        <w:rPr>
          <w:rFonts w:asciiTheme="minorBidi" w:hAnsiTheme="minorBidi"/>
          <w:sz w:val="20"/>
          <w:szCs w:val="20"/>
        </w:rPr>
        <w:t>, a</w:t>
      </w:r>
      <w:r w:rsidRPr="009B043C">
        <w:rPr>
          <w:rFonts w:asciiTheme="minorBidi" w:hAnsiTheme="minorBidi"/>
          <w:sz w:val="20"/>
          <w:szCs w:val="20"/>
        </w:rPr>
        <w:t xml:space="preserve"> 45,</w:t>
      </w:r>
      <w:r w:rsidR="00391262" w:rsidRPr="009B043C">
        <w:rPr>
          <w:rFonts w:asciiTheme="minorBidi" w:hAnsiTheme="minorBidi"/>
          <w:sz w:val="20"/>
          <w:szCs w:val="20"/>
        </w:rPr>
        <w:t xml:space="preserve"> </w:t>
      </w:r>
      <w:r w:rsidRPr="009B043C">
        <w:rPr>
          <w:rFonts w:asciiTheme="minorBidi" w:hAnsiTheme="minorBidi"/>
          <w:sz w:val="20"/>
          <w:szCs w:val="20"/>
        </w:rPr>
        <w:t>X/46,</w:t>
      </w:r>
      <w:r w:rsidR="00391262" w:rsidRPr="009B043C">
        <w:rPr>
          <w:rFonts w:asciiTheme="minorBidi" w:hAnsiTheme="minorBidi"/>
          <w:sz w:val="20"/>
          <w:szCs w:val="20"/>
        </w:rPr>
        <w:t xml:space="preserve"> </w:t>
      </w:r>
      <w:r w:rsidRPr="009B043C">
        <w:rPr>
          <w:rFonts w:asciiTheme="minorBidi" w:hAnsiTheme="minorBidi"/>
          <w:sz w:val="20"/>
          <w:szCs w:val="20"/>
        </w:rPr>
        <w:t>XY Adolescent with GPS 2 and KCS 4</w:t>
      </w:r>
      <w:r w:rsidR="00391262" w:rsidRPr="009B043C">
        <w:rPr>
          <w:rFonts w:asciiTheme="minorBidi" w:hAnsiTheme="minorBidi"/>
          <w:sz w:val="20"/>
          <w:szCs w:val="20"/>
        </w:rPr>
        <w:t>, l</w:t>
      </w:r>
      <w:r w:rsidRPr="009B043C">
        <w:rPr>
          <w:rFonts w:asciiTheme="minorBidi" w:hAnsiTheme="minorBidi"/>
          <w:sz w:val="20"/>
          <w:szCs w:val="20"/>
        </w:rPr>
        <w:t>ow GPS indicates testicular dysfunction, suggesting early testosterone replacement to induce puberty.</w:t>
      </w:r>
      <w:r w:rsidR="00391262" w:rsidRPr="009B043C">
        <w:rPr>
          <w:rFonts w:asciiTheme="minorBidi" w:hAnsiTheme="minorBidi"/>
          <w:sz w:val="20"/>
          <w:szCs w:val="20"/>
        </w:rPr>
        <w:t xml:space="preserve"> </w:t>
      </w:r>
      <w:r w:rsidRPr="009B043C">
        <w:rPr>
          <w:rFonts w:asciiTheme="minorBidi" w:hAnsiTheme="minorBidi"/>
          <w:sz w:val="20"/>
          <w:szCs w:val="20"/>
        </w:rPr>
        <w:t>Intermediate KCS suggests some preserved gonadal function, requiring monitoring of endogenous hormone levels before starting HRT</w:t>
      </w:r>
      <w:r w:rsidR="007C27ED">
        <w:rPr>
          <w:rFonts w:asciiTheme="minorBidi" w:hAnsiTheme="minorBidi"/>
          <w:sz w:val="20"/>
          <w:szCs w:val="20"/>
        </w:rPr>
        <w:t xml:space="preserve"> </w:t>
      </w:r>
      <w:r w:rsidR="007C27ED" w:rsidRPr="007C27ED">
        <w:rPr>
          <w:rFonts w:asciiTheme="minorBidi" w:hAnsiTheme="minorBidi"/>
          <w:b/>
          <w:bCs/>
          <w:sz w:val="20"/>
          <w:szCs w:val="20"/>
        </w:rPr>
        <w:t xml:space="preserve">(Michele </w:t>
      </w:r>
      <w:r w:rsidR="00FF5F09">
        <w:rPr>
          <w:rFonts w:asciiTheme="minorBidi" w:hAnsiTheme="minorBidi"/>
          <w:b/>
          <w:bCs/>
          <w:sz w:val="20"/>
          <w:szCs w:val="20"/>
        </w:rPr>
        <w:t>A.</w:t>
      </w:r>
      <w:r w:rsidR="007C27ED" w:rsidRPr="007C27ED">
        <w:rPr>
          <w:rFonts w:asciiTheme="minorBidi" w:hAnsiTheme="minorBidi"/>
          <w:b/>
          <w:bCs/>
          <w:sz w:val="20"/>
          <w:szCs w:val="20"/>
        </w:rPr>
        <w:t>, et al., 2020</w:t>
      </w:r>
      <w:r w:rsidR="006B42A2">
        <w:rPr>
          <w:rFonts w:asciiTheme="minorBidi" w:hAnsiTheme="minorBidi"/>
          <w:b/>
          <w:bCs/>
          <w:sz w:val="20"/>
          <w:szCs w:val="20"/>
        </w:rPr>
        <w:t xml:space="preserve"> &amp; </w:t>
      </w:r>
      <w:r w:rsidR="006B42A2" w:rsidRPr="006B42A2">
        <w:rPr>
          <w:rFonts w:asciiTheme="minorBidi" w:hAnsiTheme="minorBidi"/>
          <w:b/>
          <w:bCs/>
          <w:sz w:val="20"/>
          <w:szCs w:val="20"/>
        </w:rPr>
        <w:t>Hiort,</w:t>
      </w:r>
      <w:r w:rsidR="006B42A2">
        <w:rPr>
          <w:rFonts w:asciiTheme="minorBidi" w:hAnsiTheme="minorBidi"/>
          <w:b/>
          <w:bCs/>
          <w:sz w:val="20"/>
          <w:szCs w:val="20"/>
        </w:rPr>
        <w:t xml:space="preserve"> et al., 2014</w:t>
      </w:r>
      <w:r w:rsidR="007C27ED" w:rsidRPr="007C27ED">
        <w:rPr>
          <w:rFonts w:asciiTheme="minorBidi" w:hAnsiTheme="minorBidi"/>
          <w:b/>
          <w:bCs/>
          <w:sz w:val="20"/>
          <w:szCs w:val="20"/>
        </w:rPr>
        <w:t>)</w:t>
      </w:r>
      <w:r w:rsidRPr="007C27ED">
        <w:rPr>
          <w:rFonts w:asciiTheme="minorBidi" w:hAnsiTheme="minorBidi"/>
          <w:b/>
          <w:bCs/>
          <w:sz w:val="20"/>
          <w:szCs w:val="20"/>
        </w:rPr>
        <w:t>.</w:t>
      </w:r>
      <w:r w:rsidR="00391262" w:rsidRPr="009B043C">
        <w:rPr>
          <w:rFonts w:asciiTheme="minorBidi" w:hAnsiTheme="minorBidi"/>
          <w:sz w:val="20"/>
          <w:szCs w:val="20"/>
        </w:rPr>
        <w:t xml:space="preserve"> </w:t>
      </w:r>
      <w:r w:rsidRPr="009B043C">
        <w:rPr>
          <w:rFonts w:asciiTheme="minorBidi" w:hAnsiTheme="minorBidi"/>
          <w:sz w:val="20"/>
          <w:szCs w:val="20"/>
        </w:rPr>
        <w:t>CDCS facilitates early endocrine intervention, reducing risks of delayed puberty, metabolic dysfunction, and osteoporosis.</w:t>
      </w:r>
      <w:r w:rsidR="00391262" w:rsidRPr="009B043C">
        <w:rPr>
          <w:rFonts w:asciiTheme="minorBidi" w:hAnsiTheme="minorBidi"/>
          <w:sz w:val="20"/>
          <w:szCs w:val="20"/>
        </w:rPr>
        <w:t xml:space="preserve"> </w:t>
      </w:r>
    </w:p>
    <w:p w14:paraId="5003D5D3" w14:textId="3A8E3438" w:rsidR="005A4886" w:rsidRPr="009B043C" w:rsidRDefault="005A4886" w:rsidP="00391262">
      <w:pPr>
        <w:jc w:val="both"/>
        <w:rPr>
          <w:rFonts w:asciiTheme="minorBidi" w:hAnsiTheme="minorBidi"/>
          <w:sz w:val="20"/>
          <w:szCs w:val="20"/>
        </w:rPr>
      </w:pPr>
      <w:r w:rsidRPr="009B043C">
        <w:rPr>
          <w:rFonts w:asciiTheme="minorBidi" w:hAnsiTheme="minorBidi"/>
          <w:sz w:val="20"/>
          <w:szCs w:val="20"/>
        </w:rPr>
        <w:t xml:space="preserve">Application of CDCS in </w:t>
      </w:r>
      <w:r w:rsidR="00071539" w:rsidRPr="009B043C">
        <w:rPr>
          <w:rFonts w:asciiTheme="minorBidi" w:hAnsiTheme="minorBidi"/>
          <w:sz w:val="20"/>
          <w:szCs w:val="20"/>
        </w:rPr>
        <w:t>p</w:t>
      </w:r>
      <w:r w:rsidRPr="009B043C">
        <w:rPr>
          <w:rFonts w:asciiTheme="minorBidi" w:hAnsiTheme="minorBidi"/>
          <w:sz w:val="20"/>
          <w:szCs w:val="20"/>
        </w:rPr>
        <w:t xml:space="preserve">redicting </w:t>
      </w:r>
      <w:r w:rsidR="00071539" w:rsidRPr="009B043C">
        <w:rPr>
          <w:rFonts w:asciiTheme="minorBidi" w:hAnsiTheme="minorBidi"/>
          <w:sz w:val="20"/>
          <w:szCs w:val="20"/>
        </w:rPr>
        <w:t>l</w:t>
      </w:r>
      <w:r w:rsidRPr="009B043C">
        <w:rPr>
          <w:rFonts w:asciiTheme="minorBidi" w:hAnsiTheme="minorBidi"/>
          <w:sz w:val="20"/>
          <w:szCs w:val="20"/>
        </w:rPr>
        <w:t>ong-</w:t>
      </w:r>
      <w:r w:rsidR="00071539" w:rsidRPr="009B043C">
        <w:rPr>
          <w:rFonts w:asciiTheme="minorBidi" w:hAnsiTheme="minorBidi"/>
          <w:sz w:val="20"/>
          <w:szCs w:val="20"/>
        </w:rPr>
        <w:t>t</w:t>
      </w:r>
      <w:r w:rsidRPr="009B043C">
        <w:rPr>
          <w:rFonts w:asciiTheme="minorBidi" w:hAnsiTheme="minorBidi"/>
          <w:sz w:val="20"/>
          <w:szCs w:val="20"/>
        </w:rPr>
        <w:t xml:space="preserve">erm </w:t>
      </w:r>
      <w:r w:rsidR="00071539" w:rsidRPr="009B043C">
        <w:rPr>
          <w:rFonts w:asciiTheme="minorBidi" w:hAnsiTheme="minorBidi"/>
          <w:sz w:val="20"/>
          <w:szCs w:val="20"/>
        </w:rPr>
        <w:t>o</w:t>
      </w:r>
      <w:r w:rsidRPr="009B043C">
        <w:rPr>
          <w:rFonts w:asciiTheme="minorBidi" w:hAnsiTheme="minorBidi"/>
          <w:sz w:val="20"/>
          <w:szCs w:val="20"/>
        </w:rPr>
        <w:t>utcomes</w:t>
      </w:r>
      <w:r w:rsidR="00391262" w:rsidRPr="009B043C">
        <w:rPr>
          <w:rFonts w:asciiTheme="minorBidi" w:hAnsiTheme="minorBidi"/>
          <w:sz w:val="20"/>
          <w:szCs w:val="20"/>
        </w:rPr>
        <w:t xml:space="preserve">, </w:t>
      </w:r>
      <w:r w:rsidR="00071539" w:rsidRPr="009B043C">
        <w:rPr>
          <w:rFonts w:asciiTheme="minorBidi" w:hAnsiTheme="minorBidi"/>
          <w:sz w:val="20"/>
          <w:szCs w:val="20"/>
        </w:rPr>
        <w:t xml:space="preserve">and </w:t>
      </w:r>
      <w:r w:rsidR="00391262" w:rsidRPr="009B043C">
        <w:rPr>
          <w:rFonts w:asciiTheme="minorBidi" w:hAnsiTheme="minorBidi"/>
          <w:sz w:val="20"/>
          <w:szCs w:val="20"/>
        </w:rPr>
        <w:t>r</w:t>
      </w:r>
      <w:r w:rsidRPr="009B043C">
        <w:rPr>
          <w:rFonts w:asciiTheme="minorBidi" w:hAnsiTheme="minorBidi"/>
          <w:sz w:val="20"/>
          <w:szCs w:val="20"/>
        </w:rPr>
        <w:t xml:space="preserve">isk </w:t>
      </w:r>
      <w:r w:rsidR="00391262" w:rsidRPr="009B043C">
        <w:rPr>
          <w:rFonts w:asciiTheme="minorBidi" w:hAnsiTheme="minorBidi"/>
          <w:sz w:val="20"/>
          <w:szCs w:val="20"/>
        </w:rPr>
        <w:t>s</w:t>
      </w:r>
      <w:r w:rsidRPr="009B043C">
        <w:rPr>
          <w:rFonts w:asciiTheme="minorBidi" w:hAnsiTheme="minorBidi"/>
          <w:sz w:val="20"/>
          <w:szCs w:val="20"/>
        </w:rPr>
        <w:t xml:space="preserve">tratification for </w:t>
      </w:r>
      <w:r w:rsidR="00391262" w:rsidRPr="009B043C">
        <w:rPr>
          <w:rFonts w:asciiTheme="minorBidi" w:hAnsiTheme="minorBidi"/>
          <w:sz w:val="20"/>
          <w:szCs w:val="20"/>
        </w:rPr>
        <w:t>g</w:t>
      </w:r>
      <w:r w:rsidRPr="009B043C">
        <w:rPr>
          <w:rFonts w:asciiTheme="minorBidi" w:hAnsiTheme="minorBidi"/>
          <w:sz w:val="20"/>
          <w:szCs w:val="20"/>
        </w:rPr>
        <w:t xml:space="preserve">onadal </w:t>
      </w:r>
      <w:r w:rsidR="00391262" w:rsidRPr="009B043C">
        <w:rPr>
          <w:rFonts w:asciiTheme="minorBidi" w:hAnsiTheme="minorBidi"/>
          <w:sz w:val="20"/>
          <w:szCs w:val="20"/>
        </w:rPr>
        <w:t>m</w:t>
      </w:r>
      <w:r w:rsidRPr="009B043C">
        <w:rPr>
          <w:rFonts w:asciiTheme="minorBidi" w:hAnsiTheme="minorBidi"/>
          <w:sz w:val="20"/>
          <w:szCs w:val="20"/>
        </w:rPr>
        <w:t>alignancy</w:t>
      </w:r>
      <w:r w:rsidR="00142C80" w:rsidRPr="009B043C">
        <w:rPr>
          <w:rFonts w:asciiTheme="minorBidi" w:hAnsiTheme="minorBidi"/>
          <w:sz w:val="20"/>
          <w:szCs w:val="20"/>
        </w:rPr>
        <w:t xml:space="preserve"> through t</w:t>
      </w:r>
      <w:r w:rsidRPr="009B043C">
        <w:rPr>
          <w:rFonts w:asciiTheme="minorBidi" w:hAnsiTheme="minorBidi"/>
          <w:sz w:val="20"/>
          <w:szCs w:val="20"/>
        </w:rPr>
        <w:t xml:space="preserve">he strong association between IGS and gonadectomy supports CDCS as a predictive tool for malignancy risk. Previous studies (Deans et al., 2012) confirm that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are at high risk for germ cell tumors, warranting surveillance or removal.</w:t>
      </w:r>
      <w:r w:rsidR="00391262" w:rsidRPr="009B043C">
        <w:rPr>
          <w:rFonts w:asciiTheme="minorBidi" w:hAnsiTheme="minorBidi"/>
          <w:sz w:val="20"/>
          <w:szCs w:val="20"/>
        </w:rPr>
        <w:t xml:space="preserve"> </w:t>
      </w:r>
      <w:r w:rsidRPr="009B043C">
        <w:rPr>
          <w:rFonts w:asciiTheme="minorBidi" w:hAnsiTheme="minorBidi"/>
          <w:sz w:val="20"/>
          <w:szCs w:val="20"/>
        </w:rPr>
        <w:t>IGS ≤2 → OR 3.2 for gonadectomy, indicating a high probability of gonadal malignancy.</w:t>
      </w:r>
      <w:r w:rsidR="00391262" w:rsidRPr="009B043C">
        <w:rPr>
          <w:rFonts w:asciiTheme="minorBidi" w:hAnsiTheme="minorBidi"/>
          <w:sz w:val="20"/>
          <w:szCs w:val="20"/>
        </w:rPr>
        <w:t xml:space="preserve"> </w:t>
      </w:r>
      <w:r w:rsidRPr="009B043C">
        <w:rPr>
          <w:rFonts w:asciiTheme="minorBidi" w:hAnsiTheme="minorBidi"/>
          <w:sz w:val="20"/>
          <w:szCs w:val="20"/>
        </w:rPr>
        <w:t>KCS ≥4 with normal GPS → preserved gonadal function, suggesting a fertility preservation approach rather than early gonadectomy.</w:t>
      </w:r>
      <w:r w:rsidR="00391262" w:rsidRPr="009B043C">
        <w:rPr>
          <w:rFonts w:asciiTheme="minorBidi" w:hAnsiTheme="minorBidi"/>
          <w:sz w:val="20"/>
          <w:szCs w:val="20"/>
        </w:rPr>
        <w:t xml:space="preserve"> For e</w:t>
      </w:r>
      <w:r w:rsidRPr="009B043C">
        <w:rPr>
          <w:rFonts w:asciiTheme="minorBidi" w:hAnsiTheme="minorBidi"/>
          <w:sz w:val="20"/>
          <w:szCs w:val="20"/>
        </w:rPr>
        <w:t>xample</w:t>
      </w:r>
      <w:r w:rsidR="00391262" w:rsidRPr="009B043C">
        <w:rPr>
          <w:rFonts w:asciiTheme="minorBidi" w:hAnsiTheme="minorBidi"/>
          <w:sz w:val="20"/>
          <w:szCs w:val="20"/>
        </w:rPr>
        <w:t>, a</w:t>
      </w:r>
      <w:r w:rsidRPr="009B043C">
        <w:rPr>
          <w:rFonts w:asciiTheme="minorBidi" w:hAnsiTheme="minorBidi"/>
          <w:sz w:val="20"/>
          <w:szCs w:val="20"/>
        </w:rPr>
        <w:t xml:space="preserve"> 46,</w:t>
      </w:r>
      <w:r w:rsidR="00391262" w:rsidRPr="009B043C">
        <w:rPr>
          <w:rFonts w:asciiTheme="minorBidi" w:hAnsiTheme="minorBidi"/>
          <w:sz w:val="20"/>
          <w:szCs w:val="20"/>
        </w:rPr>
        <w:t xml:space="preserve"> </w:t>
      </w:r>
      <w:r w:rsidRPr="009B043C">
        <w:rPr>
          <w:rFonts w:asciiTheme="minorBidi" w:hAnsiTheme="minorBidi"/>
          <w:sz w:val="20"/>
          <w:szCs w:val="20"/>
        </w:rPr>
        <w:t>XY DSD Child with EGS 5, IGS 1, GPS 3, and KCS 3</w:t>
      </w:r>
      <w:r w:rsidR="00391262" w:rsidRPr="009B043C">
        <w:rPr>
          <w:rFonts w:asciiTheme="minorBidi" w:hAnsiTheme="minorBidi"/>
          <w:sz w:val="20"/>
          <w:szCs w:val="20"/>
        </w:rPr>
        <w:t>, l</w:t>
      </w:r>
      <w:r w:rsidRPr="009B043C">
        <w:rPr>
          <w:rFonts w:asciiTheme="minorBidi" w:hAnsiTheme="minorBidi"/>
          <w:sz w:val="20"/>
          <w:szCs w:val="20"/>
        </w:rPr>
        <w:t>ow IGS suggests Müllerian remnants, prompting laparoscopy to evaluate gonadal tissue.</w:t>
      </w:r>
      <w:r w:rsidR="00391262" w:rsidRPr="009B043C">
        <w:rPr>
          <w:rFonts w:asciiTheme="minorBidi" w:hAnsiTheme="minorBidi"/>
          <w:sz w:val="20"/>
          <w:szCs w:val="20"/>
        </w:rPr>
        <w:t xml:space="preserve"> </w:t>
      </w:r>
      <w:r w:rsidRPr="009B043C">
        <w:rPr>
          <w:rFonts w:asciiTheme="minorBidi" w:hAnsiTheme="minorBidi"/>
          <w:sz w:val="20"/>
          <w:szCs w:val="20"/>
        </w:rPr>
        <w:t>GPS 3 suggests partial testicular function, requiring AMH and testosterone monitoring.</w:t>
      </w:r>
      <w:r w:rsidR="00391262" w:rsidRPr="009B043C">
        <w:rPr>
          <w:rFonts w:asciiTheme="minorBidi" w:hAnsiTheme="minorBidi"/>
          <w:sz w:val="20"/>
          <w:szCs w:val="20"/>
        </w:rPr>
        <w:t xml:space="preserve"> </w:t>
      </w:r>
      <w:r w:rsidRPr="009B043C">
        <w:rPr>
          <w:rFonts w:asciiTheme="minorBidi" w:hAnsiTheme="minorBidi"/>
          <w:sz w:val="20"/>
          <w:szCs w:val="20"/>
        </w:rPr>
        <w:t>KCS 3 suggests a mixed gonadal dysgenesis risk, warranting gonadectomy discussion if malignancy markers are detected.</w:t>
      </w:r>
      <w:r w:rsidR="00391262" w:rsidRPr="009B043C">
        <w:rPr>
          <w:rFonts w:asciiTheme="minorBidi" w:hAnsiTheme="minorBidi"/>
          <w:sz w:val="20"/>
          <w:szCs w:val="20"/>
        </w:rPr>
        <w:t xml:space="preserve"> </w:t>
      </w:r>
      <w:r w:rsidRPr="009B043C">
        <w:rPr>
          <w:rFonts w:asciiTheme="minorBidi" w:hAnsiTheme="minorBidi"/>
          <w:sz w:val="20"/>
          <w:szCs w:val="20"/>
        </w:rPr>
        <w:t>By using CDCS as a risk stratification tool, clinicians can make informed decisions regarding gonadectomy timing, fertility preservation, and cancer surveillance.</w:t>
      </w:r>
    </w:p>
    <w:p w14:paraId="105AA641" w14:textId="03902F13" w:rsidR="005A4886" w:rsidRPr="009B043C" w:rsidRDefault="005A4886" w:rsidP="00925507">
      <w:pPr>
        <w:jc w:val="both"/>
        <w:rPr>
          <w:rFonts w:asciiTheme="minorBidi" w:hAnsiTheme="minorBidi"/>
          <w:sz w:val="20"/>
          <w:szCs w:val="20"/>
        </w:rPr>
      </w:pPr>
      <w:r w:rsidRPr="009B043C">
        <w:rPr>
          <w:rFonts w:asciiTheme="minorBidi" w:hAnsiTheme="minorBidi"/>
          <w:sz w:val="20"/>
          <w:szCs w:val="20"/>
        </w:rPr>
        <w:t xml:space="preserve">Fertility </w:t>
      </w:r>
      <w:r w:rsidR="00071539" w:rsidRPr="009B043C">
        <w:rPr>
          <w:rFonts w:asciiTheme="minorBidi" w:hAnsiTheme="minorBidi"/>
          <w:sz w:val="20"/>
          <w:szCs w:val="20"/>
        </w:rPr>
        <w:t>p</w:t>
      </w:r>
      <w:r w:rsidRPr="009B043C">
        <w:rPr>
          <w:rFonts w:asciiTheme="minorBidi" w:hAnsiTheme="minorBidi"/>
          <w:sz w:val="20"/>
          <w:szCs w:val="20"/>
        </w:rPr>
        <w:t xml:space="preserve">reservation and </w:t>
      </w:r>
      <w:r w:rsidR="00071539" w:rsidRPr="009B043C">
        <w:rPr>
          <w:rFonts w:asciiTheme="minorBidi" w:hAnsiTheme="minorBidi"/>
          <w:sz w:val="20"/>
          <w:szCs w:val="20"/>
        </w:rPr>
        <w:t>p</w:t>
      </w:r>
      <w:r w:rsidRPr="009B043C">
        <w:rPr>
          <w:rFonts w:asciiTheme="minorBidi" w:hAnsiTheme="minorBidi"/>
          <w:sz w:val="20"/>
          <w:szCs w:val="20"/>
        </w:rPr>
        <w:t xml:space="preserve">sychosocial </w:t>
      </w:r>
      <w:r w:rsidR="00071539" w:rsidRPr="009B043C">
        <w:rPr>
          <w:rFonts w:asciiTheme="minorBidi" w:hAnsiTheme="minorBidi"/>
          <w:sz w:val="20"/>
          <w:szCs w:val="20"/>
        </w:rPr>
        <w:t>c</w:t>
      </w:r>
      <w:r w:rsidRPr="009B043C">
        <w:rPr>
          <w:rFonts w:asciiTheme="minorBidi" w:hAnsiTheme="minorBidi"/>
          <w:sz w:val="20"/>
          <w:szCs w:val="20"/>
        </w:rPr>
        <w:t>onsiderations</w:t>
      </w:r>
      <w:r w:rsidR="00391262" w:rsidRPr="009B043C">
        <w:rPr>
          <w:rFonts w:asciiTheme="minorBidi" w:hAnsiTheme="minorBidi"/>
          <w:sz w:val="20"/>
          <w:szCs w:val="20"/>
        </w:rPr>
        <w:t xml:space="preserve">: </w:t>
      </w:r>
      <w:r w:rsidRPr="009B043C">
        <w:rPr>
          <w:rFonts w:asciiTheme="minorBidi" w:hAnsiTheme="minorBidi"/>
          <w:sz w:val="20"/>
          <w:szCs w:val="20"/>
        </w:rPr>
        <w:t>Higher CDCS scores correlate with better reproductive potential, guiding fertility preservation counseling.</w:t>
      </w:r>
      <w:r w:rsidR="00391262" w:rsidRPr="009B043C">
        <w:rPr>
          <w:rFonts w:asciiTheme="minorBidi" w:hAnsiTheme="minorBidi"/>
          <w:sz w:val="20"/>
          <w:szCs w:val="20"/>
        </w:rPr>
        <w:t xml:space="preserve"> </w:t>
      </w:r>
      <w:r w:rsidRPr="009B043C">
        <w:rPr>
          <w:rFonts w:asciiTheme="minorBidi" w:hAnsiTheme="minorBidi"/>
          <w:sz w:val="20"/>
          <w:szCs w:val="20"/>
        </w:rPr>
        <w:t>Patients with preserved gonadal function (GPS &gt;3 and KCS &gt;4) should undergo sperm or oocyte cryopreservation before gonadectomy</w:t>
      </w:r>
      <w:r w:rsidR="00925507">
        <w:rPr>
          <w:rFonts w:asciiTheme="minorBidi" w:hAnsiTheme="minorBidi"/>
          <w:sz w:val="20"/>
          <w:szCs w:val="20"/>
        </w:rPr>
        <w:t xml:space="preserve"> </w:t>
      </w:r>
      <w:r w:rsidR="00925507" w:rsidRPr="00925507">
        <w:rPr>
          <w:rFonts w:asciiTheme="minorBidi" w:hAnsiTheme="minorBidi"/>
          <w:b/>
          <w:bCs/>
          <w:sz w:val="20"/>
          <w:szCs w:val="20"/>
        </w:rPr>
        <w:t>(De Roo, et al., 2021)</w:t>
      </w:r>
      <w:r w:rsidRPr="00925507">
        <w:rPr>
          <w:rFonts w:asciiTheme="minorBidi" w:hAnsiTheme="minorBidi"/>
          <w:b/>
          <w:bCs/>
          <w:sz w:val="20"/>
          <w:szCs w:val="20"/>
        </w:rPr>
        <w:t>.</w:t>
      </w:r>
      <w:r w:rsidR="00391262" w:rsidRPr="009B043C">
        <w:rPr>
          <w:rFonts w:asciiTheme="minorBidi" w:hAnsiTheme="minorBidi"/>
          <w:sz w:val="20"/>
          <w:szCs w:val="20"/>
        </w:rPr>
        <w:t xml:space="preserve"> </w:t>
      </w:r>
      <w:r w:rsidRPr="009B043C">
        <w:rPr>
          <w:rFonts w:asciiTheme="minorBidi" w:hAnsiTheme="minorBidi"/>
          <w:sz w:val="20"/>
          <w:szCs w:val="20"/>
        </w:rPr>
        <w:t>Psychosocial assessment should integrate CDCS scores, ensuring that gender identity discussions are informed by objective phenotypic and genetic data.</w:t>
      </w:r>
    </w:p>
    <w:p w14:paraId="005B2D55" w14:textId="77777777" w:rsidR="00A35EC6" w:rsidRPr="009B043C" w:rsidRDefault="005A4886" w:rsidP="00A35EC6">
      <w:pPr>
        <w:jc w:val="both"/>
        <w:rPr>
          <w:rFonts w:asciiTheme="minorBidi" w:hAnsiTheme="minorBidi"/>
          <w:sz w:val="20"/>
          <w:szCs w:val="20"/>
        </w:rPr>
      </w:pPr>
      <w:r w:rsidRPr="009B043C">
        <w:rPr>
          <w:rFonts w:asciiTheme="minorBidi" w:hAnsiTheme="minorBidi"/>
          <w:sz w:val="20"/>
          <w:szCs w:val="20"/>
        </w:rPr>
        <w:t xml:space="preserve">Integrating CDCS into </w:t>
      </w:r>
      <w:r w:rsidR="00071539" w:rsidRPr="009B043C">
        <w:rPr>
          <w:rFonts w:asciiTheme="minorBidi" w:hAnsiTheme="minorBidi"/>
          <w:sz w:val="20"/>
          <w:szCs w:val="20"/>
        </w:rPr>
        <w:t>m</w:t>
      </w:r>
      <w:r w:rsidRPr="009B043C">
        <w:rPr>
          <w:rFonts w:asciiTheme="minorBidi" w:hAnsiTheme="minorBidi"/>
          <w:sz w:val="20"/>
          <w:szCs w:val="20"/>
        </w:rPr>
        <w:t>ultidisciplinary DSD</w:t>
      </w:r>
      <w:r w:rsidR="00391262" w:rsidRPr="009B043C">
        <w:rPr>
          <w:rFonts w:asciiTheme="minorBidi" w:hAnsiTheme="minorBidi"/>
          <w:sz w:val="20"/>
          <w:szCs w:val="20"/>
        </w:rPr>
        <w:t>, g</w:t>
      </w:r>
      <w:r w:rsidRPr="009B043C">
        <w:rPr>
          <w:rFonts w:asciiTheme="minorBidi" w:hAnsiTheme="minorBidi"/>
          <w:sz w:val="20"/>
          <w:szCs w:val="20"/>
        </w:rPr>
        <w:t>iven its predictive power (AUC = 0.86), CDCS can be seamlessly incorporated into multidisciplinary DSD clinics, involving:</w:t>
      </w:r>
      <w:r w:rsidR="00391262" w:rsidRPr="009B043C">
        <w:rPr>
          <w:rFonts w:asciiTheme="minorBidi" w:hAnsiTheme="minorBidi"/>
          <w:sz w:val="20"/>
          <w:szCs w:val="20"/>
        </w:rPr>
        <w:t xml:space="preserve"> </w:t>
      </w:r>
      <w:r w:rsidRPr="009B043C">
        <w:rPr>
          <w:rFonts w:asciiTheme="minorBidi" w:hAnsiTheme="minorBidi"/>
          <w:sz w:val="20"/>
          <w:szCs w:val="20"/>
        </w:rPr>
        <w:t>Pediatric Endocrinologists → For hormone therapy assessment (GPS/KCS).</w:t>
      </w:r>
      <w:r w:rsidR="00391262" w:rsidRPr="009B043C">
        <w:rPr>
          <w:rFonts w:asciiTheme="minorBidi" w:hAnsiTheme="minorBidi"/>
          <w:sz w:val="20"/>
          <w:szCs w:val="20"/>
        </w:rPr>
        <w:t xml:space="preserve"> </w:t>
      </w:r>
      <w:r w:rsidRPr="009B043C">
        <w:rPr>
          <w:rFonts w:asciiTheme="minorBidi" w:hAnsiTheme="minorBidi"/>
          <w:sz w:val="20"/>
          <w:szCs w:val="20"/>
        </w:rPr>
        <w:t>Pediatric Urologists/Surgeons → For surgical decision-making (EGS/IGS).</w:t>
      </w:r>
      <w:r w:rsidR="00391262" w:rsidRPr="009B043C">
        <w:rPr>
          <w:rFonts w:asciiTheme="minorBidi" w:hAnsiTheme="minorBidi"/>
          <w:sz w:val="20"/>
          <w:szCs w:val="20"/>
        </w:rPr>
        <w:t xml:space="preserve"> </w:t>
      </w:r>
      <w:r w:rsidRPr="009B043C">
        <w:rPr>
          <w:rFonts w:asciiTheme="minorBidi" w:hAnsiTheme="minorBidi"/>
          <w:sz w:val="20"/>
          <w:szCs w:val="20"/>
        </w:rPr>
        <w:t>Geneticists → For chromosomal and molecular analysis (KCS)</w:t>
      </w:r>
      <w:r w:rsidR="00391262" w:rsidRPr="009B043C">
        <w:rPr>
          <w:rFonts w:asciiTheme="minorBidi" w:hAnsiTheme="minorBidi"/>
          <w:sz w:val="20"/>
          <w:szCs w:val="20"/>
        </w:rPr>
        <w:t>, and p</w:t>
      </w:r>
      <w:r w:rsidRPr="009B043C">
        <w:rPr>
          <w:rFonts w:asciiTheme="minorBidi" w:hAnsiTheme="minorBidi"/>
          <w:sz w:val="20"/>
          <w:szCs w:val="20"/>
        </w:rPr>
        <w:t>sychologists/Social Workers → For gender identity and psychosocial support.</w:t>
      </w:r>
      <w:r w:rsidR="00391262" w:rsidRPr="009B043C">
        <w:rPr>
          <w:rFonts w:asciiTheme="minorBidi" w:hAnsiTheme="minorBidi"/>
          <w:sz w:val="20"/>
          <w:szCs w:val="20"/>
        </w:rPr>
        <w:t xml:space="preserve"> </w:t>
      </w:r>
      <w:r w:rsidRPr="009B043C">
        <w:rPr>
          <w:rFonts w:asciiTheme="minorBidi" w:hAnsiTheme="minorBidi"/>
          <w:sz w:val="20"/>
          <w:szCs w:val="20"/>
        </w:rPr>
        <w:t>CDCS can streamline clinical workflows, ensuring that all specialists operate under a standardized classification framework, reducing variability in DSD management.</w:t>
      </w:r>
      <w:r w:rsidR="00A35EC6" w:rsidRPr="009B043C">
        <w:rPr>
          <w:rFonts w:asciiTheme="minorBidi" w:hAnsiTheme="minorBidi"/>
          <w:sz w:val="20"/>
          <w:szCs w:val="20"/>
        </w:rPr>
        <w:t xml:space="preserve"> </w:t>
      </w:r>
    </w:p>
    <w:p w14:paraId="7BF6D331" w14:textId="7D0FBD89" w:rsidR="00A35EC6" w:rsidRPr="009B043C" w:rsidRDefault="00A35EC6" w:rsidP="00925507">
      <w:pPr>
        <w:jc w:val="both"/>
        <w:rPr>
          <w:rFonts w:asciiTheme="minorBidi" w:hAnsiTheme="minorBidi"/>
          <w:sz w:val="20"/>
          <w:szCs w:val="20"/>
        </w:rPr>
      </w:pPr>
      <w:r w:rsidRPr="009B043C">
        <w:rPr>
          <w:rFonts w:asciiTheme="minorBidi" w:hAnsiTheme="minorBidi"/>
          <w:sz w:val="20"/>
          <w:szCs w:val="20"/>
        </w:rPr>
        <w:t xml:space="preserve">CDCS improves diagnostic accuracy by integrating phenotypic, anatomical, endocrine, and genetic factors into a single quantitative model, allowing for precise risk stratification beyond traditional karyotype-based classification. The observed correlations in the data align with well-established biological mechanisms, supporting CDCS as an evidence-based tool. Karyotype alone provides limited diagnostic resolution because phenotypic variation exists within the same karyotype (e.g., 46, XY individuals with Partial Androgen Insensitivity Syndrome (PAIS) vs. complete gonadal dysgenesis). Mosaicism (e.g., 45, X/46, XY) </w:t>
      </w:r>
      <w:r w:rsidRPr="009B043C">
        <w:rPr>
          <w:rFonts w:asciiTheme="minorBidi" w:hAnsiTheme="minorBidi"/>
          <w:sz w:val="20"/>
          <w:szCs w:val="20"/>
        </w:rPr>
        <w:lastRenderedPageBreak/>
        <w:t xml:space="preserve">produces variable anatomical presentations, requiring additional phenotypic and imaging assessments, and the genetic mutations in steroidogenic pathways (e.g., </w:t>
      </w:r>
      <w:r w:rsidRPr="009B043C">
        <w:rPr>
          <w:rFonts w:asciiTheme="minorBidi" w:hAnsiTheme="minorBidi"/>
          <w:i/>
          <w:iCs/>
          <w:sz w:val="20"/>
          <w:szCs w:val="20"/>
        </w:rPr>
        <w:t>NR5A1, SRD5A2</w:t>
      </w:r>
      <w:r w:rsidRPr="009B043C">
        <w:rPr>
          <w:rFonts w:asciiTheme="minorBidi" w:hAnsiTheme="minorBidi"/>
          <w:sz w:val="20"/>
          <w:szCs w:val="20"/>
        </w:rPr>
        <w:t>) are missed by karyotyping alone, necessitating targeted molecular testing</w:t>
      </w:r>
      <w:r w:rsidR="00925507">
        <w:rPr>
          <w:rFonts w:asciiTheme="minorBidi" w:hAnsiTheme="minorBidi"/>
          <w:sz w:val="20"/>
          <w:szCs w:val="20"/>
        </w:rPr>
        <w:t xml:space="preserve"> </w:t>
      </w:r>
      <w:r w:rsidR="00925507" w:rsidRPr="00925507">
        <w:rPr>
          <w:rFonts w:asciiTheme="minorBidi" w:hAnsiTheme="minorBidi"/>
          <w:b/>
          <w:bCs/>
          <w:sz w:val="20"/>
          <w:szCs w:val="20"/>
        </w:rPr>
        <w:t>(Baxter, et al., 201</w:t>
      </w:r>
      <w:r w:rsidR="00925507">
        <w:rPr>
          <w:rFonts w:asciiTheme="minorBidi" w:hAnsiTheme="minorBidi"/>
          <w:b/>
          <w:bCs/>
          <w:sz w:val="20"/>
          <w:szCs w:val="20"/>
        </w:rPr>
        <w:t>5</w:t>
      </w:r>
      <w:r w:rsidR="00925507" w:rsidRPr="00925507">
        <w:rPr>
          <w:rFonts w:asciiTheme="minorBidi" w:hAnsiTheme="minorBidi"/>
          <w:b/>
          <w:bCs/>
          <w:sz w:val="20"/>
          <w:szCs w:val="20"/>
        </w:rPr>
        <w:t>)</w:t>
      </w:r>
      <w:r w:rsidRPr="00925507">
        <w:rPr>
          <w:rFonts w:asciiTheme="minorBidi" w:hAnsiTheme="minorBidi"/>
          <w:b/>
          <w:bCs/>
          <w:sz w:val="20"/>
          <w:szCs w:val="20"/>
        </w:rPr>
        <w:t>.</w:t>
      </w:r>
    </w:p>
    <w:p w14:paraId="2B1096AC" w14:textId="278867FF" w:rsidR="00624C2B" w:rsidRPr="009B043C" w:rsidRDefault="00624C2B" w:rsidP="00B7289C">
      <w:pPr>
        <w:jc w:val="both"/>
        <w:rPr>
          <w:rFonts w:asciiTheme="minorBidi" w:hAnsiTheme="minorBidi"/>
          <w:sz w:val="20"/>
          <w:szCs w:val="20"/>
        </w:rPr>
      </w:pPr>
      <w:r w:rsidRPr="009B043C">
        <w:rPr>
          <w:rFonts w:asciiTheme="minorBidi" w:hAnsiTheme="minorBidi"/>
          <w:sz w:val="20"/>
          <w:szCs w:val="20"/>
        </w:rPr>
        <w:t xml:space="preserve">While this study provides strong evidence supporting the validity and clinical utility of the CDCS, several limitations must be acknowledged: </w:t>
      </w:r>
      <w:r w:rsidRPr="00B7289C">
        <w:rPr>
          <w:rFonts w:asciiTheme="minorBidi" w:hAnsiTheme="minorBidi"/>
          <w:sz w:val="20"/>
          <w:szCs w:val="20"/>
        </w:rPr>
        <w:t xml:space="preserve">This study analyzed a relatively small cohort from a single pediatric surgery unit over 15 years. </w:t>
      </w:r>
      <w:r w:rsidR="00B7289C" w:rsidRPr="00B7289C">
        <w:rPr>
          <w:rFonts w:asciiTheme="minorBidi" w:hAnsiTheme="minorBidi"/>
          <w:sz w:val="20"/>
          <w:szCs w:val="20"/>
        </w:rPr>
        <w:t xml:space="preserve">There could be an error in data assignment, leading to double counting of patients. If some patients with ambiguous karyotypes were mistakenly categorized twice, this could explain the discrepancy. </w:t>
      </w:r>
      <w:r w:rsidRPr="00B7289C">
        <w:rPr>
          <w:rFonts w:asciiTheme="minorBidi" w:hAnsiTheme="minorBidi"/>
          <w:sz w:val="20"/>
          <w:szCs w:val="20"/>
        </w:rPr>
        <w:t xml:space="preserve">Although the findings suggest robust correlations between CDCS components and clinical outcomes, a larger, multicenter cohort is necessary to enhance generalizability. The retrospective nature of this study introduces potential selection bias, as patients included may not fully represent the broader DSD population. Referral patterns, institutional treatment protocols, and missing data may have influenced the study outcomes. </w:t>
      </w:r>
      <w:r w:rsidRPr="009B043C">
        <w:rPr>
          <w:rFonts w:asciiTheme="minorBidi" w:hAnsiTheme="minorBidi"/>
          <w:sz w:val="20"/>
          <w:szCs w:val="20"/>
        </w:rPr>
        <w:t xml:space="preserve">Although the CDCS score effectively predicts early clinical interventions, long-term follow-up data on pubertal development, fertility potential, psychological well-being, and quality of life remain unavailable. The Karyotype &amp; Chromosomal Score (KCS) component primarily relies on standard karyotyping without incorporating advanced molecular techniques (e.g., whole-exome sequencing, targeted gene panels). Although CDCS demonstrated high inter-rater reliability, scoring components such as External Genitalia Score (EGS) and Internal Genitalia Score (IGS) may be subject to interpretation variability among clinicians. This study focuses on clinical and anatomical factors without assessing psychosocial implications, parental decision-making processes, or patient-reported outcomes. </w:t>
      </w:r>
    </w:p>
    <w:p w14:paraId="5D017A77" w14:textId="65C9DF31" w:rsidR="00071705" w:rsidRPr="009B043C" w:rsidRDefault="00071705" w:rsidP="00071705">
      <w:pPr>
        <w:jc w:val="both"/>
        <w:rPr>
          <w:rFonts w:asciiTheme="minorBidi" w:hAnsiTheme="minorBidi"/>
          <w:sz w:val="20"/>
          <w:szCs w:val="20"/>
        </w:rPr>
      </w:pPr>
      <w:r w:rsidRPr="009B043C">
        <w:rPr>
          <w:rFonts w:asciiTheme="minorBidi" w:hAnsiTheme="minorBidi"/>
          <w:sz w:val="20"/>
          <w:szCs w:val="20"/>
        </w:rPr>
        <w:t>To address these limitations, future research should expand the study to larger, multicenter cohorts to improve generalizability. Conduct prospective, longitudinal studies to track pubertal development, fertility, and long-term quality of life. Integrate advanced genetic and molecular data to refine the KCS component. Develop standardized assessment protocols to minimize inter-clinician variability. Incorporate patient-reported outcomes and ethical considerations to ensure CDCS is aligned with holistic DSD management.</w:t>
      </w:r>
    </w:p>
    <w:p w14:paraId="524209AE" w14:textId="77777777" w:rsidR="00E61572" w:rsidRDefault="00E61572" w:rsidP="009652FA">
      <w:pPr>
        <w:jc w:val="both"/>
        <w:rPr>
          <w:rFonts w:asciiTheme="minorBidi" w:hAnsiTheme="minorBidi"/>
          <w:b/>
          <w:bCs/>
        </w:rPr>
      </w:pPr>
    </w:p>
    <w:p w14:paraId="72C6F1DA" w14:textId="58370830" w:rsidR="009652FA" w:rsidRPr="009B043C" w:rsidRDefault="009652FA" w:rsidP="009652FA">
      <w:pPr>
        <w:jc w:val="both"/>
        <w:rPr>
          <w:rFonts w:asciiTheme="minorBidi" w:hAnsiTheme="minorBidi"/>
          <w:b/>
          <w:bCs/>
        </w:rPr>
      </w:pPr>
      <w:r w:rsidRPr="009B043C">
        <w:rPr>
          <w:rFonts w:asciiTheme="minorBidi" w:hAnsiTheme="minorBidi"/>
          <w:b/>
          <w:bCs/>
        </w:rPr>
        <w:t xml:space="preserve">CONCLUSION </w:t>
      </w:r>
    </w:p>
    <w:p w14:paraId="5539266A" w14:textId="726D770E" w:rsidR="009652FA" w:rsidRPr="009B043C" w:rsidRDefault="009652FA" w:rsidP="007A4C64">
      <w:pPr>
        <w:tabs>
          <w:tab w:val="num" w:pos="720"/>
        </w:tabs>
        <w:jc w:val="both"/>
        <w:rPr>
          <w:rFonts w:asciiTheme="minorBidi" w:hAnsiTheme="minorBidi"/>
          <w:sz w:val="20"/>
          <w:szCs w:val="20"/>
        </w:rPr>
      </w:pPr>
      <w:r w:rsidRPr="009B043C">
        <w:rPr>
          <w:rFonts w:asciiTheme="minorBidi" w:hAnsiTheme="minorBidi"/>
          <w:sz w:val="20"/>
          <w:szCs w:val="20"/>
        </w:rPr>
        <w:t xml:space="preserve">The CDCS is the first fully integrative, evidence-based, and predictive scoring system in DSD management. Its ability to correlate with existing classification methods while offering a superior risk-stratification model highlights its novelty. </w:t>
      </w:r>
      <w:bookmarkStart w:id="12" w:name="_Hlk190609257"/>
      <w:r w:rsidR="007A4C64" w:rsidRPr="009B043C">
        <w:rPr>
          <w:rFonts w:asciiTheme="minorBidi" w:hAnsiTheme="minorBidi"/>
          <w:sz w:val="20"/>
          <w:szCs w:val="20"/>
        </w:rPr>
        <w:t>Most DSD scoring systems are static, focusing only on initial diagnosis. CDCS is dynamic, allowing tracking of disease progression, endocrine response, and surgical/hormonal outcomes over time</w:t>
      </w:r>
      <w:r w:rsidR="001633E2" w:rsidRPr="009B043C">
        <w:rPr>
          <w:rFonts w:asciiTheme="minorBidi" w:hAnsiTheme="minorBidi"/>
          <w:sz w:val="20"/>
          <w:szCs w:val="20"/>
        </w:rPr>
        <w:t>,</w:t>
      </w:r>
      <w:r w:rsidR="007A4C64" w:rsidRPr="009B043C">
        <w:rPr>
          <w:rFonts w:asciiTheme="minorBidi" w:hAnsiTheme="minorBidi"/>
          <w:sz w:val="20"/>
          <w:szCs w:val="20"/>
        </w:rPr>
        <w:t xml:space="preserve"> and reassessment at puberty, guiding future reproductive and endocrine management. </w:t>
      </w:r>
      <w:bookmarkEnd w:id="12"/>
      <w:r w:rsidRPr="009B043C">
        <w:rPr>
          <w:rFonts w:asciiTheme="minorBidi" w:hAnsiTheme="minorBidi"/>
          <w:sz w:val="20"/>
          <w:szCs w:val="20"/>
        </w:rPr>
        <w:t>By providing clear surgical thresholds, long-term prognostic insights, and individualized patient care, CDCS sets a new standard in DSD diagnosis and management, surpassing previous classification systems in scope and clinical applicability. Future research should focus on validating CDCS across larger, multi-center cohorts and exploring its role in predicting long-term endocrine and reproductive outcomes.</w:t>
      </w:r>
    </w:p>
    <w:p w14:paraId="4D6EA7ED" w14:textId="77777777" w:rsidR="00E61572" w:rsidRDefault="00E61572" w:rsidP="002E5791">
      <w:pPr>
        <w:jc w:val="both"/>
        <w:rPr>
          <w:rFonts w:asciiTheme="minorBidi" w:hAnsiTheme="minorBidi"/>
          <w:b/>
          <w:bCs/>
        </w:rPr>
      </w:pPr>
    </w:p>
    <w:p w14:paraId="5BFD5440" w14:textId="61AACAEB" w:rsidR="008309A3" w:rsidRPr="009B043C" w:rsidRDefault="008309A3" w:rsidP="008309A3">
      <w:pPr>
        <w:jc w:val="both"/>
        <w:rPr>
          <w:rFonts w:asciiTheme="minorBidi" w:hAnsiTheme="minorBidi"/>
          <w:b/>
          <w:bCs/>
        </w:rPr>
      </w:pPr>
      <w:bookmarkStart w:id="13" w:name="_GoBack"/>
      <w:bookmarkEnd w:id="13"/>
      <w:r w:rsidRPr="009B043C">
        <w:rPr>
          <w:rFonts w:asciiTheme="minorBidi" w:hAnsiTheme="minorBidi"/>
          <w:b/>
          <w:bCs/>
        </w:rPr>
        <w:t>ETHICAL CONSIDERATIONS</w:t>
      </w:r>
    </w:p>
    <w:p w14:paraId="0F504A82" w14:textId="20C82BD5" w:rsidR="008651A6" w:rsidRPr="008651A6" w:rsidRDefault="009B043C" w:rsidP="009B043C">
      <w:pPr>
        <w:jc w:val="both"/>
        <w:rPr>
          <w:b/>
          <w:bCs/>
        </w:rPr>
      </w:pPr>
      <w:r w:rsidRPr="009B043C">
        <w:rPr>
          <w:rFonts w:asciiTheme="minorBidi" w:hAnsiTheme="minorBidi"/>
          <w:sz w:val="20"/>
          <w:szCs w:val="20"/>
        </w:rPr>
        <w:t xml:space="preserve">The institutional ethics committee </w:t>
      </w:r>
      <w:r w:rsidR="00556206" w:rsidRPr="009B043C">
        <w:rPr>
          <w:rFonts w:asciiTheme="minorBidi" w:hAnsiTheme="minorBidi"/>
          <w:sz w:val="20"/>
          <w:szCs w:val="20"/>
        </w:rPr>
        <w:t>approved of</w:t>
      </w:r>
      <w:r w:rsidR="007952D5" w:rsidRPr="009B043C">
        <w:rPr>
          <w:rFonts w:asciiTheme="minorBidi" w:hAnsiTheme="minorBidi"/>
          <w:sz w:val="20"/>
          <w:szCs w:val="20"/>
        </w:rPr>
        <w:t xml:space="preserve"> </w:t>
      </w:r>
      <w:r w:rsidRPr="009B043C">
        <w:rPr>
          <w:rFonts w:asciiTheme="minorBidi" w:hAnsiTheme="minorBidi"/>
          <w:sz w:val="20"/>
          <w:szCs w:val="20"/>
        </w:rPr>
        <w:t>this study, and all patients or their legal guardians provided written informed consent. For minors, both parental consent and patient assent were obtained. Patient confidentiality was maintained, with personal data anonymized. No experimental treatments were performed beyond standard clinical care.</w:t>
      </w:r>
    </w:p>
    <w:p w14:paraId="1F05DF78" w14:textId="77777777" w:rsidR="00FC3E9A" w:rsidRDefault="00FC3E9A" w:rsidP="00B145DB">
      <w:pPr>
        <w:jc w:val="both"/>
      </w:pPr>
    </w:p>
    <w:p w14:paraId="0917C53A" w14:textId="78382C20" w:rsidR="0061292B" w:rsidRPr="009B043C" w:rsidRDefault="0061292B" w:rsidP="0061292B">
      <w:pPr>
        <w:jc w:val="both"/>
        <w:rPr>
          <w:rFonts w:asciiTheme="minorBidi" w:hAnsiTheme="minorBidi"/>
          <w:b/>
          <w:bCs/>
        </w:rPr>
      </w:pPr>
      <w:r w:rsidRPr="009B043C">
        <w:rPr>
          <w:rFonts w:asciiTheme="minorBidi" w:hAnsiTheme="minorBidi"/>
          <w:b/>
          <w:bCs/>
        </w:rPr>
        <w:t>R</w:t>
      </w:r>
      <w:r w:rsidR="00DD0828" w:rsidRPr="009B043C">
        <w:rPr>
          <w:rFonts w:asciiTheme="minorBidi" w:hAnsiTheme="minorBidi"/>
          <w:b/>
          <w:bCs/>
        </w:rPr>
        <w:t>EFERENCES</w:t>
      </w:r>
    </w:p>
    <w:p w14:paraId="7D5B55E7" w14:textId="1BD1DD09"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lastRenderedPageBreak/>
        <w:t xml:space="preserve">Ahmed SF, </w:t>
      </w:r>
      <w:proofErr w:type="spellStart"/>
      <w:r w:rsidRPr="00222182">
        <w:rPr>
          <w:rFonts w:asciiTheme="minorBidi" w:hAnsiTheme="minorBidi"/>
          <w:bCs/>
          <w:sz w:val="20"/>
          <w:szCs w:val="20"/>
        </w:rPr>
        <w:t>Bashamboo</w:t>
      </w:r>
      <w:proofErr w:type="spellEnd"/>
      <w:r w:rsidRPr="00222182">
        <w:rPr>
          <w:rFonts w:asciiTheme="minorBidi" w:hAnsiTheme="minorBidi"/>
          <w:bCs/>
          <w:sz w:val="20"/>
          <w:szCs w:val="20"/>
        </w:rPr>
        <w:t xml:space="preserve"> A, Lucas-Herald A, </w:t>
      </w:r>
      <w:proofErr w:type="spellStart"/>
      <w:r w:rsidRPr="00222182">
        <w:rPr>
          <w:rFonts w:asciiTheme="minorBidi" w:hAnsiTheme="minorBidi"/>
          <w:bCs/>
          <w:sz w:val="20"/>
          <w:szCs w:val="20"/>
        </w:rPr>
        <w:t>McElreavey</w:t>
      </w:r>
      <w:proofErr w:type="spellEnd"/>
      <w:r w:rsidRPr="00222182">
        <w:rPr>
          <w:rFonts w:asciiTheme="minorBidi" w:hAnsiTheme="minorBidi"/>
          <w:bCs/>
          <w:sz w:val="20"/>
          <w:szCs w:val="20"/>
        </w:rPr>
        <w:t xml:space="preserve"> K.</w:t>
      </w:r>
      <w:r w:rsidR="007C1A6B">
        <w:rPr>
          <w:rFonts w:asciiTheme="minorBidi" w:hAnsiTheme="minorBidi"/>
          <w:bCs/>
          <w:sz w:val="20"/>
          <w:szCs w:val="20"/>
        </w:rPr>
        <w:t xml:space="preserve"> (2013). </w:t>
      </w:r>
      <w:r w:rsidRPr="00222182">
        <w:rPr>
          <w:rFonts w:asciiTheme="minorBidi" w:hAnsiTheme="minorBidi"/>
          <w:bCs/>
          <w:sz w:val="20"/>
          <w:szCs w:val="20"/>
        </w:rPr>
        <w:t xml:space="preserve"> Understanding the genetic </w:t>
      </w:r>
      <w:proofErr w:type="spellStart"/>
      <w:r w:rsidRPr="00222182">
        <w:rPr>
          <w:rFonts w:asciiTheme="minorBidi" w:hAnsiTheme="minorBidi"/>
          <w:bCs/>
          <w:sz w:val="20"/>
          <w:szCs w:val="20"/>
        </w:rPr>
        <w:t>aetiology</w:t>
      </w:r>
      <w:proofErr w:type="spellEnd"/>
      <w:r w:rsidRPr="00222182">
        <w:rPr>
          <w:rFonts w:asciiTheme="minorBidi" w:hAnsiTheme="minorBidi"/>
          <w:bCs/>
          <w:sz w:val="20"/>
          <w:szCs w:val="20"/>
        </w:rPr>
        <w:t xml:space="preserve"> in patients with XY DSD. </w:t>
      </w:r>
      <w:r w:rsidRPr="007C1A6B">
        <w:rPr>
          <w:rFonts w:asciiTheme="minorBidi" w:hAnsiTheme="minorBidi"/>
          <w:bCs/>
          <w:i/>
          <w:iCs/>
          <w:sz w:val="20"/>
          <w:szCs w:val="20"/>
        </w:rPr>
        <w:t>Br Med Bull</w:t>
      </w:r>
      <w:r w:rsidR="007C1A6B">
        <w:rPr>
          <w:rFonts w:asciiTheme="minorBidi" w:hAnsiTheme="minorBidi"/>
          <w:bCs/>
          <w:i/>
          <w:iCs/>
          <w:sz w:val="20"/>
          <w:szCs w:val="20"/>
        </w:rPr>
        <w:t>, (</w:t>
      </w:r>
      <w:r w:rsidRPr="00222182">
        <w:rPr>
          <w:rFonts w:asciiTheme="minorBidi" w:hAnsiTheme="minorBidi"/>
          <w:bCs/>
          <w:sz w:val="20"/>
          <w:szCs w:val="20"/>
        </w:rPr>
        <w:t>106</w:t>
      </w:r>
      <w:r w:rsidR="007C1A6B">
        <w:rPr>
          <w:rFonts w:asciiTheme="minorBidi" w:hAnsiTheme="minorBidi"/>
          <w:bCs/>
          <w:sz w:val="20"/>
          <w:szCs w:val="20"/>
        </w:rPr>
        <w:t xml:space="preserve">), </w:t>
      </w:r>
      <w:r w:rsidRPr="00222182">
        <w:rPr>
          <w:rFonts w:asciiTheme="minorBidi" w:hAnsiTheme="minorBidi"/>
          <w:bCs/>
          <w:sz w:val="20"/>
          <w:szCs w:val="20"/>
        </w:rPr>
        <w:t>67-89.</w:t>
      </w:r>
    </w:p>
    <w:p w14:paraId="33FB735C"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Ahmed, S. F., </w:t>
      </w:r>
      <w:proofErr w:type="spellStart"/>
      <w:r w:rsidRPr="00222182">
        <w:rPr>
          <w:rFonts w:asciiTheme="minorBidi" w:hAnsiTheme="minorBidi"/>
          <w:bCs/>
          <w:sz w:val="20"/>
          <w:szCs w:val="20"/>
        </w:rPr>
        <w:t>Achermann</w:t>
      </w:r>
      <w:proofErr w:type="spellEnd"/>
      <w:r w:rsidRPr="00222182">
        <w:rPr>
          <w:rFonts w:asciiTheme="minorBidi" w:hAnsiTheme="minorBidi"/>
          <w:bCs/>
          <w:sz w:val="20"/>
          <w:szCs w:val="20"/>
        </w:rPr>
        <w:t xml:space="preserve">, J. C., Arlt, W., et al. (2019). UK guidance on the initial evaluation of an infant or an adolescent with a suspected disorder of sex development (DSD). </w:t>
      </w:r>
      <w:r w:rsidRPr="007C1A6B">
        <w:rPr>
          <w:rFonts w:asciiTheme="minorBidi" w:hAnsiTheme="minorBidi"/>
          <w:bCs/>
          <w:i/>
          <w:iCs/>
          <w:sz w:val="20"/>
          <w:szCs w:val="20"/>
        </w:rPr>
        <w:t>Clinical Endocrinology</w:t>
      </w:r>
      <w:r w:rsidRPr="00222182">
        <w:rPr>
          <w:rFonts w:asciiTheme="minorBidi" w:hAnsiTheme="minorBidi"/>
          <w:bCs/>
          <w:sz w:val="20"/>
          <w:szCs w:val="20"/>
        </w:rPr>
        <w:t>, 91(6), 779-798.</w:t>
      </w:r>
    </w:p>
    <w:p w14:paraId="50854E63"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Ahmed, S. F., Khwaja, O., &amp; Hughes, I. A. (2014). The role of external masculinization score (EMS) in the assessment of ambiguous genitalia. </w:t>
      </w:r>
      <w:r w:rsidRPr="0037244C">
        <w:rPr>
          <w:rFonts w:asciiTheme="minorBidi" w:hAnsiTheme="minorBidi"/>
          <w:bCs/>
          <w:i/>
          <w:iCs/>
          <w:sz w:val="20"/>
          <w:szCs w:val="20"/>
        </w:rPr>
        <w:t>Journal of Pediatric Endocrinology and Metabolism</w:t>
      </w:r>
      <w:r w:rsidRPr="00222182">
        <w:rPr>
          <w:rFonts w:asciiTheme="minorBidi" w:hAnsiTheme="minorBidi"/>
          <w:bCs/>
          <w:sz w:val="20"/>
          <w:szCs w:val="20"/>
        </w:rPr>
        <w:t>, 27(7-8), 733-737.</w:t>
      </w:r>
    </w:p>
    <w:p w14:paraId="251D0E1F" w14:textId="761A3A3D" w:rsidR="00222182" w:rsidRPr="00222182" w:rsidRDefault="00222182" w:rsidP="00222182">
      <w:pPr>
        <w:ind w:left="360"/>
        <w:jc w:val="both"/>
        <w:rPr>
          <w:rFonts w:asciiTheme="minorBidi" w:hAnsiTheme="minorBidi"/>
          <w:bCs/>
          <w:sz w:val="20"/>
          <w:szCs w:val="20"/>
        </w:rPr>
      </w:pPr>
      <w:bookmarkStart w:id="14" w:name="_Hlk190682113"/>
      <w:r w:rsidRPr="00222182">
        <w:rPr>
          <w:rFonts w:asciiTheme="minorBidi" w:hAnsiTheme="minorBidi"/>
          <w:bCs/>
          <w:sz w:val="20"/>
          <w:szCs w:val="20"/>
        </w:rPr>
        <w:t>Baxter</w:t>
      </w:r>
      <w:bookmarkEnd w:id="14"/>
      <w:r w:rsidRPr="00222182">
        <w:rPr>
          <w:rFonts w:asciiTheme="minorBidi" w:hAnsiTheme="minorBidi"/>
          <w:bCs/>
          <w:sz w:val="20"/>
          <w:szCs w:val="20"/>
        </w:rPr>
        <w:t xml:space="preserve"> RM, Arboleda VA, Lee H, et al.</w:t>
      </w:r>
      <w:r w:rsidR="0037244C">
        <w:rPr>
          <w:rFonts w:asciiTheme="minorBidi" w:hAnsiTheme="minorBidi"/>
          <w:bCs/>
          <w:sz w:val="20"/>
          <w:szCs w:val="20"/>
        </w:rPr>
        <w:t xml:space="preserve"> (2015). </w:t>
      </w:r>
      <w:r w:rsidRPr="00222182">
        <w:rPr>
          <w:rFonts w:asciiTheme="minorBidi" w:hAnsiTheme="minorBidi"/>
          <w:bCs/>
          <w:sz w:val="20"/>
          <w:szCs w:val="20"/>
        </w:rPr>
        <w:t xml:space="preserve"> Exome sequencing for the diagnosis of 46, XY disorders of sex development. </w:t>
      </w:r>
      <w:r w:rsidRPr="0037244C">
        <w:rPr>
          <w:rFonts w:asciiTheme="minorBidi" w:hAnsiTheme="minorBidi"/>
          <w:bCs/>
          <w:i/>
          <w:iCs/>
          <w:sz w:val="20"/>
          <w:szCs w:val="20"/>
        </w:rPr>
        <w:t xml:space="preserve">J Clin Endocrinol </w:t>
      </w:r>
      <w:proofErr w:type="spellStart"/>
      <w:r w:rsidRPr="0037244C">
        <w:rPr>
          <w:rFonts w:asciiTheme="minorBidi" w:hAnsiTheme="minorBidi"/>
          <w:bCs/>
          <w:i/>
          <w:iCs/>
          <w:sz w:val="20"/>
          <w:szCs w:val="20"/>
        </w:rPr>
        <w:t>Metab</w:t>
      </w:r>
      <w:proofErr w:type="spellEnd"/>
      <w:r w:rsidR="0037244C">
        <w:rPr>
          <w:rFonts w:asciiTheme="minorBidi" w:hAnsiTheme="minorBidi"/>
          <w:bCs/>
          <w:sz w:val="20"/>
          <w:szCs w:val="20"/>
        </w:rPr>
        <w:t xml:space="preserve">, </w:t>
      </w:r>
      <w:r w:rsidRPr="00222182">
        <w:rPr>
          <w:rFonts w:asciiTheme="minorBidi" w:hAnsiTheme="minorBidi"/>
          <w:bCs/>
          <w:sz w:val="20"/>
          <w:szCs w:val="20"/>
        </w:rPr>
        <w:t>100(2)</w:t>
      </w:r>
      <w:r w:rsidR="0037244C">
        <w:rPr>
          <w:rFonts w:asciiTheme="minorBidi" w:hAnsiTheme="minorBidi"/>
          <w:bCs/>
          <w:sz w:val="20"/>
          <w:szCs w:val="20"/>
        </w:rPr>
        <w:t xml:space="preserve">, </w:t>
      </w:r>
      <w:r w:rsidRPr="00222182">
        <w:rPr>
          <w:rFonts w:asciiTheme="minorBidi" w:hAnsiTheme="minorBidi"/>
          <w:bCs/>
          <w:sz w:val="20"/>
          <w:szCs w:val="20"/>
        </w:rPr>
        <w:t>333-344.</w:t>
      </w:r>
    </w:p>
    <w:p w14:paraId="12211B7C"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Cools, M., Drop, S. L. S., </w:t>
      </w:r>
      <w:proofErr w:type="spellStart"/>
      <w:r w:rsidRPr="00222182">
        <w:rPr>
          <w:rFonts w:asciiTheme="minorBidi" w:hAnsiTheme="minorBidi"/>
          <w:bCs/>
          <w:sz w:val="20"/>
          <w:szCs w:val="20"/>
        </w:rPr>
        <w:t>Wolffenbuttel</w:t>
      </w:r>
      <w:proofErr w:type="spellEnd"/>
      <w:r w:rsidRPr="00222182">
        <w:rPr>
          <w:rFonts w:asciiTheme="minorBidi" w:hAnsiTheme="minorBidi"/>
          <w:bCs/>
          <w:sz w:val="20"/>
          <w:szCs w:val="20"/>
        </w:rPr>
        <w:t xml:space="preserve">, K. P., Oosterhuis, J. W., &amp; </w:t>
      </w:r>
      <w:proofErr w:type="spellStart"/>
      <w:r w:rsidRPr="00222182">
        <w:rPr>
          <w:rFonts w:asciiTheme="minorBidi" w:hAnsiTheme="minorBidi"/>
          <w:bCs/>
          <w:sz w:val="20"/>
          <w:szCs w:val="20"/>
        </w:rPr>
        <w:t>Looijenga</w:t>
      </w:r>
      <w:proofErr w:type="spellEnd"/>
      <w:r w:rsidRPr="00222182">
        <w:rPr>
          <w:rFonts w:asciiTheme="minorBidi" w:hAnsiTheme="minorBidi"/>
          <w:bCs/>
          <w:sz w:val="20"/>
          <w:szCs w:val="20"/>
        </w:rPr>
        <w:t xml:space="preserve">, L. H. J. (2005). Germ cell tumors in the intersex gonad: Old paths, new directions, moving frontiers. </w:t>
      </w:r>
      <w:r w:rsidRPr="00053D00">
        <w:rPr>
          <w:rFonts w:asciiTheme="minorBidi" w:hAnsiTheme="minorBidi"/>
          <w:bCs/>
          <w:i/>
          <w:iCs/>
          <w:sz w:val="20"/>
          <w:szCs w:val="20"/>
        </w:rPr>
        <w:t>Endocrine Reviews</w:t>
      </w:r>
      <w:r w:rsidRPr="00222182">
        <w:rPr>
          <w:rFonts w:asciiTheme="minorBidi" w:hAnsiTheme="minorBidi"/>
          <w:bCs/>
          <w:sz w:val="20"/>
          <w:szCs w:val="20"/>
        </w:rPr>
        <w:t>, 26(3), 342–392. DOI: 10.1210/er.2004-0003.</w:t>
      </w:r>
    </w:p>
    <w:p w14:paraId="1B280F22"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Cools, M., </w:t>
      </w:r>
      <w:proofErr w:type="spellStart"/>
      <w:r w:rsidRPr="00222182">
        <w:rPr>
          <w:rFonts w:asciiTheme="minorBidi" w:hAnsiTheme="minorBidi"/>
          <w:bCs/>
          <w:sz w:val="20"/>
          <w:szCs w:val="20"/>
        </w:rPr>
        <w:t>Nordenström</w:t>
      </w:r>
      <w:proofErr w:type="spellEnd"/>
      <w:r w:rsidRPr="00222182">
        <w:rPr>
          <w:rFonts w:asciiTheme="minorBidi" w:hAnsiTheme="minorBidi"/>
          <w:bCs/>
          <w:sz w:val="20"/>
          <w:szCs w:val="20"/>
        </w:rPr>
        <w:t xml:space="preserve">, A., </w:t>
      </w:r>
      <w:proofErr w:type="spellStart"/>
      <w:r w:rsidRPr="00222182">
        <w:rPr>
          <w:rFonts w:asciiTheme="minorBidi" w:hAnsiTheme="minorBidi"/>
          <w:bCs/>
          <w:sz w:val="20"/>
          <w:szCs w:val="20"/>
        </w:rPr>
        <w:t>Robeva</w:t>
      </w:r>
      <w:proofErr w:type="spellEnd"/>
      <w:r w:rsidRPr="00222182">
        <w:rPr>
          <w:rFonts w:asciiTheme="minorBidi" w:hAnsiTheme="minorBidi"/>
          <w:bCs/>
          <w:sz w:val="20"/>
          <w:szCs w:val="20"/>
        </w:rPr>
        <w:t xml:space="preserve">, R., et al. (2018). Caring for individuals with a difference of sex development (DSD): A Consensus Statement. </w:t>
      </w:r>
      <w:r w:rsidRPr="00053D00">
        <w:rPr>
          <w:rFonts w:asciiTheme="minorBidi" w:hAnsiTheme="minorBidi"/>
          <w:bCs/>
          <w:i/>
          <w:iCs/>
          <w:sz w:val="20"/>
          <w:szCs w:val="20"/>
        </w:rPr>
        <w:t>Nature Reviews Endocrinology</w:t>
      </w:r>
      <w:r w:rsidRPr="00222182">
        <w:rPr>
          <w:rFonts w:asciiTheme="minorBidi" w:hAnsiTheme="minorBidi"/>
          <w:bCs/>
          <w:sz w:val="20"/>
          <w:szCs w:val="20"/>
        </w:rPr>
        <w:t>, 14(7), 415-429.</w:t>
      </w:r>
    </w:p>
    <w:p w14:paraId="6AD94FD5" w14:textId="5936F729"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Cools, M., </w:t>
      </w:r>
      <w:proofErr w:type="spellStart"/>
      <w:r w:rsidRPr="00222182">
        <w:rPr>
          <w:rFonts w:asciiTheme="minorBidi" w:hAnsiTheme="minorBidi"/>
          <w:bCs/>
          <w:sz w:val="20"/>
          <w:szCs w:val="20"/>
        </w:rPr>
        <w:t>Nordenström</w:t>
      </w:r>
      <w:proofErr w:type="spellEnd"/>
      <w:r w:rsidRPr="00222182">
        <w:rPr>
          <w:rFonts w:asciiTheme="minorBidi" w:hAnsiTheme="minorBidi"/>
          <w:bCs/>
          <w:sz w:val="20"/>
          <w:szCs w:val="20"/>
        </w:rPr>
        <w:t xml:space="preserve">, A., </w:t>
      </w:r>
      <w:proofErr w:type="spellStart"/>
      <w:r w:rsidRPr="00222182">
        <w:rPr>
          <w:rFonts w:asciiTheme="minorBidi" w:hAnsiTheme="minorBidi"/>
          <w:bCs/>
          <w:sz w:val="20"/>
          <w:szCs w:val="20"/>
        </w:rPr>
        <w:t>Robeva</w:t>
      </w:r>
      <w:proofErr w:type="spellEnd"/>
      <w:r w:rsidRPr="00222182">
        <w:rPr>
          <w:rFonts w:asciiTheme="minorBidi" w:hAnsiTheme="minorBidi"/>
          <w:bCs/>
          <w:sz w:val="20"/>
          <w:szCs w:val="20"/>
        </w:rPr>
        <w:t xml:space="preserve">, R., Hall, J., Westerveld, P., </w:t>
      </w:r>
      <w:proofErr w:type="spellStart"/>
      <w:r w:rsidRPr="00222182">
        <w:rPr>
          <w:rFonts w:asciiTheme="minorBidi" w:hAnsiTheme="minorBidi"/>
          <w:bCs/>
          <w:sz w:val="20"/>
          <w:szCs w:val="20"/>
        </w:rPr>
        <w:t>Flück</w:t>
      </w:r>
      <w:proofErr w:type="spellEnd"/>
      <w:r w:rsidRPr="00222182">
        <w:rPr>
          <w:rFonts w:asciiTheme="minorBidi" w:hAnsiTheme="minorBidi"/>
          <w:bCs/>
          <w:sz w:val="20"/>
          <w:szCs w:val="20"/>
        </w:rPr>
        <w:t xml:space="preserve">, C., et al. (2018). Management of the gonads in differences of sex development (DSD). </w:t>
      </w:r>
      <w:r w:rsidRPr="00053D00">
        <w:rPr>
          <w:rFonts w:asciiTheme="minorBidi" w:hAnsiTheme="minorBidi"/>
          <w:bCs/>
          <w:i/>
          <w:iCs/>
          <w:sz w:val="20"/>
          <w:szCs w:val="20"/>
        </w:rPr>
        <w:t>Endocrine Reviews</w:t>
      </w:r>
      <w:r w:rsidRPr="00222182">
        <w:rPr>
          <w:rFonts w:asciiTheme="minorBidi" w:hAnsiTheme="minorBidi"/>
          <w:bCs/>
          <w:sz w:val="20"/>
          <w:szCs w:val="20"/>
        </w:rPr>
        <w:t>, 39(5), 725–784. DOI: 10.1210/er.2018-00025.</w:t>
      </w:r>
    </w:p>
    <w:p w14:paraId="2DD89F55" w14:textId="77777777" w:rsidR="00222182" w:rsidRPr="00222182" w:rsidRDefault="00222182" w:rsidP="00222182">
      <w:pPr>
        <w:ind w:left="360"/>
        <w:jc w:val="both"/>
        <w:rPr>
          <w:rFonts w:asciiTheme="minorBidi" w:hAnsiTheme="minorBidi"/>
          <w:bCs/>
          <w:sz w:val="20"/>
          <w:szCs w:val="20"/>
        </w:rPr>
      </w:pPr>
      <w:bookmarkStart w:id="15" w:name="_Hlk190681743"/>
      <w:r w:rsidRPr="00222182">
        <w:rPr>
          <w:rFonts w:asciiTheme="minorBidi" w:hAnsiTheme="minorBidi"/>
          <w:bCs/>
          <w:sz w:val="20"/>
          <w:szCs w:val="20"/>
        </w:rPr>
        <w:t xml:space="preserve">De Roo </w:t>
      </w:r>
      <w:bookmarkEnd w:id="15"/>
      <w:r w:rsidRPr="00222182">
        <w:rPr>
          <w:rFonts w:asciiTheme="minorBidi" w:hAnsiTheme="minorBidi"/>
          <w:bCs/>
          <w:sz w:val="20"/>
          <w:szCs w:val="20"/>
        </w:rPr>
        <w:t xml:space="preserve">C, </w:t>
      </w:r>
      <w:proofErr w:type="spellStart"/>
      <w:r w:rsidRPr="00222182">
        <w:rPr>
          <w:rFonts w:asciiTheme="minorBidi" w:hAnsiTheme="minorBidi"/>
          <w:bCs/>
          <w:sz w:val="20"/>
          <w:szCs w:val="20"/>
        </w:rPr>
        <w:t>Tilleman</w:t>
      </w:r>
      <w:proofErr w:type="spellEnd"/>
      <w:r w:rsidRPr="00222182">
        <w:rPr>
          <w:rFonts w:asciiTheme="minorBidi" w:hAnsiTheme="minorBidi"/>
          <w:bCs/>
          <w:sz w:val="20"/>
          <w:szCs w:val="20"/>
        </w:rPr>
        <w:t xml:space="preserve"> K, </w:t>
      </w:r>
      <w:proofErr w:type="spellStart"/>
      <w:r w:rsidRPr="00222182">
        <w:rPr>
          <w:rFonts w:asciiTheme="minorBidi" w:hAnsiTheme="minorBidi"/>
          <w:bCs/>
          <w:sz w:val="20"/>
          <w:szCs w:val="20"/>
        </w:rPr>
        <w:t>T’Sjoen</w:t>
      </w:r>
      <w:proofErr w:type="spellEnd"/>
      <w:r w:rsidRPr="00222182">
        <w:rPr>
          <w:rFonts w:asciiTheme="minorBidi" w:hAnsiTheme="minorBidi"/>
          <w:bCs/>
          <w:sz w:val="20"/>
          <w:szCs w:val="20"/>
        </w:rPr>
        <w:t xml:space="preserve"> G, et al. (2021). Fertility Potential and Cryopreservation in 46, XY DSD Individuals. </w:t>
      </w:r>
      <w:proofErr w:type="spellStart"/>
      <w:r w:rsidRPr="009B1E09">
        <w:rPr>
          <w:rFonts w:asciiTheme="minorBidi" w:hAnsiTheme="minorBidi"/>
          <w:bCs/>
          <w:i/>
          <w:iCs/>
          <w:sz w:val="20"/>
          <w:szCs w:val="20"/>
        </w:rPr>
        <w:t>Fertil</w:t>
      </w:r>
      <w:proofErr w:type="spellEnd"/>
      <w:r w:rsidRPr="009B1E09">
        <w:rPr>
          <w:rFonts w:asciiTheme="minorBidi" w:hAnsiTheme="minorBidi"/>
          <w:bCs/>
          <w:i/>
          <w:iCs/>
          <w:sz w:val="20"/>
          <w:szCs w:val="20"/>
        </w:rPr>
        <w:t xml:space="preserve"> </w:t>
      </w:r>
      <w:proofErr w:type="spellStart"/>
      <w:r w:rsidRPr="009B1E09">
        <w:rPr>
          <w:rFonts w:asciiTheme="minorBidi" w:hAnsiTheme="minorBidi"/>
          <w:bCs/>
          <w:i/>
          <w:iCs/>
          <w:sz w:val="20"/>
          <w:szCs w:val="20"/>
        </w:rPr>
        <w:t>Steril</w:t>
      </w:r>
      <w:proofErr w:type="spellEnd"/>
      <w:r w:rsidRPr="00222182">
        <w:rPr>
          <w:rFonts w:asciiTheme="minorBidi" w:hAnsiTheme="minorBidi"/>
          <w:bCs/>
          <w:sz w:val="20"/>
          <w:szCs w:val="20"/>
        </w:rPr>
        <w:t>, 115(2), 293-302.</w:t>
      </w:r>
    </w:p>
    <w:p w14:paraId="6A654A95"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Deans R, Creighton SM, Liao LM, et al. (2012). Management of 46, XY Differences of Sex Development (DSD): Focus on Early Gonadectomy. </w:t>
      </w:r>
      <w:r w:rsidRPr="009B1E09">
        <w:rPr>
          <w:rFonts w:asciiTheme="minorBidi" w:hAnsiTheme="minorBidi"/>
          <w:bCs/>
          <w:i/>
          <w:iCs/>
          <w:sz w:val="20"/>
          <w:szCs w:val="20"/>
        </w:rPr>
        <w:t>Clin Endocrinol</w:t>
      </w:r>
      <w:r w:rsidRPr="00222182">
        <w:rPr>
          <w:rFonts w:asciiTheme="minorBidi" w:hAnsiTheme="minorBidi"/>
          <w:bCs/>
          <w:sz w:val="20"/>
          <w:szCs w:val="20"/>
        </w:rPr>
        <w:t>, 76(1), 1-10.</w:t>
      </w:r>
    </w:p>
    <w:p w14:paraId="4AEB13A4"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Deans, R., Creighton, S. M., Liao, L. M., Conway, G. S., &amp; Braamskamp, M. J. A. (2012). Management of Puberty in Girls with Turner Syndrome. </w:t>
      </w:r>
      <w:r w:rsidRPr="009B1E09">
        <w:rPr>
          <w:rFonts w:asciiTheme="minorBidi" w:hAnsiTheme="minorBidi"/>
          <w:bCs/>
          <w:i/>
          <w:iCs/>
          <w:sz w:val="20"/>
          <w:szCs w:val="20"/>
        </w:rPr>
        <w:t xml:space="preserve">Hormone Research in </w:t>
      </w:r>
      <w:proofErr w:type="spellStart"/>
      <w:r w:rsidRPr="009B1E09">
        <w:rPr>
          <w:rFonts w:asciiTheme="minorBidi" w:hAnsiTheme="minorBidi"/>
          <w:bCs/>
          <w:i/>
          <w:iCs/>
          <w:sz w:val="20"/>
          <w:szCs w:val="20"/>
        </w:rPr>
        <w:t>Paediatrics</w:t>
      </w:r>
      <w:proofErr w:type="spellEnd"/>
      <w:r w:rsidRPr="00222182">
        <w:rPr>
          <w:rFonts w:asciiTheme="minorBidi" w:hAnsiTheme="minorBidi"/>
          <w:bCs/>
          <w:sz w:val="20"/>
          <w:szCs w:val="20"/>
        </w:rPr>
        <w:t>, 78(5-6), 259–267. DOI: 10.1159/000343489.</w:t>
      </w:r>
    </w:p>
    <w:p w14:paraId="375D486E"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Deans, R., Creighton, S. M., Liao, L. M., et al. (2012). Management of Congenital Adrenal Hyperplasia: A Survey of </w:t>
      </w:r>
      <w:proofErr w:type="spellStart"/>
      <w:r w:rsidRPr="00222182">
        <w:rPr>
          <w:rFonts w:asciiTheme="minorBidi" w:hAnsiTheme="minorBidi"/>
          <w:bCs/>
          <w:sz w:val="20"/>
          <w:szCs w:val="20"/>
        </w:rPr>
        <w:t>Paediatric</w:t>
      </w:r>
      <w:proofErr w:type="spellEnd"/>
      <w:r w:rsidRPr="00222182">
        <w:rPr>
          <w:rFonts w:asciiTheme="minorBidi" w:hAnsiTheme="minorBidi"/>
          <w:bCs/>
          <w:sz w:val="20"/>
          <w:szCs w:val="20"/>
        </w:rPr>
        <w:t xml:space="preserve"> Endocrinologists in Great Britain and Ireland. </w:t>
      </w:r>
      <w:r w:rsidRPr="0068213C">
        <w:rPr>
          <w:rFonts w:asciiTheme="minorBidi" w:hAnsiTheme="minorBidi"/>
          <w:bCs/>
          <w:i/>
          <w:iCs/>
          <w:sz w:val="20"/>
          <w:szCs w:val="20"/>
        </w:rPr>
        <w:t>Archives of Disease in Childhood</w:t>
      </w:r>
      <w:r w:rsidRPr="00222182">
        <w:rPr>
          <w:rFonts w:asciiTheme="minorBidi" w:hAnsiTheme="minorBidi"/>
          <w:bCs/>
          <w:sz w:val="20"/>
          <w:szCs w:val="20"/>
        </w:rPr>
        <w:t>, 97(2), 143-148.</w:t>
      </w:r>
    </w:p>
    <w:p w14:paraId="10B0733D" w14:textId="77777777" w:rsidR="00222182" w:rsidRPr="00222182" w:rsidRDefault="00222182" w:rsidP="00222182">
      <w:pPr>
        <w:ind w:left="360"/>
        <w:jc w:val="both"/>
        <w:rPr>
          <w:rFonts w:asciiTheme="minorBidi" w:hAnsiTheme="minorBidi"/>
          <w:bCs/>
          <w:sz w:val="20"/>
          <w:szCs w:val="20"/>
        </w:rPr>
      </w:pPr>
      <w:bookmarkStart w:id="16" w:name="_Hlk190681616"/>
      <w:r w:rsidRPr="00222182">
        <w:rPr>
          <w:rFonts w:asciiTheme="minorBidi" w:hAnsiTheme="minorBidi"/>
          <w:bCs/>
          <w:sz w:val="20"/>
          <w:szCs w:val="20"/>
        </w:rPr>
        <w:t>Hiort,</w:t>
      </w:r>
      <w:bookmarkEnd w:id="16"/>
      <w:r w:rsidRPr="00222182">
        <w:rPr>
          <w:rFonts w:asciiTheme="minorBidi" w:hAnsiTheme="minorBidi"/>
          <w:bCs/>
          <w:sz w:val="20"/>
          <w:szCs w:val="20"/>
        </w:rPr>
        <w:t xml:space="preserve"> O., </w:t>
      </w:r>
      <w:proofErr w:type="spellStart"/>
      <w:r w:rsidRPr="00222182">
        <w:rPr>
          <w:rFonts w:asciiTheme="minorBidi" w:hAnsiTheme="minorBidi"/>
          <w:bCs/>
          <w:sz w:val="20"/>
          <w:szCs w:val="20"/>
        </w:rPr>
        <w:t>Nordenström</w:t>
      </w:r>
      <w:proofErr w:type="spellEnd"/>
      <w:r w:rsidRPr="00222182">
        <w:rPr>
          <w:rFonts w:asciiTheme="minorBidi" w:hAnsiTheme="minorBidi"/>
          <w:bCs/>
          <w:sz w:val="20"/>
          <w:szCs w:val="20"/>
        </w:rPr>
        <w:t xml:space="preserve">, A., </w:t>
      </w:r>
      <w:proofErr w:type="spellStart"/>
      <w:r w:rsidRPr="00222182">
        <w:rPr>
          <w:rFonts w:asciiTheme="minorBidi" w:hAnsiTheme="minorBidi"/>
          <w:bCs/>
          <w:sz w:val="20"/>
          <w:szCs w:val="20"/>
        </w:rPr>
        <w:t>Claahsen</w:t>
      </w:r>
      <w:proofErr w:type="spellEnd"/>
      <w:r w:rsidRPr="00222182">
        <w:rPr>
          <w:rFonts w:asciiTheme="minorBidi" w:hAnsiTheme="minorBidi"/>
          <w:bCs/>
          <w:sz w:val="20"/>
          <w:szCs w:val="20"/>
        </w:rPr>
        <w:t xml:space="preserve">-van der </w:t>
      </w:r>
      <w:proofErr w:type="spellStart"/>
      <w:r w:rsidRPr="00222182">
        <w:rPr>
          <w:rFonts w:asciiTheme="minorBidi" w:hAnsiTheme="minorBidi"/>
          <w:bCs/>
          <w:sz w:val="20"/>
          <w:szCs w:val="20"/>
        </w:rPr>
        <w:t>Grinten</w:t>
      </w:r>
      <w:proofErr w:type="spellEnd"/>
      <w:r w:rsidRPr="00222182">
        <w:rPr>
          <w:rFonts w:asciiTheme="minorBidi" w:hAnsiTheme="minorBidi"/>
          <w:bCs/>
          <w:sz w:val="20"/>
          <w:szCs w:val="20"/>
        </w:rPr>
        <w:t xml:space="preserve">, H., et al. (2014). Management of disorders of sex development. </w:t>
      </w:r>
      <w:r w:rsidRPr="0068213C">
        <w:rPr>
          <w:rFonts w:asciiTheme="minorBidi" w:hAnsiTheme="minorBidi"/>
          <w:bCs/>
          <w:i/>
          <w:iCs/>
          <w:sz w:val="20"/>
          <w:szCs w:val="20"/>
        </w:rPr>
        <w:t>Nature Reviews Endocrinology</w:t>
      </w:r>
      <w:r w:rsidRPr="00222182">
        <w:rPr>
          <w:rFonts w:asciiTheme="minorBidi" w:hAnsiTheme="minorBidi"/>
          <w:bCs/>
          <w:sz w:val="20"/>
          <w:szCs w:val="20"/>
        </w:rPr>
        <w:t>, 10(11), 520-529.</w:t>
      </w:r>
    </w:p>
    <w:p w14:paraId="5C41A561" w14:textId="07CAD671"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Hughes IA, </w:t>
      </w:r>
      <w:proofErr w:type="spellStart"/>
      <w:r w:rsidRPr="00222182">
        <w:rPr>
          <w:rFonts w:asciiTheme="minorBidi" w:hAnsiTheme="minorBidi"/>
          <w:bCs/>
          <w:sz w:val="20"/>
          <w:szCs w:val="20"/>
        </w:rPr>
        <w:t>Nihoul-Fékété</w:t>
      </w:r>
      <w:proofErr w:type="spellEnd"/>
      <w:r w:rsidRPr="00222182">
        <w:rPr>
          <w:rFonts w:asciiTheme="minorBidi" w:hAnsiTheme="minorBidi"/>
          <w:bCs/>
          <w:sz w:val="20"/>
          <w:szCs w:val="20"/>
        </w:rPr>
        <w:t xml:space="preserve"> C, Thomas B, et al.</w:t>
      </w:r>
      <w:r w:rsidR="0068213C">
        <w:rPr>
          <w:rFonts w:asciiTheme="minorBidi" w:hAnsiTheme="minorBidi"/>
          <w:bCs/>
          <w:sz w:val="20"/>
          <w:szCs w:val="20"/>
        </w:rPr>
        <w:t xml:space="preserve"> (2007). </w:t>
      </w:r>
      <w:r w:rsidRPr="00222182">
        <w:rPr>
          <w:rFonts w:asciiTheme="minorBidi" w:hAnsiTheme="minorBidi"/>
          <w:bCs/>
          <w:sz w:val="20"/>
          <w:szCs w:val="20"/>
        </w:rPr>
        <w:t xml:space="preserve">Consequences of the ESPE/LWPES guidelines for diagnosis and treatment of disorders of sex development. </w:t>
      </w:r>
      <w:r w:rsidRPr="0068213C">
        <w:rPr>
          <w:rFonts w:asciiTheme="minorBidi" w:hAnsiTheme="minorBidi"/>
          <w:bCs/>
          <w:i/>
          <w:iCs/>
          <w:sz w:val="20"/>
          <w:szCs w:val="20"/>
        </w:rPr>
        <w:t xml:space="preserve">Best </w:t>
      </w:r>
      <w:proofErr w:type="spellStart"/>
      <w:r w:rsidRPr="0068213C">
        <w:rPr>
          <w:rFonts w:asciiTheme="minorBidi" w:hAnsiTheme="minorBidi"/>
          <w:bCs/>
          <w:i/>
          <w:iCs/>
          <w:sz w:val="20"/>
          <w:szCs w:val="20"/>
        </w:rPr>
        <w:t>Pract</w:t>
      </w:r>
      <w:proofErr w:type="spellEnd"/>
      <w:r w:rsidRPr="0068213C">
        <w:rPr>
          <w:rFonts w:asciiTheme="minorBidi" w:hAnsiTheme="minorBidi"/>
          <w:bCs/>
          <w:i/>
          <w:iCs/>
          <w:sz w:val="20"/>
          <w:szCs w:val="20"/>
        </w:rPr>
        <w:t xml:space="preserve"> Res Clin Endocrinol </w:t>
      </w:r>
      <w:proofErr w:type="spellStart"/>
      <w:r w:rsidRPr="0068213C">
        <w:rPr>
          <w:rFonts w:asciiTheme="minorBidi" w:hAnsiTheme="minorBidi"/>
          <w:bCs/>
          <w:i/>
          <w:iCs/>
          <w:sz w:val="20"/>
          <w:szCs w:val="20"/>
        </w:rPr>
        <w:t>Metab</w:t>
      </w:r>
      <w:proofErr w:type="spellEnd"/>
      <w:r w:rsidR="0068213C">
        <w:rPr>
          <w:rFonts w:asciiTheme="minorBidi" w:hAnsiTheme="minorBidi"/>
          <w:bCs/>
          <w:i/>
          <w:iCs/>
          <w:sz w:val="20"/>
          <w:szCs w:val="20"/>
        </w:rPr>
        <w:t xml:space="preserve">, </w:t>
      </w:r>
      <w:r w:rsidRPr="00222182">
        <w:rPr>
          <w:rFonts w:asciiTheme="minorBidi" w:hAnsiTheme="minorBidi"/>
          <w:bCs/>
          <w:sz w:val="20"/>
          <w:szCs w:val="20"/>
        </w:rPr>
        <w:t>21(3)</w:t>
      </w:r>
      <w:r w:rsidR="0068213C">
        <w:rPr>
          <w:rFonts w:asciiTheme="minorBidi" w:hAnsiTheme="minorBidi"/>
          <w:bCs/>
          <w:sz w:val="20"/>
          <w:szCs w:val="20"/>
        </w:rPr>
        <w:t>,</w:t>
      </w:r>
      <w:r w:rsidRPr="00222182">
        <w:rPr>
          <w:rFonts w:asciiTheme="minorBidi" w:hAnsiTheme="minorBidi"/>
          <w:bCs/>
          <w:sz w:val="20"/>
          <w:szCs w:val="20"/>
        </w:rPr>
        <w:t>351-365.</w:t>
      </w:r>
    </w:p>
    <w:p w14:paraId="5D72593F"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Hughes, I. A., Houk, C., Ahmed, S. F., &amp; Lee, P. A. (2006). Consensus statement on management of intersex disorders. </w:t>
      </w:r>
      <w:r w:rsidRPr="00177E7F">
        <w:rPr>
          <w:rFonts w:asciiTheme="minorBidi" w:hAnsiTheme="minorBidi"/>
          <w:bCs/>
          <w:i/>
          <w:iCs/>
          <w:sz w:val="20"/>
          <w:szCs w:val="20"/>
        </w:rPr>
        <w:t>Journal of Pediatric Urology</w:t>
      </w:r>
      <w:r w:rsidRPr="00222182">
        <w:rPr>
          <w:rFonts w:asciiTheme="minorBidi" w:hAnsiTheme="minorBidi"/>
          <w:bCs/>
          <w:sz w:val="20"/>
          <w:szCs w:val="20"/>
        </w:rPr>
        <w:t>, 2(3), 148-162.</w:t>
      </w:r>
    </w:p>
    <w:p w14:paraId="06D6AC05" w14:textId="301D3EA8"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Hughes, I. A., Houk, C., Ahmed, S. F., &amp; Lee, P. A. (2012). Consensus statement on management of intersex disorders. </w:t>
      </w:r>
      <w:r w:rsidRPr="00177E7F">
        <w:rPr>
          <w:rFonts w:asciiTheme="minorBidi" w:hAnsiTheme="minorBidi"/>
          <w:bCs/>
          <w:i/>
          <w:iCs/>
          <w:sz w:val="20"/>
          <w:szCs w:val="20"/>
        </w:rPr>
        <w:t>Archives of Disease in Childhood</w:t>
      </w:r>
      <w:r w:rsidRPr="00222182">
        <w:rPr>
          <w:rFonts w:asciiTheme="minorBidi" w:hAnsiTheme="minorBidi"/>
          <w:bCs/>
          <w:sz w:val="20"/>
          <w:szCs w:val="20"/>
        </w:rPr>
        <w:t>, 91(7), 554–563. DOI: 10.1136/adc.2006.098319.</w:t>
      </w:r>
    </w:p>
    <w:p w14:paraId="7491DF08"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Hughes, I. A., </w:t>
      </w:r>
      <w:proofErr w:type="spellStart"/>
      <w:r w:rsidRPr="00222182">
        <w:rPr>
          <w:rFonts w:asciiTheme="minorBidi" w:hAnsiTheme="minorBidi"/>
          <w:bCs/>
          <w:sz w:val="20"/>
          <w:szCs w:val="20"/>
        </w:rPr>
        <w:t>Nihoul-Fékété</w:t>
      </w:r>
      <w:proofErr w:type="spellEnd"/>
      <w:r w:rsidRPr="00222182">
        <w:rPr>
          <w:rFonts w:asciiTheme="minorBidi" w:hAnsiTheme="minorBidi"/>
          <w:bCs/>
          <w:sz w:val="20"/>
          <w:szCs w:val="20"/>
        </w:rPr>
        <w:t xml:space="preserve">, C., Thomas, M., et al. (2012). Consequences of the ESPE/LWPES 2006 Consensus Statement and the Chicago Classification on the management of DSD: A Review from a European perspective. </w:t>
      </w:r>
      <w:r w:rsidRPr="00177E7F">
        <w:rPr>
          <w:rFonts w:asciiTheme="minorBidi" w:hAnsiTheme="minorBidi"/>
          <w:bCs/>
          <w:i/>
          <w:iCs/>
          <w:sz w:val="20"/>
          <w:szCs w:val="20"/>
        </w:rPr>
        <w:t xml:space="preserve">Hormone Research in </w:t>
      </w:r>
      <w:proofErr w:type="spellStart"/>
      <w:r w:rsidRPr="00177E7F">
        <w:rPr>
          <w:rFonts w:asciiTheme="minorBidi" w:hAnsiTheme="minorBidi"/>
          <w:bCs/>
          <w:i/>
          <w:iCs/>
          <w:sz w:val="20"/>
          <w:szCs w:val="20"/>
        </w:rPr>
        <w:t>Paediatrics</w:t>
      </w:r>
      <w:proofErr w:type="spellEnd"/>
      <w:r w:rsidRPr="00222182">
        <w:rPr>
          <w:rFonts w:asciiTheme="minorBidi" w:hAnsiTheme="minorBidi"/>
          <w:bCs/>
          <w:sz w:val="20"/>
          <w:szCs w:val="20"/>
        </w:rPr>
        <w:t>, 78(3), 145-151.</w:t>
      </w:r>
    </w:p>
    <w:p w14:paraId="1B261DFC" w14:textId="22D927CB" w:rsidR="00222182" w:rsidRPr="00944717" w:rsidRDefault="00944717" w:rsidP="00944717">
      <w:pPr>
        <w:ind w:left="360"/>
        <w:jc w:val="both"/>
        <w:rPr>
          <w:rFonts w:asciiTheme="minorBidi" w:hAnsiTheme="minorBidi"/>
          <w:sz w:val="20"/>
          <w:szCs w:val="20"/>
        </w:rPr>
      </w:pPr>
      <w:r w:rsidRPr="00944717">
        <w:rPr>
          <w:rFonts w:asciiTheme="minorBidi" w:hAnsiTheme="minorBidi"/>
          <w:sz w:val="20"/>
          <w:szCs w:val="20"/>
        </w:rPr>
        <w:lastRenderedPageBreak/>
        <w:t>Imperato-McGinley, J. Peterson, R. E., Gautier, T., &amp; Sturla, E. (1991). Male pseudo hermaphroditism due to 5-alpha-reductase deficiency. Science, 186(4170), 1213–1215. DOI: 10.1126/science.186.4170.1213.</w:t>
      </w:r>
    </w:p>
    <w:p w14:paraId="20590B90" w14:textId="198AC861" w:rsidR="00222182" w:rsidRPr="00222182" w:rsidRDefault="00222182" w:rsidP="00222182">
      <w:pPr>
        <w:ind w:left="360"/>
        <w:jc w:val="both"/>
        <w:rPr>
          <w:rFonts w:asciiTheme="minorBidi" w:hAnsiTheme="minorBidi"/>
          <w:bCs/>
          <w:sz w:val="20"/>
          <w:szCs w:val="20"/>
        </w:rPr>
      </w:pPr>
      <w:proofErr w:type="spellStart"/>
      <w:r w:rsidRPr="00222182">
        <w:rPr>
          <w:rFonts w:asciiTheme="minorBidi" w:hAnsiTheme="minorBidi"/>
          <w:bCs/>
          <w:sz w:val="20"/>
          <w:szCs w:val="20"/>
        </w:rPr>
        <w:t>Josso</w:t>
      </w:r>
      <w:proofErr w:type="spellEnd"/>
      <w:r w:rsidRPr="00222182">
        <w:rPr>
          <w:rFonts w:asciiTheme="minorBidi" w:hAnsiTheme="minorBidi"/>
          <w:bCs/>
          <w:sz w:val="20"/>
          <w:szCs w:val="20"/>
        </w:rPr>
        <w:t xml:space="preserve">, N., Rey, R. A., &amp; Picard, J. Y. (2006). Anti-Müllerian hormone: Understanding sexual differentiation. </w:t>
      </w:r>
      <w:r w:rsidRPr="00890C00">
        <w:rPr>
          <w:rFonts w:asciiTheme="minorBidi" w:hAnsiTheme="minorBidi"/>
          <w:bCs/>
          <w:i/>
          <w:iCs/>
          <w:sz w:val="20"/>
          <w:szCs w:val="20"/>
        </w:rPr>
        <w:t>Ann. NY Acad. Sci</w:t>
      </w:r>
      <w:r w:rsidRPr="00222182">
        <w:rPr>
          <w:rFonts w:asciiTheme="minorBidi" w:hAnsiTheme="minorBidi"/>
          <w:bCs/>
          <w:sz w:val="20"/>
          <w:szCs w:val="20"/>
        </w:rPr>
        <w:t>., 1061(1), 42–51. DOI: 10.1196/annals.1336.005</w:t>
      </w:r>
      <w:r w:rsidR="00890C00">
        <w:rPr>
          <w:rFonts w:asciiTheme="minorBidi" w:hAnsiTheme="minorBidi"/>
          <w:bCs/>
          <w:sz w:val="20"/>
          <w:szCs w:val="20"/>
        </w:rPr>
        <w:t>.</w:t>
      </w:r>
    </w:p>
    <w:p w14:paraId="131D63F0"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Kyriakou, A., </w:t>
      </w:r>
      <w:proofErr w:type="spellStart"/>
      <w:r w:rsidRPr="00222182">
        <w:rPr>
          <w:rFonts w:asciiTheme="minorBidi" w:hAnsiTheme="minorBidi"/>
          <w:bCs/>
          <w:sz w:val="20"/>
          <w:szCs w:val="20"/>
        </w:rPr>
        <w:t>Dessens</w:t>
      </w:r>
      <w:proofErr w:type="spellEnd"/>
      <w:r w:rsidRPr="00222182">
        <w:rPr>
          <w:rFonts w:asciiTheme="minorBidi" w:hAnsiTheme="minorBidi"/>
          <w:bCs/>
          <w:sz w:val="20"/>
          <w:szCs w:val="20"/>
        </w:rPr>
        <w:t xml:space="preserve">, A., Bryce, J., et al. (2016). Current models of care for disorders of sex development: Systematic review and meta-analysis. </w:t>
      </w:r>
      <w:r w:rsidRPr="00890C00">
        <w:rPr>
          <w:rFonts w:asciiTheme="minorBidi" w:hAnsiTheme="minorBidi"/>
          <w:bCs/>
          <w:i/>
          <w:iCs/>
          <w:sz w:val="20"/>
          <w:szCs w:val="20"/>
        </w:rPr>
        <w:t>Journal of Pediatric Urology</w:t>
      </w:r>
      <w:r w:rsidRPr="00222182">
        <w:rPr>
          <w:rFonts w:asciiTheme="minorBidi" w:hAnsiTheme="minorBidi"/>
          <w:bCs/>
          <w:sz w:val="20"/>
          <w:szCs w:val="20"/>
        </w:rPr>
        <w:t>, 12(4), 344-358.</w:t>
      </w:r>
    </w:p>
    <w:p w14:paraId="698FB2BF"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Lee PA, </w:t>
      </w:r>
      <w:proofErr w:type="spellStart"/>
      <w:r w:rsidRPr="00222182">
        <w:rPr>
          <w:rFonts w:asciiTheme="minorBidi" w:hAnsiTheme="minorBidi"/>
          <w:bCs/>
          <w:sz w:val="20"/>
          <w:szCs w:val="20"/>
        </w:rPr>
        <w:t>Nordenström</w:t>
      </w:r>
      <w:proofErr w:type="spellEnd"/>
      <w:r w:rsidRPr="00222182">
        <w:rPr>
          <w:rFonts w:asciiTheme="minorBidi" w:hAnsiTheme="minorBidi"/>
          <w:bCs/>
          <w:sz w:val="20"/>
          <w:szCs w:val="20"/>
        </w:rPr>
        <w:t xml:space="preserve"> A, </w:t>
      </w:r>
      <w:proofErr w:type="spellStart"/>
      <w:r w:rsidRPr="00222182">
        <w:rPr>
          <w:rFonts w:asciiTheme="minorBidi" w:hAnsiTheme="minorBidi"/>
          <w:bCs/>
          <w:sz w:val="20"/>
          <w:szCs w:val="20"/>
        </w:rPr>
        <w:t>Houk</w:t>
      </w:r>
      <w:proofErr w:type="spellEnd"/>
      <w:r w:rsidRPr="00222182">
        <w:rPr>
          <w:rFonts w:asciiTheme="minorBidi" w:hAnsiTheme="minorBidi"/>
          <w:bCs/>
          <w:sz w:val="20"/>
          <w:szCs w:val="20"/>
        </w:rPr>
        <w:t xml:space="preserve"> CP, et al. (2016). Global Variations in DSD Management and Outcome. </w:t>
      </w:r>
      <w:r w:rsidRPr="00890C00">
        <w:rPr>
          <w:rFonts w:asciiTheme="minorBidi" w:hAnsiTheme="minorBidi"/>
          <w:bCs/>
          <w:i/>
          <w:iCs/>
          <w:sz w:val="20"/>
          <w:szCs w:val="20"/>
        </w:rPr>
        <w:t xml:space="preserve">J </w:t>
      </w:r>
      <w:proofErr w:type="spellStart"/>
      <w:r w:rsidRPr="00890C00">
        <w:rPr>
          <w:rFonts w:asciiTheme="minorBidi" w:hAnsiTheme="minorBidi"/>
          <w:bCs/>
          <w:i/>
          <w:iCs/>
          <w:sz w:val="20"/>
          <w:szCs w:val="20"/>
        </w:rPr>
        <w:t>Pediatr</w:t>
      </w:r>
      <w:proofErr w:type="spellEnd"/>
      <w:r w:rsidRPr="00890C00">
        <w:rPr>
          <w:rFonts w:asciiTheme="minorBidi" w:hAnsiTheme="minorBidi"/>
          <w:bCs/>
          <w:i/>
          <w:iCs/>
          <w:sz w:val="20"/>
          <w:szCs w:val="20"/>
        </w:rPr>
        <w:t xml:space="preserve"> </w:t>
      </w:r>
      <w:proofErr w:type="spellStart"/>
      <w:r w:rsidRPr="00890C00">
        <w:rPr>
          <w:rFonts w:asciiTheme="minorBidi" w:hAnsiTheme="minorBidi"/>
          <w:bCs/>
          <w:i/>
          <w:iCs/>
          <w:sz w:val="20"/>
          <w:szCs w:val="20"/>
        </w:rPr>
        <w:t>Urol</w:t>
      </w:r>
      <w:proofErr w:type="spellEnd"/>
      <w:r w:rsidRPr="00222182">
        <w:rPr>
          <w:rFonts w:asciiTheme="minorBidi" w:hAnsiTheme="minorBidi"/>
          <w:bCs/>
          <w:sz w:val="20"/>
          <w:szCs w:val="20"/>
        </w:rPr>
        <w:t>, 12(1), 2-9.</w:t>
      </w:r>
    </w:p>
    <w:p w14:paraId="68814C6B"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Lee, P. A., </w:t>
      </w:r>
      <w:proofErr w:type="spellStart"/>
      <w:r w:rsidRPr="00222182">
        <w:rPr>
          <w:rFonts w:asciiTheme="minorBidi" w:hAnsiTheme="minorBidi"/>
          <w:bCs/>
          <w:sz w:val="20"/>
          <w:szCs w:val="20"/>
        </w:rPr>
        <w:t>Nordenström</w:t>
      </w:r>
      <w:proofErr w:type="spellEnd"/>
      <w:r w:rsidRPr="00222182">
        <w:rPr>
          <w:rFonts w:asciiTheme="minorBidi" w:hAnsiTheme="minorBidi"/>
          <w:bCs/>
          <w:sz w:val="20"/>
          <w:szCs w:val="20"/>
        </w:rPr>
        <w:t xml:space="preserve">, A., Houk, C. P., Ahmed, S. F., </w:t>
      </w:r>
      <w:proofErr w:type="spellStart"/>
      <w:r w:rsidRPr="00222182">
        <w:rPr>
          <w:rFonts w:asciiTheme="minorBidi" w:hAnsiTheme="minorBidi"/>
          <w:bCs/>
          <w:sz w:val="20"/>
          <w:szCs w:val="20"/>
        </w:rPr>
        <w:t>Auchus</w:t>
      </w:r>
      <w:proofErr w:type="spellEnd"/>
      <w:r w:rsidRPr="00222182">
        <w:rPr>
          <w:rFonts w:asciiTheme="minorBidi" w:hAnsiTheme="minorBidi"/>
          <w:bCs/>
          <w:sz w:val="20"/>
          <w:szCs w:val="20"/>
        </w:rPr>
        <w:t xml:space="preserve">, R., Baratz, A., ... &amp; Wisniewski, A. B. (2016). Global disorders of sex development update since 2006: Perceptions, approach and care. </w:t>
      </w:r>
      <w:r w:rsidRPr="00405DDB">
        <w:rPr>
          <w:rFonts w:asciiTheme="minorBidi" w:hAnsiTheme="minorBidi"/>
          <w:bCs/>
          <w:i/>
          <w:iCs/>
          <w:sz w:val="20"/>
          <w:szCs w:val="20"/>
        </w:rPr>
        <w:t xml:space="preserve">Hormone Research in </w:t>
      </w:r>
      <w:proofErr w:type="spellStart"/>
      <w:r w:rsidRPr="00405DDB">
        <w:rPr>
          <w:rFonts w:asciiTheme="minorBidi" w:hAnsiTheme="minorBidi"/>
          <w:bCs/>
          <w:i/>
          <w:iCs/>
          <w:sz w:val="20"/>
          <w:szCs w:val="20"/>
        </w:rPr>
        <w:t>Paediatrics</w:t>
      </w:r>
      <w:proofErr w:type="spellEnd"/>
      <w:r w:rsidRPr="00222182">
        <w:rPr>
          <w:rFonts w:asciiTheme="minorBidi" w:hAnsiTheme="minorBidi"/>
          <w:bCs/>
          <w:sz w:val="20"/>
          <w:szCs w:val="20"/>
        </w:rPr>
        <w:t>, 85(3), 158–180. DOI: 10.1159/000442975.</w:t>
      </w:r>
    </w:p>
    <w:p w14:paraId="435DA227"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Lee, P. A., </w:t>
      </w:r>
      <w:proofErr w:type="spellStart"/>
      <w:r w:rsidRPr="00222182">
        <w:rPr>
          <w:rFonts w:asciiTheme="minorBidi" w:hAnsiTheme="minorBidi"/>
          <w:bCs/>
          <w:sz w:val="20"/>
          <w:szCs w:val="20"/>
        </w:rPr>
        <w:t>Nordenström</w:t>
      </w:r>
      <w:proofErr w:type="spellEnd"/>
      <w:r w:rsidRPr="00222182">
        <w:rPr>
          <w:rFonts w:asciiTheme="minorBidi" w:hAnsiTheme="minorBidi"/>
          <w:bCs/>
          <w:sz w:val="20"/>
          <w:szCs w:val="20"/>
        </w:rPr>
        <w:t xml:space="preserve">, A., Houk, C. P., et al. (2016). Global variations in DSD care and the need for standardized scoring systems. </w:t>
      </w:r>
      <w:r w:rsidRPr="00405DDB">
        <w:rPr>
          <w:rFonts w:asciiTheme="minorBidi" w:hAnsiTheme="minorBidi"/>
          <w:bCs/>
          <w:i/>
          <w:iCs/>
          <w:sz w:val="20"/>
          <w:szCs w:val="20"/>
        </w:rPr>
        <w:t>Best Practice &amp; Research Clinical Endocrinology &amp; Metabolism</w:t>
      </w:r>
      <w:r w:rsidRPr="00222182">
        <w:rPr>
          <w:rFonts w:asciiTheme="minorBidi" w:hAnsiTheme="minorBidi"/>
          <w:bCs/>
          <w:sz w:val="20"/>
          <w:szCs w:val="20"/>
        </w:rPr>
        <w:t>, 30(2), 389-402.</w:t>
      </w:r>
    </w:p>
    <w:p w14:paraId="7A22809D" w14:textId="413AA1B4" w:rsidR="00222182" w:rsidRPr="001F050C" w:rsidRDefault="00B56C37" w:rsidP="00222182">
      <w:pPr>
        <w:ind w:left="360"/>
        <w:jc w:val="both"/>
        <w:rPr>
          <w:rFonts w:asciiTheme="minorBidi" w:hAnsiTheme="minorBidi"/>
          <w:bCs/>
          <w:sz w:val="20"/>
          <w:szCs w:val="20"/>
        </w:rPr>
      </w:pPr>
      <w:hyperlink r:id="rId7" w:anchor="auth-Michele_A_-O_Connell" w:history="1">
        <w:bookmarkStart w:id="17" w:name="_Hlk190681056"/>
        <w:r w:rsidR="00222182" w:rsidRPr="001F050C">
          <w:rPr>
            <w:rStyle w:val="Hyperlink"/>
            <w:rFonts w:asciiTheme="minorBidi" w:hAnsiTheme="minorBidi"/>
            <w:bCs/>
            <w:color w:val="auto"/>
            <w:sz w:val="20"/>
            <w:szCs w:val="20"/>
            <w:u w:val="none"/>
          </w:rPr>
          <w:t>Michele A</w:t>
        </w:r>
        <w:bookmarkEnd w:id="17"/>
        <w:r w:rsidR="00222182" w:rsidRPr="001F050C">
          <w:rPr>
            <w:rStyle w:val="Hyperlink"/>
            <w:rFonts w:asciiTheme="minorBidi" w:hAnsiTheme="minorBidi"/>
            <w:bCs/>
            <w:color w:val="auto"/>
            <w:sz w:val="20"/>
            <w:szCs w:val="20"/>
            <w:u w:val="none"/>
          </w:rPr>
          <w:t>. O’Connell</w:t>
        </w:r>
      </w:hyperlink>
      <w:r w:rsidR="00222182" w:rsidRPr="001F050C">
        <w:rPr>
          <w:rFonts w:asciiTheme="minorBidi" w:hAnsiTheme="minorBidi"/>
          <w:bCs/>
          <w:sz w:val="20"/>
          <w:szCs w:val="20"/>
        </w:rPr>
        <w:t>, </w:t>
      </w:r>
      <w:hyperlink r:id="rId8" w:anchor="auth-John_M_-Hutson" w:history="1">
        <w:r w:rsidR="00222182" w:rsidRPr="001F050C">
          <w:rPr>
            <w:rStyle w:val="Hyperlink"/>
            <w:rFonts w:asciiTheme="minorBidi" w:hAnsiTheme="minorBidi"/>
            <w:bCs/>
            <w:color w:val="auto"/>
            <w:sz w:val="20"/>
            <w:szCs w:val="20"/>
            <w:u w:val="none"/>
          </w:rPr>
          <w:t>John M. Hutson</w:t>
        </w:r>
      </w:hyperlink>
      <w:r w:rsidR="00222182" w:rsidRPr="001F050C">
        <w:rPr>
          <w:rFonts w:asciiTheme="minorBidi" w:hAnsiTheme="minorBidi"/>
          <w:bCs/>
          <w:sz w:val="20"/>
          <w:szCs w:val="20"/>
        </w:rPr>
        <w:t xml:space="preserve">, </w:t>
      </w:r>
      <w:hyperlink r:id="rId9" w:anchor="auth-Sonia_R_-Grover" w:history="1">
        <w:r w:rsidR="00222182" w:rsidRPr="001F050C">
          <w:rPr>
            <w:rStyle w:val="Hyperlink"/>
            <w:rFonts w:asciiTheme="minorBidi" w:hAnsiTheme="minorBidi"/>
            <w:bCs/>
            <w:color w:val="auto"/>
            <w:sz w:val="20"/>
            <w:szCs w:val="20"/>
            <w:u w:val="none"/>
          </w:rPr>
          <w:t>Sonia R. Grover</w:t>
        </w:r>
      </w:hyperlink>
      <w:r w:rsidR="00222182" w:rsidRPr="001F050C">
        <w:rPr>
          <w:rFonts w:asciiTheme="minorBidi" w:hAnsiTheme="minorBidi"/>
          <w:bCs/>
          <w:sz w:val="20"/>
          <w:szCs w:val="20"/>
        </w:rPr>
        <w:t>. (2020). Medical Management of DSD</w:t>
      </w:r>
      <w:r w:rsidR="001F050C" w:rsidRPr="001F050C">
        <w:rPr>
          <w:rFonts w:asciiTheme="minorBidi" w:hAnsiTheme="minorBidi"/>
          <w:bCs/>
          <w:sz w:val="20"/>
          <w:szCs w:val="20"/>
        </w:rPr>
        <w:t xml:space="preserve">, </w:t>
      </w:r>
      <w:r w:rsidR="00222182" w:rsidRPr="001F050C">
        <w:rPr>
          <w:rFonts w:asciiTheme="minorBidi" w:hAnsiTheme="minorBidi"/>
          <w:bCs/>
          <w:sz w:val="20"/>
          <w:szCs w:val="20"/>
        </w:rPr>
        <w:t>Chapter</w:t>
      </w:r>
      <w:r w:rsidR="001F050C" w:rsidRPr="001F050C">
        <w:rPr>
          <w:rFonts w:asciiTheme="minorBidi" w:hAnsiTheme="minorBidi"/>
          <w:bCs/>
          <w:sz w:val="20"/>
          <w:szCs w:val="20"/>
        </w:rPr>
        <w:t xml:space="preserve">. </w:t>
      </w:r>
      <w:hyperlink r:id="rId10" w:history="1">
        <w:r w:rsidR="00222182" w:rsidRPr="001F050C">
          <w:rPr>
            <w:rStyle w:val="Hyperlink"/>
            <w:rFonts w:asciiTheme="minorBidi" w:hAnsiTheme="minorBidi"/>
            <w:bCs/>
            <w:i/>
            <w:iCs/>
            <w:color w:val="auto"/>
            <w:sz w:val="20"/>
            <w:szCs w:val="20"/>
            <w:u w:val="none"/>
          </w:rPr>
          <w:t>Disorders</w:t>
        </w:r>
        <w:r w:rsidR="001F050C" w:rsidRPr="001F050C">
          <w:rPr>
            <w:rStyle w:val="Hyperlink"/>
            <w:rFonts w:asciiTheme="minorBidi" w:hAnsiTheme="minorBidi"/>
            <w:bCs/>
            <w:i/>
            <w:iCs/>
            <w:color w:val="auto"/>
            <w:sz w:val="20"/>
            <w:szCs w:val="20"/>
            <w:u w:val="none"/>
          </w:rPr>
          <w:t xml:space="preserve"> </w:t>
        </w:r>
        <w:r w:rsidR="00222182" w:rsidRPr="001F050C">
          <w:rPr>
            <w:rStyle w:val="Hyperlink"/>
            <w:rFonts w:asciiTheme="minorBidi" w:hAnsiTheme="minorBidi"/>
            <w:bCs/>
            <w:i/>
            <w:iCs/>
            <w:color w:val="auto"/>
            <w:sz w:val="20"/>
            <w:szCs w:val="20"/>
            <w:u w:val="none"/>
          </w:rPr>
          <w:t>|</w:t>
        </w:r>
        <w:r w:rsidR="001F050C" w:rsidRPr="001F050C">
          <w:rPr>
            <w:rStyle w:val="Hyperlink"/>
            <w:rFonts w:asciiTheme="minorBidi" w:hAnsiTheme="minorBidi"/>
            <w:bCs/>
            <w:i/>
            <w:iCs/>
            <w:color w:val="auto"/>
            <w:sz w:val="20"/>
            <w:szCs w:val="20"/>
            <w:u w:val="none"/>
          </w:rPr>
          <w:t xml:space="preserve"> </w:t>
        </w:r>
        <w:r w:rsidR="00222182" w:rsidRPr="001F050C">
          <w:rPr>
            <w:rStyle w:val="Hyperlink"/>
            <w:rFonts w:asciiTheme="minorBidi" w:hAnsiTheme="minorBidi"/>
            <w:bCs/>
            <w:i/>
            <w:iCs/>
            <w:color w:val="auto"/>
            <w:sz w:val="20"/>
            <w:szCs w:val="20"/>
            <w:u w:val="none"/>
          </w:rPr>
          <w:t>Differences of Sex Development</w:t>
        </w:r>
      </w:hyperlink>
      <w:r w:rsidR="001F050C" w:rsidRPr="001F050C">
        <w:rPr>
          <w:rFonts w:asciiTheme="minorBidi" w:hAnsiTheme="minorBidi"/>
          <w:sz w:val="20"/>
          <w:szCs w:val="20"/>
        </w:rPr>
        <w:t>,</w:t>
      </w:r>
      <w:r w:rsidR="00222182" w:rsidRPr="001F050C">
        <w:rPr>
          <w:rFonts w:asciiTheme="minorBidi" w:hAnsiTheme="minorBidi"/>
          <w:bCs/>
          <w:sz w:val="20"/>
          <w:szCs w:val="20"/>
        </w:rPr>
        <w:t xml:space="preserve"> 193–219</w:t>
      </w:r>
      <w:r w:rsidR="001F050C">
        <w:rPr>
          <w:rFonts w:asciiTheme="minorBidi" w:hAnsiTheme="minorBidi"/>
          <w:bCs/>
          <w:sz w:val="20"/>
          <w:szCs w:val="20"/>
        </w:rPr>
        <w:t xml:space="preserve">. </w:t>
      </w:r>
    </w:p>
    <w:p w14:paraId="0D69990D" w14:textId="77777777" w:rsidR="001F050C" w:rsidRDefault="00222182" w:rsidP="00222182">
      <w:pPr>
        <w:ind w:left="360"/>
        <w:jc w:val="both"/>
        <w:rPr>
          <w:rFonts w:asciiTheme="minorBidi" w:hAnsiTheme="minorBidi"/>
          <w:bCs/>
          <w:sz w:val="20"/>
          <w:szCs w:val="20"/>
        </w:rPr>
      </w:pPr>
      <w:bookmarkStart w:id="18" w:name="_Hlk190680951"/>
      <w:proofErr w:type="spellStart"/>
      <w:r w:rsidRPr="00222182">
        <w:rPr>
          <w:rFonts w:asciiTheme="minorBidi" w:hAnsiTheme="minorBidi"/>
          <w:bCs/>
          <w:sz w:val="20"/>
          <w:szCs w:val="20"/>
        </w:rPr>
        <w:t>Mouriquand</w:t>
      </w:r>
      <w:bookmarkEnd w:id="18"/>
      <w:proofErr w:type="spellEnd"/>
      <w:r w:rsidRPr="00222182">
        <w:rPr>
          <w:rFonts w:asciiTheme="minorBidi" w:hAnsiTheme="minorBidi"/>
          <w:bCs/>
          <w:sz w:val="20"/>
          <w:szCs w:val="20"/>
        </w:rPr>
        <w:t xml:space="preserve"> PD, </w:t>
      </w:r>
      <w:proofErr w:type="spellStart"/>
      <w:r w:rsidRPr="00222182">
        <w:rPr>
          <w:rFonts w:asciiTheme="minorBidi" w:hAnsiTheme="minorBidi"/>
          <w:bCs/>
          <w:sz w:val="20"/>
          <w:szCs w:val="20"/>
        </w:rPr>
        <w:t>Gorduza</w:t>
      </w:r>
      <w:proofErr w:type="spellEnd"/>
      <w:r w:rsidRPr="00222182">
        <w:rPr>
          <w:rFonts w:asciiTheme="minorBidi" w:hAnsiTheme="minorBidi"/>
          <w:bCs/>
          <w:sz w:val="20"/>
          <w:szCs w:val="20"/>
        </w:rPr>
        <w:t xml:space="preserve"> DB, Gay CL, et al.</w:t>
      </w:r>
      <w:r w:rsidR="001F050C">
        <w:rPr>
          <w:rFonts w:asciiTheme="minorBidi" w:hAnsiTheme="minorBidi"/>
          <w:bCs/>
          <w:sz w:val="20"/>
          <w:szCs w:val="20"/>
        </w:rPr>
        <w:t xml:space="preserve"> (2016). </w:t>
      </w:r>
      <w:r w:rsidRPr="00222182">
        <w:rPr>
          <w:rFonts w:asciiTheme="minorBidi" w:hAnsiTheme="minorBidi"/>
          <w:bCs/>
          <w:sz w:val="20"/>
          <w:szCs w:val="20"/>
        </w:rPr>
        <w:t xml:space="preserve"> Surgery in disorders of sex development (DSD) with a gender issue: if (why), when, and how? </w:t>
      </w:r>
      <w:r w:rsidRPr="001F050C">
        <w:rPr>
          <w:rFonts w:asciiTheme="minorBidi" w:hAnsiTheme="minorBidi"/>
          <w:bCs/>
          <w:i/>
          <w:iCs/>
          <w:sz w:val="20"/>
          <w:szCs w:val="20"/>
        </w:rPr>
        <w:t xml:space="preserve">J </w:t>
      </w:r>
      <w:proofErr w:type="spellStart"/>
      <w:r w:rsidRPr="001F050C">
        <w:rPr>
          <w:rFonts w:asciiTheme="minorBidi" w:hAnsiTheme="minorBidi"/>
          <w:bCs/>
          <w:i/>
          <w:iCs/>
          <w:sz w:val="20"/>
          <w:szCs w:val="20"/>
        </w:rPr>
        <w:t>Pediatr</w:t>
      </w:r>
      <w:proofErr w:type="spellEnd"/>
      <w:r w:rsidRPr="001F050C">
        <w:rPr>
          <w:rFonts w:asciiTheme="minorBidi" w:hAnsiTheme="minorBidi"/>
          <w:bCs/>
          <w:i/>
          <w:iCs/>
          <w:sz w:val="20"/>
          <w:szCs w:val="20"/>
        </w:rPr>
        <w:t xml:space="preserve"> Urol</w:t>
      </w:r>
      <w:r w:rsidR="001F050C">
        <w:rPr>
          <w:rFonts w:asciiTheme="minorBidi" w:hAnsiTheme="minorBidi"/>
          <w:bCs/>
          <w:sz w:val="20"/>
          <w:szCs w:val="20"/>
        </w:rPr>
        <w:t>,</w:t>
      </w:r>
      <w:r w:rsidRPr="00222182">
        <w:rPr>
          <w:rFonts w:asciiTheme="minorBidi" w:hAnsiTheme="minorBidi"/>
          <w:bCs/>
          <w:sz w:val="20"/>
          <w:szCs w:val="20"/>
        </w:rPr>
        <w:t>12(3)</w:t>
      </w:r>
      <w:r w:rsidR="001F050C">
        <w:rPr>
          <w:rFonts w:asciiTheme="minorBidi" w:hAnsiTheme="minorBidi"/>
          <w:bCs/>
          <w:sz w:val="20"/>
          <w:szCs w:val="20"/>
        </w:rPr>
        <w:t xml:space="preserve">, </w:t>
      </w:r>
      <w:r w:rsidRPr="00222182">
        <w:rPr>
          <w:rFonts w:asciiTheme="minorBidi" w:hAnsiTheme="minorBidi"/>
          <w:bCs/>
          <w:sz w:val="20"/>
          <w:szCs w:val="20"/>
        </w:rPr>
        <w:t>139-149.</w:t>
      </w:r>
    </w:p>
    <w:p w14:paraId="18AD0E0F" w14:textId="27214DEF" w:rsidR="00222182" w:rsidRPr="00222182" w:rsidRDefault="00222182" w:rsidP="00222182">
      <w:pPr>
        <w:ind w:left="360"/>
        <w:jc w:val="both"/>
        <w:rPr>
          <w:rFonts w:asciiTheme="minorBidi" w:hAnsiTheme="minorBidi"/>
          <w:bCs/>
          <w:vanish/>
          <w:sz w:val="20"/>
          <w:szCs w:val="20"/>
        </w:rPr>
      </w:pPr>
      <w:r w:rsidRPr="00222182">
        <w:rPr>
          <w:rFonts w:asciiTheme="minorBidi" w:hAnsiTheme="minorBidi"/>
          <w:bCs/>
          <w:vanish/>
          <w:sz w:val="20"/>
          <w:szCs w:val="20"/>
          <w:rtl/>
        </w:rPr>
        <w:t>أسفل النموذج</w:t>
      </w:r>
    </w:p>
    <w:p w14:paraId="42011537"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Ogilvy-Stuart, A. L., &amp; Brain, C. E. (2004). Early assessment of ambiguous genitalia</w:t>
      </w:r>
      <w:r w:rsidRPr="001F050C">
        <w:rPr>
          <w:rFonts w:asciiTheme="minorBidi" w:hAnsiTheme="minorBidi"/>
          <w:bCs/>
          <w:i/>
          <w:iCs/>
          <w:sz w:val="20"/>
          <w:szCs w:val="20"/>
        </w:rPr>
        <w:t>. Archives of Disease in Childhood</w:t>
      </w:r>
      <w:r w:rsidRPr="00222182">
        <w:rPr>
          <w:rFonts w:asciiTheme="minorBidi" w:hAnsiTheme="minorBidi"/>
          <w:bCs/>
          <w:sz w:val="20"/>
          <w:szCs w:val="20"/>
        </w:rPr>
        <w:t>, 89(5), 401–407. DOI: 10.1136/adc.2003.036210.</w:t>
      </w:r>
    </w:p>
    <w:p w14:paraId="3E97A88F" w14:textId="77777777" w:rsidR="00222182" w:rsidRPr="00222182" w:rsidRDefault="00222182" w:rsidP="00222182">
      <w:pPr>
        <w:ind w:left="360"/>
        <w:jc w:val="both"/>
        <w:rPr>
          <w:rFonts w:asciiTheme="minorBidi" w:hAnsiTheme="minorBidi"/>
          <w:bCs/>
          <w:sz w:val="20"/>
          <w:szCs w:val="20"/>
        </w:rPr>
      </w:pPr>
      <w:bookmarkStart w:id="19" w:name="_Hlk190680775"/>
      <w:r w:rsidRPr="00222182">
        <w:rPr>
          <w:rFonts w:asciiTheme="minorBidi" w:hAnsiTheme="minorBidi"/>
          <w:bCs/>
          <w:sz w:val="20"/>
          <w:szCs w:val="20"/>
        </w:rPr>
        <w:t>Parks</w:t>
      </w:r>
      <w:bookmarkEnd w:id="19"/>
      <w:r w:rsidRPr="00222182">
        <w:rPr>
          <w:rFonts w:asciiTheme="minorBidi" w:hAnsiTheme="minorBidi"/>
          <w:bCs/>
          <w:sz w:val="20"/>
          <w:szCs w:val="20"/>
        </w:rPr>
        <w:t xml:space="preserve">, J. S., Zeitler, P., &amp; Grumbach, M. M. (2008). Disorders of Sex Development: New directions in research and management. </w:t>
      </w:r>
      <w:r w:rsidRPr="00EE297E">
        <w:rPr>
          <w:rFonts w:asciiTheme="minorBidi" w:hAnsiTheme="minorBidi"/>
          <w:bCs/>
          <w:i/>
          <w:iCs/>
          <w:sz w:val="20"/>
          <w:szCs w:val="20"/>
        </w:rPr>
        <w:t>The Journal of Clinical Endocrinology &amp; Metabolism</w:t>
      </w:r>
      <w:r w:rsidRPr="00222182">
        <w:rPr>
          <w:rFonts w:asciiTheme="minorBidi" w:hAnsiTheme="minorBidi"/>
          <w:bCs/>
          <w:sz w:val="20"/>
          <w:szCs w:val="20"/>
        </w:rPr>
        <w:t xml:space="preserve">, 93(12), 4381-4388. </w:t>
      </w:r>
    </w:p>
    <w:p w14:paraId="5B2A5E06" w14:textId="77777777" w:rsidR="00222182" w:rsidRPr="00222182" w:rsidRDefault="00222182" w:rsidP="00222182">
      <w:pPr>
        <w:ind w:left="360"/>
        <w:jc w:val="both"/>
        <w:rPr>
          <w:rFonts w:asciiTheme="minorBidi" w:hAnsiTheme="minorBidi"/>
          <w:bCs/>
          <w:sz w:val="20"/>
          <w:szCs w:val="20"/>
        </w:rPr>
      </w:pPr>
      <w:bookmarkStart w:id="20" w:name="_Hlk190629277"/>
      <w:r w:rsidRPr="00222182">
        <w:rPr>
          <w:rFonts w:asciiTheme="minorBidi" w:hAnsiTheme="minorBidi"/>
          <w:bCs/>
          <w:sz w:val="20"/>
          <w:szCs w:val="20"/>
        </w:rPr>
        <w:t>Pasterski</w:t>
      </w:r>
      <w:bookmarkEnd w:id="20"/>
      <w:r w:rsidRPr="00222182">
        <w:rPr>
          <w:rFonts w:asciiTheme="minorBidi" w:hAnsiTheme="minorBidi"/>
          <w:bCs/>
          <w:sz w:val="20"/>
          <w:szCs w:val="20"/>
        </w:rPr>
        <w:t xml:space="preserve"> V, Prentice P, Hughes IA. (2010). Consequences of the Chicago Consensus on Disorders of Sex Development (DSD). </w:t>
      </w:r>
      <w:r w:rsidRPr="00EE297E">
        <w:rPr>
          <w:rFonts w:asciiTheme="minorBidi" w:hAnsiTheme="minorBidi"/>
          <w:bCs/>
          <w:i/>
          <w:iCs/>
          <w:sz w:val="20"/>
          <w:szCs w:val="20"/>
        </w:rPr>
        <w:t>Arch Dis Child</w:t>
      </w:r>
      <w:r w:rsidRPr="00222182">
        <w:rPr>
          <w:rFonts w:asciiTheme="minorBidi" w:hAnsiTheme="minorBidi"/>
          <w:bCs/>
          <w:sz w:val="20"/>
          <w:szCs w:val="20"/>
        </w:rPr>
        <w:t>, 95(8), 618-623.</w:t>
      </w:r>
    </w:p>
    <w:p w14:paraId="0365F17D" w14:textId="77777777" w:rsidR="00222182" w:rsidRPr="00222182" w:rsidRDefault="00222182" w:rsidP="00222182">
      <w:pPr>
        <w:ind w:left="360"/>
        <w:jc w:val="both"/>
        <w:rPr>
          <w:rFonts w:asciiTheme="minorBidi" w:hAnsiTheme="minorBidi"/>
          <w:bCs/>
          <w:sz w:val="20"/>
          <w:szCs w:val="20"/>
        </w:rPr>
      </w:pPr>
      <w:r w:rsidRPr="00222182">
        <w:rPr>
          <w:rFonts w:asciiTheme="minorBidi" w:hAnsiTheme="minorBidi"/>
          <w:bCs/>
          <w:sz w:val="20"/>
          <w:szCs w:val="20"/>
        </w:rPr>
        <w:t xml:space="preserve">Quigley, C. A., De Bellis, A., Marschke, K. B., El-Awady, M. K., Wilson, E. M., &amp; French, F. S. (1995). Androgen receptor defects: Historical, clinical, and molecular perspectives. </w:t>
      </w:r>
      <w:r w:rsidRPr="00EE297E">
        <w:rPr>
          <w:rFonts w:asciiTheme="minorBidi" w:hAnsiTheme="minorBidi"/>
          <w:bCs/>
          <w:i/>
          <w:iCs/>
          <w:sz w:val="20"/>
          <w:szCs w:val="20"/>
        </w:rPr>
        <w:t>Endocrine Reviews</w:t>
      </w:r>
      <w:r w:rsidRPr="00222182">
        <w:rPr>
          <w:rFonts w:asciiTheme="minorBidi" w:hAnsiTheme="minorBidi"/>
          <w:bCs/>
          <w:sz w:val="20"/>
          <w:szCs w:val="20"/>
        </w:rPr>
        <w:t>, 16(3), 271–321. https://doi.org/10.1210/edrv-16-3-271.</w:t>
      </w:r>
    </w:p>
    <w:p w14:paraId="78EDEBB3" w14:textId="3BDAE74A" w:rsidR="00222182" w:rsidRPr="00222182" w:rsidRDefault="00222182" w:rsidP="00222182">
      <w:pPr>
        <w:ind w:left="360"/>
        <w:jc w:val="both"/>
        <w:rPr>
          <w:rFonts w:asciiTheme="minorBidi" w:hAnsiTheme="minorBidi"/>
          <w:bCs/>
          <w:sz w:val="20"/>
          <w:szCs w:val="20"/>
        </w:rPr>
      </w:pPr>
      <w:bookmarkStart w:id="21" w:name="_Hlk190680057"/>
      <w:r w:rsidRPr="00222182">
        <w:rPr>
          <w:rFonts w:asciiTheme="minorBidi" w:hAnsiTheme="minorBidi"/>
          <w:bCs/>
          <w:sz w:val="20"/>
          <w:szCs w:val="20"/>
        </w:rPr>
        <w:t>Saskia</w:t>
      </w:r>
      <w:bookmarkEnd w:id="21"/>
      <w:r w:rsidRPr="00222182">
        <w:rPr>
          <w:rFonts w:asciiTheme="minorBidi" w:hAnsiTheme="minorBidi"/>
          <w:bCs/>
          <w:sz w:val="20"/>
          <w:szCs w:val="20"/>
        </w:rPr>
        <w:t xml:space="preserve"> van der Straaten, Alexander Springer, Aleksandra </w:t>
      </w:r>
      <w:proofErr w:type="spellStart"/>
      <w:r w:rsidRPr="00222182">
        <w:rPr>
          <w:rFonts w:asciiTheme="minorBidi" w:hAnsiTheme="minorBidi"/>
          <w:bCs/>
          <w:sz w:val="20"/>
          <w:szCs w:val="20"/>
        </w:rPr>
        <w:t>Zecic</w:t>
      </w:r>
      <w:proofErr w:type="spellEnd"/>
      <w:r w:rsidRPr="00222182">
        <w:rPr>
          <w:rFonts w:asciiTheme="minorBidi" w:hAnsiTheme="minorBidi"/>
          <w:bCs/>
          <w:sz w:val="20"/>
          <w:szCs w:val="20"/>
        </w:rPr>
        <w:t xml:space="preserve">, Doris </w:t>
      </w:r>
      <w:proofErr w:type="spellStart"/>
      <w:r w:rsidRPr="00222182">
        <w:rPr>
          <w:rFonts w:asciiTheme="minorBidi" w:hAnsiTheme="minorBidi"/>
          <w:bCs/>
          <w:sz w:val="20"/>
          <w:szCs w:val="20"/>
        </w:rPr>
        <w:t>Hebenstreit</w:t>
      </w:r>
      <w:proofErr w:type="spellEnd"/>
      <w:r w:rsidRPr="00222182">
        <w:rPr>
          <w:rFonts w:asciiTheme="minorBidi" w:hAnsiTheme="minorBidi"/>
          <w:bCs/>
          <w:sz w:val="20"/>
          <w:szCs w:val="20"/>
        </w:rPr>
        <w:t xml:space="preserve">, Ursula </w:t>
      </w:r>
      <w:proofErr w:type="spellStart"/>
      <w:r w:rsidRPr="00222182">
        <w:rPr>
          <w:rFonts w:asciiTheme="minorBidi" w:hAnsiTheme="minorBidi"/>
          <w:bCs/>
          <w:sz w:val="20"/>
          <w:szCs w:val="20"/>
        </w:rPr>
        <w:t>Tonnhofer</w:t>
      </w:r>
      <w:proofErr w:type="spellEnd"/>
      <w:r w:rsidRPr="00222182">
        <w:rPr>
          <w:rFonts w:asciiTheme="minorBidi" w:hAnsiTheme="minorBidi"/>
          <w:bCs/>
          <w:sz w:val="20"/>
          <w:szCs w:val="20"/>
        </w:rPr>
        <w:t>, </w:t>
      </w:r>
      <w:proofErr w:type="spellStart"/>
      <w:r w:rsidRPr="00222182">
        <w:rPr>
          <w:rFonts w:asciiTheme="minorBidi" w:hAnsiTheme="minorBidi"/>
          <w:bCs/>
          <w:sz w:val="20"/>
          <w:szCs w:val="20"/>
        </w:rPr>
        <w:t>Aneta</w:t>
      </w:r>
      <w:proofErr w:type="spellEnd"/>
      <w:r w:rsidRPr="00222182">
        <w:rPr>
          <w:rFonts w:asciiTheme="minorBidi" w:hAnsiTheme="minorBidi"/>
          <w:bCs/>
          <w:sz w:val="20"/>
          <w:szCs w:val="20"/>
        </w:rPr>
        <w:t xml:space="preserve"> </w:t>
      </w:r>
      <w:proofErr w:type="spellStart"/>
      <w:r w:rsidRPr="00222182">
        <w:rPr>
          <w:rFonts w:asciiTheme="minorBidi" w:hAnsiTheme="minorBidi"/>
          <w:bCs/>
          <w:sz w:val="20"/>
          <w:szCs w:val="20"/>
        </w:rPr>
        <w:t>Gawlik</w:t>
      </w:r>
      <w:proofErr w:type="spellEnd"/>
      <w:r w:rsidRPr="00222182">
        <w:rPr>
          <w:rFonts w:asciiTheme="minorBidi" w:hAnsiTheme="minorBidi"/>
          <w:bCs/>
          <w:sz w:val="20"/>
          <w:szCs w:val="20"/>
        </w:rPr>
        <w:t xml:space="preserve">, et.al. (2020). The External Genitalia Score (EGS): A European Multicenter Validation Study. </w:t>
      </w:r>
      <w:r w:rsidRPr="00F1770E">
        <w:rPr>
          <w:rFonts w:asciiTheme="minorBidi" w:hAnsiTheme="minorBidi"/>
          <w:bCs/>
          <w:i/>
          <w:iCs/>
          <w:sz w:val="20"/>
          <w:szCs w:val="20"/>
        </w:rPr>
        <w:t>The Journal of Clinical Endocrinology &amp; Metabolism</w:t>
      </w:r>
      <w:r w:rsidRPr="00222182">
        <w:rPr>
          <w:rFonts w:asciiTheme="minorBidi" w:hAnsiTheme="minorBidi"/>
          <w:bCs/>
          <w:sz w:val="20"/>
          <w:szCs w:val="20"/>
        </w:rPr>
        <w:t xml:space="preserve">, </w:t>
      </w:r>
      <w:r w:rsidR="009B36AD" w:rsidRPr="00222182">
        <w:rPr>
          <w:rFonts w:asciiTheme="minorBidi" w:hAnsiTheme="minorBidi"/>
          <w:bCs/>
          <w:sz w:val="20"/>
          <w:szCs w:val="20"/>
        </w:rPr>
        <w:t>105,</w:t>
      </w:r>
      <w:r w:rsidR="009B36AD">
        <w:rPr>
          <w:rFonts w:asciiTheme="minorBidi" w:hAnsiTheme="minorBidi"/>
          <w:bCs/>
          <w:sz w:val="20"/>
          <w:szCs w:val="20"/>
        </w:rPr>
        <w:t xml:space="preserve"> (</w:t>
      </w:r>
      <w:r w:rsidRPr="00222182">
        <w:rPr>
          <w:rFonts w:asciiTheme="minorBidi" w:hAnsiTheme="minorBidi"/>
          <w:bCs/>
          <w:sz w:val="20"/>
          <w:szCs w:val="20"/>
        </w:rPr>
        <w:t>3</w:t>
      </w:r>
      <w:r w:rsidR="00F1770E">
        <w:rPr>
          <w:rFonts w:asciiTheme="minorBidi" w:hAnsiTheme="minorBidi"/>
          <w:bCs/>
          <w:sz w:val="20"/>
          <w:szCs w:val="20"/>
        </w:rPr>
        <w:t>)</w:t>
      </w:r>
      <w:r w:rsidRPr="00222182">
        <w:rPr>
          <w:rFonts w:asciiTheme="minorBidi" w:hAnsiTheme="minorBidi"/>
          <w:bCs/>
          <w:sz w:val="20"/>
          <w:szCs w:val="20"/>
        </w:rPr>
        <w:t>,</w:t>
      </w:r>
      <w:r w:rsidR="00F1770E">
        <w:rPr>
          <w:rFonts w:asciiTheme="minorBidi" w:hAnsiTheme="minorBidi"/>
          <w:bCs/>
          <w:sz w:val="20"/>
          <w:szCs w:val="20"/>
        </w:rPr>
        <w:t xml:space="preserve"> </w:t>
      </w:r>
      <w:r w:rsidRPr="00222182">
        <w:rPr>
          <w:rFonts w:asciiTheme="minorBidi" w:hAnsiTheme="minorBidi"/>
          <w:bCs/>
          <w:sz w:val="20"/>
          <w:szCs w:val="20"/>
        </w:rPr>
        <w:t>222–230</w:t>
      </w:r>
      <w:r w:rsidR="009B36AD">
        <w:rPr>
          <w:rFonts w:asciiTheme="minorBidi" w:hAnsiTheme="minorBidi"/>
          <w:bCs/>
          <w:sz w:val="20"/>
          <w:szCs w:val="20"/>
        </w:rPr>
        <w:t>.</w:t>
      </w:r>
      <w:r w:rsidRPr="00222182">
        <w:rPr>
          <w:rFonts w:asciiTheme="minorBidi" w:hAnsiTheme="minorBidi"/>
          <w:bCs/>
          <w:sz w:val="20"/>
          <w:szCs w:val="20"/>
        </w:rPr>
        <w:t> </w:t>
      </w:r>
      <w:hyperlink r:id="rId11" w:history="1">
        <w:r w:rsidRPr="00222182">
          <w:rPr>
            <w:rStyle w:val="Hyperlink"/>
            <w:rFonts w:asciiTheme="minorBidi" w:hAnsiTheme="minorBidi"/>
            <w:bCs/>
            <w:color w:val="auto"/>
            <w:sz w:val="20"/>
            <w:szCs w:val="20"/>
            <w:u w:val="none"/>
          </w:rPr>
          <w:t>https://doi.org/10.1210/clinem/dgz142</w:t>
        </w:r>
      </w:hyperlink>
      <w:r w:rsidR="009B36AD">
        <w:t>.</w:t>
      </w:r>
    </w:p>
    <w:p w14:paraId="5A782112" w14:textId="77777777" w:rsidR="00222182" w:rsidRPr="00222182" w:rsidRDefault="00222182" w:rsidP="00222182">
      <w:pPr>
        <w:ind w:left="360"/>
        <w:jc w:val="both"/>
        <w:rPr>
          <w:rFonts w:asciiTheme="minorBidi" w:hAnsiTheme="minorBidi"/>
          <w:bCs/>
          <w:sz w:val="20"/>
          <w:szCs w:val="20"/>
        </w:rPr>
      </w:pPr>
      <w:bookmarkStart w:id="22" w:name="_Hlk190679879"/>
      <w:r w:rsidRPr="00222182">
        <w:rPr>
          <w:rFonts w:asciiTheme="minorBidi" w:hAnsiTheme="minorBidi"/>
          <w:bCs/>
          <w:sz w:val="20"/>
          <w:szCs w:val="20"/>
        </w:rPr>
        <w:t xml:space="preserve">Wisniewski, A. B., </w:t>
      </w:r>
      <w:proofErr w:type="spellStart"/>
      <w:r w:rsidRPr="00222182">
        <w:rPr>
          <w:rFonts w:asciiTheme="minorBidi" w:hAnsiTheme="minorBidi"/>
          <w:bCs/>
          <w:sz w:val="20"/>
          <w:szCs w:val="20"/>
        </w:rPr>
        <w:t>Migeon</w:t>
      </w:r>
      <w:proofErr w:type="spellEnd"/>
      <w:r w:rsidRPr="00222182">
        <w:rPr>
          <w:rFonts w:asciiTheme="minorBidi" w:hAnsiTheme="minorBidi"/>
          <w:bCs/>
          <w:sz w:val="20"/>
          <w:szCs w:val="20"/>
        </w:rPr>
        <w:t>, C. J., Meyer-</w:t>
      </w:r>
      <w:proofErr w:type="spellStart"/>
      <w:r w:rsidRPr="00222182">
        <w:rPr>
          <w:rFonts w:asciiTheme="minorBidi" w:hAnsiTheme="minorBidi"/>
          <w:bCs/>
          <w:sz w:val="20"/>
          <w:szCs w:val="20"/>
        </w:rPr>
        <w:t>Bahlburg</w:t>
      </w:r>
      <w:proofErr w:type="spellEnd"/>
      <w:r w:rsidRPr="00222182">
        <w:rPr>
          <w:rFonts w:asciiTheme="minorBidi" w:hAnsiTheme="minorBidi"/>
          <w:bCs/>
          <w:sz w:val="20"/>
          <w:szCs w:val="20"/>
        </w:rPr>
        <w:t>, H. F. L., et al. (2019).</w:t>
      </w:r>
      <w:bookmarkEnd w:id="22"/>
      <w:r w:rsidRPr="00222182">
        <w:rPr>
          <w:rFonts w:asciiTheme="minorBidi" w:hAnsiTheme="minorBidi"/>
          <w:bCs/>
          <w:sz w:val="20"/>
          <w:szCs w:val="20"/>
        </w:rPr>
        <w:t xml:space="preserve"> Long-term outcomes in individuals with disorders of sex development: Insights from cohort studies. </w:t>
      </w:r>
      <w:r w:rsidRPr="009B36AD">
        <w:rPr>
          <w:rFonts w:asciiTheme="minorBidi" w:hAnsiTheme="minorBidi"/>
          <w:bCs/>
          <w:i/>
          <w:iCs/>
          <w:sz w:val="20"/>
          <w:szCs w:val="20"/>
        </w:rPr>
        <w:t>Endocrine Reviews</w:t>
      </w:r>
      <w:r w:rsidRPr="00222182">
        <w:rPr>
          <w:rFonts w:asciiTheme="minorBidi" w:hAnsiTheme="minorBidi"/>
          <w:bCs/>
          <w:sz w:val="20"/>
          <w:szCs w:val="20"/>
        </w:rPr>
        <w:t>, 40(1), 49-75.</w:t>
      </w:r>
    </w:p>
    <w:p w14:paraId="74A7D798" w14:textId="77777777" w:rsidR="00222182" w:rsidRPr="009B043C" w:rsidRDefault="00222182" w:rsidP="00222182">
      <w:pPr>
        <w:ind w:left="360"/>
        <w:jc w:val="both"/>
        <w:rPr>
          <w:rFonts w:asciiTheme="minorBidi" w:hAnsiTheme="minorBidi"/>
          <w:sz w:val="20"/>
          <w:szCs w:val="20"/>
        </w:rPr>
      </w:pPr>
    </w:p>
    <w:p w14:paraId="3B76ECC3" w14:textId="77777777" w:rsidR="00D83831" w:rsidRPr="009B043C" w:rsidRDefault="00D83831" w:rsidP="00222182">
      <w:pPr>
        <w:jc w:val="both"/>
        <w:rPr>
          <w:rFonts w:asciiTheme="minorBidi" w:hAnsiTheme="minorBidi"/>
          <w:sz w:val="20"/>
          <w:szCs w:val="20"/>
        </w:rPr>
      </w:pPr>
    </w:p>
    <w:p w14:paraId="66EC1ED5" w14:textId="77777777" w:rsidR="0092380E" w:rsidRPr="009B043C" w:rsidRDefault="0092380E" w:rsidP="00222182">
      <w:pPr>
        <w:ind w:left="360"/>
        <w:jc w:val="both"/>
        <w:rPr>
          <w:rFonts w:asciiTheme="minorBidi" w:hAnsiTheme="minorBidi"/>
          <w:sz w:val="20"/>
          <w:szCs w:val="20"/>
        </w:rPr>
      </w:pPr>
    </w:p>
    <w:p w14:paraId="5C40011B" w14:textId="77777777" w:rsidR="00652FDA" w:rsidRPr="0061292B" w:rsidRDefault="00652FDA" w:rsidP="00652FDA">
      <w:pPr>
        <w:jc w:val="both"/>
      </w:pPr>
    </w:p>
    <w:p w14:paraId="16936106" w14:textId="77777777" w:rsidR="00FC3E9A" w:rsidRPr="00B46FCD" w:rsidRDefault="00FC3E9A" w:rsidP="00B145DB">
      <w:pPr>
        <w:jc w:val="both"/>
      </w:pPr>
    </w:p>
    <w:p w14:paraId="05FC22BB" w14:textId="5EAB6215" w:rsidR="00B145DB" w:rsidRPr="00B145DB" w:rsidRDefault="00B145DB" w:rsidP="00B145DB">
      <w:pPr>
        <w:jc w:val="both"/>
      </w:pPr>
    </w:p>
    <w:p w14:paraId="71F4DAD2" w14:textId="77777777" w:rsidR="00B145DB" w:rsidRPr="00B46FCD" w:rsidRDefault="00B145DB" w:rsidP="00B46FCD">
      <w:pPr>
        <w:jc w:val="both"/>
      </w:pPr>
    </w:p>
    <w:p w14:paraId="2A942247" w14:textId="77777777" w:rsidR="00B46FCD" w:rsidRDefault="00B46FCD" w:rsidP="00A46A2A"/>
    <w:sectPr w:rsidR="00B46FC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489AF" w14:textId="77777777" w:rsidR="00B56C37" w:rsidRDefault="00B56C37" w:rsidP="0096614B">
      <w:pPr>
        <w:spacing w:after="0" w:line="240" w:lineRule="auto"/>
      </w:pPr>
      <w:r>
        <w:separator/>
      </w:r>
    </w:p>
  </w:endnote>
  <w:endnote w:type="continuationSeparator" w:id="0">
    <w:p w14:paraId="4F717ACF" w14:textId="77777777" w:rsidR="00B56C37" w:rsidRDefault="00B56C37" w:rsidP="0096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43BB" w14:textId="77777777" w:rsidR="0046705F" w:rsidRDefault="00467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388478"/>
      <w:docPartObj>
        <w:docPartGallery w:val="Page Numbers (Bottom of Page)"/>
        <w:docPartUnique/>
      </w:docPartObj>
    </w:sdtPr>
    <w:sdtEndPr>
      <w:rPr>
        <w:noProof/>
      </w:rPr>
    </w:sdtEndPr>
    <w:sdtContent>
      <w:p w14:paraId="2720B11F" w14:textId="4AC309B7" w:rsidR="0096614B" w:rsidRDefault="009661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2C1E0" w14:textId="77777777" w:rsidR="0096614B" w:rsidRDefault="00966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F490" w14:textId="77777777" w:rsidR="0046705F" w:rsidRDefault="00467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2C8A8" w14:textId="77777777" w:rsidR="00B56C37" w:rsidRDefault="00B56C37" w:rsidP="0096614B">
      <w:pPr>
        <w:spacing w:after="0" w:line="240" w:lineRule="auto"/>
      </w:pPr>
      <w:r>
        <w:separator/>
      </w:r>
    </w:p>
  </w:footnote>
  <w:footnote w:type="continuationSeparator" w:id="0">
    <w:p w14:paraId="0E09FF9F" w14:textId="77777777" w:rsidR="00B56C37" w:rsidRDefault="00B56C37" w:rsidP="0096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DB6B" w14:textId="2C9DFB08" w:rsidR="0046705F" w:rsidRDefault="0046705F">
    <w:pPr>
      <w:pStyle w:val="Header"/>
    </w:pPr>
    <w:r>
      <w:rPr>
        <w:noProof/>
      </w:rPr>
      <w:pict w14:anchorId="7A265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82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4F43" w14:textId="557DFB36" w:rsidR="0046705F" w:rsidRDefault="0046705F">
    <w:pPr>
      <w:pStyle w:val="Header"/>
    </w:pPr>
    <w:r>
      <w:rPr>
        <w:noProof/>
      </w:rPr>
      <w:pict w14:anchorId="2B78D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82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8B714" w14:textId="257AFDE6" w:rsidR="0046705F" w:rsidRDefault="0046705F">
    <w:pPr>
      <w:pStyle w:val="Header"/>
    </w:pPr>
    <w:r>
      <w:rPr>
        <w:noProof/>
      </w:rPr>
      <w:pict w14:anchorId="55C5E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82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BE8"/>
    <w:multiLevelType w:val="hybridMultilevel"/>
    <w:tmpl w:val="D15C6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3D"/>
    <w:multiLevelType w:val="hybridMultilevel"/>
    <w:tmpl w:val="F0FA5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84272"/>
    <w:multiLevelType w:val="hybridMultilevel"/>
    <w:tmpl w:val="B05E7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910EC"/>
    <w:multiLevelType w:val="hybridMultilevel"/>
    <w:tmpl w:val="E6863BF0"/>
    <w:lvl w:ilvl="0" w:tplc="F006A44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F48FB"/>
    <w:multiLevelType w:val="multilevel"/>
    <w:tmpl w:val="19C6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DA5B99"/>
    <w:multiLevelType w:val="multilevel"/>
    <w:tmpl w:val="8B5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2A"/>
    <w:rsid w:val="000056C9"/>
    <w:rsid w:val="00006C6C"/>
    <w:rsid w:val="000130FC"/>
    <w:rsid w:val="00014315"/>
    <w:rsid w:val="00015BB0"/>
    <w:rsid w:val="0002453F"/>
    <w:rsid w:val="00053D00"/>
    <w:rsid w:val="00061A55"/>
    <w:rsid w:val="00071021"/>
    <w:rsid w:val="00071539"/>
    <w:rsid w:val="00071705"/>
    <w:rsid w:val="00081C3D"/>
    <w:rsid w:val="00095745"/>
    <w:rsid w:val="000D0C5A"/>
    <w:rsid w:val="000D3A37"/>
    <w:rsid w:val="0013711F"/>
    <w:rsid w:val="00142841"/>
    <w:rsid w:val="00142C80"/>
    <w:rsid w:val="00163219"/>
    <w:rsid w:val="001633E2"/>
    <w:rsid w:val="00177E7F"/>
    <w:rsid w:val="00183E1F"/>
    <w:rsid w:val="001E16FA"/>
    <w:rsid w:val="001E4484"/>
    <w:rsid w:val="001F050C"/>
    <w:rsid w:val="001F625F"/>
    <w:rsid w:val="00204EB2"/>
    <w:rsid w:val="002077DE"/>
    <w:rsid w:val="00222182"/>
    <w:rsid w:val="00240056"/>
    <w:rsid w:val="002612C4"/>
    <w:rsid w:val="00267C9C"/>
    <w:rsid w:val="0028091E"/>
    <w:rsid w:val="002834C4"/>
    <w:rsid w:val="002B7D26"/>
    <w:rsid w:val="002D7FB4"/>
    <w:rsid w:val="002E0887"/>
    <w:rsid w:val="002E5791"/>
    <w:rsid w:val="002F5AE2"/>
    <w:rsid w:val="00302AB3"/>
    <w:rsid w:val="00313E1B"/>
    <w:rsid w:val="0031418E"/>
    <w:rsid w:val="0032704E"/>
    <w:rsid w:val="003371A6"/>
    <w:rsid w:val="00337F07"/>
    <w:rsid w:val="0035292B"/>
    <w:rsid w:val="00362C1B"/>
    <w:rsid w:val="0037244C"/>
    <w:rsid w:val="00391262"/>
    <w:rsid w:val="003957A7"/>
    <w:rsid w:val="003C2746"/>
    <w:rsid w:val="003D02D8"/>
    <w:rsid w:val="003F0742"/>
    <w:rsid w:val="003F6C67"/>
    <w:rsid w:val="004044FD"/>
    <w:rsid w:val="00405DDB"/>
    <w:rsid w:val="0046705F"/>
    <w:rsid w:val="004715CC"/>
    <w:rsid w:val="00474E18"/>
    <w:rsid w:val="004B7045"/>
    <w:rsid w:val="004C4F37"/>
    <w:rsid w:val="004D7640"/>
    <w:rsid w:val="004F2B03"/>
    <w:rsid w:val="004F7463"/>
    <w:rsid w:val="00502C32"/>
    <w:rsid w:val="00511F2C"/>
    <w:rsid w:val="005221D3"/>
    <w:rsid w:val="005268AE"/>
    <w:rsid w:val="00530118"/>
    <w:rsid w:val="005304A7"/>
    <w:rsid w:val="005420B1"/>
    <w:rsid w:val="005504FA"/>
    <w:rsid w:val="00550E00"/>
    <w:rsid w:val="00556206"/>
    <w:rsid w:val="00560971"/>
    <w:rsid w:val="005908C8"/>
    <w:rsid w:val="005A4886"/>
    <w:rsid w:val="005A4D91"/>
    <w:rsid w:val="005B15CC"/>
    <w:rsid w:val="005D4859"/>
    <w:rsid w:val="005E06B6"/>
    <w:rsid w:val="005F1E28"/>
    <w:rsid w:val="0061292B"/>
    <w:rsid w:val="00624C2B"/>
    <w:rsid w:val="00625D59"/>
    <w:rsid w:val="0062620E"/>
    <w:rsid w:val="006320EB"/>
    <w:rsid w:val="006376A9"/>
    <w:rsid w:val="00652FDA"/>
    <w:rsid w:val="006643D8"/>
    <w:rsid w:val="00681CD2"/>
    <w:rsid w:val="0068213C"/>
    <w:rsid w:val="00691C66"/>
    <w:rsid w:val="00693152"/>
    <w:rsid w:val="006A4CA4"/>
    <w:rsid w:val="006B42A2"/>
    <w:rsid w:val="006B7728"/>
    <w:rsid w:val="006F0C63"/>
    <w:rsid w:val="006F0E45"/>
    <w:rsid w:val="006F5E21"/>
    <w:rsid w:val="006F6361"/>
    <w:rsid w:val="006F6BA5"/>
    <w:rsid w:val="00726959"/>
    <w:rsid w:val="00743425"/>
    <w:rsid w:val="00744294"/>
    <w:rsid w:val="0075343B"/>
    <w:rsid w:val="00754EF8"/>
    <w:rsid w:val="007632ED"/>
    <w:rsid w:val="00772E34"/>
    <w:rsid w:val="00775BCF"/>
    <w:rsid w:val="00781CAB"/>
    <w:rsid w:val="007824DB"/>
    <w:rsid w:val="007952D5"/>
    <w:rsid w:val="00797598"/>
    <w:rsid w:val="007A4C64"/>
    <w:rsid w:val="007A70FA"/>
    <w:rsid w:val="007C1A6B"/>
    <w:rsid w:val="007C27ED"/>
    <w:rsid w:val="007D2452"/>
    <w:rsid w:val="007E4C8B"/>
    <w:rsid w:val="007F4193"/>
    <w:rsid w:val="007F663B"/>
    <w:rsid w:val="00803F7D"/>
    <w:rsid w:val="008309A3"/>
    <w:rsid w:val="008651A6"/>
    <w:rsid w:val="0087370C"/>
    <w:rsid w:val="008816DF"/>
    <w:rsid w:val="00890C00"/>
    <w:rsid w:val="008B1EF3"/>
    <w:rsid w:val="008B6A22"/>
    <w:rsid w:val="008B7F94"/>
    <w:rsid w:val="008C3136"/>
    <w:rsid w:val="008C696A"/>
    <w:rsid w:val="008E32F2"/>
    <w:rsid w:val="008E345B"/>
    <w:rsid w:val="008F398A"/>
    <w:rsid w:val="008F71FE"/>
    <w:rsid w:val="0090582F"/>
    <w:rsid w:val="0092380E"/>
    <w:rsid w:val="00925507"/>
    <w:rsid w:val="00930126"/>
    <w:rsid w:val="00944717"/>
    <w:rsid w:val="009652FA"/>
    <w:rsid w:val="0096614B"/>
    <w:rsid w:val="009844EF"/>
    <w:rsid w:val="00993763"/>
    <w:rsid w:val="009B043C"/>
    <w:rsid w:val="009B1E09"/>
    <w:rsid w:val="009B36AD"/>
    <w:rsid w:val="009C3CE3"/>
    <w:rsid w:val="009E45D2"/>
    <w:rsid w:val="009F6502"/>
    <w:rsid w:val="00A26EB0"/>
    <w:rsid w:val="00A35EC6"/>
    <w:rsid w:val="00A40B2D"/>
    <w:rsid w:val="00A46A2A"/>
    <w:rsid w:val="00A63E50"/>
    <w:rsid w:val="00A77497"/>
    <w:rsid w:val="00A948C4"/>
    <w:rsid w:val="00AA6000"/>
    <w:rsid w:val="00AB1F24"/>
    <w:rsid w:val="00AB4CCF"/>
    <w:rsid w:val="00AC01C1"/>
    <w:rsid w:val="00AE0A38"/>
    <w:rsid w:val="00B01745"/>
    <w:rsid w:val="00B07C64"/>
    <w:rsid w:val="00B145DB"/>
    <w:rsid w:val="00B247E1"/>
    <w:rsid w:val="00B445F9"/>
    <w:rsid w:val="00B46FCD"/>
    <w:rsid w:val="00B56C37"/>
    <w:rsid w:val="00B7289C"/>
    <w:rsid w:val="00BA1E39"/>
    <w:rsid w:val="00BE72AA"/>
    <w:rsid w:val="00C0612B"/>
    <w:rsid w:val="00C27423"/>
    <w:rsid w:val="00C7509D"/>
    <w:rsid w:val="00C804C1"/>
    <w:rsid w:val="00CE0168"/>
    <w:rsid w:val="00CE4949"/>
    <w:rsid w:val="00D17B3A"/>
    <w:rsid w:val="00D33FDE"/>
    <w:rsid w:val="00D4281C"/>
    <w:rsid w:val="00D4743C"/>
    <w:rsid w:val="00D557E9"/>
    <w:rsid w:val="00D81ACB"/>
    <w:rsid w:val="00D83828"/>
    <w:rsid w:val="00D83831"/>
    <w:rsid w:val="00D932D9"/>
    <w:rsid w:val="00D94F9C"/>
    <w:rsid w:val="00D9757E"/>
    <w:rsid w:val="00DA33BD"/>
    <w:rsid w:val="00DA3802"/>
    <w:rsid w:val="00DA6954"/>
    <w:rsid w:val="00DD0828"/>
    <w:rsid w:val="00DD1455"/>
    <w:rsid w:val="00DD40D1"/>
    <w:rsid w:val="00DF74D9"/>
    <w:rsid w:val="00E00A91"/>
    <w:rsid w:val="00E33AB5"/>
    <w:rsid w:val="00E61572"/>
    <w:rsid w:val="00E61B88"/>
    <w:rsid w:val="00E66E17"/>
    <w:rsid w:val="00E750C9"/>
    <w:rsid w:val="00E9539A"/>
    <w:rsid w:val="00EA46EA"/>
    <w:rsid w:val="00EC5B08"/>
    <w:rsid w:val="00ED694F"/>
    <w:rsid w:val="00ED734D"/>
    <w:rsid w:val="00EE297E"/>
    <w:rsid w:val="00EE5209"/>
    <w:rsid w:val="00F05A6E"/>
    <w:rsid w:val="00F1457E"/>
    <w:rsid w:val="00F163A2"/>
    <w:rsid w:val="00F1770E"/>
    <w:rsid w:val="00F647DB"/>
    <w:rsid w:val="00F96490"/>
    <w:rsid w:val="00FB227B"/>
    <w:rsid w:val="00FB3FA4"/>
    <w:rsid w:val="00FB765B"/>
    <w:rsid w:val="00FC3E9A"/>
    <w:rsid w:val="00FC6D06"/>
    <w:rsid w:val="00FE2556"/>
    <w:rsid w:val="00FF5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586106"/>
  <w15:chartTrackingRefBased/>
  <w15:docId w15:val="{93E73992-2FCF-4681-8DA2-E7CF8810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745"/>
  </w:style>
  <w:style w:type="paragraph" w:styleId="Heading1">
    <w:name w:val="heading 1"/>
    <w:basedOn w:val="Normal"/>
    <w:next w:val="Normal"/>
    <w:link w:val="Heading1Char"/>
    <w:uiPriority w:val="9"/>
    <w:qFormat/>
    <w:rsid w:val="00A46A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6A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6A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6A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6A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6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A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6A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6A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6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6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A2A"/>
    <w:rPr>
      <w:rFonts w:eastAsiaTheme="majorEastAsia" w:cstheme="majorBidi"/>
      <w:color w:val="272727" w:themeColor="text1" w:themeTint="D8"/>
    </w:rPr>
  </w:style>
  <w:style w:type="paragraph" w:styleId="Title">
    <w:name w:val="Title"/>
    <w:basedOn w:val="Normal"/>
    <w:next w:val="Normal"/>
    <w:link w:val="TitleChar"/>
    <w:uiPriority w:val="10"/>
    <w:qFormat/>
    <w:rsid w:val="00A46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A2A"/>
    <w:pPr>
      <w:spacing w:before="160"/>
      <w:jc w:val="center"/>
    </w:pPr>
    <w:rPr>
      <w:i/>
      <w:iCs/>
      <w:color w:val="404040" w:themeColor="text1" w:themeTint="BF"/>
    </w:rPr>
  </w:style>
  <w:style w:type="character" w:customStyle="1" w:styleId="QuoteChar">
    <w:name w:val="Quote Char"/>
    <w:basedOn w:val="DefaultParagraphFont"/>
    <w:link w:val="Quote"/>
    <w:uiPriority w:val="29"/>
    <w:rsid w:val="00A46A2A"/>
    <w:rPr>
      <w:i/>
      <w:iCs/>
      <w:color w:val="404040" w:themeColor="text1" w:themeTint="BF"/>
    </w:rPr>
  </w:style>
  <w:style w:type="paragraph" w:styleId="ListParagraph">
    <w:name w:val="List Paragraph"/>
    <w:basedOn w:val="Normal"/>
    <w:uiPriority w:val="34"/>
    <w:qFormat/>
    <w:rsid w:val="00A46A2A"/>
    <w:pPr>
      <w:ind w:left="720"/>
      <w:contextualSpacing/>
    </w:pPr>
  </w:style>
  <w:style w:type="character" w:styleId="IntenseEmphasis">
    <w:name w:val="Intense Emphasis"/>
    <w:basedOn w:val="DefaultParagraphFont"/>
    <w:uiPriority w:val="21"/>
    <w:qFormat/>
    <w:rsid w:val="00A46A2A"/>
    <w:rPr>
      <w:i/>
      <w:iCs/>
      <w:color w:val="2F5496" w:themeColor="accent1" w:themeShade="BF"/>
    </w:rPr>
  </w:style>
  <w:style w:type="paragraph" w:styleId="IntenseQuote">
    <w:name w:val="Intense Quote"/>
    <w:basedOn w:val="Normal"/>
    <w:next w:val="Normal"/>
    <w:link w:val="IntenseQuoteChar"/>
    <w:uiPriority w:val="30"/>
    <w:qFormat/>
    <w:rsid w:val="00A4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6A2A"/>
    <w:rPr>
      <w:i/>
      <w:iCs/>
      <w:color w:val="2F5496" w:themeColor="accent1" w:themeShade="BF"/>
    </w:rPr>
  </w:style>
  <w:style w:type="character" w:styleId="IntenseReference">
    <w:name w:val="Intense Reference"/>
    <w:basedOn w:val="DefaultParagraphFont"/>
    <w:uiPriority w:val="32"/>
    <w:qFormat/>
    <w:rsid w:val="00A46A2A"/>
    <w:rPr>
      <w:b/>
      <w:bCs/>
      <w:smallCaps/>
      <w:color w:val="2F5496" w:themeColor="accent1" w:themeShade="BF"/>
      <w:spacing w:val="5"/>
    </w:rPr>
  </w:style>
  <w:style w:type="table" w:styleId="GridTable4-Accent3">
    <w:name w:val="Grid Table 4 Accent 3"/>
    <w:basedOn w:val="TableNormal"/>
    <w:uiPriority w:val="49"/>
    <w:rsid w:val="00D33FD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66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14B"/>
  </w:style>
  <w:style w:type="paragraph" w:styleId="Footer">
    <w:name w:val="footer"/>
    <w:basedOn w:val="Normal"/>
    <w:link w:val="FooterChar"/>
    <w:uiPriority w:val="99"/>
    <w:unhideWhenUsed/>
    <w:rsid w:val="00966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4B"/>
  </w:style>
  <w:style w:type="paragraph" w:styleId="Caption">
    <w:name w:val="caption"/>
    <w:basedOn w:val="Normal"/>
    <w:next w:val="Normal"/>
    <w:uiPriority w:val="35"/>
    <w:unhideWhenUsed/>
    <w:qFormat/>
    <w:rsid w:val="00E66E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222182"/>
    <w:rPr>
      <w:color w:val="0563C1" w:themeColor="hyperlink"/>
      <w:u w:val="single"/>
    </w:rPr>
  </w:style>
  <w:style w:type="character" w:styleId="UnresolvedMention">
    <w:name w:val="Unresolved Mention"/>
    <w:basedOn w:val="DefaultParagraphFont"/>
    <w:uiPriority w:val="99"/>
    <w:semiHidden/>
    <w:unhideWhenUsed/>
    <w:rsid w:val="0022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955875">
      <w:bodyDiv w:val="1"/>
      <w:marLeft w:val="0"/>
      <w:marRight w:val="0"/>
      <w:marTop w:val="0"/>
      <w:marBottom w:val="0"/>
      <w:divBdr>
        <w:top w:val="none" w:sz="0" w:space="0" w:color="auto"/>
        <w:left w:val="none" w:sz="0" w:space="0" w:color="auto"/>
        <w:bottom w:val="none" w:sz="0" w:space="0" w:color="auto"/>
        <w:right w:val="none" w:sz="0" w:space="0" w:color="auto"/>
      </w:divBdr>
    </w:div>
    <w:div w:id="1093818006">
      <w:bodyDiv w:val="1"/>
      <w:marLeft w:val="0"/>
      <w:marRight w:val="0"/>
      <w:marTop w:val="0"/>
      <w:marBottom w:val="0"/>
      <w:divBdr>
        <w:top w:val="none" w:sz="0" w:space="0" w:color="auto"/>
        <w:left w:val="none" w:sz="0" w:space="0" w:color="auto"/>
        <w:bottom w:val="none" w:sz="0" w:space="0" w:color="auto"/>
        <w:right w:val="none" w:sz="0" w:space="0" w:color="auto"/>
      </w:divBdr>
    </w:div>
    <w:div w:id="205071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981-13-7864-5_16?utm_source=chatgp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chapter/10.1007/978-981-13-7864-5_16?utm_source=chatgpt.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10/clinem/dgz14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nk.springer.com/book/10.1007/978-981-13-786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nk.springer.com/chapter/10.1007/978-981-13-7864-5_16?utm_source=chatgp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20</Pages>
  <Words>8955</Words>
  <Characters>51045</Characters>
  <Application>Microsoft Office Word</Application>
  <DocSecurity>0</DocSecurity>
  <Lines>425</Lines>
  <Paragraphs>119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Aboud</dc:creator>
  <cp:keywords/>
  <dc:description/>
  <cp:lastModifiedBy>SDI 1084</cp:lastModifiedBy>
  <cp:revision>164</cp:revision>
  <dcterms:created xsi:type="dcterms:W3CDTF">2025-02-13T11:43:00Z</dcterms:created>
  <dcterms:modified xsi:type="dcterms:W3CDTF">2025-02-25T06:23:00Z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789fce1c-e5d2-4c5a-b542-774706735c7a</vt:lpwstr>
  </property>
</Properties>
</file>