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D7C0A" w14:textId="466764CB" w:rsidR="009B4989" w:rsidRDefault="009B4989" w:rsidP="00441B6F">
      <w:pPr>
        <w:pStyle w:val="Author"/>
        <w:spacing w:line="240" w:lineRule="auto"/>
        <w:rPr>
          <w:rFonts w:ascii="Arial" w:hAnsi="Arial" w:cs="Arial"/>
          <w:bCs/>
          <w:iCs/>
          <w:kern w:val="28"/>
          <w:sz w:val="36"/>
        </w:rPr>
      </w:pPr>
      <w:r w:rsidRPr="009B4989">
        <w:rPr>
          <w:rFonts w:ascii="Arial" w:hAnsi="Arial" w:cs="Arial"/>
          <w:bCs/>
          <w:iCs/>
          <w:kern w:val="28"/>
          <w:sz w:val="36"/>
        </w:rPr>
        <w:t>Case report</w:t>
      </w:r>
    </w:p>
    <w:p w14:paraId="52B67617" w14:textId="77777777" w:rsidR="009B4989" w:rsidRDefault="009B4989" w:rsidP="00441B6F">
      <w:pPr>
        <w:pStyle w:val="Author"/>
        <w:spacing w:line="240" w:lineRule="auto"/>
        <w:rPr>
          <w:rFonts w:ascii="Arial" w:hAnsi="Arial" w:cs="Arial"/>
          <w:bCs/>
          <w:iCs/>
          <w:kern w:val="28"/>
          <w:sz w:val="36"/>
        </w:rPr>
      </w:pPr>
    </w:p>
    <w:p w14:paraId="6616137B" w14:textId="0A9E3E6C" w:rsidR="003E7750" w:rsidRDefault="003E7750" w:rsidP="00441B6F">
      <w:pPr>
        <w:pStyle w:val="Author"/>
        <w:spacing w:line="240" w:lineRule="auto"/>
        <w:rPr>
          <w:rFonts w:ascii="Arial" w:hAnsi="Arial" w:cs="Arial"/>
          <w:bCs/>
          <w:iCs/>
          <w:kern w:val="28"/>
          <w:sz w:val="36"/>
        </w:rPr>
      </w:pPr>
      <w:r w:rsidRPr="003E7750">
        <w:rPr>
          <w:rFonts w:ascii="Arial" w:hAnsi="Arial" w:cs="Arial"/>
          <w:bCs/>
          <w:iCs/>
          <w:kern w:val="28"/>
          <w:sz w:val="36"/>
        </w:rPr>
        <w:t>Navigating a Complex Clinical Conundrum: The Coexistence of Crohn’s Disease, Celiac Disease, and Ankylosing Spondylitis</w:t>
      </w:r>
    </w:p>
    <w:p w14:paraId="77F64E17" w14:textId="77777777" w:rsidR="003E7750" w:rsidRDefault="003E7750" w:rsidP="003E7750">
      <w:pPr>
        <w:rPr>
          <w:rFonts w:ascii="Arial" w:hAnsi="Arial" w:cs="Arial"/>
          <w:b/>
          <w:sz w:val="24"/>
        </w:rPr>
      </w:pPr>
    </w:p>
    <w:p w14:paraId="186C7A17" w14:textId="77777777" w:rsidR="00790ADA" w:rsidRDefault="00790ADA" w:rsidP="00441B6F">
      <w:pPr>
        <w:pStyle w:val="Affiliation"/>
        <w:spacing w:after="0" w:line="240" w:lineRule="auto"/>
        <w:jc w:val="both"/>
        <w:rPr>
          <w:rFonts w:ascii="Arial" w:hAnsi="Arial" w:cs="Arial"/>
        </w:rPr>
      </w:pPr>
    </w:p>
    <w:p w14:paraId="14948BEA" w14:textId="77777777" w:rsidR="002C57D2" w:rsidRPr="00FB3A86" w:rsidRDefault="002C57D2" w:rsidP="00441B6F">
      <w:pPr>
        <w:pStyle w:val="Affiliation"/>
        <w:spacing w:after="0" w:line="240" w:lineRule="auto"/>
        <w:jc w:val="both"/>
        <w:rPr>
          <w:rFonts w:ascii="Arial" w:hAnsi="Arial" w:cs="Arial"/>
        </w:rPr>
      </w:pPr>
    </w:p>
    <w:p w14:paraId="21C85565" w14:textId="35B789E4" w:rsidR="00B01FCD" w:rsidRPr="00FB3A86" w:rsidRDefault="007E60DE" w:rsidP="00441B6F">
      <w:pPr>
        <w:pStyle w:val="Copyright"/>
        <w:spacing w:after="0" w:line="240" w:lineRule="auto"/>
        <w:jc w:val="both"/>
        <w:rPr>
          <w:rFonts w:ascii="Arial" w:hAnsi="Arial" w:cs="Arial"/>
        </w:rPr>
        <w:sectPr w:rsidR="00B01FCD" w:rsidRPr="00FB3A86" w:rsidSect="008B363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17B6DDB">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proofErr w:type="gramStart"/>
      <w:r w:rsidR="00FB3A86">
        <w:rPr>
          <w:rFonts w:ascii="Arial" w:hAnsi="Arial" w:cs="Arial"/>
        </w:rPr>
        <w:t>.</w:t>
      </w:r>
      <w:r w:rsidR="00D40F10">
        <w:rPr>
          <w:rFonts w:ascii="Arial" w:hAnsi="Arial" w:cs="Arial"/>
        </w:rPr>
        <w:t>ABSTRACT</w:t>
      </w:r>
      <w:proofErr w:type="gramEnd"/>
    </w:p>
    <w:p w14:paraId="1D80BED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5A35C32" w14:textId="77777777" w:rsidTr="00E05F64">
        <w:trPr>
          <w:trHeight w:val="3058"/>
        </w:trPr>
        <w:tc>
          <w:tcPr>
            <w:tcW w:w="9576" w:type="dxa"/>
            <w:shd w:val="clear" w:color="auto" w:fill="F2F2F2"/>
          </w:tcPr>
          <w:p w14:paraId="6F24F119" w14:textId="77777777" w:rsidR="00E05F64" w:rsidRPr="00E05F64" w:rsidRDefault="00E05F64" w:rsidP="00E05F64">
            <w:pPr>
              <w:spacing w:before="100" w:beforeAutospacing="1" w:after="100" w:afterAutospacing="1"/>
              <w:rPr>
                <w:rFonts w:ascii="Arial" w:hAnsi="Arial" w:cs="Arial"/>
                <w:sz w:val="22"/>
                <w:szCs w:val="22"/>
                <w:lang w:eastAsia="fr-FR"/>
              </w:rPr>
            </w:pPr>
            <w:r w:rsidRPr="00E05F64">
              <w:rPr>
                <w:rFonts w:ascii="Arial" w:hAnsi="Arial" w:cs="Arial"/>
                <w:sz w:val="22"/>
                <w:szCs w:val="22"/>
                <w:lang w:eastAsia="fr-FR"/>
              </w:rPr>
              <w:t>The coexistence of Crohn’s disease (</w:t>
            </w:r>
            <w:proofErr w:type="spellStart"/>
            <w:r w:rsidRPr="00E05F64">
              <w:rPr>
                <w:rFonts w:ascii="Arial" w:hAnsi="Arial" w:cs="Arial"/>
                <w:sz w:val="22"/>
                <w:szCs w:val="22"/>
                <w:lang w:eastAsia="fr-FR"/>
              </w:rPr>
              <w:t>CrD</w:t>
            </w:r>
            <w:proofErr w:type="spellEnd"/>
            <w:r w:rsidRPr="00E05F64">
              <w:rPr>
                <w:rFonts w:ascii="Arial" w:hAnsi="Arial" w:cs="Arial"/>
                <w:sz w:val="22"/>
                <w:szCs w:val="22"/>
                <w:lang w:eastAsia="fr-FR"/>
              </w:rPr>
              <w:t xml:space="preserve">), celiac disease (CD), and ankylosing spondylitis (AS) is exceptionally rare and poses significant diagnostic and therapeutic challenges. We report the case of a 27-year-old woman with alpha-thalassemia and a nonspecific genetic disorder, who presented with chronic diarrhea, severe weight loss, and Koenig syndrome. Laboratory results confirmed malabsorption syndrome, anemia, hypoalbuminemia, and elevated inflammatory markers, with colonoscopy and biopsies diagnosing </w:t>
            </w:r>
            <w:proofErr w:type="spellStart"/>
            <w:r w:rsidRPr="00E05F64">
              <w:rPr>
                <w:rFonts w:ascii="Arial" w:hAnsi="Arial" w:cs="Arial"/>
                <w:sz w:val="22"/>
                <w:szCs w:val="22"/>
                <w:lang w:eastAsia="fr-FR"/>
              </w:rPr>
              <w:t>CrD</w:t>
            </w:r>
            <w:proofErr w:type="spellEnd"/>
            <w:r w:rsidRPr="00E05F64">
              <w:rPr>
                <w:rFonts w:ascii="Arial" w:hAnsi="Arial" w:cs="Arial"/>
                <w:sz w:val="22"/>
                <w:szCs w:val="22"/>
                <w:lang w:eastAsia="fr-FR"/>
              </w:rPr>
              <w:t xml:space="preserve"> and CD. Six months later, she developed peripheral arthritis, leading to a diagnosis of AS. Treatment with corticosteroids, azathioprine, a gluten-free diet, and infliximab led to clinical remission. This case underscores the importance of thorough diagnostic evaluation and highlights the effectiveness of infliximab in managing overlapping autoimmune conditions.</w:t>
            </w:r>
          </w:p>
          <w:p w14:paraId="77424D7B" w14:textId="77777777" w:rsidR="00505F06" w:rsidRPr="00BA1B01" w:rsidRDefault="00505F06" w:rsidP="00441B6F">
            <w:pPr>
              <w:pStyle w:val="Body"/>
              <w:spacing w:after="0"/>
              <w:rPr>
                <w:rFonts w:ascii="Arial" w:eastAsia="Calibri" w:hAnsi="Arial" w:cs="Arial"/>
                <w:szCs w:val="22"/>
              </w:rPr>
            </w:pPr>
          </w:p>
        </w:tc>
      </w:tr>
    </w:tbl>
    <w:p w14:paraId="2714D563" w14:textId="77777777" w:rsidR="00636EB2" w:rsidRDefault="00636EB2" w:rsidP="00441B6F">
      <w:pPr>
        <w:pStyle w:val="Body"/>
        <w:spacing w:after="0"/>
        <w:rPr>
          <w:rFonts w:ascii="Arial" w:hAnsi="Arial" w:cs="Arial"/>
          <w:i/>
        </w:rPr>
      </w:pPr>
    </w:p>
    <w:p w14:paraId="654B0E08" w14:textId="77777777" w:rsidR="0024282C" w:rsidRPr="00E05F64" w:rsidRDefault="00E05F64" w:rsidP="00E05F64">
      <w:pPr>
        <w:spacing w:line="480" w:lineRule="auto"/>
        <w:rPr>
          <w:rFonts w:ascii="Arial" w:hAnsi="Arial" w:cs="Arial"/>
          <w:i/>
          <w:iCs/>
        </w:rPr>
      </w:pPr>
      <w:r>
        <w:rPr>
          <w:rFonts w:ascii="Arial" w:hAnsi="Arial" w:cs="Arial"/>
          <w:i/>
          <w:iCs/>
        </w:rPr>
        <w:t xml:space="preserve">Keywords: </w:t>
      </w:r>
      <w:r w:rsidRPr="00E05F64">
        <w:rPr>
          <w:rFonts w:ascii="Arial" w:hAnsi="Arial" w:cs="Arial"/>
          <w:i/>
          <w:iCs/>
        </w:rPr>
        <w:t>Crohn-Celiac-Ankylosing Spondylitis</w:t>
      </w:r>
    </w:p>
    <w:p w14:paraId="0B66254C" w14:textId="77777777" w:rsidR="00505F06" w:rsidRPr="00A24E7E" w:rsidRDefault="00505F06" w:rsidP="00441B6F">
      <w:pPr>
        <w:pStyle w:val="Body"/>
        <w:spacing w:after="0"/>
        <w:rPr>
          <w:rFonts w:ascii="Arial" w:hAnsi="Arial" w:cs="Arial"/>
          <w:i/>
        </w:rPr>
      </w:pPr>
    </w:p>
    <w:p w14:paraId="68B186A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D87E81E" w14:textId="77777777" w:rsidR="00790ADA" w:rsidRPr="00FB3A86" w:rsidRDefault="00790ADA" w:rsidP="00441B6F">
      <w:pPr>
        <w:pStyle w:val="AbstHead"/>
        <w:spacing w:after="0"/>
        <w:jc w:val="both"/>
        <w:rPr>
          <w:rFonts w:ascii="Arial" w:hAnsi="Arial" w:cs="Arial"/>
        </w:rPr>
      </w:pPr>
    </w:p>
    <w:p w14:paraId="61E0C839" w14:textId="77777777" w:rsidR="00E05F64" w:rsidRPr="00E05F64" w:rsidRDefault="00E05F64" w:rsidP="00E05F64">
      <w:pPr>
        <w:rPr>
          <w:rFonts w:ascii="Arial" w:hAnsi="Arial" w:cs="Arial"/>
          <w:sz w:val="22"/>
          <w:szCs w:val="22"/>
          <w:lang w:eastAsia="fr-FR"/>
        </w:rPr>
      </w:pPr>
      <w:r w:rsidRPr="00E05F64">
        <w:rPr>
          <w:rFonts w:ascii="Arial" w:hAnsi="Arial" w:cs="Arial"/>
          <w:sz w:val="22"/>
          <w:szCs w:val="22"/>
          <w:lang w:eastAsia="fr-FR"/>
        </w:rPr>
        <w:t>Celiac disease (CD) is a chronic systemic autoimmune disorder that affects genetically predisposed individuals and is triggered by the ingestion of gluten. It is characterized by histologically confirmed villous atrophy, lymphocytic infiltration, and clinical improvement following a gluten-free diet (GFD) [1]. On the other hand, Crohn’s disease (</w:t>
      </w:r>
      <w:proofErr w:type="spellStart"/>
      <w:r w:rsidRPr="00E05F64">
        <w:rPr>
          <w:rFonts w:ascii="Arial" w:hAnsi="Arial" w:cs="Arial"/>
          <w:sz w:val="22"/>
          <w:szCs w:val="22"/>
          <w:lang w:eastAsia="fr-FR"/>
        </w:rPr>
        <w:t>CrD</w:t>
      </w:r>
      <w:proofErr w:type="spellEnd"/>
      <w:r w:rsidRPr="00E05F64">
        <w:rPr>
          <w:rFonts w:ascii="Arial" w:hAnsi="Arial" w:cs="Arial"/>
          <w:sz w:val="22"/>
          <w:szCs w:val="22"/>
          <w:lang w:eastAsia="fr-FR"/>
        </w:rPr>
        <w:t>) is a chronic inflammatory disorder of the gastrointestinal tract, which can involve any part of the digestive system, but most frequently affects the terminal ileum and proximal colon. The coexistence of these two diseases is rare, and reports in the literature are limited.</w:t>
      </w:r>
    </w:p>
    <w:p w14:paraId="076E2055" w14:textId="77777777" w:rsidR="00790ADA" w:rsidRPr="00FB3A86" w:rsidRDefault="00790ADA" w:rsidP="00441B6F">
      <w:pPr>
        <w:pStyle w:val="Body"/>
        <w:spacing w:after="0"/>
        <w:rPr>
          <w:rFonts w:ascii="Arial" w:hAnsi="Arial" w:cs="Arial"/>
        </w:rPr>
      </w:pPr>
    </w:p>
    <w:p w14:paraId="26DB0664" w14:textId="77777777" w:rsidR="007F7B32" w:rsidRDefault="00902823" w:rsidP="00441B6F">
      <w:pPr>
        <w:pStyle w:val="AbstHead"/>
        <w:spacing w:after="0"/>
        <w:jc w:val="both"/>
        <w:rPr>
          <w:rFonts w:ascii="Arial" w:hAnsi="Arial" w:cs="Arial"/>
        </w:rPr>
      </w:pPr>
      <w:r>
        <w:rPr>
          <w:rFonts w:ascii="Arial" w:hAnsi="Arial" w:cs="Arial"/>
        </w:rPr>
        <w:t xml:space="preserve">2. </w:t>
      </w:r>
      <w:r w:rsidR="00E05F64">
        <w:rPr>
          <w:rFonts w:ascii="Arial" w:hAnsi="Arial" w:cs="Arial"/>
        </w:rPr>
        <w:t xml:space="preserve">Case presentation </w:t>
      </w:r>
    </w:p>
    <w:p w14:paraId="3B90F5EE" w14:textId="77777777" w:rsidR="00E05F64" w:rsidRPr="00A978D0" w:rsidRDefault="00E05F64" w:rsidP="00E05F64">
      <w:pPr>
        <w:spacing w:before="100" w:beforeAutospacing="1" w:after="100" w:afterAutospacing="1"/>
        <w:rPr>
          <w:rFonts w:ascii="Arial" w:hAnsi="Arial" w:cs="Arial"/>
          <w:sz w:val="22"/>
          <w:szCs w:val="22"/>
          <w:lang w:eastAsia="fr-FR"/>
        </w:rPr>
      </w:pPr>
      <w:r w:rsidRPr="00A978D0">
        <w:rPr>
          <w:rFonts w:ascii="Arial" w:hAnsi="Arial" w:cs="Arial"/>
          <w:sz w:val="22"/>
          <w:szCs w:val="22"/>
          <w:lang w:eastAsia="fr-FR"/>
        </w:rPr>
        <w:t xml:space="preserve">We present the case of a 27-year-old woman with a history of alpha-thalassemia and a nonspecific genetic disorder. She was referred for evaluation due to a six-month history of chronic diarrhea (approximately six stools per day), significant weight loss (20 kg), and abdominal pain consistent with Koenig syndrome. On initial physical examination, the patient appeared pale and emaciated, with a weight of 34 </w:t>
      </w:r>
      <w:r w:rsidRPr="00A978D0">
        <w:rPr>
          <w:rFonts w:ascii="Arial" w:hAnsi="Arial" w:cs="Arial"/>
          <w:sz w:val="22"/>
          <w:szCs w:val="22"/>
          <w:lang w:eastAsia="fr-FR"/>
        </w:rPr>
        <w:lastRenderedPageBreak/>
        <w:t>kg and a height of 1.56 meters (BMI: 14 kg/m²). No peripheral lymphadenopathy or abdominal masses were noted.</w:t>
      </w:r>
    </w:p>
    <w:p w14:paraId="43378FDD" w14:textId="77777777" w:rsidR="00E05F64" w:rsidRPr="00A978D0" w:rsidRDefault="00E05F64" w:rsidP="00E05F64">
      <w:pPr>
        <w:pStyle w:val="NormalWeb"/>
        <w:rPr>
          <w:rFonts w:ascii="Arial" w:hAnsi="Arial" w:cs="Arial"/>
          <w:sz w:val="22"/>
          <w:szCs w:val="22"/>
          <w:lang w:val="en-US"/>
        </w:rPr>
      </w:pPr>
      <w:r w:rsidRPr="00E05F64">
        <w:rPr>
          <w:rFonts w:ascii="Arial" w:hAnsi="Arial" w:cs="Arial"/>
          <w:b/>
          <w:bCs/>
          <w:sz w:val="20"/>
          <w:szCs w:val="20"/>
          <w:lang w:val="en-US"/>
        </w:rPr>
        <w:t>Medical and Surgical History</w:t>
      </w:r>
      <w:r w:rsidR="001462D5">
        <w:rPr>
          <w:rFonts w:ascii="Arial" w:hAnsi="Arial" w:cs="Arial"/>
          <w:b/>
          <w:bCs/>
          <w:sz w:val="20"/>
          <w:szCs w:val="20"/>
          <w:lang w:val="en-US"/>
        </w:rPr>
        <w:br/>
      </w:r>
      <w:r w:rsidRPr="00A978D0">
        <w:rPr>
          <w:rFonts w:ascii="Arial" w:hAnsi="Arial" w:cs="Arial"/>
          <w:sz w:val="22"/>
          <w:szCs w:val="22"/>
          <w:lang w:val="en-US"/>
        </w:rPr>
        <w:t>The patient had no prior history of gastrointestinal surgery or other chronic illnesses except for alpha-thalassemia. Her family history was unremarkable for autoimmune diseases or gastrointestinal disorders. She denied previous hospitalizations or significant medical interventions, apart from routine management of alpha-thalassemia.</w:t>
      </w:r>
    </w:p>
    <w:p w14:paraId="4596FA69" w14:textId="77777777" w:rsidR="00E05F64" w:rsidRPr="00A978D0" w:rsidRDefault="00E05F64" w:rsidP="00E05F64">
      <w:pPr>
        <w:pStyle w:val="NormalWeb"/>
        <w:rPr>
          <w:rFonts w:ascii="Arial" w:hAnsi="Arial" w:cs="Arial"/>
          <w:sz w:val="22"/>
          <w:szCs w:val="22"/>
          <w:lang w:val="en-US"/>
        </w:rPr>
      </w:pPr>
      <w:r w:rsidRPr="00E05F64">
        <w:rPr>
          <w:rFonts w:ascii="Arial" w:hAnsi="Arial" w:cs="Arial"/>
          <w:b/>
          <w:bCs/>
          <w:sz w:val="20"/>
          <w:szCs w:val="20"/>
          <w:lang w:val="en-US"/>
        </w:rPr>
        <w:t>Family History</w:t>
      </w:r>
      <w:r w:rsidR="001462D5">
        <w:rPr>
          <w:rFonts w:ascii="Arial" w:hAnsi="Arial" w:cs="Arial"/>
          <w:b/>
          <w:bCs/>
          <w:sz w:val="20"/>
          <w:szCs w:val="20"/>
          <w:lang w:val="en-US"/>
        </w:rPr>
        <w:br/>
      </w:r>
      <w:r w:rsidRPr="00A978D0">
        <w:rPr>
          <w:rFonts w:ascii="Arial" w:hAnsi="Arial" w:cs="Arial"/>
          <w:sz w:val="22"/>
          <w:szCs w:val="22"/>
          <w:lang w:val="en-US"/>
        </w:rPr>
        <w:t>The patient's family history revealed no known autoimmune conditions, celiac disease, or inflammatory bowel disease among first-degree relatives. Genetic testing for her nonspecific genetic disorder provided inconclusive results.</w:t>
      </w:r>
    </w:p>
    <w:p w14:paraId="4C1161EA" w14:textId="77777777" w:rsidR="00E05F64" w:rsidRPr="00A978D0" w:rsidRDefault="00E05F64" w:rsidP="00E05F64">
      <w:pPr>
        <w:pStyle w:val="NormalWeb"/>
        <w:rPr>
          <w:rFonts w:ascii="Arial" w:hAnsi="Arial" w:cs="Arial"/>
          <w:sz w:val="22"/>
          <w:szCs w:val="22"/>
          <w:lang w:val="en-US"/>
        </w:rPr>
      </w:pPr>
      <w:r w:rsidRPr="00E05F64">
        <w:rPr>
          <w:rStyle w:val="Strong"/>
          <w:rFonts w:ascii="Arial" w:eastAsiaTheme="majorEastAsia" w:hAnsi="Arial" w:cs="Arial"/>
          <w:sz w:val="20"/>
          <w:szCs w:val="20"/>
          <w:lang w:val="en-US"/>
        </w:rPr>
        <w:t>Initial Presentation of Illness</w:t>
      </w:r>
      <w:r w:rsidR="001462D5">
        <w:rPr>
          <w:rStyle w:val="Strong"/>
          <w:rFonts w:ascii="Arial" w:eastAsiaTheme="majorEastAsia" w:hAnsi="Arial" w:cs="Arial"/>
          <w:sz w:val="20"/>
          <w:szCs w:val="20"/>
          <w:lang w:val="en-US"/>
        </w:rPr>
        <w:br/>
      </w:r>
      <w:r w:rsidRPr="00A978D0">
        <w:rPr>
          <w:rFonts w:ascii="Arial" w:hAnsi="Arial" w:cs="Arial"/>
          <w:sz w:val="22"/>
          <w:szCs w:val="22"/>
          <w:lang w:val="en-US"/>
        </w:rPr>
        <w:t>The patient reported chronic diarrhea for six months, characterized by loose, watery stools occurring six to seven times daily. This was accompanied by abdominal cramping, fatigue, and a marked reduction in body weight from 54 kg to 34 kg. She also reported intolerance to fatty foods and occasional bloating. No fever or vomiting was noted during this period.</w:t>
      </w:r>
    </w:p>
    <w:p w14:paraId="51E62AB1" w14:textId="77777777" w:rsidR="00E05F64" w:rsidRPr="00FA348A" w:rsidRDefault="00E05F64" w:rsidP="00E05F64">
      <w:pPr>
        <w:spacing w:before="100" w:beforeAutospacing="1" w:after="100" w:afterAutospacing="1"/>
        <w:rPr>
          <w:rFonts w:ascii="Arial" w:hAnsi="Arial" w:cs="Arial"/>
          <w:lang w:eastAsia="fr-FR"/>
        </w:rPr>
      </w:pPr>
      <w:r w:rsidRPr="00E05F64">
        <w:rPr>
          <w:rFonts w:ascii="Arial" w:hAnsi="Arial" w:cs="Arial"/>
          <w:b/>
          <w:bCs/>
          <w:lang w:eastAsia="fr-FR"/>
        </w:rPr>
        <w:t>Laboratory Investigations</w:t>
      </w:r>
      <w:r w:rsidR="00FA348A">
        <w:rPr>
          <w:rFonts w:ascii="Arial" w:hAnsi="Arial" w:cs="Arial"/>
          <w:lang w:eastAsia="fr-FR"/>
        </w:rPr>
        <w:br/>
      </w:r>
      <w:r w:rsidRPr="00A978D0">
        <w:rPr>
          <w:rFonts w:ascii="Arial" w:hAnsi="Arial" w:cs="Arial"/>
          <w:sz w:val="22"/>
          <w:szCs w:val="22"/>
        </w:rPr>
        <w:t xml:space="preserve">Blood tests revealed microcytic hypochromic anemia (hemoglobin: 7.9 g/dL, normal: 12-15.5 g/dL; MCV: 76 </w:t>
      </w:r>
      <w:proofErr w:type="spellStart"/>
      <w:r w:rsidRPr="00A978D0">
        <w:rPr>
          <w:rFonts w:ascii="Arial" w:hAnsi="Arial" w:cs="Arial"/>
          <w:sz w:val="22"/>
          <w:szCs w:val="22"/>
        </w:rPr>
        <w:t>fL</w:t>
      </w:r>
      <w:proofErr w:type="spellEnd"/>
      <w:r w:rsidRPr="00A978D0">
        <w:rPr>
          <w:rFonts w:ascii="Arial" w:hAnsi="Arial" w:cs="Arial"/>
          <w:sz w:val="22"/>
          <w:szCs w:val="22"/>
        </w:rPr>
        <w:t xml:space="preserve">, normal: 80-100 </w:t>
      </w:r>
      <w:proofErr w:type="spellStart"/>
      <w:r w:rsidRPr="00A978D0">
        <w:rPr>
          <w:rFonts w:ascii="Arial" w:hAnsi="Arial" w:cs="Arial"/>
          <w:sz w:val="22"/>
          <w:szCs w:val="22"/>
        </w:rPr>
        <w:t>fL</w:t>
      </w:r>
      <w:proofErr w:type="spellEnd"/>
      <w:r w:rsidRPr="00A978D0">
        <w:rPr>
          <w:rFonts w:ascii="Arial" w:hAnsi="Arial" w:cs="Arial"/>
          <w:sz w:val="22"/>
          <w:szCs w:val="22"/>
        </w:rPr>
        <w:t>; MCHC: 29%, normal: 33-36%), hypoalbuminemia (28 g/L, normal: 35-50 g/L), hypocholesterolemia (0.8 g/L, normal: 1.6-2.5 g/L), and an elevated C-reactive protein (CRP) level of 66 mg/L (normal: &lt;5 mg/L). Thrombocytosis (460,000/mm³, normal: 150,000-400,000/mm³) and ferritin elevation (250 ng/mL, normal: 30-200 ng/mL) were also observed. Liver function tests, renal function tests, and electrolyte levels were within normal ranges. Stool cultures and parasitology were negative for pathogenic organisms.</w:t>
      </w:r>
    </w:p>
    <w:p w14:paraId="0600BC98" w14:textId="77777777" w:rsidR="00FA348A" w:rsidRDefault="00E05F64" w:rsidP="00E05F64">
      <w:pPr>
        <w:spacing w:before="100" w:beforeAutospacing="1" w:after="100" w:afterAutospacing="1"/>
        <w:rPr>
          <w:rFonts w:ascii="Arial" w:hAnsi="Arial" w:cs="Arial"/>
          <w:sz w:val="22"/>
          <w:szCs w:val="22"/>
          <w:lang w:eastAsia="fr-FR"/>
        </w:rPr>
      </w:pPr>
      <w:r w:rsidRPr="00E05F64">
        <w:rPr>
          <w:rFonts w:ascii="Arial" w:hAnsi="Arial" w:cs="Arial"/>
          <w:b/>
          <w:bCs/>
          <w:lang w:eastAsia="fr-FR"/>
        </w:rPr>
        <w:t>Imaging and Endoscopy Findings</w:t>
      </w:r>
      <w:r w:rsidR="001462D5">
        <w:rPr>
          <w:rFonts w:ascii="Arial" w:hAnsi="Arial" w:cs="Arial"/>
          <w:b/>
          <w:bCs/>
          <w:lang w:eastAsia="fr-FR"/>
        </w:rPr>
        <w:br/>
      </w:r>
      <w:r w:rsidRPr="00A978D0">
        <w:rPr>
          <w:rFonts w:ascii="Arial" w:hAnsi="Arial" w:cs="Arial"/>
          <w:sz w:val="22"/>
          <w:szCs w:val="22"/>
          <w:lang w:eastAsia="fr-FR"/>
        </w:rPr>
        <w:t xml:space="preserve">Colonoscopy revealed inflammatory changes in the right and left colon with ulceration in the cecum. The terminal ileum, transverse colon, and rectum appeared normal. Histopathological examination of biopsies showed non-specific colitis. Testing for Mycobacterium tuberculosis was negative. </w:t>
      </w:r>
      <w:r w:rsidR="00FA348A">
        <w:rPr>
          <w:rFonts w:ascii="Arial" w:hAnsi="Arial" w:cs="Arial"/>
          <w:sz w:val="22"/>
          <w:szCs w:val="22"/>
          <w:lang w:eastAsia="fr-FR"/>
        </w:rPr>
        <w:br/>
      </w:r>
    </w:p>
    <w:p w14:paraId="654FC319" w14:textId="77777777" w:rsidR="00E05F64" w:rsidRPr="00A978D0" w:rsidRDefault="00E05F64" w:rsidP="00E05F64">
      <w:pPr>
        <w:spacing w:before="100" w:beforeAutospacing="1" w:after="100" w:afterAutospacing="1"/>
        <w:rPr>
          <w:rFonts w:ascii="Arial" w:hAnsi="Arial" w:cs="Arial"/>
          <w:sz w:val="22"/>
          <w:szCs w:val="22"/>
          <w:lang w:eastAsia="fr-FR"/>
        </w:rPr>
      </w:pPr>
      <w:r w:rsidRPr="00A978D0">
        <w:rPr>
          <w:rFonts w:ascii="Arial" w:hAnsi="Arial" w:cs="Arial"/>
          <w:sz w:val="22"/>
          <w:szCs w:val="22"/>
          <w:lang w:eastAsia="fr-FR"/>
        </w:rPr>
        <w:lastRenderedPageBreak/>
        <w:t>Magnetic resonance imaging (MRI) showed terminal ileal thickening consistent with Crohn’s disease (Figure 1).</w:t>
      </w:r>
      <w:r>
        <w:rPr>
          <w:rFonts w:ascii="Arial" w:hAnsi="Arial" w:cs="Arial"/>
          <w:noProof/>
          <w:sz w:val="22"/>
          <w:szCs w:val="22"/>
          <w:lang w:eastAsia="fr-FR"/>
        </w:rPr>
        <w:drawing>
          <wp:inline distT="0" distB="0" distL="0" distR="0" wp14:anchorId="273258C8" wp14:editId="5184ABA0">
            <wp:extent cx="4641448" cy="263117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3657" cy="2638093"/>
                    </a:xfrm>
                    <a:prstGeom prst="rect">
                      <a:avLst/>
                    </a:prstGeom>
                  </pic:spPr>
                </pic:pic>
              </a:graphicData>
            </a:graphic>
          </wp:inline>
        </w:drawing>
      </w:r>
    </w:p>
    <w:p w14:paraId="3FFC728B" w14:textId="77777777" w:rsidR="00E05F64" w:rsidRPr="00FA348A" w:rsidRDefault="00E05F64" w:rsidP="00E05F64">
      <w:pPr>
        <w:rPr>
          <w:rFonts w:ascii="Arial" w:hAnsi="Arial" w:cs="Arial"/>
          <w:i/>
          <w:iCs/>
          <w:sz w:val="21"/>
          <w:szCs w:val="21"/>
        </w:rPr>
      </w:pPr>
      <w:r w:rsidRPr="00FA348A">
        <w:rPr>
          <w:rFonts w:ascii="Arial" w:hAnsi="Arial" w:cs="Arial"/>
          <w:i/>
          <w:iCs/>
          <w:sz w:val="21"/>
          <w:szCs w:val="21"/>
        </w:rPr>
        <w:t xml:space="preserve">Figure 1:  Axial T1-weighted post-contrast MRI showing thickening of the terminal ileal loop (indicated by the white arrow). </w:t>
      </w:r>
    </w:p>
    <w:p w14:paraId="52C31DE1" w14:textId="77777777" w:rsidR="00E05F64" w:rsidRPr="00A978D0" w:rsidRDefault="00E05F64" w:rsidP="00E05F64">
      <w:pPr>
        <w:spacing w:before="100" w:beforeAutospacing="1" w:after="100" w:afterAutospacing="1"/>
        <w:rPr>
          <w:rFonts w:ascii="Arial" w:hAnsi="Arial" w:cs="Arial"/>
          <w:sz w:val="22"/>
          <w:szCs w:val="22"/>
          <w:lang w:eastAsia="fr-FR"/>
        </w:rPr>
      </w:pPr>
      <w:r w:rsidRPr="00A978D0">
        <w:rPr>
          <w:rFonts w:ascii="Arial" w:hAnsi="Arial" w:cs="Arial"/>
          <w:sz w:val="22"/>
          <w:szCs w:val="22"/>
          <w:lang w:eastAsia="fr-FR"/>
        </w:rPr>
        <w:t xml:space="preserve">Upper gastrointestinal endoscopy demonstrated a mosaic pattern and total villous atrophy in the descending duodenum. Duodenal biopsies confirmed villous atrophy with intraepithelial lymphocytosis (40%), consistent with celiac disease. Immunology tests revealed elevated IgA anti-tissue transglutaminase antibodies (57 U/mL) and positive </w:t>
      </w:r>
      <w:proofErr w:type="spellStart"/>
      <w:r w:rsidRPr="00A978D0">
        <w:rPr>
          <w:rFonts w:ascii="Arial" w:hAnsi="Arial" w:cs="Arial"/>
          <w:sz w:val="22"/>
          <w:szCs w:val="22"/>
          <w:lang w:eastAsia="fr-FR"/>
        </w:rPr>
        <w:t>endomysial</w:t>
      </w:r>
      <w:proofErr w:type="spellEnd"/>
      <w:r w:rsidRPr="00A978D0">
        <w:rPr>
          <w:rFonts w:ascii="Arial" w:hAnsi="Arial" w:cs="Arial"/>
          <w:sz w:val="22"/>
          <w:szCs w:val="22"/>
          <w:lang w:eastAsia="fr-FR"/>
        </w:rPr>
        <w:t xml:space="preserve"> antibodies (1:302), confirming the CD diagnosis</w:t>
      </w:r>
      <w:r w:rsidR="00FA348A">
        <w:rPr>
          <w:rFonts w:ascii="Arial" w:hAnsi="Arial" w:cs="Arial"/>
          <w:sz w:val="22"/>
          <w:szCs w:val="22"/>
          <w:lang w:eastAsia="fr-FR"/>
        </w:rPr>
        <w:t xml:space="preserve"> (figure 2). </w:t>
      </w:r>
    </w:p>
    <w:p w14:paraId="225E2359" w14:textId="77777777" w:rsidR="00E05F64" w:rsidRPr="00E05F64" w:rsidRDefault="00E05F64" w:rsidP="00E05F64">
      <w:pPr>
        <w:rPr>
          <w:rFonts w:ascii="Arial" w:hAnsi="Arial" w:cs="Arial"/>
          <w:i/>
          <w:iCs/>
          <w:sz w:val="22"/>
          <w:szCs w:val="22"/>
        </w:rPr>
      </w:pPr>
      <w:r>
        <w:rPr>
          <w:rFonts w:ascii="Arial" w:hAnsi="Arial" w:cs="Arial"/>
          <w:i/>
          <w:iCs/>
          <w:noProof/>
          <w:sz w:val="22"/>
          <w:szCs w:val="22"/>
        </w:rPr>
        <w:lastRenderedPageBreak/>
        <w:drawing>
          <wp:inline distT="0" distB="0" distL="0" distR="0" wp14:anchorId="69B8F117" wp14:editId="7705E2A2">
            <wp:extent cx="3671154" cy="343768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82730" cy="3448520"/>
                    </a:xfrm>
                    <a:prstGeom prst="rect">
                      <a:avLst/>
                    </a:prstGeom>
                  </pic:spPr>
                </pic:pic>
              </a:graphicData>
            </a:graphic>
          </wp:inline>
        </w:drawing>
      </w:r>
      <w:r w:rsidRPr="00A978D0">
        <w:rPr>
          <w:rFonts w:ascii="Arial" w:hAnsi="Arial" w:cs="Arial"/>
          <w:i/>
          <w:iCs/>
          <w:sz w:val="22"/>
          <w:szCs w:val="22"/>
        </w:rPr>
        <w:br/>
      </w:r>
      <w:r w:rsidRPr="00FA348A">
        <w:rPr>
          <w:rFonts w:ascii="Arial" w:hAnsi="Arial" w:cs="Arial"/>
          <w:i/>
          <w:iCs/>
          <w:sz w:val="21"/>
          <w:szCs w:val="21"/>
        </w:rPr>
        <w:t>Figure 2: Image of microscopic examination (H&amp;E stain, x25), revealing the presence of a total villous atrophy in the duodenal mucosa</w:t>
      </w:r>
      <w:r>
        <w:rPr>
          <w:rFonts w:ascii="Arial" w:hAnsi="Arial" w:cs="Arial"/>
          <w:i/>
          <w:iCs/>
          <w:sz w:val="22"/>
          <w:szCs w:val="22"/>
        </w:rPr>
        <w:br/>
      </w:r>
    </w:p>
    <w:p w14:paraId="107EC24F" w14:textId="77777777" w:rsidR="00E05F64" w:rsidRPr="00A978D0" w:rsidRDefault="00E05F64" w:rsidP="00E05F64">
      <w:pPr>
        <w:spacing w:before="100" w:beforeAutospacing="1" w:after="100" w:afterAutospacing="1"/>
        <w:rPr>
          <w:rFonts w:ascii="Arial" w:hAnsi="Arial" w:cs="Arial"/>
          <w:sz w:val="22"/>
          <w:szCs w:val="22"/>
          <w:lang w:eastAsia="fr-FR"/>
        </w:rPr>
      </w:pPr>
      <w:r w:rsidRPr="00E05F64">
        <w:rPr>
          <w:rFonts w:ascii="Arial" w:hAnsi="Arial" w:cs="Arial"/>
          <w:b/>
          <w:bCs/>
          <w:lang w:eastAsia="fr-FR"/>
        </w:rPr>
        <w:t>Management and Follow-Up</w:t>
      </w:r>
      <w:r w:rsidR="001462D5">
        <w:rPr>
          <w:rFonts w:ascii="Arial" w:hAnsi="Arial" w:cs="Arial"/>
          <w:b/>
          <w:bCs/>
          <w:lang w:eastAsia="fr-FR"/>
        </w:rPr>
        <w:t xml:space="preserve"> </w:t>
      </w:r>
      <w:r w:rsidR="001462D5">
        <w:rPr>
          <w:rFonts w:ascii="Arial" w:hAnsi="Arial" w:cs="Arial"/>
          <w:b/>
          <w:bCs/>
          <w:lang w:eastAsia="fr-FR"/>
        </w:rPr>
        <w:br/>
      </w:r>
      <w:r w:rsidRPr="00A978D0">
        <w:rPr>
          <w:rFonts w:ascii="Arial" w:hAnsi="Arial" w:cs="Arial"/>
          <w:sz w:val="22"/>
          <w:szCs w:val="22"/>
          <w:lang w:eastAsia="fr-FR"/>
        </w:rPr>
        <w:t>The patient was initially treated with parenteral corticosteroids for five days, followed by oral corticosteroids and azathioprine. A strict gluten-free diet was initiated, resulting in symptomatic improvement and a 4 kg weight gain over three months.</w:t>
      </w:r>
    </w:p>
    <w:p w14:paraId="69F11448" w14:textId="77777777" w:rsidR="00A03B96" w:rsidRPr="00E05F64" w:rsidRDefault="00E05F64" w:rsidP="00E05F64">
      <w:pPr>
        <w:pStyle w:val="NormalWeb"/>
        <w:rPr>
          <w:rFonts w:ascii="Arial" w:hAnsi="Arial" w:cs="Arial"/>
          <w:sz w:val="22"/>
          <w:szCs w:val="22"/>
          <w:lang w:val="en-US"/>
        </w:rPr>
      </w:pPr>
      <w:r w:rsidRPr="00E05F64">
        <w:rPr>
          <w:rFonts w:ascii="Arial" w:hAnsi="Arial" w:cs="Arial"/>
          <w:b/>
          <w:bCs/>
          <w:sz w:val="20"/>
          <w:szCs w:val="20"/>
          <w:lang w:val="en-US"/>
        </w:rPr>
        <w:t>Outcome</w:t>
      </w:r>
      <w:r w:rsidR="001462D5">
        <w:rPr>
          <w:rFonts w:ascii="Arial" w:hAnsi="Arial" w:cs="Arial"/>
          <w:b/>
          <w:bCs/>
          <w:sz w:val="20"/>
          <w:szCs w:val="20"/>
          <w:lang w:val="en-US"/>
        </w:rPr>
        <w:t xml:space="preserve"> </w:t>
      </w:r>
      <w:r w:rsidRPr="00A978D0">
        <w:rPr>
          <w:rFonts w:ascii="Arial" w:hAnsi="Arial" w:cs="Arial"/>
          <w:sz w:val="22"/>
          <w:szCs w:val="22"/>
          <w:lang w:val="en-US"/>
        </w:rPr>
        <w:br/>
        <w:t xml:space="preserve">Six months later, she presented with bilateral knee pain and morning stiffness lasting more than one hour. Rheumatological evaluation revealed peripheral arthritis and </w:t>
      </w:r>
      <w:proofErr w:type="spellStart"/>
      <w:r w:rsidRPr="00A978D0">
        <w:rPr>
          <w:rFonts w:ascii="Arial" w:hAnsi="Arial" w:cs="Arial"/>
          <w:sz w:val="22"/>
          <w:szCs w:val="22"/>
          <w:lang w:val="en-US"/>
        </w:rPr>
        <w:t>enthesitis</w:t>
      </w:r>
      <w:proofErr w:type="spellEnd"/>
      <w:r w:rsidRPr="00A978D0">
        <w:rPr>
          <w:rFonts w:ascii="Arial" w:hAnsi="Arial" w:cs="Arial"/>
          <w:sz w:val="22"/>
          <w:szCs w:val="22"/>
          <w:lang w:val="en-US"/>
        </w:rPr>
        <w:t>. Imaging and clinical findings confirmed a diagnosis of ankylosing spondylitis (AS). Infliximab was added to her treatment regimen alongside azathioprine, leading to significant clinical remission. She regained an additional 6 kg over the following six months and reported no further gastrointestinal or joint symptoms.</w:t>
      </w:r>
    </w:p>
    <w:p w14:paraId="60A4083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FDBFBB4" w14:textId="77777777" w:rsidR="00790ADA" w:rsidRPr="00FB3A86" w:rsidRDefault="00790ADA" w:rsidP="00441B6F">
      <w:pPr>
        <w:pStyle w:val="Head1"/>
        <w:spacing w:after="0"/>
        <w:jc w:val="both"/>
        <w:rPr>
          <w:rFonts w:ascii="Arial" w:hAnsi="Arial" w:cs="Arial"/>
        </w:rPr>
      </w:pPr>
    </w:p>
    <w:p w14:paraId="0553D414" w14:textId="77777777" w:rsidR="00E05F64" w:rsidRPr="00A978D0" w:rsidRDefault="00E05F64" w:rsidP="00E05F64">
      <w:pPr>
        <w:rPr>
          <w:rFonts w:ascii="Arial" w:hAnsi="Arial" w:cs="Arial"/>
          <w:sz w:val="22"/>
          <w:szCs w:val="22"/>
          <w:lang w:eastAsia="fr-FR"/>
        </w:rPr>
      </w:pPr>
      <w:r w:rsidRPr="00A978D0">
        <w:rPr>
          <w:rFonts w:ascii="Arial" w:hAnsi="Arial" w:cs="Arial"/>
          <w:sz w:val="22"/>
          <w:szCs w:val="22"/>
          <w:lang w:eastAsia="fr-FR"/>
        </w:rPr>
        <w:t>Celiac disease (CD) and inflammatory bowel diseases (IBD) such as Crohn’s disease (</w:t>
      </w:r>
      <w:proofErr w:type="spellStart"/>
      <w:r w:rsidRPr="00A978D0">
        <w:rPr>
          <w:rFonts w:ascii="Arial" w:hAnsi="Arial" w:cs="Arial"/>
          <w:sz w:val="22"/>
          <w:szCs w:val="22"/>
          <w:lang w:eastAsia="fr-FR"/>
        </w:rPr>
        <w:t>CrD</w:t>
      </w:r>
      <w:proofErr w:type="spellEnd"/>
      <w:r w:rsidRPr="00A978D0">
        <w:rPr>
          <w:rFonts w:ascii="Arial" w:hAnsi="Arial" w:cs="Arial"/>
          <w:sz w:val="22"/>
          <w:szCs w:val="22"/>
          <w:lang w:eastAsia="fr-FR"/>
        </w:rPr>
        <w:t xml:space="preserve">) are both chronic inflammatory conditions affecting the gastrointestinal tract [2]. Their co-occurrence was first described in 1967, but reports remain scarce in the literature [3]. Recent studies suggest an increasing incidence of IBD in patients with celiac disease. </w:t>
      </w:r>
      <w:proofErr w:type="spellStart"/>
      <w:r w:rsidRPr="00A978D0">
        <w:rPr>
          <w:rFonts w:ascii="Arial" w:hAnsi="Arial" w:cs="Arial"/>
          <w:sz w:val="22"/>
          <w:szCs w:val="22"/>
          <w:lang w:eastAsia="fr-FR"/>
        </w:rPr>
        <w:t>Bardella</w:t>
      </w:r>
      <w:proofErr w:type="spellEnd"/>
      <w:r w:rsidRPr="00A978D0">
        <w:rPr>
          <w:rFonts w:ascii="Arial" w:hAnsi="Arial" w:cs="Arial"/>
          <w:sz w:val="22"/>
          <w:szCs w:val="22"/>
          <w:lang w:eastAsia="fr-FR"/>
        </w:rPr>
        <w:t xml:space="preserve"> et al. demonstrated that patients with CD are eight times more likely to develop IBD compared to the general population [4,5].</w:t>
      </w:r>
    </w:p>
    <w:p w14:paraId="7BFBB2C4" w14:textId="77777777" w:rsidR="00E05F64" w:rsidRPr="00A978D0" w:rsidRDefault="00E05F64" w:rsidP="00E05F64">
      <w:pPr>
        <w:rPr>
          <w:rFonts w:ascii="Arial" w:hAnsi="Arial" w:cs="Arial"/>
          <w:sz w:val="22"/>
          <w:szCs w:val="22"/>
          <w:lang w:eastAsia="fr-FR"/>
        </w:rPr>
      </w:pPr>
      <w:r w:rsidRPr="00A978D0">
        <w:rPr>
          <w:rFonts w:ascii="Arial" w:hAnsi="Arial" w:cs="Arial"/>
          <w:sz w:val="22"/>
          <w:szCs w:val="22"/>
          <w:lang w:eastAsia="fr-FR"/>
        </w:rPr>
        <w:lastRenderedPageBreak/>
        <w:t xml:space="preserve">Diagnosing both conditions in the same patient can be challenging, particularly when symptoms overlap. In Crohn’s disease, upper endoscopy may reveal duodenal scalloping, a feature typically associated with celiac disease due to villous atrophy [6]. </w:t>
      </w:r>
      <w:r>
        <w:rPr>
          <w:rFonts w:ascii="Arial" w:hAnsi="Arial" w:cs="Arial"/>
          <w:sz w:val="22"/>
          <w:szCs w:val="22"/>
          <w:lang w:eastAsia="fr-FR"/>
        </w:rPr>
        <w:br/>
      </w:r>
      <w:r w:rsidRPr="00A978D0">
        <w:rPr>
          <w:rFonts w:ascii="Arial" w:hAnsi="Arial" w:cs="Arial"/>
          <w:sz w:val="22"/>
          <w:szCs w:val="22"/>
          <w:lang w:eastAsia="fr-FR"/>
        </w:rPr>
        <w:t>Moreover, anti-tissue transglutaminase antibodies (IgA-</w:t>
      </w:r>
      <w:proofErr w:type="spellStart"/>
      <w:r w:rsidRPr="00A978D0">
        <w:rPr>
          <w:rFonts w:ascii="Arial" w:hAnsi="Arial" w:cs="Arial"/>
          <w:sz w:val="22"/>
          <w:szCs w:val="22"/>
          <w:lang w:eastAsia="fr-FR"/>
        </w:rPr>
        <w:t>tTG</w:t>
      </w:r>
      <w:proofErr w:type="spellEnd"/>
      <w:r w:rsidRPr="00A978D0">
        <w:rPr>
          <w:rFonts w:ascii="Arial" w:hAnsi="Arial" w:cs="Arial"/>
          <w:sz w:val="22"/>
          <w:szCs w:val="22"/>
          <w:lang w:eastAsia="fr-FR"/>
        </w:rPr>
        <w:t>) may occasionally be elevated in IBD patients,</w:t>
      </w:r>
      <w:r w:rsidRPr="00A978D0">
        <w:rPr>
          <w:rFonts w:ascii="Arial" w:hAnsi="Arial" w:cs="Arial"/>
          <w:sz w:val="22"/>
          <w:szCs w:val="22"/>
        </w:rPr>
        <w:t xml:space="preserve"> </w:t>
      </w:r>
      <w:r w:rsidRPr="00A978D0">
        <w:rPr>
          <w:rFonts w:ascii="Arial" w:hAnsi="Arial" w:cs="Arial"/>
          <w:sz w:val="22"/>
          <w:szCs w:val="22"/>
          <w:lang w:eastAsia="fr-FR"/>
        </w:rPr>
        <w:t>complicating the diagnosis.</w:t>
      </w:r>
    </w:p>
    <w:p w14:paraId="02060F8E" w14:textId="77777777" w:rsidR="00E05F64" w:rsidRDefault="00E05F64" w:rsidP="00E05F64">
      <w:pPr>
        <w:rPr>
          <w:rFonts w:ascii="Arial" w:hAnsi="Arial" w:cs="Arial"/>
          <w:sz w:val="22"/>
          <w:szCs w:val="22"/>
          <w:lang w:eastAsia="fr-FR"/>
        </w:rPr>
      </w:pPr>
      <w:r w:rsidRPr="00A978D0">
        <w:rPr>
          <w:rFonts w:ascii="Arial" w:hAnsi="Arial" w:cs="Arial"/>
          <w:sz w:val="22"/>
          <w:szCs w:val="22"/>
          <w:lang w:eastAsia="fr-FR"/>
        </w:rPr>
        <w:t xml:space="preserve">Despite these diagnostic challenges, the presence of </w:t>
      </w:r>
      <w:proofErr w:type="spellStart"/>
      <w:r w:rsidRPr="00A978D0">
        <w:rPr>
          <w:rFonts w:ascii="Arial" w:hAnsi="Arial" w:cs="Arial"/>
          <w:sz w:val="22"/>
          <w:szCs w:val="22"/>
          <w:lang w:eastAsia="fr-FR"/>
        </w:rPr>
        <w:t>endomysial</w:t>
      </w:r>
      <w:proofErr w:type="spellEnd"/>
      <w:r w:rsidRPr="00A978D0">
        <w:rPr>
          <w:rFonts w:ascii="Arial" w:hAnsi="Arial" w:cs="Arial"/>
          <w:sz w:val="22"/>
          <w:szCs w:val="22"/>
          <w:lang w:eastAsia="fr-FR"/>
        </w:rPr>
        <w:t xml:space="preserve"> antibodies and significant intraepithelial lymphocytosis (≥30%) remains specific for celiac disease. </w:t>
      </w:r>
    </w:p>
    <w:p w14:paraId="3D8F61EC" w14:textId="77777777" w:rsidR="00E05F64" w:rsidRDefault="00E05F64" w:rsidP="00E05F64">
      <w:pPr>
        <w:rPr>
          <w:rFonts w:ascii="Arial" w:hAnsi="Arial" w:cs="Arial"/>
          <w:sz w:val="22"/>
          <w:szCs w:val="22"/>
          <w:lang w:eastAsia="fr-FR"/>
        </w:rPr>
      </w:pPr>
    </w:p>
    <w:p w14:paraId="40AC8270" w14:textId="77777777" w:rsidR="00E05F64" w:rsidRPr="00A978D0" w:rsidRDefault="00E05F64" w:rsidP="00E05F64">
      <w:pPr>
        <w:rPr>
          <w:rFonts w:ascii="Arial" w:hAnsi="Arial" w:cs="Arial"/>
          <w:sz w:val="22"/>
          <w:szCs w:val="22"/>
          <w:lang w:eastAsia="fr-FR"/>
        </w:rPr>
      </w:pPr>
      <w:proofErr w:type="spellStart"/>
      <w:r w:rsidRPr="00A978D0">
        <w:rPr>
          <w:rFonts w:ascii="Arial" w:hAnsi="Arial" w:cs="Arial"/>
          <w:sz w:val="22"/>
          <w:szCs w:val="22"/>
          <w:lang w:eastAsia="fr-FR"/>
        </w:rPr>
        <w:t>Pathophysiologically</w:t>
      </w:r>
      <w:proofErr w:type="spellEnd"/>
      <w:r w:rsidRPr="00A978D0">
        <w:rPr>
          <w:rFonts w:ascii="Arial" w:hAnsi="Arial" w:cs="Arial"/>
          <w:sz w:val="22"/>
          <w:szCs w:val="22"/>
          <w:lang w:eastAsia="fr-FR"/>
        </w:rPr>
        <w:t xml:space="preserve">, both conditions share autoimmunological features, and both are associated with other autoimmune diseases, such as thyroiditis and vitiligo. </w:t>
      </w:r>
      <w:r>
        <w:rPr>
          <w:rFonts w:ascii="Arial" w:hAnsi="Arial" w:cs="Arial"/>
          <w:sz w:val="22"/>
          <w:szCs w:val="22"/>
          <w:lang w:eastAsia="fr-FR"/>
        </w:rPr>
        <w:br/>
      </w:r>
      <w:r w:rsidRPr="00A978D0">
        <w:rPr>
          <w:rFonts w:ascii="Arial" w:hAnsi="Arial" w:cs="Arial"/>
          <w:sz w:val="22"/>
          <w:szCs w:val="22"/>
          <w:lang w:eastAsia="fr-FR"/>
        </w:rPr>
        <w:t xml:space="preserve">Genetic predisposition has also been suggested, with familial forms observed in both conditions. </w:t>
      </w:r>
      <w:r>
        <w:rPr>
          <w:rFonts w:ascii="Arial" w:hAnsi="Arial" w:cs="Arial"/>
          <w:sz w:val="22"/>
          <w:szCs w:val="22"/>
          <w:lang w:eastAsia="fr-FR"/>
        </w:rPr>
        <w:br/>
      </w:r>
      <w:r w:rsidRPr="00A978D0">
        <w:rPr>
          <w:rFonts w:ascii="Arial" w:hAnsi="Arial" w:cs="Arial"/>
          <w:sz w:val="22"/>
          <w:szCs w:val="22"/>
          <w:lang w:eastAsia="fr-FR"/>
        </w:rPr>
        <w:t xml:space="preserve">A 2011 systematic review identified four susceptibility genes common to both CD and </w:t>
      </w:r>
      <w:proofErr w:type="spellStart"/>
      <w:r w:rsidRPr="00A978D0">
        <w:rPr>
          <w:rFonts w:ascii="Arial" w:hAnsi="Arial" w:cs="Arial"/>
          <w:sz w:val="22"/>
          <w:szCs w:val="22"/>
          <w:lang w:eastAsia="fr-FR"/>
        </w:rPr>
        <w:t>CrD</w:t>
      </w:r>
      <w:proofErr w:type="spellEnd"/>
      <w:r w:rsidRPr="00A978D0">
        <w:rPr>
          <w:rFonts w:ascii="Arial" w:hAnsi="Arial" w:cs="Arial"/>
          <w:sz w:val="22"/>
          <w:szCs w:val="22"/>
          <w:lang w:eastAsia="fr-FR"/>
        </w:rPr>
        <w:t>: IL18RAP (interleukin-18 receptor accessory protein in 2q12), PUS10 (</w:t>
      </w:r>
      <w:proofErr w:type="spellStart"/>
      <w:r w:rsidRPr="00A978D0">
        <w:rPr>
          <w:rFonts w:ascii="Arial" w:hAnsi="Arial" w:cs="Arial"/>
          <w:sz w:val="22"/>
          <w:szCs w:val="22"/>
          <w:lang w:eastAsia="fr-FR"/>
        </w:rPr>
        <w:t>pseudouridylate</w:t>
      </w:r>
      <w:proofErr w:type="spellEnd"/>
      <w:r w:rsidRPr="00A978D0">
        <w:rPr>
          <w:rFonts w:ascii="Arial" w:hAnsi="Arial" w:cs="Arial"/>
          <w:sz w:val="22"/>
          <w:szCs w:val="22"/>
          <w:lang w:eastAsia="fr-FR"/>
        </w:rPr>
        <w:t xml:space="preserve"> synthase 10 in 2p16), TAGAP (T-cell activation Rho GTPase activating protein in 6q25), and PTPN2 (tyrosine-protein phosphatase non-receptor type 2 in 18p11) [7].</w:t>
      </w:r>
    </w:p>
    <w:p w14:paraId="3514DC27" w14:textId="77777777" w:rsidR="00E05F64" w:rsidRPr="00A978D0" w:rsidRDefault="00E05F64" w:rsidP="00E05F64">
      <w:pPr>
        <w:rPr>
          <w:rFonts w:ascii="Arial" w:hAnsi="Arial" w:cs="Arial"/>
          <w:sz w:val="22"/>
          <w:szCs w:val="22"/>
          <w:lang w:eastAsia="fr-FR"/>
        </w:rPr>
      </w:pPr>
      <w:proofErr w:type="spellStart"/>
      <w:r w:rsidRPr="00A978D0">
        <w:rPr>
          <w:rFonts w:ascii="Arial" w:hAnsi="Arial" w:cs="Arial"/>
          <w:sz w:val="22"/>
          <w:szCs w:val="22"/>
          <w:lang w:eastAsia="fr-FR"/>
        </w:rPr>
        <w:t>Latiano</w:t>
      </w:r>
      <w:proofErr w:type="spellEnd"/>
      <w:r w:rsidRPr="00A978D0">
        <w:rPr>
          <w:rFonts w:ascii="Arial" w:hAnsi="Arial" w:cs="Arial"/>
          <w:sz w:val="22"/>
          <w:szCs w:val="22"/>
          <w:lang w:eastAsia="fr-FR"/>
        </w:rPr>
        <w:t xml:space="preserve"> et al. also highlighted the role of the MYO9B gene, typically associated with CD, in IBD patients [8]. </w:t>
      </w:r>
    </w:p>
    <w:p w14:paraId="7C4E995C" w14:textId="77777777" w:rsidR="00E05F64" w:rsidRPr="00A978D0" w:rsidRDefault="00E05F64" w:rsidP="00E05F64">
      <w:pPr>
        <w:rPr>
          <w:rFonts w:ascii="Arial" w:hAnsi="Arial" w:cs="Arial"/>
          <w:sz w:val="22"/>
          <w:szCs w:val="22"/>
          <w:lang w:eastAsia="fr-FR"/>
        </w:rPr>
      </w:pPr>
      <w:r>
        <w:rPr>
          <w:rFonts w:ascii="Arial" w:hAnsi="Arial" w:cs="Arial"/>
          <w:sz w:val="22"/>
          <w:szCs w:val="22"/>
          <w:lang w:eastAsia="fr-FR"/>
        </w:rPr>
        <w:br/>
      </w:r>
      <w:r w:rsidRPr="00A978D0">
        <w:rPr>
          <w:rFonts w:ascii="Arial" w:hAnsi="Arial" w:cs="Arial"/>
          <w:sz w:val="22"/>
          <w:szCs w:val="22"/>
          <w:lang w:eastAsia="fr-FR"/>
        </w:rPr>
        <w:t xml:space="preserve">Finally, the association between IBD and ankylosing spondylitis (AS) is well documented, with AS affecting 2-3% of IBD patients, particularly those with </w:t>
      </w:r>
      <w:proofErr w:type="spellStart"/>
      <w:r w:rsidRPr="00A978D0">
        <w:rPr>
          <w:rFonts w:ascii="Arial" w:hAnsi="Arial" w:cs="Arial"/>
          <w:sz w:val="22"/>
          <w:szCs w:val="22"/>
          <w:lang w:eastAsia="fr-FR"/>
        </w:rPr>
        <w:t>CrD</w:t>
      </w:r>
      <w:proofErr w:type="spellEnd"/>
      <w:r w:rsidRPr="00A978D0">
        <w:rPr>
          <w:rFonts w:ascii="Arial" w:hAnsi="Arial" w:cs="Arial"/>
          <w:sz w:val="22"/>
          <w:szCs w:val="22"/>
          <w:lang w:eastAsia="fr-FR"/>
        </w:rPr>
        <w:t xml:space="preserve">. The introduction of biologic therapies, specifically anti-TNF agents like infliximab [9] has revolutionized treatment for patients with AS and concomitant IBD, as seen in our case. </w:t>
      </w:r>
      <w:r>
        <w:rPr>
          <w:rFonts w:ascii="Arial" w:hAnsi="Arial" w:cs="Arial"/>
          <w:sz w:val="22"/>
          <w:szCs w:val="22"/>
          <w:lang w:eastAsia="fr-FR"/>
        </w:rPr>
        <w:br/>
      </w:r>
    </w:p>
    <w:p w14:paraId="6E5E4C6A" w14:textId="77777777" w:rsidR="00E05F64" w:rsidRPr="00A978D0" w:rsidRDefault="00E05F64" w:rsidP="00E05F64">
      <w:pPr>
        <w:rPr>
          <w:rFonts w:ascii="Arial" w:hAnsi="Arial" w:cs="Arial"/>
          <w:sz w:val="22"/>
          <w:szCs w:val="22"/>
          <w:lang w:eastAsia="fr-FR"/>
        </w:rPr>
      </w:pPr>
      <w:r w:rsidRPr="00A978D0">
        <w:rPr>
          <w:rFonts w:ascii="Arial" w:hAnsi="Arial" w:cs="Arial"/>
          <w:sz w:val="22"/>
          <w:szCs w:val="22"/>
          <w:lang w:eastAsia="fr-FR"/>
        </w:rPr>
        <w:t>This highlights the importance of comprehensive treatment strategies in managing complex cases of overlapping autoimmune disorders.</w:t>
      </w:r>
    </w:p>
    <w:p w14:paraId="32A67139" w14:textId="77777777" w:rsidR="00E053D0" w:rsidRDefault="00E053D0" w:rsidP="00441B6F">
      <w:pPr>
        <w:pStyle w:val="Body"/>
        <w:spacing w:after="0"/>
        <w:rPr>
          <w:rFonts w:ascii="Arial" w:hAnsi="Arial" w:cs="Arial"/>
        </w:rPr>
      </w:pPr>
    </w:p>
    <w:p w14:paraId="36527525" w14:textId="77777777" w:rsidR="00790ADA" w:rsidRPr="00FB3A86" w:rsidRDefault="00790ADA" w:rsidP="00441B6F">
      <w:pPr>
        <w:pStyle w:val="Body"/>
        <w:spacing w:after="0"/>
        <w:rPr>
          <w:rFonts w:ascii="Arial" w:hAnsi="Arial" w:cs="Arial"/>
        </w:rPr>
      </w:pPr>
    </w:p>
    <w:p w14:paraId="1464D3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B0BEA8B" w14:textId="77777777" w:rsidR="00790ADA" w:rsidRPr="00FB3A86" w:rsidRDefault="00790ADA" w:rsidP="00441B6F">
      <w:pPr>
        <w:pStyle w:val="ConcHead"/>
        <w:spacing w:after="0"/>
        <w:jc w:val="both"/>
        <w:rPr>
          <w:rFonts w:ascii="Arial" w:hAnsi="Arial" w:cs="Arial"/>
        </w:rPr>
      </w:pPr>
    </w:p>
    <w:p w14:paraId="1331DD12" w14:textId="77777777" w:rsidR="00E05F64" w:rsidRDefault="00E05F64" w:rsidP="00E05F64">
      <w:pPr>
        <w:rPr>
          <w:rFonts w:ascii="Arial" w:hAnsi="Arial" w:cs="Arial"/>
          <w:sz w:val="22"/>
          <w:szCs w:val="22"/>
          <w:lang w:eastAsia="fr-FR"/>
        </w:rPr>
      </w:pPr>
      <w:r w:rsidRPr="00A978D0">
        <w:rPr>
          <w:rFonts w:ascii="Arial" w:hAnsi="Arial" w:cs="Arial"/>
          <w:sz w:val="22"/>
          <w:szCs w:val="22"/>
          <w:lang w:eastAsia="fr-FR"/>
        </w:rPr>
        <w:t>The coexistence of Crohn’s disease and celiac disease is rare, with most cases of Crohn’s disease occurring after a pre-existing diagnosis of celiac disease. In this case, both conditions were diagnosed concurrently during the same hospitalization. While the association between ankylosing spondylitis and IBD is well-documented, to our knowledge, this is the first report describing the coexistence of Crohn’s disease, celiac disease, and ankylosing spondylitis in a single patient.</w:t>
      </w:r>
    </w:p>
    <w:p w14:paraId="7AFAB7B4" w14:textId="77777777" w:rsidR="00E05F64" w:rsidRPr="00A978D0" w:rsidRDefault="00E05F64" w:rsidP="00E05F64">
      <w:pPr>
        <w:rPr>
          <w:rFonts w:ascii="Arial" w:hAnsi="Arial" w:cs="Arial"/>
          <w:sz w:val="22"/>
          <w:szCs w:val="22"/>
          <w:lang w:eastAsia="fr-FR"/>
        </w:rPr>
      </w:pPr>
    </w:p>
    <w:p w14:paraId="04B3DE05" w14:textId="77777777" w:rsidR="00E05F64" w:rsidRDefault="00E05F64" w:rsidP="00441B6F">
      <w:pPr>
        <w:pStyle w:val="ReferHead"/>
        <w:spacing w:after="0"/>
        <w:jc w:val="both"/>
        <w:rPr>
          <w:rFonts w:ascii="Arial" w:hAnsi="Arial" w:cs="Arial"/>
          <w:bCs/>
        </w:rPr>
      </w:pPr>
      <w:r>
        <w:rPr>
          <w:rFonts w:ascii="Arial" w:hAnsi="Arial" w:cs="Arial"/>
          <w:bCs/>
        </w:rPr>
        <w:lastRenderedPageBreak/>
        <w:t xml:space="preserve">Consent </w:t>
      </w:r>
    </w:p>
    <w:p w14:paraId="0359176C" w14:textId="77777777" w:rsidR="00E05F64" w:rsidRPr="00E05F64" w:rsidRDefault="00E05F64" w:rsidP="00E05F64">
      <w:pPr>
        <w:pStyle w:val="ReferHead"/>
        <w:spacing w:after="0"/>
        <w:jc w:val="both"/>
        <w:rPr>
          <w:rFonts w:ascii="Arial" w:hAnsi="Arial" w:cs="Arial"/>
          <w:b w:val="0"/>
          <w:caps w:val="0"/>
          <w:sz w:val="20"/>
        </w:rPr>
      </w:pPr>
      <w:r w:rsidRPr="00E05F64">
        <w:rPr>
          <w:rFonts w:ascii="Arial" w:hAnsi="Arial" w:cs="Arial"/>
          <w:b w:val="0"/>
          <w:caps w:val="0"/>
          <w:sz w:val="20"/>
        </w:rPr>
        <w:t xml:space="preserve">All authors declare that ‘written informed consent was obtained from the patient for publication of this case report and accompanying images. </w:t>
      </w:r>
    </w:p>
    <w:p w14:paraId="0BE44728" w14:textId="77777777" w:rsidR="00E05F64" w:rsidRDefault="00E05F64" w:rsidP="00441B6F">
      <w:pPr>
        <w:pStyle w:val="ReferHead"/>
        <w:spacing w:after="0"/>
        <w:jc w:val="both"/>
        <w:rPr>
          <w:rFonts w:ascii="Arial" w:hAnsi="Arial" w:cs="Arial"/>
          <w:bCs/>
        </w:rPr>
      </w:pPr>
    </w:p>
    <w:p w14:paraId="4F8A707E" w14:textId="77777777" w:rsidR="00E05F64" w:rsidRDefault="00E05F64" w:rsidP="00441B6F">
      <w:pPr>
        <w:pStyle w:val="ReferHead"/>
        <w:spacing w:after="0"/>
        <w:jc w:val="both"/>
        <w:rPr>
          <w:rFonts w:ascii="Arial" w:hAnsi="Arial" w:cs="Arial"/>
          <w:bCs/>
        </w:rPr>
      </w:pPr>
      <w:r>
        <w:rPr>
          <w:rFonts w:ascii="Arial" w:hAnsi="Arial" w:cs="Arial"/>
          <w:bCs/>
        </w:rPr>
        <w:t xml:space="preserve">ethical approval </w:t>
      </w:r>
    </w:p>
    <w:p w14:paraId="0D0A7D00" w14:textId="77777777" w:rsidR="00E05F64" w:rsidRDefault="00E05F64" w:rsidP="00441B6F">
      <w:pPr>
        <w:pStyle w:val="ReferHead"/>
        <w:spacing w:after="0"/>
        <w:jc w:val="both"/>
        <w:rPr>
          <w:rFonts w:ascii="Arial" w:hAnsi="Arial" w:cs="Arial"/>
          <w:bCs/>
        </w:rPr>
      </w:pPr>
      <w:r>
        <w:rPr>
          <w:rFonts w:ascii="Arial" w:hAnsi="Arial" w:cs="Arial"/>
          <w:b w:val="0"/>
          <w:caps w:val="0"/>
          <w:sz w:val="20"/>
        </w:rPr>
        <w:t>Not applicable</w:t>
      </w:r>
    </w:p>
    <w:p w14:paraId="666A19B4" w14:textId="77777777" w:rsidR="00E05F64" w:rsidRDefault="00E05F64" w:rsidP="00441B6F">
      <w:pPr>
        <w:pStyle w:val="ReferHead"/>
        <w:spacing w:after="0"/>
        <w:jc w:val="both"/>
        <w:rPr>
          <w:rFonts w:ascii="Arial" w:hAnsi="Arial" w:cs="Arial"/>
          <w:bCs/>
        </w:rPr>
      </w:pPr>
    </w:p>
    <w:p w14:paraId="0F68EAC8"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4703ACB5" w14:textId="77777777" w:rsidR="00860000" w:rsidRPr="00E05F64" w:rsidRDefault="00E66E10" w:rsidP="00441B6F">
      <w:pPr>
        <w:pStyle w:val="ReferHead"/>
        <w:spacing w:after="0"/>
        <w:jc w:val="both"/>
        <w:rPr>
          <w:rFonts w:ascii="Arial" w:hAnsi="Arial" w:cs="Arial"/>
          <w:b w:val="0"/>
          <w:caps w:val="0"/>
          <w:sz w:val="20"/>
        </w:rPr>
      </w:pPr>
      <w:r w:rsidRPr="00E05F64">
        <w:rPr>
          <w:rFonts w:ascii="Arial" w:hAnsi="Arial" w:cs="Arial"/>
          <w:b w:val="0"/>
          <w:caps w:val="0"/>
          <w:sz w:val="20"/>
        </w:rPr>
        <w:t>Authors have declared that no competing interests exist</w:t>
      </w:r>
      <w:r w:rsidR="00E05F64">
        <w:rPr>
          <w:rFonts w:ascii="Arial" w:hAnsi="Arial" w:cs="Arial"/>
          <w:b w:val="0"/>
          <w:caps w:val="0"/>
          <w:sz w:val="20"/>
        </w:rPr>
        <w:t xml:space="preserve"> </w:t>
      </w:r>
    </w:p>
    <w:p w14:paraId="7305827A" w14:textId="77777777" w:rsidR="005C784C" w:rsidRPr="002B685A" w:rsidRDefault="005C784C" w:rsidP="00441B6F">
      <w:pPr>
        <w:pStyle w:val="ReferHead"/>
        <w:spacing w:after="0"/>
        <w:jc w:val="both"/>
        <w:rPr>
          <w:rFonts w:ascii="Arial" w:hAnsi="Arial" w:cs="Arial"/>
          <w:bCs/>
        </w:rPr>
      </w:pPr>
    </w:p>
    <w:p w14:paraId="356B83A6" w14:textId="77777777" w:rsidR="00860000" w:rsidRDefault="00860000" w:rsidP="00441B6F">
      <w:pPr>
        <w:pStyle w:val="ReferHead"/>
        <w:spacing w:after="0"/>
        <w:jc w:val="both"/>
        <w:rPr>
          <w:rFonts w:ascii="Arial" w:hAnsi="Arial" w:cs="Arial"/>
        </w:rPr>
      </w:pPr>
    </w:p>
    <w:p w14:paraId="78A63E8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CBAEA30" w14:textId="77777777" w:rsidR="00790ADA" w:rsidRPr="00FB3A86" w:rsidRDefault="00790ADA" w:rsidP="00441B6F">
      <w:pPr>
        <w:pStyle w:val="ReferHead"/>
        <w:spacing w:after="0"/>
        <w:jc w:val="both"/>
        <w:rPr>
          <w:rFonts w:ascii="Arial" w:hAnsi="Arial" w:cs="Arial"/>
        </w:rPr>
      </w:pPr>
    </w:p>
    <w:tbl>
      <w:tblPr>
        <w:tblpPr w:leftFromText="141" w:rightFromText="141" w:vertAnchor="text" w:horzAnchor="margin" w:tblpY="229"/>
        <w:tblW w:w="5000" w:type="pct"/>
        <w:tblCellSpacing w:w="15" w:type="dxa"/>
        <w:tblCellMar>
          <w:top w:w="15" w:type="dxa"/>
          <w:left w:w="15" w:type="dxa"/>
          <w:bottom w:w="15" w:type="dxa"/>
          <w:right w:w="15" w:type="dxa"/>
        </w:tblCellMar>
        <w:tblLook w:val="04A0" w:firstRow="1" w:lastRow="0" w:firstColumn="1" w:lastColumn="0" w:noHBand="0" w:noVBand="1"/>
      </w:tblPr>
      <w:tblGrid>
        <w:gridCol w:w="326"/>
        <w:gridCol w:w="7972"/>
      </w:tblGrid>
      <w:tr w:rsidR="00E05F64" w:rsidRPr="00A978D0" w14:paraId="2A9EA12D" w14:textId="77777777" w:rsidTr="00C132EC">
        <w:trPr>
          <w:tblCellSpacing w:w="15" w:type="dxa"/>
        </w:trPr>
        <w:tc>
          <w:tcPr>
            <w:tcW w:w="171" w:type="pct"/>
            <w:hideMark/>
          </w:tcPr>
          <w:p w14:paraId="49B6FF31"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[1] </w:t>
            </w:r>
          </w:p>
        </w:tc>
        <w:tc>
          <w:tcPr>
            <w:tcW w:w="0" w:type="auto"/>
            <w:hideMark/>
          </w:tcPr>
          <w:p w14:paraId="0C68C6C8"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 xml:space="preserve">M. Bonatto et al, «Endoscopic evaluation of celiac disease severity and its correlation with histopathological aspects of the duodenal mucosa », </w:t>
            </w:r>
            <w:r w:rsidRPr="00A978D0">
              <w:rPr>
                <w:rFonts w:ascii="Arial" w:hAnsi="Arial" w:cs="Arial"/>
                <w:i/>
                <w:iCs/>
                <w:noProof/>
                <w:sz w:val="22"/>
                <w:szCs w:val="22"/>
                <w:lang w:val="en-US"/>
              </w:rPr>
              <w:t xml:space="preserve">Endoscopy international open, </w:t>
            </w:r>
            <w:r w:rsidRPr="00A978D0">
              <w:rPr>
                <w:rFonts w:ascii="Arial" w:hAnsi="Arial" w:cs="Arial"/>
                <w:noProof/>
                <w:sz w:val="22"/>
                <w:szCs w:val="22"/>
                <w:lang w:val="en-US"/>
              </w:rPr>
              <w:t xml:space="preserve">2016. </w:t>
            </w:r>
            <w:r w:rsidRPr="00A978D0">
              <w:rPr>
                <w:rFonts w:ascii="Arial" w:hAnsi="Arial" w:cs="Arial"/>
                <w:noProof/>
                <w:sz w:val="22"/>
                <w:szCs w:val="22"/>
                <w:lang w:val="en-US"/>
              </w:rPr>
              <w:br/>
            </w:r>
          </w:p>
        </w:tc>
      </w:tr>
      <w:tr w:rsidR="00E05F64" w:rsidRPr="00A978D0" w14:paraId="6BBC4152" w14:textId="77777777" w:rsidTr="00C132EC">
        <w:trPr>
          <w:tblCellSpacing w:w="15" w:type="dxa"/>
        </w:trPr>
        <w:tc>
          <w:tcPr>
            <w:tcW w:w="171" w:type="pct"/>
            <w:hideMark/>
          </w:tcPr>
          <w:p w14:paraId="229A0FDE"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[2] </w:t>
            </w:r>
          </w:p>
        </w:tc>
        <w:tc>
          <w:tcPr>
            <w:tcW w:w="0" w:type="auto"/>
            <w:hideMark/>
          </w:tcPr>
          <w:p w14:paraId="0B5F8D4C"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 xml:space="preserve">G. Casella et al, «Celiac disease, non-celiac gluten sensitivity and inflammatory bowel disease,» </w:t>
            </w:r>
            <w:r w:rsidRPr="00A978D0">
              <w:rPr>
                <w:rFonts w:ascii="Arial" w:hAnsi="Arial" w:cs="Arial"/>
                <w:i/>
                <w:iCs/>
                <w:noProof/>
                <w:sz w:val="22"/>
                <w:szCs w:val="22"/>
                <w:lang w:val="en-US"/>
              </w:rPr>
              <w:t xml:space="preserve">Minerva Gastroenterologica E Dietologica, </w:t>
            </w:r>
            <w:r w:rsidRPr="00A978D0">
              <w:rPr>
                <w:rFonts w:ascii="Arial" w:hAnsi="Arial" w:cs="Arial"/>
                <w:noProof/>
                <w:sz w:val="22"/>
                <w:szCs w:val="22"/>
                <w:lang w:val="en-US"/>
              </w:rPr>
              <w:t xml:space="preserve">2015. </w:t>
            </w:r>
            <w:r w:rsidRPr="00A978D0">
              <w:rPr>
                <w:rFonts w:ascii="Arial" w:hAnsi="Arial" w:cs="Arial"/>
                <w:noProof/>
                <w:sz w:val="22"/>
                <w:szCs w:val="22"/>
                <w:lang w:val="en-US"/>
              </w:rPr>
              <w:br/>
            </w:r>
          </w:p>
        </w:tc>
      </w:tr>
      <w:tr w:rsidR="00E05F64" w:rsidRPr="00A978D0" w14:paraId="0FD723F5" w14:textId="77777777" w:rsidTr="00C132EC">
        <w:trPr>
          <w:tblCellSpacing w:w="15" w:type="dxa"/>
        </w:trPr>
        <w:tc>
          <w:tcPr>
            <w:tcW w:w="171" w:type="pct"/>
            <w:hideMark/>
          </w:tcPr>
          <w:p w14:paraId="3022E724"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[3] </w:t>
            </w:r>
          </w:p>
        </w:tc>
        <w:tc>
          <w:tcPr>
            <w:tcW w:w="0" w:type="auto"/>
            <w:hideMark/>
          </w:tcPr>
          <w:p w14:paraId="460A2FC3"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G. Kitis et al, «Association of celiac disease and inflammatory bowel disease»,</w:t>
            </w:r>
            <w:r w:rsidRPr="00A978D0">
              <w:rPr>
                <w:rFonts w:ascii="Arial" w:hAnsi="Arial" w:cs="Arial"/>
                <w:i/>
                <w:iCs/>
                <w:noProof/>
                <w:sz w:val="22"/>
                <w:szCs w:val="22"/>
                <w:lang w:val="en-US"/>
              </w:rPr>
              <w:t xml:space="preserve">Gut, </w:t>
            </w:r>
            <w:r w:rsidRPr="00A978D0">
              <w:rPr>
                <w:rFonts w:ascii="Arial" w:hAnsi="Arial" w:cs="Arial"/>
                <w:noProof/>
                <w:sz w:val="22"/>
                <w:szCs w:val="22"/>
                <w:lang w:val="en-US"/>
              </w:rPr>
              <w:t xml:space="preserve">1980. </w:t>
            </w:r>
            <w:r w:rsidRPr="00A978D0">
              <w:rPr>
                <w:rFonts w:ascii="Arial" w:hAnsi="Arial" w:cs="Arial"/>
                <w:noProof/>
                <w:sz w:val="22"/>
                <w:szCs w:val="22"/>
                <w:lang w:val="en-US"/>
              </w:rPr>
              <w:br/>
            </w:r>
          </w:p>
        </w:tc>
      </w:tr>
      <w:tr w:rsidR="00E05F64" w:rsidRPr="00A978D0" w14:paraId="255FB356" w14:textId="77777777" w:rsidTr="00C132EC">
        <w:trPr>
          <w:tblCellSpacing w:w="15" w:type="dxa"/>
        </w:trPr>
        <w:tc>
          <w:tcPr>
            <w:tcW w:w="171" w:type="pct"/>
            <w:hideMark/>
          </w:tcPr>
          <w:p w14:paraId="4B8B38DB"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[4] </w:t>
            </w:r>
          </w:p>
        </w:tc>
        <w:tc>
          <w:tcPr>
            <w:tcW w:w="0" w:type="auto"/>
            <w:hideMark/>
          </w:tcPr>
          <w:p w14:paraId="37111502"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A. Tursi et al, «High prevalence of celiac disease among patients Detected by Crohn’s disease», I</w:t>
            </w:r>
            <w:r w:rsidRPr="00A978D0">
              <w:rPr>
                <w:rFonts w:ascii="Arial" w:hAnsi="Arial" w:cs="Arial"/>
                <w:i/>
                <w:iCs/>
                <w:noProof/>
                <w:sz w:val="22"/>
                <w:szCs w:val="22"/>
                <w:lang w:val="en-US"/>
              </w:rPr>
              <w:t xml:space="preserve">nflammatory Bowel Disease, </w:t>
            </w:r>
            <w:r w:rsidRPr="00A978D0">
              <w:rPr>
                <w:rFonts w:ascii="Arial" w:hAnsi="Arial" w:cs="Arial"/>
                <w:noProof/>
                <w:sz w:val="22"/>
                <w:szCs w:val="22"/>
                <w:lang w:val="en-US"/>
              </w:rPr>
              <w:t xml:space="preserve">2005. </w:t>
            </w:r>
            <w:r w:rsidRPr="00A978D0">
              <w:rPr>
                <w:rFonts w:ascii="Arial" w:hAnsi="Arial" w:cs="Arial"/>
                <w:noProof/>
                <w:sz w:val="22"/>
                <w:szCs w:val="22"/>
                <w:lang w:val="en-US"/>
              </w:rPr>
              <w:br/>
            </w:r>
          </w:p>
        </w:tc>
      </w:tr>
      <w:tr w:rsidR="00E05F64" w:rsidRPr="00A978D0" w14:paraId="32FBD2B0" w14:textId="77777777" w:rsidTr="00C132EC">
        <w:trPr>
          <w:tblCellSpacing w:w="15" w:type="dxa"/>
        </w:trPr>
        <w:tc>
          <w:tcPr>
            <w:tcW w:w="171" w:type="pct"/>
            <w:hideMark/>
          </w:tcPr>
          <w:p w14:paraId="636FBA44"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[5] </w:t>
            </w:r>
          </w:p>
        </w:tc>
        <w:tc>
          <w:tcPr>
            <w:tcW w:w="0" w:type="auto"/>
            <w:hideMark/>
          </w:tcPr>
          <w:p w14:paraId="50499C3E"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 xml:space="preserve">M. Bardella et al, «Autoimmune disorders in patients detected by celiac sprue and inflammatory bowel disease», </w:t>
            </w:r>
            <w:r w:rsidRPr="00A978D0">
              <w:rPr>
                <w:rFonts w:ascii="Arial" w:hAnsi="Arial" w:cs="Arial"/>
                <w:i/>
                <w:iCs/>
                <w:noProof/>
                <w:sz w:val="22"/>
                <w:szCs w:val="22"/>
                <w:lang w:val="en-US"/>
              </w:rPr>
              <w:t xml:space="preserve">Annals of medicine, </w:t>
            </w:r>
            <w:r w:rsidRPr="00A978D0">
              <w:rPr>
                <w:rFonts w:ascii="Arial" w:hAnsi="Arial" w:cs="Arial"/>
                <w:noProof/>
                <w:sz w:val="22"/>
                <w:szCs w:val="22"/>
                <w:lang w:val="en-US"/>
              </w:rPr>
              <w:t xml:space="preserve">2009. </w:t>
            </w:r>
            <w:r w:rsidRPr="00A978D0">
              <w:rPr>
                <w:rFonts w:ascii="Arial" w:hAnsi="Arial" w:cs="Arial"/>
                <w:noProof/>
                <w:sz w:val="22"/>
                <w:szCs w:val="22"/>
                <w:lang w:val="en-US"/>
              </w:rPr>
              <w:br/>
            </w:r>
          </w:p>
        </w:tc>
      </w:tr>
      <w:tr w:rsidR="00E05F64" w:rsidRPr="00A978D0" w14:paraId="0EC5ABB5" w14:textId="77777777" w:rsidTr="00C132EC">
        <w:trPr>
          <w:tblCellSpacing w:w="15" w:type="dxa"/>
        </w:trPr>
        <w:tc>
          <w:tcPr>
            <w:tcW w:w="171" w:type="pct"/>
            <w:hideMark/>
          </w:tcPr>
          <w:p w14:paraId="01CE6D74"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[6] </w:t>
            </w:r>
          </w:p>
        </w:tc>
        <w:tc>
          <w:tcPr>
            <w:tcW w:w="0" w:type="auto"/>
            <w:hideMark/>
          </w:tcPr>
          <w:p w14:paraId="6749A180"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 xml:space="preserve">A. Culliford et al, «Scalloping of duodenal mucosa in Crohn’s disease », </w:t>
            </w:r>
            <w:r w:rsidRPr="00A978D0">
              <w:rPr>
                <w:rFonts w:ascii="Arial" w:hAnsi="Arial" w:cs="Arial"/>
                <w:i/>
                <w:iCs/>
                <w:noProof/>
                <w:sz w:val="22"/>
                <w:szCs w:val="22"/>
                <w:lang w:val="en-US"/>
              </w:rPr>
              <w:t xml:space="preserve">Bowel disease, </w:t>
            </w:r>
            <w:r w:rsidRPr="00A978D0">
              <w:rPr>
                <w:rFonts w:ascii="Arial" w:hAnsi="Arial" w:cs="Arial"/>
                <w:noProof/>
                <w:sz w:val="22"/>
                <w:szCs w:val="22"/>
                <w:lang w:val="en-US"/>
              </w:rPr>
              <w:t xml:space="preserve">2004. </w:t>
            </w:r>
            <w:r w:rsidRPr="00A978D0">
              <w:rPr>
                <w:rFonts w:ascii="Arial" w:hAnsi="Arial" w:cs="Arial"/>
                <w:noProof/>
                <w:sz w:val="22"/>
                <w:szCs w:val="22"/>
                <w:lang w:val="en-US"/>
              </w:rPr>
              <w:br/>
            </w:r>
          </w:p>
        </w:tc>
      </w:tr>
      <w:tr w:rsidR="00E05F64" w:rsidRPr="00A978D0" w14:paraId="41FB328D" w14:textId="77777777" w:rsidTr="00C132EC">
        <w:trPr>
          <w:tblCellSpacing w:w="15" w:type="dxa"/>
        </w:trPr>
        <w:tc>
          <w:tcPr>
            <w:tcW w:w="171" w:type="pct"/>
            <w:hideMark/>
          </w:tcPr>
          <w:p w14:paraId="50590111"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[7] </w:t>
            </w:r>
          </w:p>
        </w:tc>
        <w:tc>
          <w:tcPr>
            <w:tcW w:w="0" w:type="auto"/>
            <w:hideMark/>
          </w:tcPr>
          <w:p w14:paraId="018AB981"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 xml:space="preserve">G. Lawlor et al, «New genetic data support an association between celiac disease and inflammatory bowel disease», </w:t>
            </w:r>
            <w:r w:rsidRPr="00A978D0">
              <w:rPr>
                <w:rFonts w:ascii="Arial" w:hAnsi="Arial" w:cs="Arial"/>
                <w:i/>
                <w:iCs/>
                <w:noProof/>
                <w:sz w:val="22"/>
                <w:szCs w:val="22"/>
                <w:lang w:val="en-US"/>
              </w:rPr>
              <w:t xml:space="preserve">Inflammatory Bowel disease, </w:t>
            </w:r>
            <w:r w:rsidRPr="00A978D0">
              <w:rPr>
                <w:rFonts w:ascii="Arial" w:hAnsi="Arial" w:cs="Arial"/>
                <w:noProof/>
                <w:sz w:val="22"/>
                <w:szCs w:val="22"/>
                <w:lang w:val="en-US"/>
              </w:rPr>
              <w:t xml:space="preserve">2011. </w:t>
            </w:r>
            <w:r w:rsidRPr="00A978D0">
              <w:rPr>
                <w:rFonts w:ascii="Arial" w:hAnsi="Arial" w:cs="Arial"/>
                <w:noProof/>
                <w:sz w:val="22"/>
                <w:szCs w:val="22"/>
                <w:lang w:val="en-US"/>
              </w:rPr>
              <w:br/>
            </w:r>
          </w:p>
        </w:tc>
      </w:tr>
      <w:tr w:rsidR="00E05F64" w:rsidRPr="00A978D0" w14:paraId="31811551" w14:textId="77777777" w:rsidTr="00C132EC">
        <w:trPr>
          <w:tblCellSpacing w:w="15" w:type="dxa"/>
        </w:trPr>
        <w:tc>
          <w:tcPr>
            <w:tcW w:w="171" w:type="pct"/>
            <w:hideMark/>
          </w:tcPr>
          <w:p w14:paraId="5CCF16E6"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[8] </w:t>
            </w:r>
          </w:p>
        </w:tc>
        <w:tc>
          <w:tcPr>
            <w:tcW w:w="0" w:type="auto"/>
            <w:hideMark/>
          </w:tcPr>
          <w:p w14:paraId="0FAE6C65"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 xml:space="preserve">A. Latiano et al, «The association of MYO9B gene in Italian patients with inflammatory bowel diseases», </w:t>
            </w:r>
            <w:r w:rsidRPr="00A978D0">
              <w:rPr>
                <w:rFonts w:ascii="Arial" w:hAnsi="Arial" w:cs="Arial"/>
                <w:i/>
                <w:iCs/>
                <w:noProof/>
                <w:sz w:val="22"/>
                <w:szCs w:val="22"/>
                <w:lang w:val="en-US"/>
              </w:rPr>
              <w:t xml:space="preserve">Alimentary Pharmacology &amp; Therapeutics, </w:t>
            </w:r>
            <w:r w:rsidRPr="00A978D0">
              <w:rPr>
                <w:rFonts w:ascii="Arial" w:hAnsi="Arial" w:cs="Arial"/>
                <w:noProof/>
                <w:sz w:val="22"/>
                <w:szCs w:val="22"/>
                <w:lang w:val="en-US"/>
              </w:rPr>
              <w:t xml:space="preserve">2008. </w:t>
            </w:r>
            <w:r w:rsidRPr="00A978D0">
              <w:rPr>
                <w:rFonts w:ascii="Arial" w:hAnsi="Arial" w:cs="Arial"/>
                <w:noProof/>
                <w:sz w:val="22"/>
                <w:szCs w:val="22"/>
                <w:lang w:val="en-US"/>
              </w:rPr>
              <w:br/>
            </w:r>
          </w:p>
        </w:tc>
      </w:tr>
      <w:tr w:rsidR="00E05F64" w:rsidRPr="00A978D0" w14:paraId="203814A1" w14:textId="77777777" w:rsidTr="00C132EC">
        <w:trPr>
          <w:tblCellSpacing w:w="15" w:type="dxa"/>
        </w:trPr>
        <w:tc>
          <w:tcPr>
            <w:tcW w:w="171" w:type="pct"/>
            <w:hideMark/>
          </w:tcPr>
          <w:p w14:paraId="401B87DD"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[9] </w:t>
            </w:r>
          </w:p>
        </w:tc>
        <w:tc>
          <w:tcPr>
            <w:tcW w:w="0" w:type="auto"/>
            <w:hideMark/>
          </w:tcPr>
          <w:p w14:paraId="7B37EF0A"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 xml:space="preserve">M. Rudwaleit et al, «Ankylosing spondylitis and bowel disease», </w:t>
            </w:r>
            <w:r w:rsidRPr="00A978D0">
              <w:rPr>
                <w:rFonts w:ascii="Arial" w:hAnsi="Arial" w:cs="Arial"/>
                <w:i/>
                <w:iCs/>
                <w:noProof/>
                <w:sz w:val="22"/>
                <w:szCs w:val="22"/>
                <w:lang w:val="en-US"/>
              </w:rPr>
              <w:t xml:space="preserve">Best Practice &amp; Research Clinical Rheumatology, </w:t>
            </w:r>
            <w:r w:rsidRPr="00A978D0">
              <w:rPr>
                <w:rFonts w:ascii="Arial" w:hAnsi="Arial" w:cs="Arial"/>
                <w:noProof/>
                <w:sz w:val="22"/>
                <w:szCs w:val="22"/>
                <w:lang w:val="en-US"/>
              </w:rPr>
              <w:t xml:space="preserve">2006. </w:t>
            </w:r>
          </w:p>
          <w:p w14:paraId="2BDA56F5" w14:textId="77777777" w:rsidR="00E05F64" w:rsidRPr="00A978D0" w:rsidRDefault="00E05F64" w:rsidP="00C132EC">
            <w:pPr>
              <w:rPr>
                <w:rFonts w:ascii="Arial" w:hAnsi="Arial" w:cs="Arial"/>
                <w:sz w:val="22"/>
                <w:szCs w:val="22"/>
              </w:rPr>
            </w:pPr>
          </w:p>
          <w:p w14:paraId="7246C673" w14:textId="77777777" w:rsidR="00E05F64" w:rsidRPr="00A978D0" w:rsidRDefault="00E05F64" w:rsidP="00C132EC">
            <w:pPr>
              <w:rPr>
                <w:rFonts w:ascii="Arial" w:hAnsi="Arial" w:cs="Arial"/>
                <w:sz w:val="22"/>
                <w:szCs w:val="22"/>
              </w:rPr>
            </w:pPr>
          </w:p>
        </w:tc>
      </w:tr>
    </w:tbl>
    <w:p w14:paraId="227C18DE" w14:textId="77777777" w:rsidR="004D4277" w:rsidRPr="00FB3A86" w:rsidRDefault="004D4277" w:rsidP="00E05F64">
      <w:pPr>
        <w:pStyle w:val="Body"/>
        <w:spacing w:after="0"/>
        <w:rPr>
          <w:rFonts w:ascii="Arial" w:hAnsi="Arial" w:cs="Arial"/>
          <w:b/>
        </w:rPr>
        <w:sectPr w:rsidR="004D4277" w:rsidRPr="00FB3A86" w:rsidSect="008B363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DD2AEDB" w14:textId="77777777" w:rsidR="00B01FCD" w:rsidRPr="00FB3A86" w:rsidRDefault="00B01FCD" w:rsidP="00E05F64">
      <w:pPr>
        <w:pStyle w:val="Appendix"/>
        <w:spacing w:after="0"/>
        <w:ind w:left="1440"/>
        <w:rPr>
          <w:rFonts w:ascii="Arial" w:hAnsi="Arial" w:cs="Arial"/>
          <w:b w:val="0"/>
        </w:rPr>
      </w:pPr>
    </w:p>
    <w:sectPr w:rsidR="00B01FCD" w:rsidRPr="00FB3A86" w:rsidSect="008B36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66901" w14:textId="77777777" w:rsidR="007E60DE" w:rsidRDefault="007E60DE" w:rsidP="00C37E61">
      <w:r>
        <w:separator/>
      </w:r>
    </w:p>
  </w:endnote>
  <w:endnote w:type="continuationSeparator" w:id="0">
    <w:p w14:paraId="4BC3F9CB" w14:textId="77777777" w:rsidR="007E60DE" w:rsidRDefault="007E60D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8CF0" w14:textId="77777777" w:rsidR="008B3636" w:rsidRDefault="008B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D356" w14:textId="77777777" w:rsidR="008B3636" w:rsidRDefault="008B3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38F8" w14:textId="12FF7F2B" w:rsidR="00754C9A" w:rsidRPr="008B3636" w:rsidRDefault="00754C9A" w:rsidP="008B363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B9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3B0DF" w14:textId="77777777" w:rsidR="007E60DE" w:rsidRDefault="007E60DE" w:rsidP="00C37E61">
      <w:r>
        <w:separator/>
      </w:r>
    </w:p>
  </w:footnote>
  <w:footnote w:type="continuationSeparator" w:id="0">
    <w:p w14:paraId="38FD94C5" w14:textId="77777777" w:rsidR="007E60DE" w:rsidRDefault="007E60D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487A" w14:textId="01D95DF6" w:rsidR="008B3636" w:rsidRDefault="008B3636">
    <w:pPr>
      <w:pStyle w:val="Header"/>
    </w:pPr>
    <w:r>
      <w:rPr>
        <w:noProof/>
      </w:rPr>
      <w:pict w14:anchorId="70D3A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285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67C3" w14:textId="4DCA0571" w:rsidR="008B3636" w:rsidRDefault="008B3636">
    <w:pPr>
      <w:pStyle w:val="Header"/>
    </w:pPr>
    <w:r>
      <w:rPr>
        <w:noProof/>
      </w:rPr>
      <w:pict w14:anchorId="790EF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285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B0250" w14:textId="6627A622" w:rsidR="00296529" w:rsidRPr="00296529" w:rsidRDefault="008B3636" w:rsidP="00296529">
    <w:pPr>
      <w:ind w:left="2160"/>
      <w:jc w:val="center"/>
      <w:rPr>
        <w:rFonts w:ascii="Times New Roman" w:eastAsia="Calibri" w:hAnsi="Times New Roman"/>
        <w:i/>
        <w:sz w:val="18"/>
        <w:szCs w:val="22"/>
      </w:rPr>
    </w:pPr>
    <w:r>
      <w:rPr>
        <w:noProof/>
      </w:rPr>
      <w:pict w14:anchorId="6C788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285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074A1C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6E827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90EEA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2005B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88D65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9928CC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C338" w14:textId="5AA9FA69" w:rsidR="008B3636" w:rsidRDefault="008B3636">
    <w:pPr>
      <w:pStyle w:val="Header"/>
    </w:pPr>
    <w:r>
      <w:rPr>
        <w:noProof/>
      </w:rPr>
      <w:pict w14:anchorId="28B24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285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0782" w14:textId="2852FB58" w:rsidR="008B3636" w:rsidRDefault="008B3636">
    <w:pPr>
      <w:pStyle w:val="Header"/>
    </w:pPr>
    <w:r>
      <w:rPr>
        <w:noProof/>
      </w:rPr>
      <w:pict w14:anchorId="3A354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285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6B38" w14:textId="447C45BA" w:rsidR="008B3636" w:rsidRDefault="008B3636">
    <w:pPr>
      <w:pStyle w:val="Header"/>
    </w:pPr>
    <w:r>
      <w:rPr>
        <w:noProof/>
      </w:rPr>
      <w:pict w14:anchorId="2190A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285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462D5"/>
    <w:rsid w:val="00163BC4"/>
    <w:rsid w:val="00191062"/>
    <w:rsid w:val="00192B72"/>
    <w:rsid w:val="001A29D8"/>
    <w:rsid w:val="001A5CAA"/>
    <w:rsid w:val="001B0427"/>
    <w:rsid w:val="001B2747"/>
    <w:rsid w:val="001D3A51"/>
    <w:rsid w:val="001E10D2"/>
    <w:rsid w:val="001E25B4"/>
    <w:rsid w:val="001E44FE"/>
    <w:rsid w:val="00200595"/>
    <w:rsid w:val="00204835"/>
    <w:rsid w:val="00214586"/>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09D0"/>
    <w:rsid w:val="00315186"/>
    <w:rsid w:val="00315FD6"/>
    <w:rsid w:val="0033343E"/>
    <w:rsid w:val="003512C2"/>
    <w:rsid w:val="00371FB6"/>
    <w:rsid w:val="003763C1"/>
    <w:rsid w:val="00376BBE"/>
    <w:rsid w:val="0039224F"/>
    <w:rsid w:val="003A43A4"/>
    <w:rsid w:val="003A7E18"/>
    <w:rsid w:val="003C4C86"/>
    <w:rsid w:val="003C6258"/>
    <w:rsid w:val="003E2904"/>
    <w:rsid w:val="003E7750"/>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E60DE"/>
    <w:rsid w:val="007F7B32"/>
    <w:rsid w:val="00804BC2"/>
    <w:rsid w:val="0081431A"/>
    <w:rsid w:val="0083216F"/>
    <w:rsid w:val="00860000"/>
    <w:rsid w:val="00863BD3"/>
    <w:rsid w:val="008641ED"/>
    <w:rsid w:val="00866D66"/>
    <w:rsid w:val="008671C6"/>
    <w:rsid w:val="00875803"/>
    <w:rsid w:val="008B3636"/>
    <w:rsid w:val="008B459E"/>
    <w:rsid w:val="008E13AE"/>
    <w:rsid w:val="008E1506"/>
    <w:rsid w:val="008E710C"/>
    <w:rsid w:val="008F69D6"/>
    <w:rsid w:val="00902823"/>
    <w:rsid w:val="00915CA6"/>
    <w:rsid w:val="00927834"/>
    <w:rsid w:val="0093470F"/>
    <w:rsid w:val="009500A6"/>
    <w:rsid w:val="009569F5"/>
    <w:rsid w:val="00957C18"/>
    <w:rsid w:val="009659BA"/>
    <w:rsid w:val="00983040"/>
    <w:rsid w:val="00996E80"/>
    <w:rsid w:val="009B3FB9"/>
    <w:rsid w:val="009B4989"/>
    <w:rsid w:val="009C2465"/>
    <w:rsid w:val="009D35A0"/>
    <w:rsid w:val="009D7EB7"/>
    <w:rsid w:val="009E048A"/>
    <w:rsid w:val="009E08E9"/>
    <w:rsid w:val="009E1193"/>
    <w:rsid w:val="009E3DB9"/>
    <w:rsid w:val="009E6E35"/>
    <w:rsid w:val="009F0EDA"/>
    <w:rsid w:val="00A03B96"/>
    <w:rsid w:val="00A05B19"/>
    <w:rsid w:val="00A1134E"/>
    <w:rsid w:val="00A24E7E"/>
    <w:rsid w:val="00A258C3"/>
    <w:rsid w:val="00A347C0"/>
    <w:rsid w:val="00A51431"/>
    <w:rsid w:val="00A539AD"/>
    <w:rsid w:val="00A73F45"/>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40F10"/>
    <w:rsid w:val="00D74CB0"/>
    <w:rsid w:val="00D8295D"/>
    <w:rsid w:val="00DC2A65"/>
    <w:rsid w:val="00DE15F0"/>
    <w:rsid w:val="00DE5663"/>
    <w:rsid w:val="00DE78AA"/>
    <w:rsid w:val="00E053D0"/>
    <w:rsid w:val="00E05F64"/>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E6EA5"/>
    <w:rsid w:val="00EF581D"/>
    <w:rsid w:val="00EF7FD8"/>
    <w:rsid w:val="00F06F59"/>
    <w:rsid w:val="00F17988"/>
    <w:rsid w:val="00F469F0"/>
    <w:rsid w:val="00F53273"/>
    <w:rsid w:val="00F755E4"/>
    <w:rsid w:val="00F77D02"/>
    <w:rsid w:val="00FA348A"/>
    <w:rsid w:val="00FB3A86"/>
    <w:rsid w:val="00FD36C8"/>
    <w:rsid w:val="00FF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E937F3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E05F64"/>
    <w:pPr>
      <w:spacing w:before="100" w:beforeAutospacing="1" w:after="100" w:afterAutospacing="1"/>
    </w:pPr>
    <w:rPr>
      <w:rFonts w:ascii="Times New Roman" w:hAnsi="Times New Roman"/>
      <w:sz w:val="24"/>
      <w:szCs w:val="24"/>
      <w:lang w:val="fr-MA" w:eastAsia="fr-FR"/>
    </w:rPr>
  </w:style>
  <w:style w:type="character" w:styleId="Strong">
    <w:name w:val="Strong"/>
    <w:basedOn w:val="DefaultParagraphFont"/>
    <w:uiPriority w:val="22"/>
    <w:qFormat/>
    <w:rsid w:val="00E05F64"/>
    <w:rPr>
      <w:b/>
      <w:bCs/>
    </w:rPr>
  </w:style>
  <w:style w:type="paragraph" w:styleId="Bibliography">
    <w:name w:val="Bibliography"/>
    <w:basedOn w:val="Normal"/>
    <w:next w:val="Normal"/>
    <w:uiPriority w:val="37"/>
    <w:unhideWhenUsed/>
    <w:rsid w:val="00E05F64"/>
    <w:rPr>
      <w:rFonts w:ascii="Times New Roman" w:hAnsi="Times New Roman"/>
      <w:sz w:val="24"/>
      <w:szCs w:val="24"/>
      <w:lang w:val="fr-M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0360789">
      <w:bodyDiv w:val="1"/>
      <w:marLeft w:val="0"/>
      <w:marRight w:val="0"/>
      <w:marTop w:val="0"/>
      <w:marBottom w:val="0"/>
      <w:divBdr>
        <w:top w:val="none" w:sz="0" w:space="0" w:color="auto"/>
        <w:left w:val="none" w:sz="0" w:space="0" w:color="auto"/>
        <w:bottom w:val="none" w:sz="0" w:space="0" w:color="auto"/>
        <w:right w:val="none" w:sz="0" w:space="0" w:color="auto"/>
      </w:divBdr>
    </w:div>
    <w:div w:id="22186570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48F7-69FB-4DE5-8043-F524804A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TotalTime>
  <Pages>6</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10114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2014-10-25T14:34:00Z</dcterms:created>
  <dcterms:modified xsi:type="dcterms:W3CDTF">2025-02-24T08:15:00Z</dcterms:modified>
</cp:coreProperties>
</file>