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658636" w14:textId="77777777" w:rsidR="00754C9A" w:rsidRDefault="00754C9A" w:rsidP="00441B6F">
      <w:pPr>
        <w:pStyle w:val="Title"/>
        <w:spacing w:after="0"/>
        <w:jc w:val="both"/>
        <w:rPr>
          <w:rFonts w:ascii="Arial" w:hAnsi="Arial" w:cs="Arial"/>
        </w:rPr>
      </w:pPr>
    </w:p>
    <w:p w14:paraId="58DA96B0" w14:textId="23BA6D4E" w:rsidR="00163BC4" w:rsidRPr="00163BC4" w:rsidRDefault="008E3A3F" w:rsidP="00441B6F">
      <w:pPr>
        <w:pStyle w:val="Author"/>
        <w:spacing w:line="240" w:lineRule="auto"/>
        <w:rPr>
          <w:rFonts w:ascii="Arial" w:hAnsi="Arial" w:cs="Arial"/>
          <w:bCs/>
          <w:iCs/>
          <w:kern w:val="28"/>
          <w:sz w:val="36"/>
        </w:rPr>
      </w:pPr>
      <w:r>
        <w:rPr>
          <w:rFonts w:ascii="Arial" w:hAnsi="Arial" w:cs="Arial"/>
          <w:bCs/>
          <w:iCs/>
          <w:kern w:val="28"/>
          <w:sz w:val="36"/>
        </w:rPr>
        <w:t xml:space="preserve">Comparative Evaluation of </w:t>
      </w:r>
      <w:r w:rsidRPr="008E3A3F">
        <w:rPr>
          <w:rFonts w:ascii="Arial" w:hAnsi="Arial" w:cs="Arial"/>
          <w:bCs/>
          <w:iCs/>
          <w:kern w:val="28"/>
          <w:sz w:val="36"/>
        </w:rPr>
        <w:t>the Serum Micronutrients in</w:t>
      </w:r>
      <w:r>
        <w:rPr>
          <w:rFonts w:ascii="Arial" w:hAnsi="Arial" w:cs="Arial"/>
          <w:bCs/>
          <w:iCs/>
          <w:kern w:val="28"/>
          <w:sz w:val="36"/>
        </w:rPr>
        <w:t xml:space="preserve"> Healthy Subjects and</w:t>
      </w:r>
      <w:r w:rsidRPr="008E3A3F">
        <w:rPr>
          <w:rFonts w:ascii="Arial" w:hAnsi="Arial" w:cs="Arial"/>
          <w:bCs/>
          <w:iCs/>
          <w:kern w:val="28"/>
          <w:sz w:val="36"/>
        </w:rPr>
        <w:t xml:space="preserve"> Malaria</w:t>
      </w:r>
      <w:r>
        <w:rPr>
          <w:rFonts w:ascii="Arial" w:hAnsi="Arial" w:cs="Arial"/>
          <w:bCs/>
          <w:iCs/>
          <w:kern w:val="28"/>
          <w:sz w:val="36"/>
        </w:rPr>
        <w:t>-i</w:t>
      </w:r>
      <w:r w:rsidRPr="008E3A3F">
        <w:rPr>
          <w:rFonts w:ascii="Arial" w:hAnsi="Arial" w:cs="Arial"/>
          <w:bCs/>
          <w:iCs/>
          <w:kern w:val="28"/>
          <w:sz w:val="36"/>
        </w:rPr>
        <w:t>nfected Patients</w:t>
      </w:r>
      <w:r w:rsidR="00231920">
        <w:rPr>
          <w:rFonts w:ascii="Arial" w:hAnsi="Arial" w:cs="Arial"/>
          <w:bCs/>
          <w:iCs/>
          <w:kern w:val="28"/>
          <w:sz w:val="36"/>
        </w:rPr>
        <w:t xml:space="preserve"> </w:t>
      </w:r>
    </w:p>
    <w:p w14:paraId="54D3CC4E" w14:textId="77777777" w:rsidR="00A258C3" w:rsidRPr="00790ADA" w:rsidRDefault="00A258C3" w:rsidP="00441B6F">
      <w:pPr>
        <w:pStyle w:val="Author"/>
        <w:spacing w:line="240" w:lineRule="auto"/>
        <w:jc w:val="both"/>
        <w:rPr>
          <w:rFonts w:ascii="Arial" w:hAnsi="Arial" w:cs="Arial"/>
          <w:sz w:val="36"/>
        </w:rPr>
      </w:pPr>
    </w:p>
    <w:p w14:paraId="446A5500" w14:textId="77777777" w:rsidR="00790ADA" w:rsidRDefault="00790ADA" w:rsidP="00441B6F">
      <w:pPr>
        <w:pStyle w:val="Affiliation"/>
        <w:spacing w:after="0" w:line="240" w:lineRule="auto"/>
        <w:jc w:val="both"/>
        <w:rPr>
          <w:rFonts w:ascii="Arial" w:hAnsi="Arial" w:cs="Arial"/>
        </w:rPr>
      </w:pPr>
    </w:p>
    <w:p w14:paraId="3E4BBEA9" w14:textId="77777777" w:rsidR="002C57D2" w:rsidRPr="00FB3A86" w:rsidRDefault="002C57D2" w:rsidP="00441B6F">
      <w:pPr>
        <w:pStyle w:val="Affiliation"/>
        <w:spacing w:after="0" w:line="240" w:lineRule="auto"/>
        <w:jc w:val="both"/>
        <w:rPr>
          <w:rFonts w:ascii="Arial" w:hAnsi="Arial" w:cs="Arial"/>
        </w:rPr>
      </w:pPr>
    </w:p>
    <w:p w14:paraId="7ADE352E" w14:textId="77777777" w:rsidR="00B01FCD" w:rsidRPr="00FB3A86" w:rsidRDefault="00E33AC1" w:rsidP="00441B6F">
      <w:pPr>
        <w:pStyle w:val="Copyright"/>
        <w:spacing w:after="0" w:line="240" w:lineRule="auto"/>
        <w:jc w:val="both"/>
        <w:rPr>
          <w:rFonts w:ascii="Arial" w:hAnsi="Arial" w:cs="Arial"/>
        </w:rPr>
        <w:sectPr w:rsidR="00B01FCD" w:rsidRPr="00FB3A86" w:rsidSect="00412475">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lnNumType w:countBy="1" w:restart="continuous"/>
          <w:cols w:space="720"/>
          <w:docGrid w:linePitch="272"/>
        </w:sectPr>
      </w:pPr>
      <w:r>
        <w:rPr>
          <w:rFonts w:ascii="Arial" w:hAnsi="Arial" w:cs="Arial"/>
        </w:rPr>
      </w:r>
      <w:r>
        <w:rPr>
          <w:rFonts w:ascii="Arial" w:hAnsi="Arial" w:cs="Arial"/>
        </w:rPr>
        <w:pict w14:anchorId="6143B6E8">
          <v:shapetype id="_x0000_t32" coordsize="21600,21600" o:spt="32" o:oned="t" path="m,l21600,21600e" filled="f">
            <v:path arrowok="t" fillok="f" o:connecttype="none"/>
            <o:lock v:ext="edit" shapetype="t"/>
          </v:shapetype>
          <v:shape id="_x0000_s1057"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p w14:paraId="39AB131B" w14:textId="44B4F702" w:rsidR="00B01FCD" w:rsidRDefault="00B01FCD" w:rsidP="00441B6F">
      <w:pPr>
        <w:pStyle w:val="AbstHead"/>
        <w:spacing w:after="0"/>
        <w:jc w:val="both"/>
        <w:rPr>
          <w:rFonts w:ascii="Arial" w:hAnsi="Arial" w:cs="Arial"/>
        </w:rPr>
      </w:pPr>
      <w:r w:rsidRPr="00FB3A86">
        <w:rPr>
          <w:rFonts w:ascii="Arial" w:hAnsi="Arial" w:cs="Arial"/>
        </w:rPr>
        <w:t>ABSTRACT</w:t>
      </w:r>
    </w:p>
    <w:p w14:paraId="7308D423"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1B3528E5" w14:textId="77777777" w:rsidTr="001E44FE">
        <w:tc>
          <w:tcPr>
            <w:tcW w:w="9576" w:type="dxa"/>
            <w:shd w:val="clear" w:color="auto" w:fill="F2F2F2"/>
          </w:tcPr>
          <w:p w14:paraId="4A0E245F" w14:textId="50EC4BAC" w:rsidR="00505F06" w:rsidRDefault="008E3A3F" w:rsidP="00441B6F">
            <w:pPr>
              <w:pStyle w:val="Body"/>
              <w:spacing w:after="0"/>
              <w:rPr>
                <w:rFonts w:ascii="Arial" w:eastAsia="Calibri" w:hAnsi="Arial" w:cs="Arial"/>
                <w:szCs w:val="22"/>
              </w:rPr>
            </w:pPr>
            <w:r w:rsidRPr="00634209">
              <w:rPr>
                <w:rFonts w:ascii="Arial" w:eastAsia="Calibri" w:hAnsi="Arial" w:cs="Arial"/>
                <w:b/>
                <w:bCs/>
                <w:szCs w:val="22"/>
              </w:rPr>
              <w:t>Background</w:t>
            </w:r>
            <w:r>
              <w:rPr>
                <w:rFonts w:ascii="Arial" w:eastAsia="Calibri" w:hAnsi="Arial" w:cs="Arial"/>
                <w:szCs w:val="22"/>
              </w:rPr>
              <w:t>:</w:t>
            </w:r>
            <w:r w:rsidR="00634209">
              <w:rPr>
                <w:rFonts w:ascii="Arial" w:eastAsia="Calibri" w:hAnsi="Arial" w:cs="Arial"/>
                <w:szCs w:val="22"/>
              </w:rPr>
              <w:t xml:space="preserve"> </w:t>
            </w:r>
            <w:r w:rsidR="00E75D48" w:rsidRPr="00E75D48">
              <w:rPr>
                <w:rFonts w:ascii="Arial" w:eastAsia="Calibri" w:hAnsi="Arial" w:cs="Arial"/>
                <w:szCs w:val="22"/>
              </w:rPr>
              <w:t>Malaria, an endemic infection within tropical regions across the globe, is known to have a high level of malnutrition burden.</w:t>
            </w:r>
          </w:p>
          <w:p w14:paraId="29481BA9" w14:textId="77777777" w:rsidR="00507224" w:rsidRDefault="00507224" w:rsidP="00441B6F">
            <w:pPr>
              <w:pStyle w:val="Body"/>
              <w:spacing w:after="0"/>
              <w:rPr>
                <w:rFonts w:ascii="Arial" w:eastAsia="Calibri" w:hAnsi="Arial" w:cs="Arial"/>
                <w:szCs w:val="22"/>
              </w:rPr>
            </w:pPr>
          </w:p>
          <w:p w14:paraId="45D99755" w14:textId="24599C56" w:rsidR="008E3A3F" w:rsidRDefault="008E3A3F" w:rsidP="00441B6F">
            <w:pPr>
              <w:pStyle w:val="Body"/>
              <w:spacing w:after="0"/>
              <w:rPr>
                <w:rFonts w:ascii="Arial" w:eastAsia="Calibri" w:hAnsi="Arial" w:cs="Arial"/>
                <w:szCs w:val="22"/>
              </w:rPr>
            </w:pPr>
            <w:r w:rsidRPr="00634209">
              <w:rPr>
                <w:rFonts w:ascii="Arial" w:eastAsia="Calibri" w:hAnsi="Arial" w:cs="Arial"/>
                <w:b/>
                <w:bCs/>
                <w:szCs w:val="22"/>
              </w:rPr>
              <w:t>Aim</w:t>
            </w:r>
            <w:r>
              <w:rPr>
                <w:rFonts w:ascii="Arial" w:eastAsia="Calibri" w:hAnsi="Arial" w:cs="Arial"/>
                <w:szCs w:val="22"/>
              </w:rPr>
              <w:t>:</w:t>
            </w:r>
            <w:r w:rsidR="00634209">
              <w:rPr>
                <w:rFonts w:ascii="Arial" w:eastAsia="Calibri" w:hAnsi="Arial" w:cs="Arial"/>
                <w:szCs w:val="22"/>
              </w:rPr>
              <w:t xml:space="preserve"> T</w:t>
            </w:r>
            <w:r w:rsidR="00E80608">
              <w:rPr>
                <w:rFonts w:ascii="Arial" w:eastAsia="Calibri" w:hAnsi="Arial" w:cs="Arial"/>
                <w:szCs w:val="22"/>
              </w:rPr>
              <w:t>o determine the level of micronutrients in malaria-infected people and healthy subjects.</w:t>
            </w:r>
          </w:p>
          <w:p w14:paraId="25CD5960" w14:textId="77777777" w:rsidR="00507224" w:rsidRDefault="00507224" w:rsidP="00441B6F">
            <w:pPr>
              <w:pStyle w:val="Body"/>
              <w:spacing w:after="0"/>
              <w:rPr>
                <w:rFonts w:ascii="Arial" w:eastAsia="Calibri" w:hAnsi="Arial" w:cs="Arial"/>
                <w:szCs w:val="22"/>
              </w:rPr>
            </w:pPr>
          </w:p>
          <w:p w14:paraId="36E6C2D7" w14:textId="05BE0438" w:rsidR="00E75D48" w:rsidRDefault="008E3A3F" w:rsidP="00441B6F">
            <w:pPr>
              <w:pStyle w:val="Body"/>
              <w:spacing w:after="0"/>
              <w:rPr>
                <w:rFonts w:ascii="Arial" w:eastAsia="Calibri" w:hAnsi="Arial" w:cs="Arial"/>
                <w:szCs w:val="22"/>
              </w:rPr>
            </w:pPr>
            <w:r w:rsidRPr="00634209">
              <w:rPr>
                <w:rFonts w:ascii="Arial" w:eastAsia="Calibri" w:hAnsi="Arial" w:cs="Arial"/>
                <w:b/>
                <w:bCs/>
                <w:szCs w:val="22"/>
              </w:rPr>
              <w:t>Methods</w:t>
            </w:r>
            <w:r>
              <w:rPr>
                <w:rFonts w:ascii="Arial" w:eastAsia="Calibri" w:hAnsi="Arial" w:cs="Arial"/>
                <w:szCs w:val="22"/>
              </w:rPr>
              <w:t>:</w:t>
            </w:r>
            <w:r w:rsidR="00E80608">
              <w:rPr>
                <w:rFonts w:ascii="Arial" w:eastAsia="Calibri" w:hAnsi="Arial" w:cs="Arial"/>
                <w:szCs w:val="22"/>
              </w:rPr>
              <w:t xml:space="preserve"> </w:t>
            </w:r>
            <w:r w:rsidR="00E75D48" w:rsidRPr="00E75D48">
              <w:rPr>
                <w:rFonts w:ascii="Arial" w:eastAsia="Calibri" w:hAnsi="Arial" w:cs="Arial"/>
                <w:szCs w:val="22"/>
              </w:rPr>
              <w:t>The study used a cross-sectional approach to sample 400 subjects with random selection techniques. 200 were selected from malaria-infected subjects while 200 subjects were taken from healthy subjects. Thick and thin film smears were viewed microscopically to confirm positive and negative subjects. An automated analyzer was used to measure micronutrients.</w:t>
            </w:r>
          </w:p>
          <w:p w14:paraId="15B92680" w14:textId="41961D17" w:rsidR="008E3A3F" w:rsidRDefault="00BE5077" w:rsidP="00441B6F">
            <w:pPr>
              <w:pStyle w:val="Body"/>
              <w:spacing w:after="0"/>
              <w:rPr>
                <w:rFonts w:ascii="Arial" w:eastAsia="Calibri" w:hAnsi="Arial" w:cs="Arial"/>
                <w:szCs w:val="22"/>
              </w:rPr>
            </w:pPr>
            <w:r>
              <w:rPr>
                <w:rFonts w:ascii="Arial" w:eastAsia="Calibri" w:hAnsi="Arial" w:cs="Arial"/>
                <w:szCs w:val="22"/>
              </w:rPr>
              <w:t xml:space="preserve"> </w:t>
            </w:r>
          </w:p>
          <w:p w14:paraId="4B3F6EF9" w14:textId="75E350AE" w:rsidR="00507224" w:rsidRDefault="008E3A3F" w:rsidP="00441B6F">
            <w:pPr>
              <w:pStyle w:val="Body"/>
              <w:spacing w:after="0"/>
              <w:rPr>
                <w:rFonts w:ascii="Arial" w:hAnsi="Arial" w:cs="Arial"/>
              </w:rPr>
            </w:pPr>
            <w:r w:rsidRPr="00634209">
              <w:rPr>
                <w:rFonts w:ascii="Arial" w:eastAsia="Calibri" w:hAnsi="Arial" w:cs="Arial"/>
                <w:b/>
                <w:bCs/>
                <w:szCs w:val="22"/>
              </w:rPr>
              <w:t>Results</w:t>
            </w:r>
            <w:r>
              <w:rPr>
                <w:rFonts w:ascii="Arial" w:eastAsia="Calibri" w:hAnsi="Arial" w:cs="Arial"/>
                <w:szCs w:val="22"/>
              </w:rPr>
              <w:t>:</w:t>
            </w:r>
            <w:r w:rsidR="001C5AC0">
              <w:rPr>
                <w:rFonts w:ascii="Arial" w:eastAsia="Calibri" w:hAnsi="Arial" w:cs="Arial"/>
                <w:szCs w:val="22"/>
              </w:rPr>
              <w:t xml:space="preserve"> </w:t>
            </w:r>
            <w:r w:rsidR="00E75D48" w:rsidRPr="00E75D48">
              <w:rPr>
                <w:rFonts w:ascii="Arial" w:hAnsi="Arial" w:cs="Arial"/>
              </w:rPr>
              <w:t>All control subjects were significantly higher (p=&lt;.0001) than the malaria-infected patients for calcium, magnesium, phosphate and iron. Micronutrients that showed a significant comparison of means using one-way analyses of variance were iron (p=&lt;.0001), phosphate (p=.0023), and calcium (p=&lt;.0001). The post hoc analyses showed that for the iron parameter, subjects within the age range of 1 to 10 years (10.4±1.4 µmol/L) exhibited significantly lower levels compared to 21-30 years (14.2±1.4 µmol/L, p=&lt;.0001), 31-40 years (14.6±1.2 µmol/L, p=&lt;.0001), and ≥41 (12.8±1.4 µmol/L, p=&lt;.0089). Similarly, people within the age range of 11 to 20 years (11.6±2.1 µmol/L) showed significantly lower levels of iron compared to those people within the age ranges of 21 to 30 years (14.2±1.4 µmol/L, p=.0039) and 31 to 40 years (14.6±1.2 µmol/L, p=.0007). All the correlations between the age and the malaria infection showed significant correlations for all the micronutrients with p-values of &lt;.0001. On the contrary, the healthy subjects only had significant correlations for calcium and phosphate. Calcium showed significant correlations for both control and healthy subjects but with moderate correlations with malaria-infected people having a positive correlation (r=0.6823), while healthy subjects had negative correction (r=-0.6753).</w:t>
            </w:r>
          </w:p>
          <w:p w14:paraId="230E5A51" w14:textId="77777777" w:rsidR="00E75D48" w:rsidRDefault="00E75D48" w:rsidP="00441B6F">
            <w:pPr>
              <w:pStyle w:val="Body"/>
              <w:spacing w:after="0"/>
              <w:rPr>
                <w:rFonts w:ascii="Arial" w:eastAsia="Calibri" w:hAnsi="Arial" w:cs="Arial"/>
                <w:szCs w:val="22"/>
              </w:rPr>
            </w:pPr>
          </w:p>
          <w:p w14:paraId="4311C165" w14:textId="22A23EC8" w:rsidR="008E3A3F" w:rsidRPr="00BE5077" w:rsidRDefault="008E3A3F" w:rsidP="00441B6F">
            <w:pPr>
              <w:pStyle w:val="Body"/>
              <w:spacing w:after="0"/>
              <w:rPr>
                <w:rFonts w:ascii="Arial" w:eastAsia="Calibri" w:hAnsi="Arial" w:cs="Arial"/>
                <w:szCs w:val="22"/>
              </w:rPr>
            </w:pPr>
            <w:r w:rsidRPr="00634209">
              <w:rPr>
                <w:rFonts w:ascii="Arial" w:eastAsia="Calibri" w:hAnsi="Arial" w:cs="Arial"/>
                <w:b/>
                <w:bCs/>
                <w:szCs w:val="22"/>
              </w:rPr>
              <w:t>Conclusion</w:t>
            </w:r>
            <w:r w:rsidR="00BE5077">
              <w:rPr>
                <w:rFonts w:ascii="Arial" w:eastAsia="Calibri" w:hAnsi="Arial" w:cs="Arial"/>
                <w:szCs w:val="22"/>
              </w:rPr>
              <w:t xml:space="preserve">: </w:t>
            </w:r>
            <w:r w:rsidR="00D42E01" w:rsidRPr="00D42E01">
              <w:rPr>
                <w:rFonts w:ascii="Arial" w:hAnsi="Arial" w:cs="Arial"/>
              </w:rPr>
              <w:t>Micronutrients such as iron, phosphate, calcium and magnesium were significantly higher in healthy subjects than malaria-infected subjects. This implies that these nutrients play a crucial role as a likely risk factor for the infection.</w:t>
            </w:r>
          </w:p>
        </w:tc>
      </w:tr>
    </w:tbl>
    <w:p w14:paraId="616E8D91" w14:textId="77777777" w:rsidR="00636EB2" w:rsidRDefault="00636EB2" w:rsidP="00441B6F">
      <w:pPr>
        <w:pStyle w:val="Body"/>
        <w:spacing w:after="0"/>
        <w:rPr>
          <w:rFonts w:ascii="Arial" w:hAnsi="Arial" w:cs="Arial"/>
          <w:i/>
        </w:rPr>
      </w:pPr>
    </w:p>
    <w:p w14:paraId="6939CC3D" w14:textId="53B0AA92" w:rsidR="00A24E7E" w:rsidRDefault="00A24E7E" w:rsidP="00441B6F">
      <w:pPr>
        <w:pStyle w:val="Body"/>
        <w:spacing w:after="0"/>
        <w:rPr>
          <w:rFonts w:ascii="Arial" w:hAnsi="Arial" w:cs="Arial"/>
          <w:i/>
        </w:rPr>
      </w:pPr>
      <w:r>
        <w:rPr>
          <w:rFonts w:ascii="Arial" w:hAnsi="Arial" w:cs="Arial"/>
          <w:i/>
        </w:rPr>
        <w:t xml:space="preserve">Keywords: </w:t>
      </w:r>
      <w:r w:rsidR="008E3A3F">
        <w:rPr>
          <w:rFonts w:ascii="Arial" w:hAnsi="Arial" w:cs="Arial"/>
          <w:i/>
        </w:rPr>
        <w:t>Serum micronutrient, cytokines, malaria infection, clinical studies</w:t>
      </w:r>
    </w:p>
    <w:p w14:paraId="3C0F498B" w14:textId="7C9C083F"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318521E1" w14:textId="77777777" w:rsidR="00790ADA" w:rsidRPr="00FB3A86" w:rsidRDefault="00790ADA" w:rsidP="00441B6F">
      <w:pPr>
        <w:pStyle w:val="AbstHead"/>
        <w:spacing w:after="0"/>
        <w:jc w:val="both"/>
        <w:rPr>
          <w:rFonts w:ascii="Arial" w:hAnsi="Arial" w:cs="Arial"/>
        </w:rPr>
      </w:pPr>
    </w:p>
    <w:p w14:paraId="2CADA447" w14:textId="2CA0ACFC" w:rsidR="007A326D" w:rsidRPr="007A326D" w:rsidRDefault="008E3A3F" w:rsidP="007A326D">
      <w:pPr>
        <w:pStyle w:val="Body"/>
        <w:rPr>
          <w:rFonts w:ascii="Arial" w:hAnsi="Arial" w:cs="Arial"/>
          <w:lang w:val="en-GB"/>
        </w:rPr>
      </w:pPr>
      <w:r w:rsidRPr="008E3A3F">
        <w:rPr>
          <w:rFonts w:ascii="Arial" w:hAnsi="Arial" w:cs="Arial"/>
        </w:rPr>
        <w:t xml:space="preserve">Malaria is one of the most serious health problems in the world with </w:t>
      </w:r>
      <w:r w:rsidR="00B157AD">
        <w:rPr>
          <w:rFonts w:ascii="Arial" w:hAnsi="Arial" w:cs="Arial"/>
        </w:rPr>
        <w:t>an estimated 263 million current infec</w:t>
      </w:r>
      <w:bookmarkStart w:id="0" w:name="_GoBack"/>
      <w:bookmarkEnd w:id="0"/>
      <w:r w:rsidR="00B157AD">
        <w:rPr>
          <w:rFonts w:ascii="Arial" w:hAnsi="Arial" w:cs="Arial"/>
        </w:rPr>
        <w:t>tions and 597,000 annual mortalities. Africa has a disproportionately high burden of this infection with over 94% of the infection (World Health Organization, 2024).</w:t>
      </w:r>
      <w:r w:rsidRPr="008E3A3F">
        <w:rPr>
          <w:rFonts w:ascii="Arial" w:hAnsi="Arial" w:cs="Arial"/>
        </w:rPr>
        <w:t xml:space="preserve"> </w:t>
      </w:r>
      <w:r w:rsidR="009278F0" w:rsidRPr="007A326D">
        <w:rPr>
          <w:rFonts w:ascii="Arial" w:hAnsi="Arial" w:cs="Arial"/>
          <w:lang w:val="en-GB"/>
        </w:rPr>
        <w:t xml:space="preserve">Malaria in humans is caused by five species of the </w:t>
      </w:r>
      <w:r w:rsidR="009278F0" w:rsidRPr="007A326D">
        <w:rPr>
          <w:rFonts w:ascii="Arial" w:hAnsi="Arial" w:cs="Arial"/>
          <w:i/>
          <w:iCs/>
          <w:lang w:val="en-GB"/>
        </w:rPr>
        <w:t>Plasmodium</w:t>
      </w:r>
      <w:r w:rsidR="009278F0" w:rsidRPr="007A326D">
        <w:rPr>
          <w:rFonts w:ascii="Arial" w:hAnsi="Arial" w:cs="Arial"/>
          <w:lang w:val="en-GB"/>
        </w:rPr>
        <w:t xml:space="preserve"> parasite, with </w:t>
      </w:r>
      <w:r w:rsidR="009278F0" w:rsidRPr="007A326D">
        <w:rPr>
          <w:rFonts w:ascii="Arial" w:hAnsi="Arial" w:cs="Arial"/>
          <w:i/>
          <w:iCs/>
          <w:lang w:val="en-GB"/>
        </w:rPr>
        <w:t>P. falciparum</w:t>
      </w:r>
      <w:r w:rsidR="009278F0" w:rsidRPr="007A326D">
        <w:rPr>
          <w:rFonts w:ascii="Arial" w:hAnsi="Arial" w:cs="Arial"/>
          <w:lang w:val="en-GB"/>
        </w:rPr>
        <w:t xml:space="preserve"> </w:t>
      </w:r>
      <w:r w:rsidR="009278F0" w:rsidRPr="007A326D">
        <w:rPr>
          <w:rFonts w:ascii="Arial" w:hAnsi="Arial" w:cs="Arial"/>
          <w:lang w:val="en-GB"/>
        </w:rPr>
        <w:lastRenderedPageBreak/>
        <w:t xml:space="preserve">and </w:t>
      </w:r>
      <w:r w:rsidR="009278F0" w:rsidRPr="007A326D">
        <w:rPr>
          <w:rFonts w:ascii="Arial" w:hAnsi="Arial" w:cs="Arial"/>
          <w:i/>
          <w:iCs/>
          <w:lang w:val="en-GB"/>
        </w:rPr>
        <w:t>P. vivax</w:t>
      </w:r>
      <w:r w:rsidR="009278F0" w:rsidRPr="007A326D">
        <w:rPr>
          <w:rFonts w:ascii="Arial" w:hAnsi="Arial" w:cs="Arial"/>
          <w:lang w:val="en-GB"/>
        </w:rPr>
        <w:t xml:space="preserve"> being the most dangerous. </w:t>
      </w:r>
      <w:r w:rsidR="009278F0" w:rsidRPr="007A326D">
        <w:rPr>
          <w:rFonts w:ascii="Arial" w:hAnsi="Arial" w:cs="Arial"/>
          <w:i/>
          <w:iCs/>
          <w:lang w:val="en-GB"/>
        </w:rPr>
        <w:t>P. falciparum</w:t>
      </w:r>
      <w:r w:rsidR="009278F0" w:rsidRPr="007A326D">
        <w:rPr>
          <w:rFonts w:ascii="Arial" w:hAnsi="Arial" w:cs="Arial"/>
          <w:lang w:val="en-GB"/>
        </w:rPr>
        <w:t xml:space="preserve"> is the most lethal and widely found across Africa, while </w:t>
      </w:r>
      <w:r w:rsidR="009278F0" w:rsidRPr="007A326D">
        <w:rPr>
          <w:rFonts w:ascii="Arial" w:hAnsi="Arial" w:cs="Arial"/>
          <w:i/>
          <w:iCs/>
          <w:lang w:val="en-GB"/>
        </w:rPr>
        <w:t>P. vivax</w:t>
      </w:r>
      <w:r w:rsidR="009278F0" w:rsidRPr="007A326D">
        <w:rPr>
          <w:rFonts w:ascii="Arial" w:hAnsi="Arial" w:cs="Arial"/>
          <w:lang w:val="en-GB"/>
        </w:rPr>
        <w:t xml:space="preserve"> is the predominant species in many regions outside sub-Saharan Africa</w:t>
      </w:r>
      <w:r w:rsidR="00A20307">
        <w:rPr>
          <w:rFonts w:ascii="Arial" w:hAnsi="Arial" w:cs="Arial"/>
          <w:lang w:val="en-GB"/>
        </w:rPr>
        <w:t xml:space="preserve"> (</w:t>
      </w:r>
      <w:proofErr w:type="spellStart"/>
      <w:r w:rsidR="00A20307" w:rsidRPr="00A20307">
        <w:rPr>
          <w:rFonts w:ascii="Arial" w:hAnsi="Arial" w:cs="Arial"/>
        </w:rPr>
        <w:t>Mbanefo</w:t>
      </w:r>
      <w:proofErr w:type="spellEnd"/>
      <w:r w:rsidR="00A20307">
        <w:rPr>
          <w:rFonts w:ascii="Arial" w:hAnsi="Arial" w:cs="Arial"/>
        </w:rPr>
        <w:t xml:space="preserve"> and</w:t>
      </w:r>
      <w:r w:rsidR="00A20307" w:rsidRPr="00A20307">
        <w:rPr>
          <w:rFonts w:ascii="Arial" w:hAnsi="Arial" w:cs="Arial"/>
        </w:rPr>
        <w:t> Kumar</w:t>
      </w:r>
      <w:r w:rsidR="00A20307">
        <w:rPr>
          <w:rFonts w:ascii="Arial" w:hAnsi="Arial" w:cs="Arial"/>
        </w:rPr>
        <w:t>, 2020)</w:t>
      </w:r>
      <w:r w:rsidR="009278F0" w:rsidRPr="007A326D">
        <w:rPr>
          <w:rFonts w:ascii="Arial" w:hAnsi="Arial" w:cs="Arial"/>
          <w:lang w:val="en-GB"/>
        </w:rPr>
        <w:t xml:space="preserve">. The other species capable of infecting humans include </w:t>
      </w:r>
      <w:r w:rsidR="009278F0" w:rsidRPr="007A326D">
        <w:rPr>
          <w:rFonts w:ascii="Arial" w:hAnsi="Arial" w:cs="Arial"/>
          <w:i/>
          <w:iCs/>
          <w:lang w:val="en-GB"/>
        </w:rPr>
        <w:t>P. malariae</w:t>
      </w:r>
      <w:r w:rsidR="009278F0" w:rsidRPr="007A326D">
        <w:rPr>
          <w:rFonts w:ascii="Arial" w:hAnsi="Arial" w:cs="Arial"/>
          <w:lang w:val="en-GB"/>
        </w:rPr>
        <w:t xml:space="preserve">, </w:t>
      </w:r>
      <w:r w:rsidR="009278F0" w:rsidRPr="007A326D">
        <w:rPr>
          <w:rFonts w:ascii="Arial" w:hAnsi="Arial" w:cs="Arial"/>
          <w:i/>
          <w:iCs/>
          <w:lang w:val="en-GB"/>
        </w:rPr>
        <w:t xml:space="preserve">P. </w:t>
      </w:r>
      <w:proofErr w:type="spellStart"/>
      <w:r w:rsidR="009278F0" w:rsidRPr="007A326D">
        <w:rPr>
          <w:rFonts w:ascii="Arial" w:hAnsi="Arial" w:cs="Arial"/>
          <w:i/>
          <w:iCs/>
          <w:lang w:val="en-GB"/>
        </w:rPr>
        <w:t>ovale</w:t>
      </w:r>
      <w:proofErr w:type="spellEnd"/>
      <w:r w:rsidR="009278F0" w:rsidRPr="007A326D">
        <w:rPr>
          <w:rFonts w:ascii="Arial" w:hAnsi="Arial" w:cs="Arial"/>
          <w:lang w:val="en-GB"/>
        </w:rPr>
        <w:t xml:space="preserve">, and </w:t>
      </w:r>
      <w:r w:rsidR="009278F0" w:rsidRPr="007A326D">
        <w:rPr>
          <w:rFonts w:ascii="Arial" w:hAnsi="Arial" w:cs="Arial"/>
          <w:i/>
          <w:iCs/>
          <w:lang w:val="en-GB"/>
        </w:rPr>
        <w:t>P. knowlesi</w:t>
      </w:r>
      <w:r w:rsidR="009278F0">
        <w:rPr>
          <w:rFonts w:ascii="Arial" w:hAnsi="Arial" w:cs="Arial"/>
          <w:lang w:val="en-GB"/>
        </w:rPr>
        <w:t xml:space="preserve"> (</w:t>
      </w:r>
      <w:r w:rsidR="009278F0" w:rsidRPr="00C448C1">
        <w:rPr>
          <w:rFonts w:ascii="Arial" w:hAnsi="Arial" w:cs="Arial"/>
        </w:rPr>
        <w:t>Abdulkareem</w:t>
      </w:r>
      <w:r w:rsidR="009278F0">
        <w:rPr>
          <w:rFonts w:ascii="Arial" w:hAnsi="Arial" w:cs="Arial"/>
        </w:rPr>
        <w:t xml:space="preserve"> et al., 2017, </w:t>
      </w:r>
      <w:r w:rsidR="009278F0" w:rsidRPr="00ED3C5D">
        <w:rPr>
          <w:rFonts w:ascii="Arial" w:hAnsi="Arial" w:cs="Arial"/>
          <w:iCs/>
        </w:rPr>
        <w:t>Benzecry</w:t>
      </w:r>
      <w:r w:rsidR="009278F0">
        <w:rPr>
          <w:rFonts w:ascii="Arial" w:hAnsi="Arial" w:cs="Arial"/>
          <w:iCs/>
        </w:rPr>
        <w:t xml:space="preserve"> et al., 2016)</w:t>
      </w:r>
      <w:r w:rsidR="009278F0">
        <w:rPr>
          <w:rFonts w:ascii="Arial" w:hAnsi="Arial" w:cs="Arial"/>
        </w:rPr>
        <w:t xml:space="preserve">. </w:t>
      </w:r>
      <w:r w:rsidRPr="008E3A3F">
        <w:rPr>
          <w:rFonts w:ascii="Arial" w:hAnsi="Arial" w:cs="Arial"/>
        </w:rPr>
        <w:t xml:space="preserve">Previous studies have shown </w:t>
      </w:r>
      <w:r w:rsidR="008060A3">
        <w:rPr>
          <w:rFonts w:ascii="Arial" w:hAnsi="Arial" w:cs="Arial"/>
        </w:rPr>
        <w:t>consistent</w:t>
      </w:r>
      <w:r w:rsidRPr="008E3A3F">
        <w:rPr>
          <w:rFonts w:ascii="Arial" w:hAnsi="Arial" w:cs="Arial"/>
        </w:rPr>
        <w:t xml:space="preserve"> evidence associating micronutrient deficiencies and malaria incidence.</w:t>
      </w:r>
      <w:r w:rsidR="002F2E5A">
        <w:rPr>
          <w:rFonts w:ascii="Arial" w:hAnsi="Arial" w:cs="Arial"/>
        </w:rPr>
        <w:t xml:space="preserve"> </w:t>
      </w:r>
      <w:r w:rsidR="009278F0">
        <w:rPr>
          <w:rFonts w:ascii="Arial" w:hAnsi="Arial" w:cs="Arial"/>
        </w:rPr>
        <w:t xml:space="preserve">These reduced levels of micronutrients such as zinc, copper, and iron have been </w:t>
      </w:r>
      <w:r w:rsidR="008060A3">
        <w:rPr>
          <w:rFonts w:ascii="Arial" w:hAnsi="Arial" w:cs="Arial"/>
        </w:rPr>
        <w:t>linked with</w:t>
      </w:r>
      <w:r w:rsidR="009278F0">
        <w:rPr>
          <w:rFonts w:ascii="Arial" w:hAnsi="Arial" w:cs="Arial"/>
        </w:rPr>
        <w:t xml:space="preserve"> the competition by </w:t>
      </w:r>
      <w:r w:rsidR="009278F0" w:rsidRPr="008060A3">
        <w:rPr>
          <w:rFonts w:ascii="Arial" w:hAnsi="Arial" w:cs="Arial"/>
          <w:i/>
          <w:iCs/>
        </w:rPr>
        <w:t>Plasmodium</w:t>
      </w:r>
      <w:r w:rsidR="009278F0">
        <w:rPr>
          <w:rFonts w:ascii="Arial" w:hAnsi="Arial" w:cs="Arial"/>
        </w:rPr>
        <w:t xml:space="preserve"> species with</w:t>
      </w:r>
      <w:r w:rsidR="00E75D48">
        <w:rPr>
          <w:rFonts w:ascii="Arial" w:hAnsi="Arial" w:cs="Arial"/>
        </w:rPr>
        <w:t xml:space="preserve"> the</w:t>
      </w:r>
      <w:r w:rsidR="009278F0">
        <w:rPr>
          <w:rFonts w:ascii="Arial" w:hAnsi="Arial" w:cs="Arial"/>
        </w:rPr>
        <w:t xml:space="preserve"> host (Dinga et al., 2024). </w:t>
      </w:r>
    </w:p>
    <w:p w14:paraId="1581F70D" w14:textId="47F98910" w:rsidR="008E3A3F" w:rsidRPr="008E3A3F" w:rsidRDefault="008E3A3F" w:rsidP="008E3A3F">
      <w:pPr>
        <w:pStyle w:val="Body"/>
        <w:rPr>
          <w:rFonts w:ascii="Arial" w:hAnsi="Arial" w:cs="Arial"/>
        </w:rPr>
      </w:pPr>
      <w:r w:rsidRPr="008E3A3F">
        <w:rPr>
          <w:rFonts w:ascii="Arial" w:hAnsi="Arial" w:cs="Arial"/>
        </w:rPr>
        <w:t xml:space="preserve">Micronutrient </w:t>
      </w:r>
      <w:r w:rsidR="008060A3">
        <w:rPr>
          <w:rFonts w:ascii="Arial" w:hAnsi="Arial" w:cs="Arial"/>
        </w:rPr>
        <w:t>deficiency</w:t>
      </w:r>
      <w:r w:rsidRPr="008E3A3F">
        <w:rPr>
          <w:rFonts w:ascii="Arial" w:hAnsi="Arial" w:cs="Arial"/>
        </w:rPr>
        <w:t xml:space="preserve"> </w:t>
      </w:r>
      <w:r w:rsidR="002F2E5A" w:rsidRPr="008E3A3F">
        <w:rPr>
          <w:rFonts w:ascii="Arial" w:hAnsi="Arial" w:cs="Arial"/>
        </w:rPr>
        <w:t>is</w:t>
      </w:r>
      <w:r w:rsidRPr="008E3A3F">
        <w:rPr>
          <w:rFonts w:ascii="Arial" w:hAnsi="Arial" w:cs="Arial"/>
        </w:rPr>
        <w:t xml:space="preserve"> associated with several infections due to key roles </w:t>
      </w:r>
      <w:r w:rsidR="008060A3">
        <w:rPr>
          <w:rFonts w:ascii="Arial" w:hAnsi="Arial" w:cs="Arial"/>
        </w:rPr>
        <w:t xml:space="preserve">they have </w:t>
      </w:r>
      <w:r w:rsidRPr="008E3A3F">
        <w:rPr>
          <w:rFonts w:ascii="Arial" w:hAnsi="Arial" w:cs="Arial"/>
        </w:rPr>
        <w:t xml:space="preserve">in the function of </w:t>
      </w:r>
      <w:r w:rsidR="002F2E5A" w:rsidRPr="008E3A3F">
        <w:rPr>
          <w:rFonts w:ascii="Arial" w:hAnsi="Arial" w:cs="Arial"/>
        </w:rPr>
        <w:t>the immune</w:t>
      </w:r>
      <w:r w:rsidRPr="008E3A3F">
        <w:rPr>
          <w:rFonts w:ascii="Arial" w:hAnsi="Arial" w:cs="Arial"/>
        </w:rPr>
        <w:t xml:space="preserve"> system. </w:t>
      </w:r>
      <w:r w:rsidR="00F03627">
        <w:rPr>
          <w:rFonts w:ascii="Arial" w:hAnsi="Arial" w:cs="Arial"/>
        </w:rPr>
        <w:t>Deficiency in micronutrients has been traced to developing nations especially sub-Saharan Africa (Bailey et al., 2015).</w:t>
      </w:r>
      <w:r w:rsidRPr="008E3A3F">
        <w:rPr>
          <w:rFonts w:ascii="Arial" w:hAnsi="Arial" w:cs="Arial"/>
        </w:rPr>
        <w:t xml:space="preserve"> </w:t>
      </w:r>
      <w:r w:rsidR="008060A3">
        <w:rPr>
          <w:rFonts w:ascii="Arial" w:hAnsi="Arial" w:cs="Arial"/>
        </w:rPr>
        <w:t xml:space="preserve">It has been discovered that the reverse is also the case whereby </w:t>
      </w:r>
      <w:r w:rsidRPr="008E3A3F">
        <w:rPr>
          <w:rFonts w:ascii="Arial" w:hAnsi="Arial" w:cs="Arial"/>
        </w:rPr>
        <w:t>deficienc</w:t>
      </w:r>
      <w:r w:rsidR="008060A3">
        <w:rPr>
          <w:rFonts w:ascii="Arial" w:hAnsi="Arial" w:cs="Arial"/>
        </w:rPr>
        <w:t>y in certain micronutrients</w:t>
      </w:r>
      <w:r w:rsidRPr="008E3A3F">
        <w:rPr>
          <w:rFonts w:ascii="Arial" w:hAnsi="Arial" w:cs="Arial"/>
        </w:rPr>
        <w:t xml:space="preserve"> </w:t>
      </w:r>
      <w:r w:rsidR="007A326D" w:rsidRPr="008E3A3F">
        <w:rPr>
          <w:rFonts w:ascii="Arial" w:hAnsi="Arial" w:cs="Arial"/>
        </w:rPr>
        <w:t>predispose</w:t>
      </w:r>
      <w:r w:rsidR="005E07FE">
        <w:rPr>
          <w:rFonts w:ascii="Arial" w:hAnsi="Arial" w:cs="Arial"/>
        </w:rPr>
        <w:t>s</w:t>
      </w:r>
      <w:r w:rsidR="00F03627">
        <w:rPr>
          <w:rFonts w:ascii="Arial" w:hAnsi="Arial" w:cs="Arial"/>
        </w:rPr>
        <w:t xml:space="preserve"> patients to</w:t>
      </w:r>
      <w:r w:rsidRPr="008E3A3F">
        <w:rPr>
          <w:rFonts w:ascii="Arial" w:hAnsi="Arial" w:cs="Arial"/>
        </w:rPr>
        <w:t xml:space="preserve"> malaria incidence, while malaria itself has been associated with malnutrition and possibly micronutrient deficiencies</w:t>
      </w:r>
      <w:r w:rsidR="00920EE9">
        <w:rPr>
          <w:rFonts w:ascii="Arial" w:hAnsi="Arial" w:cs="Arial"/>
        </w:rPr>
        <w:t xml:space="preserve"> (</w:t>
      </w:r>
      <w:r w:rsidR="00920EE9" w:rsidRPr="00262D18">
        <w:rPr>
          <w:rFonts w:ascii="Arial" w:hAnsi="Arial" w:cs="Arial"/>
          <w:iCs/>
        </w:rPr>
        <w:t>Muriuki</w:t>
      </w:r>
      <w:r w:rsidR="00920EE9">
        <w:rPr>
          <w:rFonts w:ascii="Arial" w:hAnsi="Arial" w:cs="Arial"/>
          <w:iCs/>
        </w:rPr>
        <w:t xml:space="preserve"> et al., 2021, Bailey et al., 2015)</w:t>
      </w:r>
      <w:r w:rsidRPr="008E3A3F">
        <w:rPr>
          <w:rFonts w:ascii="Arial" w:hAnsi="Arial" w:cs="Arial"/>
        </w:rPr>
        <w:t xml:space="preserve">. Micronutrients are essential elements required by organisms </w:t>
      </w:r>
      <w:r w:rsidR="00E75D48">
        <w:rPr>
          <w:rFonts w:ascii="Arial" w:hAnsi="Arial" w:cs="Arial"/>
        </w:rPr>
        <w:t>in</w:t>
      </w:r>
      <w:r w:rsidRPr="008E3A3F">
        <w:rPr>
          <w:rFonts w:ascii="Arial" w:hAnsi="Arial" w:cs="Arial"/>
        </w:rPr>
        <w:t xml:space="preserve"> varying qua</w:t>
      </w:r>
      <w:r w:rsidR="00E75D48">
        <w:rPr>
          <w:rFonts w:ascii="Arial" w:hAnsi="Arial" w:cs="Arial"/>
        </w:rPr>
        <w:t>nt</w:t>
      </w:r>
      <w:r w:rsidRPr="008E3A3F">
        <w:rPr>
          <w:rFonts w:ascii="Arial" w:hAnsi="Arial" w:cs="Arial"/>
        </w:rPr>
        <w:t xml:space="preserve">ities </w:t>
      </w:r>
      <w:r w:rsidR="00AC7D30" w:rsidRPr="008E3A3F">
        <w:rPr>
          <w:rFonts w:ascii="Arial" w:hAnsi="Arial" w:cs="Arial"/>
        </w:rPr>
        <w:t>throughout</w:t>
      </w:r>
      <w:r w:rsidRPr="008E3A3F">
        <w:rPr>
          <w:rFonts w:ascii="Arial" w:hAnsi="Arial" w:cs="Arial"/>
        </w:rPr>
        <w:t xml:space="preserve"> life to orchestrate a range of physiological functions to maintain health. Calcium (Ca), iron (</w:t>
      </w:r>
      <w:r w:rsidR="00AC7D30" w:rsidRPr="008E3A3F">
        <w:rPr>
          <w:rFonts w:ascii="Arial" w:hAnsi="Arial" w:cs="Arial"/>
        </w:rPr>
        <w:t>Fe</w:t>
      </w:r>
      <w:r w:rsidRPr="008E3A3F">
        <w:rPr>
          <w:rFonts w:ascii="Arial" w:hAnsi="Arial" w:cs="Arial"/>
        </w:rPr>
        <w:t>), magnesium (Mg), zinc (</w:t>
      </w:r>
      <w:r w:rsidR="00AC7D30" w:rsidRPr="008E3A3F">
        <w:rPr>
          <w:rFonts w:ascii="Arial" w:hAnsi="Arial" w:cs="Arial"/>
        </w:rPr>
        <w:t>Zn</w:t>
      </w:r>
      <w:r w:rsidRPr="008E3A3F">
        <w:rPr>
          <w:rFonts w:ascii="Arial" w:hAnsi="Arial" w:cs="Arial"/>
        </w:rPr>
        <w:t>) and inorganic phosphate (</w:t>
      </w:r>
      <w:r w:rsidR="00AC7D30">
        <w:rPr>
          <w:rFonts w:ascii="Arial" w:hAnsi="Arial" w:cs="Arial"/>
        </w:rPr>
        <w:t>P</w:t>
      </w:r>
      <w:r w:rsidRPr="008E3A3F">
        <w:rPr>
          <w:rFonts w:ascii="Arial" w:hAnsi="Arial" w:cs="Arial"/>
        </w:rPr>
        <w:t xml:space="preserve">) are essential trace </w:t>
      </w:r>
      <w:r w:rsidR="00980048" w:rsidRPr="008E3A3F">
        <w:rPr>
          <w:rFonts w:ascii="Arial" w:hAnsi="Arial" w:cs="Arial"/>
        </w:rPr>
        <w:t>elements,</w:t>
      </w:r>
      <w:r w:rsidRPr="008E3A3F">
        <w:rPr>
          <w:rFonts w:ascii="Arial" w:hAnsi="Arial" w:cs="Arial"/>
        </w:rPr>
        <w:t xml:space="preserve"> and the</w:t>
      </w:r>
      <w:r w:rsidR="00AC7D30">
        <w:rPr>
          <w:rFonts w:ascii="Arial" w:hAnsi="Arial" w:cs="Arial"/>
        </w:rPr>
        <w:t>ir</w:t>
      </w:r>
      <w:r w:rsidRPr="008E3A3F">
        <w:rPr>
          <w:rFonts w:ascii="Arial" w:hAnsi="Arial" w:cs="Arial"/>
        </w:rPr>
        <w:t xml:space="preserve"> plasma</w:t>
      </w:r>
      <w:r w:rsidR="00AC7D30">
        <w:rPr>
          <w:rFonts w:ascii="Arial" w:hAnsi="Arial" w:cs="Arial"/>
        </w:rPr>
        <w:t xml:space="preserve"> levels</w:t>
      </w:r>
      <w:r w:rsidRPr="008E3A3F">
        <w:rPr>
          <w:rFonts w:ascii="Arial" w:hAnsi="Arial" w:cs="Arial"/>
        </w:rPr>
        <w:t xml:space="preserve"> change </w:t>
      </w:r>
      <w:r w:rsidR="00980048" w:rsidRPr="008E3A3F">
        <w:rPr>
          <w:rFonts w:ascii="Arial" w:hAnsi="Arial" w:cs="Arial"/>
        </w:rPr>
        <w:t>during</w:t>
      </w:r>
      <w:r w:rsidRPr="008E3A3F">
        <w:rPr>
          <w:rFonts w:ascii="Arial" w:hAnsi="Arial" w:cs="Arial"/>
        </w:rPr>
        <w:t xml:space="preserve"> most </w:t>
      </w:r>
      <w:r w:rsidR="00527464" w:rsidRPr="008E3A3F">
        <w:rPr>
          <w:rFonts w:ascii="Arial" w:hAnsi="Arial" w:cs="Arial"/>
        </w:rPr>
        <w:t>infections</w:t>
      </w:r>
      <w:r w:rsidRPr="008E3A3F">
        <w:rPr>
          <w:rFonts w:ascii="Arial" w:hAnsi="Arial" w:cs="Arial"/>
        </w:rPr>
        <w:t>.</w:t>
      </w:r>
      <w:r w:rsidR="00980048">
        <w:rPr>
          <w:rFonts w:ascii="Arial" w:hAnsi="Arial" w:cs="Arial"/>
        </w:rPr>
        <w:t xml:space="preserve"> </w:t>
      </w:r>
      <w:r w:rsidRPr="008E3A3F">
        <w:rPr>
          <w:rFonts w:ascii="Arial" w:hAnsi="Arial" w:cs="Arial"/>
        </w:rPr>
        <w:t>It was also demonstrated that some trace element concentrations change in malaria patients</w:t>
      </w:r>
      <w:r w:rsidR="008060A3">
        <w:rPr>
          <w:rFonts w:ascii="Arial" w:hAnsi="Arial" w:cs="Arial"/>
        </w:rPr>
        <w:t xml:space="preserve"> (</w:t>
      </w:r>
      <w:proofErr w:type="spellStart"/>
      <w:r w:rsidR="00811541" w:rsidRPr="00811541">
        <w:rPr>
          <w:rFonts w:ascii="Arial" w:hAnsi="Arial" w:cs="Arial"/>
        </w:rPr>
        <w:t>Gombart</w:t>
      </w:r>
      <w:proofErr w:type="spellEnd"/>
      <w:r w:rsidR="00811541">
        <w:rPr>
          <w:rFonts w:ascii="Arial" w:hAnsi="Arial" w:cs="Arial"/>
        </w:rPr>
        <w:t xml:space="preserve"> et al., 2020)</w:t>
      </w:r>
      <w:r w:rsidRPr="008E3A3F">
        <w:rPr>
          <w:rFonts w:ascii="Arial" w:hAnsi="Arial" w:cs="Arial"/>
        </w:rPr>
        <w:t xml:space="preserve">. </w:t>
      </w:r>
      <w:r w:rsidR="00980048" w:rsidRPr="008E3A3F">
        <w:rPr>
          <w:rFonts w:ascii="Arial" w:hAnsi="Arial" w:cs="Arial"/>
        </w:rPr>
        <w:t>However,</w:t>
      </w:r>
      <w:r w:rsidRPr="008E3A3F">
        <w:rPr>
          <w:rFonts w:ascii="Arial" w:hAnsi="Arial" w:cs="Arial"/>
        </w:rPr>
        <w:t xml:space="preserve"> it is not </w:t>
      </w:r>
      <w:r w:rsidR="00811541">
        <w:rPr>
          <w:rFonts w:ascii="Arial" w:hAnsi="Arial" w:cs="Arial"/>
        </w:rPr>
        <w:t>yet</w:t>
      </w:r>
      <w:r w:rsidRPr="008E3A3F">
        <w:rPr>
          <w:rFonts w:ascii="Arial" w:hAnsi="Arial" w:cs="Arial"/>
        </w:rPr>
        <w:t xml:space="preserve"> known whether the causes of these changes are a result of specific deficienc</w:t>
      </w:r>
      <w:r w:rsidR="005E07FE">
        <w:rPr>
          <w:rFonts w:ascii="Arial" w:hAnsi="Arial" w:cs="Arial"/>
        </w:rPr>
        <w:t>ies</w:t>
      </w:r>
      <w:r w:rsidRPr="008E3A3F">
        <w:rPr>
          <w:rFonts w:ascii="Arial" w:hAnsi="Arial" w:cs="Arial"/>
        </w:rPr>
        <w:t xml:space="preserve"> from imbalances </w:t>
      </w:r>
      <w:r w:rsidR="00811541">
        <w:rPr>
          <w:rFonts w:ascii="Arial" w:hAnsi="Arial" w:cs="Arial"/>
        </w:rPr>
        <w:t>in</w:t>
      </w:r>
      <w:r w:rsidRPr="008E3A3F">
        <w:rPr>
          <w:rFonts w:ascii="Arial" w:hAnsi="Arial" w:cs="Arial"/>
        </w:rPr>
        <w:t xml:space="preserve"> </w:t>
      </w:r>
      <w:r w:rsidR="00AC7D30">
        <w:rPr>
          <w:rFonts w:ascii="Arial" w:hAnsi="Arial" w:cs="Arial"/>
        </w:rPr>
        <w:t xml:space="preserve">the </w:t>
      </w:r>
      <w:r w:rsidRPr="008E3A3F">
        <w:rPr>
          <w:rFonts w:ascii="Arial" w:hAnsi="Arial" w:cs="Arial"/>
        </w:rPr>
        <w:t xml:space="preserve">defense strategies regulated by acute-phase proteins.  </w:t>
      </w:r>
    </w:p>
    <w:p w14:paraId="63BA0177" w14:textId="17E77131" w:rsidR="008E3A3F" w:rsidRPr="008E3A3F" w:rsidRDefault="002E1EED" w:rsidP="008E3A3F">
      <w:pPr>
        <w:pStyle w:val="Body"/>
        <w:rPr>
          <w:rFonts w:ascii="Arial" w:hAnsi="Arial" w:cs="Arial"/>
        </w:rPr>
      </w:pPr>
      <w:r w:rsidRPr="002E1EED">
        <w:rPr>
          <w:rFonts w:ascii="Arial" w:hAnsi="Arial" w:cs="Arial"/>
        </w:rPr>
        <w:t xml:space="preserve">Although required in very small amounts, elements such as Ca, Mg, </w:t>
      </w:r>
      <w:r w:rsidR="00811541">
        <w:rPr>
          <w:rFonts w:ascii="Arial" w:hAnsi="Arial" w:cs="Arial"/>
        </w:rPr>
        <w:t>P</w:t>
      </w:r>
      <w:r w:rsidRPr="002E1EED">
        <w:rPr>
          <w:rFonts w:ascii="Arial" w:hAnsi="Arial" w:cs="Arial"/>
        </w:rPr>
        <w:t xml:space="preserve"> and Fe are vital for maintaining health (</w:t>
      </w:r>
      <w:r>
        <w:rPr>
          <w:rFonts w:ascii="Arial" w:hAnsi="Arial" w:cs="Arial"/>
        </w:rPr>
        <w:t>Dinga et al., 2024</w:t>
      </w:r>
      <w:r w:rsidRPr="002E1EED">
        <w:rPr>
          <w:rFonts w:ascii="Arial" w:hAnsi="Arial" w:cs="Arial"/>
        </w:rPr>
        <w:t>). Also referred to as macro and micro-minerals, these elements are part of enzymes, hormones and cells in the body. However, data about significant variations of these micronutrients in the course of infections in developing countries, where problems of malnutrition and infection were countered, should be kept under surveillance</w:t>
      </w:r>
      <w:r>
        <w:rPr>
          <w:rFonts w:ascii="Arial" w:hAnsi="Arial" w:cs="Arial"/>
        </w:rPr>
        <w:t xml:space="preserve">. </w:t>
      </w:r>
      <w:r w:rsidRPr="002E1EED">
        <w:rPr>
          <w:rFonts w:ascii="Arial" w:hAnsi="Arial" w:cs="Arial"/>
        </w:rPr>
        <w:t>There is a paucity of data on the level of micronutrients in malaria-infected patients. Owing to the numerous benefits of micronutrients in the improvement of human immunity and health, little has been established on the association between parasitic infection and micronutrient levels.</w:t>
      </w:r>
      <w:r>
        <w:rPr>
          <w:rFonts w:ascii="Arial" w:hAnsi="Arial" w:cs="Arial"/>
        </w:rPr>
        <w:t xml:space="preserve"> Hence, this study aimed to assess the level of micronutrients in malaria-infected subjects and ascertain the relationship between </w:t>
      </w:r>
      <w:r w:rsidR="00811541">
        <w:rPr>
          <w:rFonts w:ascii="Arial" w:hAnsi="Arial" w:cs="Arial"/>
        </w:rPr>
        <w:t>these nutrients and other variables</w:t>
      </w:r>
      <w:r>
        <w:rPr>
          <w:rFonts w:ascii="Arial" w:hAnsi="Arial" w:cs="Arial"/>
        </w:rPr>
        <w:t xml:space="preserve">. </w:t>
      </w:r>
    </w:p>
    <w:p w14:paraId="5CC0BE6B" w14:textId="7D5935FD" w:rsidR="007F7B32"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14:paraId="79D636C5" w14:textId="256CD5D5" w:rsidR="00790ADA" w:rsidRPr="00FB3A86" w:rsidRDefault="00790ADA" w:rsidP="00441B6F">
      <w:pPr>
        <w:pStyle w:val="Body"/>
        <w:spacing w:after="0"/>
        <w:rPr>
          <w:rFonts w:ascii="Arial" w:hAnsi="Arial" w:cs="Arial"/>
        </w:rPr>
      </w:pPr>
    </w:p>
    <w:p w14:paraId="77E867E0" w14:textId="1BBBD8E5" w:rsidR="00393C3D" w:rsidRDefault="00AA74E0" w:rsidP="00441B6F">
      <w:pPr>
        <w:pStyle w:val="Body"/>
        <w:spacing w:after="0"/>
        <w:rPr>
          <w:rFonts w:ascii="Arial" w:hAnsi="Arial" w:cs="Arial"/>
        </w:rPr>
      </w:pPr>
      <w:r w:rsidRPr="00C30A0F">
        <w:rPr>
          <w:rFonts w:ascii="Arial" w:hAnsi="Arial" w:cs="Arial"/>
          <w:b/>
          <w:caps/>
          <w:sz w:val="22"/>
        </w:rPr>
        <w:t xml:space="preserve">2.1 </w:t>
      </w:r>
      <w:r w:rsidR="00393C3D">
        <w:rPr>
          <w:rFonts w:ascii="Arial" w:hAnsi="Arial" w:cs="Arial"/>
          <w:b/>
          <w:sz w:val="22"/>
        </w:rPr>
        <w:t xml:space="preserve">Study </w:t>
      </w:r>
      <w:r w:rsidR="000A7B34">
        <w:rPr>
          <w:rFonts w:ascii="Arial" w:hAnsi="Arial" w:cs="Arial"/>
          <w:b/>
          <w:sz w:val="22"/>
        </w:rPr>
        <w:t>Site</w:t>
      </w:r>
      <w:r w:rsidR="000A7B34" w:rsidRPr="00FB3A86">
        <w:rPr>
          <w:rFonts w:ascii="Arial" w:hAnsi="Arial" w:cs="Arial"/>
        </w:rPr>
        <w:t xml:space="preserve"> </w:t>
      </w:r>
    </w:p>
    <w:p w14:paraId="2A0013E3" w14:textId="09CE5D95" w:rsidR="00AA74E0" w:rsidRPr="007605A8" w:rsidRDefault="008E7DDC" w:rsidP="00441B6F">
      <w:pPr>
        <w:pStyle w:val="Body"/>
        <w:spacing w:after="0"/>
        <w:rPr>
          <w:rFonts w:ascii="Arial" w:hAnsi="Arial" w:cs="Arial"/>
        </w:rPr>
      </w:pPr>
      <w:r>
        <w:rPr>
          <w:rFonts w:ascii="Arial" w:hAnsi="Arial" w:cs="Arial"/>
        </w:rPr>
        <w:t xml:space="preserve">The </w:t>
      </w:r>
      <w:r w:rsidR="00ED420C">
        <w:rPr>
          <w:rFonts w:ascii="Arial" w:hAnsi="Arial" w:cs="Arial"/>
        </w:rPr>
        <w:t xml:space="preserve">location of the study was Rivers State University. </w:t>
      </w:r>
      <w:r w:rsidR="007605A8">
        <w:rPr>
          <w:rFonts w:ascii="Arial" w:hAnsi="Arial" w:cs="Arial"/>
        </w:rPr>
        <w:t>The university is located at latitude 4</w:t>
      </w:r>
      <w:r w:rsidR="007605A8">
        <w:rPr>
          <w:rFonts w:ascii="Arial" w:hAnsi="Arial" w:cs="Arial"/>
          <w:vertAlign w:val="superscript"/>
        </w:rPr>
        <w:t>o</w:t>
      </w:r>
      <w:r w:rsidR="007605A8">
        <w:rPr>
          <w:rFonts w:ascii="Arial" w:hAnsi="Arial" w:cs="Arial"/>
        </w:rPr>
        <w:t xml:space="preserve"> 47’ 54’’ N to 4</w:t>
      </w:r>
      <w:r w:rsidR="007605A8">
        <w:rPr>
          <w:rFonts w:ascii="Arial" w:hAnsi="Arial" w:cs="Arial"/>
          <w:vertAlign w:val="superscript"/>
        </w:rPr>
        <w:t>o</w:t>
      </w:r>
      <w:r w:rsidR="007605A8">
        <w:rPr>
          <w:rFonts w:ascii="Arial" w:hAnsi="Arial" w:cs="Arial"/>
        </w:rPr>
        <w:t xml:space="preserve"> 48’ 55’’ N and longitude 6</w:t>
      </w:r>
      <w:r w:rsidR="007605A8">
        <w:rPr>
          <w:rFonts w:ascii="Arial" w:hAnsi="Arial" w:cs="Arial"/>
          <w:vertAlign w:val="superscript"/>
        </w:rPr>
        <w:t>o</w:t>
      </w:r>
      <w:r w:rsidR="007605A8">
        <w:rPr>
          <w:rFonts w:ascii="Arial" w:hAnsi="Arial" w:cs="Arial"/>
        </w:rPr>
        <w:t xml:space="preserve"> 59’ 23’’ E to 6</w:t>
      </w:r>
      <w:r w:rsidR="007605A8">
        <w:rPr>
          <w:rFonts w:ascii="Arial" w:hAnsi="Arial" w:cs="Arial"/>
          <w:vertAlign w:val="superscript"/>
        </w:rPr>
        <w:t>o</w:t>
      </w:r>
      <w:r w:rsidR="007605A8">
        <w:rPr>
          <w:rFonts w:ascii="Arial" w:hAnsi="Arial" w:cs="Arial"/>
        </w:rPr>
        <w:t xml:space="preserve"> 58’ 57’’ E. It </w:t>
      </w:r>
      <w:r w:rsidR="00EB087C">
        <w:rPr>
          <w:rFonts w:ascii="Arial" w:hAnsi="Arial" w:cs="Arial"/>
        </w:rPr>
        <w:t>is</w:t>
      </w:r>
      <w:r w:rsidR="007605A8">
        <w:rPr>
          <w:rFonts w:ascii="Arial" w:hAnsi="Arial" w:cs="Arial"/>
        </w:rPr>
        <w:t xml:space="preserve"> approximately 1.77 km</w:t>
      </w:r>
      <w:r w:rsidR="007605A8">
        <w:rPr>
          <w:rFonts w:ascii="Arial" w:hAnsi="Arial" w:cs="Arial"/>
          <w:vertAlign w:val="superscript"/>
        </w:rPr>
        <w:t>2</w:t>
      </w:r>
      <w:r w:rsidR="007605A8">
        <w:rPr>
          <w:rFonts w:ascii="Arial" w:hAnsi="Arial" w:cs="Arial"/>
        </w:rPr>
        <w:t xml:space="preserve">. </w:t>
      </w:r>
    </w:p>
    <w:p w14:paraId="1C4296A2" w14:textId="0B4008D5" w:rsidR="007605A8" w:rsidRDefault="007605A8" w:rsidP="00441B6F">
      <w:pPr>
        <w:pStyle w:val="Body"/>
        <w:spacing w:after="0"/>
        <w:rPr>
          <w:rFonts w:ascii="Arial" w:hAnsi="Arial" w:cs="Arial"/>
        </w:rPr>
      </w:pPr>
      <w:r>
        <w:rPr>
          <w:noProof/>
        </w:rPr>
        <w:lastRenderedPageBreak/>
        <w:drawing>
          <wp:inline distT="0" distB="0" distL="0" distR="0" wp14:anchorId="329F8834" wp14:editId="5B360763">
            <wp:extent cx="4920446" cy="3609975"/>
            <wp:effectExtent l="0" t="0" r="0" b="0"/>
            <wp:docPr id="1339475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947557" name=""/>
                    <pic:cNvPicPr/>
                  </pic:nvPicPr>
                  <pic:blipFill rotWithShape="1">
                    <a:blip r:embed="rId14"/>
                    <a:srcRect l="33260" t="27724" r="18250" b="9032"/>
                    <a:stretch/>
                  </pic:blipFill>
                  <pic:spPr bwMode="auto">
                    <a:xfrm>
                      <a:off x="0" y="0"/>
                      <a:ext cx="4929612" cy="3616700"/>
                    </a:xfrm>
                    <a:prstGeom prst="rect">
                      <a:avLst/>
                    </a:prstGeom>
                    <a:ln>
                      <a:noFill/>
                    </a:ln>
                    <a:extLst>
                      <a:ext uri="{53640926-AAD7-44D8-BBD7-CCE9431645EC}">
                        <a14:shadowObscured xmlns:a14="http://schemas.microsoft.com/office/drawing/2010/main"/>
                      </a:ext>
                    </a:extLst>
                  </pic:spPr>
                </pic:pic>
              </a:graphicData>
            </a:graphic>
          </wp:inline>
        </w:drawing>
      </w:r>
    </w:p>
    <w:p w14:paraId="077BB3B9" w14:textId="77777777" w:rsidR="007605A8" w:rsidRDefault="007605A8" w:rsidP="00441B6F">
      <w:pPr>
        <w:pStyle w:val="Body"/>
        <w:spacing w:after="0"/>
        <w:rPr>
          <w:rFonts w:ascii="Arial" w:hAnsi="Arial" w:cs="Arial"/>
        </w:rPr>
      </w:pPr>
    </w:p>
    <w:p w14:paraId="1CDC2A58" w14:textId="1B49956A" w:rsidR="00393C3D" w:rsidRPr="009F7AEC" w:rsidRDefault="00EB087C" w:rsidP="00441B6F">
      <w:pPr>
        <w:pStyle w:val="Body"/>
        <w:spacing w:after="0"/>
        <w:rPr>
          <w:rFonts w:ascii="Arial" w:hAnsi="Arial" w:cs="Arial"/>
          <w:b/>
          <w:bCs/>
        </w:rPr>
      </w:pPr>
      <w:r w:rsidRPr="009F7AEC">
        <w:rPr>
          <w:rFonts w:ascii="Arial" w:hAnsi="Arial" w:cs="Arial"/>
          <w:b/>
          <w:bCs/>
        </w:rPr>
        <w:t xml:space="preserve">Figure 1. Map of Rivers State University </w:t>
      </w:r>
      <w:r w:rsidR="009F7AEC" w:rsidRPr="009F7AEC">
        <w:rPr>
          <w:rFonts w:ascii="Arial" w:hAnsi="Arial" w:cs="Arial"/>
        </w:rPr>
        <w:t>(</w:t>
      </w:r>
      <w:r w:rsidRPr="009F7AEC">
        <w:rPr>
          <w:rFonts w:ascii="Arial" w:hAnsi="Arial" w:cs="Arial"/>
        </w:rPr>
        <w:t>adapted from Pepple et al., 2024</w:t>
      </w:r>
      <w:r w:rsidR="009F7AEC" w:rsidRPr="009F7AEC">
        <w:rPr>
          <w:rFonts w:ascii="Arial" w:hAnsi="Arial" w:cs="Arial"/>
        </w:rPr>
        <w:t>).</w:t>
      </w:r>
    </w:p>
    <w:p w14:paraId="19B78522" w14:textId="77777777" w:rsidR="00EB087C" w:rsidRDefault="00EB087C" w:rsidP="00441B6F">
      <w:pPr>
        <w:pStyle w:val="Body"/>
        <w:spacing w:after="0"/>
        <w:rPr>
          <w:rFonts w:ascii="Arial" w:hAnsi="Arial" w:cs="Arial"/>
        </w:rPr>
      </w:pPr>
    </w:p>
    <w:p w14:paraId="5D348E56" w14:textId="652D2700" w:rsidR="00EB087C" w:rsidRDefault="00393C3D" w:rsidP="00393C3D">
      <w:pPr>
        <w:pStyle w:val="Body"/>
        <w:spacing w:after="0"/>
        <w:rPr>
          <w:rFonts w:ascii="Arial" w:hAnsi="Arial" w:cs="Arial"/>
        </w:rPr>
      </w:pPr>
      <w:r w:rsidRPr="00C30A0F">
        <w:rPr>
          <w:rFonts w:ascii="Arial" w:hAnsi="Arial" w:cs="Arial"/>
          <w:b/>
          <w:caps/>
          <w:sz w:val="22"/>
        </w:rPr>
        <w:t>2.</w:t>
      </w:r>
      <w:r>
        <w:rPr>
          <w:rFonts w:ascii="Arial" w:hAnsi="Arial" w:cs="Arial"/>
          <w:b/>
          <w:caps/>
          <w:sz w:val="22"/>
        </w:rPr>
        <w:t>2</w:t>
      </w:r>
      <w:r w:rsidRPr="00C30A0F">
        <w:rPr>
          <w:rFonts w:ascii="Arial" w:hAnsi="Arial" w:cs="Arial"/>
          <w:b/>
          <w:caps/>
          <w:sz w:val="22"/>
        </w:rPr>
        <w:t xml:space="preserve"> </w:t>
      </w:r>
      <w:r>
        <w:rPr>
          <w:rFonts w:ascii="Arial" w:hAnsi="Arial" w:cs="Arial"/>
          <w:b/>
          <w:sz w:val="22"/>
        </w:rPr>
        <w:t>Study Design</w:t>
      </w:r>
      <w:r w:rsidRPr="00FB3A86">
        <w:rPr>
          <w:rFonts w:ascii="Arial" w:hAnsi="Arial" w:cs="Arial"/>
        </w:rPr>
        <w:t xml:space="preserve"> </w:t>
      </w:r>
    </w:p>
    <w:p w14:paraId="5A5E0025" w14:textId="2371A21C" w:rsidR="00393C3D" w:rsidRDefault="00EB087C" w:rsidP="00393C3D">
      <w:pPr>
        <w:pStyle w:val="Body"/>
        <w:spacing w:after="0"/>
        <w:rPr>
          <w:rFonts w:ascii="Arial" w:hAnsi="Arial" w:cs="Arial"/>
        </w:rPr>
      </w:pPr>
      <w:r>
        <w:rPr>
          <w:rFonts w:ascii="Arial" w:hAnsi="Arial" w:cs="Arial"/>
        </w:rPr>
        <w:t xml:space="preserve">The study adopted a cross-sectional study approach where all the sampling was done at a single time point between </w:t>
      </w:r>
      <w:r w:rsidRPr="00806878">
        <w:rPr>
          <w:rFonts w:ascii="Arial" w:hAnsi="Arial" w:cs="Arial"/>
        </w:rPr>
        <w:t>December 2022 to November 2023</w:t>
      </w:r>
      <w:r>
        <w:rPr>
          <w:rFonts w:ascii="Arial" w:hAnsi="Arial" w:cs="Arial"/>
        </w:rPr>
        <w:t xml:space="preserve">.  </w:t>
      </w:r>
    </w:p>
    <w:p w14:paraId="412944A9" w14:textId="77777777" w:rsidR="00393C3D" w:rsidRDefault="00393C3D" w:rsidP="00393C3D">
      <w:pPr>
        <w:pStyle w:val="Body"/>
        <w:spacing w:after="0"/>
        <w:rPr>
          <w:rFonts w:ascii="Arial" w:hAnsi="Arial" w:cs="Arial"/>
        </w:rPr>
      </w:pPr>
    </w:p>
    <w:p w14:paraId="6D1E7F54" w14:textId="30342E56" w:rsidR="00393C3D" w:rsidRDefault="00393C3D" w:rsidP="00393C3D">
      <w:pPr>
        <w:pStyle w:val="Body"/>
        <w:spacing w:after="0"/>
        <w:rPr>
          <w:rFonts w:ascii="Arial" w:hAnsi="Arial" w:cs="Arial"/>
        </w:rPr>
      </w:pPr>
      <w:r w:rsidRPr="00C30A0F">
        <w:rPr>
          <w:rFonts w:ascii="Arial" w:hAnsi="Arial" w:cs="Arial"/>
          <w:b/>
          <w:caps/>
          <w:sz w:val="22"/>
        </w:rPr>
        <w:t>2.</w:t>
      </w:r>
      <w:r>
        <w:rPr>
          <w:rFonts w:ascii="Arial" w:hAnsi="Arial" w:cs="Arial"/>
          <w:b/>
          <w:caps/>
          <w:sz w:val="22"/>
        </w:rPr>
        <w:t>3</w:t>
      </w:r>
      <w:r w:rsidRPr="00C30A0F">
        <w:rPr>
          <w:rFonts w:ascii="Arial" w:hAnsi="Arial" w:cs="Arial"/>
          <w:b/>
          <w:caps/>
          <w:sz w:val="22"/>
        </w:rPr>
        <w:t xml:space="preserve"> </w:t>
      </w:r>
      <w:r>
        <w:rPr>
          <w:rFonts w:ascii="Arial" w:hAnsi="Arial" w:cs="Arial"/>
          <w:b/>
          <w:sz w:val="22"/>
        </w:rPr>
        <w:t>Inclusion and Exclusion Criteria</w:t>
      </w:r>
      <w:r w:rsidRPr="00FB3A86">
        <w:rPr>
          <w:rFonts w:ascii="Arial" w:hAnsi="Arial" w:cs="Arial"/>
        </w:rPr>
        <w:t xml:space="preserve"> </w:t>
      </w:r>
    </w:p>
    <w:p w14:paraId="4607AC61" w14:textId="7841EFB5" w:rsidR="00393C3D" w:rsidRDefault="00EB087C" w:rsidP="00393C3D">
      <w:pPr>
        <w:pStyle w:val="Body"/>
        <w:spacing w:after="0"/>
        <w:rPr>
          <w:rFonts w:ascii="Arial" w:hAnsi="Arial" w:cs="Arial"/>
        </w:rPr>
      </w:pPr>
      <w:r>
        <w:rPr>
          <w:rFonts w:ascii="Arial" w:hAnsi="Arial" w:cs="Arial"/>
        </w:rPr>
        <w:t>Individuals who are hav</w:t>
      </w:r>
      <w:r w:rsidR="004D73AB">
        <w:rPr>
          <w:rFonts w:ascii="Arial" w:hAnsi="Arial" w:cs="Arial"/>
        </w:rPr>
        <w:t>e</w:t>
      </w:r>
      <w:r>
        <w:rPr>
          <w:rFonts w:ascii="Arial" w:hAnsi="Arial" w:cs="Arial"/>
        </w:rPr>
        <w:t xml:space="preserve"> other forms of infection or illness were not eligible for the study. People on medications were also not eligible for the study. </w:t>
      </w:r>
      <w:r w:rsidR="006B5251">
        <w:rPr>
          <w:rFonts w:ascii="Arial" w:hAnsi="Arial" w:cs="Arial"/>
        </w:rPr>
        <w:t xml:space="preserve">The age included were </w:t>
      </w:r>
      <w:r w:rsidR="00527464">
        <w:rPr>
          <w:rFonts w:ascii="Arial" w:hAnsi="Arial" w:cs="Arial"/>
        </w:rPr>
        <w:t>people</w:t>
      </w:r>
      <w:r w:rsidR="006B5251">
        <w:rPr>
          <w:rFonts w:ascii="Arial" w:hAnsi="Arial" w:cs="Arial"/>
        </w:rPr>
        <w:t xml:space="preserve"> between 1 to 60 years. </w:t>
      </w:r>
      <w:r>
        <w:rPr>
          <w:rFonts w:ascii="Arial" w:hAnsi="Arial" w:cs="Arial"/>
        </w:rPr>
        <w:t xml:space="preserve">Only </w:t>
      </w:r>
      <w:r w:rsidR="00921045">
        <w:rPr>
          <w:rFonts w:ascii="Arial" w:hAnsi="Arial" w:cs="Arial"/>
        </w:rPr>
        <w:t>people who had</w:t>
      </w:r>
      <w:r>
        <w:rPr>
          <w:rFonts w:ascii="Arial" w:hAnsi="Arial" w:cs="Arial"/>
        </w:rPr>
        <w:t xml:space="preserve"> malaria infection were eligible for the study</w:t>
      </w:r>
      <w:r w:rsidR="00921045">
        <w:rPr>
          <w:rFonts w:ascii="Arial" w:hAnsi="Arial" w:cs="Arial"/>
        </w:rPr>
        <w:t xml:space="preserve"> adopted as an exposure condition. </w:t>
      </w:r>
    </w:p>
    <w:p w14:paraId="46928D00" w14:textId="77777777" w:rsidR="00393C3D" w:rsidRDefault="00393C3D" w:rsidP="00441B6F">
      <w:pPr>
        <w:pStyle w:val="Body"/>
        <w:spacing w:after="0"/>
        <w:rPr>
          <w:rFonts w:ascii="Arial" w:hAnsi="Arial" w:cs="Arial"/>
        </w:rPr>
      </w:pPr>
    </w:p>
    <w:p w14:paraId="61031744" w14:textId="127106A7" w:rsidR="00393C3D" w:rsidRDefault="00393C3D" w:rsidP="00393C3D">
      <w:pPr>
        <w:pStyle w:val="Body"/>
        <w:spacing w:after="0"/>
        <w:rPr>
          <w:rFonts w:ascii="Arial" w:hAnsi="Arial" w:cs="Arial"/>
        </w:rPr>
      </w:pPr>
      <w:r w:rsidRPr="00C30A0F">
        <w:rPr>
          <w:rFonts w:ascii="Arial" w:hAnsi="Arial" w:cs="Arial"/>
          <w:b/>
          <w:caps/>
          <w:sz w:val="22"/>
        </w:rPr>
        <w:t>2.</w:t>
      </w:r>
      <w:r>
        <w:rPr>
          <w:rFonts w:ascii="Arial" w:hAnsi="Arial" w:cs="Arial"/>
          <w:b/>
          <w:caps/>
          <w:sz w:val="22"/>
        </w:rPr>
        <w:t>4</w:t>
      </w:r>
      <w:r w:rsidRPr="00C30A0F">
        <w:rPr>
          <w:rFonts w:ascii="Arial" w:hAnsi="Arial" w:cs="Arial"/>
          <w:b/>
          <w:caps/>
          <w:sz w:val="22"/>
        </w:rPr>
        <w:t xml:space="preserve"> </w:t>
      </w:r>
      <w:r>
        <w:rPr>
          <w:rFonts w:ascii="Arial" w:hAnsi="Arial" w:cs="Arial"/>
          <w:b/>
          <w:sz w:val="22"/>
        </w:rPr>
        <w:t>Sample Size and Study Population</w:t>
      </w:r>
      <w:r w:rsidRPr="00FB3A86">
        <w:rPr>
          <w:rFonts w:ascii="Arial" w:hAnsi="Arial" w:cs="Arial"/>
        </w:rPr>
        <w:t xml:space="preserve"> </w:t>
      </w:r>
    </w:p>
    <w:p w14:paraId="3565F930" w14:textId="37626921" w:rsidR="00921045" w:rsidRDefault="001F7AFE" w:rsidP="00921045">
      <w:pPr>
        <w:spacing w:after="240"/>
        <w:jc w:val="both"/>
        <w:rPr>
          <w:rFonts w:ascii="Arial" w:hAnsi="Arial" w:cs="Arial"/>
        </w:rPr>
      </w:pPr>
      <w:r>
        <w:rPr>
          <w:rFonts w:ascii="Arial" w:hAnsi="Arial" w:cs="Arial"/>
        </w:rPr>
        <w:t>Varied prevalences of malaria infection have been published by several papers 42%</w:t>
      </w:r>
      <w:r w:rsidR="00B00F06">
        <w:rPr>
          <w:rFonts w:ascii="Arial" w:hAnsi="Arial" w:cs="Arial"/>
        </w:rPr>
        <w:t xml:space="preserve"> (</w:t>
      </w:r>
      <w:proofErr w:type="spellStart"/>
      <w:r w:rsidR="00B00F06" w:rsidRPr="00B00F06">
        <w:rPr>
          <w:rFonts w:ascii="Arial" w:hAnsi="Arial" w:cs="Arial"/>
        </w:rPr>
        <w:t>Onosakponome</w:t>
      </w:r>
      <w:proofErr w:type="spellEnd"/>
      <w:r w:rsidR="00B00F06">
        <w:rPr>
          <w:rFonts w:ascii="Arial" w:hAnsi="Arial" w:cs="Arial"/>
        </w:rPr>
        <w:t xml:space="preserve"> </w:t>
      </w:r>
      <w:r w:rsidR="00AE59BD">
        <w:rPr>
          <w:rFonts w:ascii="Arial" w:hAnsi="Arial" w:cs="Arial"/>
        </w:rPr>
        <w:t>et al., 2022)</w:t>
      </w:r>
      <w:r>
        <w:rPr>
          <w:rFonts w:ascii="Arial" w:hAnsi="Arial" w:cs="Arial"/>
        </w:rPr>
        <w:t>,</w:t>
      </w:r>
      <w:r w:rsidR="0051628F">
        <w:rPr>
          <w:rFonts w:ascii="Arial" w:hAnsi="Arial" w:cs="Arial"/>
        </w:rPr>
        <w:t xml:space="preserve"> </w:t>
      </w:r>
      <w:r w:rsidR="004D73AB">
        <w:rPr>
          <w:rFonts w:ascii="Arial" w:hAnsi="Arial" w:cs="Arial"/>
        </w:rPr>
        <w:t xml:space="preserve">and </w:t>
      </w:r>
      <w:r w:rsidR="0051628F">
        <w:rPr>
          <w:rFonts w:ascii="Arial" w:hAnsi="Arial" w:cs="Arial"/>
        </w:rPr>
        <w:t>2.4% (</w:t>
      </w:r>
      <w:proofErr w:type="spellStart"/>
      <w:r w:rsidR="0051628F">
        <w:rPr>
          <w:rFonts w:ascii="Arial" w:hAnsi="Arial" w:cs="Arial"/>
        </w:rPr>
        <w:t>Elekima</w:t>
      </w:r>
      <w:proofErr w:type="spellEnd"/>
      <w:r w:rsidR="0051628F">
        <w:rPr>
          <w:rFonts w:ascii="Arial" w:hAnsi="Arial" w:cs="Arial"/>
        </w:rPr>
        <w:t xml:space="preserve"> et al., 2024)</w:t>
      </w:r>
      <w:r>
        <w:rPr>
          <w:rFonts w:ascii="Arial" w:hAnsi="Arial" w:cs="Arial"/>
        </w:rPr>
        <w:t xml:space="preserve">. </w:t>
      </w:r>
      <w:r w:rsidR="00921045">
        <w:rPr>
          <w:rFonts w:ascii="Arial" w:hAnsi="Arial" w:cs="Arial"/>
        </w:rPr>
        <w:t xml:space="preserve">We used a prevalence </w:t>
      </w:r>
      <w:r w:rsidR="00921045" w:rsidRPr="00806878">
        <w:rPr>
          <w:rFonts w:ascii="Arial" w:hAnsi="Arial" w:cs="Arial"/>
        </w:rPr>
        <w:t xml:space="preserve">of </w:t>
      </w:r>
      <w:r>
        <w:rPr>
          <w:rFonts w:ascii="Arial" w:hAnsi="Arial" w:cs="Arial"/>
        </w:rPr>
        <w:t>2.4</w:t>
      </w:r>
      <w:r w:rsidR="00921045" w:rsidRPr="00806878">
        <w:rPr>
          <w:rFonts w:ascii="Arial" w:hAnsi="Arial" w:cs="Arial"/>
        </w:rPr>
        <w:t xml:space="preserve">% determined by </w:t>
      </w:r>
      <w:proofErr w:type="spellStart"/>
      <w:r>
        <w:rPr>
          <w:rFonts w:ascii="Arial" w:hAnsi="Arial" w:cs="Arial"/>
        </w:rPr>
        <w:t>Elekima</w:t>
      </w:r>
      <w:proofErr w:type="spellEnd"/>
      <w:r w:rsidR="00921045" w:rsidRPr="00806878">
        <w:rPr>
          <w:rFonts w:ascii="Arial" w:hAnsi="Arial" w:cs="Arial"/>
        </w:rPr>
        <w:t xml:space="preserve"> et al. </w:t>
      </w:r>
      <w:r>
        <w:rPr>
          <w:rFonts w:ascii="Arial" w:hAnsi="Arial" w:cs="Arial"/>
        </w:rPr>
        <w:t>2024</w:t>
      </w:r>
      <w:r w:rsidR="00921045" w:rsidRPr="00806878">
        <w:rPr>
          <w:rFonts w:ascii="Arial" w:hAnsi="Arial" w:cs="Arial"/>
        </w:rPr>
        <w:t xml:space="preserve">. Using </w:t>
      </w:r>
      <w:r w:rsidRPr="00806878">
        <w:rPr>
          <w:rFonts w:ascii="Arial" w:hAnsi="Arial" w:cs="Arial"/>
        </w:rPr>
        <w:t>Cochran’s</w:t>
      </w:r>
      <w:r w:rsidR="00921045" w:rsidRPr="00806878">
        <w:rPr>
          <w:rFonts w:ascii="Arial" w:hAnsi="Arial" w:cs="Arial"/>
        </w:rPr>
        <w:t xml:space="preserve"> equation of sample size = </w:t>
      </w:r>
      <m:oMath>
        <m:f>
          <m:fPr>
            <m:ctrlPr>
              <w:rPr>
                <w:rFonts w:ascii="Cambria Math" w:hAnsi="Cambria Math" w:cs="Arial"/>
              </w:rPr>
            </m:ctrlPr>
          </m:fPr>
          <m:num>
            <m:r>
              <w:rPr>
                <w:rFonts w:ascii="Cambria Math" w:hAnsi="Cambria Math" w:cs="Arial"/>
              </w:rPr>
              <m:t>Z.Z.p.q</m:t>
            </m:r>
          </m:num>
          <m:den>
            <m:r>
              <w:rPr>
                <w:rFonts w:ascii="Cambria Math" w:hAnsi="Cambria Math" w:cs="Arial"/>
              </w:rPr>
              <m:t>e.e</m:t>
            </m:r>
          </m:den>
        </m:f>
      </m:oMath>
      <w:r w:rsidR="00921045" w:rsidRPr="00806878">
        <w:rPr>
          <w:rFonts w:ascii="Arial" w:hAnsi="Arial" w:cs="Arial"/>
        </w:rPr>
        <w:t xml:space="preserve">, the appropriate sample size given the specified combination of precision, confidence and variability was </w:t>
      </w:r>
      <w:r>
        <w:rPr>
          <w:rFonts w:ascii="Arial" w:hAnsi="Arial" w:cs="Arial"/>
        </w:rPr>
        <w:t>36</w:t>
      </w:r>
      <w:r w:rsidR="00921045" w:rsidRPr="00806878">
        <w:rPr>
          <w:rFonts w:ascii="Arial" w:hAnsi="Arial" w:cs="Arial"/>
        </w:rPr>
        <w:t>. H</w:t>
      </w:r>
      <w:r>
        <w:rPr>
          <w:rFonts w:ascii="Arial" w:hAnsi="Arial" w:cs="Arial"/>
        </w:rPr>
        <w:t xml:space="preserve">owever, for a more robust </w:t>
      </w:r>
      <w:r w:rsidR="009F7AEC">
        <w:rPr>
          <w:rFonts w:ascii="Arial" w:hAnsi="Arial" w:cs="Arial"/>
        </w:rPr>
        <w:t xml:space="preserve">sample size </w:t>
      </w:r>
      <w:r>
        <w:rPr>
          <w:rFonts w:ascii="Arial" w:hAnsi="Arial" w:cs="Arial"/>
        </w:rPr>
        <w:t>representation</w:t>
      </w:r>
      <w:r w:rsidR="00921045" w:rsidRPr="00806878">
        <w:rPr>
          <w:rFonts w:ascii="Arial" w:hAnsi="Arial" w:cs="Arial"/>
        </w:rPr>
        <w:t xml:space="preserve">, the sample size adopted </w:t>
      </w:r>
      <w:r>
        <w:rPr>
          <w:rFonts w:ascii="Arial" w:hAnsi="Arial" w:cs="Arial"/>
        </w:rPr>
        <w:t>by our study</w:t>
      </w:r>
      <w:r w:rsidR="00921045" w:rsidRPr="00806878">
        <w:rPr>
          <w:rFonts w:ascii="Arial" w:hAnsi="Arial" w:cs="Arial"/>
        </w:rPr>
        <w:t xml:space="preserve"> was 2</w:t>
      </w:r>
      <w:r>
        <w:rPr>
          <w:rFonts w:ascii="Arial" w:hAnsi="Arial" w:cs="Arial"/>
        </w:rPr>
        <w:t>00</w:t>
      </w:r>
      <w:r w:rsidR="00921045" w:rsidRPr="00806878">
        <w:rPr>
          <w:rFonts w:ascii="Arial" w:hAnsi="Arial" w:cs="Arial"/>
        </w:rPr>
        <w:t xml:space="preserve"> each</w:t>
      </w:r>
      <w:r>
        <w:rPr>
          <w:rFonts w:ascii="Arial" w:hAnsi="Arial" w:cs="Arial"/>
        </w:rPr>
        <w:t xml:space="preserve"> for the control subject and malaria-infected subjects</w:t>
      </w:r>
      <w:r w:rsidR="00921045" w:rsidRPr="00806878">
        <w:rPr>
          <w:rFonts w:ascii="Arial" w:hAnsi="Arial" w:cs="Arial"/>
        </w:rPr>
        <w:t xml:space="preserve">. </w:t>
      </w:r>
    </w:p>
    <w:p w14:paraId="087140A1" w14:textId="77777777" w:rsidR="00AE59BD" w:rsidRDefault="00AE59BD" w:rsidP="00AE59BD">
      <w:pPr>
        <w:pStyle w:val="Body"/>
        <w:spacing w:after="0"/>
        <w:rPr>
          <w:rFonts w:ascii="Arial" w:hAnsi="Arial" w:cs="Arial"/>
        </w:rPr>
      </w:pPr>
      <w:r w:rsidRPr="00C30A0F">
        <w:rPr>
          <w:rFonts w:ascii="Arial" w:hAnsi="Arial" w:cs="Arial"/>
          <w:b/>
          <w:caps/>
          <w:sz w:val="22"/>
        </w:rPr>
        <w:t>2.</w:t>
      </w:r>
      <w:r>
        <w:rPr>
          <w:rFonts w:ascii="Arial" w:hAnsi="Arial" w:cs="Arial"/>
          <w:b/>
          <w:caps/>
          <w:sz w:val="22"/>
        </w:rPr>
        <w:t>5</w:t>
      </w:r>
      <w:r w:rsidRPr="00C30A0F">
        <w:rPr>
          <w:rFonts w:ascii="Arial" w:hAnsi="Arial" w:cs="Arial"/>
          <w:b/>
          <w:caps/>
          <w:sz w:val="22"/>
        </w:rPr>
        <w:t xml:space="preserve"> </w:t>
      </w:r>
      <w:r>
        <w:rPr>
          <w:rFonts w:ascii="Arial" w:hAnsi="Arial" w:cs="Arial"/>
          <w:b/>
          <w:sz w:val="22"/>
        </w:rPr>
        <w:t>Sample Collection</w:t>
      </w:r>
    </w:p>
    <w:p w14:paraId="7BC923C5" w14:textId="5391FC35" w:rsidR="00AE59BD" w:rsidRDefault="00AE59BD" w:rsidP="00AE59BD">
      <w:pPr>
        <w:pStyle w:val="Body"/>
        <w:spacing w:after="0"/>
        <w:rPr>
          <w:rFonts w:ascii="Arial" w:hAnsi="Arial" w:cs="Arial"/>
        </w:rPr>
      </w:pPr>
      <w:r>
        <w:rPr>
          <w:rFonts w:ascii="Arial" w:hAnsi="Arial" w:cs="Arial"/>
        </w:rPr>
        <w:t xml:space="preserve">Blood samples of </w:t>
      </w:r>
      <w:r w:rsidR="00906F16">
        <w:rPr>
          <w:rFonts w:ascii="Arial" w:hAnsi="Arial" w:cs="Arial"/>
        </w:rPr>
        <w:t>5</w:t>
      </w:r>
      <w:r>
        <w:rPr>
          <w:rFonts w:ascii="Arial" w:hAnsi="Arial" w:cs="Arial"/>
        </w:rPr>
        <w:t xml:space="preserve"> </w:t>
      </w:r>
      <w:r w:rsidR="00906F16">
        <w:rPr>
          <w:rFonts w:ascii="Arial" w:hAnsi="Arial" w:cs="Arial"/>
        </w:rPr>
        <w:t>mL</w:t>
      </w:r>
      <w:r>
        <w:rPr>
          <w:rFonts w:ascii="Arial" w:hAnsi="Arial" w:cs="Arial"/>
        </w:rPr>
        <w:t xml:space="preserve"> </w:t>
      </w:r>
      <w:r w:rsidR="0051628F">
        <w:rPr>
          <w:rFonts w:ascii="Arial" w:hAnsi="Arial" w:cs="Arial"/>
        </w:rPr>
        <w:t>were</w:t>
      </w:r>
      <w:r>
        <w:rPr>
          <w:rFonts w:ascii="Arial" w:hAnsi="Arial" w:cs="Arial"/>
        </w:rPr>
        <w:t xml:space="preserve"> collected</w:t>
      </w:r>
      <w:r w:rsidR="00906F16">
        <w:rPr>
          <w:rFonts w:ascii="Arial" w:hAnsi="Arial" w:cs="Arial"/>
        </w:rPr>
        <w:t xml:space="preserve"> into EDTA bottle</w:t>
      </w:r>
      <w:r w:rsidR="004D73AB">
        <w:rPr>
          <w:rFonts w:ascii="Arial" w:hAnsi="Arial" w:cs="Arial"/>
        </w:rPr>
        <w:t>s</w:t>
      </w:r>
      <w:r>
        <w:rPr>
          <w:rFonts w:ascii="Arial" w:hAnsi="Arial" w:cs="Arial"/>
        </w:rPr>
        <w:t xml:space="preserve"> from each control and malaria-infected subject. </w:t>
      </w:r>
      <w:r w:rsidR="00906F16">
        <w:rPr>
          <w:rFonts w:ascii="Arial" w:hAnsi="Arial" w:cs="Arial"/>
        </w:rPr>
        <w:t>Samples for micronutrient and cytokine analysis were spun at 3000 revolution</w:t>
      </w:r>
      <w:r w:rsidR="004D73AB">
        <w:rPr>
          <w:rFonts w:ascii="Arial" w:hAnsi="Arial" w:cs="Arial"/>
        </w:rPr>
        <w:t>s</w:t>
      </w:r>
      <w:r w:rsidR="00906F16">
        <w:rPr>
          <w:rFonts w:ascii="Arial" w:hAnsi="Arial" w:cs="Arial"/>
        </w:rPr>
        <w:t xml:space="preserve"> per minute for 5 minutes. The plasma was collected into plain bottles and stored for future analyses. </w:t>
      </w:r>
    </w:p>
    <w:p w14:paraId="12BB8EB9" w14:textId="77777777" w:rsidR="00AE59BD" w:rsidRDefault="00AE59BD" w:rsidP="00AE59BD">
      <w:pPr>
        <w:pStyle w:val="Body"/>
        <w:spacing w:after="0"/>
        <w:rPr>
          <w:rFonts w:ascii="Arial" w:hAnsi="Arial" w:cs="Arial"/>
        </w:rPr>
      </w:pPr>
    </w:p>
    <w:p w14:paraId="7C0354C2" w14:textId="4102930C" w:rsidR="007A3F59" w:rsidRDefault="007A3F59" w:rsidP="007A3F59">
      <w:pPr>
        <w:pStyle w:val="Body"/>
        <w:spacing w:after="0"/>
        <w:rPr>
          <w:rFonts w:ascii="Arial" w:hAnsi="Arial" w:cs="Arial"/>
        </w:rPr>
      </w:pPr>
      <w:r w:rsidRPr="00C30A0F">
        <w:rPr>
          <w:rFonts w:ascii="Arial" w:hAnsi="Arial" w:cs="Arial"/>
          <w:b/>
          <w:caps/>
          <w:sz w:val="22"/>
        </w:rPr>
        <w:t>2.</w:t>
      </w:r>
      <w:r>
        <w:rPr>
          <w:rFonts w:ascii="Arial" w:hAnsi="Arial" w:cs="Arial"/>
          <w:b/>
          <w:caps/>
          <w:sz w:val="22"/>
        </w:rPr>
        <w:t>4</w:t>
      </w:r>
      <w:r w:rsidRPr="00C30A0F">
        <w:rPr>
          <w:rFonts w:ascii="Arial" w:hAnsi="Arial" w:cs="Arial"/>
          <w:b/>
          <w:caps/>
          <w:sz w:val="22"/>
        </w:rPr>
        <w:t xml:space="preserve"> </w:t>
      </w:r>
      <w:r w:rsidR="00B00F06">
        <w:rPr>
          <w:rFonts w:ascii="Arial" w:hAnsi="Arial" w:cs="Arial"/>
          <w:b/>
          <w:sz w:val="22"/>
        </w:rPr>
        <w:t>Evaluation of Malaria Infection</w:t>
      </w:r>
      <w:r w:rsidRPr="00FB3A86">
        <w:rPr>
          <w:rFonts w:ascii="Arial" w:hAnsi="Arial" w:cs="Arial"/>
        </w:rPr>
        <w:t xml:space="preserve"> </w:t>
      </w:r>
    </w:p>
    <w:p w14:paraId="28ACE42C" w14:textId="0C63D84E" w:rsidR="00393C3D" w:rsidRPr="00906F16" w:rsidRDefault="007A3F59" w:rsidP="00906F16">
      <w:pPr>
        <w:spacing w:after="240"/>
        <w:jc w:val="both"/>
        <w:rPr>
          <w:rFonts w:ascii="Arial" w:hAnsi="Arial" w:cs="Arial"/>
          <w:bCs/>
        </w:rPr>
      </w:pPr>
      <w:r>
        <w:rPr>
          <w:rFonts w:ascii="Arial" w:hAnsi="Arial" w:cs="Arial"/>
        </w:rPr>
        <w:lastRenderedPageBreak/>
        <w:t xml:space="preserve">Malaria parasites were detected </w:t>
      </w:r>
      <w:r w:rsidR="00907359">
        <w:rPr>
          <w:rFonts w:ascii="Arial" w:hAnsi="Arial" w:cs="Arial"/>
        </w:rPr>
        <w:t>by</w:t>
      </w:r>
      <w:r>
        <w:rPr>
          <w:rFonts w:ascii="Arial" w:hAnsi="Arial" w:cs="Arial"/>
        </w:rPr>
        <w:t xml:space="preserve"> microscopy </w:t>
      </w:r>
      <w:r w:rsidR="0051628F">
        <w:rPr>
          <w:rFonts w:ascii="Arial" w:hAnsi="Arial" w:cs="Arial"/>
        </w:rPr>
        <w:t xml:space="preserve">technique using </w:t>
      </w:r>
      <w:r w:rsidR="00906F16">
        <w:rPr>
          <w:rFonts w:ascii="Arial" w:hAnsi="Arial" w:cs="Arial"/>
        </w:rPr>
        <w:t>thick and thin films</w:t>
      </w:r>
      <w:r w:rsidR="00A371FE">
        <w:rPr>
          <w:rFonts w:ascii="Arial" w:hAnsi="Arial" w:cs="Arial"/>
        </w:rPr>
        <w:t xml:space="preserve"> according to the technique described by </w:t>
      </w:r>
      <w:proofErr w:type="spellStart"/>
      <w:r w:rsidR="00A371FE">
        <w:rPr>
          <w:rFonts w:ascii="Arial" w:hAnsi="Arial" w:cs="Arial"/>
        </w:rPr>
        <w:t>Obisike</w:t>
      </w:r>
      <w:proofErr w:type="spellEnd"/>
      <w:r w:rsidR="00A371FE">
        <w:rPr>
          <w:rFonts w:ascii="Arial" w:hAnsi="Arial" w:cs="Arial"/>
        </w:rPr>
        <w:t xml:space="preserve"> et al. </w:t>
      </w:r>
      <w:r w:rsidR="00F52D70">
        <w:rPr>
          <w:rFonts w:ascii="Arial" w:hAnsi="Arial" w:cs="Arial"/>
        </w:rPr>
        <w:t>(</w:t>
      </w:r>
      <w:r w:rsidR="00A371FE">
        <w:rPr>
          <w:rFonts w:ascii="Arial" w:hAnsi="Arial" w:cs="Arial"/>
        </w:rPr>
        <w:t>2024</w:t>
      </w:r>
      <w:r w:rsidR="00F52D70">
        <w:rPr>
          <w:rFonts w:ascii="Arial" w:hAnsi="Arial" w:cs="Arial"/>
        </w:rPr>
        <w:t>)</w:t>
      </w:r>
      <w:r w:rsidR="00906F16">
        <w:rPr>
          <w:rFonts w:ascii="Arial" w:hAnsi="Arial" w:cs="Arial"/>
        </w:rPr>
        <w:t xml:space="preserve">. </w:t>
      </w:r>
    </w:p>
    <w:p w14:paraId="5C69A6DF" w14:textId="732929DD" w:rsidR="00393C3D" w:rsidRDefault="00393C3D" w:rsidP="00393C3D">
      <w:pPr>
        <w:pStyle w:val="Body"/>
        <w:spacing w:after="0"/>
        <w:rPr>
          <w:rFonts w:ascii="Arial" w:hAnsi="Arial" w:cs="Arial"/>
        </w:rPr>
      </w:pPr>
      <w:r w:rsidRPr="00C30A0F">
        <w:rPr>
          <w:rFonts w:ascii="Arial" w:hAnsi="Arial" w:cs="Arial"/>
          <w:b/>
          <w:caps/>
          <w:sz w:val="22"/>
        </w:rPr>
        <w:t>2.</w:t>
      </w:r>
      <w:r>
        <w:rPr>
          <w:rFonts w:ascii="Arial" w:hAnsi="Arial" w:cs="Arial"/>
          <w:b/>
          <w:caps/>
          <w:sz w:val="22"/>
        </w:rPr>
        <w:t>6</w:t>
      </w:r>
      <w:r w:rsidRPr="00C30A0F">
        <w:rPr>
          <w:rFonts w:ascii="Arial" w:hAnsi="Arial" w:cs="Arial"/>
          <w:b/>
          <w:caps/>
          <w:sz w:val="22"/>
        </w:rPr>
        <w:t xml:space="preserve"> </w:t>
      </w:r>
      <w:r>
        <w:rPr>
          <w:rFonts w:ascii="Arial" w:hAnsi="Arial" w:cs="Arial"/>
          <w:b/>
          <w:sz w:val="22"/>
        </w:rPr>
        <w:t>Laboratory Determination of Micronutrients</w:t>
      </w:r>
    </w:p>
    <w:p w14:paraId="5C339DDD" w14:textId="41107018" w:rsidR="00393C3D" w:rsidRDefault="00F52D70" w:rsidP="00393C3D">
      <w:pPr>
        <w:pStyle w:val="Body"/>
        <w:spacing w:after="0"/>
        <w:rPr>
          <w:rFonts w:ascii="Arial" w:hAnsi="Arial" w:cs="Arial"/>
        </w:rPr>
      </w:pPr>
      <w:r>
        <w:rPr>
          <w:rFonts w:ascii="Arial" w:hAnsi="Arial" w:cs="Arial"/>
        </w:rPr>
        <w:t xml:space="preserve">The plasma level of micronutrients was analyzed using the atomic absorption spectrophotometer described in Olaniyi and Arinola (2007). </w:t>
      </w:r>
    </w:p>
    <w:p w14:paraId="787826C0" w14:textId="77777777" w:rsidR="00393C3D" w:rsidRDefault="00393C3D" w:rsidP="00441B6F">
      <w:pPr>
        <w:pStyle w:val="Body"/>
        <w:spacing w:after="0"/>
        <w:rPr>
          <w:rFonts w:ascii="Arial" w:hAnsi="Arial" w:cs="Arial"/>
        </w:rPr>
      </w:pPr>
    </w:p>
    <w:p w14:paraId="4CD521DA" w14:textId="69C6F44E" w:rsidR="00393C3D" w:rsidRDefault="00393C3D" w:rsidP="00393C3D">
      <w:pPr>
        <w:pStyle w:val="Body"/>
        <w:spacing w:after="0"/>
        <w:rPr>
          <w:rFonts w:ascii="Arial" w:hAnsi="Arial" w:cs="Arial"/>
        </w:rPr>
      </w:pPr>
      <w:r w:rsidRPr="00C30A0F">
        <w:rPr>
          <w:rFonts w:ascii="Arial" w:hAnsi="Arial" w:cs="Arial"/>
          <w:b/>
          <w:caps/>
          <w:sz w:val="22"/>
        </w:rPr>
        <w:t>2.</w:t>
      </w:r>
      <w:r w:rsidR="00527464">
        <w:rPr>
          <w:rFonts w:ascii="Arial" w:hAnsi="Arial" w:cs="Arial"/>
          <w:b/>
          <w:caps/>
          <w:sz w:val="22"/>
        </w:rPr>
        <w:t>7</w:t>
      </w:r>
      <w:r w:rsidRPr="00C30A0F">
        <w:rPr>
          <w:rFonts w:ascii="Arial" w:hAnsi="Arial" w:cs="Arial"/>
          <w:b/>
          <w:caps/>
          <w:sz w:val="22"/>
        </w:rPr>
        <w:t xml:space="preserve"> </w:t>
      </w:r>
      <w:r>
        <w:rPr>
          <w:rFonts w:ascii="Arial" w:hAnsi="Arial" w:cs="Arial"/>
          <w:b/>
          <w:sz w:val="22"/>
        </w:rPr>
        <w:t xml:space="preserve">Data </w:t>
      </w:r>
      <w:r w:rsidR="00425897">
        <w:rPr>
          <w:rFonts w:ascii="Arial" w:hAnsi="Arial" w:cs="Arial"/>
          <w:b/>
          <w:sz w:val="22"/>
        </w:rPr>
        <w:t>Analyses</w:t>
      </w:r>
    </w:p>
    <w:p w14:paraId="46E5F1DD" w14:textId="7F990076" w:rsidR="00921045" w:rsidRPr="00806878" w:rsidRDefault="00921045" w:rsidP="00921045">
      <w:pPr>
        <w:pStyle w:val="Body"/>
        <w:spacing w:after="0"/>
        <w:rPr>
          <w:rFonts w:ascii="Arial" w:hAnsi="Arial" w:cs="Arial"/>
        </w:rPr>
      </w:pPr>
      <w:r w:rsidRPr="00806878">
        <w:rPr>
          <w:rFonts w:ascii="Arial" w:hAnsi="Arial" w:cs="Arial"/>
        </w:rPr>
        <w:t xml:space="preserve">The results were presented as </w:t>
      </w:r>
      <w:proofErr w:type="spellStart"/>
      <w:r w:rsidRPr="00806878">
        <w:rPr>
          <w:rFonts w:ascii="Arial" w:hAnsi="Arial" w:cs="Arial"/>
        </w:rPr>
        <w:t>Mean±SD</w:t>
      </w:r>
      <w:proofErr w:type="spellEnd"/>
      <w:r w:rsidR="009F7AEC">
        <w:rPr>
          <w:rFonts w:ascii="Arial" w:hAnsi="Arial" w:cs="Arial"/>
        </w:rPr>
        <w:t xml:space="preserve"> </w:t>
      </w:r>
      <w:r w:rsidRPr="00806878">
        <w:rPr>
          <w:rFonts w:ascii="Arial" w:hAnsi="Arial" w:cs="Arial"/>
        </w:rPr>
        <w:t>and bar charts. The statistical package used was GraphPad Prism. The statistical tools used for the analyses were</w:t>
      </w:r>
      <w:r w:rsidR="009F7AEC">
        <w:rPr>
          <w:rFonts w:ascii="Arial" w:hAnsi="Arial" w:cs="Arial"/>
        </w:rPr>
        <w:t xml:space="preserve"> one-way analyses of variance (ANOVA)</w:t>
      </w:r>
      <w:r w:rsidR="004D73AB">
        <w:rPr>
          <w:rFonts w:ascii="Arial" w:hAnsi="Arial" w:cs="Arial"/>
        </w:rPr>
        <w:t xml:space="preserve">, </w:t>
      </w:r>
      <w:r w:rsidRPr="00806878">
        <w:rPr>
          <w:rFonts w:ascii="Arial" w:hAnsi="Arial" w:cs="Arial"/>
        </w:rPr>
        <w:t>Chi-square</w:t>
      </w:r>
      <w:r w:rsidR="004D73AB">
        <w:rPr>
          <w:rFonts w:ascii="Arial" w:hAnsi="Arial" w:cs="Arial"/>
        </w:rPr>
        <w:t>,</w:t>
      </w:r>
      <w:r w:rsidRPr="00806878">
        <w:rPr>
          <w:rFonts w:ascii="Arial" w:hAnsi="Arial" w:cs="Arial"/>
        </w:rPr>
        <w:t xml:space="preserve"> and t-test. The statistical significance was considered at </w:t>
      </w:r>
      <w:r w:rsidR="004D73AB">
        <w:rPr>
          <w:rFonts w:ascii="Arial" w:hAnsi="Arial" w:cs="Arial"/>
        </w:rPr>
        <w:t xml:space="preserve">a </w:t>
      </w:r>
      <w:r w:rsidRPr="00806878">
        <w:rPr>
          <w:rFonts w:ascii="Arial" w:hAnsi="Arial" w:cs="Arial"/>
        </w:rPr>
        <w:t>95% confidence interval.</w:t>
      </w:r>
    </w:p>
    <w:p w14:paraId="40992D96" w14:textId="77777777" w:rsidR="00790ADA" w:rsidRPr="00FB3A86" w:rsidRDefault="00790ADA" w:rsidP="00441B6F">
      <w:pPr>
        <w:pStyle w:val="Body"/>
        <w:spacing w:after="0"/>
        <w:rPr>
          <w:rFonts w:ascii="Arial" w:hAnsi="Arial" w:cs="Arial"/>
        </w:rPr>
      </w:pPr>
    </w:p>
    <w:p w14:paraId="4F76B8A5" w14:textId="5B2B15E1"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w:t>
      </w:r>
    </w:p>
    <w:p w14:paraId="18967406" w14:textId="77777777" w:rsidR="00790ADA" w:rsidRPr="00FB3A86" w:rsidRDefault="00790ADA" w:rsidP="00441B6F">
      <w:pPr>
        <w:pStyle w:val="Head1"/>
        <w:spacing w:after="0"/>
        <w:jc w:val="both"/>
        <w:rPr>
          <w:rFonts w:ascii="Arial" w:hAnsi="Arial" w:cs="Arial"/>
        </w:rPr>
      </w:pPr>
    </w:p>
    <w:p w14:paraId="7DC5FA15" w14:textId="3E9E7AB8" w:rsidR="00425897" w:rsidRDefault="00425897" w:rsidP="00441B6F">
      <w:pPr>
        <w:pStyle w:val="Body"/>
        <w:spacing w:after="0"/>
        <w:rPr>
          <w:rFonts w:ascii="Arial" w:hAnsi="Arial" w:cs="Arial"/>
          <w:b/>
          <w:sz w:val="22"/>
        </w:rPr>
      </w:pPr>
      <w:r>
        <w:rPr>
          <w:rFonts w:ascii="Arial" w:hAnsi="Arial" w:cs="Arial"/>
          <w:b/>
          <w:caps/>
          <w:sz w:val="22"/>
        </w:rPr>
        <w:t>3</w:t>
      </w:r>
      <w:r w:rsidR="00C30A0F" w:rsidRPr="00C30A0F">
        <w:rPr>
          <w:rFonts w:ascii="Arial" w:hAnsi="Arial" w:cs="Arial"/>
          <w:b/>
          <w:caps/>
          <w:sz w:val="22"/>
        </w:rPr>
        <w:t xml:space="preserve">.1 </w:t>
      </w:r>
      <w:r>
        <w:rPr>
          <w:rFonts w:ascii="Arial" w:hAnsi="Arial" w:cs="Arial"/>
          <w:b/>
          <w:sz w:val="22"/>
        </w:rPr>
        <w:t>Impact of Malaria Infection on Micronutrient Level</w:t>
      </w:r>
    </w:p>
    <w:p w14:paraId="21DB0A8B" w14:textId="77777777" w:rsidR="00425897" w:rsidRDefault="00425897" w:rsidP="00441B6F">
      <w:pPr>
        <w:pStyle w:val="Body"/>
        <w:spacing w:after="0"/>
        <w:rPr>
          <w:rFonts w:ascii="Arial" w:hAnsi="Arial" w:cs="Arial"/>
        </w:rPr>
      </w:pPr>
    </w:p>
    <w:p w14:paraId="3BFB178F" w14:textId="06F38032" w:rsidR="00C30A0F" w:rsidRDefault="00425897" w:rsidP="00441B6F">
      <w:pPr>
        <w:pStyle w:val="Body"/>
        <w:spacing w:after="0"/>
        <w:rPr>
          <w:rFonts w:ascii="Arial" w:hAnsi="Arial" w:cs="Arial"/>
        </w:rPr>
      </w:pPr>
      <w:r w:rsidRPr="007407A5">
        <w:rPr>
          <w:rFonts w:ascii="Arial" w:hAnsi="Arial" w:cs="Arial"/>
          <w:b/>
          <w:bCs/>
        </w:rPr>
        <w:t>Figure</w:t>
      </w:r>
      <w:r w:rsidR="00A80F13" w:rsidRPr="007407A5">
        <w:rPr>
          <w:rFonts w:ascii="Arial" w:hAnsi="Arial" w:cs="Arial"/>
          <w:b/>
          <w:bCs/>
        </w:rPr>
        <w:t>s</w:t>
      </w:r>
      <w:r w:rsidRPr="007407A5">
        <w:rPr>
          <w:rFonts w:ascii="Arial" w:hAnsi="Arial" w:cs="Arial"/>
          <w:b/>
          <w:bCs/>
        </w:rPr>
        <w:t xml:space="preserve"> </w:t>
      </w:r>
      <w:r w:rsidR="00A80F13" w:rsidRPr="007407A5">
        <w:rPr>
          <w:rFonts w:ascii="Arial" w:hAnsi="Arial" w:cs="Arial"/>
          <w:b/>
          <w:bCs/>
        </w:rPr>
        <w:t>2A to D</w:t>
      </w:r>
      <w:r>
        <w:rPr>
          <w:rFonts w:ascii="Arial" w:hAnsi="Arial" w:cs="Arial"/>
        </w:rPr>
        <w:t xml:space="preserve"> show the </w:t>
      </w:r>
      <w:r w:rsidR="00A80F13">
        <w:rPr>
          <w:rFonts w:ascii="Arial" w:hAnsi="Arial" w:cs="Arial"/>
        </w:rPr>
        <w:t xml:space="preserve">comparative levels of </w:t>
      </w:r>
      <w:r w:rsidR="007407A5">
        <w:rPr>
          <w:rFonts w:ascii="Arial" w:hAnsi="Arial" w:cs="Arial"/>
        </w:rPr>
        <w:t>some micronutrient</w:t>
      </w:r>
      <w:r w:rsidR="00E2341A">
        <w:rPr>
          <w:rFonts w:ascii="Arial" w:hAnsi="Arial" w:cs="Arial"/>
        </w:rPr>
        <w:t xml:space="preserve"> levels</w:t>
      </w:r>
      <w:r w:rsidR="007407A5">
        <w:rPr>
          <w:rFonts w:ascii="Arial" w:hAnsi="Arial" w:cs="Arial"/>
        </w:rPr>
        <w:t xml:space="preserve"> in healthy subjects and malaria</w:t>
      </w:r>
      <w:r w:rsidR="002E1EED">
        <w:rPr>
          <w:rFonts w:ascii="Arial" w:hAnsi="Arial" w:cs="Arial"/>
        </w:rPr>
        <w:t>-infected</w:t>
      </w:r>
      <w:r w:rsidR="007407A5">
        <w:rPr>
          <w:rFonts w:ascii="Arial" w:hAnsi="Arial" w:cs="Arial"/>
        </w:rPr>
        <w:t xml:space="preserve"> patients</w:t>
      </w:r>
      <w:r w:rsidR="00C30A0F" w:rsidRPr="00FB3A86">
        <w:rPr>
          <w:rFonts w:ascii="Arial" w:hAnsi="Arial" w:cs="Arial"/>
        </w:rPr>
        <w:t>.</w:t>
      </w:r>
      <w:r w:rsidR="007407A5">
        <w:rPr>
          <w:rFonts w:ascii="Arial" w:hAnsi="Arial" w:cs="Arial"/>
        </w:rPr>
        <w:t xml:space="preserve"> All the </w:t>
      </w:r>
      <w:r w:rsidR="00E2341A">
        <w:rPr>
          <w:rFonts w:ascii="Arial" w:hAnsi="Arial" w:cs="Arial"/>
        </w:rPr>
        <w:t>healthy subjects</w:t>
      </w:r>
      <w:r w:rsidR="007407A5">
        <w:rPr>
          <w:rFonts w:ascii="Arial" w:hAnsi="Arial" w:cs="Arial"/>
        </w:rPr>
        <w:t xml:space="preserve"> </w:t>
      </w:r>
      <w:r w:rsidR="006B78B9">
        <w:rPr>
          <w:rFonts w:ascii="Arial" w:hAnsi="Arial" w:cs="Arial"/>
        </w:rPr>
        <w:t>showed</w:t>
      </w:r>
      <w:r w:rsidR="007407A5">
        <w:rPr>
          <w:rFonts w:ascii="Arial" w:hAnsi="Arial" w:cs="Arial"/>
        </w:rPr>
        <w:t xml:space="preserve"> significantly</w:t>
      </w:r>
      <w:r w:rsidR="00C4714E">
        <w:rPr>
          <w:rFonts w:ascii="Arial" w:hAnsi="Arial" w:cs="Arial"/>
        </w:rPr>
        <w:t xml:space="preserve"> </w:t>
      </w:r>
      <w:r w:rsidR="007407A5">
        <w:rPr>
          <w:rFonts w:ascii="Arial" w:hAnsi="Arial" w:cs="Arial"/>
        </w:rPr>
        <w:t xml:space="preserve">higher </w:t>
      </w:r>
      <w:r w:rsidR="006B78B9">
        <w:rPr>
          <w:rFonts w:ascii="Arial" w:hAnsi="Arial" w:cs="Arial"/>
        </w:rPr>
        <w:t xml:space="preserve">levels of the micronutrients </w:t>
      </w:r>
      <w:r w:rsidR="00C4714E">
        <w:rPr>
          <w:rFonts w:ascii="Arial" w:hAnsi="Arial" w:cs="Arial"/>
        </w:rPr>
        <w:t xml:space="preserve">(p=&lt;.0001) </w:t>
      </w:r>
      <w:r w:rsidR="007407A5">
        <w:rPr>
          <w:rFonts w:ascii="Arial" w:hAnsi="Arial" w:cs="Arial"/>
        </w:rPr>
        <w:t>than the malaria-infected patients for calcium, magnesium, phosphate and iron.</w:t>
      </w:r>
      <w:r w:rsidR="002D5CC6">
        <w:rPr>
          <w:rFonts w:ascii="Arial" w:hAnsi="Arial" w:cs="Arial"/>
        </w:rPr>
        <w:t xml:space="preserve"> </w:t>
      </w:r>
      <w:r w:rsidR="00C30A0F" w:rsidRPr="00FB3A86">
        <w:rPr>
          <w:rFonts w:ascii="Arial" w:hAnsi="Arial" w:cs="Arial"/>
        </w:rPr>
        <w:t xml:space="preserve">  </w:t>
      </w:r>
    </w:p>
    <w:p w14:paraId="2AC3A616" w14:textId="77777777" w:rsidR="00505F06" w:rsidRPr="00425897" w:rsidRDefault="00505F06" w:rsidP="00441B6F">
      <w:pPr>
        <w:pStyle w:val="Body"/>
        <w:spacing w:after="0"/>
        <w:rPr>
          <w:rFonts w:ascii="Arial" w:hAnsi="Arial" w:cs="Arial"/>
        </w:rPr>
      </w:pPr>
    </w:p>
    <w:p w14:paraId="2E92B44B" w14:textId="77777777" w:rsidR="00CD03AA" w:rsidRDefault="00CD03AA" w:rsidP="00CD03AA">
      <w:pPr>
        <w:ind w:left="720"/>
        <w:jc w:val="both"/>
        <w:rPr>
          <w:rFonts w:ascii="Arial" w:hAnsi="Arial" w:cs="Arial"/>
        </w:rPr>
      </w:pPr>
      <w:r>
        <w:rPr>
          <w:rFonts w:ascii="Arial" w:hAnsi="Arial" w:cs="Arial"/>
        </w:rPr>
        <w:t>A</w:t>
      </w:r>
      <w:r w:rsidRPr="00425897">
        <w:rPr>
          <w:rFonts w:ascii="Arial" w:hAnsi="Arial" w:cs="Arial"/>
        </w:rPr>
        <w:object w:dxaOrig="5098" w:dyaOrig="3996" w14:anchorId="60BE46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70.25pt;height:133.5pt" o:ole="">
            <v:imagedata r:id="rId15" o:title=""/>
          </v:shape>
          <o:OLEObject Type="Embed" ProgID="Prism8.Document" ShapeID="_x0000_i1026" DrawAspect="Content" ObjectID="_1801736076" r:id="rId16"/>
        </w:object>
      </w:r>
      <w:r>
        <w:rPr>
          <w:rFonts w:ascii="Arial" w:hAnsi="Arial" w:cs="Arial"/>
        </w:rPr>
        <w:t>B</w:t>
      </w:r>
      <w:r w:rsidRPr="00425897">
        <w:rPr>
          <w:rFonts w:ascii="Arial" w:hAnsi="Arial" w:cs="Arial"/>
        </w:rPr>
        <w:object w:dxaOrig="4929" w:dyaOrig="3996" w14:anchorId="7EB24FF9">
          <v:shape id="_x0000_i1027" type="#_x0000_t75" style="width:177pt;height:142.5pt" o:ole="">
            <v:imagedata r:id="rId17" o:title=""/>
          </v:shape>
          <o:OLEObject Type="Embed" ProgID="Prism8.Document" ShapeID="_x0000_i1027" DrawAspect="Content" ObjectID="_1801736077" r:id="rId18"/>
        </w:object>
      </w:r>
      <w:r>
        <w:rPr>
          <w:rFonts w:ascii="Arial" w:hAnsi="Arial" w:cs="Arial"/>
        </w:rPr>
        <w:t xml:space="preserve">  </w:t>
      </w:r>
    </w:p>
    <w:p w14:paraId="703D1796" w14:textId="5E3F5F77" w:rsidR="00425897" w:rsidRPr="00425897" w:rsidRDefault="00CD03AA" w:rsidP="00CD03AA">
      <w:pPr>
        <w:jc w:val="both"/>
        <w:rPr>
          <w:rFonts w:ascii="Arial" w:hAnsi="Arial" w:cs="Arial"/>
        </w:rPr>
      </w:pPr>
      <w:r>
        <w:rPr>
          <w:rFonts w:ascii="Arial" w:hAnsi="Arial" w:cs="Arial"/>
        </w:rPr>
        <w:t>C</w:t>
      </w:r>
      <w:r w:rsidRPr="00425897">
        <w:rPr>
          <w:rFonts w:ascii="Arial" w:hAnsi="Arial" w:cs="Arial"/>
        </w:rPr>
        <w:object w:dxaOrig="4918" w:dyaOrig="3979" w14:anchorId="19B2F7AC">
          <v:shape id="_x0000_i1028" type="#_x0000_t75" style="width:184.5pt;height:149.25pt" o:ole="">
            <v:imagedata r:id="rId19" o:title=""/>
          </v:shape>
          <o:OLEObject Type="Embed" ProgID="Prism8.Document" ShapeID="_x0000_i1028" DrawAspect="Content" ObjectID="_1801736078" r:id="rId20"/>
        </w:object>
      </w:r>
      <w:r>
        <w:rPr>
          <w:rFonts w:ascii="Arial" w:hAnsi="Arial" w:cs="Arial"/>
        </w:rPr>
        <w:t>D</w:t>
      </w:r>
      <w:r w:rsidRPr="00425897">
        <w:rPr>
          <w:rFonts w:ascii="Arial" w:hAnsi="Arial" w:cs="Arial"/>
        </w:rPr>
        <w:object w:dxaOrig="4831" w:dyaOrig="3936" w14:anchorId="01D450D6">
          <v:shape id="_x0000_i1029" type="#_x0000_t75" style="width:171.75pt;height:139.5pt" o:ole="">
            <v:imagedata r:id="rId21" o:title=""/>
          </v:shape>
          <o:OLEObject Type="Embed" ProgID="Prism8.Document" ShapeID="_x0000_i1029" DrawAspect="Content" ObjectID="_1801736079" r:id="rId22"/>
        </w:object>
      </w:r>
    </w:p>
    <w:p w14:paraId="3F9BEB53" w14:textId="29F5F581" w:rsidR="00425897" w:rsidRPr="00425897" w:rsidRDefault="00425897" w:rsidP="00425897">
      <w:pPr>
        <w:jc w:val="both"/>
        <w:rPr>
          <w:rFonts w:ascii="Arial" w:hAnsi="Arial" w:cs="Arial"/>
          <w:b/>
          <w:bCs/>
        </w:rPr>
      </w:pPr>
      <w:r w:rsidRPr="00425897">
        <w:rPr>
          <w:rFonts w:ascii="Arial" w:hAnsi="Arial" w:cs="Arial"/>
          <w:b/>
          <w:bCs/>
        </w:rPr>
        <w:t xml:space="preserve">Figure </w:t>
      </w:r>
      <w:r w:rsidR="00A80F13">
        <w:rPr>
          <w:rFonts w:ascii="Arial" w:hAnsi="Arial" w:cs="Arial"/>
          <w:b/>
          <w:bCs/>
        </w:rPr>
        <w:t>2</w:t>
      </w:r>
      <w:r w:rsidRPr="00425897">
        <w:rPr>
          <w:rFonts w:ascii="Arial" w:hAnsi="Arial" w:cs="Arial"/>
          <w:b/>
          <w:bCs/>
        </w:rPr>
        <w:t xml:space="preserve">. Level of micronutrient in malaria-infected subjects and controls. </w:t>
      </w:r>
    </w:p>
    <w:p w14:paraId="72BED5EB" w14:textId="5ABA097B" w:rsidR="00425897" w:rsidRPr="00425897" w:rsidRDefault="00425897" w:rsidP="00425897">
      <w:pPr>
        <w:jc w:val="both"/>
        <w:rPr>
          <w:rFonts w:ascii="Arial" w:hAnsi="Arial" w:cs="Arial"/>
          <w:i/>
          <w:iCs/>
        </w:rPr>
      </w:pPr>
      <w:r w:rsidRPr="00425897">
        <w:rPr>
          <w:rFonts w:ascii="Arial" w:hAnsi="Arial" w:cs="Arial"/>
          <w:i/>
          <w:iCs/>
        </w:rPr>
        <w:t>Bars represent mean</w:t>
      </w:r>
      <w:r>
        <w:rPr>
          <w:rFonts w:ascii="Arial" w:hAnsi="Arial" w:cs="Arial"/>
          <w:i/>
          <w:iCs/>
        </w:rPr>
        <w:t xml:space="preserve"> </w:t>
      </w:r>
      <w:r w:rsidRPr="00425897">
        <w:rPr>
          <w:rFonts w:ascii="Arial" w:hAnsi="Arial" w:cs="Arial"/>
          <w:i/>
          <w:iCs/>
        </w:rPr>
        <w:t>±</w:t>
      </w:r>
      <w:r>
        <w:rPr>
          <w:rFonts w:ascii="Arial" w:hAnsi="Arial" w:cs="Arial"/>
          <w:i/>
          <w:iCs/>
        </w:rPr>
        <w:t xml:space="preserve"> </w:t>
      </w:r>
      <w:r w:rsidRPr="00425897">
        <w:rPr>
          <w:rFonts w:ascii="Arial" w:hAnsi="Arial" w:cs="Arial"/>
          <w:i/>
          <w:iCs/>
        </w:rPr>
        <w:t xml:space="preserve">SD of 200 subjects each for control and malaria-infected subjects. </w:t>
      </w:r>
    </w:p>
    <w:p w14:paraId="1E217F1A" w14:textId="77777777" w:rsidR="00425897" w:rsidRPr="00425897" w:rsidRDefault="00425897" w:rsidP="00425897">
      <w:pPr>
        <w:jc w:val="both"/>
        <w:rPr>
          <w:rFonts w:ascii="Arial" w:hAnsi="Arial" w:cs="Arial"/>
        </w:rPr>
      </w:pPr>
    </w:p>
    <w:p w14:paraId="0615BD20" w14:textId="52D9A121" w:rsidR="00425897" w:rsidRPr="00014AAA" w:rsidRDefault="00425897" w:rsidP="00425897">
      <w:pPr>
        <w:jc w:val="both"/>
        <w:rPr>
          <w:rFonts w:ascii="Arial" w:hAnsi="Arial" w:cs="Arial"/>
          <w:b/>
          <w:sz w:val="22"/>
          <w:szCs w:val="22"/>
        </w:rPr>
      </w:pPr>
      <w:r w:rsidRPr="00014AAA">
        <w:rPr>
          <w:rFonts w:ascii="Arial" w:hAnsi="Arial" w:cs="Arial"/>
          <w:b/>
          <w:sz w:val="22"/>
          <w:szCs w:val="22"/>
        </w:rPr>
        <w:t>3.2 Age-Dependent Level of Micronutrients in Malaria</w:t>
      </w:r>
      <w:r w:rsidR="00A3245E">
        <w:rPr>
          <w:rFonts w:ascii="Arial" w:hAnsi="Arial" w:cs="Arial"/>
          <w:b/>
          <w:sz w:val="22"/>
          <w:szCs w:val="22"/>
        </w:rPr>
        <w:t>-</w:t>
      </w:r>
      <w:r w:rsidRPr="00014AAA">
        <w:rPr>
          <w:rFonts w:ascii="Arial" w:hAnsi="Arial" w:cs="Arial"/>
          <w:b/>
          <w:sz w:val="22"/>
          <w:szCs w:val="22"/>
        </w:rPr>
        <w:t>Infected Patients</w:t>
      </w:r>
    </w:p>
    <w:p w14:paraId="0B051C57" w14:textId="77777777" w:rsidR="00425897" w:rsidRDefault="00425897" w:rsidP="00425897">
      <w:pPr>
        <w:jc w:val="both"/>
        <w:rPr>
          <w:rFonts w:ascii="Arial" w:hAnsi="Arial" w:cs="Arial"/>
        </w:rPr>
      </w:pPr>
    </w:p>
    <w:p w14:paraId="2E04D82F" w14:textId="0B62FCE6" w:rsidR="00AC7851" w:rsidRDefault="00E668DA" w:rsidP="00AC7851">
      <w:pPr>
        <w:jc w:val="both"/>
        <w:rPr>
          <w:rFonts w:ascii="Arial" w:hAnsi="Arial" w:cs="Arial"/>
          <w:lang w:val="en-GB"/>
        </w:rPr>
      </w:pPr>
      <w:r w:rsidRPr="00E668DA">
        <w:rPr>
          <w:rFonts w:ascii="Arial" w:hAnsi="Arial" w:cs="Arial"/>
          <w:b/>
          <w:bCs/>
        </w:rPr>
        <w:lastRenderedPageBreak/>
        <w:t>Table 1</w:t>
      </w:r>
      <w:r>
        <w:rPr>
          <w:rFonts w:ascii="Arial" w:hAnsi="Arial" w:cs="Arial"/>
        </w:rPr>
        <w:t xml:space="preserve"> depicts the trends in the amounts of micronutrients across different age groups of the sampled population. Overall observation noted is an increment in the levels of these micronutrients with age. Those that showed significant comparison of means using one-way analyses of variance were iron (p=&lt;.0001), phosphate (p=.0023), and calcium (p=&lt;.0001). More specifically, the post </w:t>
      </w:r>
      <w:r w:rsidR="00AC7851">
        <w:rPr>
          <w:rFonts w:ascii="Arial" w:hAnsi="Arial" w:cs="Arial"/>
        </w:rPr>
        <w:t>hoc analyses showed that for the iron parameter, subjects within the age range of 1 to 10 years (</w:t>
      </w:r>
      <w:r w:rsidR="00AC7851">
        <w:rPr>
          <w:rFonts w:ascii="Arial" w:hAnsi="Arial" w:cs="Arial"/>
          <w:lang w:val="en-GB"/>
        </w:rPr>
        <w:t xml:space="preserve">10.4±1.4 </w:t>
      </w:r>
      <w:r w:rsidR="00AC7851" w:rsidRPr="00AC7851">
        <w:rPr>
          <w:rFonts w:ascii="Arial" w:hAnsi="Arial" w:cs="Arial"/>
          <w:lang w:val="en-GB"/>
        </w:rPr>
        <w:t>µmol/L</w:t>
      </w:r>
      <w:r w:rsidR="00AC7851">
        <w:rPr>
          <w:rFonts w:ascii="Arial" w:hAnsi="Arial" w:cs="Arial"/>
          <w:lang w:val="en-GB"/>
        </w:rPr>
        <w:t xml:space="preserve">) exhibited significantly lower levels </w:t>
      </w:r>
      <w:r w:rsidR="00AC7851" w:rsidRPr="002A5671">
        <w:rPr>
          <w:rFonts w:ascii="Arial" w:hAnsi="Arial" w:cs="Arial"/>
          <w:lang w:val="en-GB"/>
        </w:rPr>
        <w:t xml:space="preserve">compared to 21-30 </w:t>
      </w:r>
      <w:r w:rsidR="00C4714E">
        <w:rPr>
          <w:rFonts w:ascii="Arial" w:hAnsi="Arial" w:cs="Arial"/>
          <w:lang w:val="en-GB"/>
        </w:rPr>
        <w:t xml:space="preserve">years </w:t>
      </w:r>
      <w:r w:rsidR="00AC7851" w:rsidRPr="002A5671">
        <w:rPr>
          <w:rFonts w:ascii="Arial" w:hAnsi="Arial" w:cs="Arial"/>
          <w:lang w:val="en-GB"/>
        </w:rPr>
        <w:t>(</w:t>
      </w:r>
      <w:r w:rsidR="00AC7851" w:rsidRPr="002A5671">
        <w:rPr>
          <w:rFonts w:ascii="Arial" w:hAnsi="Arial" w:cs="Arial"/>
        </w:rPr>
        <w:t xml:space="preserve">14.2±1.4 </w:t>
      </w:r>
      <w:r w:rsidR="00AC7851" w:rsidRPr="002A5671">
        <w:rPr>
          <w:rFonts w:ascii="Arial" w:hAnsi="Arial" w:cs="Arial"/>
          <w:lang w:val="en-GB"/>
        </w:rPr>
        <w:t>µmol/L</w:t>
      </w:r>
      <w:r w:rsidR="002A5671" w:rsidRPr="002A5671">
        <w:rPr>
          <w:rFonts w:ascii="Arial" w:hAnsi="Arial" w:cs="Arial"/>
          <w:lang w:val="en-GB"/>
        </w:rPr>
        <w:t>, p=</w:t>
      </w:r>
      <w:r w:rsidR="002A5671" w:rsidRPr="006B0FFB">
        <w:rPr>
          <w:rFonts w:ascii="Arial" w:hAnsi="Arial" w:cs="Arial"/>
          <w:lang w:val="en-GB"/>
        </w:rPr>
        <w:t>&lt;.0001</w:t>
      </w:r>
      <w:r w:rsidR="00AC7851" w:rsidRPr="002A5671">
        <w:rPr>
          <w:rFonts w:ascii="Arial" w:hAnsi="Arial" w:cs="Arial"/>
        </w:rPr>
        <w:t xml:space="preserve">), </w:t>
      </w:r>
      <w:r w:rsidR="00AC7851" w:rsidRPr="002A5671">
        <w:rPr>
          <w:rFonts w:ascii="Arial" w:hAnsi="Arial" w:cs="Arial"/>
          <w:lang w:val="en-GB"/>
        </w:rPr>
        <w:t xml:space="preserve">31-40 </w:t>
      </w:r>
      <w:r w:rsidR="00C4714E">
        <w:rPr>
          <w:rFonts w:ascii="Arial" w:hAnsi="Arial" w:cs="Arial"/>
          <w:lang w:val="en-GB"/>
        </w:rPr>
        <w:t xml:space="preserve">years </w:t>
      </w:r>
      <w:r w:rsidR="00AC7851" w:rsidRPr="002A5671">
        <w:rPr>
          <w:rFonts w:ascii="Arial" w:hAnsi="Arial" w:cs="Arial"/>
          <w:lang w:val="en-GB"/>
        </w:rPr>
        <w:t>(</w:t>
      </w:r>
      <w:r w:rsidR="00AC7851" w:rsidRPr="002A5671">
        <w:rPr>
          <w:rFonts w:ascii="Arial" w:hAnsi="Arial" w:cs="Arial"/>
        </w:rPr>
        <w:t xml:space="preserve">14.6±1.2 </w:t>
      </w:r>
      <w:r w:rsidR="00AC7851" w:rsidRPr="002A5671">
        <w:rPr>
          <w:rFonts w:ascii="Arial" w:hAnsi="Arial" w:cs="Arial"/>
          <w:lang w:val="en-GB"/>
        </w:rPr>
        <w:t>µmol/L</w:t>
      </w:r>
      <w:r w:rsidR="002A5671">
        <w:rPr>
          <w:rFonts w:ascii="Arial" w:hAnsi="Arial" w:cs="Arial"/>
          <w:lang w:val="en-GB"/>
        </w:rPr>
        <w:t xml:space="preserve">, </w:t>
      </w:r>
      <w:r w:rsidR="002A5671" w:rsidRPr="002A5671">
        <w:rPr>
          <w:rFonts w:ascii="Arial" w:hAnsi="Arial" w:cs="Arial"/>
          <w:lang w:val="en-GB"/>
        </w:rPr>
        <w:t>p=</w:t>
      </w:r>
      <w:r w:rsidR="002A5671" w:rsidRPr="006B0FFB">
        <w:rPr>
          <w:rFonts w:ascii="Arial" w:hAnsi="Arial" w:cs="Arial"/>
          <w:lang w:val="en-GB"/>
        </w:rPr>
        <w:t>&lt;.0001</w:t>
      </w:r>
      <w:r w:rsidR="00AC7851" w:rsidRPr="002A5671">
        <w:rPr>
          <w:rFonts w:ascii="Arial" w:hAnsi="Arial" w:cs="Arial"/>
        </w:rPr>
        <w:t>)</w:t>
      </w:r>
      <w:r w:rsidR="00AC7851" w:rsidRPr="002A5671">
        <w:rPr>
          <w:rFonts w:ascii="Arial" w:hAnsi="Arial" w:cs="Arial"/>
          <w:lang w:val="en-GB"/>
        </w:rPr>
        <w:t>, and ≥41</w:t>
      </w:r>
      <w:r w:rsidR="00AC7851">
        <w:rPr>
          <w:rFonts w:ascii="Arial" w:hAnsi="Arial" w:cs="Arial"/>
          <w:lang w:val="en-GB"/>
        </w:rPr>
        <w:t xml:space="preserve"> (</w:t>
      </w:r>
      <w:r w:rsidR="00AC7851" w:rsidRPr="00AC7851">
        <w:rPr>
          <w:rFonts w:ascii="Arial" w:hAnsi="Arial" w:cs="Arial"/>
        </w:rPr>
        <w:t>12.8±1.4</w:t>
      </w:r>
      <w:r w:rsidR="00AC7851">
        <w:rPr>
          <w:rFonts w:ascii="Arial" w:hAnsi="Arial" w:cs="Arial"/>
        </w:rPr>
        <w:t xml:space="preserve"> </w:t>
      </w:r>
      <w:r w:rsidR="00AC7851" w:rsidRPr="00AC7851">
        <w:rPr>
          <w:rFonts w:ascii="Arial" w:hAnsi="Arial" w:cs="Arial"/>
          <w:lang w:val="en-GB"/>
        </w:rPr>
        <w:t>µmol/L</w:t>
      </w:r>
      <w:r w:rsidR="002A5671">
        <w:rPr>
          <w:rFonts w:ascii="Arial" w:hAnsi="Arial" w:cs="Arial"/>
          <w:lang w:val="en-GB"/>
        </w:rPr>
        <w:t xml:space="preserve">, </w:t>
      </w:r>
      <w:r w:rsidR="002A5671" w:rsidRPr="002A5671">
        <w:rPr>
          <w:rFonts w:ascii="Arial" w:hAnsi="Arial" w:cs="Arial"/>
          <w:lang w:val="en-GB"/>
        </w:rPr>
        <w:t>p=</w:t>
      </w:r>
      <w:r w:rsidR="002A5671" w:rsidRPr="006B0FFB">
        <w:rPr>
          <w:rFonts w:ascii="Arial" w:hAnsi="Arial" w:cs="Arial"/>
          <w:lang w:val="en-GB"/>
        </w:rPr>
        <w:t>&lt;.00</w:t>
      </w:r>
      <w:r w:rsidR="002A5671">
        <w:rPr>
          <w:rFonts w:ascii="Arial" w:hAnsi="Arial" w:cs="Arial"/>
          <w:lang w:val="en-GB"/>
        </w:rPr>
        <w:t>89)</w:t>
      </w:r>
      <w:r w:rsidR="00AC7851">
        <w:rPr>
          <w:rFonts w:ascii="Arial" w:hAnsi="Arial" w:cs="Arial"/>
        </w:rPr>
        <w:t xml:space="preserve">. Similarly, people within the age range of 11 to 20 years </w:t>
      </w:r>
      <w:r w:rsidR="002A5671">
        <w:rPr>
          <w:rFonts w:ascii="Arial" w:hAnsi="Arial" w:cs="Arial"/>
        </w:rPr>
        <w:t>(</w:t>
      </w:r>
      <w:r w:rsidR="002A5671">
        <w:rPr>
          <w:rFonts w:ascii="Arial" w:hAnsi="Arial" w:cs="Arial"/>
          <w:lang w:val="en-GB"/>
        </w:rPr>
        <w:t>11.6±2.1</w:t>
      </w:r>
      <w:r w:rsidR="002A5671" w:rsidRPr="002A5671">
        <w:rPr>
          <w:rFonts w:ascii="Arial" w:hAnsi="Arial" w:cs="Arial"/>
          <w:lang w:val="en-GB"/>
        </w:rPr>
        <w:t xml:space="preserve"> µmol/L</w:t>
      </w:r>
      <w:r w:rsidR="002A5671">
        <w:rPr>
          <w:rFonts w:ascii="Arial" w:hAnsi="Arial" w:cs="Arial"/>
          <w:lang w:val="en-GB"/>
        </w:rPr>
        <w:t xml:space="preserve">) </w:t>
      </w:r>
      <w:r w:rsidR="00AC7851">
        <w:rPr>
          <w:rFonts w:ascii="Arial" w:hAnsi="Arial" w:cs="Arial"/>
        </w:rPr>
        <w:t>showed significantly lower levels of iron compared to those people within the age ranges of 21 to 30 years</w:t>
      </w:r>
      <w:r w:rsidR="002A5671">
        <w:rPr>
          <w:rFonts w:ascii="Arial" w:hAnsi="Arial" w:cs="Arial"/>
        </w:rPr>
        <w:t xml:space="preserve"> (</w:t>
      </w:r>
      <w:r w:rsidR="002A5671">
        <w:rPr>
          <w:rFonts w:ascii="Arial" w:hAnsi="Arial" w:cs="Arial"/>
          <w:lang w:val="en-GB"/>
        </w:rPr>
        <w:t xml:space="preserve">14.2±1.4 </w:t>
      </w:r>
      <w:r w:rsidR="002A5671" w:rsidRPr="002A5671">
        <w:rPr>
          <w:rFonts w:ascii="Arial" w:hAnsi="Arial" w:cs="Arial"/>
          <w:lang w:val="en-GB"/>
        </w:rPr>
        <w:t>µmol/L</w:t>
      </w:r>
      <w:r w:rsidR="002A5671">
        <w:rPr>
          <w:rFonts w:ascii="Arial" w:hAnsi="Arial" w:cs="Arial"/>
          <w:lang w:val="en-GB"/>
        </w:rPr>
        <w:t xml:space="preserve">, </w:t>
      </w:r>
      <w:r w:rsidR="002A5671">
        <w:rPr>
          <w:rFonts w:ascii="Arial" w:hAnsi="Arial" w:cs="Arial"/>
        </w:rPr>
        <w:t>p=.0039)</w:t>
      </w:r>
      <w:r w:rsidR="00AC7851">
        <w:rPr>
          <w:rFonts w:ascii="Arial" w:hAnsi="Arial" w:cs="Arial"/>
        </w:rPr>
        <w:t xml:space="preserve"> and </w:t>
      </w:r>
      <w:r w:rsidR="002A5671">
        <w:rPr>
          <w:rFonts w:ascii="Arial" w:hAnsi="Arial" w:cs="Arial"/>
        </w:rPr>
        <w:t>31 to 40 years (</w:t>
      </w:r>
      <w:r w:rsidR="002A5671">
        <w:rPr>
          <w:rFonts w:ascii="Arial" w:hAnsi="Arial" w:cs="Arial"/>
          <w:lang w:val="en-GB"/>
        </w:rPr>
        <w:t xml:space="preserve">14.6±1.2 </w:t>
      </w:r>
      <w:r w:rsidR="002A5671" w:rsidRPr="002A5671">
        <w:rPr>
          <w:rFonts w:ascii="Arial" w:hAnsi="Arial" w:cs="Arial"/>
          <w:lang w:val="en-GB"/>
        </w:rPr>
        <w:t>µmol/L</w:t>
      </w:r>
      <w:r w:rsidR="002A5671">
        <w:rPr>
          <w:rFonts w:ascii="Arial" w:hAnsi="Arial" w:cs="Arial"/>
          <w:lang w:val="en-GB"/>
        </w:rPr>
        <w:t xml:space="preserve">, p=.0007). </w:t>
      </w:r>
      <w:r w:rsidR="001C5AC0">
        <w:rPr>
          <w:rFonts w:ascii="Arial" w:hAnsi="Arial" w:cs="Arial"/>
          <w:lang w:val="en-GB"/>
        </w:rPr>
        <w:t xml:space="preserve">For </w:t>
      </w:r>
      <w:r w:rsidR="002A5671">
        <w:rPr>
          <w:rFonts w:ascii="Arial" w:hAnsi="Arial" w:cs="Arial"/>
          <w:lang w:val="en-GB"/>
        </w:rPr>
        <w:t>the phosphate micronutrient, only two groups showed significant comparison: 1-10 years (0.68</w:t>
      </w:r>
      <w:r w:rsidR="002A5671" w:rsidRPr="00383FA5">
        <w:rPr>
          <w:rFonts w:ascii="Arial" w:hAnsi="Arial" w:cs="Arial"/>
          <w:lang w:val="en-GB"/>
        </w:rPr>
        <w:t>±</w:t>
      </w:r>
      <w:r w:rsidR="002A5671">
        <w:rPr>
          <w:rFonts w:ascii="Arial" w:hAnsi="Arial" w:cs="Arial"/>
          <w:lang w:val="en-GB"/>
        </w:rPr>
        <w:t>0.12</w:t>
      </w:r>
      <w:r w:rsidR="00743D13">
        <w:rPr>
          <w:rFonts w:ascii="Arial" w:hAnsi="Arial" w:cs="Arial"/>
          <w:lang w:val="en-GB"/>
        </w:rPr>
        <w:t xml:space="preserve"> </w:t>
      </w:r>
      <w:r w:rsidR="00743D13" w:rsidRPr="002A5671">
        <w:rPr>
          <w:rFonts w:ascii="Arial" w:hAnsi="Arial" w:cs="Arial"/>
          <w:lang w:val="en-GB"/>
        </w:rPr>
        <w:t>µmol/L</w:t>
      </w:r>
      <w:r w:rsidR="002A5671">
        <w:rPr>
          <w:rFonts w:ascii="Arial" w:hAnsi="Arial" w:cs="Arial"/>
          <w:lang w:val="en-GB"/>
        </w:rPr>
        <w:t>) and ≥41 years (1.02</w:t>
      </w:r>
      <w:r w:rsidR="002A5671" w:rsidRPr="00383FA5">
        <w:rPr>
          <w:rFonts w:ascii="Arial" w:hAnsi="Arial" w:cs="Arial"/>
          <w:lang w:val="en-GB"/>
        </w:rPr>
        <w:t>±</w:t>
      </w:r>
      <w:r w:rsidR="002A5671">
        <w:rPr>
          <w:rFonts w:ascii="Arial" w:hAnsi="Arial" w:cs="Arial"/>
          <w:lang w:val="en-GB"/>
        </w:rPr>
        <w:t>0.40</w:t>
      </w:r>
      <w:r w:rsidR="00743D13">
        <w:rPr>
          <w:rFonts w:ascii="Arial" w:hAnsi="Arial" w:cs="Arial"/>
          <w:lang w:val="en-GB"/>
        </w:rPr>
        <w:t xml:space="preserve"> </w:t>
      </w:r>
      <w:r w:rsidR="00743D13" w:rsidRPr="002A5671">
        <w:rPr>
          <w:rFonts w:ascii="Arial" w:hAnsi="Arial" w:cs="Arial"/>
          <w:lang w:val="en-GB"/>
        </w:rPr>
        <w:t>µmol/L</w:t>
      </w:r>
      <w:r w:rsidR="002A5671">
        <w:rPr>
          <w:rFonts w:ascii="Arial" w:hAnsi="Arial" w:cs="Arial"/>
          <w:lang w:val="en-GB"/>
        </w:rPr>
        <w:t>)</w:t>
      </w:r>
      <w:r w:rsidR="00743D13">
        <w:rPr>
          <w:rFonts w:ascii="Arial" w:hAnsi="Arial" w:cs="Arial"/>
          <w:lang w:val="en-GB"/>
        </w:rPr>
        <w:t>,</w:t>
      </w:r>
      <w:r w:rsidR="002A5671">
        <w:rPr>
          <w:rFonts w:ascii="Arial" w:hAnsi="Arial" w:cs="Arial"/>
          <w:lang w:val="en-GB"/>
        </w:rPr>
        <w:t xml:space="preserve"> p=.0058) as well as 11-20 years (0.71</w:t>
      </w:r>
      <w:r w:rsidR="002A5671" w:rsidRPr="00383FA5">
        <w:rPr>
          <w:rFonts w:ascii="Arial" w:hAnsi="Arial" w:cs="Arial"/>
          <w:lang w:val="en-GB"/>
        </w:rPr>
        <w:t>±</w:t>
      </w:r>
      <w:r w:rsidR="002A5671">
        <w:rPr>
          <w:rFonts w:ascii="Arial" w:hAnsi="Arial" w:cs="Arial"/>
          <w:lang w:val="en-GB"/>
        </w:rPr>
        <w:t>0.12</w:t>
      </w:r>
      <w:r w:rsidR="00743D13">
        <w:rPr>
          <w:rFonts w:ascii="Arial" w:hAnsi="Arial" w:cs="Arial"/>
          <w:lang w:val="en-GB"/>
        </w:rPr>
        <w:t xml:space="preserve"> </w:t>
      </w:r>
      <w:r w:rsidR="00743D13" w:rsidRPr="002A5671">
        <w:rPr>
          <w:rFonts w:ascii="Arial" w:hAnsi="Arial" w:cs="Arial"/>
          <w:lang w:val="en-GB"/>
        </w:rPr>
        <w:t>µmol/L</w:t>
      </w:r>
      <w:r w:rsidR="002A5671">
        <w:rPr>
          <w:rFonts w:ascii="Arial" w:hAnsi="Arial" w:cs="Arial"/>
          <w:lang w:val="en-GB"/>
        </w:rPr>
        <w:t>) ≥41 years (1.02</w:t>
      </w:r>
      <w:r w:rsidR="002A5671" w:rsidRPr="00383FA5">
        <w:rPr>
          <w:rFonts w:ascii="Arial" w:hAnsi="Arial" w:cs="Arial"/>
          <w:lang w:val="en-GB"/>
        </w:rPr>
        <w:t>±</w:t>
      </w:r>
      <w:r w:rsidR="002A5671">
        <w:rPr>
          <w:rFonts w:ascii="Arial" w:hAnsi="Arial" w:cs="Arial"/>
          <w:lang w:val="en-GB"/>
        </w:rPr>
        <w:t>0.40</w:t>
      </w:r>
      <w:r w:rsidR="00743D13">
        <w:rPr>
          <w:rFonts w:ascii="Arial" w:hAnsi="Arial" w:cs="Arial"/>
          <w:lang w:val="en-GB"/>
        </w:rPr>
        <w:t xml:space="preserve"> </w:t>
      </w:r>
      <w:r w:rsidR="00743D13" w:rsidRPr="002A5671">
        <w:rPr>
          <w:rFonts w:ascii="Arial" w:hAnsi="Arial" w:cs="Arial"/>
          <w:lang w:val="en-GB"/>
        </w:rPr>
        <w:t>µmol/L</w:t>
      </w:r>
      <w:r w:rsidR="002A5671">
        <w:rPr>
          <w:rFonts w:ascii="Arial" w:hAnsi="Arial" w:cs="Arial"/>
          <w:lang w:val="en-GB"/>
        </w:rPr>
        <w:t>), p=.0143</w:t>
      </w:r>
      <w:r w:rsidR="00743D13">
        <w:rPr>
          <w:rFonts w:ascii="Arial" w:hAnsi="Arial" w:cs="Arial"/>
          <w:lang w:val="en-GB"/>
        </w:rPr>
        <w:t xml:space="preserve">. </w:t>
      </w:r>
    </w:p>
    <w:p w14:paraId="01DA5907" w14:textId="77777777" w:rsidR="00E668DA" w:rsidRDefault="00E668DA" w:rsidP="00425897">
      <w:pPr>
        <w:jc w:val="both"/>
        <w:rPr>
          <w:rFonts w:ascii="Arial" w:hAnsi="Arial" w:cs="Arial"/>
        </w:rPr>
      </w:pPr>
    </w:p>
    <w:p w14:paraId="3D1A0C7A" w14:textId="526D9C22" w:rsidR="00E668DA" w:rsidRPr="00E668DA" w:rsidRDefault="00E668DA" w:rsidP="00E668DA">
      <w:pPr>
        <w:jc w:val="center"/>
        <w:rPr>
          <w:rFonts w:ascii="Arial" w:hAnsi="Arial" w:cs="Arial"/>
          <w:b/>
        </w:rPr>
      </w:pPr>
      <w:r>
        <w:rPr>
          <w:rFonts w:ascii="Arial" w:hAnsi="Arial" w:cs="Arial"/>
          <w:b/>
        </w:rPr>
        <w:t xml:space="preserve">Table 1. </w:t>
      </w:r>
      <w:r w:rsidRPr="00425897">
        <w:rPr>
          <w:rFonts w:ascii="Arial" w:hAnsi="Arial" w:cs="Arial"/>
          <w:b/>
        </w:rPr>
        <w:t>Trend</w:t>
      </w:r>
      <w:r>
        <w:rPr>
          <w:rFonts w:ascii="Arial" w:hAnsi="Arial" w:cs="Arial"/>
          <w:b/>
        </w:rPr>
        <w:t>s</w:t>
      </w:r>
      <w:r w:rsidRPr="00425897">
        <w:rPr>
          <w:rFonts w:ascii="Arial" w:hAnsi="Arial" w:cs="Arial"/>
          <w:b/>
        </w:rPr>
        <w:t xml:space="preserve"> in the </w:t>
      </w:r>
      <w:r w:rsidR="00811541" w:rsidRPr="00425897">
        <w:rPr>
          <w:rFonts w:ascii="Arial" w:hAnsi="Arial" w:cs="Arial"/>
          <w:b/>
        </w:rPr>
        <w:t>level of micronutrients across different ages</w:t>
      </w:r>
    </w:p>
    <w:tbl>
      <w:tblPr>
        <w:tblW w:w="7175" w:type="dxa"/>
        <w:jc w:val="center"/>
        <w:tblBorders>
          <w:top w:val="single" w:sz="4" w:space="0" w:color="auto"/>
          <w:bottom w:val="single" w:sz="4" w:space="0" w:color="auto"/>
        </w:tblBorders>
        <w:tblCellMar>
          <w:left w:w="0" w:type="dxa"/>
          <w:right w:w="0" w:type="dxa"/>
        </w:tblCellMar>
        <w:tblLook w:val="04A0" w:firstRow="1" w:lastRow="0" w:firstColumn="1" w:lastColumn="0" w:noHBand="0" w:noVBand="1"/>
      </w:tblPr>
      <w:tblGrid>
        <w:gridCol w:w="2071"/>
        <w:gridCol w:w="1276"/>
        <w:gridCol w:w="1276"/>
        <w:gridCol w:w="1276"/>
        <w:gridCol w:w="1276"/>
      </w:tblGrid>
      <w:tr w:rsidR="006B0FFB" w:rsidRPr="006B0FFB" w14:paraId="3A194828" w14:textId="6FF4E2DB" w:rsidTr="00AC7851">
        <w:trPr>
          <w:jc w:val="center"/>
        </w:trPr>
        <w:tc>
          <w:tcPr>
            <w:tcW w:w="2071" w:type="dxa"/>
            <w:tcBorders>
              <w:top w:val="single" w:sz="4" w:space="0" w:color="auto"/>
              <w:bottom w:val="single" w:sz="4" w:space="0" w:color="auto"/>
            </w:tcBorders>
            <w:shd w:val="clear" w:color="auto" w:fill="auto"/>
            <w:noWrap/>
            <w:tcMar>
              <w:top w:w="15" w:type="dxa"/>
              <w:left w:w="15" w:type="dxa"/>
              <w:bottom w:w="0" w:type="dxa"/>
              <w:right w:w="15" w:type="dxa"/>
            </w:tcMar>
            <w:vAlign w:val="bottom"/>
          </w:tcPr>
          <w:p w14:paraId="268F27AB" w14:textId="6E8FE89A" w:rsidR="006B0FFB" w:rsidRPr="006B0FFB" w:rsidRDefault="00AC7851" w:rsidP="006B0FFB">
            <w:pPr>
              <w:jc w:val="both"/>
              <w:rPr>
                <w:rFonts w:ascii="Arial" w:hAnsi="Arial" w:cs="Arial"/>
                <w:b/>
                <w:bCs/>
                <w:lang w:val="en-GB"/>
              </w:rPr>
            </w:pPr>
            <w:r>
              <w:rPr>
                <w:rFonts w:ascii="Arial" w:hAnsi="Arial" w:cs="Arial"/>
                <w:b/>
                <w:bCs/>
                <w:lang w:val="en-GB"/>
              </w:rPr>
              <w:t>Age groups (Years)</w:t>
            </w:r>
            <w:r w:rsidR="006B0FFB" w:rsidRPr="006B0FFB">
              <w:rPr>
                <w:rFonts w:ascii="Arial" w:hAnsi="Arial" w:cs="Arial"/>
                <w:b/>
                <w:bCs/>
                <w:lang w:val="en-GB"/>
              </w:rPr>
              <w:t xml:space="preserve"> </w:t>
            </w:r>
          </w:p>
        </w:tc>
        <w:tc>
          <w:tcPr>
            <w:tcW w:w="1276" w:type="dxa"/>
            <w:tcBorders>
              <w:top w:val="single" w:sz="4" w:space="0" w:color="auto"/>
              <w:bottom w:val="single" w:sz="4" w:space="0" w:color="auto"/>
            </w:tcBorders>
            <w:shd w:val="clear" w:color="auto" w:fill="auto"/>
            <w:noWrap/>
            <w:tcMar>
              <w:top w:w="15" w:type="dxa"/>
              <w:left w:w="15" w:type="dxa"/>
              <w:bottom w:w="0" w:type="dxa"/>
              <w:right w:w="15" w:type="dxa"/>
            </w:tcMar>
            <w:vAlign w:val="bottom"/>
          </w:tcPr>
          <w:p w14:paraId="5CF18F74" w14:textId="6655CD5C" w:rsidR="006B0FFB" w:rsidRPr="006B0FFB" w:rsidRDefault="006B0FFB" w:rsidP="006B0FFB">
            <w:pPr>
              <w:jc w:val="both"/>
              <w:rPr>
                <w:rFonts w:ascii="Arial" w:hAnsi="Arial" w:cs="Arial"/>
                <w:b/>
                <w:bCs/>
                <w:lang w:val="en-GB"/>
              </w:rPr>
            </w:pPr>
            <w:r w:rsidRPr="006B0FFB">
              <w:rPr>
                <w:rFonts w:ascii="Arial" w:hAnsi="Arial" w:cs="Arial"/>
                <w:b/>
                <w:bCs/>
                <w:lang w:val="en-GB"/>
              </w:rPr>
              <w:t>Fe</w:t>
            </w:r>
            <w:r w:rsidR="007B03EC">
              <w:rPr>
                <w:rFonts w:ascii="Arial" w:hAnsi="Arial" w:cs="Arial"/>
                <w:b/>
                <w:bCs/>
                <w:lang w:val="en-GB"/>
              </w:rPr>
              <w:t xml:space="preserve"> </w:t>
            </w:r>
            <w:r w:rsidR="00A24C21">
              <w:rPr>
                <w:rFonts w:ascii="Arial" w:hAnsi="Arial" w:cs="Arial"/>
                <w:b/>
                <w:bCs/>
                <w:lang w:val="en-GB"/>
              </w:rPr>
              <w:t>(</w:t>
            </w:r>
            <w:r w:rsidR="007B03EC">
              <w:rPr>
                <w:rFonts w:ascii="Arial" w:hAnsi="Arial" w:cs="Arial"/>
                <w:b/>
                <w:bCs/>
                <w:lang w:val="en-GB"/>
              </w:rPr>
              <w:t>µmol/L</w:t>
            </w:r>
            <w:r w:rsidR="00A24C21">
              <w:rPr>
                <w:rFonts w:ascii="Arial" w:hAnsi="Arial" w:cs="Arial"/>
                <w:b/>
                <w:bCs/>
                <w:lang w:val="en-GB"/>
              </w:rPr>
              <w:t>)</w:t>
            </w:r>
          </w:p>
        </w:tc>
        <w:tc>
          <w:tcPr>
            <w:tcW w:w="1276" w:type="dxa"/>
            <w:tcBorders>
              <w:top w:val="single" w:sz="4" w:space="0" w:color="auto"/>
              <w:bottom w:val="single" w:sz="4" w:space="0" w:color="auto"/>
            </w:tcBorders>
          </w:tcPr>
          <w:p w14:paraId="58D7C3CE" w14:textId="10841BC9" w:rsidR="006B0FFB" w:rsidRPr="006B0FFB" w:rsidRDefault="006B0FFB" w:rsidP="006B0FFB">
            <w:pPr>
              <w:jc w:val="both"/>
              <w:rPr>
                <w:rFonts w:ascii="Arial" w:hAnsi="Arial" w:cs="Arial"/>
                <w:b/>
                <w:bCs/>
                <w:lang w:val="en-GB"/>
              </w:rPr>
            </w:pPr>
            <w:r w:rsidRPr="006B0FFB">
              <w:rPr>
                <w:rFonts w:ascii="Arial" w:hAnsi="Arial" w:cs="Arial"/>
                <w:b/>
                <w:bCs/>
                <w:lang w:val="en-GB"/>
              </w:rPr>
              <w:t>P</w:t>
            </w:r>
            <w:r w:rsidR="00A24C21">
              <w:rPr>
                <w:rFonts w:ascii="Arial" w:hAnsi="Arial" w:cs="Arial"/>
                <w:b/>
                <w:bCs/>
                <w:lang w:val="en-GB"/>
              </w:rPr>
              <w:t xml:space="preserve"> (µmol/L)</w:t>
            </w:r>
          </w:p>
        </w:tc>
        <w:tc>
          <w:tcPr>
            <w:tcW w:w="1276" w:type="dxa"/>
            <w:tcBorders>
              <w:top w:val="single" w:sz="4" w:space="0" w:color="auto"/>
              <w:bottom w:val="single" w:sz="4" w:space="0" w:color="auto"/>
            </w:tcBorders>
          </w:tcPr>
          <w:p w14:paraId="346D26B5" w14:textId="6E02B51B" w:rsidR="006B0FFB" w:rsidRPr="006B0FFB" w:rsidRDefault="006B0FFB" w:rsidP="006B0FFB">
            <w:pPr>
              <w:jc w:val="both"/>
              <w:rPr>
                <w:rFonts w:ascii="Arial" w:hAnsi="Arial" w:cs="Arial"/>
                <w:b/>
                <w:bCs/>
                <w:lang w:val="en-GB"/>
              </w:rPr>
            </w:pPr>
            <w:r w:rsidRPr="006B0FFB">
              <w:rPr>
                <w:rFonts w:ascii="Arial" w:hAnsi="Arial" w:cs="Arial"/>
                <w:b/>
                <w:bCs/>
                <w:lang w:val="en-GB"/>
              </w:rPr>
              <w:t>Mg</w:t>
            </w:r>
            <w:r w:rsidR="00A24C21">
              <w:rPr>
                <w:rFonts w:ascii="Arial" w:hAnsi="Arial" w:cs="Arial"/>
                <w:b/>
                <w:bCs/>
                <w:lang w:val="en-GB"/>
              </w:rPr>
              <w:t xml:space="preserve"> (µmol/L)</w:t>
            </w:r>
          </w:p>
        </w:tc>
        <w:tc>
          <w:tcPr>
            <w:tcW w:w="1276" w:type="dxa"/>
            <w:tcBorders>
              <w:top w:val="single" w:sz="4" w:space="0" w:color="auto"/>
              <w:bottom w:val="single" w:sz="4" w:space="0" w:color="auto"/>
            </w:tcBorders>
          </w:tcPr>
          <w:p w14:paraId="20AFE46C" w14:textId="145305BC" w:rsidR="006B0FFB" w:rsidRPr="006B0FFB" w:rsidRDefault="006B0FFB" w:rsidP="006B0FFB">
            <w:pPr>
              <w:jc w:val="both"/>
              <w:rPr>
                <w:rFonts w:ascii="Arial" w:hAnsi="Arial" w:cs="Arial"/>
                <w:b/>
                <w:bCs/>
                <w:lang w:val="en-GB"/>
              </w:rPr>
            </w:pPr>
            <w:r w:rsidRPr="006B0FFB">
              <w:rPr>
                <w:rFonts w:ascii="Arial" w:hAnsi="Arial" w:cs="Arial"/>
                <w:b/>
                <w:bCs/>
                <w:lang w:val="en-GB"/>
              </w:rPr>
              <w:t>Ca</w:t>
            </w:r>
            <w:r w:rsidR="00A24C21">
              <w:rPr>
                <w:rFonts w:ascii="Arial" w:hAnsi="Arial" w:cs="Arial"/>
                <w:b/>
                <w:bCs/>
                <w:lang w:val="en-GB"/>
              </w:rPr>
              <w:t xml:space="preserve"> (µmol/L)</w:t>
            </w:r>
          </w:p>
        </w:tc>
      </w:tr>
      <w:tr w:rsidR="004D197E" w:rsidRPr="006B0FFB" w14:paraId="1AA954E1" w14:textId="16DAB643" w:rsidTr="00AC7851">
        <w:trPr>
          <w:jc w:val="center"/>
        </w:trPr>
        <w:tc>
          <w:tcPr>
            <w:tcW w:w="2071" w:type="dxa"/>
            <w:tcBorders>
              <w:top w:val="single" w:sz="4" w:space="0" w:color="auto"/>
            </w:tcBorders>
            <w:shd w:val="clear" w:color="auto" w:fill="auto"/>
            <w:noWrap/>
            <w:tcMar>
              <w:top w:w="15" w:type="dxa"/>
              <w:left w:w="15" w:type="dxa"/>
              <w:bottom w:w="0" w:type="dxa"/>
              <w:right w:w="15" w:type="dxa"/>
            </w:tcMar>
            <w:vAlign w:val="bottom"/>
          </w:tcPr>
          <w:p w14:paraId="0A7F7560" w14:textId="0D809989" w:rsidR="004D197E" w:rsidRPr="006B0FFB" w:rsidRDefault="004D197E" w:rsidP="004D197E">
            <w:pPr>
              <w:jc w:val="both"/>
              <w:rPr>
                <w:rFonts w:ascii="Arial" w:hAnsi="Arial" w:cs="Arial"/>
                <w:lang w:val="en-GB"/>
              </w:rPr>
            </w:pPr>
            <w:r w:rsidRPr="006B0FFB">
              <w:rPr>
                <w:rFonts w:ascii="Arial" w:hAnsi="Arial" w:cs="Arial"/>
                <w:lang w:val="en-GB"/>
              </w:rPr>
              <w:t>1-10</w:t>
            </w:r>
          </w:p>
        </w:tc>
        <w:tc>
          <w:tcPr>
            <w:tcW w:w="1276" w:type="dxa"/>
            <w:tcBorders>
              <w:top w:val="single" w:sz="4" w:space="0" w:color="auto"/>
            </w:tcBorders>
            <w:shd w:val="clear" w:color="auto" w:fill="auto"/>
            <w:noWrap/>
            <w:tcMar>
              <w:top w:w="15" w:type="dxa"/>
              <w:left w:w="15" w:type="dxa"/>
              <w:bottom w:w="0" w:type="dxa"/>
              <w:right w:w="15" w:type="dxa"/>
            </w:tcMar>
            <w:vAlign w:val="bottom"/>
          </w:tcPr>
          <w:p w14:paraId="56C690AE" w14:textId="6203AADF" w:rsidR="004D197E" w:rsidRPr="006B0FFB" w:rsidRDefault="004D197E" w:rsidP="004D197E">
            <w:pPr>
              <w:jc w:val="both"/>
              <w:rPr>
                <w:rFonts w:ascii="Arial" w:hAnsi="Arial" w:cs="Arial"/>
                <w:lang w:val="en-GB"/>
              </w:rPr>
            </w:pPr>
            <w:r>
              <w:rPr>
                <w:rFonts w:ascii="Arial" w:hAnsi="Arial" w:cs="Arial"/>
                <w:lang w:val="en-GB"/>
              </w:rPr>
              <w:t>10.4±1.4</w:t>
            </w:r>
          </w:p>
        </w:tc>
        <w:tc>
          <w:tcPr>
            <w:tcW w:w="1276" w:type="dxa"/>
            <w:tcBorders>
              <w:top w:val="single" w:sz="4" w:space="0" w:color="auto"/>
            </w:tcBorders>
          </w:tcPr>
          <w:p w14:paraId="05329DEC" w14:textId="68A9EEB3" w:rsidR="004D197E" w:rsidRPr="006B0FFB" w:rsidRDefault="004D197E" w:rsidP="004D197E">
            <w:pPr>
              <w:jc w:val="both"/>
              <w:rPr>
                <w:rFonts w:ascii="Arial" w:hAnsi="Arial" w:cs="Arial"/>
                <w:lang w:val="en-GB"/>
              </w:rPr>
            </w:pPr>
            <w:r>
              <w:rPr>
                <w:rFonts w:ascii="Arial" w:hAnsi="Arial" w:cs="Arial"/>
                <w:lang w:val="en-GB"/>
              </w:rPr>
              <w:t>0.68</w:t>
            </w:r>
            <w:r w:rsidRPr="00383FA5">
              <w:rPr>
                <w:rFonts w:ascii="Arial" w:hAnsi="Arial" w:cs="Arial"/>
                <w:lang w:val="en-GB"/>
              </w:rPr>
              <w:t>±</w:t>
            </w:r>
            <w:r>
              <w:rPr>
                <w:rFonts w:ascii="Arial" w:hAnsi="Arial" w:cs="Arial"/>
                <w:lang w:val="en-GB"/>
              </w:rPr>
              <w:t>0.12</w:t>
            </w:r>
          </w:p>
        </w:tc>
        <w:tc>
          <w:tcPr>
            <w:tcW w:w="1276" w:type="dxa"/>
            <w:tcBorders>
              <w:top w:val="single" w:sz="4" w:space="0" w:color="auto"/>
            </w:tcBorders>
          </w:tcPr>
          <w:p w14:paraId="003A8593" w14:textId="047B0855" w:rsidR="004D197E" w:rsidRPr="006B0FFB" w:rsidRDefault="00A24C21" w:rsidP="004D197E">
            <w:pPr>
              <w:jc w:val="both"/>
              <w:rPr>
                <w:rFonts w:ascii="Arial" w:hAnsi="Arial" w:cs="Arial"/>
                <w:lang w:val="en-GB"/>
              </w:rPr>
            </w:pPr>
            <w:r>
              <w:rPr>
                <w:rFonts w:ascii="Arial" w:hAnsi="Arial" w:cs="Arial"/>
                <w:lang w:val="en-GB"/>
              </w:rPr>
              <w:t>1.85</w:t>
            </w:r>
            <w:r w:rsidR="004D197E" w:rsidRPr="00F27E0D">
              <w:rPr>
                <w:rFonts w:ascii="Arial" w:hAnsi="Arial" w:cs="Arial"/>
                <w:lang w:val="en-GB"/>
              </w:rPr>
              <w:t>±</w:t>
            </w:r>
            <w:r>
              <w:rPr>
                <w:rFonts w:ascii="Arial" w:hAnsi="Arial" w:cs="Arial"/>
                <w:lang w:val="en-GB"/>
              </w:rPr>
              <w:t>0.4</w:t>
            </w:r>
          </w:p>
        </w:tc>
        <w:tc>
          <w:tcPr>
            <w:tcW w:w="1276" w:type="dxa"/>
            <w:tcBorders>
              <w:top w:val="single" w:sz="4" w:space="0" w:color="auto"/>
            </w:tcBorders>
          </w:tcPr>
          <w:p w14:paraId="5F8EF690" w14:textId="2605E91B" w:rsidR="004D197E" w:rsidRPr="006B0FFB" w:rsidRDefault="00A24C21" w:rsidP="004D197E">
            <w:pPr>
              <w:jc w:val="both"/>
              <w:rPr>
                <w:rFonts w:ascii="Arial" w:hAnsi="Arial" w:cs="Arial"/>
                <w:lang w:val="en-GB"/>
              </w:rPr>
            </w:pPr>
            <w:r>
              <w:rPr>
                <w:rFonts w:ascii="Arial" w:hAnsi="Arial" w:cs="Arial"/>
                <w:lang w:val="en-GB"/>
              </w:rPr>
              <w:t>1.74</w:t>
            </w:r>
            <w:r w:rsidR="004D197E" w:rsidRPr="00723430">
              <w:rPr>
                <w:rFonts w:ascii="Arial" w:hAnsi="Arial" w:cs="Arial"/>
                <w:lang w:val="en-GB"/>
              </w:rPr>
              <w:t>±</w:t>
            </w:r>
            <w:r>
              <w:rPr>
                <w:rFonts w:ascii="Arial" w:hAnsi="Arial" w:cs="Arial"/>
                <w:lang w:val="en-GB"/>
              </w:rPr>
              <w:t>0.11</w:t>
            </w:r>
          </w:p>
        </w:tc>
      </w:tr>
      <w:tr w:rsidR="004D197E" w:rsidRPr="006B0FFB" w14:paraId="0199EF30" w14:textId="0A95E46F" w:rsidTr="00AC7851">
        <w:trPr>
          <w:jc w:val="center"/>
        </w:trPr>
        <w:tc>
          <w:tcPr>
            <w:tcW w:w="2071" w:type="dxa"/>
            <w:shd w:val="clear" w:color="auto" w:fill="auto"/>
            <w:noWrap/>
            <w:tcMar>
              <w:top w:w="15" w:type="dxa"/>
              <w:left w:w="15" w:type="dxa"/>
              <w:bottom w:w="0" w:type="dxa"/>
              <w:right w:w="15" w:type="dxa"/>
            </w:tcMar>
            <w:vAlign w:val="bottom"/>
          </w:tcPr>
          <w:p w14:paraId="7AC875C6" w14:textId="2649E3F8" w:rsidR="004D197E" w:rsidRPr="006B0FFB" w:rsidRDefault="004D197E" w:rsidP="004D197E">
            <w:pPr>
              <w:jc w:val="both"/>
              <w:rPr>
                <w:rFonts w:ascii="Arial" w:hAnsi="Arial" w:cs="Arial"/>
                <w:lang w:val="en-GB"/>
              </w:rPr>
            </w:pPr>
            <w:r>
              <w:rPr>
                <w:rFonts w:ascii="Arial" w:hAnsi="Arial" w:cs="Arial"/>
                <w:lang w:val="en-GB"/>
              </w:rPr>
              <w:t>11-20</w:t>
            </w:r>
          </w:p>
        </w:tc>
        <w:tc>
          <w:tcPr>
            <w:tcW w:w="1276" w:type="dxa"/>
            <w:shd w:val="clear" w:color="auto" w:fill="auto"/>
            <w:noWrap/>
            <w:tcMar>
              <w:top w:w="15" w:type="dxa"/>
              <w:left w:w="15" w:type="dxa"/>
              <w:bottom w:w="0" w:type="dxa"/>
              <w:right w:w="15" w:type="dxa"/>
            </w:tcMar>
            <w:vAlign w:val="bottom"/>
          </w:tcPr>
          <w:p w14:paraId="775B38AB" w14:textId="5ADE4F57" w:rsidR="004D197E" w:rsidRPr="006B0FFB" w:rsidRDefault="004D197E" w:rsidP="004D197E">
            <w:pPr>
              <w:jc w:val="both"/>
              <w:rPr>
                <w:rFonts w:ascii="Arial" w:hAnsi="Arial" w:cs="Arial"/>
                <w:lang w:val="en-GB"/>
              </w:rPr>
            </w:pPr>
            <w:r>
              <w:rPr>
                <w:rFonts w:ascii="Arial" w:hAnsi="Arial" w:cs="Arial"/>
                <w:lang w:val="en-GB"/>
              </w:rPr>
              <w:t>11.6±2.1</w:t>
            </w:r>
          </w:p>
        </w:tc>
        <w:tc>
          <w:tcPr>
            <w:tcW w:w="1276" w:type="dxa"/>
          </w:tcPr>
          <w:p w14:paraId="347232E2" w14:textId="55A19E79" w:rsidR="004D197E" w:rsidRPr="006B0FFB" w:rsidRDefault="004D197E" w:rsidP="004D197E">
            <w:pPr>
              <w:jc w:val="both"/>
              <w:rPr>
                <w:rFonts w:ascii="Arial" w:hAnsi="Arial" w:cs="Arial"/>
                <w:lang w:val="en-GB"/>
              </w:rPr>
            </w:pPr>
            <w:r>
              <w:rPr>
                <w:rFonts w:ascii="Arial" w:hAnsi="Arial" w:cs="Arial"/>
                <w:lang w:val="en-GB"/>
              </w:rPr>
              <w:t>0.71</w:t>
            </w:r>
            <w:r w:rsidRPr="00383FA5">
              <w:rPr>
                <w:rFonts w:ascii="Arial" w:hAnsi="Arial" w:cs="Arial"/>
                <w:lang w:val="en-GB"/>
              </w:rPr>
              <w:t>±</w:t>
            </w:r>
            <w:r>
              <w:rPr>
                <w:rFonts w:ascii="Arial" w:hAnsi="Arial" w:cs="Arial"/>
                <w:lang w:val="en-GB"/>
              </w:rPr>
              <w:t>0.12</w:t>
            </w:r>
          </w:p>
        </w:tc>
        <w:tc>
          <w:tcPr>
            <w:tcW w:w="1276" w:type="dxa"/>
          </w:tcPr>
          <w:p w14:paraId="3DC1CEEF" w14:textId="224111A5" w:rsidR="004D197E" w:rsidRPr="006B0FFB" w:rsidRDefault="00A24C21" w:rsidP="004D197E">
            <w:pPr>
              <w:jc w:val="both"/>
              <w:rPr>
                <w:rFonts w:ascii="Arial" w:hAnsi="Arial" w:cs="Arial"/>
                <w:lang w:val="en-GB"/>
              </w:rPr>
            </w:pPr>
            <w:r>
              <w:rPr>
                <w:rFonts w:ascii="Arial" w:hAnsi="Arial" w:cs="Arial"/>
                <w:lang w:val="en-GB"/>
              </w:rPr>
              <w:t>1.94</w:t>
            </w:r>
            <w:r w:rsidR="004D197E" w:rsidRPr="00F27E0D">
              <w:rPr>
                <w:rFonts w:ascii="Arial" w:hAnsi="Arial" w:cs="Arial"/>
                <w:lang w:val="en-GB"/>
              </w:rPr>
              <w:t>±</w:t>
            </w:r>
            <w:r>
              <w:rPr>
                <w:rFonts w:ascii="Arial" w:hAnsi="Arial" w:cs="Arial"/>
                <w:lang w:val="en-GB"/>
              </w:rPr>
              <w:t>0.15</w:t>
            </w:r>
          </w:p>
        </w:tc>
        <w:tc>
          <w:tcPr>
            <w:tcW w:w="1276" w:type="dxa"/>
          </w:tcPr>
          <w:p w14:paraId="33691BF0" w14:textId="3FF6E5EA" w:rsidR="004D197E" w:rsidRPr="006B0FFB" w:rsidRDefault="00A24C21" w:rsidP="004D197E">
            <w:pPr>
              <w:jc w:val="both"/>
              <w:rPr>
                <w:rFonts w:ascii="Arial" w:hAnsi="Arial" w:cs="Arial"/>
                <w:lang w:val="en-GB"/>
              </w:rPr>
            </w:pPr>
            <w:r>
              <w:rPr>
                <w:rFonts w:ascii="Arial" w:hAnsi="Arial" w:cs="Arial"/>
                <w:lang w:val="en-GB"/>
              </w:rPr>
              <w:t>1.96</w:t>
            </w:r>
            <w:r w:rsidR="004D197E" w:rsidRPr="00723430">
              <w:rPr>
                <w:rFonts w:ascii="Arial" w:hAnsi="Arial" w:cs="Arial"/>
                <w:lang w:val="en-GB"/>
              </w:rPr>
              <w:t>±</w:t>
            </w:r>
            <w:r>
              <w:rPr>
                <w:rFonts w:ascii="Arial" w:hAnsi="Arial" w:cs="Arial"/>
                <w:lang w:val="en-GB"/>
              </w:rPr>
              <w:t>0.18</w:t>
            </w:r>
          </w:p>
        </w:tc>
      </w:tr>
      <w:tr w:rsidR="004D197E" w:rsidRPr="006B0FFB" w14:paraId="19D65F40" w14:textId="6261A711" w:rsidTr="00AC7851">
        <w:trPr>
          <w:jc w:val="center"/>
        </w:trPr>
        <w:tc>
          <w:tcPr>
            <w:tcW w:w="2071" w:type="dxa"/>
            <w:shd w:val="clear" w:color="auto" w:fill="auto"/>
            <w:noWrap/>
            <w:tcMar>
              <w:top w:w="15" w:type="dxa"/>
              <w:left w:w="15" w:type="dxa"/>
              <w:bottom w:w="0" w:type="dxa"/>
              <w:right w:w="15" w:type="dxa"/>
            </w:tcMar>
            <w:vAlign w:val="bottom"/>
          </w:tcPr>
          <w:p w14:paraId="3E379E9A" w14:textId="15B5A6AD" w:rsidR="004D197E" w:rsidRPr="006B0FFB" w:rsidRDefault="004D197E" w:rsidP="004D197E">
            <w:pPr>
              <w:jc w:val="both"/>
              <w:rPr>
                <w:rFonts w:ascii="Arial" w:hAnsi="Arial" w:cs="Arial"/>
                <w:lang w:val="en-GB"/>
              </w:rPr>
            </w:pPr>
            <w:r>
              <w:rPr>
                <w:rFonts w:ascii="Arial" w:hAnsi="Arial" w:cs="Arial"/>
                <w:lang w:val="en-GB"/>
              </w:rPr>
              <w:t>21-30</w:t>
            </w:r>
          </w:p>
        </w:tc>
        <w:tc>
          <w:tcPr>
            <w:tcW w:w="1276" w:type="dxa"/>
            <w:shd w:val="clear" w:color="auto" w:fill="auto"/>
            <w:noWrap/>
            <w:tcMar>
              <w:top w:w="15" w:type="dxa"/>
              <w:left w:w="15" w:type="dxa"/>
              <w:bottom w:w="0" w:type="dxa"/>
              <w:right w:w="15" w:type="dxa"/>
            </w:tcMar>
            <w:vAlign w:val="bottom"/>
          </w:tcPr>
          <w:p w14:paraId="76CC61F1" w14:textId="6F1C3465" w:rsidR="004D197E" w:rsidRPr="006B0FFB" w:rsidRDefault="004D197E" w:rsidP="004D197E">
            <w:pPr>
              <w:jc w:val="both"/>
              <w:rPr>
                <w:rFonts w:ascii="Arial" w:hAnsi="Arial" w:cs="Arial"/>
                <w:lang w:val="en-GB"/>
              </w:rPr>
            </w:pPr>
            <w:r>
              <w:rPr>
                <w:rFonts w:ascii="Arial" w:hAnsi="Arial" w:cs="Arial"/>
                <w:lang w:val="en-GB"/>
              </w:rPr>
              <w:t>14.2±1.4</w:t>
            </w:r>
          </w:p>
        </w:tc>
        <w:tc>
          <w:tcPr>
            <w:tcW w:w="1276" w:type="dxa"/>
          </w:tcPr>
          <w:p w14:paraId="34EF62D7" w14:textId="29FF2C85" w:rsidR="004D197E" w:rsidRPr="006B0FFB" w:rsidRDefault="004D197E" w:rsidP="004D197E">
            <w:pPr>
              <w:jc w:val="both"/>
              <w:rPr>
                <w:rFonts w:ascii="Arial" w:hAnsi="Arial" w:cs="Arial"/>
                <w:lang w:val="en-GB"/>
              </w:rPr>
            </w:pPr>
            <w:r>
              <w:rPr>
                <w:rFonts w:ascii="Arial" w:hAnsi="Arial" w:cs="Arial"/>
                <w:lang w:val="en-GB"/>
              </w:rPr>
              <w:t>0.85</w:t>
            </w:r>
            <w:r w:rsidRPr="00383FA5">
              <w:rPr>
                <w:rFonts w:ascii="Arial" w:hAnsi="Arial" w:cs="Arial"/>
                <w:lang w:val="en-GB"/>
              </w:rPr>
              <w:t>±</w:t>
            </w:r>
            <w:r>
              <w:rPr>
                <w:rFonts w:ascii="Arial" w:hAnsi="Arial" w:cs="Arial"/>
                <w:lang w:val="en-GB"/>
              </w:rPr>
              <w:t>0.71</w:t>
            </w:r>
          </w:p>
        </w:tc>
        <w:tc>
          <w:tcPr>
            <w:tcW w:w="1276" w:type="dxa"/>
          </w:tcPr>
          <w:p w14:paraId="7A78DE1B" w14:textId="3646117E" w:rsidR="004D197E" w:rsidRPr="006B0FFB" w:rsidRDefault="00A24C21" w:rsidP="004D197E">
            <w:pPr>
              <w:jc w:val="both"/>
              <w:rPr>
                <w:rFonts w:ascii="Arial" w:hAnsi="Arial" w:cs="Arial"/>
                <w:lang w:val="en-GB"/>
              </w:rPr>
            </w:pPr>
            <w:r>
              <w:rPr>
                <w:rFonts w:ascii="Arial" w:hAnsi="Arial" w:cs="Arial"/>
                <w:lang w:val="en-GB"/>
              </w:rPr>
              <w:t>2.05</w:t>
            </w:r>
            <w:r w:rsidR="004D197E" w:rsidRPr="00F27E0D">
              <w:rPr>
                <w:rFonts w:ascii="Arial" w:hAnsi="Arial" w:cs="Arial"/>
                <w:lang w:val="en-GB"/>
              </w:rPr>
              <w:t>±</w:t>
            </w:r>
            <w:r>
              <w:rPr>
                <w:rFonts w:ascii="Arial" w:hAnsi="Arial" w:cs="Arial"/>
                <w:lang w:val="en-GB"/>
              </w:rPr>
              <w:t>0.29</w:t>
            </w:r>
          </w:p>
        </w:tc>
        <w:tc>
          <w:tcPr>
            <w:tcW w:w="1276" w:type="dxa"/>
          </w:tcPr>
          <w:p w14:paraId="5753320F" w14:textId="59F71B9E" w:rsidR="004D197E" w:rsidRPr="006B0FFB" w:rsidRDefault="00A24C21" w:rsidP="004D197E">
            <w:pPr>
              <w:jc w:val="both"/>
              <w:rPr>
                <w:rFonts w:ascii="Arial" w:hAnsi="Arial" w:cs="Arial"/>
                <w:lang w:val="en-GB"/>
              </w:rPr>
            </w:pPr>
            <w:r>
              <w:rPr>
                <w:rFonts w:ascii="Arial" w:hAnsi="Arial" w:cs="Arial"/>
                <w:lang w:val="en-GB"/>
              </w:rPr>
              <w:t>2.20</w:t>
            </w:r>
            <w:r w:rsidR="004D197E" w:rsidRPr="00723430">
              <w:rPr>
                <w:rFonts w:ascii="Arial" w:hAnsi="Arial" w:cs="Arial"/>
                <w:lang w:val="en-GB"/>
              </w:rPr>
              <w:t>±</w:t>
            </w:r>
            <w:r>
              <w:rPr>
                <w:rFonts w:ascii="Arial" w:hAnsi="Arial" w:cs="Arial"/>
                <w:lang w:val="en-GB"/>
              </w:rPr>
              <w:t>0.13</w:t>
            </w:r>
          </w:p>
        </w:tc>
      </w:tr>
      <w:tr w:rsidR="004D197E" w:rsidRPr="006B0FFB" w14:paraId="23C3DF1C" w14:textId="2DB43F18" w:rsidTr="00AC7851">
        <w:trPr>
          <w:jc w:val="center"/>
        </w:trPr>
        <w:tc>
          <w:tcPr>
            <w:tcW w:w="2071" w:type="dxa"/>
            <w:shd w:val="clear" w:color="auto" w:fill="auto"/>
            <w:noWrap/>
            <w:tcMar>
              <w:top w:w="15" w:type="dxa"/>
              <w:left w:w="15" w:type="dxa"/>
              <w:bottom w:w="0" w:type="dxa"/>
              <w:right w:w="15" w:type="dxa"/>
            </w:tcMar>
            <w:vAlign w:val="bottom"/>
          </w:tcPr>
          <w:p w14:paraId="4C8646EE" w14:textId="76751949" w:rsidR="004D197E" w:rsidRPr="006B0FFB" w:rsidRDefault="004D197E" w:rsidP="004D197E">
            <w:pPr>
              <w:jc w:val="both"/>
              <w:rPr>
                <w:rFonts w:ascii="Arial" w:hAnsi="Arial" w:cs="Arial"/>
                <w:lang w:val="en-GB"/>
              </w:rPr>
            </w:pPr>
            <w:r>
              <w:rPr>
                <w:rFonts w:ascii="Arial" w:hAnsi="Arial" w:cs="Arial"/>
                <w:lang w:val="en-GB"/>
              </w:rPr>
              <w:t>31-40</w:t>
            </w:r>
          </w:p>
        </w:tc>
        <w:tc>
          <w:tcPr>
            <w:tcW w:w="1276" w:type="dxa"/>
            <w:shd w:val="clear" w:color="auto" w:fill="auto"/>
            <w:noWrap/>
            <w:tcMar>
              <w:top w:w="15" w:type="dxa"/>
              <w:left w:w="15" w:type="dxa"/>
              <w:bottom w:w="0" w:type="dxa"/>
              <w:right w:w="15" w:type="dxa"/>
            </w:tcMar>
            <w:vAlign w:val="bottom"/>
          </w:tcPr>
          <w:p w14:paraId="565C08A1" w14:textId="097B3F76" w:rsidR="004D197E" w:rsidRPr="006B0FFB" w:rsidRDefault="004D197E" w:rsidP="004D197E">
            <w:pPr>
              <w:jc w:val="both"/>
              <w:rPr>
                <w:rFonts w:ascii="Arial" w:hAnsi="Arial" w:cs="Arial"/>
                <w:lang w:val="en-GB"/>
              </w:rPr>
            </w:pPr>
            <w:r>
              <w:rPr>
                <w:rFonts w:ascii="Arial" w:hAnsi="Arial" w:cs="Arial"/>
                <w:lang w:val="en-GB"/>
              </w:rPr>
              <w:t>14.6±1.2</w:t>
            </w:r>
          </w:p>
        </w:tc>
        <w:tc>
          <w:tcPr>
            <w:tcW w:w="1276" w:type="dxa"/>
          </w:tcPr>
          <w:p w14:paraId="111CDA5A" w14:textId="177ED486" w:rsidR="004D197E" w:rsidRPr="006B0FFB" w:rsidRDefault="004D197E" w:rsidP="004D197E">
            <w:pPr>
              <w:jc w:val="both"/>
              <w:rPr>
                <w:rFonts w:ascii="Arial" w:hAnsi="Arial" w:cs="Arial"/>
                <w:lang w:val="en-GB"/>
              </w:rPr>
            </w:pPr>
            <w:r>
              <w:rPr>
                <w:rFonts w:ascii="Arial" w:hAnsi="Arial" w:cs="Arial"/>
                <w:lang w:val="en-GB"/>
              </w:rPr>
              <w:t>0.94</w:t>
            </w:r>
            <w:r w:rsidRPr="00383FA5">
              <w:rPr>
                <w:rFonts w:ascii="Arial" w:hAnsi="Arial" w:cs="Arial"/>
                <w:lang w:val="en-GB"/>
              </w:rPr>
              <w:t>±</w:t>
            </w:r>
            <w:r>
              <w:rPr>
                <w:rFonts w:ascii="Arial" w:hAnsi="Arial" w:cs="Arial"/>
                <w:lang w:val="en-GB"/>
              </w:rPr>
              <w:t>0.14</w:t>
            </w:r>
          </w:p>
        </w:tc>
        <w:tc>
          <w:tcPr>
            <w:tcW w:w="1276" w:type="dxa"/>
          </w:tcPr>
          <w:p w14:paraId="7E62D3CD" w14:textId="549CB370" w:rsidR="004D197E" w:rsidRPr="006B0FFB" w:rsidRDefault="00A24C21" w:rsidP="004D197E">
            <w:pPr>
              <w:jc w:val="both"/>
              <w:rPr>
                <w:rFonts w:ascii="Arial" w:hAnsi="Arial" w:cs="Arial"/>
                <w:lang w:val="en-GB"/>
              </w:rPr>
            </w:pPr>
            <w:r>
              <w:rPr>
                <w:rFonts w:ascii="Arial" w:hAnsi="Arial" w:cs="Arial"/>
                <w:lang w:val="en-GB"/>
              </w:rPr>
              <w:t>2.40</w:t>
            </w:r>
            <w:r w:rsidR="004D197E" w:rsidRPr="00F27E0D">
              <w:rPr>
                <w:rFonts w:ascii="Arial" w:hAnsi="Arial" w:cs="Arial"/>
                <w:lang w:val="en-GB"/>
              </w:rPr>
              <w:t>±</w:t>
            </w:r>
            <w:r>
              <w:rPr>
                <w:rFonts w:ascii="Arial" w:hAnsi="Arial" w:cs="Arial"/>
                <w:lang w:val="en-GB"/>
              </w:rPr>
              <w:t>0.39</w:t>
            </w:r>
          </w:p>
        </w:tc>
        <w:tc>
          <w:tcPr>
            <w:tcW w:w="1276" w:type="dxa"/>
          </w:tcPr>
          <w:p w14:paraId="76E546CB" w14:textId="199D4BC8" w:rsidR="004D197E" w:rsidRPr="006B0FFB" w:rsidRDefault="00A24C21" w:rsidP="004D197E">
            <w:pPr>
              <w:jc w:val="both"/>
              <w:rPr>
                <w:rFonts w:ascii="Arial" w:hAnsi="Arial" w:cs="Arial"/>
                <w:lang w:val="en-GB"/>
              </w:rPr>
            </w:pPr>
            <w:r>
              <w:rPr>
                <w:rFonts w:ascii="Arial" w:hAnsi="Arial" w:cs="Arial"/>
                <w:lang w:val="en-GB"/>
              </w:rPr>
              <w:t>2.24</w:t>
            </w:r>
            <w:r w:rsidR="004D197E" w:rsidRPr="00723430">
              <w:rPr>
                <w:rFonts w:ascii="Arial" w:hAnsi="Arial" w:cs="Arial"/>
                <w:lang w:val="en-GB"/>
              </w:rPr>
              <w:t>±</w:t>
            </w:r>
            <w:r>
              <w:rPr>
                <w:rFonts w:ascii="Arial" w:hAnsi="Arial" w:cs="Arial"/>
                <w:lang w:val="en-GB"/>
              </w:rPr>
              <w:t>0.25</w:t>
            </w:r>
          </w:p>
        </w:tc>
      </w:tr>
      <w:tr w:rsidR="004D197E" w:rsidRPr="006B0FFB" w14:paraId="44304520" w14:textId="54D9DA19" w:rsidTr="00AC7851">
        <w:trPr>
          <w:jc w:val="center"/>
        </w:trPr>
        <w:tc>
          <w:tcPr>
            <w:tcW w:w="2071" w:type="dxa"/>
            <w:shd w:val="clear" w:color="auto" w:fill="auto"/>
            <w:noWrap/>
            <w:tcMar>
              <w:top w:w="15" w:type="dxa"/>
              <w:left w:w="15" w:type="dxa"/>
              <w:bottom w:w="0" w:type="dxa"/>
              <w:right w:w="15" w:type="dxa"/>
            </w:tcMar>
            <w:vAlign w:val="bottom"/>
          </w:tcPr>
          <w:p w14:paraId="22983D10" w14:textId="03B4C5D1" w:rsidR="004D197E" w:rsidRPr="006B0FFB" w:rsidRDefault="004D197E" w:rsidP="004D197E">
            <w:pPr>
              <w:jc w:val="both"/>
              <w:rPr>
                <w:rFonts w:ascii="Arial" w:hAnsi="Arial" w:cs="Arial"/>
                <w:lang w:val="en-GB"/>
              </w:rPr>
            </w:pPr>
            <w:r>
              <w:rPr>
                <w:rFonts w:ascii="Arial" w:hAnsi="Arial" w:cs="Arial"/>
                <w:lang w:val="en-GB"/>
              </w:rPr>
              <w:t>≥41</w:t>
            </w:r>
          </w:p>
        </w:tc>
        <w:tc>
          <w:tcPr>
            <w:tcW w:w="1276" w:type="dxa"/>
            <w:shd w:val="clear" w:color="auto" w:fill="auto"/>
            <w:noWrap/>
            <w:tcMar>
              <w:top w:w="15" w:type="dxa"/>
              <w:left w:w="15" w:type="dxa"/>
              <w:bottom w:w="0" w:type="dxa"/>
              <w:right w:w="15" w:type="dxa"/>
            </w:tcMar>
            <w:vAlign w:val="bottom"/>
          </w:tcPr>
          <w:p w14:paraId="456B65E1" w14:textId="2957F63E" w:rsidR="004D197E" w:rsidRPr="006B0FFB" w:rsidRDefault="004D197E" w:rsidP="004D197E">
            <w:pPr>
              <w:jc w:val="both"/>
              <w:rPr>
                <w:rFonts w:ascii="Arial" w:hAnsi="Arial" w:cs="Arial"/>
                <w:lang w:val="en-GB"/>
              </w:rPr>
            </w:pPr>
            <w:r>
              <w:rPr>
                <w:rFonts w:ascii="Arial" w:hAnsi="Arial" w:cs="Arial"/>
                <w:lang w:val="en-GB"/>
              </w:rPr>
              <w:t>12.8±1.4</w:t>
            </w:r>
          </w:p>
        </w:tc>
        <w:tc>
          <w:tcPr>
            <w:tcW w:w="1276" w:type="dxa"/>
          </w:tcPr>
          <w:p w14:paraId="3B5B2C1F" w14:textId="3884B557" w:rsidR="004D197E" w:rsidRPr="006B0FFB" w:rsidRDefault="004D197E" w:rsidP="004D197E">
            <w:pPr>
              <w:jc w:val="both"/>
              <w:rPr>
                <w:rFonts w:ascii="Arial" w:hAnsi="Arial" w:cs="Arial"/>
                <w:lang w:val="en-GB"/>
              </w:rPr>
            </w:pPr>
            <w:r>
              <w:rPr>
                <w:rFonts w:ascii="Arial" w:hAnsi="Arial" w:cs="Arial"/>
                <w:lang w:val="en-GB"/>
              </w:rPr>
              <w:t>1.02</w:t>
            </w:r>
            <w:r w:rsidRPr="00383FA5">
              <w:rPr>
                <w:rFonts w:ascii="Arial" w:hAnsi="Arial" w:cs="Arial"/>
                <w:lang w:val="en-GB"/>
              </w:rPr>
              <w:t>±</w:t>
            </w:r>
            <w:r>
              <w:rPr>
                <w:rFonts w:ascii="Arial" w:hAnsi="Arial" w:cs="Arial"/>
                <w:lang w:val="en-GB"/>
              </w:rPr>
              <w:t>0.40</w:t>
            </w:r>
          </w:p>
        </w:tc>
        <w:tc>
          <w:tcPr>
            <w:tcW w:w="1276" w:type="dxa"/>
          </w:tcPr>
          <w:p w14:paraId="16BCD5E7" w14:textId="231652AB" w:rsidR="004D197E" w:rsidRPr="006B0FFB" w:rsidRDefault="00A24C21" w:rsidP="004D197E">
            <w:pPr>
              <w:jc w:val="both"/>
              <w:rPr>
                <w:rFonts w:ascii="Arial" w:hAnsi="Arial" w:cs="Arial"/>
                <w:lang w:val="en-GB"/>
              </w:rPr>
            </w:pPr>
            <w:r>
              <w:rPr>
                <w:rFonts w:ascii="Arial" w:hAnsi="Arial" w:cs="Arial"/>
                <w:lang w:val="en-GB"/>
              </w:rPr>
              <w:t>2.12</w:t>
            </w:r>
            <w:r w:rsidR="004D197E" w:rsidRPr="00F27E0D">
              <w:rPr>
                <w:rFonts w:ascii="Arial" w:hAnsi="Arial" w:cs="Arial"/>
                <w:lang w:val="en-GB"/>
              </w:rPr>
              <w:t>±</w:t>
            </w:r>
            <w:r>
              <w:rPr>
                <w:rFonts w:ascii="Arial" w:hAnsi="Arial" w:cs="Arial"/>
                <w:lang w:val="en-GB"/>
              </w:rPr>
              <w:t>0.19</w:t>
            </w:r>
          </w:p>
        </w:tc>
        <w:tc>
          <w:tcPr>
            <w:tcW w:w="1276" w:type="dxa"/>
          </w:tcPr>
          <w:p w14:paraId="4490D0C4" w14:textId="3F8EB5D6" w:rsidR="004D197E" w:rsidRPr="006B0FFB" w:rsidRDefault="00A24C21" w:rsidP="004D197E">
            <w:pPr>
              <w:jc w:val="both"/>
              <w:rPr>
                <w:rFonts w:ascii="Arial" w:hAnsi="Arial" w:cs="Arial"/>
                <w:lang w:val="en-GB"/>
              </w:rPr>
            </w:pPr>
            <w:r>
              <w:rPr>
                <w:rFonts w:ascii="Arial" w:hAnsi="Arial" w:cs="Arial"/>
                <w:lang w:val="en-GB"/>
              </w:rPr>
              <w:t>2.19</w:t>
            </w:r>
            <w:r w:rsidR="004D197E" w:rsidRPr="00723430">
              <w:rPr>
                <w:rFonts w:ascii="Arial" w:hAnsi="Arial" w:cs="Arial"/>
                <w:lang w:val="en-GB"/>
              </w:rPr>
              <w:t>±</w:t>
            </w:r>
            <w:r>
              <w:rPr>
                <w:rFonts w:ascii="Arial" w:hAnsi="Arial" w:cs="Arial"/>
                <w:lang w:val="en-GB"/>
              </w:rPr>
              <w:t>0.12</w:t>
            </w:r>
          </w:p>
        </w:tc>
      </w:tr>
      <w:tr w:rsidR="00FE3E7F" w:rsidRPr="006B0FFB" w14:paraId="5B323345" w14:textId="02A5C753" w:rsidTr="00AC7851">
        <w:trPr>
          <w:jc w:val="center"/>
        </w:trPr>
        <w:tc>
          <w:tcPr>
            <w:tcW w:w="2071" w:type="dxa"/>
            <w:shd w:val="clear" w:color="auto" w:fill="auto"/>
            <w:noWrap/>
            <w:tcMar>
              <w:top w:w="15" w:type="dxa"/>
              <w:left w:w="15" w:type="dxa"/>
              <w:bottom w:w="0" w:type="dxa"/>
              <w:right w:w="15" w:type="dxa"/>
            </w:tcMar>
            <w:vAlign w:val="bottom"/>
          </w:tcPr>
          <w:p w14:paraId="0CB1386D" w14:textId="06390E1E" w:rsidR="00FE3E7F" w:rsidRPr="006B0FFB" w:rsidRDefault="00FE3E7F" w:rsidP="00FE3E7F">
            <w:pPr>
              <w:jc w:val="both"/>
              <w:rPr>
                <w:rFonts w:ascii="Arial" w:hAnsi="Arial" w:cs="Arial"/>
                <w:lang w:val="en-GB"/>
              </w:rPr>
            </w:pPr>
            <w:r>
              <w:rPr>
                <w:rFonts w:ascii="Arial" w:hAnsi="Arial" w:cs="Arial"/>
                <w:lang w:val="en-GB"/>
              </w:rPr>
              <w:t>p-value</w:t>
            </w:r>
          </w:p>
        </w:tc>
        <w:tc>
          <w:tcPr>
            <w:tcW w:w="1276" w:type="dxa"/>
            <w:shd w:val="clear" w:color="auto" w:fill="auto"/>
            <w:noWrap/>
            <w:tcMar>
              <w:top w:w="15" w:type="dxa"/>
              <w:left w:w="15" w:type="dxa"/>
              <w:bottom w:w="0" w:type="dxa"/>
              <w:right w:w="15" w:type="dxa"/>
            </w:tcMar>
            <w:vAlign w:val="bottom"/>
          </w:tcPr>
          <w:p w14:paraId="05CE6CD7" w14:textId="5DF2EC8D" w:rsidR="00FE3E7F" w:rsidRPr="006B0FFB" w:rsidRDefault="00FE3E7F" w:rsidP="00FE3E7F">
            <w:pPr>
              <w:jc w:val="both"/>
              <w:rPr>
                <w:rFonts w:ascii="Arial" w:hAnsi="Arial" w:cs="Arial"/>
                <w:lang w:val="en-GB"/>
              </w:rPr>
            </w:pPr>
            <w:r>
              <w:rPr>
                <w:rFonts w:ascii="Arial" w:hAnsi="Arial" w:cs="Arial"/>
                <w:lang w:val="en-GB"/>
              </w:rPr>
              <w:t>&lt;.0001</w:t>
            </w:r>
          </w:p>
        </w:tc>
        <w:tc>
          <w:tcPr>
            <w:tcW w:w="1276" w:type="dxa"/>
          </w:tcPr>
          <w:p w14:paraId="441B8B5D" w14:textId="4B69C440" w:rsidR="00FE3E7F" w:rsidRPr="006B0FFB" w:rsidRDefault="00FE3E7F" w:rsidP="00FE3E7F">
            <w:pPr>
              <w:jc w:val="both"/>
              <w:rPr>
                <w:rFonts w:ascii="Arial" w:hAnsi="Arial" w:cs="Arial"/>
                <w:lang w:val="en-GB"/>
              </w:rPr>
            </w:pPr>
            <w:r>
              <w:rPr>
                <w:rFonts w:ascii="Arial" w:hAnsi="Arial" w:cs="Arial"/>
                <w:lang w:val="en-GB"/>
              </w:rPr>
              <w:t>.0023</w:t>
            </w:r>
          </w:p>
        </w:tc>
        <w:tc>
          <w:tcPr>
            <w:tcW w:w="1276" w:type="dxa"/>
          </w:tcPr>
          <w:p w14:paraId="33269837" w14:textId="339A9BB9" w:rsidR="00FE3E7F" w:rsidRPr="006B0FFB" w:rsidRDefault="00FE3E7F" w:rsidP="00FE3E7F">
            <w:pPr>
              <w:jc w:val="both"/>
              <w:rPr>
                <w:rFonts w:ascii="Arial" w:hAnsi="Arial" w:cs="Arial"/>
                <w:lang w:val="en-GB"/>
              </w:rPr>
            </w:pPr>
            <w:r>
              <w:rPr>
                <w:rFonts w:ascii="Arial" w:hAnsi="Arial" w:cs="Arial"/>
                <w:lang w:val="en-GB"/>
              </w:rPr>
              <w:t>.0692</w:t>
            </w:r>
          </w:p>
        </w:tc>
        <w:tc>
          <w:tcPr>
            <w:tcW w:w="1276" w:type="dxa"/>
          </w:tcPr>
          <w:p w14:paraId="2CDC5FA5" w14:textId="4D54E531" w:rsidR="00FE3E7F" w:rsidRPr="006B0FFB" w:rsidRDefault="00A24C21" w:rsidP="00FE3E7F">
            <w:pPr>
              <w:jc w:val="both"/>
              <w:rPr>
                <w:rFonts w:ascii="Arial" w:hAnsi="Arial" w:cs="Arial"/>
                <w:lang w:val="en-GB"/>
              </w:rPr>
            </w:pPr>
            <w:r>
              <w:rPr>
                <w:rFonts w:ascii="Arial" w:hAnsi="Arial" w:cs="Arial"/>
                <w:lang w:val="en-GB"/>
              </w:rPr>
              <w:t>&lt;.0001</w:t>
            </w:r>
          </w:p>
        </w:tc>
      </w:tr>
      <w:tr w:rsidR="00B847DF" w:rsidRPr="006B0FFB" w14:paraId="68504597" w14:textId="176FFC7E" w:rsidTr="00A97C10">
        <w:trPr>
          <w:jc w:val="center"/>
        </w:trPr>
        <w:tc>
          <w:tcPr>
            <w:tcW w:w="7175" w:type="dxa"/>
            <w:gridSpan w:val="5"/>
            <w:shd w:val="clear" w:color="auto" w:fill="auto"/>
            <w:noWrap/>
            <w:tcMar>
              <w:top w:w="15" w:type="dxa"/>
              <w:left w:w="15" w:type="dxa"/>
              <w:bottom w:w="0" w:type="dxa"/>
              <w:right w:w="15" w:type="dxa"/>
            </w:tcMar>
            <w:vAlign w:val="bottom"/>
          </w:tcPr>
          <w:p w14:paraId="3E3621C6" w14:textId="5AB4CF30" w:rsidR="00B847DF" w:rsidRPr="006B0FFB" w:rsidRDefault="00B847DF" w:rsidP="00B847DF">
            <w:pPr>
              <w:jc w:val="center"/>
              <w:rPr>
                <w:rFonts w:ascii="Arial" w:hAnsi="Arial" w:cs="Arial"/>
                <w:lang w:val="en-GB"/>
              </w:rPr>
            </w:pPr>
            <w:r>
              <w:rPr>
                <w:rFonts w:ascii="Arial" w:hAnsi="Arial" w:cs="Arial"/>
                <w:lang w:val="en-GB"/>
              </w:rPr>
              <w:t>Tukey’s multiple comparison</w:t>
            </w:r>
          </w:p>
        </w:tc>
      </w:tr>
      <w:tr w:rsidR="00A24C21" w:rsidRPr="006B0FFB" w14:paraId="5731DDC9" w14:textId="3DBA8504" w:rsidTr="00AC7851">
        <w:trPr>
          <w:jc w:val="center"/>
        </w:trPr>
        <w:tc>
          <w:tcPr>
            <w:tcW w:w="2071" w:type="dxa"/>
            <w:shd w:val="clear" w:color="auto" w:fill="auto"/>
            <w:noWrap/>
            <w:tcMar>
              <w:top w:w="15" w:type="dxa"/>
              <w:left w:w="15" w:type="dxa"/>
              <w:bottom w:w="0" w:type="dxa"/>
              <w:right w:w="15" w:type="dxa"/>
            </w:tcMar>
            <w:vAlign w:val="bottom"/>
            <w:hideMark/>
          </w:tcPr>
          <w:p w14:paraId="5F6218E9" w14:textId="77777777" w:rsidR="00A24C21" w:rsidRPr="006B0FFB" w:rsidRDefault="00A24C21" w:rsidP="00A24C21">
            <w:pPr>
              <w:jc w:val="both"/>
              <w:rPr>
                <w:rFonts w:ascii="Arial" w:hAnsi="Arial" w:cs="Arial"/>
                <w:lang w:val="en-GB"/>
              </w:rPr>
            </w:pPr>
            <w:r w:rsidRPr="006B0FFB">
              <w:rPr>
                <w:rFonts w:ascii="Arial" w:hAnsi="Arial" w:cs="Arial"/>
                <w:lang w:val="en-GB"/>
              </w:rPr>
              <w:t>1-10 vs. 11-20</w:t>
            </w:r>
          </w:p>
        </w:tc>
        <w:tc>
          <w:tcPr>
            <w:tcW w:w="1276" w:type="dxa"/>
            <w:shd w:val="clear" w:color="auto" w:fill="auto"/>
            <w:noWrap/>
            <w:tcMar>
              <w:top w:w="15" w:type="dxa"/>
              <w:left w:w="15" w:type="dxa"/>
              <w:bottom w:w="0" w:type="dxa"/>
              <w:right w:w="15" w:type="dxa"/>
            </w:tcMar>
            <w:vAlign w:val="bottom"/>
            <w:hideMark/>
          </w:tcPr>
          <w:p w14:paraId="1070EC9C" w14:textId="6147C003" w:rsidR="00A24C21" w:rsidRPr="006B0FFB" w:rsidRDefault="00A24C21" w:rsidP="00A24C21">
            <w:pPr>
              <w:jc w:val="both"/>
              <w:rPr>
                <w:rFonts w:ascii="Arial" w:hAnsi="Arial" w:cs="Arial"/>
                <w:lang w:val="en-GB"/>
              </w:rPr>
            </w:pPr>
            <w:r w:rsidRPr="006B0FFB">
              <w:rPr>
                <w:rFonts w:ascii="Arial" w:hAnsi="Arial" w:cs="Arial"/>
                <w:lang w:val="en-GB"/>
              </w:rPr>
              <w:t>.4064</w:t>
            </w:r>
          </w:p>
        </w:tc>
        <w:tc>
          <w:tcPr>
            <w:tcW w:w="1276" w:type="dxa"/>
            <w:vAlign w:val="bottom"/>
          </w:tcPr>
          <w:p w14:paraId="39B60C72" w14:textId="54CDB019" w:rsidR="00A24C21" w:rsidRPr="006B0FFB" w:rsidRDefault="00A24C21" w:rsidP="00A24C21">
            <w:pPr>
              <w:jc w:val="both"/>
              <w:rPr>
                <w:rFonts w:ascii="Arial" w:hAnsi="Arial" w:cs="Arial"/>
                <w:lang w:val="en-GB"/>
              </w:rPr>
            </w:pPr>
            <w:r>
              <w:rPr>
                <w:rFonts w:ascii="Arial" w:hAnsi="Arial" w:cs="Arial"/>
              </w:rPr>
              <w:t>.9976</w:t>
            </w:r>
          </w:p>
        </w:tc>
        <w:tc>
          <w:tcPr>
            <w:tcW w:w="1276" w:type="dxa"/>
            <w:vAlign w:val="bottom"/>
          </w:tcPr>
          <w:p w14:paraId="3AFA3F02" w14:textId="6F088B98" w:rsidR="00A24C21" w:rsidRPr="006B0FFB" w:rsidRDefault="00A24C21" w:rsidP="00A24C21">
            <w:pPr>
              <w:jc w:val="both"/>
              <w:rPr>
                <w:rFonts w:ascii="Arial" w:hAnsi="Arial" w:cs="Arial"/>
                <w:lang w:val="en-GB"/>
              </w:rPr>
            </w:pPr>
            <w:r>
              <w:rPr>
                <w:rFonts w:ascii="Arial" w:hAnsi="Arial" w:cs="Arial"/>
              </w:rPr>
              <w:t>.9896</w:t>
            </w:r>
          </w:p>
        </w:tc>
        <w:tc>
          <w:tcPr>
            <w:tcW w:w="1276" w:type="dxa"/>
            <w:vAlign w:val="bottom"/>
          </w:tcPr>
          <w:p w14:paraId="378DCD5C" w14:textId="0875F7AD" w:rsidR="00A24C21" w:rsidRPr="00A24C21" w:rsidRDefault="00A24C21" w:rsidP="00A24C21">
            <w:pPr>
              <w:jc w:val="both"/>
              <w:rPr>
                <w:rFonts w:ascii="Arial" w:hAnsi="Arial" w:cs="Arial"/>
                <w:b/>
                <w:bCs/>
                <w:lang w:val="en-GB"/>
              </w:rPr>
            </w:pPr>
            <w:r w:rsidRPr="00A24C21">
              <w:rPr>
                <w:rFonts w:ascii="Arial" w:hAnsi="Arial" w:cs="Arial"/>
                <w:b/>
                <w:bCs/>
              </w:rPr>
              <w:t>.0372</w:t>
            </w:r>
          </w:p>
        </w:tc>
      </w:tr>
      <w:tr w:rsidR="00A24C21" w:rsidRPr="006B0FFB" w14:paraId="24D7E6F7" w14:textId="560C1345" w:rsidTr="00AC7851">
        <w:trPr>
          <w:jc w:val="center"/>
        </w:trPr>
        <w:tc>
          <w:tcPr>
            <w:tcW w:w="2071" w:type="dxa"/>
            <w:shd w:val="clear" w:color="auto" w:fill="auto"/>
            <w:noWrap/>
            <w:tcMar>
              <w:top w:w="15" w:type="dxa"/>
              <w:left w:w="15" w:type="dxa"/>
              <w:bottom w:w="0" w:type="dxa"/>
              <w:right w:w="15" w:type="dxa"/>
            </w:tcMar>
            <w:vAlign w:val="bottom"/>
            <w:hideMark/>
          </w:tcPr>
          <w:p w14:paraId="2F163BF1" w14:textId="77777777" w:rsidR="00A24C21" w:rsidRPr="006B0FFB" w:rsidRDefault="00A24C21" w:rsidP="00A24C21">
            <w:pPr>
              <w:jc w:val="both"/>
              <w:rPr>
                <w:rFonts w:ascii="Arial" w:hAnsi="Arial" w:cs="Arial"/>
                <w:lang w:val="en-GB"/>
              </w:rPr>
            </w:pPr>
            <w:r w:rsidRPr="006B0FFB">
              <w:rPr>
                <w:rFonts w:ascii="Arial" w:hAnsi="Arial" w:cs="Arial"/>
                <w:lang w:val="en-GB"/>
              </w:rPr>
              <w:t>1-10 vs. 21-30</w:t>
            </w:r>
          </w:p>
        </w:tc>
        <w:tc>
          <w:tcPr>
            <w:tcW w:w="1276" w:type="dxa"/>
            <w:shd w:val="clear" w:color="auto" w:fill="auto"/>
            <w:noWrap/>
            <w:tcMar>
              <w:top w:w="15" w:type="dxa"/>
              <w:left w:w="15" w:type="dxa"/>
              <w:bottom w:w="0" w:type="dxa"/>
              <w:right w:w="15" w:type="dxa"/>
            </w:tcMar>
            <w:vAlign w:val="bottom"/>
            <w:hideMark/>
          </w:tcPr>
          <w:p w14:paraId="18C0505E" w14:textId="189E2103" w:rsidR="00A24C21" w:rsidRPr="006B0FFB" w:rsidRDefault="00A24C21" w:rsidP="00A24C21">
            <w:pPr>
              <w:jc w:val="both"/>
              <w:rPr>
                <w:rFonts w:ascii="Arial" w:hAnsi="Arial" w:cs="Arial"/>
                <w:b/>
                <w:bCs/>
                <w:lang w:val="en-GB"/>
              </w:rPr>
            </w:pPr>
            <w:r w:rsidRPr="006B0FFB">
              <w:rPr>
                <w:rFonts w:ascii="Arial" w:hAnsi="Arial" w:cs="Arial"/>
                <w:b/>
                <w:bCs/>
                <w:lang w:val="en-GB"/>
              </w:rPr>
              <w:t>&lt;.0001</w:t>
            </w:r>
          </w:p>
        </w:tc>
        <w:tc>
          <w:tcPr>
            <w:tcW w:w="1276" w:type="dxa"/>
            <w:vAlign w:val="bottom"/>
          </w:tcPr>
          <w:p w14:paraId="128EFF07" w14:textId="71E99CC6" w:rsidR="00A24C21" w:rsidRPr="006B0FFB" w:rsidRDefault="00A24C21" w:rsidP="00A24C21">
            <w:pPr>
              <w:jc w:val="both"/>
              <w:rPr>
                <w:rFonts w:ascii="Arial" w:hAnsi="Arial" w:cs="Arial"/>
                <w:lang w:val="en-GB"/>
              </w:rPr>
            </w:pPr>
            <w:r>
              <w:rPr>
                <w:rFonts w:ascii="Arial" w:hAnsi="Arial" w:cs="Arial"/>
              </w:rPr>
              <w:t>.3717</w:t>
            </w:r>
          </w:p>
        </w:tc>
        <w:tc>
          <w:tcPr>
            <w:tcW w:w="1276" w:type="dxa"/>
            <w:vAlign w:val="bottom"/>
          </w:tcPr>
          <w:p w14:paraId="708F1F3D" w14:textId="35E0472C" w:rsidR="00A24C21" w:rsidRPr="006B0FFB" w:rsidRDefault="00A24C21" w:rsidP="00A24C21">
            <w:pPr>
              <w:jc w:val="both"/>
              <w:rPr>
                <w:rFonts w:ascii="Arial" w:hAnsi="Arial" w:cs="Arial"/>
                <w:lang w:val="en-GB"/>
              </w:rPr>
            </w:pPr>
            <w:r>
              <w:rPr>
                <w:rFonts w:ascii="Arial" w:hAnsi="Arial" w:cs="Arial"/>
              </w:rPr>
              <w:t>.8125</w:t>
            </w:r>
          </w:p>
        </w:tc>
        <w:tc>
          <w:tcPr>
            <w:tcW w:w="1276" w:type="dxa"/>
            <w:vAlign w:val="bottom"/>
          </w:tcPr>
          <w:p w14:paraId="284C1788" w14:textId="30AB4B24" w:rsidR="00A24C21" w:rsidRPr="00A24C21" w:rsidRDefault="00A24C21" w:rsidP="00A24C21">
            <w:pPr>
              <w:jc w:val="both"/>
              <w:rPr>
                <w:rFonts w:ascii="Arial" w:hAnsi="Arial" w:cs="Arial"/>
                <w:b/>
                <w:bCs/>
                <w:lang w:val="en-GB"/>
              </w:rPr>
            </w:pPr>
            <w:r w:rsidRPr="00A24C21">
              <w:rPr>
                <w:rFonts w:ascii="Arial" w:hAnsi="Arial" w:cs="Arial"/>
                <w:b/>
                <w:bCs/>
              </w:rPr>
              <w:t>&lt;.0001</w:t>
            </w:r>
          </w:p>
        </w:tc>
      </w:tr>
      <w:tr w:rsidR="00A24C21" w:rsidRPr="006B0FFB" w14:paraId="1CB3A3D9" w14:textId="0A2F919A" w:rsidTr="00AC7851">
        <w:trPr>
          <w:jc w:val="center"/>
        </w:trPr>
        <w:tc>
          <w:tcPr>
            <w:tcW w:w="2071" w:type="dxa"/>
            <w:shd w:val="clear" w:color="auto" w:fill="auto"/>
            <w:noWrap/>
            <w:tcMar>
              <w:top w:w="15" w:type="dxa"/>
              <w:left w:w="15" w:type="dxa"/>
              <w:bottom w:w="0" w:type="dxa"/>
              <w:right w:w="15" w:type="dxa"/>
            </w:tcMar>
            <w:vAlign w:val="bottom"/>
            <w:hideMark/>
          </w:tcPr>
          <w:p w14:paraId="09C449C8" w14:textId="77777777" w:rsidR="00A24C21" w:rsidRPr="006B0FFB" w:rsidRDefault="00A24C21" w:rsidP="00A24C21">
            <w:pPr>
              <w:jc w:val="both"/>
              <w:rPr>
                <w:rFonts w:ascii="Arial" w:hAnsi="Arial" w:cs="Arial"/>
                <w:lang w:val="en-GB"/>
              </w:rPr>
            </w:pPr>
            <w:r w:rsidRPr="006B0FFB">
              <w:rPr>
                <w:rFonts w:ascii="Arial" w:hAnsi="Arial" w:cs="Arial"/>
                <w:lang w:val="en-GB"/>
              </w:rPr>
              <w:t>1-10 vs. 31-40</w:t>
            </w:r>
          </w:p>
        </w:tc>
        <w:tc>
          <w:tcPr>
            <w:tcW w:w="1276" w:type="dxa"/>
            <w:shd w:val="clear" w:color="auto" w:fill="auto"/>
            <w:noWrap/>
            <w:tcMar>
              <w:top w:w="15" w:type="dxa"/>
              <w:left w:w="15" w:type="dxa"/>
              <w:bottom w:w="0" w:type="dxa"/>
              <w:right w:w="15" w:type="dxa"/>
            </w:tcMar>
            <w:vAlign w:val="bottom"/>
            <w:hideMark/>
          </w:tcPr>
          <w:p w14:paraId="4A46E45D" w14:textId="0565357A" w:rsidR="00A24C21" w:rsidRPr="006B0FFB" w:rsidRDefault="00A24C21" w:rsidP="00A24C21">
            <w:pPr>
              <w:jc w:val="both"/>
              <w:rPr>
                <w:rFonts w:ascii="Arial" w:hAnsi="Arial" w:cs="Arial"/>
                <w:b/>
                <w:bCs/>
                <w:lang w:val="en-GB"/>
              </w:rPr>
            </w:pPr>
            <w:r w:rsidRPr="006B0FFB">
              <w:rPr>
                <w:rFonts w:ascii="Arial" w:hAnsi="Arial" w:cs="Arial"/>
                <w:b/>
                <w:bCs/>
                <w:lang w:val="en-GB"/>
              </w:rPr>
              <w:t>&lt;.0001</w:t>
            </w:r>
          </w:p>
        </w:tc>
        <w:tc>
          <w:tcPr>
            <w:tcW w:w="1276" w:type="dxa"/>
            <w:vAlign w:val="bottom"/>
          </w:tcPr>
          <w:p w14:paraId="60E173CB" w14:textId="7F2CA6D1" w:rsidR="00A24C21" w:rsidRPr="006B0FFB" w:rsidRDefault="00A24C21" w:rsidP="00A24C21">
            <w:pPr>
              <w:jc w:val="both"/>
              <w:rPr>
                <w:rFonts w:ascii="Arial" w:hAnsi="Arial" w:cs="Arial"/>
                <w:lang w:val="en-GB"/>
              </w:rPr>
            </w:pPr>
            <w:r>
              <w:rPr>
                <w:rFonts w:ascii="Arial" w:hAnsi="Arial" w:cs="Arial"/>
              </w:rPr>
              <w:t>.0561</w:t>
            </w:r>
          </w:p>
        </w:tc>
        <w:tc>
          <w:tcPr>
            <w:tcW w:w="1276" w:type="dxa"/>
            <w:vAlign w:val="bottom"/>
          </w:tcPr>
          <w:p w14:paraId="65673C0D" w14:textId="78172DAF" w:rsidR="00A24C21" w:rsidRPr="006B0FFB" w:rsidRDefault="00A24C21" w:rsidP="00A24C21">
            <w:pPr>
              <w:jc w:val="both"/>
              <w:rPr>
                <w:rFonts w:ascii="Arial" w:hAnsi="Arial" w:cs="Arial"/>
                <w:lang w:val="en-GB"/>
              </w:rPr>
            </w:pPr>
            <w:r>
              <w:rPr>
                <w:rFonts w:ascii="Arial" w:hAnsi="Arial" w:cs="Arial"/>
              </w:rPr>
              <w:t>.0535</w:t>
            </w:r>
          </w:p>
        </w:tc>
        <w:tc>
          <w:tcPr>
            <w:tcW w:w="1276" w:type="dxa"/>
            <w:vAlign w:val="bottom"/>
          </w:tcPr>
          <w:p w14:paraId="5DF18893" w14:textId="366E6CC2" w:rsidR="00A24C21" w:rsidRPr="00A24C21" w:rsidRDefault="00A24C21" w:rsidP="00A24C21">
            <w:pPr>
              <w:jc w:val="both"/>
              <w:rPr>
                <w:rFonts w:ascii="Arial" w:hAnsi="Arial" w:cs="Arial"/>
                <w:b/>
                <w:bCs/>
                <w:lang w:val="en-GB"/>
              </w:rPr>
            </w:pPr>
            <w:r w:rsidRPr="00A24C21">
              <w:rPr>
                <w:rFonts w:ascii="Arial" w:hAnsi="Arial" w:cs="Arial"/>
                <w:b/>
                <w:bCs/>
              </w:rPr>
              <w:t>&lt;.0001</w:t>
            </w:r>
          </w:p>
        </w:tc>
      </w:tr>
      <w:tr w:rsidR="00A24C21" w:rsidRPr="006B0FFB" w14:paraId="6BB79C17" w14:textId="1611621F" w:rsidTr="00AC7851">
        <w:trPr>
          <w:jc w:val="center"/>
        </w:trPr>
        <w:tc>
          <w:tcPr>
            <w:tcW w:w="2071" w:type="dxa"/>
            <w:shd w:val="clear" w:color="auto" w:fill="auto"/>
            <w:noWrap/>
            <w:tcMar>
              <w:top w:w="15" w:type="dxa"/>
              <w:left w:w="15" w:type="dxa"/>
              <w:bottom w:w="0" w:type="dxa"/>
              <w:right w:w="15" w:type="dxa"/>
            </w:tcMar>
            <w:vAlign w:val="bottom"/>
            <w:hideMark/>
          </w:tcPr>
          <w:p w14:paraId="32A16A10" w14:textId="1EF003B9" w:rsidR="00A24C21" w:rsidRPr="006B0FFB" w:rsidRDefault="00A24C21" w:rsidP="00A24C21">
            <w:pPr>
              <w:jc w:val="both"/>
              <w:rPr>
                <w:rFonts w:ascii="Arial" w:hAnsi="Arial" w:cs="Arial"/>
                <w:lang w:val="en-GB"/>
              </w:rPr>
            </w:pPr>
            <w:r w:rsidRPr="006B0FFB">
              <w:rPr>
                <w:rFonts w:ascii="Arial" w:hAnsi="Arial" w:cs="Arial"/>
                <w:lang w:val="en-GB"/>
              </w:rPr>
              <w:t xml:space="preserve">1-10 vs. </w:t>
            </w:r>
            <w:r w:rsidR="00AC7851">
              <w:rPr>
                <w:rFonts w:ascii="Arial" w:hAnsi="Arial" w:cs="Arial"/>
                <w:lang w:val="en-GB"/>
              </w:rPr>
              <w:t>≥41</w:t>
            </w:r>
          </w:p>
        </w:tc>
        <w:tc>
          <w:tcPr>
            <w:tcW w:w="1276" w:type="dxa"/>
            <w:shd w:val="clear" w:color="auto" w:fill="auto"/>
            <w:noWrap/>
            <w:tcMar>
              <w:top w:w="15" w:type="dxa"/>
              <w:left w:w="15" w:type="dxa"/>
              <w:bottom w:w="0" w:type="dxa"/>
              <w:right w:w="15" w:type="dxa"/>
            </w:tcMar>
            <w:vAlign w:val="bottom"/>
            <w:hideMark/>
          </w:tcPr>
          <w:p w14:paraId="239023BC" w14:textId="16C14471" w:rsidR="00A24C21" w:rsidRPr="006B0FFB" w:rsidRDefault="00A24C21" w:rsidP="00A24C21">
            <w:pPr>
              <w:jc w:val="both"/>
              <w:rPr>
                <w:rFonts w:ascii="Arial" w:hAnsi="Arial" w:cs="Arial"/>
                <w:b/>
                <w:bCs/>
                <w:lang w:val="en-GB"/>
              </w:rPr>
            </w:pPr>
            <w:r w:rsidRPr="006B0FFB">
              <w:rPr>
                <w:rFonts w:ascii="Arial" w:hAnsi="Arial" w:cs="Arial"/>
                <w:b/>
                <w:bCs/>
                <w:lang w:val="en-GB"/>
              </w:rPr>
              <w:t>.0089</w:t>
            </w:r>
          </w:p>
        </w:tc>
        <w:tc>
          <w:tcPr>
            <w:tcW w:w="1276" w:type="dxa"/>
            <w:vAlign w:val="bottom"/>
          </w:tcPr>
          <w:p w14:paraId="3A9E3324" w14:textId="7EBBA16C" w:rsidR="00A24C21" w:rsidRPr="006B0FFB" w:rsidRDefault="00A24C21" w:rsidP="00A24C21">
            <w:pPr>
              <w:jc w:val="both"/>
              <w:rPr>
                <w:rFonts w:ascii="Arial" w:hAnsi="Arial" w:cs="Arial"/>
                <w:lang w:val="en-GB"/>
              </w:rPr>
            </w:pPr>
            <w:r>
              <w:rPr>
                <w:rFonts w:ascii="Arial" w:hAnsi="Arial" w:cs="Arial"/>
              </w:rPr>
              <w:t>.</w:t>
            </w:r>
            <w:r w:rsidRPr="00FE3E7F">
              <w:rPr>
                <w:rFonts w:ascii="Arial" w:hAnsi="Arial" w:cs="Arial"/>
                <w:b/>
                <w:bCs/>
              </w:rPr>
              <w:t>0058</w:t>
            </w:r>
          </w:p>
        </w:tc>
        <w:tc>
          <w:tcPr>
            <w:tcW w:w="1276" w:type="dxa"/>
            <w:vAlign w:val="bottom"/>
          </w:tcPr>
          <w:p w14:paraId="3B7DB9FA" w14:textId="2C409673" w:rsidR="00A24C21" w:rsidRPr="006B0FFB" w:rsidRDefault="00A24C21" w:rsidP="00A24C21">
            <w:pPr>
              <w:jc w:val="both"/>
              <w:rPr>
                <w:rFonts w:ascii="Arial" w:hAnsi="Arial" w:cs="Arial"/>
                <w:lang w:val="en-GB"/>
              </w:rPr>
            </w:pPr>
            <w:r>
              <w:rPr>
                <w:rFonts w:ascii="Arial" w:hAnsi="Arial" w:cs="Arial"/>
              </w:rPr>
              <w:t>.6094</w:t>
            </w:r>
          </w:p>
        </w:tc>
        <w:tc>
          <w:tcPr>
            <w:tcW w:w="1276" w:type="dxa"/>
            <w:vAlign w:val="bottom"/>
          </w:tcPr>
          <w:p w14:paraId="33EDF643" w14:textId="454F2FA9" w:rsidR="00A24C21" w:rsidRPr="00A24C21" w:rsidRDefault="00A24C21" w:rsidP="00A24C21">
            <w:pPr>
              <w:jc w:val="both"/>
              <w:rPr>
                <w:rFonts w:ascii="Arial" w:hAnsi="Arial" w:cs="Arial"/>
                <w:b/>
                <w:bCs/>
                <w:lang w:val="en-GB"/>
              </w:rPr>
            </w:pPr>
            <w:r w:rsidRPr="00A24C21">
              <w:rPr>
                <w:rFonts w:ascii="Arial" w:hAnsi="Arial" w:cs="Arial"/>
                <w:b/>
                <w:bCs/>
              </w:rPr>
              <w:t>&lt;.0001</w:t>
            </w:r>
          </w:p>
        </w:tc>
      </w:tr>
      <w:tr w:rsidR="00A24C21" w:rsidRPr="006B0FFB" w14:paraId="10E99556" w14:textId="4B0D2841" w:rsidTr="00AC7851">
        <w:trPr>
          <w:jc w:val="center"/>
        </w:trPr>
        <w:tc>
          <w:tcPr>
            <w:tcW w:w="2071" w:type="dxa"/>
            <w:shd w:val="clear" w:color="auto" w:fill="auto"/>
            <w:noWrap/>
            <w:tcMar>
              <w:top w:w="15" w:type="dxa"/>
              <w:left w:w="15" w:type="dxa"/>
              <w:bottom w:w="0" w:type="dxa"/>
              <w:right w:w="15" w:type="dxa"/>
            </w:tcMar>
            <w:vAlign w:val="bottom"/>
            <w:hideMark/>
          </w:tcPr>
          <w:p w14:paraId="7DEC126A" w14:textId="77777777" w:rsidR="00A24C21" w:rsidRPr="006B0FFB" w:rsidRDefault="00A24C21" w:rsidP="00A24C21">
            <w:pPr>
              <w:jc w:val="both"/>
              <w:rPr>
                <w:rFonts w:ascii="Arial" w:hAnsi="Arial" w:cs="Arial"/>
                <w:lang w:val="en-GB"/>
              </w:rPr>
            </w:pPr>
            <w:r w:rsidRPr="006B0FFB">
              <w:rPr>
                <w:rFonts w:ascii="Arial" w:hAnsi="Arial" w:cs="Arial"/>
                <w:lang w:val="en-GB"/>
              </w:rPr>
              <w:t>11-20 vs. 21-30</w:t>
            </w:r>
          </w:p>
        </w:tc>
        <w:tc>
          <w:tcPr>
            <w:tcW w:w="1276" w:type="dxa"/>
            <w:shd w:val="clear" w:color="auto" w:fill="auto"/>
            <w:noWrap/>
            <w:tcMar>
              <w:top w:w="15" w:type="dxa"/>
              <w:left w:w="15" w:type="dxa"/>
              <w:bottom w:w="0" w:type="dxa"/>
              <w:right w:w="15" w:type="dxa"/>
            </w:tcMar>
            <w:vAlign w:val="bottom"/>
            <w:hideMark/>
          </w:tcPr>
          <w:p w14:paraId="24CE1432" w14:textId="0F6B6298" w:rsidR="00A24C21" w:rsidRPr="006B0FFB" w:rsidRDefault="00A24C21" w:rsidP="00A24C21">
            <w:pPr>
              <w:jc w:val="both"/>
              <w:rPr>
                <w:rFonts w:ascii="Arial" w:hAnsi="Arial" w:cs="Arial"/>
                <w:b/>
                <w:bCs/>
                <w:lang w:val="en-GB"/>
              </w:rPr>
            </w:pPr>
            <w:r w:rsidRPr="006B0FFB">
              <w:rPr>
                <w:rFonts w:ascii="Arial" w:hAnsi="Arial" w:cs="Arial"/>
                <w:b/>
                <w:bCs/>
                <w:lang w:val="en-GB"/>
              </w:rPr>
              <w:t>.0039</w:t>
            </w:r>
          </w:p>
        </w:tc>
        <w:tc>
          <w:tcPr>
            <w:tcW w:w="1276" w:type="dxa"/>
            <w:vAlign w:val="bottom"/>
          </w:tcPr>
          <w:p w14:paraId="04911DAB" w14:textId="00F9804C" w:rsidR="00A24C21" w:rsidRPr="006B0FFB" w:rsidRDefault="00A24C21" w:rsidP="00A24C21">
            <w:pPr>
              <w:jc w:val="both"/>
              <w:rPr>
                <w:rFonts w:ascii="Arial" w:hAnsi="Arial" w:cs="Arial"/>
                <w:lang w:val="en-GB"/>
              </w:rPr>
            </w:pPr>
            <w:r>
              <w:rPr>
                <w:rFonts w:ascii="Arial" w:hAnsi="Arial" w:cs="Arial"/>
              </w:rPr>
              <w:t>.5654</w:t>
            </w:r>
          </w:p>
        </w:tc>
        <w:tc>
          <w:tcPr>
            <w:tcW w:w="1276" w:type="dxa"/>
            <w:vAlign w:val="bottom"/>
          </w:tcPr>
          <w:p w14:paraId="00A16CB4" w14:textId="44D887A1" w:rsidR="00A24C21" w:rsidRPr="006B0FFB" w:rsidRDefault="00A24C21" w:rsidP="00A24C21">
            <w:pPr>
              <w:jc w:val="both"/>
              <w:rPr>
                <w:rFonts w:ascii="Arial" w:hAnsi="Arial" w:cs="Arial"/>
                <w:lang w:val="en-GB"/>
              </w:rPr>
            </w:pPr>
            <w:r>
              <w:rPr>
                <w:rFonts w:ascii="Arial" w:hAnsi="Arial" w:cs="Arial"/>
              </w:rPr>
              <w:t>.9705</w:t>
            </w:r>
          </w:p>
        </w:tc>
        <w:tc>
          <w:tcPr>
            <w:tcW w:w="1276" w:type="dxa"/>
            <w:vAlign w:val="bottom"/>
          </w:tcPr>
          <w:p w14:paraId="52CE1D21" w14:textId="09E4306D" w:rsidR="00A24C21" w:rsidRPr="00A24C21" w:rsidRDefault="00A24C21" w:rsidP="00A24C21">
            <w:pPr>
              <w:jc w:val="both"/>
              <w:rPr>
                <w:rFonts w:ascii="Arial" w:hAnsi="Arial" w:cs="Arial"/>
                <w:b/>
                <w:bCs/>
                <w:lang w:val="en-GB"/>
              </w:rPr>
            </w:pPr>
            <w:r w:rsidRPr="00A24C21">
              <w:rPr>
                <w:rFonts w:ascii="Arial" w:hAnsi="Arial" w:cs="Arial"/>
                <w:b/>
                <w:bCs/>
              </w:rPr>
              <w:t>.0186</w:t>
            </w:r>
          </w:p>
        </w:tc>
      </w:tr>
      <w:tr w:rsidR="00A24C21" w:rsidRPr="006B0FFB" w14:paraId="654B2A54" w14:textId="48405AD2" w:rsidTr="00AC7851">
        <w:trPr>
          <w:jc w:val="center"/>
        </w:trPr>
        <w:tc>
          <w:tcPr>
            <w:tcW w:w="2071" w:type="dxa"/>
            <w:shd w:val="clear" w:color="auto" w:fill="auto"/>
            <w:noWrap/>
            <w:tcMar>
              <w:top w:w="15" w:type="dxa"/>
              <w:left w:w="15" w:type="dxa"/>
              <w:bottom w:w="0" w:type="dxa"/>
              <w:right w:w="15" w:type="dxa"/>
            </w:tcMar>
            <w:vAlign w:val="bottom"/>
            <w:hideMark/>
          </w:tcPr>
          <w:p w14:paraId="6C12CF8B" w14:textId="77777777" w:rsidR="00A24C21" w:rsidRPr="006B0FFB" w:rsidRDefault="00A24C21" w:rsidP="00A24C21">
            <w:pPr>
              <w:jc w:val="both"/>
              <w:rPr>
                <w:rFonts w:ascii="Arial" w:hAnsi="Arial" w:cs="Arial"/>
                <w:lang w:val="en-GB"/>
              </w:rPr>
            </w:pPr>
            <w:r w:rsidRPr="006B0FFB">
              <w:rPr>
                <w:rFonts w:ascii="Arial" w:hAnsi="Arial" w:cs="Arial"/>
                <w:lang w:val="en-GB"/>
              </w:rPr>
              <w:t>11-20 vs. 31-40</w:t>
            </w:r>
          </w:p>
        </w:tc>
        <w:tc>
          <w:tcPr>
            <w:tcW w:w="1276" w:type="dxa"/>
            <w:shd w:val="clear" w:color="auto" w:fill="auto"/>
            <w:noWrap/>
            <w:tcMar>
              <w:top w:w="15" w:type="dxa"/>
              <w:left w:w="15" w:type="dxa"/>
              <w:bottom w:w="0" w:type="dxa"/>
              <w:right w:w="15" w:type="dxa"/>
            </w:tcMar>
            <w:vAlign w:val="bottom"/>
            <w:hideMark/>
          </w:tcPr>
          <w:p w14:paraId="2FB24699" w14:textId="25B215E5" w:rsidR="00A24C21" w:rsidRPr="006B0FFB" w:rsidRDefault="00A24C21" w:rsidP="00A24C21">
            <w:pPr>
              <w:jc w:val="both"/>
              <w:rPr>
                <w:rFonts w:ascii="Arial" w:hAnsi="Arial" w:cs="Arial"/>
                <w:b/>
                <w:bCs/>
                <w:lang w:val="en-GB"/>
              </w:rPr>
            </w:pPr>
            <w:r w:rsidRPr="006B0FFB">
              <w:rPr>
                <w:rFonts w:ascii="Arial" w:hAnsi="Arial" w:cs="Arial"/>
                <w:b/>
                <w:bCs/>
                <w:lang w:val="en-GB"/>
              </w:rPr>
              <w:t>.0007</w:t>
            </w:r>
          </w:p>
        </w:tc>
        <w:tc>
          <w:tcPr>
            <w:tcW w:w="1276" w:type="dxa"/>
            <w:vAlign w:val="bottom"/>
          </w:tcPr>
          <w:p w14:paraId="03B4EB84" w14:textId="2C98E798" w:rsidR="00A24C21" w:rsidRPr="006B0FFB" w:rsidRDefault="00A24C21" w:rsidP="00A24C21">
            <w:pPr>
              <w:jc w:val="both"/>
              <w:rPr>
                <w:rFonts w:ascii="Arial" w:hAnsi="Arial" w:cs="Arial"/>
                <w:lang w:val="en-GB"/>
              </w:rPr>
            </w:pPr>
            <w:r>
              <w:rPr>
                <w:rFonts w:ascii="Arial" w:hAnsi="Arial" w:cs="Arial"/>
              </w:rPr>
              <w:t>.1157</w:t>
            </w:r>
          </w:p>
        </w:tc>
        <w:tc>
          <w:tcPr>
            <w:tcW w:w="1276" w:type="dxa"/>
            <w:vAlign w:val="bottom"/>
          </w:tcPr>
          <w:p w14:paraId="1A600C6C" w14:textId="41D7FAC3" w:rsidR="00A24C21" w:rsidRPr="006B0FFB" w:rsidRDefault="00A24C21" w:rsidP="00A24C21">
            <w:pPr>
              <w:jc w:val="both"/>
              <w:rPr>
                <w:rFonts w:ascii="Arial" w:hAnsi="Arial" w:cs="Arial"/>
                <w:lang w:val="en-GB"/>
              </w:rPr>
            </w:pPr>
            <w:r>
              <w:rPr>
                <w:rFonts w:ascii="Arial" w:hAnsi="Arial" w:cs="Arial"/>
              </w:rPr>
              <w:t>.1320</w:t>
            </w:r>
          </w:p>
        </w:tc>
        <w:tc>
          <w:tcPr>
            <w:tcW w:w="1276" w:type="dxa"/>
            <w:vAlign w:val="bottom"/>
          </w:tcPr>
          <w:p w14:paraId="67E91057" w14:textId="12228AC2" w:rsidR="00A24C21" w:rsidRPr="00A24C21" w:rsidRDefault="00A24C21" w:rsidP="00A24C21">
            <w:pPr>
              <w:jc w:val="both"/>
              <w:rPr>
                <w:rFonts w:ascii="Arial" w:hAnsi="Arial" w:cs="Arial"/>
                <w:b/>
                <w:bCs/>
                <w:lang w:val="en-GB"/>
              </w:rPr>
            </w:pPr>
            <w:r w:rsidRPr="00A24C21">
              <w:rPr>
                <w:rFonts w:ascii="Arial" w:hAnsi="Arial" w:cs="Arial"/>
                <w:b/>
                <w:bCs/>
              </w:rPr>
              <w:t>.0041</w:t>
            </w:r>
          </w:p>
        </w:tc>
      </w:tr>
      <w:tr w:rsidR="00A24C21" w:rsidRPr="006B0FFB" w14:paraId="7B87EAA5" w14:textId="7324C294" w:rsidTr="00AC7851">
        <w:trPr>
          <w:jc w:val="center"/>
        </w:trPr>
        <w:tc>
          <w:tcPr>
            <w:tcW w:w="2071" w:type="dxa"/>
            <w:shd w:val="clear" w:color="auto" w:fill="auto"/>
            <w:noWrap/>
            <w:tcMar>
              <w:top w:w="15" w:type="dxa"/>
              <w:left w:w="15" w:type="dxa"/>
              <w:bottom w:w="0" w:type="dxa"/>
              <w:right w:w="15" w:type="dxa"/>
            </w:tcMar>
            <w:vAlign w:val="bottom"/>
            <w:hideMark/>
          </w:tcPr>
          <w:p w14:paraId="0FA3D50D" w14:textId="03CE5B29" w:rsidR="00A24C21" w:rsidRPr="006B0FFB" w:rsidRDefault="00A24C21" w:rsidP="00A24C21">
            <w:pPr>
              <w:jc w:val="both"/>
              <w:rPr>
                <w:rFonts w:ascii="Arial" w:hAnsi="Arial" w:cs="Arial"/>
                <w:lang w:val="en-GB"/>
              </w:rPr>
            </w:pPr>
            <w:r w:rsidRPr="006B0FFB">
              <w:rPr>
                <w:rFonts w:ascii="Arial" w:hAnsi="Arial" w:cs="Arial"/>
                <w:lang w:val="en-GB"/>
              </w:rPr>
              <w:t xml:space="preserve">11-20 vs. </w:t>
            </w:r>
            <w:r w:rsidR="00AC7851">
              <w:rPr>
                <w:rFonts w:ascii="Arial" w:hAnsi="Arial" w:cs="Arial"/>
                <w:lang w:val="en-GB"/>
              </w:rPr>
              <w:t>≥41</w:t>
            </w:r>
          </w:p>
        </w:tc>
        <w:tc>
          <w:tcPr>
            <w:tcW w:w="1276" w:type="dxa"/>
            <w:shd w:val="clear" w:color="auto" w:fill="auto"/>
            <w:noWrap/>
            <w:tcMar>
              <w:top w:w="15" w:type="dxa"/>
              <w:left w:w="15" w:type="dxa"/>
              <w:bottom w:w="0" w:type="dxa"/>
              <w:right w:w="15" w:type="dxa"/>
            </w:tcMar>
            <w:vAlign w:val="bottom"/>
            <w:hideMark/>
          </w:tcPr>
          <w:p w14:paraId="54AFE8EF" w14:textId="3BFEC044" w:rsidR="00A24C21" w:rsidRPr="006B0FFB" w:rsidRDefault="00A24C21" w:rsidP="00A24C21">
            <w:pPr>
              <w:jc w:val="both"/>
              <w:rPr>
                <w:rFonts w:ascii="Arial" w:hAnsi="Arial" w:cs="Arial"/>
                <w:lang w:val="en-GB"/>
              </w:rPr>
            </w:pPr>
            <w:r w:rsidRPr="006B0FFB">
              <w:rPr>
                <w:rFonts w:ascii="Arial" w:hAnsi="Arial" w:cs="Arial"/>
                <w:lang w:val="en-GB"/>
              </w:rPr>
              <w:t>.4233</w:t>
            </w:r>
          </w:p>
        </w:tc>
        <w:tc>
          <w:tcPr>
            <w:tcW w:w="1276" w:type="dxa"/>
            <w:vAlign w:val="bottom"/>
          </w:tcPr>
          <w:p w14:paraId="18E27230" w14:textId="44AC99E6" w:rsidR="00A24C21" w:rsidRPr="006B0FFB" w:rsidRDefault="00A24C21" w:rsidP="00A24C21">
            <w:pPr>
              <w:jc w:val="both"/>
              <w:rPr>
                <w:rFonts w:ascii="Arial" w:hAnsi="Arial" w:cs="Arial"/>
                <w:lang w:val="en-GB"/>
              </w:rPr>
            </w:pPr>
            <w:r>
              <w:rPr>
                <w:rFonts w:ascii="Arial" w:hAnsi="Arial" w:cs="Arial"/>
              </w:rPr>
              <w:t>.</w:t>
            </w:r>
            <w:r w:rsidRPr="00FE3E7F">
              <w:rPr>
                <w:rFonts w:ascii="Arial" w:hAnsi="Arial" w:cs="Arial"/>
                <w:b/>
                <w:bCs/>
              </w:rPr>
              <w:t>0143</w:t>
            </w:r>
          </w:p>
        </w:tc>
        <w:tc>
          <w:tcPr>
            <w:tcW w:w="1276" w:type="dxa"/>
            <w:vAlign w:val="bottom"/>
          </w:tcPr>
          <w:p w14:paraId="5071DE0C" w14:textId="15BBEB6D" w:rsidR="00A24C21" w:rsidRPr="006B0FFB" w:rsidRDefault="00A24C21" w:rsidP="00A24C21">
            <w:pPr>
              <w:jc w:val="both"/>
              <w:rPr>
                <w:rFonts w:ascii="Arial" w:hAnsi="Arial" w:cs="Arial"/>
                <w:lang w:val="en-GB"/>
              </w:rPr>
            </w:pPr>
            <w:r>
              <w:rPr>
                <w:rFonts w:ascii="Arial" w:hAnsi="Arial" w:cs="Arial"/>
              </w:rPr>
              <w:t>.8629</w:t>
            </w:r>
          </w:p>
        </w:tc>
        <w:tc>
          <w:tcPr>
            <w:tcW w:w="1276" w:type="dxa"/>
            <w:vAlign w:val="bottom"/>
          </w:tcPr>
          <w:p w14:paraId="644993F6" w14:textId="5232010D" w:rsidR="00A24C21" w:rsidRPr="00A24C21" w:rsidRDefault="00A24C21" w:rsidP="00A24C21">
            <w:pPr>
              <w:jc w:val="both"/>
              <w:rPr>
                <w:rFonts w:ascii="Arial" w:hAnsi="Arial" w:cs="Arial"/>
                <w:b/>
                <w:bCs/>
                <w:lang w:val="en-GB"/>
              </w:rPr>
            </w:pPr>
            <w:r w:rsidRPr="00A24C21">
              <w:rPr>
                <w:rFonts w:ascii="Arial" w:hAnsi="Arial" w:cs="Arial"/>
                <w:b/>
                <w:bCs/>
              </w:rPr>
              <w:t>.0265</w:t>
            </w:r>
          </w:p>
        </w:tc>
      </w:tr>
      <w:tr w:rsidR="00A24C21" w:rsidRPr="006B0FFB" w14:paraId="6E70E7A1" w14:textId="75BE294B" w:rsidTr="00AC7851">
        <w:trPr>
          <w:jc w:val="center"/>
        </w:trPr>
        <w:tc>
          <w:tcPr>
            <w:tcW w:w="2071" w:type="dxa"/>
            <w:shd w:val="clear" w:color="auto" w:fill="auto"/>
            <w:noWrap/>
            <w:tcMar>
              <w:top w:w="15" w:type="dxa"/>
              <w:left w:w="15" w:type="dxa"/>
              <w:bottom w:w="0" w:type="dxa"/>
              <w:right w:w="15" w:type="dxa"/>
            </w:tcMar>
            <w:vAlign w:val="bottom"/>
            <w:hideMark/>
          </w:tcPr>
          <w:p w14:paraId="2841A345" w14:textId="77777777" w:rsidR="00A24C21" w:rsidRPr="006B0FFB" w:rsidRDefault="00A24C21" w:rsidP="00A24C21">
            <w:pPr>
              <w:jc w:val="both"/>
              <w:rPr>
                <w:rFonts w:ascii="Arial" w:hAnsi="Arial" w:cs="Arial"/>
                <w:lang w:val="en-GB"/>
              </w:rPr>
            </w:pPr>
            <w:r w:rsidRPr="006B0FFB">
              <w:rPr>
                <w:rFonts w:ascii="Arial" w:hAnsi="Arial" w:cs="Arial"/>
                <w:lang w:val="en-GB"/>
              </w:rPr>
              <w:t>21-30 vs. 31-40</w:t>
            </w:r>
          </w:p>
        </w:tc>
        <w:tc>
          <w:tcPr>
            <w:tcW w:w="1276" w:type="dxa"/>
            <w:shd w:val="clear" w:color="auto" w:fill="auto"/>
            <w:noWrap/>
            <w:tcMar>
              <w:top w:w="15" w:type="dxa"/>
              <w:left w:w="15" w:type="dxa"/>
              <w:bottom w:w="0" w:type="dxa"/>
              <w:right w:w="15" w:type="dxa"/>
            </w:tcMar>
            <w:vAlign w:val="bottom"/>
            <w:hideMark/>
          </w:tcPr>
          <w:p w14:paraId="2D17359F" w14:textId="3722D4E2" w:rsidR="00A24C21" w:rsidRPr="006B0FFB" w:rsidRDefault="00A24C21" w:rsidP="00A24C21">
            <w:pPr>
              <w:jc w:val="both"/>
              <w:rPr>
                <w:rFonts w:ascii="Arial" w:hAnsi="Arial" w:cs="Arial"/>
                <w:lang w:val="en-GB"/>
              </w:rPr>
            </w:pPr>
            <w:r w:rsidRPr="006B0FFB">
              <w:rPr>
                <w:rFonts w:ascii="Arial" w:hAnsi="Arial" w:cs="Arial"/>
                <w:lang w:val="en-GB"/>
              </w:rPr>
              <w:t>.9827</w:t>
            </w:r>
          </w:p>
        </w:tc>
        <w:tc>
          <w:tcPr>
            <w:tcW w:w="1276" w:type="dxa"/>
            <w:vAlign w:val="bottom"/>
          </w:tcPr>
          <w:p w14:paraId="2A2904D7" w14:textId="573B2DD0" w:rsidR="00A24C21" w:rsidRPr="006B0FFB" w:rsidRDefault="00A24C21" w:rsidP="00A24C21">
            <w:pPr>
              <w:jc w:val="both"/>
              <w:rPr>
                <w:rFonts w:ascii="Arial" w:hAnsi="Arial" w:cs="Arial"/>
                <w:lang w:val="en-GB"/>
              </w:rPr>
            </w:pPr>
            <w:r>
              <w:rPr>
                <w:rFonts w:ascii="Arial" w:hAnsi="Arial" w:cs="Arial"/>
              </w:rPr>
              <w:t>.8685</w:t>
            </w:r>
          </w:p>
        </w:tc>
        <w:tc>
          <w:tcPr>
            <w:tcW w:w="1276" w:type="dxa"/>
            <w:vAlign w:val="bottom"/>
          </w:tcPr>
          <w:p w14:paraId="798304BF" w14:textId="65436D3E" w:rsidR="00A24C21" w:rsidRPr="006B0FFB" w:rsidRDefault="00A24C21" w:rsidP="00A24C21">
            <w:pPr>
              <w:jc w:val="both"/>
              <w:rPr>
                <w:rFonts w:ascii="Arial" w:hAnsi="Arial" w:cs="Arial"/>
                <w:lang w:val="en-GB"/>
              </w:rPr>
            </w:pPr>
            <w:r>
              <w:rPr>
                <w:rFonts w:ascii="Arial" w:hAnsi="Arial" w:cs="Arial"/>
              </w:rPr>
              <w:t>.3615</w:t>
            </w:r>
          </w:p>
        </w:tc>
        <w:tc>
          <w:tcPr>
            <w:tcW w:w="1276" w:type="dxa"/>
            <w:vAlign w:val="bottom"/>
          </w:tcPr>
          <w:p w14:paraId="1B4315CA" w14:textId="635F41FD" w:rsidR="00A24C21" w:rsidRPr="006B0FFB" w:rsidRDefault="00A24C21" w:rsidP="00A24C21">
            <w:pPr>
              <w:jc w:val="both"/>
              <w:rPr>
                <w:rFonts w:ascii="Arial" w:hAnsi="Arial" w:cs="Arial"/>
                <w:lang w:val="en-GB"/>
              </w:rPr>
            </w:pPr>
            <w:r>
              <w:rPr>
                <w:rFonts w:ascii="Arial" w:hAnsi="Arial" w:cs="Arial"/>
              </w:rPr>
              <w:t>.9828</w:t>
            </w:r>
          </w:p>
        </w:tc>
      </w:tr>
      <w:tr w:rsidR="00A24C21" w:rsidRPr="006B0FFB" w14:paraId="442A8E9E" w14:textId="77A79D74" w:rsidTr="00AC7851">
        <w:trPr>
          <w:jc w:val="center"/>
        </w:trPr>
        <w:tc>
          <w:tcPr>
            <w:tcW w:w="2071" w:type="dxa"/>
            <w:shd w:val="clear" w:color="auto" w:fill="auto"/>
            <w:noWrap/>
            <w:tcMar>
              <w:top w:w="15" w:type="dxa"/>
              <w:left w:w="15" w:type="dxa"/>
              <w:bottom w:w="0" w:type="dxa"/>
              <w:right w:w="15" w:type="dxa"/>
            </w:tcMar>
            <w:vAlign w:val="bottom"/>
            <w:hideMark/>
          </w:tcPr>
          <w:p w14:paraId="7C7307A4" w14:textId="680B8FAE" w:rsidR="00A24C21" w:rsidRPr="006B0FFB" w:rsidRDefault="00A24C21" w:rsidP="00A24C21">
            <w:pPr>
              <w:jc w:val="both"/>
              <w:rPr>
                <w:rFonts w:ascii="Arial" w:hAnsi="Arial" w:cs="Arial"/>
                <w:lang w:val="en-GB"/>
              </w:rPr>
            </w:pPr>
            <w:r w:rsidRPr="006B0FFB">
              <w:rPr>
                <w:rFonts w:ascii="Arial" w:hAnsi="Arial" w:cs="Arial"/>
                <w:lang w:val="en-GB"/>
              </w:rPr>
              <w:t xml:space="preserve">21-30 vs. </w:t>
            </w:r>
            <w:r w:rsidR="00AC7851">
              <w:rPr>
                <w:rFonts w:ascii="Arial" w:hAnsi="Arial" w:cs="Arial"/>
                <w:lang w:val="en-GB"/>
              </w:rPr>
              <w:t>≥41</w:t>
            </w:r>
          </w:p>
        </w:tc>
        <w:tc>
          <w:tcPr>
            <w:tcW w:w="1276" w:type="dxa"/>
            <w:shd w:val="clear" w:color="auto" w:fill="auto"/>
            <w:noWrap/>
            <w:tcMar>
              <w:top w:w="15" w:type="dxa"/>
              <w:left w:w="15" w:type="dxa"/>
              <w:bottom w:w="0" w:type="dxa"/>
              <w:right w:w="15" w:type="dxa"/>
            </w:tcMar>
            <w:vAlign w:val="bottom"/>
            <w:hideMark/>
          </w:tcPr>
          <w:p w14:paraId="381CCE7E" w14:textId="4E4DB652" w:rsidR="00A24C21" w:rsidRPr="006B0FFB" w:rsidRDefault="00A24C21" w:rsidP="00A24C21">
            <w:pPr>
              <w:jc w:val="both"/>
              <w:rPr>
                <w:rFonts w:ascii="Arial" w:hAnsi="Arial" w:cs="Arial"/>
                <w:lang w:val="en-GB"/>
              </w:rPr>
            </w:pPr>
            <w:r w:rsidRPr="006B0FFB">
              <w:rPr>
                <w:rFonts w:ascii="Arial" w:hAnsi="Arial" w:cs="Arial"/>
                <w:lang w:val="en-GB"/>
              </w:rPr>
              <w:t>.2569</w:t>
            </w:r>
          </w:p>
        </w:tc>
        <w:tc>
          <w:tcPr>
            <w:tcW w:w="1276" w:type="dxa"/>
            <w:vAlign w:val="bottom"/>
          </w:tcPr>
          <w:p w14:paraId="03FD231D" w14:textId="1459660C" w:rsidR="00A24C21" w:rsidRPr="006B0FFB" w:rsidRDefault="00A24C21" w:rsidP="00A24C21">
            <w:pPr>
              <w:jc w:val="both"/>
              <w:rPr>
                <w:rFonts w:ascii="Arial" w:hAnsi="Arial" w:cs="Arial"/>
                <w:lang w:val="en-GB"/>
              </w:rPr>
            </w:pPr>
            <w:r>
              <w:rPr>
                <w:rFonts w:ascii="Arial" w:hAnsi="Arial" w:cs="Arial"/>
              </w:rPr>
              <w:t>.3717</w:t>
            </w:r>
          </w:p>
        </w:tc>
        <w:tc>
          <w:tcPr>
            <w:tcW w:w="1276" w:type="dxa"/>
            <w:vAlign w:val="bottom"/>
          </w:tcPr>
          <w:p w14:paraId="43A025C2" w14:textId="66C2C9A6" w:rsidR="00A24C21" w:rsidRPr="006B0FFB" w:rsidRDefault="00A24C21" w:rsidP="00A24C21">
            <w:pPr>
              <w:jc w:val="both"/>
              <w:rPr>
                <w:rFonts w:ascii="Arial" w:hAnsi="Arial" w:cs="Arial"/>
                <w:lang w:val="en-GB"/>
              </w:rPr>
            </w:pPr>
            <w:r>
              <w:rPr>
                <w:rFonts w:ascii="Arial" w:hAnsi="Arial" w:cs="Arial"/>
              </w:rPr>
              <w:t>.9962</w:t>
            </w:r>
          </w:p>
        </w:tc>
        <w:tc>
          <w:tcPr>
            <w:tcW w:w="1276" w:type="dxa"/>
            <w:vAlign w:val="bottom"/>
          </w:tcPr>
          <w:p w14:paraId="74505862" w14:textId="545FAD83" w:rsidR="00A24C21" w:rsidRPr="006B0FFB" w:rsidRDefault="00A24C21" w:rsidP="00A24C21">
            <w:pPr>
              <w:jc w:val="both"/>
              <w:rPr>
                <w:rFonts w:ascii="Arial" w:hAnsi="Arial" w:cs="Arial"/>
                <w:lang w:val="en-GB"/>
              </w:rPr>
            </w:pPr>
            <w:r>
              <w:rPr>
                <w:rFonts w:ascii="Arial" w:hAnsi="Arial" w:cs="Arial"/>
              </w:rPr>
              <w:t>&gt;.9999</w:t>
            </w:r>
          </w:p>
        </w:tc>
      </w:tr>
      <w:tr w:rsidR="00A24C21" w:rsidRPr="006B0FFB" w14:paraId="4D6A8D5C" w14:textId="495BA182" w:rsidTr="00AC7851">
        <w:trPr>
          <w:jc w:val="center"/>
        </w:trPr>
        <w:tc>
          <w:tcPr>
            <w:tcW w:w="2071" w:type="dxa"/>
            <w:shd w:val="clear" w:color="auto" w:fill="auto"/>
            <w:noWrap/>
            <w:tcMar>
              <w:top w:w="15" w:type="dxa"/>
              <w:left w:w="15" w:type="dxa"/>
              <w:bottom w:w="0" w:type="dxa"/>
              <w:right w:w="15" w:type="dxa"/>
            </w:tcMar>
            <w:vAlign w:val="bottom"/>
            <w:hideMark/>
          </w:tcPr>
          <w:p w14:paraId="2FAE0AE2" w14:textId="2ED44308" w:rsidR="00A24C21" w:rsidRPr="006B0FFB" w:rsidRDefault="00A24C21" w:rsidP="00A24C21">
            <w:pPr>
              <w:jc w:val="both"/>
              <w:rPr>
                <w:rFonts w:ascii="Arial" w:hAnsi="Arial" w:cs="Arial"/>
                <w:lang w:val="en-GB"/>
              </w:rPr>
            </w:pPr>
            <w:r w:rsidRPr="006B0FFB">
              <w:rPr>
                <w:rFonts w:ascii="Arial" w:hAnsi="Arial" w:cs="Arial"/>
                <w:lang w:val="en-GB"/>
              </w:rPr>
              <w:t xml:space="preserve">31-40 vs. </w:t>
            </w:r>
            <w:r w:rsidR="00AC7851">
              <w:rPr>
                <w:rFonts w:ascii="Arial" w:hAnsi="Arial" w:cs="Arial"/>
                <w:lang w:val="en-GB"/>
              </w:rPr>
              <w:t>≥41</w:t>
            </w:r>
          </w:p>
        </w:tc>
        <w:tc>
          <w:tcPr>
            <w:tcW w:w="1276" w:type="dxa"/>
            <w:shd w:val="clear" w:color="auto" w:fill="auto"/>
            <w:noWrap/>
            <w:tcMar>
              <w:top w:w="15" w:type="dxa"/>
              <w:left w:w="15" w:type="dxa"/>
              <w:bottom w:w="0" w:type="dxa"/>
              <w:right w:w="15" w:type="dxa"/>
            </w:tcMar>
            <w:vAlign w:val="bottom"/>
            <w:hideMark/>
          </w:tcPr>
          <w:p w14:paraId="719DCA66" w14:textId="165847ED" w:rsidR="00A24C21" w:rsidRPr="006B0FFB" w:rsidRDefault="00A24C21" w:rsidP="00A24C21">
            <w:pPr>
              <w:jc w:val="both"/>
              <w:rPr>
                <w:rFonts w:ascii="Arial" w:hAnsi="Arial" w:cs="Arial"/>
                <w:lang w:val="en-GB"/>
              </w:rPr>
            </w:pPr>
            <w:r w:rsidRPr="006B0FFB">
              <w:rPr>
                <w:rFonts w:ascii="Arial" w:hAnsi="Arial" w:cs="Arial"/>
                <w:lang w:val="en-GB"/>
              </w:rPr>
              <w:t>.0882</w:t>
            </w:r>
          </w:p>
        </w:tc>
        <w:tc>
          <w:tcPr>
            <w:tcW w:w="1276" w:type="dxa"/>
            <w:vAlign w:val="bottom"/>
          </w:tcPr>
          <w:p w14:paraId="1B1F616E" w14:textId="2A305523" w:rsidR="00A24C21" w:rsidRPr="006B0FFB" w:rsidRDefault="00A24C21" w:rsidP="00A24C21">
            <w:pPr>
              <w:jc w:val="both"/>
              <w:rPr>
                <w:rFonts w:ascii="Arial" w:hAnsi="Arial" w:cs="Arial"/>
                <w:lang w:val="en-GB"/>
              </w:rPr>
            </w:pPr>
            <w:r>
              <w:rPr>
                <w:rFonts w:ascii="Arial" w:hAnsi="Arial" w:cs="Arial"/>
              </w:rPr>
              <w:t>.9101</w:t>
            </w:r>
          </w:p>
        </w:tc>
        <w:tc>
          <w:tcPr>
            <w:tcW w:w="1276" w:type="dxa"/>
            <w:vAlign w:val="bottom"/>
          </w:tcPr>
          <w:p w14:paraId="22F38C62" w14:textId="59BED53F" w:rsidR="00A24C21" w:rsidRPr="006B0FFB" w:rsidRDefault="00A24C21" w:rsidP="00A24C21">
            <w:pPr>
              <w:jc w:val="both"/>
              <w:rPr>
                <w:rFonts w:ascii="Arial" w:hAnsi="Arial" w:cs="Arial"/>
                <w:lang w:val="en-GB"/>
              </w:rPr>
            </w:pPr>
            <w:r>
              <w:rPr>
                <w:rFonts w:ascii="Arial" w:hAnsi="Arial" w:cs="Arial"/>
              </w:rPr>
              <w:t>.5635</w:t>
            </w:r>
          </w:p>
        </w:tc>
        <w:tc>
          <w:tcPr>
            <w:tcW w:w="1276" w:type="dxa"/>
            <w:vAlign w:val="bottom"/>
          </w:tcPr>
          <w:p w14:paraId="5B4FE672" w14:textId="587360D3" w:rsidR="00A24C21" w:rsidRPr="006B0FFB" w:rsidRDefault="00A24C21" w:rsidP="00A24C21">
            <w:pPr>
              <w:jc w:val="both"/>
              <w:rPr>
                <w:rFonts w:ascii="Arial" w:hAnsi="Arial" w:cs="Arial"/>
                <w:lang w:val="en-GB"/>
              </w:rPr>
            </w:pPr>
            <w:r>
              <w:rPr>
                <w:rFonts w:ascii="Arial" w:hAnsi="Arial" w:cs="Arial"/>
              </w:rPr>
              <w:t>.9612</w:t>
            </w:r>
          </w:p>
        </w:tc>
      </w:tr>
    </w:tbl>
    <w:p w14:paraId="2806DA02" w14:textId="77777777" w:rsidR="006B0FFB" w:rsidRDefault="006B0FFB" w:rsidP="00425897">
      <w:pPr>
        <w:jc w:val="both"/>
        <w:rPr>
          <w:rFonts w:ascii="Arial" w:hAnsi="Arial" w:cs="Arial"/>
        </w:rPr>
      </w:pPr>
    </w:p>
    <w:p w14:paraId="1D15FBD3" w14:textId="1365FEDF" w:rsidR="000126CC" w:rsidRPr="00014AAA" w:rsidRDefault="000126CC" w:rsidP="000126CC">
      <w:pPr>
        <w:jc w:val="both"/>
        <w:rPr>
          <w:rFonts w:ascii="Arial" w:hAnsi="Arial" w:cs="Arial"/>
          <w:b/>
          <w:sz w:val="22"/>
          <w:szCs w:val="22"/>
        </w:rPr>
      </w:pPr>
      <w:r w:rsidRPr="00014AAA">
        <w:rPr>
          <w:rFonts w:ascii="Arial" w:hAnsi="Arial" w:cs="Arial"/>
          <w:b/>
          <w:sz w:val="22"/>
          <w:szCs w:val="22"/>
        </w:rPr>
        <w:t>3.3 Correlation of Age and the Micronutrients in Malaria-Infected Patients and Healthy Subjects</w:t>
      </w:r>
    </w:p>
    <w:p w14:paraId="11338E09" w14:textId="77777777" w:rsidR="000126CC" w:rsidRDefault="000126CC" w:rsidP="000126CC">
      <w:pPr>
        <w:jc w:val="both"/>
        <w:rPr>
          <w:rFonts w:ascii="Arial" w:hAnsi="Arial" w:cs="Arial"/>
          <w:lang w:val="en-GB"/>
        </w:rPr>
      </w:pPr>
    </w:p>
    <w:p w14:paraId="512B14C6" w14:textId="7AEDA6B6" w:rsidR="000126CC" w:rsidRDefault="000126CC" w:rsidP="000126CC">
      <w:pPr>
        <w:jc w:val="both"/>
        <w:rPr>
          <w:rFonts w:ascii="Arial" w:hAnsi="Arial" w:cs="Arial"/>
        </w:rPr>
      </w:pPr>
      <w:r w:rsidRPr="00064DF8">
        <w:rPr>
          <w:rFonts w:ascii="Arial" w:hAnsi="Arial" w:cs="Arial"/>
          <w:b/>
          <w:bCs/>
          <w:lang w:val="en-GB"/>
        </w:rPr>
        <w:t>Table 2</w:t>
      </w:r>
      <w:r>
        <w:rPr>
          <w:rFonts w:ascii="Arial" w:hAnsi="Arial" w:cs="Arial"/>
          <w:lang w:val="en-GB"/>
        </w:rPr>
        <w:t xml:space="preserve"> represents the correlation between</w:t>
      </w:r>
      <w:r w:rsidR="004D73AB">
        <w:rPr>
          <w:rFonts w:ascii="Arial" w:hAnsi="Arial" w:cs="Arial"/>
          <w:lang w:val="en-GB"/>
        </w:rPr>
        <w:t xml:space="preserve"> the</w:t>
      </w:r>
      <w:r>
        <w:rPr>
          <w:rFonts w:ascii="Arial" w:hAnsi="Arial" w:cs="Arial"/>
          <w:lang w:val="en-GB"/>
        </w:rPr>
        <w:t xml:space="preserve"> age and the micronutrients for healthy subjects and malaria-infected subjects. While all the correlations between age and the malaria infection showed significant correlations for all the micronutrients with p-values of &lt;.0001 for each micronutrient, the healthy subjects only had significant correlations for calcium and phosphate. Interestingly, only the calcium showed significant correlations for both control and healthy subject</w:t>
      </w:r>
      <w:r w:rsidR="004D73AB">
        <w:rPr>
          <w:rFonts w:ascii="Arial" w:hAnsi="Arial" w:cs="Arial"/>
          <w:lang w:val="en-GB"/>
        </w:rPr>
        <w:t>s</w:t>
      </w:r>
      <w:r>
        <w:rPr>
          <w:rFonts w:ascii="Arial" w:hAnsi="Arial" w:cs="Arial"/>
          <w:lang w:val="en-GB"/>
        </w:rPr>
        <w:t xml:space="preserve"> but with moderate correlations with the malaria</w:t>
      </w:r>
      <w:r w:rsidR="00A3245E">
        <w:rPr>
          <w:rFonts w:ascii="Arial" w:hAnsi="Arial" w:cs="Arial"/>
          <w:lang w:val="en-GB"/>
        </w:rPr>
        <w:t>-</w:t>
      </w:r>
      <w:r>
        <w:rPr>
          <w:rFonts w:ascii="Arial" w:hAnsi="Arial" w:cs="Arial"/>
          <w:lang w:val="en-GB"/>
        </w:rPr>
        <w:t xml:space="preserve">infected people having </w:t>
      </w:r>
      <w:r w:rsidR="004D73AB">
        <w:rPr>
          <w:rFonts w:ascii="Arial" w:hAnsi="Arial" w:cs="Arial"/>
          <w:lang w:val="en-GB"/>
        </w:rPr>
        <w:t xml:space="preserve">a </w:t>
      </w:r>
      <w:r>
        <w:rPr>
          <w:rFonts w:ascii="Arial" w:hAnsi="Arial" w:cs="Arial"/>
          <w:lang w:val="en-GB"/>
        </w:rPr>
        <w:t>positive correlation (r=0.6823), while healthy subjects had negative correction (r=</w:t>
      </w:r>
      <w:r w:rsidRPr="00425897">
        <w:rPr>
          <w:rFonts w:ascii="Arial" w:hAnsi="Arial" w:cs="Arial"/>
        </w:rPr>
        <w:t>-0.6753</w:t>
      </w:r>
      <w:r>
        <w:rPr>
          <w:rFonts w:ascii="Arial" w:hAnsi="Arial" w:cs="Arial"/>
        </w:rPr>
        <w:t>)</w:t>
      </w:r>
      <w:r>
        <w:rPr>
          <w:rFonts w:ascii="Arial" w:hAnsi="Arial" w:cs="Arial"/>
          <w:lang w:val="en-GB"/>
        </w:rPr>
        <w:t xml:space="preserve">. </w:t>
      </w:r>
    </w:p>
    <w:p w14:paraId="26359029" w14:textId="77777777" w:rsidR="00F17D6A" w:rsidRPr="00425897" w:rsidRDefault="00F17D6A" w:rsidP="00425897">
      <w:pPr>
        <w:jc w:val="both"/>
        <w:rPr>
          <w:rFonts w:ascii="Arial" w:hAnsi="Arial" w:cs="Arial"/>
        </w:rPr>
      </w:pPr>
    </w:p>
    <w:p w14:paraId="504BC54B" w14:textId="702C2AC1" w:rsidR="002D5CC6" w:rsidRPr="00425897" w:rsidRDefault="00266B4E" w:rsidP="002D5CC6">
      <w:pPr>
        <w:jc w:val="both"/>
        <w:rPr>
          <w:rFonts w:ascii="Arial" w:hAnsi="Arial" w:cs="Arial"/>
          <w:b/>
        </w:rPr>
      </w:pPr>
      <w:r>
        <w:rPr>
          <w:rFonts w:ascii="Arial" w:hAnsi="Arial" w:cs="Arial"/>
          <w:b/>
        </w:rPr>
        <w:t xml:space="preserve">Table 2. </w:t>
      </w:r>
      <w:r w:rsidR="002D5CC6" w:rsidRPr="00425897">
        <w:rPr>
          <w:rFonts w:ascii="Arial" w:hAnsi="Arial" w:cs="Arial"/>
          <w:b/>
        </w:rPr>
        <w:t xml:space="preserve">Correlation of </w:t>
      </w:r>
      <w:r w:rsidR="00A645A1">
        <w:rPr>
          <w:rFonts w:ascii="Arial" w:hAnsi="Arial" w:cs="Arial"/>
          <w:b/>
        </w:rPr>
        <w:t>subject a</w:t>
      </w:r>
      <w:r w:rsidR="002D5CC6" w:rsidRPr="00425897">
        <w:rPr>
          <w:rFonts w:ascii="Arial" w:hAnsi="Arial" w:cs="Arial"/>
          <w:b/>
        </w:rPr>
        <w:t xml:space="preserve">ge </w:t>
      </w:r>
      <w:r w:rsidR="00A645A1">
        <w:rPr>
          <w:rFonts w:ascii="Arial" w:hAnsi="Arial" w:cs="Arial"/>
          <w:b/>
        </w:rPr>
        <w:t>and</w:t>
      </w:r>
      <w:r w:rsidR="002D5CC6" w:rsidRPr="00425897">
        <w:rPr>
          <w:rFonts w:ascii="Arial" w:hAnsi="Arial" w:cs="Arial"/>
          <w:b/>
        </w:rPr>
        <w:t xml:space="preserve"> the </w:t>
      </w:r>
      <w:r w:rsidR="00A645A1" w:rsidRPr="00425897">
        <w:rPr>
          <w:rFonts w:ascii="Arial" w:hAnsi="Arial" w:cs="Arial"/>
          <w:b/>
        </w:rPr>
        <w:t>level of micronutrients</w:t>
      </w:r>
    </w:p>
    <w:tbl>
      <w:tblPr>
        <w:tblStyle w:val="TableGrid"/>
        <w:tblW w:w="9531"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898"/>
        <w:gridCol w:w="1025"/>
        <w:gridCol w:w="996"/>
        <w:gridCol w:w="953"/>
        <w:gridCol w:w="1145"/>
        <w:gridCol w:w="1144"/>
        <w:gridCol w:w="1145"/>
        <w:gridCol w:w="1081"/>
        <w:gridCol w:w="1144"/>
      </w:tblGrid>
      <w:tr w:rsidR="002D5CC6" w:rsidRPr="00F17D6A" w14:paraId="24224FB3" w14:textId="77777777" w:rsidTr="000D372A">
        <w:trPr>
          <w:trHeight w:val="247"/>
        </w:trPr>
        <w:tc>
          <w:tcPr>
            <w:tcW w:w="898" w:type="dxa"/>
            <w:tcBorders>
              <w:bottom w:val="nil"/>
            </w:tcBorders>
          </w:tcPr>
          <w:p w14:paraId="05DCBB6C" w14:textId="77777777" w:rsidR="002D5CC6" w:rsidRPr="00F17D6A" w:rsidRDefault="002D5CC6" w:rsidP="00F17D6A">
            <w:pPr>
              <w:jc w:val="center"/>
              <w:rPr>
                <w:rFonts w:ascii="Arial" w:hAnsi="Arial" w:cs="Arial"/>
                <w:b/>
                <w:bCs/>
                <w:sz w:val="20"/>
                <w:szCs w:val="20"/>
              </w:rPr>
            </w:pPr>
          </w:p>
        </w:tc>
        <w:tc>
          <w:tcPr>
            <w:tcW w:w="2021" w:type="dxa"/>
            <w:gridSpan w:val="2"/>
            <w:tcBorders>
              <w:bottom w:val="nil"/>
            </w:tcBorders>
          </w:tcPr>
          <w:p w14:paraId="000EC44D" w14:textId="77777777" w:rsidR="002D5CC6" w:rsidRPr="00F17D6A" w:rsidRDefault="002D5CC6" w:rsidP="00F17D6A">
            <w:pPr>
              <w:jc w:val="center"/>
              <w:rPr>
                <w:rFonts w:ascii="Arial" w:hAnsi="Arial" w:cs="Arial"/>
                <w:b/>
                <w:bCs/>
                <w:sz w:val="20"/>
                <w:szCs w:val="20"/>
              </w:rPr>
            </w:pPr>
            <w:r w:rsidRPr="00F17D6A">
              <w:rPr>
                <w:rFonts w:ascii="Arial" w:hAnsi="Arial" w:cs="Arial"/>
                <w:b/>
                <w:bCs/>
                <w:sz w:val="20"/>
                <w:szCs w:val="20"/>
              </w:rPr>
              <w:t>Calcium</w:t>
            </w:r>
          </w:p>
        </w:tc>
        <w:tc>
          <w:tcPr>
            <w:tcW w:w="2098" w:type="dxa"/>
            <w:gridSpan w:val="2"/>
            <w:tcBorders>
              <w:bottom w:val="nil"/>
            </w:tcBorders>
          </w:tcPr>
          <w:p w14:paraId="518D7BF0" w14:textId="77777777" w:rsidR="002D5CC6" w:rsidRPr="00F17D6A" w:rsidRDefault="002D5CC6" w:rsidP="00F17D6A">
            <w:pPr>
              <w:jc w:val="center"/>
              <w:rPr>
                <w:rFonts w:ascii="Arial" w:hAnsi="Arial" w:cs="Arial"/>
                <w:b/>
                <w:bCs/>
                <w:sz w:val="20"/>
                <w:szCs w:val="20"/>
              </w:rPr>
            </w:pPr>
            <w:r w:rsidRPr="00F17D6A">
              <w:rPr>
                <w:rFonts w:ascii="Arial" w:hAnsi="Arial" w:cs="Arial"/>
                <w:b/>
                <w:bCs/>
                <w:sz w:val="20"/>
                <w:szCs w:val="20"/>
              </w:rPr>
              <w:t>Magnesium</w:t>
            </w:r>
          </w:p>
        </w:tc>
        <w:tc>
          <w:tcPr>
            <w:tcW w:w="2289" w:type="dxa"/>
            <w:gridSpan w:val="2"/>
            <w:tcBorders>
              <w:bottom w:val="nil"/>
            </w:tcBorders>
          </w:tcPr>
          <w:p w14:paraId="3BD88858" w14:textId="77777777" w:rsidR="002D5CC6" w:rsidRPr="00F17D6A" w:rsidRDefault="002D5CC6" w:rsidP="00F17D6A">
            <w:pPr>
              <w:jc w:val="center"/>
              <w:rPr>
                <w:rFonts w:ascii="Arial" w:hAnsi="Arial" w:cs="Arial"/>
                <w:b/>
                <w:bCs/>
                <w:sz w:val="20"/>
                <w:szCs w:val="20"/>
              </w:rPr>
            </w:pPr>
            <w:r w:rsidRPr="00F17D6A">
              <w:rPr>
                <w:rFonts w:ascii="Arial" w:hAnsi="Arial" w:cs="Arial"/>
                <w:b/>
                <w:bCs/>
                <w:sz w:val="20"/>
                <w:szCs w:val="20"/>
              </w:rPr>
              <w:t>Phosphate</w:t>
            </w:r>
          </w:p>
        </w:tc>
        <w:tc>
          <w:tcPr>
            <w:tcW w:w="2225" w:type="dxa"/>
            <w:gridSpan w:val="2"/>
            <w:tcBorders>
              <w:bottom w:val="nil"/>
            </w:tcBorders>
          </w:tcPr>
          <w:p w14:paraId="7CF37D7E" w14:textId="77777777" w:rsidR="002D5CC6" w:rsidRPr="00F17D6A" w:rsidRDefault="002D5CC6" w:rsidP="00F17D6A">
            <w:pPr>
              <w:jc w:val="center"/>
              <w:rPr>
                <w:rFonts w:ascii="Arial" w:hAnsi="Arial" w:cs="Arial"/>
                <w:b/>
                <w:bCs/>
                <w:sz w:val="20"/>
                <w:szCs w:val="20"/>
              </w:rPr>
            </w:pPr>
            <w:r w:rsidRPr="00F17D6A">
              <w:rPr>
                <w:rFonts w:ascii="Arial" w:hAnsi="Arial" w:cs="Arial"/>
                <w:b/>
                <w:bCs/>
                <w:sz w:val="20"/>
                <w:szCs w:val="20"/>
              </w:rPr>
              <w:t>Iron</w:t>
            </w:r>
          </w:p>
        </w:tc>
      </w:tr>
      <w:tr w:rsidR="002D5CC6" w:rsidRPr="00F17D6A" w14:paraId="5EBE99DE" w14:textId="77777777" w:rsidTr="00A645A1">
        <w:trPr>
          <w:trHeight w:val="233"/>
        </w:trPr>
        <w:tc>
          <w:tcPr>
            <w:tcW w:w="898" w:type="dxa"/>
            <w:tcBorders>
              <w:top w:val="nil"/>
              <w:bottom w:val="single" w:sz="4" w:space="0" w:color="auto"/>
            </w:tcBorders>
          </w:tcPr>
          <w:p w14:paraId="5358427E" w14:textId="77777777" w:rsidR="002D5CC6" w:rsidRPr="00F17D6A" w:rsidRDefault="002D5CC6" w:rsidP="00F17D6A">
            <w:pPr>
              <w:jc w:val="both"/>
              <w:rPr>
                <w:rFonts w:ascii="Arial" w:hAnsi="Arial" w:cs="Arial"/>
                <w:b/>
                <w:bCs/>
                <w:sz w:val="20"/>
                <w:szCs w:val="20"/>
              </w:rPr>
            </w:pPr>
          </w:p>
        </w:tc>
        <w:tc>
          <w:tcPr>
            <w:tcW w:w="1025" w:type="dxa"/>
            <w:tcBorders>
              <w:top w:val="nil"/>
              <w:bottom w:val="single" w:sz="4" w:space="0" w:color="auto"/>
            </w:tcBorders>
          </w:tcPr>
          <w:p w14:paraId="7BFBCC03" w14:textId="77777777" w:rsidR="002D5CC6" w:rsidRPr="00F17D6A" w:rsidRDefault="002D5CC6" w:rsidP="00F17D6A">
            <w:pPr>
              <w:jc w:val="both"/>
              <w:rPr>
                <w:rFonts w:ascii="Arial" w:hAnsi="Arial" w:cs="Arial"/>
                <w:b/>
                <w:bCs/>
                <w:sz w:val="20"/>
                <w:szCs w:val="20"/>
              </w:rPr>
            </w:pPr>
            <w:r w:rsidRPr="00F17D6A">
              <w:rPr>
                <w:rFonts w:ascii="Arial" w:hAnsi="Arial" w:cs="Arial"/>
                <w:b/>
                <w:bCs/>
                <w:sz w:val="20"/>
                <w:szCs w:val="20"/>
              </w:rPr>
              <w:t>r</w:t>
            </w:r>
          </w:p>
        </w:tc>
        <w:tc>
          <w:tcPr>
            <w:tcW w:w="996" w:type="dxa"/>
            <w:tcBorders>
              <w:top w:val="nil"/>
              <w:bottom w:val="single" w:sz="4" w:space="0" w:color="auto"/>
            </w:tcBorders>
          </w:tcPr>
          <w:p w14:paraId="05CE930B" w14:textId="77777777" w:rsidR="002D5CC6" w:rsidRPr="00F17D6A" w:rsidRDefault="002D5CC6" w:rsidP="00F17D6A">
            <w:pPr>
              <w:jc w:val="both"/>
              <w:rPr>
                <w:rFonts w:ascii="Arial" w:hAnsi="Arial" w:cs="Arial"/>
                <w:b/>
                <w:bCs/>
                <w:sz w:val="20"/>
                <w:szCs w:val="20"/>
              </w:rPr>
            </w:pPr>
            <w:r w:rsidRPr="00F17D6A">
              <w:rPr>
                <w:rFonts w:ascii="Arial" w:hAnsi="Arial" w:cs="Arial"/>
                <w:b/>
                <w:bCs/>
                <w:sz w:val="20"/>
                <w:szCs w:val="20"/>
              </w:rPr>
              <w:t>p</w:t>
            </w:r>
          </w:p>
        </w:tc>
        <w:tc>
          <w:tcPr>
            <w:tcW w:w="953" w:type="dxa"/>
            <w:tcBorders>
              <w:top w:val="nil"/>
              <w:bottom w:val="single" w:sz="4" w:space="0" w:color="auto"/>
            </w:tcBorders>
          </w:tcPr>
          <w:p w14:paraId="60EBBB86" w14:textId="77777777" w:rsidR="002D5CC6" w:rsidRPr="00F17D6A" w:rsidRDefault="002D5CC6" w:rsidP="00F17D6A">
            <w:pPr>
              <w:jc w:val="both"/>
              <w:rPr>
                <w:rFonts w:ascii="Arial" w:hAnsi="Arial" w:cs="Arial"/>
                <w:b/>
                <w:bCs/>
                <w:sz w:val="20"/>
                <w:szCs w:val="20"/>
              </w:rPr>
            </w:pPr>
            <w:r w:rsidRPr="00F17D6A">
              <w:rPr>
                <w:rFonts w:ascii="Arial" w:hAnsi="Arial" w:cs="Arial"/>
                <w:b/>
                <w:bCs/>
                <w:sz w:val="20"/>
                <w:szCs w:val="20"/>
              </w:rPr>
              <w:t>r</w:t>
            </w:r>
          </w:p>
        </w:tc>
        <w:tc>
          <w:tcPr>
            <w:tcW w:w="1145" w:type="dxa"/>
            <w:tcBorders>
              <w:top w:val="nil"/>
              <w:bottom w:val="single" w:sz="4" w:space="0" w:color="auto"/>
            </w:tcBorders>
          </w:tcPr>
          <w:p w14:paraId="4E85FC2A" w14:textId="77777777" w:rsidR="002D5CC6" w:rsidRPr="00F17D6A" w:rsidRDefault="002D5CC6" w:rsidP="00F17D6A">
            <w:pPr>
              <w:jc w:val="both"/>
              <w:rPr>
                <w:rFonts w:ascii="Arial" w:hAnsi="Arial" w:cs="Arial"/>
                <w:b/>
                <w:bCs/>
                <w:sz w:val="20"/>
                <w:szCs w:val="20"/>
              </w:rPr>
            </w:pPr>
            <w:r w:rsidRPr="00F17D6A">
              <w:rPr>
                <w:rFonts w:ascii="Arial" w:hAnsi="Arial" w:cs="Arial"/>
                <w:b/>
                <w:bCs/>
                <w:sz w:val="20"/>
                <w:szCs w:val="20"/>
              </w:rPr>
              <w:t>p</w:t>
            </w:r>
          </w:p>
        </w:tc>
        <w:tc>
          <w:tcPr>
            <w:tcW w:w="1144" w:type="dxa"/>
            <w:tcBorders>
              <w:top w:val="nil"/>
              <w:bottom w:val="single" w:sz="4" w:space="0" w:color="auto"/>
            </w:tcBorders>
          </w:tcPr>
          <w:p w14:paraId="0527B419" w14:textId="77777777" w:rsidR="002D5CC6" w:rsidRPr="00F17D6A" w:rsidRDefault="002D5CC6" w:rsidP="00F17D6A">
            <w:pPr>
              <w:jc w:val="both"/>
              <w:rPr>
                <w:rFonts w:ascii="Arial" w:hAnsi="Arial" w:cs="Arial"/>
                <w:b/>
                <w:bCs/>
                <w:sz w:val="20"/>
                <w:szCs w:val="20"/>
              </w:rPr>
            </w:pPr>
            <w:r w:rsidRPr="00F17D6A">
              <w:rPr>
                <w:rFonts w:ascii="Arial" w:hAnsi="Arial" w:cs="Arial"/>
                <w:b/>
                <w:bCs/>
                <w:sz w:val="20"/>
                <w:szCs w:val="20"/>
              </w:rPr>
              <w:t>r</w:t>
            </w:r>
          </w:p>
        </w:tc>
        <w:tc>
          <w:tcPr>
            <w:tcW w:w="1145" w:type="dxa"/>
            <w:tcBorders>
              <w:top w:val="nil"/>
              <w:bottom w:val="single" w:sz="4" w:space="0" w:color="auto"/>
            </w:tcBorders>
          </w:tcPr>
          <w:p w14:paraId="5F34D894" w14:textId="77777777" w:rsidR="002D5CC6" w:rsidRPr="00F17D6A" w:rsidRDefault="002D5CC6" w:rsidP="00F17D6A">
            <w:pPr>
              <w:jc w:val="both"/>
              <w:rPr>
                <w:rFonts w:ascii="Arial" w:hAnsi="Arial" w:cs="Arial"/>
                <w:b/>
                <w:bCs/>
                <w:sz w:val="20"/>
                <w:szCs w:val="20"/>
              </w:rPr>
            </w:pPr>
            <w:r w:rsidRPr="00F17D6A">
              <w:rPr>
                <w:rFonts w:ascii="Arial" w:hAnsi="Arial" w:cs="Arial"/>
                <w:b/>
                <w:bCs/>
                <w:sz w:val="20"/>
                <w:szCs w:val="20"/>
              </w:rPr>
              <w:t>p</w:t>
            </w:r>
          </w:p>
        </w:tc>
        <w:tc>
          <w:tcPr>
            <w:tcW w:w="1081" w:type="dxa"/>
            <w:tcBorders>
              <w:top w:val="nil"/>
              <w:bottom w:val="single" w:sz="4" w:space="0" w:color="auto"/>
            </w:tcBorders>
          </w:tcPr>
          <w:p w14:paraId="09659A22" w14:textId="77777777" w:rsidR="002D5CC6" w:rsidRPr="00F17D6A" w:rsidRDefault="002D5CC6" w:rsidP="00F17D6A">
            <w:pPr>
              <w:jc w:val="both"/>
              <w:rPr>
                <w:rFonts w:ascii="Arial" w:hAnsi="Arial" w:cs="Arial"/>
                <w:b/>
                <w:bCs/>
                <w:sz w:val="20"/>
                <w:szCs w:val="20"/>
              </w:rPr>
            </w:pPr>
            <w:r w:rsidRPr="00F17D6A">
              <w:rPr>
                <w:rFonts w:ascii="Arial" w:hAnsi="Arial" w:cs="Arial"/>
                <w:b/>
                <w:bCs/>
                <w:sz w:val="20"/>
                <w:szCs w:val="20"/>
              </w:rPr>
              <w:t>r</w:t>
            </w:r>
          </w:p>
        </w:tc>
        <w:tc>
          <w:tcPr>
            <w:tcW w:w="1144" w:type="dxa"/>
            <w:tcBorders>
              <w:top w:val="nil"/>
              <w:bottom w:val="single" w:sz="4" w:space="0" w:color="auto"/>
            </w:tcBorders>
          </w:tcPr>
          <w:p w14:paraId="19D6C134" w14:textId="77777777" w:rsidR="002D5CC6" w:rsidRPr="00F17D6A" w:rsidRDefault="002D5CC6" w:rsidP="00F17D6A">
            <w:pPr>
              <w:jc w:val="both"/>
              <w:rPr>
                <w:rFonts w:ascii="Arial" w:hAnsi="Arial" w:cs="Arial"/>
                <w:b/>
                <w:bCs/>
                <w:sz w:val="20"/>
                <w:szCs w:val="20"/>
              </w:rPr>
            </w:pPr>
            <w:r w:rsidRPr="00F17D6A">
              <w:rPr>
                <w:rFonts w:ascii="Arial" w:hAnsi="Arial" w:cs="Arial"/>
                <w:b/>
                <w:bCs/>
                <w:sz w:val="20"/>
                <w:szCs w:val="20"/>
              </w:rPr>
              <w:t>p</w:t>
            </w:r>
          </w:p>
        </w:tc>
      </w:tr>
      <w:tr w:rsidR="002D5CC6" w:rsidRPr="00425897" w14:paraId="08184A46" w14:textId="77777777" w:rsidTr="00A645A1">
        <w:trPr>
          <w:trHeight w:val="247"/>
        </w:trPr>
        <w:tc>
          <w:tcPr>
            <w:tcW w:w="898" w:type="dxa"/>
            <w:tcBorders>
              <w:top w:val="nil"/>
            </w:tcBorders>
          </w:tcPr>
          <w:p w14:paraId="5121B968" w14:textId="77777777" w:rsidR="002D5CC6" w:rsidRPr="00425897" w:rsidRDefault="002D5CC6" w:rsidP="00F17D6A">
            <w:pPr>
              <w:jc w:val="both"/>
              <w:rPr>
                <w:rFonts w:ascii="Arial" w:hAnsi="Arial" w:cs="Arial"/>
                <w:sz w:val="20"/>
                <w:szCs w:val="20"/>
              </w:rPr>
            </w:pPr>
            <w:r w:rsidRPr="00425897">
              <w:rPr>
                <w:rFonts w:ascii="Arial" w:hAnsi="Arial" w:cs="Arial"/>
                <w:sz w:val="20"/>
                <w:szCs w:val="20"/>
              </w:rPr>
              <w:t>Malaria</w:t>
            </w:r>
          </w:p>
        </w:tc>
        <w:tc>
          <w:tcPr>
            <w:tcW w:w="1025" w:type="dxa"/>
            <w:tcBorders>
              <w:top w:val="nil"/>
            </w:tcBorders>
          </w:tcPr>
          <w:p w14:paraId="15D2A9DE" w14:textId="77777777" w:rsidR="002D5CC6" w:rsidRPr="00425897" w:rsidRDefault="002D5CC6" w:rsidP="00F17D6A">
            <w:pPr>
              <w:jc w:val="both"/>
              <w:rPr>
                <w:rFonts w:ascii="Arial" w:hAnsi="Arial" w:cs="Arial"/>
                <w:sz w:val="20"/>
                <w:szCs w:val="20"/>
              </w:rPr>
            </w:pPr>
            <w:r w:rsidRPr="00425897">
              <w:rPr>
                <w:rFonts w:ascii="Arial" w:hAnsi="Arial" w:cs="Arial"/>
                <w:sz w:val="20"/>
                <w:szCs w:val="20"/>
              </w:rPr>
              <w:t>0.6823</w:t>
            </w:r>
          </w:p>
        </w:tc>
        <w:tc>
          <w:tcPr>
            <w:tcW w:w="996" w:type="dxa"/>
            <w:tcBorders>
              <w:top w:val="nil"/>
            </w:tcBorders>
          </w:tcPr>
          <w:p w14:paraId="4DCB7061" w14:textId="52D1CD88" w:rsidR="002D5CC6" w:rsidRPr="00425897" w:rsidRDefault="002D5CC6" w:rsidP="00F17D6A">
            <w:pPr>
              <w:jc w:val="both"/>
              <w:rPr>
                <w:rFonts w:ascii="Arial" w:hAnsi="Arial" w:cs="Arial"/>
                <w:b/>
                <w:sz w:val="20"/>
                <w:szCs w:val="20"/>
              </w:rPr>
            </w:pPr>
            <w:r w:rsidRPr="00425897">
              <w:rPr>
                <w:rFonts w:ascii="Arial" w:hAnsi="Arial" w:cs="Arial"/>
                <w:b/>
                <w:sz w:val="20"/>
                <w:szCs w:val="20"/>
              </w:rPr>
              <w:t>&lt;.0001</w:t>
            </w:r>
          </w:p>
        </w:tc>
        <w:tc>
          <w:tcPr>
            <w:tcW w:w="953" w:type="dxa"/>
            <w:tcBorders>
              <w:top w:val="nil"/>
            </w:tcBorders>
          </w:tcPr>
          <w:p w14:paraId="10A32510" w14:textId="77777777" w:rsidR="002D5CC6" w:rsidRPr="00425897" w:rsidRDefault="002D5CC6" w:rsidP="00F17D6A">
            <w:pPr>
              <w:jc w:val="both"/>
              <w:rPr>
                <w:rFonts w:ascii="Arial" w:hAnsi="Arial" w:cs="Arial"/>
                <w:sz w:val="20"/>
                <w:szCs w:val="20"/>
              </w:rPr>
            </w:pPr>
            <w:r w:rsidRPr="00425897">
              <w:rPr>
                <w:rFonts w:ascii="Arial" w:hAnsi="Arial" w:cs="Arial"/>
                <w:sz w:val="20"/>
                <w:szCs w:val="20"/>
              </w:rPr>
              <w:t>0.4458</w:t>
            </w:r>
          </w:p>
        </w:tc>
        <w:tc>
          <w:tcPr>
            <w:tcW w:w="1145" w:type="dxa"/>
            <w:tcBorders>
              <w:top w:val="nil"/>
            </w:tcBorders>
          </w:tcPr>
          <w:p w14:paraId="5DD198E6" w14:textId="0F763957" w:rsidR="002D5CC6" w:rsidRPr="00425897" w:rsidRDefault="002D5CC6" w:rsidP="00F17D6A">
            <w:pPr>
              <w:jc w:val="both"/>
              <w:rPr>
                <w:rFonts w:ascii="Arial" w:hAnsi="Arial" w:cs="Arial"/>
                <w:b/>
                <w:sz w:val="20"/>
                <w:szCs w:val="20"/>
              </w:rPr>
            </w:pPr>
            <w:r w:rsidRPr="00425897">
              <w:rPr>
                <w:rFonts w:ascii="Arial" w:hAnsi="Arial" w:cs="Arial"/>
                <w:b/>
                <w:sz w:val="20"/>
                <w:szCs w:val="20"/>
              </w:rPr>
              <w:t>&lt;.0001</w:t>
            </w:r>
          </w:p>
        </w:tc>
        <w:tc>
          <w:tcPr>
            <w:tcW w:w="1144" w:type="dxa"/>
            <w:tcBorders>
              <w:top w:val="nil"/>
            </w:tcBorders>
          </w:tcPr>
          <w:p w14:paraId="4CE39156" w14:textId="77777777" w:rsidR="002D5CC6" w:rsidRPr="00425897" w:rsidRDefault="002D5CC6" w:rsidP="00F17D6A">
            <w:pPr>
              <w:jc w:val="both"/>
              <w:rPr>
                <w:rFonts w:ascii="Arial" w:hAnsi="Arial" w:cs="Arial"/>
                <w:sz w:val="20"/>
                <w:szCs w:val="20"/>
              </w:rPr>
            </w:pPr>
            <w:r w:rsidRPr="00425897">
              <w:rPr>
                <w:rFonts w:ascii="Arial" w:hAnsi="Arial" w:cs="Arial"/>
                <w:sz w:val="20"/>
                <w:szCs w:val="20"/>
              </w:rPr>
              <w:t>0.5890</w:t>
            </w:r>
          </w:p>
        </w:tc>
        <w:tc>
          <w:tcPr>
            <w:tcW w:w="1145" w:type="dxa"/>
            <w:tcBorders>
              <w:top w:val="nil"/>
            </w:tcBorders>
          </w:tcPr>
          <w:p w14:paraId="514B6BA7" w14:textId="28BC5F3C" w:rsidR="002D5CC6" w:rsidRPr="00425897" w:rsidRDefault="002D5CC6" w:rsidP="00F17D6A">
            <w:pPr>
              <w:jc w:val="both"/>
              <w:rPr>
                <w:rFonts w:ascii="Arial" w:hAnsi="Arial" w:cs="Arial"/>
                <w:b/>
                <w:sz w:val="20"/>
                <w:szCs w:val="20"/>
              </w:rPr>
            </w:pPr>
            <w:r w:rsidRPr="00425897">
              <w:rPr>
                <w:rFonts w:ascii="Arial" w:hAnsi="Arial" w:cs="Arial"/>
                <w:b/>
                <w:sz w:val="20"/>
                <w:szCs w:val="20"/>
              </w:rPr>
              <w:t>&lt;.0001</w:t>
            </w:r>
          </w:p>
        </w:tc>
        <w:tc>
          <w:tcPr>
            <w:tcW w:w="1081" w:type="dxa"/>
            <w:tcBorders>
              <w:top w:val="nil"/>
            </w:tcBorders>
          </w:tcPr>
          <w:p w14:paraId="556DD695" w14:textId="77777777" w:rsidR="002D5CC6" w:rsidRPr="00425897" w:rsidRDefault="002D5CC6" w:rsidP="00F17D6A">
            <w:pPr>
              <w:jc w:val="both"/>
              <w:rPr>
                <w:rFonts w:ascii="Arial" w:hAnsi="Arial" w:cs="Arial"/>
                <w:sz w:val="20"/>
                <w:szCs w:val="20"/>
              </w:rPr>
            </w:pPr>
            <w:r w:rsidRPr="00425897">
              <w:rPr>
                <w:rFonts w:ascii="Arial" w:hAnsi="Arial" w:cs="Arial"/>
                <w:sz w:val="20"/>
                <w:szCs w:val="20"/>
              </w:rPr>
              <w:t>0.4340</w:t>
            </w:r>
          </w:p>
        </w:tc>
        <w:tc>
          <w:tcPr>
            <w:tcW w:w="1144" w:type="dxa"/>
            <w:tcBorders>
              <w:top w:val="nil"/>
            </w:tcBorders>
          </w:tcPr>
          <w:p w14:paraId="71CE0810" w14:textId="6BD9732B" w:rsidR="002D5CC6" w:rsidRPr="00425897" w:rsidRDefault="002D5CC6" w:rsidP="00F17D6A">
            <w:pPr>
              <w:jc w:val="both"/>
              <w:rPr>
                <w:rFonts w:ascii="Arial" w:hAnsi="Arial" w:cs="Arial"/>
                <w:b/>
                <w:sz w:val="20"/>
                <w:szCs w:val="20"/>
              </w:rPr>
            </w:pPr>
            <w:r w:rsidRPr="00425897">
              <w:rPr>
                <w:rFonts w:ascii="Arial" w:hAnsi="Arial" w:cs="Arial"/>
                <w:b/>
                <w:sz w:val="20"/>
                <w:szCs w:val="20"/>
              </w:rPr>
              <w:t>&lt;.0001</w:t>
            </w:r>
          </w:p>
        </w:tc>
      </w:tr>
      <w:tr w:rsidR="002D5CC6" w:rsidRPr="00425897" w14:paraId="6AE34062" w14:textId="77777777" w:rsidTr="000D372A">
        <w:trPr>
          <w:trHeight w:val="233"/>
        </w:trPr>
        <w:tc>
          <w:tcPr>
            <w:tcW w:w="898" w:type="dxa"/>
          </w:tcPr>
          <w:p w14:paraId="26E607AB" w14:textId="77777777" w:rsidR="002D5CC6" w:rsidRPr="00425897" w:rsidRDefault="002D5CC6" w:rsidP="00F17D6A">
            <w:pPr>
              <w:jc w:val="both"/>
              <w:rPr>
                <w:rFonts w:ascii="Arial" w:hAnsi="Arial" w:cs="Arial"/>
                <w:sz w:val="20"/>
                <w:szCs w:val="20"/>
              </w:rPr>
            </w:pPr>
            <w:r w:rsidRPr="00425897">
              <w:rPr>
                <w:rFonts w:ascii="Arial" w:hAnsi="Arial" w:cs="Arial"/>
                <w:sz w:val="20"/>
                <w:szCs w:val="20"/>
              </w:rPr>
              <w:t>Control</w:t>
            </w:r>
          </w:p>
        </w:tc>
        <w:tc>
          <w:tcPr>
            <w:tcW w:w="1025" w:type="dxa"/>
          </w:tcPr>
          <w:p w14:paraId="61C0F35A" w14:textId="77777777" w:rsidR="002D5CC6" w:rsidRPr="00425897" w:rsidRDefault="002D5CC6" w:rsidP="00F17D6A">
            <w:pPr>
              <w:jc w:val="both"/>
              <w:rPr>
                <w:rFonts w:ascii="Arial" w:hAnsi="Arial" w:cs="Arial"/>
                <w:sz w:val="20"/>
                <w:szCs w:val="20"/>
              </w:rPr>
            </w:pPr>
            <w:r w:rsidRPr="00425897">
              <w:rPr>
                <w:rFonts w:ascii="Arial" w:hAnsi="Arial" w:cs="Arial"/>
                <w:sz w:val="20"/>
                <w:szCs w:val="20"/>
              </w:rPr>
              <w:t>-0.6753</w:t>
            </w:r>
          </w:p>
        </w:tc>
        <w:tc>
          <w:tcPr>
            <w:tcW w:w="996" w:type="dxa"/>
          </w:tcPr>
          <w:p w14:paraId="4244A16E" w14:textId="55C6CB8C" w:rsidR="002D5CC6" w:rsidRPr="00425897" w:rsidRDefault="002D5CC6" w:rsidP="00F17D6A">
            <w:pPr>
              <w:jc w:val="both"/>
              <w:rPr>
                <w:rFonts w:ascii="Arial" w:hAnsi="Arial" w:cs="Arial"/>
                <w:b/>
                <w:sz w:val="20"/>
                <w:szCs w:val="20"/>
              </w:rPr>
            </w:pPr>
            <w:r w:rsidRPr="00425897">
              <w:rPr>
                <w:rFonts w:ascii="Arial" w:hAnsi="Arial" w:cs="Arial"/>
                <w:b/>
                <w:sz w:val="20"/>
                <w:szCs w:val="20"/>
              </w:rPr>
              <w:t>&lt;.0001</w:t>
            </w:r>
          </w:p>
        </w:tc>
        <w:tc>
          <w:tcPr>
            <w:tcW w:w="953" w:type="dxa"/>
          </w:tcPr>
          <w:p w14:paraId="5DF1DBB7" w14:textId="77777777" w:rsidR="002D5CC6" w:rsidRPr="00425897" w:rsidRDefault="002D5CC6" w:rsidP="00F17D6A">
            <w:pPr>
              <w:jc w:val="both"/>
              <w:rPr>
                <w:rFonts w:ascii="Arial" w:hAnsi="Arial" w:cs="Arial"/>
                <w:sz w:val="20"/>
                <w:szCs w:val="20"/>
              </w:rPr>
            </w:pPr>
            <w:r w:rsidRPr="00425897">
              <w:rPr>
                <w:rFonts w:ascii="Arial" w:hAnsi="Arial" w:cs="Arial"/>
                <w:sz w:val="20"/>
                <w:szCs w:val="20"/>
              </w:rPr>
              <w:t>0.2602</w:t>
            </w:r>
          </w:p>
        </w:tc>
        <w:tc>
          <w:tcPr>
            <w:tcW w:w="1145" w:type="dxa"/>
          </w:tcPr>
          <w:p w14:paraId="2286E4C2" w14:textId="458267E4" w:rsidR="002D5CC6" w:rsidRPr="00425897" w:rsidRDefault="002D5CC6" w:rsidP="00F17D6A">
            <w:pPr>
              <w:jc w:val="both"/>
              <w:rPr>
                <w:rFonts w:ascii="Arial" w:hAnsi="Arial" w:cs="Arial"/>
                <w:sz w:val="20"/>
                <w:szCs w:val="20"/>
              </w:rPr>
            </w:pPr>
            <w:r w:rsidRPr="00425897">
              <w:rPr>
                <w:rFonts w:ascii="Arial" w:hAnsi="Arial" w:cs="Arial"/>
                <w:sz w:val="20"/>
                <w:szCs w:val="20"/>
              </w:rPr>
              <w:t>.0680</w:t>
            </w:r>
          </w:p>
        </w:tc>
        <w:tc>
          <w:tcPr>
            <w:tcW w:w="1144" w:type="dxa"/>
          </w:tcPr>
          <w:p w14:paraId="2C02A1D2" w14:textId="77777777" w:rsidR="002D5CC6" w:rsidRPr="00425897" w:rsidRDefault="002D5CC6" w:rsidP="00F17D6A">
            <w:pPr>
              <w:jc w:val="both"/>
              <w:rPr>
                <w:rFonts w:ascii="Arial" w:hAnsi="Arial" w:cs="Arial"/>
                <w:sz w:val="20"/>
                <w:szCs w:val="20"/>
              </w:rPr>
            </w:pPr>
            <w:r w:rsidRPr="00425897">
              <w:rPr>
                <w:rFonts w:ascii="Arial" w:hAnsi="Arial" w:cs="Arial"/>
                <w:sz w:val="20"/>
                <w:szCs w:val="20"/>
              </w:rPr>
              <w:t>0.3169</w:t>
            </w:r>
          </w:p>
        </w:tc>
        <w:tc>
          <w:tcPr>
            <w:tcW w:w="1145" w:type="dxa"/>
          </w:tcPr>
          <w:p w14:paraId="7C06C9BB" w14:textId="5D9E426F" w:rsidR="002D5CC6" w:rsidRPr="00425897" w:rsidRDefault="002D5CC6" w:rsidP="00F17D6A">
            <w:pPr>
              <w:jc w:val="both"/>
              <w:rPr>
                <w:rFonts w:ascii="Arial" w:hAnsi="Arial" w:cs="Arial"/>
                <w:b/>
                <w:sz w:val="20"/>
                <w:szCs w:val="20"/>
              </w:rPr>
            </w:pPr>
            <w:r w:rsidRPr="00425897">
              <w:rPr>
                <w:rFonts w:ascii="Arial" w:hAnsi="Arial" w:cs="Arial"/>
                <w:b/>
                <w:sz w:val="20"/>
                <w:szCs w:val="20"/>
              </w:rPr>
              <w:t>.0249</w:t>
            </w:r>
          </w:p>
        </w:tc>
        <w:tc>
          <w:tcPr>
            <w:tcW w:w="1081" w:type="dxa"/>
          </w:tcPr>
          <w:p w14:paraId="2B75FFF9" w14:textId="77777777" w:rsidR="002D5CC6" w:rsidRPr="00425897" w:rsidRDefault="002D5CC6" w:rsidP="00F17D6A">
            <w:pPr>
              <w:jc w:val="both"/>
              <w:rPr>
                <w:rFonts w:ascii="Arial" w:hAnsi="Arial" w:cs="Arial"/>
                <w:sz w:val="20"/>
                <w:szCs w:val="20"/>
              </w:rPr>
            </w:pPr>
            <w:r w:rsidRPr="00425897">
              <w:rPr>
                <w:rFonts w:ascii="Arial" w:hAnsi="Arial" w:cs="Arial"/>
                <w:sz w:val="20"/>
                <w:szCs w:val="20"/>
              </w:rPr>
              <w:t>0.1721</w:t>
            </w:r>
          </w:p>
        </w:tc>
        <w:tc>
          <w:tcPr>
            <w:tcW w:w="1144" w:type="dxa"/>
          </w:tcPr>
          <w:p w14:paraId="68E9C2CE" w14:textId="1024274B" w:rsidR="002D5CC6" w:rsidRPr="00425897" w:rsidRDefault="002D5CC6" w:rsidP="00F17D6A">
            <w:pPr>
              <w:jc w:val="both"/>
              <w:rPr>
                <w:rFonts w:ascii="Arial" w:hAnsi="Arial" w:cs="Arial"/>
                <w:sz w:val="20"/>
                <w:szCs w:val="20"/>
              </w:rPr>
            </w:pPr>
            <w:r w:rsidRPr="00425897">
              <w:rPr>
                <w:rFonts w:ascii="Arial" w:hAnsi="Arial" w:cs="Arial"/>
                <w:sz w:val="20"/>
                <w:szCs w:val="20"/>
              </w:rPr>
              <w:t>.2321</w:t>
            </w:r>
          </w:p>
        </w:tc>
      </w:tr>
    </w:tbl>
    <w:p w14:paraId="2B29F0DB" w14:textId="7D63BD8F" w:rsidR="002D5CC6" w:rsidRPr="00064DF8" w:rsidRDefault="00F17D6A" w:rsidP="002D5CC6">
      <w:pPr>
        <w:jc w:val="both"/>
        <w:rPr>
          <w:rFonts w:ascii="Arial" w:hAnsi="Arial" w:cs="Arial"/>
          <w:i/>
          <w:iCs/>
        </w:rPr>
      </w:pPr>
      <w:r w:rsidRPr="00064DF8">
        <w:rPr>
          <w:rFonts w:ascii="Arial" w:hAnsi="Arial" w:cs="Arial"/>
          <w:i/>
          <w:iCs/>
        </w:rPr>
        <w:t>p-value in bold showed significant</w:t>
      </w:r>
    </w:p>
    <w:p w14:paraId="5E1CF36B" w14:textId="77777777" w:rsidR="00425897" w:rsidRPr="00425897" w:rsidRDefault="00425897" w:rsidP="00425897">
      <w:pPr>
        <w:jc w:val="both"/>
        <w:rPr>
          <w:rFonts w:ascii="Arial" w:hAnsi="Arial" w:cs="Arial"/>
        </w:rPr>
      </w:pPr>
    </w:p>
    <w:p w14:paraId="071F709D" w14:textId="648A45A8" w:rsidR="00425897" w:rsidRPr="00014AAA" w:rsidRDefault="00C4714E" w:rsidP="00425897">
      <w:pPr>
        <w:jc w:val="both"/>
        <w:rPr>
          <w:rFonts w:ascii="Arial" w:hAnsi="Arial" w:cs="Arial"/>
          <w:b/>
          <w:sz w:val="22"/>
          <w:szCs w:val="22"/>
        </w:rPr>
      </w:pPr>
      <w:r w:rsidRPr="00014AAA">
        <w:rPr>
          <w:rFonts w:ascii="Arial" w:hAnsi="Arial" w:cs="Arial"/>
          <w:b/>
          <w:sz w:val="22"/>
          <w:szCs w:val="22"/>
        </w:rPr>
        <w:t>3.</w:t>
      </w:r>
      <w:r w:rsidR="00064DF8" w:rsidRPr="00014AAA">
        <w:rPr>
          <w:rFonts w:ascii="Arial" w:hAnsi="Arial" w:cs="Arial"/>
          <w:b/>
          <w:sz w:val="22"/>
          <w:szCs w:val="22"/>
        </w:rPr>
        <w:t>4</w:t>
      </w:r>
      <w:r w:rsidR="00E668DA" w:rsidRPr="00014AAA">
        <w:rPr>
          <w:rFonts w:ascii="Arial" w:hAnsi="Arial" w:cs="Arial"/>
          <w:b/>
          <w:sz w:val="22"/>
          <w:szCs w:val="22"/>
        </w:rPr>
        <w:t xml:space="preserve"> </w:t>
      </w:r>
      <w:r w:rsidR="00B847DF" w:rsidRPr="00014AAA">
        <w:rPr>
          <w:rFonts w:ascii="Arial" w:hAnsi="Arial" w:cs="Arial"/>
          <w:b/>
          <w:sz w:val="22"/>
          <w:szCs w:val="22"/>
        </w:rPr>
        <w:t xml:space="preserve">Trend in micronutrients </w:t>
      </w:r>
    </w:p>
    <w:p w14:paraId="5C2FFE85" w14:textId="68B34FFE" w:rsidR="00425897" w:rsidRPr="00425897" w:rsidRDefault="009648B4" w:rsidP="00425897">
      <w:pPr>
        <w:jc w:val="both"/>
        <w:rPr>
          <w:rFonts w:ascii="Arial" w:hAnsi="Arial" w:cs="Arial"/>
        </w:rPr>
      </w:pPr>
      <w:r w:rsidRPr="009648B4">
        <w:rPr>
          <w:rFonts w:ascii="Arial" w:hAnsi="Arial" w:cs="Arial"/>
          <w:b/>
          <w:bCs/>
        </w:rPr>
        <w:t xml:space="preserve">Figures </w:t>
      </w:r>
      <w:r w:rsidR="00727C21" w:rsidRPr="009648B4">
        <w:rPr>
          <w:rFonts w:ascii="Arial" w:hAnsi="Arial" w:cs="Arial"/>
          <w:b/>
          <w:bCs/>
        </w:rPr>
        <w:t>3A to D</w:t>
      </w:r>
      <w:r w:rsidR="00727C21">
        <w:rPr>
          <w:rFonts w:ascii="Arial" w:hAnsi="Arial" w:cs="Arial"/>
        </w:rPr>
        <w:t xml:space="preserve"> represent the trend in the </w:t>
      </w:r>
      <w:r w:rsidR="00D459C0">
        <w:rPr>
          <w:rFonts w:ascii="Arial" w:hAnsi="Arial" w:cs="Arial"/>
        </w:rPr>
        <w:t>micronutrients</w:t>
      </w:r>
      <w:r w:rsidR="00727C21">
        <w:rPr>
          <w:rFonts w:ascii="Arial" w:hAnsi="Arial" w:cs="Arial"/>
        </w:rPr>
        <w:t xml:space="preserve"> using </w:t>
      </w:r>
      <w:r w:rsidR="00CC6A6A">
        <w:rPr>
          <w:rFonts w:ascii="Arial" w:hAnsi="Arial" w:cs="Arial"/>
        </w:rPr>
        <w:t>ages</w:t>
      </w:r>
      <w:r w:rsidR="00727C21">
        <w:rPr>
          <w:rFonts w:ascii="Arial" w:hAnsi="Arial" w:cs="Arial"/>
        </w:rPr>
        <w:t xml:space="preserve">. The graphs show that all the nutrient levels were </w:t>
      </w:r>
      <w:r w:rsidR="00D459C0">
        <w:rPr>
          <w:rFonts w:ascii="Arial" w:hAnsi="Arial" w:cs="Arial"/>
        </w:rPr>
        <w:t>higher</w:t>
      </w:r>
      <w:r w:rsidR="00727C21">
        <w:rPr>
          <w:rFonts w:ascii="Arial" w:hAnsi="Arial" w:cs="Arial"/>
        </w:rPr>
        <w:t xml:space="preserve"> in </w:t>
      </w:r>
      <w:r w:rsidR="005F399B">
        <w:rPr>
          <w:rFonts w:ascii="Arial" w:hAnsi="Arial" w:cs="Arial"/>
        </w:rPr>
        <w:t xml:space="preserve">healthy subjects compared to </w:t>
      </w:r>
      <w:r w:rsidR="00727C21">
        <w:rPr>
          <w:rFonts w:ascii="Arial" w:hAnsi="Arial" w:cs="Arial"/>
        </w:rPr>
        <w:t xml:space="preserve">malaria-infected </w:t>
      </w:r>
      <w:r w:rsidR="00CC6A6A">
        <w:rPr>
          <w:rFonts w:ascii="Arial" w:hAnsi="Arial" w:cs="Arial"/>
        </w:rPr>
        <w:t>subject</w:t>
      </w:r>
      <w:r w:rsidR="005F399B">
        <w:rPr>
          <w:rFonts w:ascii="Arial" w:hAnsi="Arial" w:cs="Arial"/>
        </w:rPr>
        <w:t>s</w:t>
      </w:r>
      <w:r w:rsidR="00727C21">
        <w:rPr>
          <w:rFonts w:ascii="Arial" w:hAnsi="Arial" w:cs="Arial"/>
        </w:rPr>
        <w:t xml:space="preserve">. </w:t>
      </w:r>
      <w:r w:rsidR="00064DF8">
        <w:rPr>
          <w:rFonts w:ascii="Arial" w:hAnsi="Arial" w:cs="Arial"/>
        </w:rPr>
        <w:t>Notably</w:t>
      </w:r>
      <w:r w:rsidR="00727C21">
        <w:rPr>
          <w:rFonts w:ascii="Arial" w:hAnsi="Arial" w:cs="Arial"/>
        </w:rPr>
        <w:t xml:space="preserve">, two </w:t>
      </w:r>
      <w:r w:rsidR="00064DF8">
        <w:rPr>
          <w:rFonts w:ascii="Arial" w:hAnsi="Arial" w:cs="Arial"/>
        </w:rPr>
        <w:t>micronutrients,</w:t>
      </w:r>
      <w:r w:rsidR="00727C21">
        <w:rPr>
          <w:rFonts w:ascii="Arial" w:hAnsi="Arial" w:cs="Arial"/>
        </w:rPr>
        <w:t xml:space="preserve"> calcium and phosphate</w:t>
      </w:r>
      <w:r w:rsidR="00064DF8">
        <w:rPr>
          <w:rFonts w:ascii="Arial" w:hAnsi="Arial" w:cs="Arial"/>
        </w:rPr>
        <w:t>,</w:t>
      </w:r>
      <w:r w:rsidR="00727C21">
        <w:rPr>
          <w:rFonts w:ascii="Arial" w:hAnsi="Arial" w:cs="Arial"/>
        </w:rPr>
        <w:t xml:space="preserve"> after the age of 30 years</w:t>
      </w:r>
      <w:r w:rsidR="005F399B">
        <w:rPr>
          <w:rFonts w:ascii="Arial" w:hAnsi="Arial" w:cs="Arial"/>
        </w:rPr>
        <w:t xml:space="preserve">, </w:t>
      </w:r>
      <w:r w:rsidR="00753DF9">
        <w:rPr>
          <w:rFonts w:ascii="Arial" w:hAnsi="Arial" w:cs="Arial"/>
        </w:rPr>
        <w:t>had</w:t>
      </w:r>
      <w:r w:rsidR="005F399B">
        <w:rPr>
          <w:rFonts w:ascii="Arial" w:hAnsi="Arial" w:cs="Arial"/>
        </w:rPr>
        <w:t xml:space="preserve"> </w:t>
      </w:r>
      <w:r w:rsidR="00DD4E2D">
        <w:rPr>
          <w:rFonts w:ascii="Arial" w:hAnsi="Arial" w:cs="Arial"/>
        </w:rPr>
        <w:t>equal</w:t>
      </w:r>
      <w:r w:rsidR="005F399B">
        <w:rPr>
          <w:rFonts w:ascii="Arial" w:hAnsi="Arial" w:cs="Arial"/>
        </w:rPr>
        <w:t xml:space="preserve"> levels</w:t>
      </w:r>
      <w:r w:rsidR="00DD4E2D">
        <w:rPr>
          <w:rFonts w:ascii="Arial" w:hAnsi="Arial" w:cs="Arial"/>
        </w:rPr>
        <w:t xml:space="preserve">. </w:t>
      </w:r>
      <w:r w:rsidR="00064DF8">
        <w:rPr>
          <w:rFonts w:ascii="Arial" w:hAnsi="Arial" w:cs="Arial"/>
        </w:rPr>
        <w:t>In iron and magnesium, there was a gradual age-dependent increase in the level of these micronutrients.</w:t>
      </w:r>
    </w:p>
    <w:p w14:paraId="0CD413EB" w14:textId="1913FC8C" w:rsidR="00B847DF" w:rsidRDefault="00B847DF" w:rsidP="00425897">
      <w:pPr>
        <w:jc w:val="center"/>
        <w:rPr>
          <w:rFonts w:ascii="Arial" w:hAnsi="Arial" w:cs="Arial"/>
        </w:rPr>
      </w:pPr>
      <w:r>
        <w:rPr>
          <w:rFonts w:ascii="Arial" w:hAnsi="Arial" w:cs="Arial"/>
        </w:rPr>
        <w:t>A</w:t>
      </w:r>
      <w:r w:rsidRPr="00425897">
        <w:rPr>
          <w:rFonts w:ascii="Arial" w:hAnsi="Arial" w:cs="Arial"/>
        </w:rPr>
        <w:object w:dxaOrig="5926" w:dyaOrig="4205" w14:anchorId="4DF3E8C3">
          <v:shape id="_x0000_i1030" type="#_x0000_t75" style="width:162.75pt;height:115.5pt" o:ole="">
            <v:imagedata r:id="rId23" o:title=""/>
          </v:shape>
          <o:OLEObject Type="Embed" ProgID="Prism8.Document" ShapeID="_x0000_i1030" DrawAspect="Content" ObjectID="_1801736080" r:id="rId24"/>
        </w:object>
      </w:r>
      <w:r>
        <w:rPr>
          <w:rFonts w:ascii="Arial" w:hAnsi="Arial" w:cs="Arial"/>
        </w:rPr>
        <w:t>B</w:t>
      </w:r>
      <w:r w:rsidRPr="00425897">
        <w:rPr>
          <w:rFonts w:ascii="Arial" w:hAnsi="Arial" w:cs="Arial"/>
        </w:rPr>
        <w:object w:dxaOrig="6019" w:dyaOrig="4205" w14:anchorId="21356326">
          <v:shape id="_x0000_i1031" type="#_x0000_t75" style="width:192.75pt;height:135pt" o:ole="">
            <v:imagedata r:id="rId25" o:title=""/>
          </v:shape>
          <o:OLEObject Type="Embed" ProgID="Prism8.Document" ShapeID="_x0000_i1031" DrawAspect="Content" ObjectID="_1801736081" r:id="rId26"/>
        </w:object>
      </w:r>
    </w:p>
    <w:p w14:paraId="7442985E" w14:textId="77777777" w:rsidR="00DC12EE" w:rsidRDefault="00DC12EE" w:rsidP="00DC12EE">
      <w:pPr>
        <w:rPr>
          <w:rFonts w:ascii="Arial" w:hAnsi="Arial" w:cs="Arial"/>
        </w:rPr>
      </w:pPr>
    </w:p>
    <w:p w14:paraId="45B21B48" w14:textId="4F9C810E" w:rsidR="00DC12EE" w:rsidRDefault="00FC7BC6" w:rsidP="00DC12EE">
      <w:pPr>
        <w:rPr>
          <w:rFonts w:ascii="Arial" w:hAnsi="Arial" w:cs="Arial"/>
        </w:rPr>
      </w:pPr>
      <w:r>
        <w:rPr>
          <w:rFonts w:ascii="Arial" w:hAnsi="Arial" w:cs="Arial"/>
        </w:rPr>
        <w:tab/>
        <w:t>C</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D</w:t>
      </w:r>
    </w:p>
    <w:p w14:paraId="086FAFEF" w14:textId="3723C573" w:rsidR="00425897" w:rsidRPr="00425897" w:rsidRDefault="00E33AC1" w:rsidP="00DC12EE">
      <w:pPr>
        <w:rPr>
          <w:rFonts w:ascii="Arial" w:hAnsi="Arial" w:cs="Arial"/>
        </w:rPr>
      </w:pPr>
      <w:r>
        <w:rPr>
          <w:rFonts w:ascii="Arial" w:hAnsi="Arial" w:cs="Arial"/>
          <w:noProof/>
        </w:rPr>
        <w:object w:dxaOrig="1440" w:dyaOrig="1440" w14:anchorId="4D5F6BFA">
          <v:shape id="_x0000_s1045" type="#_x0000_t75" style="position:absolute;margin-left:19.25pt;margin-top:.65pt;width:193.85pt;height:134.35pt;z-index:251658240;mso-position-horizontal-relative:text;mso-position-vertical-relative:text">
            <v:imagedata r:id="rId27" o:title=""/>
            <w10:wrap type="square" side="right"/>
          </v:shape>
          <o:OLEObject Type="Embed" ProgID="Prism8.Document" ShapeID="_x0000_s1045" DrawAspect="Content" ObjectID="_1801736087" r:id="rId28"/>
        </w:object>
      </w:r>
      <w:r w:rsidR="00B847DF" w:rsidRPr="00425897">
        <w:rPr>
          <w:rFonts w:ascii="Arial" w:hAnsi="Arial" w:cs="Arial"/>
        </w:rPr>
        <w:object w:dxaOrig="5882" w:dyaOrig="4234" w14:anchorId="18296846">
          <v:shape id="_x0000_i1033" type="#_x0000_t75" style="width:186pt;height:133.5pt" o:ole="">
            <v:imagedata r:id="rId29" o:title=""/>
          </v:shape>
          <o:OLEObject Type="Embed" ProgID="Prism8.Document" ShapeID="_x0000_i1033" DrawAspect="Content" ObjectID="_1801736082" r:id="rId30"/>
        </w:object>
      </w:r>
    </w:p>
    <w:p w14:paraId="57C7520D" w14:textId="77777777" w:rsidR="00425897" w:rsidRDefault="00425897" w:rsidP="00425897">
      <w:pPr>
        <w:jc w:val="both"/>
        <w:rPr>
          <w:rFonts w:ascii="Arial" w:hAnsi="Arial" w:cs="Arial"/>
        </w:rPr>
      </w:pPr>
    </w:p>
    <w:p w14:paraId="6D470763" w14:textId="4C681008" w:rsidR="00B847DF" w:rsidRDefault="00B847DF" w:rsidP="00425897">
      <w:pPr>
        <w:jc w:val="both"/>
        <w:rPr>
          <w:rFonts w:ascii="Arial" w:hAnsi="Arial" w:cs="Arial"/>
        </w:rPr>
      </w:pPr>
      <w:r w:rsidRPr="009648B4">
        <w:rPr>
          <w:rFonts w:ascii="Arial" w:hAnsi="Arial" w:cs="Arial"/>
          <w:b/>
          <w:bCs/>
        </w:rPr>
        <w:t>Figure 3. Trend</w:t>
      </w:r>
      <w:r w:rsidR="00B45E98">
        <w:rPr>
          <w:rFonts w:ascii="Arial" w:hAnsi="Arial" w:cs="Arial"/>
          <w:b/>
          <w:bCs/>
        </w:rPr>
        <w:t>s</w:t>
      </w:r>
      <w:r w:rsidRPr="009648B4">
        <w:rPr>
          <w:rFonts w:ascii="Arial" w:hAnsi="Arial" w:cs="Arial"/>
          <w:b/>
          <w:bCs/>
        </w:rPr>
        <w:t xml:space="preserve"> in micronutrient</w:t>
      </w:r>
      <w:r w:rsidR="00EC45DF" w:rsidRPr="009648B4">
        <w:rPr>
          <w:rFonts w:ascii="Arial" w:hAnsi="Arial" w:cs="Arial"/>
          <w:b/>
          <w:bCs/>
        </w:rPr>
        <w:t xml:space="preserve"> levels in malaria-infected and healthy subjects</w:t>
      </w:r>
      <w:r>
        <w:rPr>
          <w:rFonts w:ascii="Arial" w:hAnsi="Arial" w:cs="Arial"/>
        </w:rPr>
        <w:t xml:space="preserve">. Each point shows the </w:t>
      </w:r>
      <w:r w:rsidR="00BE5077">
        <w:rPr>
          <w:rFonts w:ascii="Arial" w:hAnsi="Arial" w:cs="Arial"/>
        </w:rPr>
        <w:t xml:space="preserve">Mean </w:t>
      </w:r>
      <w:r w:rsidR="00FC7BC6">
        <w:rPr>
          <w:rFonts w:ascii="Arial" w:hAnsi="Arial" w:cs="Arial"/>
        </w:rPr>
        <w:t xml:space="preserve">and </w:t>
      </w:r>
      <w:r w:rsidR="00BE5077">
        <w:rPr>
          <w:rFonts w:ascii="Arial" w:hAnsi="Arial" w:cs="Arial"/>
        </w:rPr>
        <w:t>Standard Deviation</w:t>
      </w:r>
      <w:r w:rsidR="00FC7BC6">
        <w:rPr>
          <w:rFonts w:ascii="Arial" w:hAnsi="Arial" w:cs="Arial"/>
        </w:rPr>
        <w:t>.</w:t>
      </w:r>
    </w:p>
    <w:p w14:paraId="4AEDC569" w14:textId="77777777" w:rsidR="001C5AC0" w:rsidRPr="00425897" w:rsidRDefault="001C5AC0" w:rsidP="00425897">
      <w:pPr>
        <w:jc w:val="both"/>
        <w:rPr>
          <w:rFonts w:ascii="Arial" w:hAnsi="Arial" w:cs="Arial"/>
        </w:rPr>
      </w:pPr>
    </w:p>
    <w:p w14:paraId="14A3A4F3" w14:textId="5B9E8B25" w:rsidR="00425897" w:rsidRPr="00014AAA" w:rsidRDefault="009F7AEC" w:rsidP="00425897">
      <w:pPr>
        <w:jc w:val="both"/>
        <w:rPr>
          <w:rFonts w:ascii="Arial" w:hAnsi="Arial" w:cs="Arial"/>
          <w:b/>
          <w:sz w:val="22"/>
          <w:szCs w:val="22"/>
        </w:rPr>
      </w:pPr>
      <w:r w:rsidRPr="00014AAA">
        <w:rPr>
          <w:rFonts w:ascii="Arial" w:hAnsi="Arial" w:cs="Arial"/>
          <w:b/>
          <w:sz w:val="22"/>
          <w:szCs w:val="22"/>
        </w:rPr>
        <w:t>3</w:t>
      </w:r>
      <w:r w:rsidR="00425897" w:rsidRPr="00014AAA">
        <w:rPr>
          <w:rFonts w:ascii="Arial" w:hAnsi="Arial" w:cs="Arial"/>
          <w:b/>
          <w:sz w:val="22"/>
          <w:szCs w:val="22"/>
        </w:rPr>
        <w:t>.</w:t>
      </w:r>
      <w:r w:rsidR="00064DF8" w:rsidRPr="00014AAA">
        <w:rPr>
          <w:rFonts w:ascii="Arial" w:hAnsi="Arial" w:cs="Arial"/>
          <w:b/>
          <w:sz w:val="22"/>
          <w:szCs w:val="22"/>
        </w:rPr>
        <w:t>5</w:t>
      </w:r>
      <w:r w:rsidRPr="00014AAA">
        <w:rPr>
          <w:rFonts w:ascii="Arial" w:hAnsi="Arial" w:cs="Arial"/>
          <w:b/>
          <w:sz w:val="22"/>
          <w:szCs w:val="22"/>
        </w:rPr>
        <w:t>. E</w:t>
      </w:r>
      <w:r w:rsidR="00425897" w:rsidRPr="00014AAA">
        <w:rPr>
          <w:rFonts w:ascii="Arial" w:hAnsi="Arial" w:cs="Arial"/>
          <w:b/>
          <w:sz w:val="22"/>
          <w:szCs w:val="22"/>
        </w:rPr>
        <w:t xml:space="preserve">ffect </w:t>
      </w:r>
      <w:r w:rsidRPr="00014AAA">
        <w:rPr>
          <w:rFonts w:ascii="Arial" w:hAnsi="Arial" w:cs="Arial"/>
          <w:b/>
          <w:sz w:val="22"/>
          <w:szCs w:val="22"/>
        </w:rPr>
        <w:t>of Sex</w:t>
      </w:r>
      <w:r w:rsidR="00425897" w:rsidRPr="00014AAA">
        <w:rPr>
          <w:rFonts w:ascii="Arial" w:hAnsi="Arial" w:cs="Arial"/>
          <w:b/>
          <w:sz w:val="22"/>
          <w:szCs w:val="22"/>
        </w:rPr>
        <w:t xml:space="preserve"> on Micronutrients in</w:t>
      </w:r>
      <w:r w:rsidRPr="00014AAA">
        <w:rPr>
          <w:rFonts w:ascii="Arial" w:hAnsi="Arial" w:cs="Arial"/>
          <w:b/>
          <w:sz w:val="22"/>
          <w:szCs w:val="22"/>
        </w:rPr>
        <w:t xml:space="preserve"> Healthy and Malaria-Infected </w:t>
      </w:r>
      <w:r w:rsidR="00425897" w:rsidRPr="00014AAA">
        <w:rPr>
          <w:rFonts w:ascii="Arial" w:hAnsi="Arial" w:cs="Arial"/>
          <w:b/>
          <w:sz w:val="22"/>
          <w:szCs w:val="22"/>
        </w:rPr>
        <w:t xml:space="preserve">Patients </w:t>
      </w:r>
    </w:p>
    <w:p w14:paraId="43F163ED" w14:textId="4E20BCB7" w:rsidR="00B847DF" w:rsidRPr="00B847DF" w:rsidRDefault="00B847DF" w:rsidP="00425897">
      <w:pPr>
        <w:jc w:val="both"/>
        <w:rPr>
          <w:rFonts w:ascii="Arial" w:hAnsi="Arial" w:cs="Arial"/>
          <w:bCs/>
        </w:rPr>
      </w:pPr>
      <w:r w:rsidRPr="00064DF8">
        <w:rPr>
          <w:rFonts w:ascii="Arial" w:hAnsi="Arial" w:cs="Arial"/>
          <w:b/>
        </w:rPr>
        <w:t>Figure</w:t>
      </w:r>
      <w:r w:rsidR="009F7AEC" w:rsidRPr="00064DF8">
        <w:rPr>
          <w:rFonts w:ascii="Arial" w:hAnsi="Arial" w:cs="Arial"/>
          <w:b/>
        </w:rPr>
        <w:t>s</w:t>
      </w:r>
      <w:r w:rsidRPr="00064DF8">
        <w:rPr>
          <w:rFonts w:ascii="Arial" w:hAnsi="Arial" w:cs="Arial"/>
          <w:b/>
        </w:rPr>
        <w:t xml:space="preserve"> </w:t>
      </w:r>
      <w:r w:rsidR="00EC45DF" w:rsidRPr="00064DF8">
        <w:rPr>
          <w:rFonts w:ascii="Arial" w:hAnsi="Arial" w:cs="Arial"/>
          <w:b/>
        </w:rPr>
        <w:t>4A to D</w:t>
      </w:r>
      <w:r w:rsidR="00EC45DF">
        <w:rPr>
          <w:rFonts w:ascii="Arial" w:hAnsi="Arial" w:cs="Arial"/>
          <w:bCs/>
        </w:rPr>
        <w:t xml:space="preserve"> showed a sub-characterization of the micronutrient level in male and female patients. This sex-based comparison helps to further provide more specific comparative levels of the micronutrients. The micronutrient levels were higher in control than malaria-infected patients for both males and females. </w:t>
      </w:r>
    </w:p>
    <w:p w14:paraId="2AAD7EF2" w14:textId="198AC09C" w:rsidR="00425897" w:rsidRPr="00425897" w:rsidRDefault="00B847DF" w:rsidP="00425897">
      <w:pPr>
        <w:jc w:val="both"/>
        <w:rPr>
          <w:rFonts w:ascii="Arial" w:hAnsi="Arial" w:cs="Arial"/>
        </w:rPr>
      </w:pPr>
      <w:r>
        <w:rPr>
          <w:rFonts w:ascii="Arial" w:hAnsi="Arial" w:cs="Arial"/>
        </w:rPr>
        <w:lastRenderedPageBreak/>
        <w:t>A</w:t>
      </w:r>
      <w:r w:rsidR="00296344" w:rsidRPr="00425897">
        <w:rPr>
          <w:rFonts w:ascii="Arial" w:hAnsi="Arial" w:cs="Arial"/>
        </w:rPr>
        <w:object w:dxaOrig="5822" w:dyaOrig="4378" w14:anchorId="0791F324">
          <v:shape id="_x0000_i1034" type="#_x0000_t75" style="width:175.5pt;height:132pt" o:ole="">
            <v:imagedata r:id="rId31" o:title=""/>
          </v:shape>
          <o:OLEObject Type="Embed" ProgID="Prism8.Document" ShapeID="_x0000_i1034" DrawAspect="Content" ObjectID="_1801736083" r:id="rId32"/>
        </w:object>
      </w:r>
      <w:r>
        <w:rPr>
          <w:rFonts w:ascii="Arial" w:hAnsi="Arial" w:cs="Arial"/>
        </w:rPr>
        <w:t>B</w:t>
      </w:r>
      <w:r w:rsidRPr="00425897">
        <w:rPr>
          <w:rFonts w:ascii="Arial" w:hAnsi="Arial" w:cs="Arial"/>
        </w:rPr>
        <w:object w:dxaOrig="5969" w:dyaOrig="4224" w14:anchorId="052957EA">
          <v:shape id="_x0000_i1035" type="#_x0000_t75" style="width:210.75pt;height:149.25pt" o:ole="">
            <v:imagedata r:id="rId33" o:title=""/>
          </v:shape>
          <o:OLEObject Type="Embed" ProgID="Prism8.Document" ShapeID="_x0000_i1035" DrawAspect="Content" ObjectID="_1801736084" r:id="rId34"/>
        </w:object>
      </w:r>
    </w:p>
    <w:p w14:paraId="5E17B11B" w14:textId="0019AAA2" w:rsidR="00425897" w:rsidRPr="00425897" w:rsidRDefault="00B847DF" w:rsidP="00425897">
      <w:pPr>
        <w:jc w:val="both"/>
        <w:rPr>
          <w:rFonts w:ascii="Arial" w:hAnsi="Arial" w:cs="Arial"/>
        </w:rPr>
      </w:pPr>
      <w:r>
        <w:rPr>
          <w:rFonts w:ascii="Arial" w:hAnsi="Arial" w:cs="Arial"/>
        </w:rPr>
        <w:t>C</w:t>
      </w:r>
      <w:r w:rsidRPr="00425897">
        <w:rPr>
          <w:rFonts w:ascii="Arial" w:hAnsi="Arial" w:cs="Arial"/>
        </w:rPr>
        <w:object w:dxaOrig="6019" w:dyaOrig="3936" w14:anchorId="1E1E6974">
          <v:shape id="_x0000_i1036" type="#_x0000_t75" style="width:176.25pt;height:115.5pt" o:ole="">
            <v:imagedata r:id="rId35" o:title=""/>
          </v:shape>
          <o:OLEObject Type="Embed" ProgID="Prism8.Document" ShapeID="_x0000_i1036" DrawAspect="Content" ObjectID="_1801736085" r:id="rId36"/>
        </w:object>
      </w:r>
      <w:r>
        <w:rPr>
          <w:rFonts w:ascii="Arial" w:hAnsi="Arial" w:cs="Arial"/>
        </w:rPr>
        <w:t>D</w:t>
      </w:r>
      <w:r w:rsidRPr="00425897">
        <w:rPr>
          <w:rFonts w:ascii="Arial" w:hAnsi="Arial" w:cs="Arial"/>
        </w:rPr>
        <w:object w:dxaOrig="5926" w:dyaOrig="3907" w14:anchorId="0FC03886">
          <v:shape id="_x0000_i1037" type="#_x0000_t75" style="width:182.25pt;height:119.25pt" o:ole="">
            <v:imagedata r:id="rId37" o:title=""/>
          </v:shape>
          <o:OLEObject Type="Embed" ProgID="Prism8.Document" ShapeID="_x0000_i1037" DrawAspect="Content" ObjectID="_1801736086" r:id="rId38"/>
        </w:object>
      </w:r>
    </w:p>
    <w:p w14:paraId="4DF2465A" w14:textId="77777777" w:rsidR="00425897" w:rsidRPr="00425897" w:rsidRDefault="00425897" w:rsidP="00425897">
      <w:pPr>
        <w:jc w:val="both"/>
        <w:rPr>
          <w:rFonts w:ascii="Arial" w:hAnsi="Arial" w:cs="Arial"/>
        </w:rPr>
      </w:pPr>
    </w:p>
    <w:p w14:paraId="6281D9F6" w14:textId="16F39DF5" w:rsidR="00425897" w:rsidRPr="00425897" w:rsidRDefault="00B847DF" w:rsidP="00425897">
      <w:pPr>
        <w:jc w:val="both"/>
        <w:rPr>
          <w:rFonts w:ascii="Arial" w:hAnsi="Arial" w:cs="Arial"/>
        </w:rPr>
      </w:pPr>
      <w:r w:rsidRPr="009648B4">
        <w:rPr>
          <w:rFonts w:ascii="Arial" w:hAnsi="Arial" w:cs="Arial"/>
          <w:b/>
          <w:bCs/>
        </w:rPr>
        <w:t>Figure 4</w:t>
      </w:r>
      <w:r w:rsidR="00FC7BC6" w:rsidRPr="009648B4">
        <w:rPr>
          <w:rFonts w:ascii="Arial" w:hAnsi="Arial" w:cs="Arial"/>
          <w:b/>
          <w:bCs/>
        </w:rPr>
        <w:t xml:space="preserve">. Level of micronutrients based on </w:t>
      </w:r>
      <w:r w:rsidR="00B37423">
        <w:rPr>
          <w:rFonts w:ascii="Arial" w:hAnsi="Arial" w:cs="Arial"/>
          <w:b/>
          <w:bCs/>
        </w:rPr>
        <w:t>sex</w:t>
      </w:r>
      <w:r w:rsidR="00FC7BC6">
        <w:rPr>
          <w:rFonts w:ascii="Arial" w:hAnsi="Arial" w:cs="Arial"/>
        </w:rPr>
        <w:t xml:space="preserve">. </w:t>
      </w:r>
    </w:p>
    <w:p w14:paraId="19076C8D" w14:textId="77777777" w:rsidR="009648B4" w:rsidRDefault="009648B4" w:rsidP="00441B6F">
      <w:pPr>
        <w:pStyle w:val="Body"/>
        <w:spacing w:after="0"/>
        <w:rPr>
          <w:rFonts w:ascii="Arial" w:hAnsi="Arial" w:cs="Arial"/>
        </w:rPr>
      </w:pPr>
    </w:p>
    <w:p w14:paraId="087A9B86" w14:textId="77777777" w:rsidR="009648B4" w:rsidRPr="00425897" w:rsidRDefault="009648B4" w:rsidP="00441B6F">
      <w:pPr>
        <w:pStyle w:val="Body"/>
        <w:spacing w:after="0"/>
        <w:rPr>
          <w:rFonts w:ascii="Arial" w:hAnsi="Arial" w:cs="Arial"/>
        </w:rPr>
      </w:pPr>
    </w:p>
    <w:p w14:paraId="29D48F86" w14:textId="4CF829A6" w:rsidR="00FC7BC6" w:rsidRPr="00FB3A86" w:rsidRDefault="009F7AEC" w:rsidP="00FC7BC6">
      <w:pPr>
        <w:pStyle w:val="Head1"/>
        <w:spacing w:after="0"/>
        <w:jc w:val="both"/>
        <w:rPr>
          <w:rFonts w:ascii="Arial" w:hAnsi="Arial" w:cs="Arial"/>
        </w:rPr>
      </w:pPr>
      <w:r>
        <w:rPr>
          <w:rFonts w:ascii="Arial" w:hAnsi="Arial" w:cs="Arial"/>
        </w:rPr>
        <w:t>4</w:t>
      </w:r>
      <w:r w:rsidR="00FC7BC6">
        <w:rPr>
          <w:rFonts w:ascii="Arial" w:hAnsi="Arial" w:cs="Arial"/>
        </w:rPr>
        <w:t>. DisCUSION</w:t>
      </w:r>
    </w:p>
    <w:p w14:paraId="7C84562C" w14:textId="77777777" w:rsidR="00FC7BC6" w:rsidRDefault="00FC7BC6" w:rsidP="00FC7BC6">
      <w:pPr>
        <w:pStyle w:val="Body"/>
        <w:spacing w:after="0"/>
        <w:rPr>
          <w:rFonts w:ascii="Arial" w:hAnsi="Arial" w:cs="Arial"/>
        </w:rPr>
      </w:pPr>
    </w:p>
    <w:p w14:paraId="0E7735D6" w14:textId="74E35699" w:rsidR="00C35147" w:rsidRDefault="00FC7BC6" w:rsidP="00C35147">
      <w:pPr>
        <w:pStyle w:val="Body"/>
        <w:rPr>
          <w:rFonts w:ascii="Arial" w:hAnsi="Arial" w:cs="Arial"/>
        </w:rPr>
      </w:pPr>
      <w:r>
        <w:rPr>
          <w:rFonts w:ascii="Arial" w:hAnsi="Arial" w:cs="Arial"/>
        </w:rPr>
        <w:t>Malaria is</w:t>
      </w:r>
      <w:r w:rsidR="00811541">
        <w:rPr>
          <w:rFonts w:ascii="Arial" w:hAnsi="Arial" w:cs="Arial"/>
        </w:rPr>
        <w:t xml:space="preserve"> an</w:t>
      </w:r>
      <w:r>
        <w:rPr>
          <w:rFonts w:ascii="Arial" w:hAnsi="Arial" w:cs="Arial"/>
        </w:rPr>
        <w:t xml:space="preserve"> endemic </w:t>
      </w:r>
      <w:r w:rsidR="00811541">
        <w:rPr>
          <w:rFonts w:ascii="Arial" w:hAnsi="Arial" w:cs="Arial"/>
        </w:rPr>
        <w:t xml:space="preserve">infection </w:t>
      </w:r>
      <w:r>
        <w:rPr>
          <w:rFonts w:ascii="Arial" w:hAnsi="Arial" w:cs="Arial"/>
        </w:rPr>
        <w:t xml:space="preserve">in many tropical regions </w:t>
      </w:r>
      <w:r w:rsidR="00B11EAE">
        <w:rPr>
          <w:rFonts w:ascii="Arial" w:hAnsi="Arial" w:cs="Arial"/>
        </w:rPr>
        <w:t>of</w:t>
      </w:r>
      <w:r>
        <w:rPr>
          <w:rFonts w:ascii="Arial" w:hAnsi="Arial" w:cs="Arial"/>
        </w:rPr>
        <w:t xml:space="preserve"> the world but very few </w:t>
      </w:r>
      <w:r w:rsidR="00BE5077">
        <w:rPr>
          <w:rFonts w:ascii="Arial" w:hAnsi="Arial" w:cs="Arial"/>
        </w:rPr>
        <w:t>studies</w:t>
      </w:r>
      <w:r>
        <w:rPr>
          <w:rFonts w:ascii="Arial" w:hAnsi="Arial" w:cs="Arial"/>
        </w:rPr>
        <w:t xml:space="preserve"> have </w:t>
      </w:r>
      <w:r w:rsidR="00BE5077">
        <w:rPr>
          <w:rFonts w:ascii="Arial" w:hAnsi="Arial" w:cs="Arial"/>
        </w:rPr>
        <w:t>att</w:t>
      </w:r>
      <w:r w:rsidR="00B11EAE">
        <w:rPr>
          <w:rFonts w:ascii="Arial" w:hAnsi="Arial" w:cs="Arial"/>
        </w:rPr>
        <w:t>empted</w:t>
      </w:r>
      <w:r>
        <w:rPr>
          <w:rFonts w:ascii="Arial" w:hAnsi="Arial" w:cs="Arial"/>
        </w:rPr>
        <w:t xml:space="preserve"> to characterize the population </w:t>
      </w:r>
      <w:r w:rsidR="00B14E93">
        <w:rPr>
          <w:rFonts w:ascii="Arial" w:hAnsi="Arial" w:cs="Arial"/>
        </w:rPr>
        <w:t>micronutrient</w:t>
      </w:r>
      <w:r>
        <w:rPr>
          <w:rFonts w:ascii="Arial" w:hAnsi="Arial" w:cs="Arial"/>
        </w:rPr>
        <w:t xml:space="preserve"> status of people infected with malaria.</w:t>
      </w:r>
      <w:r w:rsidR="00EC45DF">
        <w:rPr>
          <w:rFonts w:ascii="Arial" w:hAnsi="Arial" w:cs="Arial"/>
        </w:rPr>
        <w:t xml:space="preserve"> </w:t>
      </w:r>
      <w:r w:rsidR="00B11EAE">
        <w:rPr>
          <w:rFonts w:ascii="Arial" w:hAnsi="Arial" w:cs="Arial"/>
        </w:rPr>
        <w:t xml:space="preserve">The current study varies from previous studies by considering both children and adult populations while previous investigations considered either of these populations (Benzacry et al., 2016, Dinga et al., 2024). Also, this study introduces some new micronutrients which have been overlooked such as phosphate, calcium and magnesium. Instead, most studies focus on iron since it is the major cause of anemia (Dinga et al., 2024). The </w:t>
      </w:r>
      <w:r w:rsidR="006E50A6">
        <w:rPr>
          <w:rFonts w:ascii="Arial" w:hAnsi="Arial" w:cs="Arial"/>
        </w:rPr>
        <w:t>reasons</w:t>
      </w:r>
      <w:r w:rsidR="00B11EAE">
        <w:rPr>
          <w:rFonts w:ascii="Arial" w:hAnsi="Arial" w:cs="Arial"/>
        </w:rPr>
        <w:t xml:space="preserve"> for the</w:t>
      </w:r>
      <w:r w:rsidR="00C1371F">
        <w:rPr>
          <w:rFonts w:ascii="Arial" w:hAnsi="Arial" w:cs="Arial"/>
        </w:rPr>
        <w:t>ir</w:t>
      </w:r>
      <w:r w:rsidR="00B11EAE">
        <w:rPr>
          <w:rFonts w:ascii="Arial" w:hAnsi="Arial" w:cs="Arial"/>
        </w:rPr>
        <w:t xml:space="preserve"> deliberate focus on iron in malaria</w:t>
      </w:r>
      <w:r w:rsidR="002E1EED">
        <w:rPr>
          <w:rFonts w:ascii="Arial" w:hAnsi="Arial" w:cs="Arial"/>
        </w:rPr>
        <w:t xml:space="preserve">-infected </w:t>
      </w:r>
      <w:r w:rsidR="00B11EAE">
        <w:rPr>
          <w:rFonts w:ascii="Arial" w:hAnsi="Arial" w:cs="Arial"/>
        </w:rPr>
        <w:t xml:space="preserve">patients </w:t>
      </w:r>
      <w:r w:rsidR="00C1371F">
        <w:rPr>
          <w:rFonts w:ascii="Arial" w:hAnsi="Arial" w:cs="Arial"/>
        </w:rPr>
        <w:t>stem from</w:t>
      </w:r>
      <w:r w:rsidR="00B11EAE">
        <w:rPr>
          <w:rFonts w:ascii="Arial" w:hAnsi="Arial" w:cs="Arial"/>
        </w:rPr>
        <w:t xml:space="preserve"> its direct </w:t>
      </w:r>
      <w:r w:rsidR="00C1371F">
        <w:rPr>
          <w:rFonts w:ascii="Arial" w:hAnsi="Arial" w:cs="Arial"/>
        </w:rPr>
        <w:t>interference</w:t>
      </w:r>
      <w:r w:rsidR="00B11EAE">
        <w:rPr>
          <w:rFonts w:ascii="Arial" w:hAnsi="Arial" w:cs="Arial"/>
        </w:rPr>
        <w:t xml:space="preserve"> in red cell formation which </w:t>
      </w:r>
      <w:r w:rsidR="00C1371F">
        <w:rPr>
          <w:rFonts w:ascii="Arial" w:hAnsi="Arial" w:cs="Arial"/>
        </w:rPr>
        <w:t>results in their destruction</w:t>
      </w:r>
      <w:r w:rsidR="00B11EAE">
        <w:rPr>
          <w:rFonts w:ascii="Arial" w:hAnsi="Arial" w:cs="Arial"/>
        </w:rPr>
        <w:t xml:space="preserve"> during malaria infection pathogenesis (</w:t>
      </w:r>
      <w:proofErr w:type="spellStart"/>
      <w:r w:rsidR="00C35147" w:rsidRPr="00C35147">
        <w:rPr>
          <w:rFonts w:ascii="Arial" w:hAnsi="Arial" w:cs="Arial"/>
        </w:rPr>
        <w:t>Spottiswoode</w:t>
      </w:r>
      <w:proofErr w:type="spellEnd"/>
      <w:r w:rsidR="00C35147">
        <w:rPr>
          <w:rFonts w:ascii="Arial" w:hAnsi="Arial" w:cs="Arial"/>
        </w:rPr>
        <w:t xml:space="preserve"> et al., 2014)</w:t>
      </w:r>
      <w:r w:rsidR="00B11EAE">
        <w:rPr>
          <w:rFonts w:ascii="Arial" w:hAnsi="Arial" w:cs="Arial"/>
        </w:rPr>
        <w:t>.</w:t>
      </w:r>
      <w:r w:rsidR="003F65FE">
        <w:rPr>
          <w:rFonts w:ascii="Arial" w:hAnsi="Arial" w:cs="Arial"/>
        </w:rPr>
        <w:t xml:space="preserve"> </w:t>
      </w:r>
    </w:p>
    <w:p w14:paraId="425EA098" w14:textId="3E765D4D" w:rsidR="003F65FE" w:rsidRDefault="00C35147" w:rsidP="00C35147">
      <w:pPr>
        <w:pStyle w:val="Body"/>
        <w:rPr>
          <w:rFonts w:ascii="Arial" w:hAnsi="Arial" w:cs="Arial"/>
        </w:rPr>
      </w:pPr>
      <w:r>
        <w:rPr>
          <w:rFonts w:ascii="Arial" w:hAnsi="Arial" w:cs="Arial"/>
        </w:rPr>
        <w:t xml:space="preserve">This study demonstrated significantly higher levels of iron, calcium, magnesium and phosphate parameters in healthy </w:t>
      </w:r>
      <w:r w:rsidRPr="00DF5E9F">
        <w:rPr>
          <w:rFonts w:ascii="Arial" w:hAnsi="Arial" w:cs="Arial"/>
        </w:rPr>
        <w:t>subjects compared to malaria</w:t>
      </w:r>
      <w:r w:rsidR="00A3245E">
        <w:rPr>
          <w:rFonts w:ascii="Arial" w:hAnsi="Arial" w:cs="Arial"/>
        </w:rPr>
        <w:t>-</w:t>
      </w:r>
      <w:r w:rsidRPr="00DF5E9F">
        <w:rPr>
          <w:rFonts w:ascii="Arial" w:hAnsi="Arial" w:cs="Arial"/>
        </w:rPr>
        <w:t>infected subjects.</w:t>
      </w:r>
      <w:r w:rsidR="006B78B9" w:rsidRPr="00DF5E9F">
        <w:rPr>
          <w:rFonts w:ascii="Arial" w:hAnsi="Arial" w:cs="Arial"/>
        </w:rPr>
        <w:t xml:space="preserve"> These results suggest that malaria has a negative impact on the level of these micronutrients in the body.</w:t>
      </w:r>
      <w:r w:rsidRPr="00DF5E9F">
        <w:rPr>
          <w:rFonts w:ascii="Arial" w:hAnsi="Arial" w:cs="Arial"/>
        </w:rPr>
        <w:t xml:space="preserve"> These results align with previous studies</w:t>
      </w:r>
      <w:r w:rsidR="00E2341A" w:rsidRPr="00DF5E9F">
        <w:rPr>
          <w:rFonts w:ascii="Arial" w:hAnsi="Arial" w:cs="Arial"/>
        </w:rPr>
        <w:t xml:space="preserve"> </w:t>
      </w:r>
      <w:r w:rsidR="006B78B9" w:rsidRPr="00DF5E9F">
        <w:rPr>
          <w:rFonts w:ascii="Arial" w:hAnsi="Arial" w:cs="Arial"/>
        </w:rPr>
        <w:t>on the reduction of some micronutrient levels (Tyagi et al., 2017)</w:t>
      </w:r>
      <w:r w:rsidRPr="00DF5E9F">
        <w:rPr>
          <w:rFonts w:ascii="Arial" w:hAnsi="Arial" w:cs="Arial"/>
        </w:rPr>
        <w:t>.</w:t>
      </w:r>
      <w:r w:rsidR="00DF5E9F" w:rsidRPr="00DF5E9F">
        <w:rPr>
          <w:rFonts w:ascii="Arial" w:hAnsi="Arial" w:cs="Arial"/>
        </w:rPr>
        <w:t xml:space="preserve"> Lower levels of these micronutrients could also be attributed to inadequate intake, impaired intestinal absorption and renal wasting (Barbagallo et al., 2021).</w:t>
      </w:r>
      <w:r w:rsidRPr="00DF5E9F">
        <w:rPr>
          <w:rFonts w:ascii="Arial" w:hAnsi="Arial" w:cs="Arial"/>
        </w:rPr>
        <w:t xml:space="preserve"> </w:t>
      </w:r>
      <w:r w:rsidR="00ED3C5D" w:rsidRPr="00DF5E9F">
        <w:rPr>
          <w:rFonts w:ascii="Arial" w:hAnsi="Arial" w:cs="Arial"/>
        </w:rPr>
        <w:t>The low level of iron in malaria-infected subjects has been associated with key roles of iron in the electron transport chain</w:t>
      </w:r>
      <w:r w:rsidR="00ED3C5D">
        <w:rPr>
          <w:rFonts w:ascii="Arial" w:hAnsi="Arial" w:cs="Arial"/>
        </w:rPr>
        <w:t xml:space="preserve"> of prokaryotes</w:t>
      </w:r>
      <w:r w:rsidR="003A2250">
        <w:rPr>
          <w:rFonts w:ascii="Arial" w:hAnsi="Arial" w:cs="Arial"/>
        </w:rPr>
        <w:t xml:space="preserve"> (</w:t>
      </w:r>
      <w:r w:rsidR="003A2250" w:rsidRPr="003A2250">
        <w:rPr>
          <w:rFonts w:ascii="Arial" w:hAnsi="Arial" w:cs="Arial"/>
        </w:rPr>
        <w:t>Wunderlich</w:t>
      </w:r>
      <w:r w:rsidR="003A2250">
        <w:rPr>
          <w:rFonts w:ascii="Arial" w:hAnsi="Arial" w:cs="Arial"/>
        </w:rPr>
        <w:t xml:space="preserve"> et al., 2024)</w:t>
      </w:r>
      <w:r w:rsidR="00ED3C5D">
        <w:rPr>
          <w:rFonts w:ascii="Arial" w:hAnsi="Arial" w:cs="Arial"/>
        </w:rPr>
        <w:t xml:space="preserve">. Hence, </w:t>
      </w:r>
      <w:r w:rsidR="00A3245E">
        <w:rPr>
          <w:rFonts w:ascii="Arial" w:hAnsi="Arial" w:cs="Arial"/>
        </w:rPr>
        <w:t xml:space="preserve">the </w:t>
      </w:r>
      <w:r w:rsidR="00ED3C5D">
        <w:rPr>
          <w:rFonts w:ascii="Arial" w:hAnsi="Arial" w:cs="Arial"/>
        </w:rPr>
        <w:t xml:space="preserve">absence of iron serves as a limiting factor to the growth of these microorganisms. </w:t>
      </w:r>
    </w:p>
    <w:p w14:paraId="52A37E59" w14:textId="72E80704" w:rsidR="00CD402B" w:rsidRDefault="003A2250" w:rsidP="00C35147">
      <w:pPr>
        <w:pStyle w:val="Body"/>
        <w:rPr>
          <w:rFonts w:ascii="Arial" w:hAnsi="Arial" w:cs="Arial"/>
        </w:rPr>
      </w:pPr>
      <w:r>
        <w:rPr>
          <w:rFonts w:ascii="Arial" w:hAnsi="Arial" w:cs="Arial"/>
        </w:rPr>
        <w:t>In some studies, iron deficiency has been attributed to having protective effects in children and pregnant women</w:t>
      </w:r>
      <w:r w:rsidR="009A2AAF">
        <w:rPr>
          <w:rFonts w:ascii="Arial" w:hAnsi="Arial" w:cs="Arial"/>
        </w:rPr>
        <w:t xml:space="preserve"> (</w:t>
      </w:r>
      <w:proofErr w:type="spellStart"/>
      <w:r w:rsidR="009A2AAF">
        <w:rPr>
          <w:rFonts w:ascii="Arial" w:hAnsi="Arial" w:cs="Arial"/>
        </w:rPr>
        <w:t>Gwamaka</w:t>
      </w:r>
      <w:proofErr w:type="spellEnd"/>
      <w:r w:rsidR="009A2AAF">
        <w:rPr>
          <w:rFonts w:ascii="Arial" w:hAnsi="Arial" w:cs="Arial"/>
        </w:rPr>
        <w:t xml:space="preserve"> et al., 2012)</w:t>
      </w:r>
      <w:r>
        <w:rPr>
          <w:rFonts w:ascii="Arial" w:hAnsi="Arial" w:cs="Arial"/>
        </w:rPr>
        <w:t xml:space="preserve">. </w:t>
      </w:r>
      <w:r w:rsidR="009A2AAF">
        <w:rPr>
          <w:rFonts w:ascii="Arial" w:hAnsi="Arial" w:cs="Arial"/>
        </w:rPr>
        <w:t>Maternal iron deficiency</w:t>
      </w:r>
      <w:r>
        <w:rPr>
          <w:rFonts w:ascii="Arial" w:hAnsi="Arial" w:cs="Arial"/>
        </w:rPr>
        <w:t xml:space="preserve"> has even resulted in</w:t>
      </w:r>
      <w:r w:rsidR="00A3245E">
        <w:rPr>
          <w:rFonts w:ascii="Arial" w:hAnsi="Arial" w:cs="Arial"/>
        </w:rPr>
        <w:t xml:space="preserve"> </w:t>
      </w:r>
      <w:r w:rsidR="00A3245E">
        <w:rPr>
          <w:rFonts w:ascii="Arial" w:hAnsi="Arial" w:cs="Arial"/>
        </w:rPr>
        <w:lastRenderedPageBreak/>
        <w:t xml:space="preserve">a </w:t>
      </w:r>
      <w:r>
        <w:rPr>
          <w:rFonts w:ascii="Arial" w:hAnsi="Arial" w:cs="Arial"/>
        </w:rPr>
        <w:t xml:space="preserve">more than 5-fold decrease in placental malaria </w:t>
      </w:r>
      <w:r w:rsidR="009A2AAF">
        <w:rPr>
          <w:rFonts w:ascii="Arial" w:hAnsi="Arial" w:cs="Arial"/>
        </w:rPr>
        <w:t>(</w:t>
      </w:r>
      <w:proofErr w:type="spellStart"/>
      <w:r w:rsidR="009A2AAF">
        <w:rPr>
          <w:rFonts w:ascii="Arial" w:hAnsi="Arial" w:cs="Arial"/>
        </w:rPr>
        <w:t>Kabyemela</w:t>
      </w:r>
      <w:proofErr w:type="spellEnd"/>
      <w:r w:rsidR="009A2AAF">
        <w:rPr>
          <w:rFonts w:ascii="Arial" w:hAnsi="Arial" w:cs="Arial"/>
        </w:rPr>
        <w:t xml:space="preserve"> et al., 2008). </w:t>
      </w:r>
      <w:r w:rsidR="007B321F">
        <w:rPr>
          <w:rFonts w:ascii="Arial" w:hAnsi="Arial" w:cs="Arial"/>
        </w:rPr>
        <w:t>Similarly, several studies have suggested that external supplementation of iron exacerbates malaria (</w:t>
      </w:r>
      <w:proofErr w:type="spellStart"/>
      <w:r w:rsidR="007B321F" w:rsidRPr="007B321F">
        <w:rPr>
          <w:rFonts w:ascii="Arial" w:hAnsi="Arial" w:cs="Arial"/>
        </w:rPr>
        <w:t>Gwamaka</w:t>
      </w:r>
      <w:proofErr w:type="spellEnd"/>
      <w:r w:rsidR="007B321F">
        <w:rPr>
          <w:rFonts w:ascii="Arial" w:hAnsi="Arial" w:cs="Arial"/>
        </w:rPr>
        <w:t xml:space="preserve"> et al., 2012). These studies further buttress the </w:t>
      </w:r>
      <w:r w:rsidR="00B65D55">
        <w:rPr>
          <w:rFonts w:ascii="Arial" w:hAnsi="Arial" w:cs="Arial"/>
        </w:rPr>
        <w:t>findings</w:t>
      </w:r>
      <w:r w:rsidR="007B321F">
        <w:rPr>
          <w:rFonts w:ascii="Arial" w:hAnsi="Arial" w:cs="Arial"/>
        </w:rPr>
        <w:t xml:space="preserve"> in this study with low iron level</w:t>
      </w:r>
      <w:r w:rsidR="00A3245E">
        <w:rPr>
          <w:rFonts w:ascii="Arial" w:hAnsi="Arial" w:cs="Arial"/>
        </w:rPr>
        <w:t>s</w:t>
      </w:r>
      <w:r w:rsidR="007B321F">
        <w:rPr>
          <w:rFonts w:ascii="Arial" w:hAnsi="Arial" w:cs="Arial"/>
        </w:rPr>
        <w:t xml:space="preserve"> in malaria</w:t>
      </w:r>
      <w:r w:rsidR="002E1EED">
        <w:rPr>
          <w:rFonts w:ascii="Arial" w:hAnsi="Arial" w:cs="Arial"/>
        </w:rPr>
        <w:t>-infected</w:t>
      </w:r>
      <w:r w:rsidR="007B321F">
        <w:rPr>
          <w:rFonts w:ascii="Arial" w:hAnsi="Arial" w:cs="Arial"/>
        </w:rPr>
        <w:t xml:space="preserve"> patients</w:t>
      </w:r>
      <w:r w:rsidR="00CA07C9">
        <w:rPr>
          <w:rFonts w:ascii="Arial" w:hAnsi="Arial" w:cs="Arial"/>
        </w:rPr>
        <w:t xml:space="preserve"> (Wolley et al., 2024)</w:t>
      </w:r>
      <w:r w:rsidR="007B321F">
        <w:rPr>
          <w:rFonts w:ascii="Arial" w:hAnsi="Arial" w:cs="Arial"/>
        </w:rPr>
        <w:t>. Studies have shown that this low iron level is a compensatory mechanism that offer</w:t>
      </w:r>
      <w:r w:rsidR="00262D18">
        <w:rPr>
          <w:rFonts w:ascii="Arial" w:hAnsi="Arial" w:cs="Arial"/>
        </w:rPr>
        <w:t>s</w:t>
      </w:r>
      <w:r w:rsidR="007B321F">
        <w:rPr>
          <w:rFonts w:ascii="Arial" w:hAnsi="Arial" w:cs="Arial"/>
        </w:rPr>
        <w:t xml:space="preserve"> </w:t>
      </w:r>
      <w:r w:rsidR="00262D18">
        <w:rPr>
          <w:rFonts w:ascii="Arial" w:hAnsi="Arial" w:cs="Arial"/>
        </w:rPr>
        <w:t>protection for the host against the infection (</w:t>
      </w:r>
      <w:proofErr w:type="spellStart"/>
      <w:r w:rsidR="00262D18" w:rsidRPr="00262D18">
        <w:rPr>
          <w:rFonts w:ascii="Arial" w:hAnsi="Arial" w:cs="Arial"/>
        </w:rPr>
        <w:t>Spottiswoode</w:t>
      </w:r>
      <w:proofErr w:type="spellEnd"/>
      <w:r w:rsidR="00262D18">
        <w:rPr>
          <w:rFonts w:ascii="Arial" w:hAnsi="Arial" w:cs="Arial"/>
        </w:rPr>
        <w:t xml:space="preserve"> et al., 2012, 2014</w:t>
      </w:r>
      <w:r w:rsidR="00CA07C9">
        <w:rPr>
          <w:rFonts w:ascii="Arial" w:hAnsi="Arial" w:cs="Arial"/>
        </w:rPr>
        <w:t xml:space="preserve">, </w:t>
      </w:r>
      <w:r w:rsidR="00CA07C9" w:rsidRPr="00262D18">
        <w:rPr>
          <w:rFonts w:ascii="Arial" w:hAnsi="Arial" w:cs="Arial"/>
          <w:iCs/>
        </w:rPr>
        <w:t>Muriuki</w:t>
      </w:r>
      <w:r w:rsidR="00CA07C9">
        <w:rPr>
          <w:rFonts w:ascii="Arial" w:hAnsi="Arial" w:cs="Arial"/>
          <w:iCs/>
        </w:rPr>
        <w:t xml:space="preserve"> et al., 2021</w:t>
      </w:r>
      <w:r w:rsidR="00262D18">
        <w:rPr>
          <w:rFonts w:ascii="Arial" w:hAnsi="Arial" w:cs="Arial"/>
        </w:rPr>
        <w:t>).</w:t>
      </w:r>
      <w:r w:rsidR="00CA07C9">
        <w:rPr>
          <w:rFonts w:ascii="Arial" w:hAnsi="Arial" w:cs="Arial"/>
        </w:rPr>
        <w:t xml:space="preserve"> </w:t>
      </w:r>
    </w:p>
    <w:p w14:paraId="54F4691A" w14:textId="69392DA5" w:rsidR="00DF5E9F" w:rsidRDefault="00DF5E9F" w:rsidP="00DF5E9F">
      <w:pPr>
        <w:pStyle w:val="Body"/>
        <w:rPr>
          <w:rFonts w:ascii="Arial" w:hAnsi="Arial" w:cs="Arial"/>
          <w:lang w:val="en-GB"/>
        </w:rPr>
      </w:pPr>
      <w:r>
        <w:rPr>
          <w:rFonts w:ascii="Arial" w:hAnsi="Arial" w:cs="Arial"/>
          <w:lang w:val="en-GB"/>
        </w:rPr>
        <w:t>The calcium level was significantly higher in healthy subject</w:t>
      </w:r>
      <w:r w:rsidR="00A3245E">
        <w:rPr>
          <w:rFonts w:ascii="Arial" w:hAnsi="Arial" w:cs="Arial"/>
          <w:lang w:val="en-GB"/>
        </w:rPr>
        <w:t>s</w:t>
      </w:r>
      <w:r>
        <w:rPr>
          <w:rFonts w:ascii="Arial" w:hAnsi="Arial" w:cs="Arial"/>
          <w:lang w:val="en-GB"/>
        </w:rPr>
        <w:t xml:space="preserve"> than</w:t>
      </w:r>
      <w:r w:rsidR="00A3245E">
        <w:rPr>
          <w:rFonts w:ascii="Arial" w:hAnsi="Arial" w:cs="Arial"/>
          <w:lang w:val="en-GB"/>
        </w:rPr>
        <w:t xml:space="preserve"> in</w:t>
      </w:r>
      <w:r>
        <w:rPr>
          <w:rFonts w:ascii="Arial" w:hAnsi="Arial" w:cs="Arial"/>
          <w:lang w:val="en-GB"/>
        </w:rPr>
        <w:t xml:space="preserve"> malaria-infected patients. This is similar to the pattern in calcium levels observed in </w:t>
      </w:r>
      <w:proofErr w:type="spellStart"/>
      <w:r w:rsidRPr="004709BD">
        <w:rPr>
          <w:rFonts w:ascii="Arial" w:hAnsi="Arial" w:cs="Arial"/>
          <w:lang w:val="en-GB"/>
        </w:rPr>
        <w:t>Asaolu</w:t>
      </w:r>
      <w:proofErr w:type="spellEnd"/>
      <w:r>
        <w:rPr>
          <w:rFonts w:ascii="Arial" w:hAnsi="Arial" w:cs="Arial"/>
          <w:lang w:val="en-GB"/>
        </w:rPr>
        <w:t xml:space="preserve"> and </w:t>
      </w:r>
      <w:proofErr w:type="spellStart"/>
      <w:r w:rsidRPr="004709BD">
        <w:rPr>
          <w:rFonts w:ascii="Arial" w:hAnsi="Arial" w:cs="Arial"/>
          <w:lang w:val="en-GB"/>
        </w:rPr>
        <w:t>Igbaakin</w:t>
      </w:r>
      <w:proofErr w:type="spellEnd"/>
      <w:r>
        <w:rPr>
          <w:rFonts w:ascii="Arial" w:hAnsi="Arial" w:cs="Arial"/>
          <w:lang w:val="en-GB"/>
        </w:rPr>
        <w:t xml:space="preserve"> (2009). This low of calcium in malaria-infected patient</w:t>
      </w:r>
      <w:r w:rsidR="00B45E98">
        <w:rPr>
          <w:rFonts w:ascii="Arial" w:hAnsi="Arial" w:cs="Arial"/>
          <w:lang w:val="en-GB"/>
        </w:rPr>
        <w:t>s</w:t>
      </w:r>
      <w:r>
        <w:rPr>
          <w:rFonts w:ascii="Arial" w:hAnsi="Arial" w:cs="Arial"/>
          <w:lang w:val="en-GB"/>
        </w:rPr>
        <w:t xml:space="preserve"> could be due to the excretion of the calcium in the urine. It is worth mentioning that the level of calcium in our study was lower than those obtained in </w:t>
      </w:r>
      <w:proofErr w:type="spellStart"/>
      <w:r w:rsidRPr="004709BD">
        <w:rPr>
          <w:rFonts w:ascii="Arial" w:hAnsi="Arial" w:cs="Arial"/>
          <w:lang w:val="en-GB"/>
        </w:rPr>
        <w:t>Asaolu</w:t>
      </w:r>
      <w:proofErr w:type="spellEnd"/>
      <w:r>
        <w:rPr>
          <w:rFonts w:ascii="Arial" w:hAnsi="Arial" w:cs="Arial"/>
          <w:lang w:val="en-GB"/>
        </w:rPr>
        <w:t xml:space="preserve"> and </w:t>
      </w:r>
      <w:proofErr w:type="spellStart"/>
      <w:r w:rsidRPr="004709BD">
        <w:rPr>
          <w:rFonts w:ascii="Arial" w:hAnsi="Arial" w:cs="Arial"/>
          <w:lang w:val="en-GB"/>
        </w:rPr>
        <w:t>Igbaakin</w:t>
      </w:r>
      <w:r w:rsidR="00B45E98">
        <w:rPr>
          <w:rFonts w:ascii="Arial" w:hAnsi="Arial" w:cs="Arial"/>
          <w:lang w:val="en-GB"/>
        </w:rPr>
        <w:t>’s</w:t>
      </w:r>
      <w:proofErr w:type="spellEnd"/>
      <w:r>
        <w:rPr>
          <w:rFonts w:ascii="Arial" w:hAnsi="Arial" w:cs="Arial"/>
          <w:lang w:val="en-GB"/>
        </w:rPr>
        <w:t xml:space="preserve"> (2009) study.</w:t>
      </w:r>
    </w:p>
    <w:p w14:paraId="70468A3C" w14:textId="098386AE" w:rsidR="00F32F48" w:rsidRPr="003F65FE" w:rsidRDefault="00DF5E9F" w:rsidP="00DF5E9F">
      <w:pPr>
        <w:pStyle w:val="Body"/>
        <w:rPr>
          <w:rFonts w:ascii="Arial" w:hAnsi="Arial" w:cs="Arial"/>
          <w:lang w:val="en-GB"/>
        </w:rPr>
      </w:pPr>
      <w:r>
        <w:rPr>
          <w:rFonts w:ascii="Arial" w:hAnsi="Arial" w:cs="Arial"/>
          <w:lang w:val="en-GB"/>
        </w:rPr>
        <w:t>Reduction in magnesium levels was noted in malaria</w:t>
      </w:r>
      <w:r w:rsidR="00F32F48">
        <w:rPr>
          <w:rFonts w:ascii="Arial" w:hAnsi="Arial" w:cs="Arial"/>
          <w:lang w:val="en-GB"/>
        </w:rPr>
        <w:t>-</w:t>
      </w:r>
      <w:r>
        <w:rPr>
          <w:rFonts w:ascii="Arial" w:hAnsi="Arial" w:cs="Arial"/>
          <w:lang w:val="en-GB"/>
        </w:rPr>
        <w:t>infected patients compared to healthy people.</w:t>
      </w:r>
      <w:r w:rsidR="00F32F48">
        <w:rPr>
          <w:rFonts w:ascii="Arial" w:hAnsi="Arial" w:cs="Arial"/>
          <w:lang w:val="en-GB"/>
        </w:rPr>
        <w:t xml:space="preserve"> This has also been noted in other studies to suggest possible depletion of the nutrient in response to malaria infection (</w:t>
      </w:r>
      <w:r w:rsidR="00F32F48" w:rsidRPr="00F32F48">
        <w:rPr>
          <w:rFonts w:ascii="Arial" w:hAnsi="Arial" w:cs="Arial"/>
          <w:lang w:val="en-GB"/>
        </w:rPr>
        <w:t>Abdelsalam</w:t>
      </w:r>
      <w:r w:rsidR="00F32F48">
        <w:rPr>
          <w:rFonts w:ascii="Arial" w:hAnsi="Arial" w:cs="Arial"/>
          <w:lang w:val="en-GB"/>
        </w:rPr>
        <w:t>, 2016</w:t>
      </w:r>
      <w:r w:rsidR="00AD3E54">
        <w:rPr>
          <w:rFonts w:ascii="Arial" w:hAnsi="Arial" w:cs="Arial"/>
          <w:lang w:val="en-GB"/>
        </w:rPr>
        <w:t>, Baloch et al., 2011</w:t>
      </w:r>
      <w:r w:rsidR="00F32F48">
        <w:rPr>
          <w:rFonts w:ascii="Arial" w:hAnsi="Arial" w:cs="Arial"/>
          <w:lang w:val="en-GB"/>
        </w:rPr>
        <w:t xml:space="preserve">). </w:t>
      </w:r>
      <w:r w:rsidR="00F32F48" w:rsidRPr="00F32F48">
        <w:rPr>
          <w:rFonts w:ascii="Arial" w:hAnsi="Arial" w:cs="Arial"/>
          <w:lang w:val="en-GB"/>
        </w:rPr>
        <w:t xml:space="preserve">The geographical differences </w:t>
      </w:r>
      <w:r w:rsidR="00F32F48">
        <w:rPr>
          <w:rFonts w:ascii="Arial" w:hAnsi="Arial" w:cs="Arial"/>
          <w:lang w:val="en-GB"/>
        </w:rPr>
        <w:t xml:space="preserve">in the levels of magnesium </w:t>
      </w:r>
      <w:r w:rsidR="00F32F48" w:rsidRPr="00F32F48">
        <w:rPr>
          <w:rFonts w:ascii="Arial" w:hAnsi="Arial" w:cs="Arial"/>
          <w:lang w:val="en-GB"/>
        </w:rPr>
        <w:t>are striking, as African studies show varying results for magnesium levels, ranging from reduced levels to no significant change. On the other hand, studies from Asia consistently found elevated magnesium levels in malaria patients</w:t>
      </w:r>
      <w:r w:rsidR="00161ACE">
        <w:rPr>
          <w:rFonts w:ascii="Arial" w:hAnsi="Arial" w:cs="Arial"/>
          <w:lang w:val="en-GB"/>
        </w:rPr>
        <w:t xml:space="preserve"> (</w:t>
      </w:r>
      <w:proofErr w:type="spellStart"/>
      <w:r w:rsidR="00161ACE">
        <w:rPr>
          <w:rFonts w:ascii="Arial" w:hAnsi="Arial" w:cs="Arial"/>
          <w:lang w:val="en-GB"/>
        </w:rPr>
        <w:t>Kotepui</w:t>
      </w:r>
      <w:proofErr w:type="spellEnd"/>
      <w:r w:rsidR="00161ACE">
        <w:rPr>
          <w:rFonts w:ascii="Arial" w:hAnsi="Arial" w:cs="Arial"/>
          <w:lang w:val="en-GB"/>
        </w:rPr>
        <w:t xml:space="preserve"> et al., 2024)</w:t>
      </w:r>
      <w:r w:rsidR="00F32F48" w:rsidRPr="00F32F48">
        <w:rPr>
          <w:rFonts w:ascii="Arial" w:hAnsi="Arial" w:cs="Arial"/>
          <w:lang w:val="en-GB"/>
        </w:rPr>
        <w:t>. These discrepancies suggest that regional factors, such as differences in nutrition or genetics, may play a role in influencing these outcomes.</w:t>
      </w:r>
    </w:p>
    <w:p w14:paraId="5A5F0455" w14:textId="6F06BA5A" w:rsidR="003F65FE" w:rsidRDefault="003F65FE" w:rsidP="00C35147">
      <w:pPr>
        <w:pStyle w:val="Body"/>
        <w:rPr>
          <w:rFonts w:ascii="Arial" w:hAnsi="Arial" w:cs="Arial"/>
          <w:lang w:val="en-GB"/>
        </w:rPr>
      </w:pPr>
      <w:r>
        <w:rPr>
          <w:rFonts w:ascii="Arial" w:hAnsi="Arial" w:cs="Arial"/>
        </w:rPr>
        <w:t>The lower phosphate level noted in our study is also corroborated by Harper and Browner (2007)</w:t>
      </w:r>
      <w:r w:rsidR="00C1371F">
        <w:rPr>
          <w:rFonts w:ascii="Arial" w:hAnsi="Arial" w:cs="Arial"/>
        </w:rPr>
        <w:t>, who</w:t>
      </w:r>
      <w:r>
        <w:rPr>
          <w:rFonts w:ascii="Arial" w:hAnsi="Arial" w:cs="Arial"/>
        </w:rPr>
        <w:t xml:space="preserve"> observed</w:t>
      </w:r>
      <w:r w:rsidR="00C1371F">
        <w:rPr>
          <w:rFonts w:ascii="Arial" w:hAnsi="Arial" w:cs="Arial"/>
        </w:rPr>
        <w:t xml:space="preserve"> that</w:t>
      </w:r>
      <w:r>
        <w:rPr>
          <w:rFonts w:ascii="Arial" w:hAnsi="Arial" w:cs="Arial"/>
        </w:rPr>
        <w:t xml:space="preserve"> 59% of patients ha</w:t>
      </w:r>
      <w:r w:rsidR="00C1371F">
        <w:rPr>
          <w:rFonts w:ascii="Arial" w:hAnsi="Arial" w:cs="Arial"/>
        </w:rPr>
        <w:t>d</w:t>
      </w:r>
      <w:r>
        <w:rPr>
          <w:rFonts w:ascii="Arial" w:hAnsi="Arial" w:cs="Arial"/>
        </w:rPr>
        <w:t xml:space="preserve"> low phosphate levels. </w:t>
      </w:r>
      <w:r w:rsidR="00CD402B">
        <w:rPr>
          <w:rFonts w:ascii="Arial" w:hAnsi="Arial" w:cs="Arial"/>
        </w:rPr>
        <w:t xml:space="preserve">Normal adults are supposed to have a phosphate level of 0.8 to 1.5 </w:t>
      </w:r>
      <w:proofErr w:type="spellStart"/>
      <w:r w:rsidR="00CD402B">
        <w:rPr>
          <w:rFonts w:ascii="Arial" w:hAnsi="Arial" w:cs="Arial"/>
        </w:rPr>
        <w:t>mmmol</w:t>
      </w:r>
      <w:proofErr w:type="spellEnd"/>
      <w:r w:rsidR="00CD402B">
        <w:rPr>
          <w:rFonts w:ascii="Arial" w:hAnsi="Arial" w:cs="Arial"/>
        </w:rPr>
        <w:t>/L (</w:t>
      </w:r>
      <w:proofErr w:type="spellStart"/>
      <w:r w:rsidR="00CD402B" w:rsidRPr="00CD402B">
        <w:rPr>
          <w:rFonts w:ascii="Arial" w:hAnsi="Arial" w:cs="Arial"/>
        </w:rPr>
        <w:t>Manghat</w:t>
      </w:r>
      <w:proofErr w:type="spellEnd"/>
      <w:r w:rsidR="00CD402B">
        <w:rPr>
          <w:rFonts w:ascii="Arial" w:hAnsi="Arial" w:cs="Arial"/>
        </w:rPr>
        <w:t xml:space="preserve"> et al., 2014). This range was obtained for the healthy subject</w:t>
      </w:r>
      <w:r w:rsidR="00B45E98">
        <w:rPr>
          <w:rFonts w:ascii="Arial" w:hAnsi="Arial" w:cs="Arial"/>
        </w:rPr>
        <w:t>s</w:t>
      </w:r>
      <w:r w:rsidR="00C1371F">
        <w:rPr>
          <w:rFonts w:ascii="Arial" w:hAnsi="Arial" w:cs="Arial"/>
        </w:rPr>
        <w:t xml:space="preserve"> in our study however,</w:t>
      </w:r>
      <w:r w:rsidR="00CD402B">
        <w:rPr>
          <w:rFonts w:ascii="Arial" w:hAnsi="Arial" w:cs="Arial"/>
        </w:rPr>
        <w:t xml:space="preserve"> </w:t>
      </w:r>
      <w:r w:rsidR="00C1371F">
        <w:rPr>
          <w:rFonts w:ascii="Arial" w:hAnsi="Arial" w:cs="Arial"/>
        </w:rPr>
        <w:t xml:space="preserve">the phosphate levels in </w:t>
      </w:r>
      <w:r w:rsidR="00CD402B">
        <w:rPr>
          <w:rFonts w:ascii="Arial" w:hAnsi="Arial" w:cs="Arial"/>
        </w:rPr>
        <w:t xml:space="preserve">malaria-infected subjects </w:t>
      </w:r>
      <w:r w:rsidR="00C1371F">
        <w:rPr>
          <w:rFonts w:ascii="Arial" w:hAnsi="Arial" w:cs="Arial"/>
        </w:rPr>
        <w:t>were</w:t>
      </w:r>
      <w:r w:rsidR="00CD402B">
        <w:rPr>
          <w:rFonts w:ascii="Arial" w:hAnsi="Arial" w:cs="Arial"/>
        </w:rPr>
        <w:t xml:space="preserve"> below 1 mmol/L. This low phosphate level may impact the energy levels </w:t>
      </w:r>
      <w:r w:rsidR="00D839C6">
        <w:rPr>
          <w:rFonts w:ascii="Arial" w:hAnsi="Arial" w:cs="Arial"/>
        </w:rPr>
        <w:t>as the phosphate is the fundamental energy currency of the cell through adenosine triphosphate</w:t>
      </w:r>
      <w:r w:rsidR="00753DF9">
        <w:rPr>
          <w:rFonts w:ascii="Arial" w:hAnsi="Arial" w:cs="Arial"/>
        </w:rPr>
        <w:t xml:space="preserve"> (Suen et al., 2020)</w:t>
      </w:r>
      <w:r w:rsidR="00D839C6">
        <w:rPr>
          <w:rFonts w:ascii="Arial" w:hAnsi="Arial" w:cs="Arial"/>
        </w:rPr>
        <w:t xml:space="preserve">. </w:t>
      </w:r>
      <w:r>
        <w:rPr>
          <w:rFonts w:ascii="Arial" w:hAnsi="Arial" w:cs="Arial"/>
          <w:lang w:val="en-GB"/>
        </w:rPr>
        <w:t>Th</w:t>
      </w:r>
      <w:r w:rsidR="00D839C6">
        <w:rPr>
          <w:rFonts w:ascii="Arial" w:hAnsi="Arial" w:cs="Arial"/>
          <w:lang w:val="en-GB"/>
        </w:rPr>
        <w:t>ese</w:t>
      </w:r>
      <w:r>
        <w:rPr>
          <w:rFonts w:ascii="Arial" w:hAnsi="Arial" w:cs="Arial"/>
          <w:lang w:val="en-GB"/>
        </w:rPr>
        <w:t xml:space="preserve"> result</w:t>
      </w:r>
      <w:r w:rsidR="00D839C6">
        <w:rPr>
          <w:rFonts w:ascii="Arial" w:hAnsi="Arial" w:cs="Arial"/>
          <w:lang w:val="en-GB"/>
        </w:rPr>
        <w:t>s</w:t>
      </w:r>
      <w:r>
        <w:rPr>
          <w:rFonts w:ascii="Arial" w:hAnsi="Arial" w:cs="Arial"/>
          <w:lang w:val="en-GB"/>
        </w:rPr>
        <w:t xml:space="preserve"> also </w:t>
      </w:r>
      <w:r w:rsidR="00D839C6">
        <w:rPr>
          <w:rFonts w:ascii="Arial" w:hAnsi="Arial" w:cs="Arial"/>
          <w:lang w:val="en-GB"/>
        </w:rPr>
        <w:t>resonate</w:t>
      </w:r>
      <w:r>
        <w:rPr>
          <w:rFonts w:ascii="Arial" w:hAnsi="Arial" w:cs="Arial"/>
          <w:lang w:val="en-GB"/>
        </w:rPr>
        <w:t xml:space="preserve"> with the moderately significant correlations noted with the phosphate. </w:t>
      </w:r>
    </w:p>
    <w:p w14:paraId="2C29C096" w14:textId="5DF98CCC" w:rsidR="009C6D6F" w:rsidRPr="009C6D6F" w:rsidRDefault="009C6D6F" w:rsidP="009C6D6F">
      <w:pPr>
        <w:pStyle w:val="Body"/>
        <w:rPr>
          <w:rFonts w:ascii="Arial" w:hAnsi="Arial" w:cs="Arial"/>
          <w:lang w:val="en-GB"/>
        </w:rPr>
      </w:pPr>
      <w:r w:rsidRPr="009C6D6F">
        <w:rPr>
          <w:rFonts w:ascii="Arial" w:hAnsi="Arial" w:cs="Arial"/>
          <w:lang w:val="en-GB"/>
        </w:rPr>
        <w:t xml:space="preserve">The reduction in these micronutrients may be attributed to </w:t>
      </w:r>
      <w:r w:rsidR="005F399B" w:rsidRPr="00B65D55">
        <w:rPr>
          <w:rFonts w:ascii="Arial" w:hAnsi="Arial" w:cs="Arial"/>
          <w:lang w:val="en-GB"/>
        </w:rPr>
        <w:t>haemolysis</w:t>
      </w:r>
      <w:r w:rsidRPr="009C6D6F">
        <w:rPr>
          <w:rFonts w:ascii="Arial" w:hAnsi="Arial" w:cs="Arial"/>
          <w:lang w:val="en-GB"/>
        </w:rPr>
        <w:t xml:space="preserve">, increased oxidative stress, and impaired absorption due to gastrointestinal disturbances associated with malaria infection </w:t>
      </w:r>
      <w:r w:rsidR="00B65D55" w:rsidRPr="00B65D55">
        <w:rPr>
          <w:rFonts w:ascii="Arial" w:hAnsi="Arial" w:cs="Arial"/>
          <w:lang w:val="en-GB"/>
        </w:rPr>
        <w:t>(</w:t>
      </w:r>
      <w:r w:rsidR="00CA07C9" w:rsidRPr="00B65D55">
        <w:rPr>
          <w:rFonts w:ascii="Arial" w:hAnsi="Arial" w:cs="Arial"/>
        </w:rPr>
        <w:t xml:space="preserve">Wolley et al., 2024, Gomes et al., 2022, </w:t>
      </w:r>
      <w:proofErr w:type="spellStart"/>
      <w:r w:rsidR="00CA07C9" w:rsidRPr="00B65D55">
        <w:rPr>
          <w:rFonts w:ascii="Arial" w:hAnsi="Arial" w:cs="Arial"/>
          <w:iCs/>
        </w:rPr>
        <w:t>Okagu</w:t>
      </w:r>
      <w:proofErr w:type="spellEnd"/>
      <w:r w:rsidR="00CA07C9" w:rsidRPr="00B65D55">
        <w:rPr>
          <w:rFonts w:ascii="Arial" w:hAnsi="Arial" w:cs="Arial"/>
          <w:iCs/>
        </w:rPr>
        <w:t xml:space="preserve"> et al., 2022</w:t>
      </w:r>
      <w:r w:rsidRPr="009C6D6F">
        <w:rPr>
          <w:rFonts w:ascii="Arial" w:hAnsi="Arial" w:cs="Arial"/>
          <w:lang w:val="en-GB"/>
        </w:rPr>
        <w:t>). Given the essential roles of these minerals in physiological functions, their depletion may exacerbate malaria morbidity, potentially worsening the clinical outcomes in affected individuals.</w:t>
      </w:r>
    </w:p>
    <w:p w14:paraId="08677490" w14:textId="195B1ABB" w:rsidR="00D00FFD" w:rsidRDefault="001D42C4" w:rsidP="00D00FFD">
      <w:pPr>
        <w:pStyle w:val="Body"/>
        <w:rPr>
          <w:rFonts w:ascii="Arial" w:hAnsi="Arial" w:cs="Arial"/>
          <w:lang w:val="en-GB"/>
        </w:rPr>
      </w:pPr>
      <w:r w:rsidRPr="001D42C4">
        <w:rPr>
          <w:rFonts w:ascii="Arial" w:hAnsi="Arial" w:cs="Arial"/>
          <w:lang w:val="en-GB"/>
        </w:rPr>
        <w:t>Significant correlations were observed between age and all micronutrients in malaria-infected patients (p &lt; 0.0001), while healthy subjects only showed significant correlations for calcium and phosphate. Interestingly, calcium exhibited opposing correlations: a positive correlation in malaria-infected patients (r = 0.6823) and a negative correlation in healthy controls (r = -0.6753). This suggests that while malaria-infected individuals experience a compensatory increase in calcium levels with age, healthy individuals may experience a decline due to physiological ageing (</w:t>
      </w:r>
      <w:proofErr w:type="spellStart"/>
      <w:r w:rsidR="006B5251">
        <w:rPr>
          <w:rFonts w:ascii="Arial" w:hAnsi="Arial" w:cs="Arial"/>
          <w:lang w:val="en-GB"/>
        </w:rPr>
        <w:t>Veldurthy</w:t>
      </w:r>
      <w:proofErr w:type="spellEnd"/>
      <w:r w:rsidRPr="001D42C4">
        <w:rPr>
          <w:rFonts w:ascii="Arial" w:hAnsi="Arial" w:cs="Arial"/>
          <w:lang w:val="en-GB"/>
        </w:rPr>
        <w:t xml:space="preserve"> et al., 201</w:t>
      </w:r>
      <w:r w:rsidR="006B5251">
        <w:rPr>
          <w:rFonts w:ascii="Arial" w:hAnsi="Arial" w:cs="Arial"/>
          <w:lang w:val="en-GB"/>
        </w:rPr>
        <w:t>6</w:t>
      </w:r>
      <w:r w:rsidRPr="001D42C4">
        <w:rPr>
          <w:rFonts w:ascii="Arial" w:hAnsi="Arial" w:cs="Arial"/>
          <w:lang w:val="en-GB"/>
        </w:rPr>
        <w:t>). Such findings emphasize the need for age-specific nutritional interventions to address micronutrient deficiencies in malaria-endemic regions.</w:t>
      </w:r>
      <w:r>
        <w:rPr>
          <w:rFonts w:ascii="Arial" w:hAnsi="Arial" w:cs="Arial"/>
          <w:lang w:val="en-GB"/>
        </w:rPr>
        <w:t xml:space="preserve"> </w:t>
      </w:r>
      <w:r w:rsidR="00D00FFD">
        <w:rPr>
          <w:rFonts w:ascii="Arial" w:hAnsi="Arial" w:cs="Arial"/>
          <w:lang w:val="en-GB"/>
        </w:rPr>
        <w:t>This association show</w:t>
      </w:r>
      <w:r w:rsidR="00B45E98">
        <w:rPr>
          <w:rFonts w:ascii="Arial" w:hAnsi="Arial" w:cs="Arial"/>
          <w:lang w:val="en-GB"/>
        </w:rPr>
        <w:t>s</w:t>
      </w:r>
      <w:r w:rsidR="00D00FFD">
        <w:rPr>
          <w:rFonts w:ascii="Arial" w:hAnsi="Arial" w:cs="Arial"/>
          <w:lang w:val="en-GB"/>
        </w:rPr>
        <w:t xml:space="preserve"> that some micronutrient</w:t>
      </w:r>
      <w:r w:rsidR="00B45E98">
        <w:rPr>
          <w:rFonts w:ascii="Arial" w:hAnsi="Arial" w:cs="Arial"/>
          <w:lang w:val="en-GB"/>
        </w:rPr>
        <w:t>s</w:t>
      </w:r>
      <w:r w:rsidR="00D00FFD">
        <w:rPr>
          <w:rFonts w:ascii="Arial" w:hAnsi="Arial" w:cs="Arial"/>
          <w:lang w:val="en-GB"/>
        </w:rPr>
        <w:t xml:space="preserve"> </w:t>
      </w:r>
      <w:r w:rsidR="00D04858">
        <w:rPr>
          <w:rFonts w:ascii="Arial" w:hAnsi="Arial" w:cs="Arial"/>
          <w:lang w:val="en-GB"/>
        </w:rPr>
        <w:t xml:space="preserve">such as calcium </w:t>
      </w:r>
      <w:r w:rsidR="00D00FFD">
        <w:rPr>
          <w:rFonts w:ascii="Arial" w:hAnsi="Arial" w:cs="Arial"/>
          <w:lang w:val="en-GB"/>
        </w:rPr>
        <w:t xml:space="preserve">could exhibit </w:t>
      </w:r>
      <w:r w:rsidR="00D00FFD" w:rsidRPr="00D00FFD">
        <w:rPr>
          <w:rFonts w:ascii="Arial" w:hAnsi="Arial" w:cs="Arial"/>
          <w:lang w:val="en-GB"/>
        </w:rPr>
        <w:t>age-dependent changes in levels among malaria-infected and healthy individuals</w:t>
      </w:r>
      <w:r w:rsidR="00D04858">
        <w:rPr>
          <w:rFonts w:ascii="Arial" w:hAnsi="Arial" w:cs="Arial"/>
          <w:lang w:val="en-GB"/>
        </w:rPr>
        <w:t>. Th</w:t>
      </w:r>
      <w:r w:rsidR="00A459DF">
        <w:rPr>
          <w:rFonts w:ascii="Arial" w:hAnsi="Arial" w:cs="Arial"/>
          <w:lang w:val="en-GB"/>
        </w:rPr>
        <w:t>ese</w:t>
      </w:r>
      <w:r w:rsidR="00D04858">
        <w:rPr>
          <w:rFonts w:ascii="Arial" w:hAnsi="Arial" w:cs="Arial"/>
          <w:lang w:val="en-GB"/>
        </w:rPr>
        <w:t xml:space="preserve"> new findings differ from normal literature</w:t>
      </w:r>
      <w:r w:rsidR="00B45E98">
        <w:rPr>
          <w:rFonts w:ascii="Arial" w:hAnsi="Arial" w:cs="Arial"/>
          <w:lang w:val="en-GB"/>
        </w:rPr>
        <w:t>s</w:t>
      </w:r>
      <w:r w:rsidR="00D04858">
        <w:rPr>
          <w:rFonts w:ascii="Arial" w:hAnsi="Arial" w:cs="Arial"/>
          <w:lang w:val="en-GB"/>
        </w:rPr>
        <w:t xml:space="preserve"> that suggest</w:t>
      </w:r>
      <w:r w:rsidR="00B45E98">
        <w:rPr>
          <w:rFonts w:ascii="Arial" w:hAnsi="Arial" w:cs="Arial"/>
          <w:lang w:val="en-GB"/>
        </w:rPr>
        <w:t>s</w:t>
      </w:r>
      <w:r w:rsidR="00D04858">
        <w:rPr>
          <w:rFonts w:ascii="Arial" w:hAnsi="Arial" w:cs="Arial"/>
          <w:lang w:val="en-GB"/>
        </w:rPr>
        <w:t xml:space="preserve"> that low calcium levels are common in </w:t>
      </w:r>
      <w:r w:rsidR="00B45E98">
        <w:rPr>
          <w:rFonts w:ascii="Arial" w:hAnsi="Arial" w:cs="Arial"/>
          <w:lang w:val="en-GB"/>
        </w:rPr>
        <w:t xml:space="preserve">the </w:t>
      </w:r>
      <w:r w:rsidR="00D04858">
        <w:rPr>
          <w:rFonts w:ascii="Arial" w:hAnsi="Arial" w:cs="Arial"/>
          <w:lang w:val="en-GB"/>
        </w:rPr>
        <w:t xml:space="preserve">elderly </w:t>
      </w:r>
      <w:r w:rsidR="00A459DF">
        <w:rPr>
          <w:rFonts w:ascii="Arial" w:hAnsi="Arial" w:cs="Arial"/>
          <w:lang w:val="en-GB"/>
        </w:rPr>
        <w:t xml:space="preserve">due to the high prevalence of vitamin D deficiency (Gallagher et al., 2012). As our current study only considered persons </w:t>
      </w:r>
      <w:r w:rsidR="00B45E98">
        <w:rPr>
          <w:rFonts w:ascii="Arial" w:hAnsi="Arial" w:cs="Arial"/>
          <w:lang w:val="en-GB"/>
        </w:rPr>
        <w:t>between</w:t>
      </w:r>
      <w:r w:rsidR="00A459DF">
        <w:rPr>
          <w:rFonts w:ascii="Arial" w:hAnsi="Arial" w:cs="Arial"/>
          <w:lang w:val="en-GB"/>
        </w:rPr>
        <w:t xml:space="preserve"> </w:t>
      </w:r>
      <w:r w:rsidR="00E52FBE">
        <w:rPr>
          <w:rFonts w:ascii="Arial" w:hAnsi="Arial" w:cs="Arial"/>
          <w:lang w:val="en-GB"/>
        </w:rPr>
        <w:t>the age</w:t>
      </w:r>
      <w:r w:rsidR="00B45E98">
        <w:rPr>
          <w:rFonts w:ascii="Arial" w:hAnsi="Arial" w:cs="Arial"/>
          <w:lang w:val="en-GB"/>
        </w:rPr>
        <w:t>s</w:t>
      </w:r>
      <w:r w:rsidR="00E52FBE">
        <w:rPr>
          <w:rFonts w:ascii="Arial" w:hAnsi="Arial" w:cs="Arial"/>
          <w:lang w:val="en-GB"/>
        </w:rPr>
        <w:t xml:space="preserve"> of </w:t>
      </w:r>
      <w:r w:rsidR="00A459DF">
        <w:rPr>
          <w:rFonts w:ascii="Arial" w:hAnsi="Arial" w:cs="Arial"/>
          <w:lang w:val="en-GB"/>
        </w:rPr>
        <w:t>1 to 60 years</w:t>
      </w:r>
      <w:r w:rsidR="00E52FBE">
        <w:rPr>
          <w:rFonts w:ascii="Arial" w:hAnsi="Arial" w:cs="Arial"/>
          <w:lang w:val="en-GB"/>
        </w:rPr>
        <w:t xml:space="preserve">, it excluded </w:t>
      </w:r>
      <w:r w:rsidR="00B45E98">
        <w:rPr>
          <w:rFonts w:ascii="Arial" w:hAnsi="Arial" w:cs="Arial"/>
          <w:lang w:val="en-GB"/>
        </w:rPr>
        <w:t xml:space="preserve">the </w:t>
      </w:r>
      <w:r w:rsidR="00E52FBE">
        <w:rPr>
          <w:rFonts w:ascii="Arial" w:hAnsi="Arial" w:cs="Arial"/>
          <w:lang w:val="en-GB"/>
        </w:rPr>
        <w:t>geriatric</w:t>
      </w:r>
      <w:r w:rsidR="00A459DF">
        <w:rPr>
          <w:rFonts w:ascii="Arial" w:hAnsi="Arial" w:cs="Arial"/>
          <w:lang w:val="en-GB"/>
        </w:rPr>
        <w:t xml:space="preserve"> population, this could explain the reason for the deviation from the existing literature. Hence, an improvement that could be done</w:t>
      </w:r>
      <w:r w:rsidR="006B5251">
        <w:rPr>
          <w:rFonts w:ascii="Arial" w:hAnsi="Arial" w:cs="Arial"/>
          <w:lang w:val="en-GB"/>
        </w:rPr>
        <w:t xml:space="preserve"> to advance this study is</w:t>
      </w:r>
      <w:r w:rsidR="00A459DF">
        <w:rPr>
          <w:rFonts w:ascii="Arial" w:hAnsi="Arial" w:cs="Arial"/>
          <w:lang w:val="en-GB"/>
        </w:rPr>
        <w:t xml:space="preserve"> to expand t</w:t>
      </w:r>
      <w:r w:rsidR="006B5251">
        <w:rPr>
          <w:rFonts w:ascii="Arial" w:hAnsi="Arial" w:cs="Arial"/>
          <w:lang w:val="en-GB"/>
        </w:rPr>
        <w:t>he</w:t>
      </w:r>
      <w:r w:rsidR="00A459DF">
        <w:rPr>
          <w:rFonts w:ascii="Arial" w:hAnsi="Arial" w:cs="Arial"/>
          <w:lang w:val="en-GB"/>
        </w:rPr>
        <w:t xml:space="preserve"> s</w:t>
      </w:r>
      <w:r w:rsidR="006B5251">
        <w:rPr>
          <w:rFonts w:ascii="Arial" w:hAnsi="Arial" w:cs="Arial"/>
          <w:lang w:val="en-GB"/>
        </w:rPr>
        <w:t>cope</w:t>
      </w:r>
      <w:r w:rsidR="00A459DF">
        <w:rPr>
          <w:rFonts w:ascii="Arial" w:hAnsi="Arial" w:cs="Arial"/>
          <w:lang w:val="en-GB"/>
        </w:rPr>
        <w:t xml:space="preserve"> to</w:t>
      </w:r>
      <w:r w:rsidR="006B5251">
        <w:rPr>
          <w:rFonts w:ascii="Arial" w:hAnsi="Arial" w:cs="Arial"/>
          <w:lang w:val="en-GB"/>
        </w:rPr>
        <w:t xml:space="preserve"> include</w:t>
      </w:r>
      <w:r w:rsidR="00A459DF">
        <w:rPr>
          <w:rFonts w:ascii="Arial" w:hAnsi="Arial" w:cs="Arial"/>
          <w:lang w:val="en-GB"/>
        </w:rPr>
        <w:t xml:space="preserve"> the elderly population. </w:t>
      </w:r>
    </w:p>
    <w:p w14:paraId="4755E50F" w14:textId="15A49A37" w:rsidR="00BA05B2" w:rsidRPr="00BA05B2" w:rsidRDefault="008164D8" w:rsidP="00BA05B2">
      <w:pPr>
        <w:pStyle w:val="Body"/>
        <w:rPr>
          <w:rFonts w:ascii="Arial" w:hAnsi="Arial" w:cs="Arial"/>
          <w:iCs/>
          <w:lang w:val="en-GB"/>
        </w:rPr>
      </w:pPr>
      <w:r w:rsidRPr="008164D8">
        <w:rPr>
          <w:rFonts w:ascii="Arial" w:hAnsi="Arial" w:cs="Arial"/>
          <w:lang w:val="en-GB"/>
        </w:rPr>
        <w:lastRenderedPageBreak/>
        <w:t>The trends in micronutrient levels across different age groups, as observed in Table 1, reveal a general increase in micronutrient levels with advancing age. Notably, iron, phosphate, and calcium levels displayed significant variation across age groups, with younger individuals (1-10 years and 11-20 years) exhibiting significantly lower iron levels compared to adults aged 21-40 years (p &lt; 0.0001 for multiple comparisons). This observation aligns with the increased susceptibility of children to iron deficiency in malaria-endemic regions</w:t>
      </w:r>
      <w:r w:rsidR="00BA05B2">
        <w:rPr>
          <w:rFonts w:ascii="Arial" w:hAnsi="Arial" w:cs="Arial"/>
          <w:lang w:val="en-GB"/>
        </w:rPr>
        <w:t xml:space="preserve"> (Clark et al., 2014, </w:t>
      </w:r>
      <w:r w:rsidR="00BA05B2" w:rsidRPr="00262D18">
        <w:rPr>
          <w:rFonts w:ascii="Arial" w:hAnsi="Arial" w:cs="Arial"/>
          <w:iCs/>
        </w:rPr>
        <w:t>Muriuki</w:t>
      </w:r>
      <w:r w:rsidR="00BA05B2">
        <w:rPr>
          <w:rFonts w:ascii="Arial" w:hAnsi="Arial" w:cs="Arial"/>
          <w:iCs/>
        </w:rPr>
        <w:t xml:space="preserve"> et al., 2021, Shankar et al., 2022). </w:t>
      </w:r>
      <w:r w:rsidR="00BA05B2" w:rsidRPr="00BA05B2">
        <w:rPr>
          <w:rFonts w:ascii="Arial" w:hAnsi="Arial" w:cs="Arial"/>
          <w:iCs/>
          <w:lang w:val="en-GB"/>
        </w:rPr>
        <w:t>The significantly lower phosphate levels in younger age groups compared to those aged ≥41 years (p = 0.0058 and p = 0.0143) suggests that younger malaria-infected individuals may have a greater risk of phosphate depletion, which could impair energy metabolism and immune function (</w:t>
      </w:r>
      <w:r w:rsidR="00753DF9">
        <w:rPr>
          <w:rFonts w:ascii="Arial" w:hAnsi="Arial" w:cs="Arial"/>
          <w:iCs/>
          <w:lang w:val="en-GB"/>
        </w:rPr>
        <w:t>Suen et al.</w:t>
      </w:r>
      <w:r w:rsidR="00BA05B2" w:rsidRPr="00BA05B2">
        <w:rPr>
          <w:rFonts w:ascii="Arial" w:hAnsi="Arial" w:cs="Arial"/>
          <w:iCs/>
          <w:lang w:val="en-GB"/>
        </w:rPr>
        <w:t>, 20</w:t>
      </w:r>
      <w:r w:rsidR="00753DF9">
        <w:rPr>
          <w:rFonts w:ascii="Arial" w:hAnsi="Arial" w:cs="Arial"/>
          <w:iCs/>
          <w:lang w:val="en-GB"/>
        </w:rPr>
        <w:t>20</w:t>
      </w:r>
      <w:r w:rsidR="00BA05B2" w:rsidRPr="00BA05B2">
        <w:rPr>
          <w:rFonts w:ascii="Arial" w:hAnsi="Arial" w:cs="Arial"/>
          <w:iCs/>
          <w:lang w:val="en-GB"/>
        </w:rPr>
        <w:t>). The age-dependent increase in calcium levels may be attributed to improved dietary intake and metabolic adaptation over time, compensating for the depletion caused by malaria infection.</w:t>
      </w:r>
    </w:p>
    <w:p w14:paraId="040060C9" w14:textId="174CBF81" w:rsidR="00FC7BC6" w:rsidRDefault="00FC7BC6" w:rsidP="00C35147">
      <w:pPr>
        <w:pStyle w:val="Body"/>
        <w:rPr>
          <w:rFonts w:ascii="Arial" w:hAnsi="Arial" w:cs="Arial"/>
        </w:rPr>
      </w:pPr>
      <w:r>
        <w:rPr>
          <w:rFonts w:ascii="Arial" w:hAnsi="Arial" w:cs="Arial"/>
        </w:rPr>
        <w:t xml:space="preserve">An important limitation of the current research is the neglect of the fact that malarial infection </w:t>
      </w:r>
      <w:r w:rsidR="00064DF8">
        <w:rPr>
          <w:rFonts w:ascii="Arial" w:hAnsi="Arial" w:cs="Arial"/>
        </w:rPr>
        <w:t>has</w:t>
      </w:r>
      <w:r>
        <w:rPr>
          <w:rFonts w:ascii="Arial" w:hAnsi="Arial" w:cs="Arial"/>
        </w:rPr>
        <w:t xml:space="preserve"> different species of </w:t>
      </w:r>
      <w:r w:rsidR="00B65D55" w:rsidRPr="00B65D55">
        <w:rPr>
          <w:rFonts w:ascii="Arial" w:hAnsi="Arial" w:cs="Arial"/>
          <w:i/>
          <w:iCs/>
        </w:rPr>
        <w:t>Plasmodium</w:t>
      </w:r>
      <w:r>
        <w:rPr>
          <w:rFonts w:ascii="Arial" w:hAnsi="Arial" w:cs="Arial"/>
        </w:rPr>
        <w:t xml:space="preserve">. There are currently 5 known species of </w:t>
      </w:r>
      <w:r w:rsidR="00781296" w:rsidRPr="00781296">
        <w:rPr>
          <w:rFonts w:ascii="Arial" w:hAnsi="Arial" w:cs="Arial"/>
          <w:i/>
          <w:iCs/>
        </w:rPr>
        <w:t>Plasmodium,</w:t>
      </w:r>
      <w:r>
        <w:rPr>
          <w:rFonts w:ascii="Arial" w:hAnsi="Arial" w:cs="Arial"/>
        </w:rPr>
        <w:t xml:space="preserve"> </w:t>
      </w:r>
      <w:r w:rsidR="00C448C1">
        <w:rPr>
          <w:rFonts w:ascii="Arial" w:hAnsi="Arial" w:cs="Arial"/>
        </w:rPr>
        <w:t>namely</w:t>
      </w:r>
      <w:r>
        <w:rPr>
          <w:rFonts w:ascii="Arial" w:hAnsi="Arial" w:cs="Arial"/>
        </w:rPr>
        <w:t xml:space="preserve"> </w:t>
      </w:r>
      <w:r w:rsidR="00C448C1">
        <w:rPr>
          <w:rFonts w:ascii="Arial" w:hAnsi="Arial" w:cs="Arial"/>
          <w:i/>
          <w:iCs/>
        </w:rPr>
        <w:t>P</w:t>
      </w:r>
      <w:r w:rsidRPr="00781296">
        <w:rPr>
          <w:rFonts w:ascii="Arial" w:hAnsi="Arial" w:cs="Arial"/>
          <w:i/>
          <w:iCs/>
        </w:rPr>
        <w:t>. falciparum</w:t>
      </w:r>
      <w:r>
        <w:rPr>
          <w:rFonts w:ascii="Arial" w:hAnsi="Arial" w:cs="Arial"/>
        </w:rPr>
        <w:t xml:space="preserve">, </w:t>
      </w:r>
      <w:r w:rsidR="00C448C1">
        <w:rPr>
          <w:rFonts w:ascii="Arial" w:hAnsi="Arial" w:cs="Arial"/>
          <w:i/>
          <w:iCs/>
        </w:rPr>
        <w:t>P</w:t>
      </w:r>
      <w:r w:rsidRPr="00781296">
        <w:rPr>
          <w:rFonts w:ascii="Arial" w:hAnsi="Arial" w:cs="Arial"/>
          <w:i/>
          <w:iCs/>
        </w:rPr>
        <w:t xml:space="preserve">. </w:t>
      </w:r>
      <w:proofErr w:type="spellStart"/>
      <w:r w:rsidRPr="00781296">
        <w:rPr>
          <w:rFonts w:ascii="Arial" w:hAnsi="Arial" w:cs="Arial"/>
          <w:i/>
          <w:iCs/>
        </w:rPr>
        <w:t>ovale</w:t>
      </w:r>
      <w:proofErr w:type="spellEnd"/>
      <w:r>
        <w:rPr>
          <w:rFonts w:ascii="Arial" w:hAnsi="Arial" w:cs="Arial"/>
        </w:rPr>
        <w:t xml:space="preserve">, </w:t>
      </w:r>
      <w:r w:rsidR="00C448C1">
        <w:rPr>
          <w:rFonts w:ascii="Arial" w:hAnsi="Arial" w:cs="Arial"/>
          <w:i/>
          <w:iCs/>
        </w:rPr>
        <w:t>P</w:t>
      </w:r>
      <w:r w:rsidRPr="00781296">
        <w:rPr>
          <w:rFonts w:ascii="Arial" w:hAnsi="Arial" w:cs="Arial"/>
          <w:i/>
          <w:iCs/>
        </w:rPr>
        <w:t>. knowlesi</w:t>
      </w:r>
      <w:r w:rsidR="00781296">
        <w:rPr>
          <w:rFonts w:ascii="Arial" w:hAnsi="Arial" w:cs="Arial"/>
        </w:rPr>
        <w:t xml:space="preserve">, </w:t>
      </w:r>
      <w:r w:rsidR="00C448C1">
        <w:rPr>
          <w:rFonts w:ascii="Arial" w:hAnsi="Arial" w:cs="Arial"/>
          <w:i/>
          <w:iCs/>
        </w:rPr>
        <w:t>P</w:t>
      </w:r>
      <w:r w:rsidR="00781296" w:rsidRPr="00781296">
        <w:rPr>
          <w:rFonts w:ascii="Arial" w:hAnsi="Arial" w:cs="Arial"/>
          <w:i/>
          <w:iCs/>
        </w:rPr>
        <w:t>. malariae</w:t>
      </w:r>
      <w:r w:rsidR="00781296">
        <w:rPr>
          <w:rFonts w:ascii="Arial" w:hAnsi="Arial" w:cs="Arial"/>
        </w:rPr>
        <w:t xml:space="preserve"> and </w:t>
      </w:r>
      <w:r w:rsidR="00C448C1">
        <w:rPr>
          <w:rFonts w:ascii="Arial" w:hAnsi="Arial" w:cs="Arial"/>
          <w:i/>
          <w:iCs/>
        </w:rPr>
        <w:t>P</w:t>
      </w:r>
      <w:r w:rsidR="00781296" w:rsidRPr="00781296">
        <w:rPr>
          <w:rFonts w:ascii="Arial" w:hAnsi="Arial" w:cs="Arial"/>
          <w:i/>
          <w:iCs/>
        </w:rPr>
        <w:t>. vivax</w:t>
      </w:r>
      <w:r>
        <w:rPr>
          <w:rFonts w:ascii="Arial" w:hAnsi="Arial" w:cs="Arial"/>
        </w:rPr>
        <w:t xml:space="preserve">. These different types could modulate the immunological system in different </w:t>
      </w:r>
      <w:r w:rsidR="00B14E93">
        <w:rPr>
          <w:rFonts w:ascii="Arial" w:hAnsi="Arial" w:cs="Arial"/>
        </w:rPr>
        <w:t>fashions</w:t>
      </w:r>
      <w:r>
        <w:rPr>
          <w:rFonts w:ascii="Arial" w:hAnsi="Arial" w:cs="Arial"/>
        </w:rPr>
        <w:t xml:space="preserve">. </w:t>
      </w:r>
      <w:r w:rsidR="00C448C1">
        <w:rPr>
          <w:rFonts w:ascii="Arial" w:hAnsi="Arial" w:cs="Arial"/>
        </w:rPr>
        <w:t xml:space="preserve">So far only the effects of two species of </w:t>
      </w:r>
      <w:r w:rsidR="00C448C1" w:rsidRPr="00C448C1">
        <w:rPr>
          <w:rFonts w:ascii="Arial" w:hAnsi="Arial" w:cs="Arial"/>
          <w:i/>
          <w:iCs/>
        </w:rPr>
        <w:t>Plasmodium</w:t>
      </w:r>
      <w:r w:rsidR="00C448C1">
        <w:rPr>
          <w:rFonts w:ascii="Arial" w:hAnsi="Arial" w:cs="Arial"/>
        </w:rPr>
        <w:t xml:space="preserve">, </w:t>
      </w:r>
      <w:r w:rsidR="00C448C1" w:rsidRPr="00C448C1">
        <w:rPr>
          <w:rFonts w:ascii="Arial" w:hAnsi="Arial" w:cs="Arial"/>
          <w:i/>
          <w:iCs/>
        </w:rPr>
        <w:t>P. vivax</w:t>
      </w:r>
      <w:r w:rsidR="00C448C1">
        <w:rPr>
          <w:rFonts w:ascii="Arial" w:hAnsi="Arial" w:cs="Arial"/>
        </w:rPr>
        <w:t xml:space="preserve"> and </w:t>
      </w:r>
      <w:r w:rsidR="00C448C1">
        <w:rPr>
          <w:rFonts w:ascii="Arial" w:hAnsi="Arial" w:cs="Arial"/>
          <w:i/>
          <w:iCs/>
        </w:rPr>
        <w:t xml:space="preserve">P. </w:t>
      </w:r>
      <w:r w:rsidR="00C448C1" w:rsidRPr="00C448C1">
        <w:rPr>
          <w:rFonts w:ascii="Arial" w:hAnsi="Arial" w:cs="Arial"/>
          <w:i/>
          <w:iCs/>
        </w:rPr>
        <w:t>falciparum</w:t>
      </w:r>
      <w:r w:rsidR="00C448C1">
        <w:rPr>
          <w:rFonts w:ascii="Arial" w:hAnsi="Arial" w:cs="Arial"/>
        </w:rPr>
        <w:t xml:space="preserve"> on the level of micronutrients have been explored (</w:t>
      </w:r>
      <w:r w:rsidR="00C448C1" w:rsidRPr="00C448C1">
        <w:rPr>
          <w:rFonts w:ascii="Arial" w:hAnsi="Arial" w:cs="Arial"/>
        </w:rPr>
        <w:t>Abdulkareem</w:t>
      </w:r>
      <w:r w:rsidR="00C448C1">
        <w:rPr>
          <w:rFonts w:ascii="Arial" w:hAnsi="Arial" w:cs="Arial"/>
        </w:rPr>
        <w:t xml:space="preserve"> et al., 2017, </w:t>
      </w:r>
      <w:r w:rsidR="00C448C1" w:rsidRPr="00ED3C5D">
        <w:rPr>
          <w:rFonts w:ascii="Arial" w:hAnsi="Arial" w:cs="Arial"/>
          <w:iCs/>
        </w:rPr>
        <w:t>Benzecry</w:t>
      </w:r>
      <w:r w:rsidR="00C448C1">
        <w:rPr>
          <w:rFonts w:ascii="Arial" w:hAnsi="Arial" w:cs="Arial"/>
          <w:iCs/>
        </w:rPr>
        <w:t xml:space="preserve"> et al., 2016)</w:t>
      </w:r>
      <w:r w:rsidR="00C448C1">
        <w:rPr>
          <w:rFonts w:ascii="Arial" w:hAnsi="Arial" w:cs="Arial"/>
        </w:rPr>
        <w:t>. This calls for further research into the effect of the other species.</w:t>
      </w:r>
      <w:r>
        <w:rPr>
          <w:rFonts w:ascii="Arial" w:hAnsi="Arial" w:cs="Arial"/>
        </w:rPr>
        <w:t xml:space="preserve"> </w:t>
      </w:r>
      <w:r w:rsidRPr="00FB3A86">
        <w:rPr>
          <w:rFonts w:ascii="Arial" w:hAnsi="Arial" w:cs="Arial"/>
        </w:rPr>
        <w:t xml:space="preserve">  </w:t>
      </w:r>
    </w:p>
    <w:p w14:paraId="00E581E6" w14:textId="77777777" w:rsidR="00790ADA" w:rsidRPr="00FB3A86" w:rsidRDefault="00790ADA" w:rsidP="00441B6F">
      <w:pPr>
        <w:pStyle w:val="Body"/>
        <w:spacing w:after="0"/>
        <w:rPr>
          <w:rFonts w:ascii="Arial" w:hAnsi="Arial" w:cs="Arial"/>
        </w:rPr>
      </w:pPr>
    </w:p>
    <w:p w14:paraId="7FB514C4"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60EA9698" w14:textId="77777777" w:rsidR="00790ADA" w:rsidRPr="00FB3A86" w:rsidRDefault="00790ADA" w:rsidP="00441B6F">
      <w:pPr>
        <w:pStyle w:val="ConcHead"/>
        <w:spacing w:after="0"/>
        <w:jc w:val="both"/>
        <w:rPr>
          <w:rFonts w:ascii="Arial" w:hAnsi="Arial" w:cs="Arial"/>
        </w:rPr>
      </w:pPr>
    </w:p>
    <w:p w14:paraId="22A0201C" w14:textId="6BA4948F" w:rsidR="00B01FCD" w:rsidRDefault="00781296" w:rsidP="00441B6F">
      <w:pPr>
        <w:pStyle w:val="Body"/>
        <w:spacing w:after="0"/>
        <w:rPr>
          <w:rFonts w:ascii="Arial" w:hAnsi="Arial" w:cs="Arial"/>
        </w:rPr>
      </w:pPr>
      <w:r>
        <w:rPr>
          <w:rFonts w:ascii="Arial" w:hAnsi="Arial" w:cs="Arial"/>
        </w:rPr>
        <w:t xml:space="preserve">From this study </w:t>
      </w:r>
      <w:r w:rsidR="00753DF9">
        <w:rPr>
          <w:rFonts w:ascii="Arial" w:hAnsi="Arial" w:cs="Arial"/>
        </w:rPr>
        <w:t>micronutrients</w:t>
      </w:r>
      <w:r>
        <w:rPr>
          <w:rFonts w:ascii="Arial" w:hAnsi="Arial" w:cs="Arial"/>
        </w:rPr>
        <w:t xml:space="preserve"> such as</w:t>
      </w:r>
      <w:r w:rsidR="00D839C6">
        <w:rPr>
          <w:rFonts w:ascii="Arial" w:hAnsi="Arial" w:cs="Arial"/>
        </w:rPr>
        <w:t xml:space="preserve"> iron, phosphate, calcium and magnesium were significantly higher in healthy subjects than malaria-infected subjects. O</w:t>
      </w:r>
      <w:proofErr w:type="spellStart"/>
      <w:r w:rsidR="00D839C6">
        <w:rPr>
          <w:rFonts w:ascii="Arial" w:hAnsi="Arial" w:cs="Arial"/>
          <w:lang w:val="en-GB"/>
        </w:rPr>
        <w:t>nly</w:t>
      </w:r>
      <w:proofErr w:type="spellEnd"/>
      <w:r w:rsidR="00D839C6">
        <w:rPr>
          <w:rFonts w:ascii="Arial" w:hAnsi="Arial" w:cs="Arial"/>
          <w:lang w:val="en-GB"/>
        </w:rPr>
        <w:t xml:space="preserve"> the calcium showed significant moderate correlations with age for both control and healthy subjects having positive correlation (r=0.6823), while healthy subjects had negative correction (r=</w:t>
      </w:r>
      <w:r w:rsidR="00D839C6" w:rsidRPr="00425897">
        <w:rPr>
          <w:rFonts w:ascii="Arial" w:hAnsi="Arial" w:cs="Arial"/>
        </w:rPr>
        <w:t>-0.6753</w:t>
      </w:r>
      <w:r w:rsidR="00D839C6">
        <w:rPr>
          <w:rFonts w:ascii="Arial" w:hAnsi="Arial" w:cs="Arial"/>
        </w:rPr>
        <w:t>)</w:t>
      </w:r>
      <w:r w:rsidR="00D839C6">
        <w:rPr>
          <w:rFonts w:ascii="Arial" w:hAnsi="Arial" w:cs="Arial"/>
          <w:lang w:val="en-GB"/>
        </w:rPr>
        <w:t>.</w:t>
      </w:r>
    </w:p>
    <w:p w14:paraId="73FC924F" w14:textId="77777777" w:rsidR="00790ADA" w:rsidRPr="00FB3A86" w:rsidRDefault="00790ADA" w:rsidP="00441B6F">
      <w:pPr>
        <w:pStyle w:val="Body"/>
        <w:spacing w:after="0"/>
        <w:rPr>
          <w:rFonts w:ascii="Arial" w:hAnsi="Arial" w:cs="Arial"/>
        </w:rPr>
      </w:pPr>
    </w:p>
    <w:p w14:paraId="3B85CD1F" w14:textId="77777777" w:rsidR="00B01FCD" w:rsidRDefault="00B01FCD" w:rsidP="00441B6F">
      <w:pPr>
        <w:pStyle w:val="AcknHead"/>
        <w:spacing w:after="0"/>
        <w:jc w:val="both"/>
        <w:rPr>
          <w:rFonts w:ascii="Arial" w:hAnsi="Arial" w:cs="Arial"/>
        </w:rPr>
      </w:pPr>
      <w:r w:rsidRPr="00FB3A86">
        <w:rPr>
          <w:rFonts w:ascii="Arial" w:hAnsi="Arial" w:cs="Arial"/>
        </w:rPr>
        <w:t>Acknowledg</w:t>
      </w:r>
      <w:r w:rsidR="003E2904">
        <w:rPr>
          <w:rFonts w:ascii="Arial" w:hAnsi="Arial" w:cs="Arial"/>
        </w:rPr>
        <w:t>E</w:t>
      </w:r>
      <w:r w:rsidRPr="00FB3A86">
        <w:rPr>
          <w:rFonts w:ascii="Arial" w:hAnsi="Arial" w:cs="Arial"/>
        </w:rPr>
        <w:t>ments</w:t>
      </w:r>
    </w:p>
    <w:p w14:paraId="171AF1CF" w14:textId="77777777" w:rsidR="00790ADA" w:rsidRPr="00FB3A86" w:rsidRDefault="00790ADA" w:rsidP="00441B6F">
      <w:pPr>
        <w:pStyle w:val="AcknHead"/>
        <w:spacing w:after="0"/>
        <w:jc w:val="both"/>
        <w:rPr>
          <w:rFonts w:ascii="Arial" w:hAnsi="Arial" w:cs="Arial"/>
        </w:rPr>
      </w:pPr>
    </w:p>
    <w:p w14:paraId="5177CC79" w14:textId="406E9B96" w:rsidR="00315186" w:rsidRPr="00315186" w:rsidRDefault="002F2E5A" w:rsidP="00441B6F">
      <w:r>
        <w:t xml:space="preserve">The authors wish to thank the Department Medical Microbiology of Rivers State University for offering their facility for this study. </w:t>
      </w:r>
    </w:p>
    <w:p w14:paraId="77EB32D2" w14:textId="77777777" w:rsidR="00315186" w:rsidRPr="00315186" w:rsidRDefault="00315186" w:rsidP="00441B6F"/>
    <w:p w14:paraId="1509A604" w14:textId="77777777" w:rsidR="00860000" w:rsidRPr="00786D36" w:rsidRDefault="00860000" w:rsidP="00441B6F">
      <w:pPr>
        <w:pStyle w:val="ReferHead"/>
        <w:spacing w:after="0"/>
        <w:jc w:val="both"/>
        <w:rPr>
          <w:rFonts w:ascii="Arial" w:hAnsi="Arial" w:cs="Arial"/>
          <w:bCs/>
        </w:rPr>
      </w:pPr>
      <w:r w:rsidRPr="00786D36">
        <w:rPr>
          <w:rFonts w:ascii="Arial" w:hAnsi="Arial" w:cs="Arial"/>
          <w:bCs/>
        </w:rPr>
        <w:lastRenderedPageBreak/>
        <w:t>Competing interests</w:t>
      </w:r>
    </w:p>
    <w:p w14:paraId="2E32A785" w14:textId="77777777" w:rsidR="00860000" w:rsidRPr="00786D36" w:rsidRDefault="00860000" w:rsidP="00441B6F">
      <w:pPr>
        <w:pStyle w:val="ReferHead"/>
        <w:spacing w:after="0"/>
        <w:jc w:val="both"/>
        <w:rPr>
          <w:rFonts w:ascii="Arial" w:hAnsi="Arial" w:cs="Arial"/>
        </w:rPr>
      </w:pPr>
    </w:p>
    <w:p w14:paraId="68515867" w14:textId="4CB8C089" w:rsidR="00860000" w:rsidRPr="00393C3D" w:rsidRDefault="00E66E10" w:rsidP="00441B6F">
      <w:pPr>
        <w:pStyle w:val="ReferHead"/>
        <w:spacing w:after="0"/>
        <w:jc w:val="both"/>
        <w:rPr>
          <w:rFonts w:ascii="Arial" w:hAnsi="Arial" w:cs="Arial"/>
          <w:b w:val="0"/>
          <w:caps w:val="0"/>
          <w:sz w:val="20"/>
        </w:rPr>
      </w:pPr>
      <w:r w:rsidRPr="00393C3D">
        <w:rPr>
          <w:rFonts w:ascii="Arial" w:hAnsi="Arial" w:cs="Arial"/>
          <w:b w:val="0"/>
          <w:caps w:val="0"/>
          <w:sz w:val="20"/>
        </w:rPr>
        <w:t>Authors have declared that no competing interests exist.</w:t>
      </w:r>
    </w:p>
    <w:p w14:paraId="13B96560" w14:textId="77777777" w:rsidR="00371FB6" w:rsidRDefault="00371FB6" w:rsidP="00441B6F">
      <w:pPr>
        <w:pStyle w:val="ReferHead"/>
        <w:spacing w:after="0"/>
        <w:jc w:val="both"/>
        <w:rPr>
          <w:rFonts w:ascii="Arial" w:hAnsi="Arial" w:cs="Arial"/>
          <w:b w:val="0"/>
          <w:caps w:val="0"/>
          <w:sz w:val="20"/>
        </w:rPr>
      </w:pPr>
    </w:p>
    <w:p w14:paraId="4A72D450" w14:textId="77777777" w:rsidR="00371FB6" w:rsidRDefault="00371FB6" w:rsidP="00441B6F">
      <w:pPr>
        <w:pStyle w:val="ReferHead"/>
        <w:spacing w:after="0"/>
        <w:jc w:val="both"/>
        <w:rPr>
          <w:rFonts w:ascii="Arial" w:hAnsi="Arial" w:cs="Arial"/>
          <w:bCs/>
        </w:rPr>
      </w:pPr>
      <w:r w:rsidRPr="00371FB6">
        <w:rPr>
          <w:rFonts w:ascii="Arial" w:hAnsi="Arial" w:cs="Arial"/>
          <w:bCs/>
        </w:rPr>
        <w:t>Authors’ Contributions</w:t>
      </w:r>
    </w:p>
    <w:p w14:paraId="3247E2FF" w14:textId="77777777" w:rsidR="00371FB6" w:rsidRPr="00371FB6" w:rsidRDefault="00371FB6" w:rsidP="00441B6F">
      <w:pPr>
        <w:pStyle w:val="ReferHead"/>
        <w:spacing w:after="0"/>
        <w:jc w:val="both"/>
        <w:rPr>
          <w:rFonts w:ascii="Arial" w:hAnsi="Arial" w:cs="Arial"/>
          <w:bCs/>
        </w:rPr>
      </w:pPr>
    </w:p>
    <w:p w14:paraId="0ADC13A0" w14:textId="1DCD77B9" w:rsidR="00371FB6" w:rsidRPr="00393C3D" w:rsidRDefault="009F7AEC" w:rsidP="00441B6F">
      <w:pPr>
        <w:pStyle w:val="ReferHead"/>
        <w:spacing w:after="0"/>
        <w:jc w:val="both"/>
        <w:rPr>
          <w:rFonts w:ascii="Arial" w:hAnsi="Arial" w:cs="Arial"/>
          <w:b w:val="0"/>
          <w:caps w:val="0"/>
          <w:sz w:val="20"/>
        </w:rPr>
      </w:pPr>
      <w:r>
        <w:rPr>
          <w:rFonts w:ascii="Arial" w:hAnsi="Arial" w:cs="Arial"/>
          <w:b w:val="0"/>
          <w:caps w:val="0"/>
          <w:sz w:val="20"/>
        </w:rPr>
        <w:t>MTP</w:t>
      </w:r>
      <w:r w:rsidR="00371FB6" w:rsidRPr="00393C3D">
        <w:rPr>
          <w:rFonts w:ascii="Arial" w:hAnsi="Arial" w:cs="Arial"/>
          <w:b w:val="0"/>
          <w:caps w:val="0"/>
          <w:sz w:val="20"/>
        </w:rPr>
        <w:t xml:space="preserve"> designed the study, performed</w:t>
      </w:r>
      <w:r w:rsidR="008D2B63">
        <w:rPr>
          <w:rFonts w:ascii="Arial" w:hAnsi="Arial" w:cs="Arial"/>
          <w:b w:val="0"/>
          <w:caps w:val="0"/>
          <w:sz w:val="20"/>
        </w:rPr>
        <w:t xml:space="preserve"> the experiments, st</w:t>
      </w:r>
      <w:r w:rsidR="00371FB6" w:rsidRPr="00393C3D">
        <w:rPr>
          <w:rFonts w:ascii="Arial" w:hAnsi="Arial" w:cs="Arial"/>
          <w:b w:val="0"/>
          <w:caps w:val="0"/>
          <w:sz w:val="20"/>
        </w:rPr>
        <w:t>atistical analysis, and</w:t>
      </w:r>
      <w:r w:rsidR="001A29D8" w:rsidRPr="00393C3D">
        <w:rPr>
          <w:rFonts w:ascii="Arial" w:hAnsi="Arial" w:cs="Arial"/>
          <w:b w:val="0"/>
          <w:caps w:val="0"/>
          <w:sz w:val="20"/>
        </w:rPr>
        <w:t xml:space="preserve"> </w:t>
      </w:r>
      <w:r w:rsidR="00371FB6" w:rsidRPr="00393C3D">
        <w:rPr>
          <w:rFonts w:ascii="Arial" w:hAnsi="Arial" w:cs="Arial"/>
          <w:b w:val="0"/>
          <w:caps w:val="0"/>
          <w:sz w:val="20"/>
        </w:rPr>
        <w:t xml:space="preserve">wrote the first draft of the manuscript. </w:t>
      </w:r>
      <w:r>
        <w:rPr>
          <w:rFonts w:ascii="Arial" w:hAnsi="Arial" w:cs="Arial"/>
          <w:b w:val="0"/>
          <w:caps w:val="0"/>
          <w:sz w:val="20"/>
        </w:rPr>
        <w:t>CMM</w:t>
      </w:r>
      <w:r w:rsidR="00371FB6" w:rsidRPr="00393C3D">
        <w:rPr>
          <w:rFonts w:ascii="Arial" w:hAnsi="Arial" w:cs="Arial"/>
          <w:b w:val="0"/>
          <w:caps w:val="0"/>
          <w:sz w:val="20"/>
        </w:rPr>
        <w:t xml:space="preserve"> </w:t>
      </w:r>
      <w:r w:rsidR="008D2B63" w:rsidRPr="00393C3D">
        <w:rPr>
          <w:rFonts w:ascii="Arial" w:hAnsi="Arial" w:cs="Arial"/>
          <w:b w:val="0"/>
          <w:caps w:val="0"/>
          <w:sz w:val="20"/>
        </w:rPr>
        <w:t xml:space="preserve">wrote the protocol </w:t>
      </w:r>
      <w:r w:rsidR="008D2B63">
        <w:rPr>
          <w:rFonts w:ascii="Arial" w:hAnsi="Arial" w:cs="Arial"/>
          <w:b w:val="0"/>
          <w:caps w:val="0"/>
          <w:sz w:val="20"/>
        </w:rPr>
        <w:t xml:space="preserve">and </w:t>
      </w:r>
      <w:r w:rsidR="00371FB6" w:rsidRPr="00393C3D">
        <w:rPr>
          <w:rFonts w:ascii="Arial" w:hAnsi="Arial" w:cs="Arial"/>
          <w:b w:val="0"/>
          <w:caps w:val="0"/>
          <w:sz w:val="20"/>
        </w:rPr>
        <w:t xml:space="preserve">managed the </w:t>
      </w:r>
      <w:r w:rsidR="009648B4" w:rsidRPr="00393C3D">
        <w:rPr>
          <w:rFonts w:ascii="Arial" w:hAnsi="Arial" w:cs="Arial"/>
          <w:b w:val="0"/>
          <w:caps w:val="0"/>
          <w:sz w:val="20"/>
        </w:rPr>
        <w:t>analysis</w:t>
      </w:r>
      <w:r w:rsidR="00371FB6" w:rsidRPr="00393C3D">
        <w:rPr>
          <w:rFonts w:ascii="Arial" w:hAnsi="Arial" w:cs="Arial"/>
          <w:b w:val="0"/>
          <w:caps w:val="0"/>
          <w:sz w:val="20"/>
        </w:rPr>
        <w:t xml:space="preserve"> of</w:t>
      </w:r>
      <w:r w:rsidR="001A29D8" w:rsidRPr="00393C3D">
        <w:rPr>
          <w:rFonts w:ascii="Arial" w:hAnsi="Arial" w:cs="Arial"/>
          <w:b w:val="0"/>
          <w:caps w:val="0"/>
          <w:sz w:val="20"/>
        </w:rPr>
        <w:t xml:space="preserve"> </w:t>
      </w:r>
      <w:r w:rsidR="00371FB6" w:rsidRPr="00393C3D">
        <w:rPr>
          <w:rFonts w:ascii="Arial" w:hAnsi="Arial" w:cs="Arial"/>
          <w:b w:val="0"/>
          <w:caps w:val="0"/>
          <w:sz w:val="20"/>
        </w:rPr>
        <w:t xml:space="preserve">the study. </w:t>
      </w:r>
      <w:r w:rsidR="00A20307">
        <w:rPr>
          <w:rFonts w:ascii="Arial" w:hAnsi="Arial" w:cs="Arial"/>
          <w:b w:val="0"/>
          <w:caps w:val="0"/>
          <w:sz w:val="20"/>
        </w:rPr>
        <w:t>MTP and CMM</w:t>
      </w:r>
      <w:r w:rsidR="00371FB6" w:rsidRPr="00393C3D">
        <w:rPr>
          <w:rFonts w:ascii="Arial" w:hAnsi="Arial" w:cs="Arial"/>
          <w:b w:val="0"/>
          <w:caps w:val="0"/>
          <w:sz w:val="20"/>
        </w:rPr>
        <w:t xml:space="preserve"> managed the literature searches</w:t>
      </w:r>
      <w:r w:rsidR="009648B4">
        <w:rPr>
          <w:rFonts w:ascii="Arial" w:hAnsi="Arial" w:cs="Arial"/>
          <w:b w:val="0"/>
          <w:caps w:val="0"/>
          <w:sz w:val="20"/>
        </w:rPr>
        <w:t>.</w:t>
      </w:r>
      <w:r w:rsidR="00371FB6" w:rsidRPr="00393C3D">
        <w:rPr>
          <w:rFonts w:ascii="Arial" w:hAnsi="Arial" w:cs="Arial"/>
          <w:b w:val="0"/>
          <w:caps w:val="0"/>
          <w:sz w:val="20"/>
        </w:rPr>
        <w:t xml:space="preserve"> </w:t>
      </w:r>
      <w:r w:rsidR="00A20307">
        <w:rPr>
          <w:rFonts w:ascii="Arial" w:hAnsi="Arial" w:cs="Arial"/>
          <w:b w:val="0"/>
          <w:caps w:val="0"/>
          <w:sz w:val="20"/>
        </w:rPr>
        <w:t>Both</w:t>
      </w:r>
      <w:r w:rsidR="00371FB6" w:rsidRPr="00393C3D">
        <w:rPr>
          <w:rFonts w:ascii="Arial" w:hAnsi="Arial" w:cs="Arial"/>
          <w:b w:val="0"/>
          <w:caps w:val="0"/>
          <w:sz w:val="20"/>
        </w:rPr>
        <w:t xml:space="preserve"> authors read and approved the final manuscript.</w:t>
      </w:r>
    </w:p>
    <w:p w14:paraId="37E9A370" w14:textId="77777777" w:rsidR="002B685A" w:rsidRDefault="002B685A" w:rsidP="00441B6F">
      <w:pPr>
        <w:pStyle w:val="ReferHead"/>
        <w:spacing w:after="0"/>
        <w:jc w:val="both"/>
        <w:rPr>
          <w:rFonts w:ascii="Arial" w:hAnsi="Arial" w:cs="Arial"/>
          <w:b w:val="0"/>
          <w:caps w:val="0"/>
          <w:sz w:val="20"/>
        </w:rPr>
      </w:pPr>
    </w:p>
    <w:p w14:paraId="192FD003" w14:textId="60EAE02B" w:rsidR="002B685A" w:rsidRDefault="002F2E5A" w:rsidP="00441B6F">
      <w:pPr>
        <w:pStyle w:val="ReferHead"/>
        <w:spacing w:after="0"/>
        <w:jc w:val="both"/>
        <w:rPr>
          <w:rFonts w:ascii="Arial" w:hAnsi="Arial" w:cs="Arial"/>
          <w:bCs/>
        </w:rPr>
      </w:pPr>
      <w:r>
        <w:rPr>
          <w:rFonts w:ascii="Arial" w:hAnsi="Arial" w:cs="Arial"/>
          <w:bCs/>
        </w:rPr>
        <w:t xml:space="preserve">Ethical approval and </w:t>
      </w:r>
      <w:r w:rsidR="002B685A" w:rsidRPr="002B685A">
        <w:rPr>
          <w:rFonts w:ascii="Arial" w:hAnsi="Arial" w:cs="Arial"/>
          <w:bCs/>
        </w:rPr>
        <w:t>Consent</w:t>
      </w:r>
      <w:r w:rsidR="002B685A">
        <w:rPr>
          <w:rFonts w:ascii="Arial" w:hAnsi="Arial" w:cs="Arial"/>
          <w:bCs/>
        </w:rPr>
        <w:t xml:space="preserve"> </w:t>
      </w:r>
    </w:p>
    <w:p w14:paraId="5A4BD223" w14:textId="77777777" w:rsidR="002B685A" w:rsidRPr="002B685A" w:rsidRDefault="002B685A" w:rsidP="00441B6F">
      <w:pPr>
        <w:pStyle w:val="ReferHead"/>
        <w:spacing w:after="0"/>
        <w:jc w:val="both"/>
        <w:rPr>
          <w:rFonts w:ascii="Arial" w:hAnsi="Arial" w:cs="Arial"/>
          <w:bCs/>
        </w:rPr>
      </w:pPr>
    </w:p>
    <w:p w14:paraId="26A64338" w14:textId="714B7B7F" w:rsidR="001A29D8" w:rsidRPr="00393C3D" w:rsidRDefault="001A29D8" w:rsidP="00441B6F">
      <w:pPr>
        <w:pStyle w:val="ReferHead"/>
        <w:spacing w:after="0"/>
        <w:jc w:val="both"/>
        <w:rPr>
          <w:rFonts w:ascii="Arial" w:hAnsi="Arial" w:cs="Arial"/>
          <w:b w:val="0"/>
          <w:caps w:val="0"/>
          <w:sz w:val="20"/>
        </w:rPr>
      </w:pPr>
      <w:r w:rsidRPr="00393C3D">
        <w:rPr>
          <w:rFonts w:ascii="Arial" w:hAnsi="Arial" w:cs="Arial"/>
          <w:b w:val="0"/>
          <w:caps w:val="0"/>
          <w:sz w:val="20"/>
        </w:rPr>
        <w:t xml:space="preserve">All authors declare that </w:t>
      </w:r>
      <w:r w:rsidR="002F2E5A" w:rsidRPr="00393C3D">
        <w:rPr>
          <w:rFonts w:ascii="Arial" w:hAnsi="Arial" w:cs="Arial"/>
          <w:b w:val="0"/>
          <w:caps w:val="0"/>
          <w:sz w:val="20"/>
        </w:rPr>
        <w:t xml:space="preserve">Departmental ethical Approval and </w:t>
      </w:r>
      <w:r w:rsidRPr="00393C3D">
        <w:rPr>
          <w:rFonts w:ascii="Arial" w:hAnsi="Arial" w:cs="Arial"/>
          <w:b w:val="0"/>
          <w:caps w:val="0"/>
          <w:sz w:val="20"/>
        </w:rPr>
        <w:t>written informed consent was obtained from the patient. A copy of the written consent is available for review by the Editorial office of this journal.</w:t>
      </w:r>
    </w:p>
    <w:p w14:paraId="536D806D" w14:textId="77777777" w:rsidR="001A29D8" w:rsidRDefault="001A29D8" w:rsidP="00441B6F">
      <w:pPr>
        <w:pStyle w:val="ReferHead"/>
        <w:spacing w:after="0"/>
        <w:jc w:val="both"/>
        <w:rPr>
          <w:rFonts w:ascii="Arial" w:hAnsi="Arial" w:cs="Arial"/>
          <w:b w:val="0"/>
          <w:caps w:val="0"/>
          <w:sz w:val="20"/>
        </w:rPr>
      </w:pPr>
    </w:p>
    <w:p w14:paraId="2AE4C192" w14:textId="77777777" w:rsidR="005C784C" w:rsidRDefault="005C784C" w:rsidP="00441B6F">
      <w:pPr>
        <w:pStyle w:val="ReferHead"/>
        <w:spacing w:after="0"/>
        <w:jc w:val="both"/>
        <w:rPr>
          <w:rFonts w:ascii="Arial" w:hAnsi="Arial" w:cs="Arial"/>
          <w:b w:val="0"/>
          <w:caps w:val="0"/>
          <w:sz w:val="20"/>
        </w:rPr>
      </w:pPr>
    </w:p>
    <w:p w14:paraId="37DC4D4F" w14:textId="77777777" w:rsidR="00860000" w:rsidRDefault="00860000" w:rsidP="00441B6F">
      <w:pPr>
        <w:pStyle w:val="ReferHead"/>
        <w:spacing w:after="0"/>
        <w:jc w:val="both"/>
        <w:rPr>
          <w:rFonts w:ascii="Arial" w:hAnsi="Arial" w:cs="Arial"/>
        </w:rPr>
      </w:pPr>
    </w:p>
    <w:p w14:paraId="103ECDFD" w14:textId="231438B4" w:rsidR="00790ADA" w:rsidRPr="00FB3A86" w:rsidRDefault="00B01FCD" w:rsidP="00AD3E54">
      <w:pPr>
        <w:pStyle w:val="ReferHead"/>
        <w:jc w:val="both"/>
        <w:rPr>
          <w:rFonts w:ascii="Arial" w:hAnsi="Arial" w:cs="Arial"/>
        </w:rPr>
      </w:pPr>
      <w:r w:rsidRPr="00FB3A86">
        <w:rPr>
          <w:rFonts w:ascii="Arial" w:hAnsi="Arial" w:cs="Arial"/>
        </w:rPr>
        <w:t>References</w:t>
      </w:r>
    </w:p>
    <w:p w14:paraId="18B8EB80" w14:textId="33F4A7AC" w:rsidR="00F32F48" w:rsidRDefault="00F32F48" w:rsidP="00AD3E54">
      <w:pPr>
        <w:pStyle w:val="Body"/>
      </w:pPr>
      <w:r w:rsidRPr="00F32F48">
        <w:t>Abdelsalam</w:t>
      </w:r>
      <w:r>
        <w:t xml:space="preserve"> KEA</w:t>
      </w:r>
      <w:r w:rsidRPr="00F32F48">
        <w:t xml:space="preserve"> 2016. Effect of Plasmodium falciparum infection on serum levels of calcium, magnesium, zinc and iron among adult Sudanese patients. Asian J. Sci. Res., 9: 122-125.</w:t>
      </w:r>
    </w:p>
    <w:p w14:paraId="73D4ED04" w14:textId="2B669042" w:rsidR="009F1763" w:rsidRDefault="009F1763" w:rsidP="009F1763">
      <w:pPr>
        <w:pStyle w:val="Body"/>
      </w:pPr>
      <w:r>
        <w:t xml:space="preserve">Abdulkareem BO, Adam AO, Ahmed AO, Mariam AA, Samuel UU. </w:t>
      </w:r>
      <w:r w:rsidR="001964BD">
        <w:t xml:space="preserve">2017. </w:t>
      </w:r>
      <w:r>
        <w:t xml:space="preserve">Malaria-induced </w:t>
      </w:r>
      <w:proofErr w:type="spellStart"/>
      <w:r>
        <w:t>anaemia</w:t>
      </w:r>
      <w:proofErr w:type="spellEnd"/>
      <w:r>
        <w:t xml:space="preserve"> and serum micronutrients in asymptomatic Plasmodium falciparum infected patients. Journal of Parasitic Diseases. 41:1093-7.</w:t>
      </w:r>
    </w:p>
    <w:p w14:paraId="4A95A458" w14:textId="5E96D2BA" w:rsidR="009F1763" w:rsidRDefault="009F1763" w:rsidP="009F1763">
      <w:pPr>
        <w:pStyle w:val="Body"/>
      </w:pPr>
      <w:proofErr w:type="spellStart"/>
      <w:r>
        <w:t>Asaolu</w:t>
      </w:r>
      <w:proofErr w:type="spellEnd"/>
      <w:r>
        <w:t xml:space="preserve"> MF, </w:t>
      </w:r>
      <w:proofErr w:type="spellStart"/>
      <w:r>
        <w:t>Igbaakin</w:t>
      </w:r>
      <w:proofErr w:type="spellEnd"/>
      <w:r>
        <w:t xml:space="preserve"> PA. </w:t>
      </w:r>
      <w:r w:rsidR="001964BD">
        <w:t xml:space="preserve">2009. </w:t>
      </w:r>
      <w:r>
        <w:t>Serum Levels of micronutrients and antioxidants during malaria in pregnant women In Ado-Ekiti, Ekiti State, Nigeria. International Journal of Medicine and Medical Sciences. 1(11):</w:t>
      </w:r>
      <w:r w:rsidR="001964BD">
        <w:t xml:space="preserve"> </w:t>
      </w:r>
      <w:r>
        <w:t>523-</w:t>
      </w:r>
      <w:r w:rsidR="001964BD">
        <w:t>52</w:t>
      </w:r>
      <w:r>
        <w:t>6.</w:t>
      </w:r>
    </w:p>
    <w:p w14:paraId="69CEA167" w14:textId="127DCE67" w:rsidR="009F1763" w:rsidRDefault="009F1763" w:rsidP="009F1763">
      <w:pPr>
        <w:pStyle w:val="Body"/>
      </w:pPr>
      <w:r>
        <w:t xml:space="preserve">Bailey RL, West Jr KP, Black RE. </w:t>
      </w:r>
      <w:r w:rsidR="001964BD">
        <w:t xml:space="preserve">2015. </w:t>
      </w:r>
      <w:r>
        <w:t>The epidemiology of global micronutrient deficiencies. Annals of nutrition and metabolism. 66(2):</w:t>
      </w:r>
      <w:r w:rsidR="001964BD">
        <w:t xml:space="preserve"> </w:t>
      </w:r>
      <w:r>
        <w:t>22-33.</w:t>
      </w:r>
    </w:p>
    <w:p w14:paraId="0E58D229" w14:textId="068C27A0" w:rsidR="00AD3E54" w:rsidRDefault="00AD3E54" w:rsidP="009F1763">
      <w:pPr>
        <w:pStyle w:val="Body"/>
      </w:pPr>
      <w:r w:rsidRPr="00AD3E54">
        <w:t xml:space="preserve">Baloch S, </w:t>
      </w:r>
      <w:proofErr w:type="spellStart"/>
      <w:r w:rsidRPr="00AD3E54">
        <w:t>Memon</w:t>
      </w:r>
      <w:proofErr w:type="spellEnd"/>
      <w:r w:rsidRPr="00AD3E54">
        <w:t xml:space="preserve"> SA, </w:t>
      </w:r>
      <w:proofErr w:type="spellStart"/>
      <w:r w:rsidRPr="00AD3E54">
        <w:t>Gachal</w:t>
      </w:r>
      <w:proofErr w:type="spellEnd"/>
      <w:r w:rsidRPr="00AD3E54">
        <w:t xml:space="preserve"> GS, Baloch M. Determination of trace metals abnormalities in patients with vivax malaria. Iranian Journal of Parasitology. 2011 6(2):54.</w:t>
      </w:r>
    </w:p>
    <w:p w14:paraId="5A3757C2" w14:textId="7E89FA6B" w:rsidR="00DF5E9F" w:rsidRDefault="00DF5E9F" w:rsidP="009F1763">
      <w:pPr>
        <w:pStyle w:val="Body"/>
      </w:pPr>
      <w:r w:rsidRPr="00DF5E9F">
        <w:t>Barbagallo M, Veronese N, Dominguez LJ. Magnesium in aging, health and diseases. Nutrients. 2021 Feb;13(2):463.</w:t>
      </w:r>
    </w:p>
    <w:p w14:paraId="3712D9AA" w14:textId="0B626E8A" w:rsidR="009F1763" w:rsidRDefault="009F1763" w:rsidP="009F1763">
      <w:pPr>
        <w:pStyle w:val="Body"/>
      </w:pPr>
      <w:r>
        <w:t xml:space="preserve">Benzecry SG, Alexandre MA, Vítor-Silva S, Salinas JL, de Melo GC, Marinho HA, Paes AT, de Siqueira AM, Monteiro WM, Lacerda MV, Leite HP. </w:t>
      </w:r>
      <w:r w:rsidR="001964BD">
        <w:t xml:space="preserve">2016. </w:t>
      </w:r>
      <w:r>
        <w:t xml:space="preserve">Micronutrient deficiencies and Plasmodium vivax malaria among children in the Brazilian Amazon. </w:t>
      </w:r>
      <w:proofErr w:type="spellStart"/>
      <w:r>
        <w:t>PLoS</w:t>
      </w:r>
      <w:proofErr w:type="spellEnd"/>
      <w:r>
        <w:t xml:space="preserve"> One. 11(3):</w:t>
      </w:r>
      <w:r w:rsidR="001964BD">
        <w:t xml:space="preserve"> </w:t>
      </w:r>
      <w:r>
        <w:t>e0151019.</w:t>
      </w:r>
    </w:p>
    <w:p w14:paraId="69352227" w14:textId="089F8DF4" w:rsidR="009F1763" w:rsidRDefault="009F1763" w:rsidP="009F1763">
      <w:pPr>
        <w:pStyle w:val="Body"/>
      </w:pPr>
      <w:r>
        <w:t xml:space="preserve">Browner W, Haber R. Fever as a cause of hypophosphatemia in patients with malaria. </w:t>
      </w:r>
      <w:proofErr w:type="spellStart"/>
      <w:r>
        <w:t>PLoS</w:t>
      </w:r>
      <w:proofErr w:type="spellEnd"/>
      <w:r>
        <w:t xml:space="preserve"> One. 2007 Dec 26;2(12):</w:t>
      </w:r>
      <w:r w:rsidR="001964BD">
        <w:t xml:space="preserve"> </w:t>
      </w:r>
      <w:r>
        <w:t xml:space="preserve">e1380. </w:t>
      </w:r>
    </w:p>
    <w:p w14:paraId="366C1260" w14:textId="3378FF9D" w:rsidR="009F1763" w:rsidRDefault="009F1763" w:rsidP="009F1763">
      <w:pPr>
        <w:pStyle w:val="Body"/>
      </w:pPr>
      <w:r>
        <w:t xml:space="preserve">Clark MA, Goheen MM, Cerami C. </w:t>
      </w:r>
      <w:r w:rsidR="001964BD">
        <w:t xml:space="preserve">2014. </w:t>
      </w:r>
      <w:r>
        <w:t>Influence of host iron status on Plasmodium falciparum infection. Frontiers in pharmacology. 6</w:t>
      </w:r>
      <w:r w:rsidR="001964BD">
        <w:t>(</w:t>
      </w:r>
      <w:r>
        <w:t>5</w:t>
      </w:r>
      <w:r w:rsidR="001964BD">
        <w:t>)</w:t>
      </w:r>
      <w:r>
        <w:t>:</w:t>
      </w:r>
      <w:r w:rsidR="001964BD">
        <w:t xml:space="preserve"> </w:t>
      </w:r>
      <w:r>
        <w:t>84.</w:t>
      </w:r>
    </w:p>
    <w:p w14:paraId="6B09CF67" w14:textId="7AC9031E" w:rsidR="009F1763" w:rsidRDefault="009F1763" w:rsidP="009F1763">
      <w:pPr>
        <w:pStyle w:val="Body"/>
      </w:pPr>
      <w:r>
        <w:lastRenderedPageBreak/>
        <w:t xml:space="preserve">Dinga JN, Anu EF, </w:t>
      </w:r>
      <w:proofErr w:type="spellStart"/>
      <w:r>
        <w:t>Feumba</w:t>
      </w:r>
      <w:proofErr w:type="spellEnd"/>
      <w:r>
        <w:t xml:space="preserve"> RD, Qin H, Ayah F, </w:t>
      </w:r>
      <w:proofErr w:type="spellStart"/>
      <w:r>
        <w:t>Ayiseh</w:t>
      </w:r>
      <w:proofErr w:type="spellEnd"/>
      <w:r>
        <w:t xml:space="preserve"> RB</w:t>
      </w:r>
      <w:r w:rsidR="001964BD">
        <w:t xml:space="preserve"> et al.</w:t>
      </w:r>
      <w:r>
        <w:t xml:space="preserve"> </w:t>
      </w:r>
      <w:r w:rsidR="001964BD">
        <w:t xml:space="preserve">2024. </w:t>
      </w:r>
      <w:r>
        <w:t xml:space="preserve">Micronutrient Biomarkers and Their Association with Malaria Infection in Children in Buea Health District, Cameroon. Trop Med Infect Dis. 9(12):303. </w:t>
      </w:r>
    </w:p>
    <w:p w14:paraId="72669D26" w14:textId="42D7B772" w:rsidR="009F1763" w:rsidRDefault="009F1763" w:rsidP="009F1763">
      <w:pPr>
        <w:pStyle w:val="Body"/>
      </w:pPr>
      <w:proofErr w:type="spellStart"/>
      <w:r>
        <w:t>Elekima</w:t>
      </w:r>
      <w:proofErr w:type="spellEnd"/>
      <w:r>
        <w:t xml:space="preserve"> I, </w:t>
      </w:r>
      <w:proofErr w:type="spellStart"/>
      <w:r>
        <w:t>Mbeera</w:t>
      </w:r>
      <w:proofErr w:type="spellEnd"/>
      <w:r>
        <w:t xml:space="preserve"> BS, </w:t>
      </w:r>
      <w:proofErr w:type="spellStart"/>
      <w:r>
        <w:t>Ohaka</w:t>
      </w:r>
      <w:proofErr w:type="spellEnd"/>
      <w:r>
        <w:t xml:space="preserve"> TP, </w:t>
      </w:r>
      <w:proofErr w:type="spellStart"/>
      <w:r>
        <w:t>Azike</w:t>
      </w:r>
      <w:proofErr w:type="spellEnd"/>
      <w:r>
        <w:t xml:space="preserve"> CA, Micah OC, </w:t>
      </w:r>
      <w:proofErr w:type="spellStart"/>
      <w:r>
        <w:t>Nwokah</w:t>
      </w:r>
      <w:proofErr w:type="spellEnd"/>
      <w:r>
        <w:t xml:space="preserve"> EG, </w:t>
      </w:r>
      <w:r w:rsidR="001964BD">
        <w:t xml:space="preserve">et al. 2024. </w:t>
      </w:r>
      <w:r>
        <w:t>Prevalence of Helicobacter pylori, Mycobacterium tuberculosis, Malaria Infections, and High Serum Prostate Specific Antigen Levels among Individuals at the Rivers State. Int. J. Trop. Dis. Health.</w:t>
      </w:r>
      <w:r w:rsidR="001964BD">
        <w:t xml:space="preserve"> </w:t>
      </w:r>
      <w:r>
        <w:t>45(2):10-8.</w:t>
      </w:r>
    </w:p>
    <w:p w14:paraId="65A7A906" w14:textId="2A4EA465" w:rsidR="009F1763" w:rsidRDefault="009F1763" w:rsidP="009F1763">
      <w:pPr>
        <w:pStyle w:val="Body"/>
      </w:pPr>
      <w:r>
        <w:t xml:space="preserve">Gallagher JC, Sai A, Templin T 2nd et al. </w:t>
      </w:r>
      <w:r w:rsidR="001964BD">
        <w:t xml:space="preserve">2012. </w:t>
      </w:r>
      <w:r>
        <w:t>Dose response to vitamin D supplementation in postmenopausal women: a randomized trial. Ann Intern Med</w:t>
      </w:r>
      <w:r w:rsidR="001964BD">
        <w:t>,</w:t>
      </w:r>
      <w:r>
        <w:t> 156: 425–437.</w:t>
      </w:r>
    </w:p>
    <w:p w14:paraId="0D87DB86" w14:textId="3D649AC5" w:rsidR="00811541" w:rsidRDefault="00811541" w:rsidP="009F1763">
      <w:pPr>
        <w:pStyle w:val="Body"/>
      </w:pPr>
      <w:proofErr w:type="spellStart"/>
      <w:r w:rsidRPr="00811541">
        <w:t>Gombart</w:t>
      </w:r>
      <w:proofErr w:type="spellEnd"/>
      <w:r w:rsidRPr="00811541">
        <w:t xml:space="preserve"> AF, Pierre A, Maggini S. </w:t>
      </w:r>
      <w:r>
        <w:t xml:space="preserve">2020. </w:t>
      </w:r>
      <w:r w:rsidRPr="00811541">
        <w:t xml:space="preserve">A review of micronutrients and the immune system–working in harmony to reduce the risk of infection. Nutrients. 12(1):236. </w:t>
      </w:r>
    </w:p>
    <w:p w14:paraId="6C0C2C82" w14:textId="711D5662" w:rsidR="009F1763" w:rsidRDefault="009F1763" w:rsidP="009F1763">
      <w:pPr>
        <w:pStyle w:val="Body"/>
      </w:pPr>
      <w:r>
        <w:t xml:space="preserve">Gomes AR, Cunha N, Varela EL, Brígido HP, Vale VV, </w:t>
      </w:r>
      <w:proofErr w:type="spellStart"/>
      <w:r>
        <w:t>Dolabela</w:t>
      </w:r>
      <w:proofErr w:type="spellEnd"/>
      <w:r>
        <w:t xml:space="preserve"> MF, De Carvalho EP, </w:t>
      </w:r>
      <w:proofErr w:type="spellStart"/>
      <w:r>
        <w:t>Percário</w:t>
      </w:r>
      <w:proofErr w:type="spellEnd"/>
      <w:r>
        <w:t xml:space="preserve"> S. </w:t>
      </w:r>
      <w:r w:rsidR="001964BD">
        <w:t xml:space="preserve">2022. </w:t>
      </w:r>
      <w:r>
        <w:t>Oxidative stress in malaria: potential benefits of antioxidant therapy. International Journal of Molecular Sciences.</w:t>
      </w:r>
      <w:r w:rsidR="001964BD">
        <w:t xml:space="preserve"> </w:t>
      </w:r>
      <w:r>
        <w:t>23(11):5949.</w:t>
      </w:r>
    </w:p>
    <w:p w14:paraId="2A14758F" w14:textId="6EB47942" w:rsidR="009F1763" w:rsidRDefault="009F1763" w:rsidP="009F1763">
      <w:pPr>
        <w:pStyle w:val="Body"/>
      </w:pPr>
      <w:proofErr w:type="spellStart"/>
      <w:r>
        <w:t>Gwamaka</w:t>
      </w:r>
      <w:proofErr w:type="spellEnd"/>
      <w:r>
        <w:t xml:space="preserve"> M, Kurtis JD, Sorensen BE, Holte S, Morrison R, Mutabingwa TK, Fried M, Duffy PE. </w:t>
      </w:r>
      <w:r w:rsidR="001964BD">
        <w:t xml:space="preserve">2012. </w:t>
      </w:r>
      <w:r>
        <w:t>Iron deficiency protects against severe Plasmodium falciparum malaria and death in young children. Clinical infectious diseases. 54(8):1137-44.</w:t>
      </w:r>
    </w:p>
    <w:p w14:paraId="6DEEAC03" w14:textId="45B8A7FB" w:rsidR="009F1763" w:rsidRDefault="009F1763" w:rsidP="009F1763">
      <w:pPr>
        <w:pStyle w:val="Body"/>
      </w:pPr>
      <w:proofErr w:type="spellStart"/>
      <w:r>
        <w:t>Kabyemela</w:t>
      </w:r>
      <w:proofErr w:type="spellEnd"/>
      <w:r>
        <w:t xml:space="preserve"> ER, Fried M, Kurtis JD, Mutabingwa TK, Duffy PE. </w:t>
      </w:r>
      <w:r w:rsidR="001964BD">
        <w:t xml:space="preserve">2008. </w:t>
      </w:r>
      <w:r>
        <w:t>Decreased susceptibility to Plasmodium falciparum infection in pregnant women with iron deficiency. J Infect Dis.</w:t>
      </w:r>
      <w:r w:rsidR="001964BD">
        <w:t xml:space="preserve">, </w:t>
      </w:r>
      <w:r>
        <w:t>198:163–6.</w:t>
      </w:r>
    </w:p>
    <w:p w14:paraId="6C302FC5" w14:textId="77777777" w:rsidR="00161ACE" w:rsidRDefault="00161ACE" w:rsidP="009F1763">
      <w:pPr>
        <w:pStyle w:val="Body"/>
      </w:pPr>
      <w:proofErr w:type="spellStart"/>
      <w:r w:rsidRPr="00161ACE">
        <w:t>Kotepui</w:t>
      </w:r>
      <w:proofErr w:type="spellEnd"/>
      <w:r w:rsidRPr="00161ACE">
        <w:t xml:space="preserve"> KU, </w:t>
      </w:r>
      <w:proofErr w:type="spellStart"/>
      <w:r w:rsidRPr="00161ACE">
        <w:t>Mahittikorn</w:t>
      </w:r>
      <w:proofErr w:type="spellEnd"/>
      <w:r w:rsidRPr="00161ACE">
        <w:t xml:space="preserve"> A, </w:t>
      </w:r>
      <w:proofErr w:type="spellStart"/>
      <w:r w:rsidRPr="00161ACE">
        <w:t>Wilairatana</w:t>
      </w:r>
      <w:proofErr w:type="spellEnd"/>
      <w:r w:rsidRPr="00161ACE">
        <w:t xml:space="preserve"> P, </w:t>
      </w:r>
      <w:proofErr w:type="spellStart"/>
      <w:r w:rsidRPr="00161ACE">
        <w:t>Masangkay</w:t>
      </w:r>
      <w:proofErr w:type="spellEnd"/>
      <w:r w:rsidRPr="00161ACE">
        <w:t xml:space="preserve"> FR, </w:t>
      </w:r>
      <w:proofErr w:type="spellStart"/>
      <w:r w:rsidRPr="00161ACE">
        <w:t>Kotepui</w:t>
      </w:r>
      <w:proofErr w:type="spellEnd"/>
      <w:r w:rsidRPr="00161ACE">
        <w:t xml:space="preserve"> M. A systematic review and meta-analysis of the relationship between magnesium levels and malaria severity. Scientific Reports. 2024 Jan 16;14(1):1348.</w:t>
      </w:r>
    </w:p>
    <w:p w14:paraId="7849F0B6" w14:textId="50948146" w:rsidR="009F1763" w:rsidRDefault="009F1763" w:rsidP="009F1763">
      <w:pPr>
        <w:pStyle w:val="Body"/>
      </w:pPr>
      <w:proofErr w:type="spellStart"/>
      <w:r>
        <w:t>Manghat</w:t>
      </w:r>
      <w:proofErr w:type="spellEnd"/>
      <w:r>
        <w:t xml:space="preserve"> P, </w:t>
      </w:r>
      <w:proofErr w:type="spellStart"/>
      <w:r>
        <w:t>Sodi</w:t>
      </w:r>
      <w:proofErr w:type="spellEnd"/>
      <w:r>
        <w:t xml:space="preserve"> R, Swaminathan R. </w:t>
      </w:r>
      <w:r w:rsidR="001964BD">
        <w:t xml:space="preserve">2014. </w:t>
      </w:r>
      <w:r>
        <w:t>Phosphate homeostasis and disorders. Annals of clinical biochemistry. 51(6):631-56.</w:t>
      </w:r>
    </w:p>
    <w:p w14:paraId="25F9634B" w14:textId="65BAD6E4" w:rsidR="00A20307" w:rsidRDefault="00A20307" w:rsidP="009F1763">
      <w:pPr>
        <w:pStyle w:val="Body"/>
      </w:pPr>
      <w:proofErr w:type="spellStart"/>
      <w:r w:rsidRPr="00A20307">
        <w:t>Mbanefo</w:t>
      </w:r>
      <w:proofErr w:type="spellEnd"/>
      <w:r w:rsidRPr="00A20307">
        <w:t>, A</w:t>
      </w:r>
      <w:r>
        <w:t>,</w:t>
      </w:r>
      <w:r w:rsidRPr="00A20307">
        <w:t> Kumar, N</w:t>
      </w:r>
      <w:r>
        <w:t>.</w:t>
      </w:r>
      <w:r w:rsidRPr="00A20307">
        <w:t> 2020</w:t>
      </w:r>
      <w:r>
        <w:t>.</w:t>
      </w:r>
      <w:r w:rsidRPr="00A20307">
        <w:t> Evaluation of malaria diagnostic methods as a key for successful control and elimination programs. Trop Med Infect Dis</w:t>
      </w:r>
      <w:r>
        <w:t>.</w:t>
      </w:r>
      <w:r w:rsidRPr="00A20307">
        <w:t> 5</w:t>
      </w:r>
      <w:r>
        <w:t>:</w:t>
      </w:r>
      <w:r w:rsidRPr="00A20307">
        <w:t> 102.</w:t>
      </w:r>
    </w:p>
    <w:p w14:paraId="47A47F9C" w14:textId="4EA4DE85" w:rsidR="009F1763" w:rsidRDefault="009F1763" w:rsidP="009F1763">
      <w:pPr>
        <w:pStyle w:val="Body"/>
      </w:pPr>
      <w:r>
        <w:t xml:space="preserve">Muriuki JM, Mentzer AJ, Mitchell R, Webb EL, Etyang AO, </w:t>
      </w:r>
      <w:proofErr w:type="spellStart"/>
      <w:r>
        <w:t>Kyobutungi</w:t>
      </w:r>
      <w:proofErr w:type="spellEnd"/>
      <w:r>
        <w:t xml:space="preserve"> C, </w:t>
      </w:r>
      <w:proofErr w:type="spellStart"/>
      <w:r>
        <w:t>Morovat</w:t>
      </w:r>
      <w:proofErr w:type="spellEnd"/>
      <w:r>
        <w:t xml:space="preserve"> A, </w:t>
      </w:r>
      <w:proofErr w:type="spellStart"/>
      <w:r>
        <w:t>Kimita</w:t>
      </w:r>
      <w:proofErr w:type="spellEnd"/>
      <w:r>
        <w:t xml:space="preserve"> W, Ndungu FM, Macharia AW, </w:t>
      </w:r>
      <w:proofErr w:type="spellStart"/>
      <w:r>
        <w:t>Ngetsa</w:t>
      </w:r>
      <w:proofErr w:type="spellEnd"/>
      <w:r>
        <w:t xml:space="preserve"> CJ. </w:t>
      </w:r>
      <w:r w:rsidR="001964BD">
        <w:t xml:space="preserve">2021. </w:t>
      </w:r>
      <w:r>
        <w:t>Malaria is a cause of iron deficiency in African children. Nature medicine. 27(4):653-8.</w:t>
      </w:r>
    </w:p>
    <w:p w14:paraId="0CC06981" w14:textId="5EF0EA73" w:rsidR="009F1763" w:rsidRDefault="009F1763" w:rsidP="009F1763">
      <w:pPr>
        <w:pStyle w:val="Body"/>
      </w:pPr>
      <w:proofErr w:type="spellStart"/>
      <w:r>
        <w:t>Obisike</w:t>
      </w:r>
      <w:proofErr w:type="spellEnd"/>
      <w:r>
        <w:t xml:space="preserve">, UA, </w:t>
      </w:r>
      <w:proofErr w:type="spellStart"/>
      <w:r>
        <w:t>Buochuama</w:t>
      </w:r>
      <w:proofErr w:type="spellEnd"/>
      <w:r>
        <w:t>, ST, Monsi, TP. 2024. Assessment of the Effect of Acute Malaria on Some Renal Function Parameters amongst Port Harcourt Residents, Rivers State, Nigeria. International Journal of Advances in Nephrology Research. 17;7(1):34-44.</w:t>
      </w:r>
    </w:p>
    <w:p w14:paraId="4C9C2792" w14:textId="2C3DAE2B" w:rsidR="009F1763" w:rsidRDefault="009F1763" w:rsidP="009F1763">
      <w:pPr>
        <w:pStyle w:val="Body"/>
      </w:pPr>
      <w:proofErr w:type="spellStart"/>
      <w:r>
        <w:t>Okagu</w:t>
      </w:r>
      <w:proofErr w:type="spellEnd"/>
      <w:r>
        <w:t xml:space="preserve"> IU, </w:t>
      </w:r>
      <w:proofErr w:type="spellStart"/>
      <w:r>
        <w:t>Aguchem</w:t>
      </w:r>
      <w:proofErr w:type="spellEnd"/>
      <w:r>
        <w:t xml:space="preserve"> RN, </w:t>
      </w:r>
      <w:proofErr w:type="spellStart"/>
      <w:r>
        <w:t>Ezema</w:t>
      </w:r>
      <w:proofErr w:type="spellEnd"/>
      <w:r>
        <w:t xml:space="preserve"> CA, </w:t>
      </w:r>
      <w:proofErr w:type="spellStart"/>
      <w:r>
        <w:t>Ezeorba</w:t>
      </w:r>
      <w:proofErr w:type="spellEnd"/>
      <w:r>
        <w:t xml:space="preserve"> TP, </w:t>
      </w:r>
      <w:proofErr w:type="spellStart"/>
      <w:r>
        <w:t>Eje</w:t>
      </w:r>
      <w:proofErr w:type="spellEnd"/>
      <w:r>
        <w:t xml:space="preserve"> OE, </w:t>
      </w:r>
      <w:proofErr w:type="spellStart"/>
      <w:r>
        <w:t>Ndefo</w:t>
      </w:r>
      <w:proofErr w:type="spellEnd"/>
      <w:r>
        <w:t xml:space="preserve"> JC. </w:t>
      </w:r>
      <w:r w:rsidR="001964BD">
        <w:t xml:space="preserve">2022. </w:t>
      </w:r>
      <w:r>
        <w:t xml:space="preserve">Molecular mechanisms of hematological and biochemical alterations in malaria: a review. Molecular and biochemical parasitology. </w:t>
      </w:r>
      <w:proofErr w:type="gramStart"/>
      <w:r>
        <w:t>1;247:111446</w:t>
      </w:r>
      <w:proofErr w:type="gramEnd"/>
      <w:r>
        <w:t>.</w:t>
      </w:r>
    </w:p>
    <w:p w14:paraId="1DA6DE3D" w14:textId="259E517A" w:rsidR="009F1763" w:rsidRDefault="009F1763" w:rsidP="009F1763">
      <w:pPr>
        <w:pStyle w:val="Body"/>
      </w:pPr>
      <w:r>
        <w:t xml:space="preserve">Olaniyi JA, Arinola OG 2007.  Essential Trace elements and antioxidant status in relation to severity of HIV in Nigerian patients. Med </w:t>
      </w:r>
      <w:proofErr w:type="spellStart"/>
      <w:r>
        <w:t>Princ</w:t>
      </w:r>
      <w:proofErr w:type="spellEnd"/>
      <w:r>
        <w:t xml:space="preserve"> </w:t>
      </w:r>
      <w:proofErr w:type="spellStart"/>
      <w:r>
        <w:t>Pract</w:t>
      </w:r>
      <w:proofErr w:type="spellEnd"/>
      <w:r>
        <w:t>, 16(6): 420–425.</w:t>
      </w:r>
    </w:p>
    <w:p w14:paraId="25A8879A" w14:textId="10179B5F" w:rsidR="009F1763" w:rsidRDefault="009F1763" w:rsidP="009F1763">
      <w:pPr>
        <w:pStyle w:val="Body"/>
      </w:pPr>
      <w:proofErr w:type="spellStart"/>
      <w:r>
        <w:lastRenderedPageBreak/>
        <w:t>Orevaoghene</w:t>
      </w:r>
      <w:proofErr w:type="spellEnd"/>
      <w:r>
        <w:t xml:space="preserve">, O. E., Ugochukwu, N. C., </w:t>
      </w:r>
      <w:proofErr w:type="spellStart"/>
      <w:r>
        <w:t>Edache</w:t>
      </w:r>
      <w:proofErr w:type="spellEnd"/>
      <w:r>
        <w:t>, A. A., &amp; Adah, O. R. 2022. Prevalence of Plasmodium falciparum Malaria among Children Residing in Urban and Peri-urban Settlements in Rivers State. Journal of Advances in Microbiology, 22(4): 1–7.</w:t>
      </w:r>
    </w:p>
    <w:p w14:paraId="4D66F6B0" w14:textId="77777777" w:rsidR="009F1763" w:rsidRDefault="009F1763" w:rsidP="009F1763">
      <w:pPr>
        <w:pStyle w:val="Body"/>
      </w:pPr>
      <w:r>
        <w:t xml:space="preserve">Pepple G, Hart L, Oba T, </w:t>
      </w:r>
      <w:proofErr w:type="spellStart"/>
      <w:r>
        <w:t>Adewebi</w:t>
      </w:r>
      <w:proofErr w:type="spellEnd"/>
      <w:r>
        <w:t xml:space="preserve"> O. Varying Geometry Area Determination of Selected Sites in Rivers State University, Port Harcourt, Nigeria. International Journal of Scientific Research and Engineering Development, 7(1): 496-507.</w:t>
      </w:r>
    </w:p>
    <w:p w14:paraId="0C693D02" w14:textId="7058C47F" w:rsidR="009F1763" w:rsidRDefault="009F1763" w:rsidP="009F1763">
      <w:pPr>
        <w:pStyle w:val="Body"/>
      </w:pPr>
      <w:r w:rsidRPr="009F1763">
        <w:t xml:space="preserve">Shankar H, Singh MP, Hussain SS, Phookan S, Singh K, Mishra N. </w:t>
      </w:r>
      <w:r>
        <w:t xml:space="preserve">2022. </w:t>
      </w:r>
      <w:r w:rsidRPr="009F1763">
        <w:t>Epidemiology of malaria and anemia in high and low malaria-endemic north-eastern districts of India. Frontiers in public health.</w:t>
      </w:r>
      <w:r>
        <w:t xml:space="preserve"> </w:t>
      </w:r>
      <w:proofErr w:type="gramStart"/>
      <w:r w:rsidRPr="009F1763">
        <w:t>28;10:940898</w:t>
      </w:r>
      <w:proofErr w:type="gramEnd"/>
      <w:r w:rsidRPr="009F1763">
        <w:t xml:space="preserve">. </w:t>
      </w:r>
    </w:p>
    <w:p w14:paraId="1C9DB2C1" w14:textId="3F9A075D" w:rsidR="009F1763" w:rsidRDefault="009F1763" w:rsidP="009F1763">
      <w:pPr>
        <w:pStyle w:val="Body"/>
      </w:pPr>
      <w:proofErr w:type="spellStart"/>
      <w:r>
        <w:t>Spottiswoode</w:t>
      </w:r>
      <w:proofErr w:type="spellEnd"/>
      <w:r>
        <w:t xml:space="preserve"> N, Duffy PE, </w:t>
      </w:r>
      <w:proofErr w:type="spellStart"/>
      <w:r>
        <w:t>Drakesmith</w:t>
      </w:r>
      <w:proofErr w:type="spellEnd"/>
      <w:r>
        <w:t xml:space="preserve"> H. 2014. Iron, anemia and hepcidin in malaria. Frontiers in pharmacology. 2014 30(5):125.</w:t>
      </w:r>
    </w:p>
    <w:p w14:paraId="68DF59D9" w14:textId="77777777" w:rsidR="009F1763" w:rsidRDefault="009F1763" w:rsidP="009F1763">
      <w:pPr>
        <w:pStyle w:val="Body"/>
      </w:pPr>
      <w:proofErr w:type="spellStart"/>
      <w:r>
        <w:t>Spottiswoode</w:t>
      </w:r>
      <w:proofErr w:type="spellEnd"/>
      <w:r>
        <w:t xml:space="preserve"> N, Fried M, </w:t>
      </w:r>
      <w:proofErr w:type="spellStart"/>
      <w:r>
        <w:t>Drakesmith</w:t>
      </w:r>
      <w:proofErr w:type="spellEnd"/>
      <w:r>
        <w:t xml:space="preserve"> H, Duffy PE. Implications of malaria on iron deficiency control strategies. Advances in Nutrition. 2012 Jul 1;3(4):570-8.</w:t>
      </w:r>
    </w:p>
    <w:p w14:paraId="5B86D277" w14:textId="425C7B4D" w:rsidR="009F1763" w:rsidRDefault="009F1763" w:rsidP="009F1763">
      <w:pPr>
        <w:pStyle w:val="Body"/>
      </w:pPr>
      <w:r>
        <w:t xml:space="preserve">Suen HM, </w:t>
      </w:r>
      <w:proofErr w:type="spellStart"/>
      <w:r>
        <w:t>Pasvol</w:t>
      </w:r>
      <w:proofErr w:type="spellEnd"/>
      <w:r>
        <w:t xml:space="preserve"> G, Cunnington AJ. 2020. Clinical and laboratory features associated with serum phosphate concentrations in malaria and other febrile illnesses. Malaria Journal. 19:1-9.</w:t>
      </w:r>
    </w:p>
    <w:p w14:paraId="589D39DD" w14:textId="313C2DAD" w:rsidR="006B78B9" w:rsidRDefault="006B78B9" w:rsidP="009F1763">
      <w:pPr>
        <w:pStyle w:val="Body"/>
      </w:pPr>
      <w:r w:rsidRPr="006B78B9">
        <w:t>Tyagi RA, Tyagi AG, Choudhary PR. Study of cation imbalance in patients of malaria. Physiology and Pharmacology. 2017;</w:t>
      </w:r>
      <w:r>
        <w:t xml:space="preserve"> </w:t>
      </w:r>
      <w:r w:rsidRPr="006B78B9">
        <w:t>21(3):175-</w:t>
      </w:r>
      <w:r w:rsidR="00DF5E9F">
        <w:t>1</w:t>
      </w:r>
      <w:r w:rsidRPr="006B78B9">
        <w:t>84.</w:t>
      </w:r>
    </w:p>
    <w:p w14:paraId="5E450A00" w14:textId="1FE96A3C" w:rsidR="009F1763" w:rsidRDefault="009F1763" w:rsidP="009F1763">
      <w:pPr>
        <w:pStyle w:val="Body"/>
      </w:pPr>
      <w:proofErr w:type="spellStart"/>
      <w:r>
        <w:t>Veldurthy</w:t>
      </w:r>
      <w:proofErr w:type="spellEnd"/>
      <w:r>
        <w:t xml:space="preserve"> V, Wei R, Oz L, Dhawan P, Jeon YH, Christakos S. 2016. Vitamin D, calcium homeostasis and aging. Bone research. 18;4(1):1-7.</w:t>
      </w:r>
    </w:p>
    <w:p w14:paraId="199D9BFC" w14:textId="53ADC89C" w:rsidR="009F1763" w:rsidRDefault="009F1763" w:rsidP="009F1763">
      <w:pPr>
        <w:pStyle w:val="Body"/>
      </w:pPr>
      <w:r>
        <w:t>World Health Organization. 2016. Malaria parasite counting. Malaria Microscopy Standard Operating Procedure-MM-SOP-09. WHO, Geneva, 5pp</w:t>
      </w:r>
    </w:p>
    <w:p w14:paraId="469F2B86" w14:textId="77777777" w:rsidR="001964BD" w:rsidRDefault="001964BD" w:rsidP="001964BD">
      <w:pPr>
        <w:pStyle w:val="Body"/>
      </w:pPr>
      <w:r>
        <w:t xml:space="preserve">World Health </w:t>
      </w:r>
      <w:proofErr w:type="spellStart"/>
      <w:r>
        <w:t>Organisation</w:t>
      </w:r>
      <w:proofErr w:type="spellEnd"/>
      <w:r>
        <w:t xml:space="preserve"> 2024. Malaria. [online] World Health Organization. Available at: https://www.who.int/news-room/fact-sheets/detail/malaria [Accessed 18 Feb. 2025]. </w:t>
      </w:r>
    </w:p>
    <w:p w14:paraId="4E75E14C" w14:textId="1EE40EAC" w:rsidR="009F1763" w:rsidRDefault="009F1763" w:rsidP="009F1763">
      <w:pPr>
        <w:pStyle w:val="Body"/>
      </w:pPr>
      <w:r>
        <w:t xml:space="preserve">Woolley SD, Grigg MJ, Marquart L, Gower JS, Piera K, Nair AS, </w:t>
      </w:r>
      <w:proofErr w:type="spellStart"/>
      <w:r>
        <w:t>Amante</w:t>
      </w:r>
      <w:proofErr w:type="spellEnd"/>
      <w:r>
        <w:t xml:space="preserve"> FM, </w:t>
      </w:r>
      <w:proofErr w:type="spellStart"/>
      <w:r>
        <w:t>Rajahram</w:t>
      </w:r>
      <w:proofErr w:type="spellEnd"/>
      <w:r>
        <w:t xml:space="preserve"> GS, William T, Frazer DM, Chalon S. 2024. Longitudinal changes in iron homeostasis in human experimental and clinical malaria. </w:t>
      </w:r>
      <w:proofErr w:type="spellStart"/>
      <w:r>
        <w:t>EBioMedicine</w:t>
      </w:r>
      <w:proofErr w:type="spellEnd"/>
      <w:r>
        <w:t>. 1;105.</w:t>
      </w:r>
    </w:p>
    <w:p w14:paraId="757DD371" w14:textId="7450F006" w:rsidR="009F1763" w:rsidRDefault="009F1763" w:rsidP="009F1763">
      <w:pPr>
        <w:pStyle w:val="Body"/>
      </w:pPr>
      <w:r>
        <w:t xml:space="preserve">Wunderlich J, </w:t>
      </w:r>
      <w:proofErr w:type="spellStart"/>
      <w:r>
        <w:t>Kotov</w:t>
      </w:r>
      <w:proofErr w:type="spellEnd"/>
      <w:r>
        <w:t xml:space="preserve"> V, </w:t>
      </w:r>
      <w:proofErr w:type="spellStart"/>
      <w:r>
        <w:t>Votborg-Novél</w:t>
      </w:r>
      <w:proofErr w:type="spellEnd"/>
      <w:r>
        <w:t xml:space="preserve"> L, </w:t>
      </w:r>
      <w:proofErr w:type="spellStart"/>
      <w:r>
        <w:t>Ntalla</w:t>
      </w:r>
      <w:proofErr w:type="spellEnd"/>
      <w:r>
        <w:t xml:space="preserve"> C, Geffken M, Peine S, Portugal S, Strauss J. 2024. Iron transport pathways in the human malaria parasite Plasmodium falciparum revealed by RNA-sequencing. Frontiers in Cellular and Infection Microbiology. </w:t>
      </w:r>
      <w:proofErr w:type="gramStart"/>
      <w:r>
        <w:t>7;14:1480076</w:t>
      </w:r>
      <w:proofErr w:type="gramEnd"/>
      <w:r>
        <w:t>.</w:t>
      </w:r>
    </w:p>
    <w:p w14:paraId="5F8CB0F1" w14:textId="77777777" w:rsidR="009F1763" w:rsidRDefault="009F1763" w:rsidP="00F6377A">
      <w:pPr>
        <w:pStyle w:val="Body"/>
      </w:pPr>
    </w:p>
    <w:p w14:paraId="17731374" w14:textId="77777777" w:rsidR="009F1763" w:rsidRDefault="009F1763" w:rsidP="00F6377A">
      <w:pPr>
        <w:pStyle w:val="Body"/>
      </w:pPr>
    </w:p>
    <w:p w14:paraId="006546CC" w14:textId="77777777" w:rsidR="009F1763" w:rsidRDefault="009F1763" w:rsidP="00F6377A">
      <w:pPr>
        <w:pStyle w:val="Body"/>
      </w:pPr>
    </w:p>
    <w:p w14:paraId="08F0975D" w14:textId="260612BA" w:rsidR="00F03627" w:rsidRPr="00AE59BD" w:rsidRDefault="00F03627" w:rsidP="00F6377A">
      <w:pPr>
        <w:pStyle w:val="Body"/>
        <w:rPr>
          <w:rFonts w:ascii="Arial" w:hAnsi="Arial" w:cs="Arial"/>
          <w:iCs/>
        </w:rPr>
      </w:pPr>
    </w:p>
    <w:p w14:paraId="1154F652" w14:textId="77777777" w:rsidR="00284C4C" w:rsidRDefault="00284C4C" w:rsidP="000D689F">
      <w:pPr>
        <w:pStyle w:val="Body"/>
        <w:spacing w:after="0"/>
      </w:pPr>
    </w:p>
    <w:p w14:paraId="2A2B2D68" w14:textId="77777777" w:rsidR="00790ADA" w:rsidRPr="00FB3A86" w:rsidRDefault="00790ADA" w:rsidP="00441B6F">
      <w:pPr>
        <w:pStyle w:val="Body"/>
        <w:spacing w:after="0"/>
        <w:rPr>
          <w:rFonts w:ascii="Arial" w:hAnsi="Arial" w:cs="Arial"/>
        </w:rPr>
      </w:pPr>
    </w:p>
    <w:p w14:paraId="5579A82D" w14:textId="0A5AE263" w:rsidR="004D4277" w:rsidRPr="00FB3A86" w:rsidRDefault="004D4277" w:rsidP="00441B6F">
      <w:pPr>
        <w:pStyle w:val="Appendix"/>
        <w:spacing w:after="0"/>
        <w:jc w:val="both"/>
        <w:rPr>
          <w:rFonts w:ascii="Arial" w:hAnsi="Arial" w:cs="Arial"/>
          <w:b w:val="0"/>
        </w:rPr>
        <w:sectPr w:rsidR="004D4277" w:rsidRPr="00FB3A86" w:rsidSect="000B1E33">
          <w:headerReference w:type="even" r:id="rId39"/>
          <w:headerReference w:type="default" r:id="rId40"/>
          <w:footerReference w:type="default" r:id="rId41"/>
          <w:headerReference w:type="first" r:id="rId42"/>
          <w:type w:val="continuous"/>
          <w:pgSz w:w="12240" w:h="15840"/>
          <w:pgMar w:top="1440" w:right="2016" w:bottom="2016" w:left="2016" w:header="720" w:footer="1123" w:gutter="0"/>
          <w:lnNumType w:countBy="1" w:restart="continuous"/>
          <w:cols w:space="720"/>
          <w:docGrid w:linePitch="272"/>
        </w:sectPr>
      </w:pPr>
    </w:p>
    <w:p w14:paraId="3735A56F" w14:textId="77777777" w:rsidR="00B01FCD" w:rsidRDefault="00B01FCD" w:rsidP="00441B6F">
      <w:pPr>
        <w:pStyle w:val="Appendix"/>
        <w:spacing w:after="0"/>
        <w:jc w:val="both"/>
        <w:rPr>
          <w:rFonts w:ascii="Arial" w:hAnsi="Arial" w:cs="Arial"/>
          <w:b w:val="0"/>
        </w:rPr>
      </w:pPr>
    </w:p>
    <w:p w14:paraId="55530576" w14:textId="5584A080" w:rsidR="00A24C21" w:rsidRPr="00425897" w:rsidRDefault="00A24C21" w:rsidP="00A24C21">
      <w:pPr>
        <w:jc w:val="center"/>
        <w:rPr>
          <w:rFonts w:ascii="Arial" w:hAnsi="Arial" w:cs="Arial"/>
        </w:rPr>
      </w:pPr>
    </w:p>
    <w:p w14:paraId="6D0555A8" w14:textId="3C040B88" w:rsidR="00A24C21" w:rsidRPr="00425897" w:rsidRDefault="00A24C21" w:rsidP="00A24C21">
      <w:pPr>
        <w:jc w:val="center"/>
        <w:rPr>
          <w:rFonts w:ascii="Arial" w:hAnsi="Arial" w:cs="Arial"/>
        </w:rPr>
      </w:pPr>
    </w:p>
    <w:p w14:paraId="36CF17B8" w14:textId="37E46970" w:rsidR="00E668DA" w:rsidRPr="00425897" w:rsidRDefault="00E668DA" w:rsidP="00E668DA">
      <w:pPr>
        <w:jc w:val="center"/>
        <w:rPr>
          <w:rFonts w:ascii="Arial" w:hAnsi="Arial" w:cs="Arial"/>
        </w:rPr>
      </w:pPr>
    </w:p>
    <w:p w14:paraId="41CDB793" w14:textId="2E993E4C" w:rsidR="00E668DA" w:rsidRPr="00425897" w:rsidRDefault="00E668DA" w:rsidP="00E668DA">
      <w:pPr>
        <w:jc w:val="center"/>
        <w:rPr>
          <w:rFonts w:ascii="Arial" w:hAnsi="Arial" w:cs="Arial"/>
        </w:rPr>
      </w:pPr>
    </w:p>
    <w:p w14:paraId="2D244FAB" w14:textId="27607877" w:rsidR="00EF4730" w:rsidRPr="00FB3A86" w:rsidRDefault="00EF4730" w:rsidP="00441B6F">
      <w:pPr>
        <w:pStyle w:val="Appendix"/>
        <w:spacing w:after="0"/>
        <w:jc w:val="both"/>
        <w:rPr>
          <w:rFonts w:ascii="Arial" w:hAnsi="Arial" w:cs="Arial"/>
          <w:b w:val="0"/>
        </w:rPr>
      </w:pPr>
    </w:p>
    <w:sectPr w:rsidR="00EF4730" w:rsidRPr="00FB3A86" w:rsidSect="00412475">
      <w:type w:val="continuous"/>
      <w:pgSz w:w="12240" w:h="15840"/>
      <w:pgMar w:top="720" w:right="720" w:bottom="720" w:left="720"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22C46E" w14:textId="77777777" w:rsidR="00E33AC1" w:rsidRDefault="00E33AC1" w:rsidP="00C37E61">
      <w:r>
        <w:separator/>
      </w:r>
    </w:p>
  </w:endnote>
  <w:endnote w:type="continuationSeparator" w:id="0">
    <w:p w14:paraId="47CBC737" w14:textId="77777777" w:rsidR="00E33AC1" w:rsidRDefault="00E33AC1"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08FD37" w14:textId="77777777" w:rsidR="0026697F" w:rsidRDefault="0026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1D8C3C" w14:textId="77777777" w:rsidR="0026697F" w:rsidRDefault="0026697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27A939" w14:textId="77777777" w:rsidR="009E048A" w:rsidRDefault="009E048A">
    <w:pPr>
      <w:pStyle w:val="Footer"/>
      <w:rPr>
        <w:rFonts w:ascii="Arial" w:hAnsi="Arial" w:cs="Arial"/>
        <w:sz w:val="16"/>
      </w:rPr>
    </w:pPr>
  </w:p>
  <w:p w14:paraId="6F93B59D"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10AB33EF" w14:textId="77777777" w:rsidR="009E048A" w:rsidRDefault="009E048A">
    <w:pPr>
      <w:pStyle w:val="Footer"/>
      <w:rPr>
        <w:rFonts w:ascii="Arial" w:hAnsi="Arial" w:cs="Arial"/>
        <w:sz w:val="16"/>
      </w:rPr>
    </w:pPr>
  </w:p>
  <w:p w14:paraId="12F420E2" w14:textId="77777777"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7365D7"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FA7D23" w14:textId="77777777" w:rsidR="00E33AC1" w:rsidRDefault="00E33AC1" w:rsidP="00C37E61">
      <w:r>
        <w:separator/>
      </w:r>
    </w:p>
  </w:footnote>
  <w:footnote w:type="continuationSeparator" w:id="0">
    <w:p w14:paraId="220E812E" w14:textId="77777777" w:rsidR="00E33AC1" w:rsidRDefault="00E33AC1"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30A694" w14:textId="30467124" w:rsidR="0026697F" w:rsidRDefault="0026697F">
    <w:pPr>
      <w:pStyle w:val="Header"/>
    </w:pPr>
    <w:r>
      <w:rPr>
        <w:noProof/>
      </w:rPr>
      <w:pict w14:anchorId="73CD912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688452" w14:textId="43091CAE" w:rsidR="0026697F" w:rsidRDefault="0026697F">
    <w:pPr>
      <w:pStyle w:val="Header"/>
    </w:pPr>
    <w:r>
      <w:rPr>
        <w:noProof/>
      </w:rPr>
      <w:pict w14:anchorId="49EDCE1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3B74C3" w14:textId="6C0804DF" w:rsidR="00296529" w:rsidRPr="00296529" w:rsidRDefault="0026697F" w:rsidP="00296529">
    <w:pPr>
      <w:ind w:left="2160"/>
      <w:jc w:val="center"/>
      <w:rPr>
        <w:rFonts w:ascii="Times New Roman" w:eastAsia="Calibri" w:hAnsi="Times New Roman"/>
        <w:i/>
        <w:sz w:val="18"/>
        <w:szCs w:val="22"/>
      </w:rPr>
    </w:pPr>
    <w:r>
      <w:rPr>
        <w:noProof/>
      </w:rPr>
      <w:pict w14:anchorId="31A041C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41FB3EEC"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5EA9B4A8"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2F847177"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0701B34F"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67487F57"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634A1BCC"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9DAABE" w14:textId="2470B688" w:rsidR="0026697F" w:rsidRDefault="0026697F">
    <w:pPr>
      <w:pStyle w:val="Header"/>
    </w:pPr>
    <w:r>
      <w:rPr>
        <w:noProof/>
      </w:rPr>
      <w:pict w14:anchorId="7BC089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D6226D" w14:textId="51F9C253" w:rsidR="0026697F" w:rsidRDefault="0026697F">
    <w:pPr>
      <w:pStyle w:val="Header"/>
    </w:pPr>
    <w:r>
      <w:rPr>
        <w:noProof/>
      </w:rPr>
      <w:pict w14:anchorId="0789F14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37E6EF" w14:textId="19FA1CA8" w:rsidR="0026697F" w:rsidRDefault="0026697F">
    <w:pPr>
      <w:pStyle w:val="Header"/>
    </w:pPr>
    <w:r>
      <w:rPr>
        <w:noProof/>
      </w:rPr>
      <w:pict w14:anchorId="1AB12C3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5"/>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8"/>
  </w:num>
  <w:num w:numId="20">
    <w:abstractNumId w:val="11"/>
  </w:num>
  <w:num w:numId="21">
    <w:abstractNumId w:val="9"/>
  </w:num>
  <w:num w:numId="22">
    <w:abstractNumId w:val="13"/>
  </w:num>
  <w:num w:numId="23">
    <w:abstractNumId w:val="19"/>
  </w:num>
  <w:num w:numId="24">
    <w:abstractNumId w:val="26"/>
  </w:num>
  <w:num w:numId="25">
    <w:abstractNumId w:val="4"/>
  </w:num>
  <w:num w:numId="26">
    <w:abstractNumId w:val="16"/>
  </w:num>
  <w:num w:numId="27">
    <w:abstractNumId w:val="20"/>
  </w:num>
  <w:num w:numId="28">
    <w:abstractNumId w:val="27"/>
  </w:num>
  <w:num w:numId="29">
    <w:abstractNumId w:val="24"/>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126CC"/>
    <w:rsid w:val="00014AAA"/>
    <w:rsid w:val="00030174"/>
    <w:rsid w:val="000401CF"/>
    <w:rsid w:val="0004579C"/>
    <w:rsid w:val="00064DF8"/>
    <w:rsid w:val="00086C9C"/>
    <w:rsid w:val="0009015A"/>
    <w:rsid w:val="000A47FA"/>
    <w:rsid w:val="000A65D3"/>
    <w:rsid w:val="000A7B34"/>
    <w:rsid w:val="000B1E33"/>
    <w:rsid w:val="000B2483"/>
    <w:rsid w:val="000D689F"/>
    <w:rsid w:val="000E7B7B"/>
    <w:rsid w:val="000E7D62"/>
    <w:rsid w:val="00103357"/>
    <w:rsid w:val="00123C9F"/>
    <w:rsid w:val="00126190"/>
    <w:rsid w:val="00130F17"/>
    <w:rsid w:val="001320BF"/>
    <w:rsid w:val="00161ACE"/>
    <w:rsid w:val="00163BC4"/>
    <w:rsid w:val="00191062"/>
    <w:rsid w:val="00191991"/>
    <w:rsid w:val="00192B72"/>
    <w:rsid w:val="001964BD"/>
    <w:rsid w:val="001A29D8"/>
    <w:rsid w:val="001A5CAA"/>
    <w:rsid w:val="001B0427"/>
    <w:rsid w:val="001C25BB"/>
    <w:rsid w:val="001C5AC0"/>
    <w:rsid w:val="001D3A51"/>
    <w:rsid w:val="001D42C4"/>
    <w:rsid w:val="001E10D2"/>
    <w:rsid w:val="001E25B4"/>
    <w:rsid w:val="001E44FE"/>
    <w:rsid w:val="001F7AFE"/>
    <w:rsid w:val="00200595"/>
    <w:rsid w:val="00204835"/>
    <w:rsid w:val="00231920"/>
    <w:rsid w:val="0023195C"/>
    <w:rsid w:val="0024282C"/>
    <w:rsid w:val="002460DC"/>
    <w:rsid w:val="00250985"/>
    <w:rsid w:val="002556F6"/>
    <w:rsid w:val="00262D18"/>
    <w:rsid w:val="0026697F"/>
    <w:rsid w:val="00266B4E"/>
    <w:rsid w:val="00281D02"/>
    <w:rsid w:val="00283105"/>
    <w:rsid w:val="00284C4C"/>
    <w:rsid w:val="00287E68"/>
    <w:rsid w:val="00291137"/>
    <w:rsid w:val="00296344"/>
    <w:rsid w:val="00296529"/>
    <w:rsid w:val="002A5671"/>
    <w:rsid w:val="002B27FB"/>
    <w:rsid w:val="002B685A"/>
    <w:rsid w:val="002C57D2"/>
    <w:rsid w:val="002D5CC6"/>
    <w:rsid w:val="002E0D56"/>
    <w:rsid w:val="002E1EED"/>
    <w:rsid w:val="002E789D"/>
    <w:rsid w:val="002F2E5A"/>
    <w:rsid w:val="003126CC"/>
    <w:rsid w:val="00315186"/>
    <w:rsid w:val="0033343E"/>
    <w:rsid w:val="003512C2"/>
    <w:rsid w:val="00371FB6"/>
    <w:rsid w:val="0037402C"/>
    <w:rsid w:val="003763C1"/>
    <w:rsid w:val="00376BBE"/>
    <w:rsid w:val="0039224F"/>
    <w:rsid w:val="00393C3D"/>
    <w:rsid w:val="003A2250"/>
    <w:rsid w:val="003A43A4"/>
    <w:rsid w:val="003A7E18"/>
    <w:rsid w:val="003C4C86"/>
    <w:rsid w:val="003C54DC"/>
    <w:rsid w:val="003C6258"/>
    <w:rsid w:val="003E2904"/>
    <w:rsid w:val="003F65FE"/>
    <w:rsid w:val="00401927"/>
    <w:rsid w:val="0041027F"/>
    <w:rsid w:val="00412475"/>
    <w:rsid w:val="004209B4"/>
    <w:rsid w:val="00423789"/>
    <w:rsid w:val="00425897"/>
    <w:rsid w:val="00440F43"/>
    <w:rsid w:val="00441B6F"/>
    <w:rsid w:val="00446221"/>
    <w:rsid w:val="00450E62"/>
    <w:rsid w:val="004539DB"/>
    <w:rsid w:val="00463485"/>
    <w:rsid w:val="004638CF"/>
    <w:rsid w:val="004709BD"/>
    <w:rsid w:val="00471A80"/>
    <w:rsid w:val="00475A79"/>
    <w:rsid w:val="00483FA8"/>
    <w:rsid w:val="004D197E"/>
    <w:rsid w:val="004D305E"/>
    <w:rsid w:val="004D4277"/>
    <w:rsid w:val="004D73AB"/>
    <w:rsid w:val="004E6902"/>
    <w:rsid w:val="00502516"/>
    <w:rsid w:val="00505F06"/>
    <w:rsid w:val="00506828"/>
    <w:rsid w:val="00507224"/>
    <w:rsid w:val="00515E1B"/>
    <w:rsid w:val="0051628F"/>
    <w:rsid w:val="00527464"/>
    <w:rsid w:val="0053056E"/>
    <w:rsid w:val="005367A9"/>
    <w:rsid w:val="00554FDA"/>
    <w:rsid w:val="00563099"/>
    <w:rsid w:val="00566C3F"/>
    <w:rsid w:val="00574AD6"/>
    <w:rsid w:val="005C784C"/>
    <w:rsid w:val="005D17F6"/>
    <w:rsid w:val="005E07FE"/>
    <w:rsid w:val="005E5539"/>
    <w:rsid w:val="005F399B"/>
    <w:rsid w:val="0060191C"/>
    <w:rsid w:val="00602BF5"/>
    <w:rsid w:val="00617FDD"/>
    <w:rsid w:val="00633614"/>
    <w:rsid w:val="00633F68"/>
    <w:rsid w:val="00634209"/>
    <w:rsid w:val="00636EB2"/>
    <w:rsid w:val="006375B8"/>
    <w:rsid w:val="0066510A"/>
    <w:rsid w:val="00673F9F"/>
    <w:rsid w:val="0068125F"/>
    <w:rsid w:val="00682746"/>
    <w:rsid w:val="00686953"/>
    <w:rsid w:val="00687DEA"/>
    <w:rsid w:val="00687E67"/>
    <w:rsid w:val="00690320"/>
    <w:rsid w:val="006967F7"/>
    <w:rsid w:val="006A250C"/>
    <w:rsid w:val="006B0FFB"/>
    <w:rsid w:val="006B21D3"/>
    <w:rsid w:val="006B5251"/>
    <w:rsid w:val="006B57D0"/>
    <w:rsid w:val="006B78B9"/>
    <w:rsid w:val="006C1131"/>
    <w:rsid w:val="006D30FF"/>
    <w:rsid w:val="006D6940"/>
    <w:rsid w:val="006E50A6"/>
    <w:rsid w:val="006F11EC"/>
    <w:rsid w:val="0070082C"/>
    <w:rsid w:val="00722CF7"/>
    <w:rsid w:val="00727C21"/>
    <w:rsid w:val="007369E6"/>
    <w:rsid w:val="007407A5"/>
    <w:rsid w:val="00743D13"/>
    <w:rsid w:val="00746E59"/>
    <w:rsid w:val="00753DF9"/>
    <w:rsid w:val="00754C9A"/>
    <w:rsid w:val="0075599A"/>
    <w:rsid w:val="007605A8"/>
    <w:rsid w:val="00761D52"/>
    <w:rsid w:val="0077749E"/>
    <w:rsid w:val="00781296"/>
    <w:rsid w:val="00790ADA"/>
    <w:rsid w:val="007A326D"/>
    <w:rsid w:val="007A3F59"/>
    <w:rsid w:val="007B03EC"/>
    <w:rsid w:val="007B321F"/>
    <w:rsid w:val="007D2288"/>
    <w:rsid w:val="007E088F"/>
    <w:rsid w:val="007F7B32"/>
    <w:rsid w:val="00804BC2"/>
    <w:rsid w:val="008060A3"/>
    <w:rsid w:val="00811541"/>
    <w:rsid w:val="0081431A"/>
    <w:rsid w:val="008164D8"/>
    <w:rsid w:val="0083216F"/>
    <w:rsid w:val="00843604"/>
    <w:rsid w:val="00860000"/>
    <w:rsid w:val="00863BD3"/>
    <w:rsid w:val="008641ED"/>
    <w:rsid w:val="00866D66"/>
    <w:rsid w:val="008671C6"/>
    <w:rsid w:val="00875803"/>
    <w:rsid w:val="00885051"/>
    <w:rsid w:val="008B459E"/>
    <w:rsid w:val="008D2B63"/>
    <w:rsid w:val="008E13AE"/>
    <w:rsid w:val="008E1506"/>
    <w:rsid w:val="008E3A3F"/>
    <w:rsid w:val="008E710C"/>
    <w:rsid w:val="008E7DDC"/>
    <w:rsid w:val="008F2E3E"/>
    <w:rsid w:val="008F69D6"/>
    <w:rsid w:val="008F7AE3"/>
    <w:rsid w:val="00902823"/>
    <w:rsid w:val="00906F16"/>
    <w:rsid w:val="00907359"/>
    <w:rsid w:val="009128CF"/>
    <w:rsid w:val="00915CA6"/>
    <w:rsid w:val="00920EE9"/>
    <w:rsid w:val="00921045"/>
    <w:rsid w:val="00927834"/>
    <w:rsid w:val="009278F0"/>
    <w:rsid w:val="009500A6"/>
    <w:rsid w:val="00957C18"/>
    <w:rsid w:val="009648B4"/>
    <w:rsid w:val="009659BA"/>
    <w:rsid w:val="00980048"/>
    <w:rsid w:val="00983040"/>
    <w:rsid w:val="009A2AAF"/>
    <w:rsid w:val="009B3FB9"/>
    <w:rsid w:val="009C2465"/>
    <w:rsid w:val="009C6D6F"/>
    <w:rsid w:val="009D35A0"/>
    <w:rsid w:val="009D7EB7"/>
    <w:rsid w:val="009E048A"/>
    <w:rsid w:val="009E08E9"/>
    <w:rsid w:val="009E3DB9"/>
    <w:rsid w:val="009E6E35"/>
    <w:rsid w:val="009F0EDA"/>
    <w:rsid w:val="009F1763"/>
    <w:rsid w:val="009F46EA"/>
    <w:rsid w:val="009F7AEC"/>
    <w:rsid w:val="00A03B96"/>
    <w:rsid w:val="00A05B19"/>
    <w:rsid w:val="00A070A9"/>
    <w:rsid w:val="00A1134E"/>
    <w:rsid w:val="00A20307"/>
    <w:rsid w:val="00A24C21"/>
    <w:rsid w:val="00A24E7E"/>
    <w:rsid w:val="00A258C3"/>
    <w:rsid w:val="00A3245E"/>
    <w:rsid w:val="00A347C0"/>
    <w:rsid w:val="00A371FE"/>
    <w:rsid w:val="00A459DF"/>
    <w:rsid w:val="00A51431"/>
    <w:rsid w:val="00A5150A"/>
    <w:rsid w:val="00A539AD"/>
    <w:rsid w:val="00A645A1"/>
    <w:rsid w:val="00A8084A"/>
    <w:rsid w:val="00A80F13"/>
    <w:rsid w:val="00A87E21"/>
    <w:rsid w:val="00A94063"/>
    <w:rsid w:val="00AA6219"/>
    <w:rsid w:val="00AA74E0"/>
    <w:rsid w:val="00AB703F"/>
    <w:rsid w:val="00AC6BB8"/>
    <w:rsid w:val="00AC7851"/>
    <w:rsid w:val="00AC7D30"/>
    <w:rsid w:val="00AD3E54"/>
    <w:rsid w:val="00AE008F"/>
    <w:rsid w:val="00AE59BD"/>
    <w:rsid w:val="00B00F06"/>
    <w:rsid w:val="00B01FCD"/>
    <w:rsid w:val="00B0558C"/>
    <w:rsid w:val="00B11EAE"/>
    <w:rsid w:val="00B14E93"/>
    <w:rsid w:val="00B157AD"/>
    <w:rsid w:val="00B1776C"/>
    <w:rsid w:val="00B37423"/>
    <w:rsid w:val="00B45E98"/>
    <w:rsid w:val="00B4755B"/>
    <w:rsid w:val="00B52583"/>
    <w:rsid w:val="00B52896"/>
    <w:rsid w:val="00B65D55"/>
    <w:rsid w:val="00B847DF"/>
    <w:rsid w:val="00B95236"/>
    <w:rsid w:val="00B96BD9"/>
    <w:rsid w:val="00BA05B2"/>
    <w:rsid w:val="00BA1B01"/>
    <w:rsid w:val="00BA2641"/>
    <w:rsid w:val="00BB37AA"/>
    <w:rsid w:val="00BC53A0"/>
    <w:rsid w:val="00BE5077"/>
    <w:rsid w:val="00BE62AD"/>
    <w:rsid w:val="00BF121F"/>
    <w:rsid w:val="00BF1F80"/>
    <w:rsid w:val="00C1371F"/>
    <w:rsid w:val="00C166EF"/>
    <w:rsid w:val="00C17EB0"/>
    <w:rsid w:val="00C27F5F"/>
    <w:rsid w:val="00C30A0F"/>
    <w:rsid w:val="00C35147"/>
    <w:rsid w:val="00C37E61"/>
    <w:rsid w:val="00C448C1"/>
    <w:rsid w:val="00C4714E"/>
    <w:rsid w:val="00C70F1B"/>
    <w:rsid w:val="00C71A47"/>
    <w:rsid w:val="00C7464C"/>
    <w:rsid w:val="00C85588"/>
    <w:rsid w:val="00CA07C9"/>
    <w:rsid w:val="00CC6A6A"/>
    <w:rsid w:val="00CD03AA"/>
    <w:rsid w:val="00CD402B"/>
    <w:rsid w:val="00CD6755"/>
    <w:rsid w:val="00CD6856"/>
    <w:rsid w:val="00CE0089"/>
    <w:rsid w:val="00CE793C"/>
    <w:rsid w:val="00CF193C"/>
    <w:rsid w:val="00D00FFD"/>
    <w:rsid w:val="00D04858"/>
    <w:rsid w:val="00D173F1"/>
    <w:rsid w:val="00D42E01"/>
    <w:rsid w:val="00D459C0"/>
    <w:rsid w:val="00D74CB0"/>
    <w:rsid w:val="00D8295D"/>
    <w:rsid w:val="00D839C6"/>
    <w:rsid w:val="00DC12EE"/>
    <w:rsid w:val="00DC2A65"/>
    <w:rsid w:val="00DD4E2D"/>
    <w:rsid w:val="00DE15F0"/>
    <w:rsid w:val="00DE5663"/>
    <w:rsid w:val="00DE78AA"/>
    <w:rsid w:val="00DF5E9F"/>
    <w:rsid w:val="00E053D0"/>
    <w:rsid w:val="00E15994"/>
    <w:rsid w:val="00E2341A"/>
    <w:rsid w:val="00E3114E"/>
    <w:rsid w:val="00E31A70"/>
    <w:rsid w:val="00E33AC1"/>
    <w:rsid w:val="00E35B02"/>
    <w:rsid w:val="00E507F7"/>
    <w:rsid w:val="00E52FBE"/>
    <w:rsid w:val="00E66496"/>
    <w:rsid w:val="00E668DA"/>
    <w:rsid w:val="00E66B35"/>
    <w:rsid w:val="00E66E10"/>
    <w:rsid w:val="00E75D48"/>
    <w:rsid w:val="00E769F6"/>
    <w:rsid w:val="00E80608"/>
    <w:rsid w:val="00E8407C"/>
    <w:rsid w:val="00E84F3C"/>
    <w:rsid w:val="00EA012C"/>
    <w:rsid w:val="00EB087C"/>
    <w:rsid w:val="00EB6372"/>
    <w:rsid w:val="00EB7015"/>
    <w:rsid w:val="00EC45DF"/>
    <w:rsid w:val="00EC6A55"/>
    <w:rsid w:val="00ED0288"/>
    <w:rsid w:val="00ED3C5D"/>
    <w:rsid w:val="00ED420C"/>
    <w:rsid w:val="00EE52CB"/>
    <w:rsid w:val="00EF4730"/>
    <w:rsid w:val="00EF581D"/>
    <w:rsid w:val="00EF7FD8"/>
    <w:rsid w:val="00F03627"/>
    <w:rsid w:val="00F06F59"/>
    <w:rsid w:val="00F17988"/>
    <w:rsid w:val="00F17D6A"/>
    <w:rsid w:val="00F32F48"/>
    <w:rsid w:val="00F469F0"/>
    <w:rsid w:val="00F52D70"/>
    <w:rsid w:val="00F53273"/>
    <w:rsid w:val="00F6377A"/>
    <w:rsid w:val="00F755E4"/>
    <w:rsid w:val="00F77D02"/>
    <w:rsid w:val="00F92ABA"/>
    <w:rsid w:val="00FB30CC"/>
    <w:rsid w:val="00FB3A86"/>
    <w:rsid w:val="00FC7BC6"/>
    <w:rsid w:val="00FD36C8"/>
    <w:rsid w:val="00FE3E7F"/>
    <w:rsid w:val="00FF26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rules v:ext="edit">
        <o:r id="V:Rule1" type="connector" idref="#_x0000_s1057"/>
      </o:rules>
    </o:shapelayout>
  </w:shapeDefaults>
  <w:decimalSymbol w:val="."/>
  <w:listSeparator w:val=","/>
  <w14:docId w14:val="012FECE9"/>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styleId="NormalWeb">
    <w:name w:val="Normal (Web)"/>
    <w:basedOn w:val="Normal"/>
    <w:semiHidden/>
    <w:unhideWhenUsed/>
    <w:rsid w:val="00BA05B2"/>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1618938">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420301805">
      <w:bodyDiv w:val="1"/>
      <w:marLeft w:val="0"/>
      <w:marRight w:val="0"/>
      <w:marTop w:val="0"/>
      <w:marBottom w:val="0"/>
      <w:divBdr>
        <w:top w:val="none" w:sz="0" w:space="0" w:color="auto"/>
        <w:left w:val="none" w:sz="0" w:space="0" w:color="auto"/>
        <w:bottom w:val="none" w:sz="0" w:space="0" w:color="auto"/>
        <w:right w:val="none" w:sz="0" w:space="0" w:color="auto"/>
      </w:divBdr>
    </w:div>
    <w:div w:id="553467272">
      <w:bodyDiv w:val="1"/>
      <w:marLeft w:val="0"/>
      <w:marRight w:val="0"/>
      <w:marTop w:val="0"/>
      <w:marBottom w:val="0"/>
      <w:divBdr>
        <w:top w:val="none" w:sz="0" w:space="0" w:color="auto"/>
        <w:left w:val="none" w:sz="0" w:space="0" w:color="auto"/>
        <w:bottom w:val="none" w:sz="0" w:space="0" w:color="auto"/>
        <w:right w:val="none" w:sz="0" w:space="0" w:color="auto"/>
      </w:divBdr>
    </w:div>
    <w:div w:id="587232026">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646126704">
      <w:bodyDiv w:val="1"/>
      <w:marLeft w:val="0"/>
      <w:marRight w:val="0"/>
      <w:marTop w:val="0"/>
      <w:marBottom w:val="0"/>
      <w:divBdr>
        <w:top w:val="none" w:sz="0" w:space="0" w:color="auto"/>
        <w:left w:val="none" w:sz="0" w:space="0" w:color="auto"/>
        <w:bottom w:val="none" w:sz="0" w:space="0" w:color="auto"/>
        <w:right w:val="none" w:sz="0" w:space="0" w:color="auto"/>
      </w:divBdr>
    </w:div>
    <w:div w:id="703747585">
      <w:bodyDiv w:val="1"/>
      <w:marLeft w:val="0"/>
      <w:marRight w:val="0"/>
      <w:marTop w:val="0"/>
      <w:marBottom w:val="0"/>
      <w:divBdr>
        <w:top w:val="none" w:sz="0" w:space="0" w:color="auto"/>
        <w:left w:val="none" w:sz="0" w:space="0" w:color="auto"/>
        <w:bottom w:val="none" w:sz="0" w:space="0" w:color="auto"/>
        <w:right w:val="none" w:sz="0" w:space="0" w:color="auto"/>
      </w:divBdr>
      <w:divsChild>
        <w:div w:id="57943095">
          <w:marLeft w:val="0"/>
          <w:marRight w:val="0"/>
          <w:marTop w:val="0"/>
          <w:marBottom w:val="0"/>
          <w:divBdr>
            <w:top w:val="single" w:sz="6" w:space="0" w:color="000000"/>
            <w:left w:val="single" w:sz="6" w:space="0" w:color="000000"/>
            <w:bottom w:val="single" w:sz="6" w:space="0" w:color="000000"/>
            <w:right w:val="single" w:sz="6" w:space="0" w:color="000000"/>
          </w:divBdr>
        </w:div>
      </w:divsChild>
    </w:div>
    <w:div w:id="758329097">
      <w:bodyDiv w:val="1"/>
      <w:marLeft w:val="0"/>
      <w:marRight w:val="0"/>
      <w:marTop w:val="0"/>
      <w:marBottom w:val="0"/>
      <w:divBdr>
        <w:top w:val="none" w:sz="0" w:space="0" w:color="auto"/>
        <w:left w:val="none" w:sz="0" w:space="0" w:color="auto"/>
        <w:bottom w:val="none" w:sz="0" w:space="0" w:color="auto"/>
        <w:right w:val="none" w:sz="0" w:space="0" w:color="auto"/>
      </w:divBdr>
    </w:div>
    <w:div w:id="770469132">
      <w:bodyDiv w:val="1"/>
      <w:marLeft w:val="0"/>
      <w:marRight w:val="0"/>
      <w:marTop w:val="0"/>
      <w:marBottom w:val="0"/>
      <w:divBdr>
        <w:top w:val="none" w:sz="0" w:space="0" w:color="auto"/>
        <w:left w:val="none" w:sz="0" w:space="0" w:color="auto"/>
        <w:bottom w:val="none" w:sz="0" w:space="0" w:color="auto"/>
        <w:right w:val="none" w:sz="0" w:space="0" w:color="auto"/>
      </w:divBdr>
      <w:divsChild>
        <w:div w:id="1391727942">
          <w:marLeft w:val="0"/>
          <w:marRight w:val="0"/>
          <w:marTop w:val="0"/>
          <w:marBottom w:val="0"/>
          <w:divBdr>
            <w:top w:val="none" w:sz="0" w:space="0" w:color="auto"/>
            <w:left w:val="none" w:sz="0" w:space="0" w:color="auto"/>
            <w:bottom w:val="none" w:sz="0" w:space="0" w:color="auto"/>
            <w:right w:val="none" w:sz="0" w:space="0" w:color="auto"/>
          </w:divBdr>
          <w:divsChild>
            <w:div w:id="1439712750">
              <w:marLeft w:val="0"/>
              <w:marRight w:val="0"/>
              <w:marTop w:val="0"/>
              <w:marBottom w:val="0"/>
              <w:divBdr>
                <w:top w:val="none" w:sz="0" w:space="0" w:color="auto"/>
                <w:left w:val="none" w:sz="0" w:space="0" w:color="auto"/>
                <w:bottom w:val="none" w:sz="0" w:space="0" w:color="auto"/>
                <w:right w:val="none" w:sz="0" w:space="0" w:color="auto"/>
              </w:divBdr>
              <w:divsChild>
                <w:div w:id="370419210">
                  <w:marLeft w:val="0"/>
                  <w:marRight w:val="0"/>
                  <w:marTop w:val="0"/>
                  <w:marBottom w:val="0"/>
                  <w:divBdr>
                    <w:top w:val="none" w:sz="0" w:space="0" w:color="auto"/>
                    <w:left w:val="none" w:sz="0" w:space="0" w:color="auto"/>
                    <w:bottom w:val="none" w:sz="0" w:space="0" w:color="auto"/>
                    <w:right w:val="none" w:sz="0" w:space="0" w:color="auto"/>
                  </w:divBdr>
                  <w:divsChild>
                    <w:div w:id="209928561">
                      <w:marLeft w:val="0"/>
                      <w:marRight w:val="0"/>
                      <w:marTop w:val="0"/>
                      <w:marBottom w:val="0"/>
                      <w:divBdr>
                        <w:top w:val="none" w:sz="0" w:space="0" w:color="auto"/>
                        <w:left w:val="none" w:sz="0" w:space="0" w:color="auto"/>
                        <w:bottom w:val="none" w:sz="0" w:space="0" w:color="auto"/>
                        <w:right w:val="none" w:sz="0" w:space="0" w:color="auto"/>
                      </w:divBdr>
                      <w:divsChild>
                        <w:div w:id="2010936605">
                          <w:marLeft w:val="0"/>
                          <w:marRight w:val="0"/>
                          <w:marTop w:val="0"/>
                          <w:marBottom w:val="0"/>
                          <w:divBdr>
                            <w:top w:val="none" w:sz="0" w:space="0" w:color="auto"/>
                            <w:left w:val="none" w:sz="0" w:space="0" w:color="auto"/>
                            <w:bottom w:val="none" w:sz="0" w:space="0" w:color="auto"/>
                            <w:right w:val="none" w:sz="0" w:space="0" w:color="auto"/>
                          </w:divBdr>
                          <w:divsChild>
                            <w:div w:id="125972737">
                              <w:marLeft w:val="0"/>
                              <w:marRight w:val="0"/>
                              <w:marTop w:val="0"/>
                              <w:marBottom w:val="0"/>
                              <w:divBdr>
                                <w:top w:val="none" w:sz="0" w:space="0" w:color="auto"/>
                                <w:left w:val="none" w:sz="0" w:space="0" w:color="auto"/>
                                <w:bottom w:val="none" w:sz="0" w:space="0" w:color="auto"/>
                                <w:right w:val="none" w:sz="0" w:space="0" w:color="auto"/>
                              </w:divBdr>
                              <w:divsChild>
                                <w:div w:id="1768229889">
                                  <w:marLeft w:val="0"/>
                                  <w:marRight w:val="0"/>
                                  <w:marTop w:val="0"/>
                                  <w:marBottom w:val="0"/>
                                  <w:divBdr>
                                    <w:top w:val="none" w:sz="0" w:space="0" w:color="auto"/>
                                    <w:left w:val="none" w:sz="0" w:space="0" w:color="auto"/>
                                    <w:bottom w:val="none" w:sz="0" w:space="0" w:color="auto"/>
                                    <w:right w:val="none" w:sz="0" w:space="0" w:color="auto"/>
                                  </w:divBdr>
                                  <w:divsChild>
                                    <w:div w:id="1600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9108954">
      <w:bodyDiv w:val="1"/>
      <w:marLeft w:val="0"/>
      <w:marRight w:val="0"/>
      <w:marTop w:val="0"/>
      <w:marBottom w:val="0"/>
      <w:divBdr>
        <w:top w:val="none" w:sz="0" w:space="0" w:color="auto"/>
        <w:left w:val="none" w:sz="0" w:space="0" w:color="auto"/>
        <w:bottom w:val="none" w:sz="0" w:space="0" w:color="auto"/>
        <w:right w:val="none" w:sz="0" w:space="0" w:color="auto"/>
      </w:divBdr>
    </w:div>
    <w:div w:id="829755125">
      <w:bodyDiv w:val="1"/>
      <w:marLeft w:val="0"/>
      <w:marRight w:val="0"/>
      <w:marTop w:val="0"/>
      <w:marBottom w:val="0"/>
      <w:divBdr>
        <w:top w:val="none" w:sz="0" w:space="0" w:color="auto"/>
        <w:left w:val="none" w:sz="0" w:space="0" w:color="auto"/>
        <w:bottom w:val="none" w:sz="0" w:space="0" w:color="auto"/>
        <w:right w:val="none" w:sz="0" w:space="0" w:color="auto"/>
      </w:divBdr>
      <w:divsChild>
        <w:div w:id="1851986446">
          <w:marLeft w:val="0"/>
          <w:marRight w:val="0"/>
          <w:marTop w:val="0"/>
          <w:marBottom w:val="0"/>
          <w:divBdr>
            <w:top w:val="none" w:sz="0" w:space="0" w:color="auto"/>
            <w:left w:val="none" w:sz="0" w:space="0" w:color="auto"/>
            <w:bottom w:val="none" w:sz="0" w:space="0" w:color="auto"/>
            <w:right w:val="none" w:sz="0" w:space="0" w:color="auto"/>
          </w:divBdr>
          <w:divsChild>
            <w:div w:id="1815026973">
              <w:marLeft w:val="0"/>
              <w:marRight w:val="0"/>
              <w:marTop w:val="0"/>
              <w:marBottom w:val="0"/>
              <w:divBdr>
                <w:top w:val="none" w:sz="0" w:space="0" w:color="auto"/>
                <w:left w:val="none" w:sz="0" w:space="0" w:color="auto"/>
                <w:bottom w:val="none" w:sz="0" w:space="0" w:color="auto"/>
                <w:right w:val="none" w:sz="0" w:space="0" w:color="auto"/>
              </w:divBdr>
              <w:divsChild>
                <w:div w:id="2118211740">
                  <w:marLeft w:val="0"/>
                  <w:marRight w:val="0"/>
                  <w:marTop w:val="0"/>
                  <w:marBottom w:val="0"/>
                  <w:divBdr>
                    <w:top w:val="none" w:sz="0" w:space="0" w:color="auto"/>
                    <w:left w:val="none" w:sz="0" w:space="0" w:color="auto"/>
                    <w:bottom w:val="none" w:sz="0" w:space="0" w:color="auto"/>
                    <w:right w:val="none" w:sz="0" w:space="0" w:color="auto"/>
                  </w:divBdr>
                  <w:divsChild>
                    <w:div w:id="802650491">
                      <w:marLeft w:val="0"/>
                      <w:marRight w:val="0"/>
                      <w:marTop w:val="0"/>
                      <w:marBottom w:val="0"/>
                      <w:divBdr>
                        <w:top w:val="none" w:sz="0" w:space="0" w:color="auto"/>
                        <w:left w:val="none" w:sz="0" w:space="0" w:color="auto"/>
                        <w:bottom w:val="none" w:sz="0" w:space="0" w:color="auto"/>
                        <w:right w:val="none" w:sz="0" w:space="0" w:color="auto"/>
                      </w:divBdr>
                      <w:divsChild>
                        <w:div w:id="905723826">
                          <w:marLeft w:val="0"/>
                          <w:marRight w:val="0"/>
                          <w:marTop w:val="0"/>
                          <w:marBottom w:val="0"/>
                          <w:divBdr>
                            <w:top w:val="none" w:sz="0" w:space="0" w:color="auto"/>
                            <w:left w:val="none" w:sz="0" w:space="0" w:color="auto"/>
                            <w:bottom w:val="none" w:sz="0" w:space="0" w:color="auto"/>
                            <w:right w:val="none" w:sz="0" w:space="0" w:color="auto"/>
                          </w:divBdr>
                          <w:divsChild>
                            <w:div w:id="1869946386">
                              <w:marLeft w:val="0"/>
                              <w:marRight w:val="0"/>
                              <w:marTop w:val="0"/>
                              <w:marBottom w:val="0"/>
                              <w:divBdr>
                                <w:top w:val="none" w:sz="0" w:space="0" w:color="auto"/>
                                <w:left w:val="none" w:sz="0" w:space="0" w:color="auto"/>
                                <w:bottom w:val="none" w:sz="0" w:space="0" w:color="auto"/>
                                <w:right w:val="none" w:sz="0" w:space="0" w:color="auto"/>
                              </w:divBdr>
                              <w:divsChild>
                                <w:div w:id="241179983">
                                  <w:marLeft w:val="0"/>
                                  <w:marRight w:val="0"/>
                                  <w:marTop w:val="0"/>
                                  <w:marBottom w:val="0"/>
                                  <w:divBdr>
                                    <w:top w:val="none" w:sz="0" w:space="0" w:color="auto"/>
                                    <w:left w:val="none" w:sz="0" w:space="0" w:color="auto"/>
                                    <w:bottom w:val="none" w:sz="0" w:space="0" w:color="auto"/>
                                    <w:right w:val="none" w:sz="0" w:space="0" w:color="auto"/>
                                  </w:divBdr>
                                  <w:divsChild>
                                    <w:div w:id="136586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593081272">
      <w:bodyDiv w:val="1"/>
      <w:marLeft w:val="0"/>
      <w:marRight w:val="0"/>
      <w:marTop w:val="0"/>
      <w:marBottom w:val="0"/>
      <w:divBdr>
        <w:top w:val="none" w:sz="0" w:space="0" w:color="auto"/>
        <w:left w:val="none" w:sz="0" w:space="0" w:color="auto"/>
        <w:bottom w:val="none" w:sz="0" w:space="0" w:color="auto"/>
        <w:right w:val="none" w:sz="0" w:space="0" w:color="auto"/>
      </w:divBdr>
    </w:div>
    <w:div w:id="1608199449">
      <w:bodyDiv w:val="1"/>
      <w:marLeft w:val="0"/>
      <w:marRight w:val="0"/>
      <w:marTop w:val="0"/>
      <w:marBottom w:val="0"/>
      <w:divBdr>
        <w:top w:val="none" w:sz="0" w:space="0" w:color="auto"/>
        <w:left w:val="none" w:sz="0" w:space="0" w:color="auto"/>
        <w:bottom w:val="none" w:sz="0" w:space="0" w:color="auto"/>
        <w:right w:val="none" w:sz="0" w:space="0" w:color="auto"/>
      </w:divBdr>
    </w:div>
    <w:div w:id="1631549015">
      <w:bodyDiv w:val="1"/>
      <w:marLeft w:val="0"/>
      <w:marRight w:val="0"/>
      <w:marTop w:val="0"/>
      <w:marBottom w:val="0"/>
      <w:divBdr>
        <w:top w:val="none" w:sz="0" w:space="0" w:color="auto"/>
        <w:left w:val="none" w:sz="0" w:space="0" w:color="auto"/>
        <w:bottom w:val="none" w:sz="0" w:space="0" w:color="auto"/>
        <w:right w:val="none" w:sz="0" w:space="0" w:color="auto"/>
      </w:divBdr>
      <w:divsChild>
        <w:div w:id="1501460698">
          <w:marLeft w:val="0"/>
          <w:marRight w:val="0"/>
          <w:marTop w:val="0"/>
          <w:marBottom w:val="0"/>
          <w:divBdr>
            <w:top w:val="none" w:sz="0" w:space="0" w:color="auto"/>
            <w:left w:val="none" w:sz="0" w:space="0" w:color="auto"/>
            <w:bottom w:val="none" w:sz="0" w:space="0" w:color="auto"/>
            <w:right w:val="none" w:sz="0" w:space="0" w:color="auto"/>
          </w:divBdr>
          <w:divsChild>
            <w:div w:id="1924222453">
              <w:marLeft w:val="0"/>
              <w:marRight w:val="0"/>
              <w:marTop w:val="0"/>
              <w:marBottom w:val="0"/>
              <w:divBdr>
                <w:top w:val="none" w:sz="0" w:space="0" w:color="auto"/>
                <w:left w:val="none" w:sz="0" w:space="0" w:color="auto"/>
                <w:bottom w:val="none" w:sz="0" w:space="0" w:color="auto"/>
                <w:right w:val="none" w:sz="0" w:space="0" w:color="auto"/>
              </w:divBdr>
              <w:divsChild>
                <w:div w:id="1094865762">
                  <w:marLeft w:val="0"/>
                  <w:marRight w:val="0"/>
                  <w:marTop w:val="0"/>
                  <w:marBottom w:val="0"/>
                  <w:divBdr>
                    <w:top w:val="none" w:sz="0" w:space="0" w:color="auto"/>
                    <w:left w:val="none" w:sz="0" w:space="0" w:color="auto"/>
                    <w:bottom w:val="none" w:sz="0" w:space="0" w:color="auto"/>
                    <w:right w:val="none" w:sz="0" w:space="0" w:color="auto"/>
                  </w:divBdr>
                  <w:divsChild>
                    <w:div w:id="56441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806658620">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1972438686">
      <w:bodyDiv w:val="1"/>
      <w:marLeft w:val="0"/>
      <w:marRight w:val="0"/>
      <w:marTop w:val="0"/>
      <w:marBottom w:val="0"/>
      <w:divBdr>
        <w:top w:val="none" w:sz="0" w:space="0" w:color="auto"/>
        <w:left w:val="none" w:sz="0" w:space="0" w:color="auto"/>
        <w:bottom w:val="none" w:sz="0" w:space="0" w:color="auto"/>
        <w:right w:val="none" w:sz="0" w:space="0" w:color="auto"/>
      </w:divBdr>
    </w:div>
    <w:div w:id="1992058144">
      <w:bodyDiv w:val="1"/>
      <w:marLeft w:val="0"/>
      <w:marRight w:val="0"/>
      <w:marTop w:val="0"/>
      <w:marBottom w:val="0"/>
      <w:divBdr>
        <w:top w:val="none" w:sz="0" w:space="0" w:color="auto"/>
        <w:left w:val="none" w:sz="0" w:space="0" w:color="auto"/>
        <w:bottom w:val="none" w:sz="0" w:space="0" w:color="auto"/>
        <w:right w:val="none" w:sz="0" w:space="0" w:color="auto"/>
      </w:divBdr>
      <w:divsChild>
        <w:div w:id="2087846351">
          <w:marLeft w:val="0"/>
          <w:marRight w:val="0"/>
          <w:marTop w:val="0"/>
          <w:marBottom w:val="0"/>
          <w:divBdr>
            <w:top w:val="none" w:sz="0" w:space="0" w:color="auto"/>
            <w:left w:val="none" w:sz="0" w:space="0" w:color="auto"/>
            <w:bottom w:val="none" w:sz="0" w:space="0" w:color="auto"/>
            <w:right w:val="none" w:sz="0" w:space="0" w:color="auto"/>
          </w:divBdr>
          <w:divsChild>
            <w:div w:id="1800613511">
              <w:marLeft w:val="0"/>
              <w:marRight w:val="0"/>
              <w:marTop w:val="0"/>
              <w:marBottom w:val="0"/>
              <w:divBdr>
                <w:top w:val="none" w:sz="0" w:space="0" w:color="auto"/>
                <w:left w:val="none" w:sz="0" w:space="0" w:color="auto"/>
                <w:bottom w:val="none" w:sz="0" w:space="0" w:color="auto"/>
                <w:right w:val="none" w:sz="0" w:space="0" w:color="auto"/>
              </w:divBdr>
              <w:divsChild>
                <w:div w:id="1020202681">
                  <w:marLeft w:val="0"/>
                  <w:marRight w:val="0"/>
                  <w:marTop w:val="0"/>
                  <w:marBottom w:val="0"/>
                  <w:divBdr>
                    <w:top w:val="none" w:sz="0" w:space="0" w:color="auto"/>
                    <w:left w:val="none" w:sz="0" w:space="0" w:color="auto"/>
                    <w:bottom w:val="none" w:sz="0" w:space="0" w:color="auto"/>
                    <w:right w:val="none" w:sz="0" w:space="0" w:color="auto"/>
                  </w:divBdr>
                  <w:divsChild>
                    <w:div w:id="67161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2579981">
      <w:bodyDiv w:val="1"/>
      <w:marLeft w:val="0"/>
      <w:marRight w:val="0"/>
      <w:marTop w:val="0"/>
      <w:marBottom w:val="0"/>
      <w:divBdr>
        <w:top w:val="none" w:sz="0" w:space="0" w:color="auto"/>
        <w:left w:val="none" w:sz="0" w:space="0" w:color="auto"/>
        <w:bottom w:val="none" w:sz="0" w:space="0" w:color="auto"/>
        <w:right w:val="none" w:sz="0" w:space="0" w:color="auto"/>
      </w:divBdr>
    </w:div>
    <w:div w:id="2031948033">
      <w:bodyDiv w:val="1"/>
      <w:marLeft w:val="0"/>
      <w:marRight w:val="0"/>
      <w:marTop w:val="0"/>
      <w:marBottom w:val="0"/>
      <w:divBdr>
        <w:top w:val="none" w:sz="0" w:space="0" w:color="auto"/>
        <w:left w:val="none" w:sz="0" w:space="0" w:color="auto"/>
        <w:bottom w:val="none" w:sz="0" w:space="0" w:color="auto"/>
        <w:right w:val="none" w:sz="0" w:space="0" w:color="auto"/>
      </w:divBdr>
      <w:divsChild>
        <w:div w:id="1490365178">
          <w:marLeft w:val="0"/>
          <w:marRight w:val="0"/>
          <w:marTop w:val="0"/>
          <w:marBottom w:val="0"/>
          <w:divBdr>
            <w:top w:val="single" w:sz="6" w:space="0" w:color="000000"/>
            <w:left w:val="single" w:sz="6" w:space="0" w:color="000000"/>
            <w:bottom w:val="single" w:sz="6" w:space="0" w:color="000000"/>
            <w:right w:val="single" w:sz="6" w:space="0" w:color="000000"/>
          </w:divBdr>
        </w:div>
      </w:divsChild>
    </w:div>
    <w:div w:id="2055306794">
      <w:bodyDiv w:val="1"/>
      <w:marLeft w:val="0"/>
      <w:marRight w:val="0"/>
      <w:marTop w:val="0"/>
      <w:marBottom w:val="0"/>
      <w:divBdr>
        <w:top w:val="none" w:sz="0" w:space="0" w:color="auto"/>
        <w:left w:val="none" w:sz="0" w:space="0" w:color="auto"/>
        <w:bottom w:val="none" w:sz="0" w:space="0" w:color="auto"/>
        <w:right w:val="none" w:sz="0" w:space="0" w:color="auto"/>
      </w:divBdr>
      <w:divsChild>
        <w:div w:id="9947263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oleObject" Target="embeddings/oleObject2.bin"/><Relationship Id="rId26" Type="http://schemas.openxmlformats.org/officeDocument/2006/relationships/oleObject" Target="embeddings/oleObject6.bin"/><Relationship Id="rId39" Type="http://schemas.openxmlformats.org/officeDocument/2006/relationships/header" Target="header4.xml"/><Relationship Id="rId21" Type="http://schemas.openxmlformats.org/officeDocument/2006/relationships/image" Target="media/image5.emf"/><Relationship Id="rId34" Type="http://schemas.openxmlformats.org/officeDocument/2006/relationships/oleObject" Target="embeddings/oleObject10.bin"/><Relationship Id="rId42" Type="http://schemas.openxmlformats.org/officeDocument/2006/relationships/header" Target="header6.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oleObject" Target="embeddings/oleObject3.bin"/><Relationship Id="rId29" Type="http://schemas.openxmlformats.org/officeDocument/2006/relationships/image" Target="media/image9.emf"/><Relationship Id="rId41"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oleObject" Target="embeddings/oleObject5.bin"/><Relationship Id="rId32" Type="http://schemas.openxmlformats.org/officeDocument/2006/relationships/oleObject" Target="embeddings/oleObject9.bin"/><Relationship Id="rId37" Type="http://schemas.openxmlformats.org/officeDocument/2006/relationships/image" Target="media/image13.emf"/><Relationship Id="rId40"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image" Target="media/image2.emf"/><Relationship Id="rId23" Type="http://schemas.openxmlformats.org/officeDocument/2006/relationships/image" Target="media/image6.emf"/><Relationship Id="rId28" Type="http://schemas.openxmlformats.org/officeDocument/2006/relationships/oleObject" Target="embeddings/oleObject7.bin"/><Relationship Id="rId36" Type="http://schemas.openxmlformats.org/officeDocument/2006/relationships/oleObject" Target="embeddings/oleObject11.bin"/><Relationship Id="rId10" Type="http://schemas.openxmlformats.org/officeDocument/2006/relationships/footer" Target="footer1.xml"/><Relationship Id="rId19" Type="http://schemas.openxmlformats.org/officeDocument/2006/relationships/image" Target="media/image4.emf"/><Relationship Id="rId31" Type="http://schemas.openxmlformats.org/officeDocument/2006/relationships/image" Target="media/image10.emf"/><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oleObject" Target="embeddings/oleObject4.bin"/><Relationship Id="rId27" Type="http://schemas.openxmlformats.org/officeDocument/2006/relationships/image" Target="media/image8.emf"/><Relationship Id="rId30" Type="http://schemas.openxmlformats.org/officeDocument/2006/relationships/oleObject" Target="embeddings/oleObject8.bin"/><Relationship Id="rId35" Type="http://schemas.openxmlformats.org/officeDocument/2006/relationships/image" Target="media/image12.emf"/><Relationship Id="rId43" Type="http://schemas.openxmlformats.org/officeDocument/2006/relationships/fontTable" Target="fontTable.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image" Target="media/image3.emf"/><Relationship Id="rId25" Type="http://schemas.openxmlformats.org/officeDocument/2006/relationships/image" Target="media/image7.emf"/><Relationship Id="rId33" Type="http://schemas.openxmlformats.org/officeDocument/2006/relationships/image" Target="media/image11.emf"/><Relationship Id="rId38" Type="http://schemas.openxmlformats.org/officeDocument/2006/relationships/oleObject" Target="embeddings/oleObject12.bin"/></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BF0FC5-2F68-40AF-93DA-698E0E485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5223</TotalTime>
  <Pages>13</Pages>
  <Words>4240</Words>
  <Characters>24172</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28356</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1138</cp:lastModifiedBy>
  <cp:revision>32</cp:revision>
  <cp:lastPrinted>1999-07-06T11:00:00Z</cp:lastPrinted>
  <dcterms:created xsi:type="dcterms:W3CDTF">2014-10-25T14:34:00Z</dcterms:created>
  <dcterms:modified xsi:type="dcterms:W3CDTF">2025-02-22T07:58:00Z</dcterms:modified>
</cp:coreProperties>
</file>