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DBC46" w14:textId="77777777" w:rsidR="00C91EC2" w:rsidRPr="00492DC0" w:rsidRDefault="0000391E">
      <w:pPr>
        <w:jc w:val="center"/>
        <w:rPr>
          <w:b/>
          <w:sz w:val="40"/>
          <w:szCs w:val="24"/>
        </w:rPr>
      </w:pPr>
      <w:r w:rsidRPr="00492DC0">
        <w:rPr>
          <w:b/>
          <w:sz w:val="40"/>
          <w:szCs w:val="24"/>
        </w:rPr>
        <w:t>Improving Patient Data Privacy and Authentication Protocols Against AI-Powered Phishing Attacks in Telemedicine</w:t>
      </w:r>
    </w:p>
    <w:p w14:paraId="0327ED78" w14:textId="77777777" w:rsidR="009C5696" w:rsidRDefault="009C5696">
      <w:pPr>
        <w:jc w:val="both"/>
        <w:rPr>
          <w:b/>
          <w:sz w:val="24"/>
          <w:szCs w:val="24"/>
        </w:rPr>
      </w:pPr>
    </w:p>
    <w:p w14:paraId="48CF1FBE" w14:textId="77777777" w:rsidR="009C5696" w:rsidRDefault="009C5696">
      <w:pPr>
        <w:jc w:val="both"/>
        <w:rPr>
          <w:b/>
          <w:sz w:val="24"/>
          <w:szCs w:val="24"/>
        </w:rPr>
      </w:pPr>
    </w:p>
    <w:p w14:paraId="12D88B27" w14:textId="719D3F96" w:rsidR="004C039D" w:rsidRDefault="004C039D">
      <w:pPr>
        <w:jc w:val="both"/>
        <w:rPr>
          <w:b/>
          <w:sz w:val="24"/>
          <w:szCs w:val="24"/>
        </w:rPr>
      </w:pPr>
    </w:p>
    <w:p w14:paraId="389D63EA" w14:textId="77777777" w:rsidR="0084494B" w:rsidRDefault="0084494B">
      <w:pPr>
        <w:jc w:val="both"/>
        <w:rPr>
          <w:b/>
          <w:sz w:val="24"/>
          <w:szCs w:val="24"/>
        </w:rPr>
      </w:pPr>
      <w:bookmarkStart w:id="0" w:name="_GoBack"/>
      <w:bookmarkEnd w:id="0"/>
    </w:p>
    <w:p w14:paraId="0B9C7664" w14:textId="28384C6C" w:rsidR="00C91EC2" w:rsidRPr="00492DC0" w:rsidRDefault="0000391E">
      <w:pPr>
        <w:jc w:val="both"/>
        <w:rPr>
          <w:b/>
          <w:sz w:val="24"/>
          <w:szCs w:val="24"/>
        </w:rPr>
      </w:pPr>
      <w:r w:rsidRPr="00492DC0">
        <w:rPr>
          <w:b/>
          <w:sz w:val="24"/>
          <w:szCs w:val="24"/>
        </w:rPr>
        <w:t>Abstract</w:t>
      </w:r>
    </w:p>
    <w:p w14:paraId="0C768D35" w14:textId="77777777" w:rsidR="00C91EC2" w:rsidRPr="00492DC0" w:rsidRDefault="0000391E">
      <w:pPr>
        <w:spacing w:before="160" w:after="160"/>
        <w:jc w:val="both"/>
        <w:rPr>
          <w:i/>
          <w:sz w:val="24"/>
          <w:szCs w:val="24"/>
        </w:rPr>
      </w:pPr>
      <w:r w:rsidRPr="00492DC0">
        <w:rPr>
          <w:i/>
          <w:sz w:val="24"/>
          <w:szCs w:val="24"/>
        </w:rPr>
        <w:t xml:space="preserve">AI-powered phishing attacks have emerged as a critical cybersecurity threat in telemedicine, jeopardizing patient data privacy and authentication security. This study </w:t>
      </w:r>
      <w:proofErr w:type="spellStart"/>
      <w:r w:rsidRPr="00492DC0">
        <w:rPr>
          <w:i/>
          <w:sz w:val="24"/>
          <w:szCs w:val="24"/>
        </w:rPr>
        <w:t>analyzes</w:t>
      </w:r>
      <w:proofErr w:type="spellEnd"/>
      <w:r w:rsidRPr="00492DC0">
        <w:rPr>
          <w:i/>
          <w:sz w:val="24"/>
          <w:szCs w:val="24"/>
        </w:rPr>
        <w:t xml:space="preserve"> the impact of AI-driven phishing breaches using data from the HHS Breach Reports, Verizon DBIR, IBM Cost of a Data Breach Report, and </w:t>
      </w:r>
      <w:proofErr w:type="spellStart"/>
      <w:r w:rsidRPr="00492DC0">
        <w:rPr>
          <w:i/>
          <w:sz w:val="24"/>
          <w:szCs w:val="24"/>
        </w:rPr>
        <w:t>PhishTank</w:t>
      </w:r>
      <w:proofErr w:type="spellEnd"/>
      <w:r w:rsidRPr="00492DC0">
        <w:rPr>
          <w:i/>
          <w:sz w:val="24"/>
          <w:szCs w:val="24"/>
        </w:rPr>
        <w:t xml:space="preserve"> Open Phishing Dataset. Employing trend analysis, logistic regression, ANOVA, and machine learning classification, the findings reveal a 60% increase in patient record exposure due to AI-powered phishing since 2021, with credential theft contributing most to authentication failures (coefficient = 1.75). The study also finds that blockchain authentication reduces financial losses to $4.5M per breach, significantly lower than the $12M incurred by unprotected organizations. AI-based phishing detection achieves a recall rate of 90.5% but suffers from a 47.6% false-negative rate, indicating the need for refinement. Recommendations include implementing adaptive AI-driven threat detection, </w:t>
      </w:r>
      <w:proofErr w:type="spellStart"/>
      <w:r w:rsidRPr="00492DC0">
        <w:rPr>
          <w:i/>
          <w:sz w:val="24"/>
          <w:szCs w:val="24"/>
        </w:rPr>
        <w:t>behavioral</w:t>
      </w:r>
      <w:proofErr w:type="spellEnd"/>
      <w:r w:rsidRPr="00492DC0">
        <w:rPr>
          <w:i/>
          <w:sz w:val="24"/>
          <w:szCs w:val="24"/>
        </w:rPr>
        <w:t xml:space="preserve"> biometrics, blockchain authentication, and stronger regulatory oversight.</w:t>
      </w:r>
    </w:p>
    <w:p w14:paraId="3B13EA8B" w14:textId="77777777" w:rsidR="00C91EC2" w:rsidRPr="00492DC0" w:rsidRDefault="0000391E">
      <w:pPr>
        <w:spacing w:before="160" w:after="160"/>
        <w:rPr>
          <w:b/>
          <w:sz w:val="24"/>
          <w:szCs w:val="24"/>
        </w:rPr>
      </w:pPr>
      <w:r w:rsidRPr="00492DC0">
        <w:rPr>
          <w:b/>
          <w:sz w:val="24"/>
          <w:szCs w:val="24"/>
        </w:rPr>
        <w:t>Keywords: AI-powered phishing, telemedicine cybersecurity, authentication vulnerabilities, blockchain authentication, phishing detection.</w:t>
      </w:r>
    </w:p>
    <w:p w14:paraId="0619AA7F" w14:textId="77777777" w:rsidR="00C91EC2" w:rsidRPr="00492DC0" w:rsidRDefault="00492DC0">
      <w:pPr>
        <w:pStyle w:val="Heading3"/>
        <w:keepNext w:val="0"/>
        <w:keepLines w:val="0"/>
        <w:spacing w:before="280"/>
        <w:rPr>
          <w:b/>
          <w:color w:val="000000"/>
          <w:sz w:val="24"/>
          <w:szCs w:val="24"/>
        </w:rPr>
      </w:pPr>
      <w:bookmarkStart w:id="1" w:name="_lrcxvpm7ga9r" w:colFirst="0" w:colLast="0"/>
      <w:bookmarkEnd w:id="1"/>
      <w:r>
        <w:rPr>
          <w:b/>
          <w:color w:val="000000"/>
          <w:sz w:val="24"/>
          <w:szCs w:val="24"/>
        </w:rPr>
        <w:t>1.</w:t>
      </w:r>
      <w:r>
        <w:rPr>
          <w:b/>
          <w:color w:val="000000"/>
          <w:sz w:val="24"/>
          <w:szCs w:val="24"/>
        </w:rPr>
        <w:tab/>
      </w:r>
      <w:r w:rsidRPr="00492DC0">
        <w:rPr>
          <w:b/>
          <w:color w:val="000000"/>
          <w:sz w:val="24"/>
          <w:szCs w:val="24"/>
        </w:rPr>
        <w:t>Introduction</w:t>
      </w:r>
    </w:p>
    <w:p w14:paraId="21AE6F01" w14:textId="77777777" w:rsidR="00C91EC2" w:rsidRPr="008B1EAE" w:rsidRDefault="0000391E">
      <w:pPr>
        <w:spacing w:before="240" w:after="240"/>
        <w:rPr>
          <w:sz w:val="24"/>
          <w:szCs w:val="24"/>
        </w:rPr>
      </w:pPr>
      <w:r w:rsidRPr="008B1EAE">
        <w:rPr>
          <w:sz w:val="24"/>
          <w:szCs w:val="24"/>
        </w:rPr>
        <w:t>The rapid expansion of telemedicine has reshaped healthcare by enabling remote access to consultations, diagnostics, and treatment; this transformation, accelerated by the COVID-19 pandemic, has led to the widespread adoption of digital healthcare platforms. According to Infinium (2023), the global telemedicine market was valued at approximately $87 billion in 2022 and is projected to grow at a compound annual growth rate of 18.5% between 2023 and 2030. However, while telemedicine enhances accessibility and efficiency, it also introduces significant cybersecurity vulnerabilities, particularly regarding patient data privacy and authentication protocols. As digital healthcare adoption increases, the sector faces growing cyber threats, notably AI-powered phishing attacks (</w:t>
      </w:r>
      <w:proofErr w:type="spellStart"/>
      <w:r w:rsidRPr="008B1EAE">
        <w:rPr>
          <w:sz w:val="24"/>
          <w:szCs w:val="24"/>
        </w:rPr>
        <w:t>Nankya</w:t>
      </w:r>
      <w:proofErr w:type="spellEnd"/>
      <w:r w:rsidRPr="008B1EAE">
        <w:rPr>
          <w:sz w:val="24"/>
          <w:szCs w:val="24"/>
        </w:rPr>
        <w:t xml:space="preserve"> et al., 2024).</w:t>
      </w:r>
    </w:p>
    <w:p w14:paraId="3BE53AED" w14:textId="77777777" w:rsidR="00C91EC2" w:rsidRPr="008B1EAE" w:rsidRDefault="0000391E">
      <w:pPr>
        <w:spacing w:before="240" w:after="240"/>
        <w:rPr>
          <w:sz w:val="24"/>
          <w:szCs w:val="24"/>
        </w:rPr>
      </w:pPr>
      <w:r w:rsidRPr="008B1EAE">
        <w:rPr>
          <w:sz w:val="24"/>
          <w:szCs w:val="24"/>
        </w:rPr>
        <w:lastRenderedPageBreak/>
        <w:t>The healthcare industry remains a prime target for cybercriminals due to the high value of medical records, which are frequently sold on the black market. Palmer (2024) argues that the frequency of data breaches has risen, with the U.S. Department of Health and Human Services' Office for Civil Rights documenting 721 large-scale breaches in 2024 alone. According to IBM (2024), the average cost of a healthcare data breach reached $9.8 million, nearly double the global industry average of $4.9 million. The February 2024 Change Healthcare ransomware attack, which compromised the data of 100 million Americans, illustrates the vulnerabilities inherent in digital healthcare and underscores the urgent need for stronger security frameworks (Swain, 2024).</w:t>
      </w:r>
    </w:p>
    <w:p w14:paraId="64126D76" w14:textId="77777777" w:rsidR="00C91EC2" w:rsidRPr="008B1EAE" w:rsidRDefault="0000391E">
      <w:pPr>
        <w:spacing w:before="240" w:after="240"/>
        <w:rPr>
          <w:sz w:val="24"/>
          <w:szCs w:val="24"/>
        </w:rPr>
      </w:pPr>
      <w:r w:rsidRPr="008B1EAE">
        <w:rPr>
          <w:sz w:val="24"/>
          <w:szCs w:val="24"/>
        </w:rPr>
        <w:t>A major factor contributing to these breaches is the growing prevalence of AI-powered phishing attacks.</w:t>
      </w:r>
      <w:r w:rsidR="00774FE2" w:rsidRPr="008B1EAE">
        <w:rPr>
          <w:sz w:val="24"/>
          <w:szCs w:val="24"/>
        </w:rPr>
        <w:t xml:space="preserve"> </w:t>
      </w:r>
      <w:proofErr w:type="spellStart"/>
      <w:r w:rsidR="00774FE2" w:rsidRPr="008B1EAE">
        <w:rPr>
          <w:sz w:val="24"/>
          <w:szCs w:val="24"/>
        </w:rPr>
        <w:t>Javaid</w:t>
      </w:r>
      <w:proofErr w:type="spellEnd"/>
      <w:r w:rsidR="00774FE2" w:rsidRPr="008B1EAE">
        <w:rPr>
          <w:sz w:val="24"/>
          <w:szCs w:val="24"/>
        </w:rPr>
        <w:t xml:space="preserve"> et al. (2023) posit </w:t>
      </w:r>
      <w:r w:rsidRPr="008B1EAE">
        <w:rPr>
          <w:sz w:val="24"/>
          <w:szCs w:val="24"/>
        </w:rPr>
        <w:t>that cybercriminals are leveraging artificial intelligence to craft highly deceptive phishing schemes targeting both patients and healthcare providers. A 2024 study by Keeper Security reported a 51% increase in AI-driven phishing incidents, reflecting the growing sophistication of cyber threats (</w:t>
      </w:r>
      <w:proofErr w:type="spellStart"/>
      <w:r w:rsidRPr="008B1EAE">
        <w:rPr>
          <w:sz w:val="24"/>
          <w:szCs w:val="24"/>
        </w:rPr>
        <w:t>D’Andrea</w:t>
      </w:r>
      <w:proofErr w:type="spellEnd"/>
      <w:r w:rsidRPr="008B1EAE">
        <w:rPr>
          <w:sz w:val="24"/>
          <w:szCs w:val="24"/>
        </w:rPr>
        <w:t xml:space="preserve">, 2024). Also, the FBI issued a warning in May 2024 about the rise of AI-enhanced scams that employ </w:t>
      </w:r>
      <w:proofErr w:type="spellStart"/>
      <w:r w:rsidRPr="008B1EAE">
        <w:rPr>
          <w:sz w:val="24"/>
          <w:szCs w:val="24"/>
        </w:rPr>
        <w:t>deepfake</w:t>
      </w:r>
      <w:proofErr w:type="spellEnd"/>
      <w:r w:rsidRPr="008B1EAE">
        <w:rPr>
          <w:sz w:val="24"/>
          <w:szCs w:val="24"/>
        </w:rPr>
        <w:t xml:space="preserve"> technology and advanced social engineering tac</w:t>
      </w:r>
      <w:r w:rsidR="00774FE2" w:rsidRPr="008B1EAE">
        <w:rPr>
          <w:sz w:val="24"/>
          <w:szCs w:val="24"/>
        </w:rPr>
        <w:t>tics to manipulate victims (FBI</w:t>
      </w:r>
      <w:r w:rsidRPr="008B1EAE">
        <w:rPr>
          <w:sz w:val="24"/>
          <w:szCs w:val="24"/>
        </w:rPr>
        <w:t xml:space="preserve">, 2024). The February 2024 H-M Health breach exemplifies this risk, as cybercriminals used </w:t>
      </w:r>
      <w:proofErr w:type="spellStart"/>
      <w:r w:rsidRPr="008B1EAE">
        <w:rPr>
          <w:sz w:val="24"/>
          <w:szCs w:val="24"/>
        </w:rPr>
        <w:t>deepfake</w:t>
      </w:r>
      <w:proofErr w:type="spellEnd"/>
      <w:r w:rsidRPr="008B1EAE">
        <w:rPr>
          <w:sz w:val="24"/>
          <w:szCs w:val="24"/>
        </w:rPr>
        <w:t xml:space="preserve"> audio to impersonate the company’s CEO, deceiving an employee into executing fraudulent financial transactions (</w:t>
      </w:r>
      <w:proofErr w:type="spellStart"/>
      <w:r w:rsidRPr="008B1EAE">
        <w:rPr>
          <w:sz w:val="24"/>
          <w:szCs w:val="24"/>
        </w:rPr>
        <w:t>Plainert</w:t>
      </w:r>
      <w:proofErr w:type="spellEnd"/>
      <w:r w:rsidRPr="008B1EAE">
        <w:rPr>
          <w:sz w:val="24"/>
          <w:szCs w:val="24"/>
        </w:rPr>
        <w:t>, 2025).</w:t>
      </w:r>
    </w:p>
    <w:p w14:paraId="31FE4021" w14:textId="77777777" w:rsidR="00C91EC2" w:rsidRPr="008B1EAE" w:rsidRDefault="0000391E">
      <w:pPr>
        <w:spacing w:before="240" w:after="240"/>
        <w:rPr>
          <w:sz w:val="24"/>
          <w:szCs w:val="24"/>
        </w:rPr>
      </w:pPr>
      <w:r w:rsidRPr="008B1EAE">
        <w:rPr>
          <w:sz w:val="24"/>
          <w:szCs w:val="24"/>
        </w:rPr>
        <w:t xml:space="preserve">Credential theft remains a central tactic in these phishing campaigns, enabling attackers to exploit stolen credentials and gain unauthorized access to sensitive medical data. Writer (2024) asserts that AI-powered phishing techniques have increased the effectiveness of these attacks, as a 2024 </w:t>
      </w:r>
      <w:proofErr w:type="spellStart"/>
      <w:r w:rsidRPr="008B1EAE">
        <w:rPr>
          <w:sz w:val="24"/>
          <w:szCs w:val="24"/>
        </w:rPr>
        <w:t>Cyberint</w:t>
      </w:r>
      <w:proofErr w:type="spellEnd"/>
      <w:r w:rsidRPr="008B1EAE">
        <w:rPr>
          <w:sz w:val="24"/>
          <w:szCs w:val="24"/>
        </w:rPr>
        <w:t xml:space="preserve"> report documented a 333% rise in credential theft cases. </w:t>
      </w:r>
      <w:proofErr w:type="spellStart"/>
      <w:r w:rsidRPr="008B1EAE">
        <w:rPr>
          <w:sz w:val="24"/>
          <w:szCs w:val="24"/>
        </w:rPr>
        <w:t>Netskope’s</w:t>
      </w:r>
      <w:proofErr w:type="spellEnd"/>
      <w:r w:rsidRPr="008B1EAE">
        <w:rPr>
          <w:sz w:val="24"/>
          <w:szCs w:val="24"/>
        </w:rPr>
        <w:t xml:space="preserve"> </w:t>
      </w:r>
      <w:r w:rsidRPr="008B1EAE">
        <w:rPr>
          <w:i/>
          <w:sz w:val="24"/>
          <w:szCs w:val="24"/>
        </w:rPr>
        <w:t>2024 Cloud &amp; Threat Report</w:t>
      </w:r>
      <w:r w:rsidRPr="008B1EAE">
        <w:rPr>
          <w:sz w:val="24"/>
          <w:szCs w:val="24"/>
        </w:rPr>
        <w:t xml:space="preserve"> further observed a substantial increase in phishing link click rates, indicating that a growing number of users are unknowingly facilitating cyber intrusions (</w:t>
      </w:r>
      <w:proofErr w:type="spellStart"/>
      <w:r w:rsidRPr="008B1EAE">
        <w:rPr>
          <w:sz w:val="24"/>
          <w:szCs w:val="24"/>
        </w:rPr>
        <w:t>Netskope</w:t>
      </w:r>
      <w:proofErr w:type="spellEnd"/>
      <w:r w:rsidRPr="008B1EAE">
        <w:rPr>
          <w:sz w:val="24"/>
          <w:szCs w:val="24"/>
        </w:rPr>
        <w:t>, 2024). Real-world incidents highlight the severity of this threat. In September 2024, Bellarine Medical Group in Drysdale suffered a phishing attack where cybercriminals impersonated official sources and distributed malicious emails to patients, compromising their medical records (Bellarine Medical Group, 2024). Similarly, Services Australia faced a surge in data breaches in July 2024, as cybercriminals exploited stolen credentials to infiltrate user accounts (Williams, 2024).</w:t>
      </w:r>
    </w:p>
    <w:p w14:paraId="01EEF9EC" w14:textId="77777777" w:rsidR="00C91EC2" w:rsidRPr="008B1EAE" w:rsidRDefault="0000391E">
      <w:pPr>
        <w:spacing w:before="240" w:after="240"/>
        <w:rPr>
          <w:sz w:val="24"/>
          <w:szCs w:val="24"/>
        </w:rPr>
      </w:pPr>
      <w:r w:rsidRPr="008B1EAE">
        <w:rPr>
          <w:sz w:val="24"/>
          <w:szCs w:val="24"/>
        </w:rPr>
        <w:t xml:space="preserve">Conventional authentication mechanisms within telemedicine platforms have proven inadequate in mitigating these risks. </w:t>
      </w:r>
      <w:proofErr w:type="spellStart"/>
      <w:r w:rsidRPr="008B1EAE">
        <w:rPr>
          <w:sz w:val="24"/>
          <w:szCs w:val="24"/>
        </w:rPr>
        <w:t>Yusop</w:t>
      </w:r>
      <w:proofErr w:type="spellEnd"/>
      <w:r w:rsidRPr="008B1EAE">
        <w:rPr>
          <w:sz w:val="24"/>
          <w:szCs w:val="24"/>
        </w:rPr>
        <w:t xml:space="preserve"> et al. (2025)</w:t>
      </w:r>
      <w:r w:rsidR="00774FE2" w:rsidRPr="008B1EAE">
        <w:rPr>
          <w:sz w:val="24"/>
          <w:szCs w:val="24"/>
        </w:rPr>
        <w:t xml:space="preserve"> argue </w:t>
      </w:r>
      <w:r w:rsidRPr="008B1EAE">
        <w:rPr>
          <w:sz w:val="24"/>
          <w:szCs w:val="24"/>
        </w:rPr>
        <w:t xml:space="preserve">that traditional password-based authentication methods are insufficient against AI-driven phishing attacks that exploit compromised credentials. While multi-factor authentication (MFA) has been widely implemented, it remains vulnerable to advanced threats. According to </w:t>
      </w:r>
      <w:proofErr w:type="spellStart"/>
      <w:r w:rsidRPr="008B1EAE">
        <w:rPr>
          <w:sz w:val="24"/>
          <w:szCs w:val="24"/>
        </w:rPr>
        <w:lastRenderedPageBreak/>
        <w:t>Petkauskas</w:t>
      </w:r>
      <w:proofErr w:type="spellEnd"/>
      <w:r w:rsidRPr="008B1EAE">
        <w:rPr>
          <w:sz w:val="24"/>
          <w:szCs w:val="24"/>
        </w:rPr>
        <w:t xml:space="preserve"> (2022), cybercriminals now employ AI to bypass MFA by intercepting authentication codes or using </w:t>
      </w:r>
      <w:proofErr w:type="spellStart"/>
      <w:r w:rsidRPr="008B1EAE">
        <w:rPr>
          <w:sz w:val="24"/>
          <w:szCs w:val="24"/>
        </w:rPr>
        <w:t>deepfake</w:t>
      </w:r>
      <w:proofErr w:type="spellEnd"/>
      <w:r w:rsidRPr="008B1EAE">
        <w:rPr>
          <w:sz w:val="24"/>
          <w:szCs w:val="24"/>
        </w:rPr>
        <w:t>-generated voices to manipulate verification processes. Verizon (2023) reports that 74% of security breaches involved human error, with social engineering tactics continuing to exploit healthcare personnel’s trust. The persistence of human-related security vulnerabilities highlights the need for stronger authentication frameworks that minimize reliance on individual discretion.</w:t>
      </w:r>
    </w:p>
    <w:p w14:paraId="47F69499" w14:textId="77777777" w:rsidR="00C91EC2" w:rsidRPr="008B1EAE" w:rsidRDefault="0000391E">
      <w:pPr>
        <w:spacing w:before="240" w:after="240"/>
        <w:rPr>
          <w:sz w:val="24"/>
          <w:szCs w:val="24"/>
        </w:rPr>
      </w:pPr>
      <w:r w:rsidRPr="008B1EAE">
        <w:rPr>
          <w:sz w:val="24"/>
          <w:szCs w:val="24"/>
        </w:rPr>
        <w:t xml:space="preserve">The expansion of telemedicine and its growing market size have widened the attack surface for cybercriminals. Jimmy (2024) contends that this increased exposure underscores the urgency for improved security measures, including AI-driven phishing detection mechanisms and sophisticated authentication protocols. Organizations are integrating AI-powered cybersecurity solutions that leverage machine learning and natural language processing to detect phishing attempts by </w:t>
      </w:r>
      <w:proofErr w:type="spellStart"/>
      <w:r w:rsidRPr="008B1EAE">
        <w:rPr>
          <w:sz w:val="24"/>
          <w:szCs w:val="24"/>
        </w:rPr>
        <w:t>analyzing</w:t>
      </w:r>
      <w:proofErr w:type="spellEnd"/>
      <w:r w:rsidRPr="008B1EAE">
        <w:rPr>
          <w:sz w:val="24"/>
          <w:szCs w:val="24"/>
        </w:rPr>
        <w:t xml:space="preserve"> vast datasets and identifying subtle indicators of malicious activity. </w:t>
      </w:r>
      <w:proofErr w:type="spellStart"/>
      <w:r w:rsidRPr="008B1EAE">
        <w:rPr>
          <w:sz w:val="24"/>
          <w:szCs w:val="24"/>
        </w:rPr>
        <w:t>Arefin</w:t>
      </w:r>
      <w:proofErr w:type="spellEnd"/>
      <w:r w:rsidRPr="008B1EAE">
        <w:rPr>
          <w:sz w:val="24"/>
          <w:szCs w:val="24"/>
        </w:rPr>
        <w:t xml:space="preserve"> and Simcox (2024) discuss various AI-driven security models that proactively detect and neutralize phishing threats within telemedicine platforms.</w:t>
      </w:r>
    </w:p>
    <w:p w14:paraId="59AF7E76" w14:textId="77777777" w:rsidR="00C91EC2" w:rsidRPr="008B1EAE" w:rsidRDefault="0000391E">
      <w:pPr>
        <w:spacing w:before="240" w:after="240"/>
        <w:rPr>
          <w:sz w:val="24"/>
          <w:szCs w:val="24"/>
        </w:rPr>
      </w:pPr>
      <w:r w:rsidRPr="008B1EAE">
        <w:rPr>
          <w:sz w:val="24"/>
          <w:szCs w:val="24"/>
        </w:rPr>
        <w:t xml:space="preserve">Case studies further demonstrate the effectiveness of AI-driven </w:t>
      </w:r>
      <w:proofErr w:type="spellStart"/>
      <w:r w:rsidRPr="008B1EAE">
        <w:rPr>
          <w:sz w:val="24"/>
          <w:szCs w:val="24"/>
        </w:rPr>
        <w:t>defenses</w:t>
      </w:r>
      <w:proofErr w:type="spellEnd"/>
      <w:r w:rsidRPr="008B1EAE">
        <w:rPr>
          <w:sz w:val="24"/>
          <w:szCs w:val="24"/>
        </w:rPr>
        <w:t xml:space="preserve"> in mitigating phishing risks. </w:t>
      </w:r>
      <w:proofErr w:type="spellStart"/>
      <w:r w:rsidRPr="008B1EAE">
        <w:rPr>
          <w:sz w:val="24"/>
          <w:szCs w:val="24"/>
        </w:rPr>
        <w:t>Alabdulatif</w:t>
      </w:r>
      <w:proofErr w:type="spellEnd"/>
      <w:r w:rsidRPr="008B1EAE">
        <w:rPr>
          <w:sz w:val="24"/>
          <w:szCs w:val="24"/>
        </w:rPr>
        <w:t xml:space="preserve"> et al. (2022)</w:t>
      </w:r>
      <w:r w:rsidR="00774FE2" w:rsidRPr="008B1EAE">
        <w:rPr>
          <w:sz w:val="24"/>
          <w:szCs w:val="24"/>
        </w:rPr>
        <w:t xml:space="preserve"> note </w:t>
      </w:r>
      <w:r w:rsidRPr="008B1EAE">
        <w:rPr>
          <w:sz w:val="24"/>
          <w:szCs w:val="24"/>
        </w:rPr>
        <w:t xml:space="preserve">that healthcare institutions employing AI-based threat detection systems have reported improved accuracy in identifying cyber threats and reducing false positives. Moreover, advancements in AI-powered authentication, such as biometric verification and </w:t>
      </w:r>
      <w:proofErr w:type="spellStart"/>
      <w:r w:rsidRPr="008B1EAE">
        <w:rPr>
          <w:sz w:val="24"/>
          <w:szCs w:val="24"/>
        </w:rPr>
        <w:t>behavioral</w:t>
      </w:r>
      <w:proofErr w:type="spellEnd"/>
      <w:r w:rsidRPr="008B1EAE">
        <w:rPr>
          <w:sz w:val="24"/>
          <w:szCs w:val="24"/>
        </w:rPr>
        <w:t xml:space="preserve"> analytics, are emerging as viable alternatives to traditional authentication methods (</w:t>
      </w:r>
      <w:proofErr w:type="spellStart"/>
      <w:r w:rsidRPr="008B1EAE">
        <w:rPr>
          <w:sz w:val="24"/>
          <w:szCs w:val="24"/>
        </w:rPr>
        <w:t>Awad</w:t>
      </w:r>
      <w:proofErr w:type="spellEnd"/>
      <w:r w:rsidRPr="008B1EAE">
        <w:rPr>
          <w:sz w:val="24"/>
          <w:szCs w:val="24"/>
        </w:rPr>
        <w:t xml:space="preserve"> et al., 2024). These technologies introduce additional security layers that are more resilient to AI-generated phishing schemes (Tyagi et al., 2024). Nevertheless, even with robust authentication mechanisms, patient data privacy remains a pressing concern.</w:t>
      </w:r>
    </w:p>
    <w:p w14:paraId="3C934D48" w14:textId="77777777" w:rsidR="00C91EC2" w:rsidRPr="008B1EAE" w:rsidRDefault="0000391E">
      <w:pPr>
        <w:spacing w:before="240" w:after="240"/>
        <w:rPr>
          <w:sz w:val="24"/>
          <w:szCs w:val="24"/>
        </w:rPr>
      </w:pPr>
      <w:r w:rsidRPr="008B1EAE">
        <w:rPr>
          <w:sz w:val="24"/>
          <w:szCs w:val="24"/>
        </w:rPr>
        <w:t xml:space="preserve">The scale of healthcare data breaches continues to raise alarms. </w:t>
      </w:r>
      <w:proofErr w:type="spellStart"/>
      <w:r w:rsidRPr="008B1EAE">
        <w:rPr>
          <w:sz w:val="24"/>
          <w:szCs w:val="24"/>
        </w:rPr>
        <w:t>Nankya</w:t>
      </w:r>
      <w:proofErr w:type="spellEnd"/>
      <w:r w:rsidRPr="008B1EAE">
        <w:rPr>
          <w:sz w:val="24"/>
          <w:szCs w:val="24"/>
        </w:rPr>
        <w:t xml:space="preserve"> et al. (2024)</w:t>
      </w:r>
      <w:r w:rsidR="00774FE2" w:rsidRPr="008B1EAE">
        <w:rPr>
          <w:sz w:val="24"/>
          <w:szCs w:val="24"/>
        </w:rPr>
        <w:t xml:space="preserve"> highlight </w:t>
      </w:r>
      <w:r w:rsidRPr="008B1EAE">
        <w:rPr>
          <w:sz w:val="24"/>
          <w:szCs w:val="24"/>
        </w:rPr>
        <w:t>that in 2023, the Office for Civil Rights recorded 725 healthcare-related data breaches, exposing over 133 million medical records. Additionally, Sutherlin (2024) revealed that nearly 50% of employees had fallen victim to cyberattacks, with AI-enhanced phishing campaigns accounting for a significant portion of these incidents. Beyond financial and reputational damage, such breaches erode public trust in telemedicine, a critical factor influencing digital healthcare adoption.</w:t>
      </w:r>
    </w:p>
    <w:p w14:paraId="7A08A9E1" w14:textId="77777777" w:rsidR="00C91EC2" w:rsidRPr="008B1EAE" w:rsidRDefault="0000391E">
      <w:pPr>
        <w:spacing w:before="240" w:after="240"/>
        <w:rPr>
          <w:sz w:val="24"/>
          <w:szCs w:val="24"/>
        </w:rPr>
      </w:pPr>
      <w:r w:rsidRPr="008B1EAE">
        <w:rPr>
          <w:sz w:val="24"/>
          <w:szCs w:val="24"/>
        </w:rPr>
        <w:t xml:space="preserve">To address these cybersecurity challenges, healthcare organizations are increasingly adopting end-to-end encryption, zero-trust security models, and decentralized identity verification in their digital infrastructures. </w:t>
      </w:r>
      <w:proofErr w:type="spellStart"/>
      <w:r w:rsidRPr="008B1EAE">
        <w:rPr>
          <w:sz w:val="24"/>
          <w:szCs w:val="24"/>
        </w:rPr>
        <w:t>Isibor</w:t>
      </w:r>
      <w:proofErr w:type="spellEnd"/>
      <w:r w:rsidRPr="008B1EAE">
        <w:rPr>
          <w:sz w:val="24"/>
          <w:szCs w:val="24"/>
        </w:rPr>
        <w:t xml:space="preserve"> (2024) asserts that regulatory frameworks such as the Health Insurance Portability and Accountability Act (HIPAA) and the General Data Protection Regulation (GDPR) play a crucial role in enforcing data security standards and ensuring the responsible handling of patient information. Greater </w:t>
      </w:r>
      <w:r w:rsidRPr="008B1EAE">
        <w:rPr>
          <w:sz w:val="24"/>
          <w:szCs w:val="24"/>
        </w:rPr>
        <w:lastRenderedPageBreak/>
        <w:t>regulatory oversight, combined with proactive security measures, will be essential in mitigating the risks associated with AI-powered phishing and safeguarding sensitive medical data within telemedicine platforms.</w:t>
      </w:r>
    </w:p>
    <w:p w14:paraId="396A1E11" w14:textId="77777777" w:rsidR="00C91EC2" w:rsidRPr="008B1EAE" w:rsidRDefault="0000391E">
      <w:pPr>
        <w:spacing w:before="240" w:after="240"/>
        <w:rPr>
          <w:color w:val="000000"/>
          <w:sz w:val="24"/>
          <w:szCs w:val="24"/>
        </w:rPr>
      </w:pPr>
      <w:r w:rsidRPr="008B1EAE">
        <w:rPr>
          <w:sz w:val="24"/>
          <w:szCs w:val="24"/>
        </w:rPr>
        <w:t xml:space="preserve">The intersection of telemedicine’s rapid expansion and the sophistication of AI-driven phishing attacks underscores the need for robust cybersecurity measures. </w:t>
      </w:r>
      <w:proofErr w:type="spellStart"/>
      <w:r w:rsidRPr="008B1EAE">
        <w:rPr>
          <w:sz w:val="24"/>
          <w:szCs w:val="24"/>
        </w:rPr>
        <w:t>Fakhouri</w:t>
      </w:r>
      <w:proofErr w:type="spellEnd"/>
      <w:r w:rsidRPr="008B1EAE">
        <w:rPr>
          <w:sz w:val="24"/>
          <w:szCs w:val="24"/>
        </w:rPr>
        <w:t xml:space="preserve"> et al. (2024)</w:t>
      </w:r>
      <w:r w:rsidR="00774FE2" w:rsidRPr="008B1EAE">
        <w:rPr>
          <w:sz w:val="24"/>
          <w:szCs w:val="24"/>
        </w:rPr>
        <w:t xml:space="preserve"> argue</w:t>
      </w:r>
      <w:r w:rsidRPr="008B1EAE">
        <w:rPr>
          <w:sz w:val="24"/>
          <w:szCs w:val="24"/>
        </w:rPr>
        <w:t xml:space="preserve"> that the prevalence of high-profile breaches, financial losses, and the growing success of AI-enhanced phishing schemes highlight the necessity for advanced authentication protocols and AI-driven security solutions. By implementing adaptive threat detection systems, </w:t>
      </w:r>
      <w:proofErr w:type="spellStart"/>
      <w:r w:rsidRPr="008B1EAE">
        <w:rPr>
          <w:sz w:val="24"/>
          <w:szCs w:val="24"/>
        </w:rPr>
        <w:t>behavioral</w:t>
      </w:r>
      <w:proofErr w:type="spellEnd"/>
      <w:r w:rsidRPr="008B1EAE">
        <w:rPr>
          <w:sz w:val="24"/>
          <w:szCs w:val="24"/>
        </w:rPr>
        <w:t xml:space="preserve"> authentication methods, and stringent regulatory compliance measures, telemedicine platforms can enhance their resilience against evolving cyber threats. According to Tariq (2024), as healthcare digitalization progresses, a proactive approach to cybersecurity will be essential in maintaining patient privacy, trust, and data integrity amid escalating AI-driven threats.</w:t>
      </w:r>
      <w:r w:rsidR="00774FE2" w:rsidRPr="008B1EAE">
        <w:rPr>
          <w:sz w:val="24"/>
          <w:szCs w:val="24"/>
        </w:rPr>
        <w:t xml:space="preserve"> This </w:t>
      </w:r>
      <w:r w:rsidRPr="008B1EAE">
        <w:rPr>
          <w:sz w:val="24"/>
          <w:szCs w:val="24"/>
        </w:rPr>
        <w:t xml:space="preserve">study </w:t>
      </w:r>
      <w:r w:rsidR="00774FE2" w:rsidRPr="008B1EAE">
        <w:rPr>
          <w:sz w:val="24"/>
          <w:szCs w:val="24"/>
        </w:rPr>
        <w:t xml:space="preserve">thus sought to provide recommendations for enhancing </w:t>
      </w:r>
      <w:r w:rsidRPr="008B1EAE">
        <w:rPr>
          <w:sz w:val="24"/>
          <w:szCs w:val="24"/>
        </w:rPr>
        <w:t>patient data privacy and strengthen authentication protocols in telemedicine systems by mitigating the risks posed by AI-powered phishing attacks, by achieving the following objectives:</w:t>
      </w:r>
    </w:p>
    <w:p w14:paraId="3710396F" w14:textId="77777777" w:rsidR="00C91EC2" w:rsidRPr="00492DC0" w:rsidRDefault="00774FE2">
      <w:pPr>
        <w:numPr>
          <w:ilvl w:val="0"/>
          <w:numId w:val="2"/>
        </w:numPr>
        <w:spacing w:before="240"/>
        <w:rPr>
          <w:sz w:val="24"/>
          <w:szCs w:val="24"/>
        </w:rPr>
      </w:pPr>
      <w:r>
        <w:rPr>
          <w:sz w:val="24"/>
          <w:szCs w:val="24"/>
        </w:rPr>
        <w:t>Analysi</w:t>
      </w:r>
      <w:r w:rsidR="0000391E" w:rsidRPr="00492DC0">
        <w:rPr>
          <w:sz w:val="24"/>
          <w:szCs w:val="24"/>
        </w:rPr>
        <w:t xml:space="preserve">s the impact of AI-powered phishing attacks on patient data privacy in telemedicine </w:t>
      </w:r>
    </w:p>
    <w:p w14:paraId="04782734" w14:textId="77777777" w:rsidR="00C91EC2" w:rsidRPr="00492DC0" w:rsidRDefault="00774FE2">
      <w:pPr>
        <w:numPr>
          <w:ilvl w:val="0"/>
          <w:numId w:val="2"/>
        </w:numPr>
        <w:rPr>
          <w:sz w:val="24"/>
          <w:szCs w:val="24"/>
        </w:rPr>
      </w:pPr>
      <w:r>
        <w:rPr>
          <w:sz w:val="24"/>
          <w:szCs w:val="24"/>
        </w:rPr>
        <w:t>Evaluating</w:t>
      </w:r>
      <w:r w:rsidR="0000391E" w:rsidRPr="00492DC0">
        <w:rPr>
          <w:sz w:val="24"/>
          <w:szCs w:val="24"/>
        </w:rPr>
        <w:t xml:space="preserve"> existing authentication protocols in telemedicine and identify</w:t>
      </w:r>
      <w:r>
        <w:rPr>
          <w:sz w:val="24"/>
          <w:szCs w:val="24"/>
        </w:rPr>
        <w:t>ing</w:t>
      </w:r>
      <w:r w:rsidR="0000391E" w:rsidRPr="00492DC0">
        <w:rPr>
          <w:sz w:val="24"/>
          <w:szCs w:val="24"/>
        </w:rPr>
        <w:t xml:space="preserve"> vulnerabilities </w:t>
      </w:r>
    </w:p>
    <w:p w14:paraId="10849B22" w14:textId="77777777" w:rsidR="00C91EC2" w:rsidRPr="00492DC0" w:rsidRDefault="00774FE2">
      <w:pPr>
        <w:numPr>
          <w:ilvl w:val="0"/>
          <w:numId w:val="2"/>
        </w:numPr>
        <w:rPr>
          <w:sz w:val="24"/>
          <w:szCs w:val="24"/>
        </w:rPr>
      </w:pPr>
      <w:r>
        <w:rPr>
          <w:sz w:val="24"/>
          <w:szCs w:val="24"/>
        </w:rPr>
        <w:t>Investigating</w:t>
      </w:r>
      <w:r w:rsidR="0000391E" w:rsidRPr="00492DC0">
        <w:rPr>
          <w:sz w:val="24"/>
          <w:szCs w:val="24"/>
        </w:rPr>
        <w:t xml:space="preserve"> data privacy enhancements for telemedicine that protect patient information even in the event of a successful phishing attack. </w:t>
      </w:r>
    </w:p>
    <w:p w14:paraId="4A402564" w14:textId="77777777" w:rsidR="00C91EC2" w:rsidRPr="00492DC0" w:rsidRDefault="008B1EAE">
      <w:pPr>
        <w:numPr>
          <w:ilvl w:val="0"/>
          <w:numId w:val="2"/>
        </w:numPr>
        <w:spacing w:after="240"/>
        <w:rPr>
          <w:sz w:val="24"/>
          <w:szCs w:val="24"/>
        </w:rPr>
      </w:pPr>
      <w:r>
        <w:rPr>
          <w:sz w:val="24"/>
          <w:szCs w:val="24"/>
        </w:rPr>
        <w:t xml:space="preserve">Assessing </w:t>
      </w:r>
      <w:r w:rsidR="0000391E" w:rsidRPr="00492DC0">
        <w:rPr>
          <w:sz w:val="24"/>
          <w:szCs w:val="24"/>
        </w:rPr>
        <w:t xml:space="preserve">the feasibility and effectiveness of AI-driven phishing detection systems within the telemedicine context. </w:t>
      </w:r>
    </w:p>
    <w:p w14:paraId="19E75675" w14:textId="77777777" w:rsidR="00C91EC2" w:rsidRPr="00492DC0" w:rsidRDefault="00492DC0">
      <w:pPr>
        <w:pStyle w:val="Heading3"/>
        <w:keepNext w:val="0"/>
        <w:keepLines w:val="0"/>
        <w:spacing w:before="280"/>
        <w:rPr>
          <w:rFonts w:eastAsia="Times New Roman"/>
          <w:b/>
          <w:color w:val="0D0D0D"/>
          <w:sz w:val="24"/>
          <w:szCs w:val="24"/>
          <w:highlight w:val="white"/>
        </w:rPr>
      </w:pPr>
      <w:bookmarkStart w:id="2" w:name="_flovbjv7qx0r" w:colFirst="0" w:colLast="0"/>
      <w:bookmarkEnd w:id="2"/>
      <w:r>
        <w:rPr>
          <w:rFonts w:eastAsia="Times New Roman"/>
          <w:b/>
          <w:color w:val="0D0D0D"/>
          <w:sz w:val="24"/>
          <w:szCs w:val="24"/>
          <w:highlight w:val="white"/>
        </w:rPr>
        <w:t>2.</w:t>
      </w:r>
      <w:r>
        <w:rPr>
          <w:rFonts w:eastAsia="Times New Roman"/>
          <w:b/>
          <w:color w:val="0D0D0D"/>
          <w:sz w:val="24"/>
          <w:szCs w:val="24"/>
          <w:highlight w:val="white"/>
        </w:rPr>
        <w:tab/>
        <w:t>Literature Review</w:t>
      </w:r>
    </w:p>
    <w:p w14:paraId="5AEC73E9" w14:textId="77777777" w:rsidR="00C91EC2" w:rsidRPr="008B1EAE" w:rsidRDefault="0000391E">
      <w:pPr>
        <w:spacing w:before="240" w:after="240"/>
        <w:jc w:val="both"/>
        <w:rPr>
          <w:rFonts w:eastAsia="Times New Roman"/>
          <w:color w:val="0D0D0D"/>
          <w:sz w:val="24"/>
          <w:szCs w:val="24"/>
          <w:highlight w:val="white"/>
        </w:rPr>
      </w:pPr>
      <w:bookmarkStart w:id="3" w:name="_52mx3696j9yy" w:colFirst="0" w:colLast="0"/>
      <w:bookmarkEnd w:id="3"/>
      <w:r w:rsidRPr="008B1EAE">
        <w:rPr>
          <w:rFonts w:eastAsia="Times New Roman"/>
          <w:color w:val="0D0D0D"/>
          <w:sz w:val="24"/>
          <w:szCs w:val="24"/>
          <w:highlight w:val="white"/>
        </w:rPr>
        <w:t>Phishing attacks have long posed significant risks to the healthcare sector, with cybercriminals using social engineering tactics to manipulate victims into revealing confidential information. Mittal et al. (2025)</w:t>
      </w:r>
      <w:r w:rsidR="008B1EAE" w:rsidRPr="008B1EAE">
        <w:rPr>
          <w:rFonts w:eastAsia="Times New Roman"/>
          <w:color w:val="0D0D0D"/>
          <w:sz w:val="24"/>
          <w:szCs w:val="24"/>
          <w:highlight w:val="white"/>
        </w:rPr>
        <w:t xml:space="preserve"> argue</w:t>
      </w:r>
      <w:r w:rsidRPr="008B1EAE">
        <w:rPr>
          <w:rFonts w:eastAsia="Times New Roman"/>
          <w:color w:val="0D0D0D"/>
          <w:sz w:val="24"/>
          <w:szCs w:val="24"/>
          <w:highlight w:val="white"/>
        </w:rPr>
        <w:t xml:space="preserve"> that early phishing attempts typically relied on deceptive emails and fraudulent messages that were often easy to detect due to grammatical inconsistencies and generic content. However, the integration of artificial intelligence has significantly enhanced the sophistication of phishing campaigns, particularly in telemedicine, where the growing reliance on digital health platforms has increased patient data vulnerability (</w:t>
      </w:r>
      <w:proofErr w:type="spellStart"/>
      <w:r w:rsidRPr="008B1EAE">
        <w:rPr>
          <w:rFonts w:eastAsia="Times New Roman"/>
          <w:color w:val="0D0D0D"/>
          <w:sz w:val="24"/>
          <w:szCs w:val="24"/>
          <w:highlight w:val="white"/>
        </w:rPr>
        <w:t>Javaid</w:t>
      </w:r>
      <w:proofErr w:type="spellEnd"/>
      <w:r w:rsidRPr="008B1EAE">
        <w:rPr>
          <w:rFonts w:eastAsia="Times New Roman"/>
          <w:color w:val="0D0D0D"/>
          <w:sz w:val="24"/>
          <w:szCs w:val="24"/>
          <w:highlight w:val="white"/>
        </w:rPr>
        <w:t xml:space="preserve"> et al., 2023; Ajayi et al., 2025).</w:t>
      </w:r>
    </w:p>
    <w:p w14:paraId="3C278E55" w14:textId="77777777" w:rsidR="00C91EC2" w:rsidRPr="008B1EAE" w:rsidRDefault="0000391E">
      <w:pPr>
        <w:spacing w:before="240" w:after="240"/>
        <w:jc w:val="both"/>
        <w:rPr>
          <w:rFonts w:eastAsia="Times New Roman"/>
          <w:color w:val="0D0D0D"/>
          <w:sz w:val="24"/>
          <w:szCs w:val="24"/>
          <w:highlight w:val="white"/>
        </w:rPr>
      </w:pPr>
      <w:r w:rsidRPr="008B1EAE">
        <w:rPr>
          <w:rFonts w:eastAsia="Times New Roman"/>
          <w:color w:val="0D0D0D"/>
          <w:sz w:val="24"/>
          <w:szCs w:val="24"/>
          <w:highlight w:val="white"/>
        </w:rPr>
        <w:t xml:space="preserve">According to </w:t>
      </w:r>
      <w:proofErr w:type="spellStart"/>
      <w:r w:rsidRPr="008B1EAE">
        <w:rPr>
          <w:rFonts w:eastAsia="Times New Roman"/>
          <w:color w:val="0D0D0D"/>
          <w:sz w:val="24"/>
          <w:szCs w:val="24"/>
          <w:highlight w:val="white"/>
        </w:rPr>
        <w:t>Arif</w:t>
      </w:r>
      <w:proofErr w:type="spellEnd"/>
      <w:r w:rsidRPr="008B1EAE">
        <w:rPr>
          <w:rFonts w:eastAsia="Times New Roman"/>
          <w:color w:val="0D0D0D"/>
          <w:sz w:val="24"/>
          <w:szCs w:val="24"/>
          <w:highlight w:val="white"/>
        </w:rPr>
        <w:t xml:space="preserve"> et al. (2024), AI-powered phishing attacks distinguish themselves from conventional techniques by utilizing machine learning algorithms, natural language processing, and </w:t>
      </w:r>
      <w:proofErr w:type="spellStart"/>
      <w:r w:rsidRPr="008B1EAE">
        <w:rPr>
          <w:rFonts w:eastAsia="Times New Roman"/>
          <w:color w:val="0D0D0D"/>
          <w:sz w:val="24"/>
          <w:szCs w:val="24"/>
          <w:highlight w:val="white"/>
        </w:rPr>
        <w:t>deepfake</w:t>
      </w:r>
      <w:proofErr w:type="spellEnd"/>
      <w:r w:rsidRPr="008B1EAE">
        <w:rPr>
          <w:rFonts w:eastAsia="Times New Roman"/>
          <w:color w:val="0D0D0D"/>
          <w:sz w:val="24"/>
          <w:szCs w:val="24"/>
          <w:highlight w:val="white"/>
        </w:rPr>
        <w:t xml:space="preserve"> technology to create highly convincing scams. Unlike earlier phishing attempts, which were frequently identified due to linguistic flaws, AI-generated </w:t>
      </w:r>
      <w:r w:rsidRPr="008B1EAE">
        <w:rPr>
          <w:rFonts w:eastAsia="Times New Roman"/>
          <w:color w:val="0D0D0D"/>
          <w:sz w:val="24"/>
          <w:szCs w:val="24"/>
          <w:highlight w:val="white"/>
        </w:rPr>
        <w:lastRenderedPageBreak/>
        <w:t xml:space="preserve">phishing messages now mimic human communication with remarkable precision. </w:t>
      </w:r>
      <w:proofErr w:type="spellStart"/>
      <w:r w:rsidRPr="008B1EAE">
        <w:rPr>
          <w:rFonts w:eastAsia="Times New Roman"/>
          <w:color w:val="0D0D0D"/>
          <w:sz w:val="24"/>
          <w:szCs w:val="24"/>
          <w:highlight w:val="white"/>
        </w:rPr>
        <w:t>Deepfake</w:t>
      </w:r>
      <w:proofErr w:type="spellEnd"/>
      <w:r w:rsidRPr="008B1EAE">
        <w:rPr>
          <w:rFonts w:eastAsia="Times New Roman"/>
          <w:color w:val="0D0D0D"/>
          <w:sz w:val="24"/>
          <w:szCs w:val="24"/>
          <w:highlight w:val="white"/>
        </w:rPr>
        <w:t xml:space="preserve"> technology further compounds this threat by enabling cybercriminals to fabricate realistic audio and video impersonations of healthcare administrators or physicians (Whittaker et al., 2023; </w:t>
      </w:r>
      <w:proofErr w:type="spellStart"/>
      <w:r w:rsidRPr="008B1EAE">
        <w:rPr>
          <w:rFonts w:eastAsia="Times New Roman"/>
          <w:color w:val="0D0D0D"/>
          <w:sz w:val="24"/>
          <w:szCs w:val="24"/>
          <w:highlight w:val="white"/>
        </w:rPr>
        <w:t>Kolade</w:t>
      </w:r>
      <w:proofErr w:type="spellEnd"/>
      <w:r w:rsidRPr="008B1EAE">
        <w:rPr>
          <w:rFonts w:eastAsia="Times New Roman"/>
          <w:color w:val="0D0D0D"/>
          <w:sz w:val="24"/>
          <w:szCs w:val="24"/>
          <w:highlight w:val="white"/>
        </w:rPr>
        <w:t xml:space="preserve"> et al., 2025). These capabilities have been exploited in AI-driven voice phishing (vishing) schemes, where attackers deceive medical staff into granting unauthorized access to patient records and financial systems (Schmitt &amp; </w:t>
      </w:r>
      <w:proofErr w:type="spellStart"/>
      <w:r w:rsidRPr="008B1EAE">
        <w:rPr>
          <w:rFonts w:eastAsia="Times New Roman"/>
          <w:color w:val="0D0D0D"/>
          <w:sz w:val="24"/>
          <w:szCs w:val="24"/>
          <w:highlight w:val="white"/>
        </w:rPr>
        <w:t>Flechais</w:t>
      </w:r>
      <w:proofErr w:type="spellEnd"/>
      <w:r w:rsidRPr="008B1EAE">
        <w:rPr>
          <w:rFonts w:eastAsia="Times New Roman"/>
          <w:color w:val="0D0D0D"/>
          <w:sz w:val="24"/>
          <w:szCs w:val="24"/>
          <w:highlight w:val="white"/>
        </w:rPr>
        <w:t>, 2024; Obioha-Val, 2025).</w:t>
      </w:r>
    </w:p>
    <w:p w14:paraId="548C20CE" w14:textId="77777777" w:rsidR="00C91EC2" w:rsidRPr="00492DC0" w:rsidRDefault="0000391E">
      <w:pPr>
        <w:spacing w:before="240" w:after="240"/>
        <w:jc w:val="both"/>
        <w:rPr>
          <w:rFonts w:eastAsia="Times New Roman"/>
          <w:color w:val="0D0D0D"/>
          <w:sz w:val="24"/>
          <w:szCs w:val="24"/>
          <w:highlight w:val="white"/>
        </w:rPr>
      </w:pPr>
      <w:r w:rsidRPr="00492DC0">
        <w:rPr>
          <w:rFonts w:eastAsia="Times New Roman"/>
          <w:color w:val="0D0D0D"/>
          <w:sz w:val="24"/>
          <w:szCs w:val="24"/>
          <w:highlight w:val="white"/>
        </w:rPr>
        <w:t xml:space="preserve">The impact of these techniques is evident in several high-profile incidents; the Bellarine Medical Group email breach in September 2024 exemplifies how AI-enhanced phishing campaigns exploit patient trust </w:t>
      </w:r>
      <w:r w:rsidRPr="00492DC0">
        <w:rPr>
          <w:sz w:val="24"/>
          <w:szCs w:val="24"/>
        </w:rPr>
        <w:t>(Bellarine Medical Group, 2024)</w:t>
      </w:r>
      <w:r w:rsidRPr="00492DC0">
        <w:rPr>
          <w:rFonts w:eastAsia="Times New Roman"/>
          <w:color w:val="0D0D0D"/>
          <w:sz w:val="24"/>
          <w:szCs w:val="24"/>
          <w:highlight w:val="white"/>
        </w:rPr>
        <w:t xml:space="preserve">. Victims unknowingly interacted with fraudulent emails, inadvertently granting cybercriminals access to their personal health information. Similarly, the Services Australia data breach in July 2024 highlighted how stolen credentials were leveraged to orchestrate AI-enhanced phishing attacks, underscoring vulnerabilities in telemedicine communications when robust security protocols are absent </w:t>
      </w:r>
      <w:r w:rsidRPr="00492DC0">
        <w:rPr>
          <w:sz w:val="24"/>
          <w:szCs w:val="24"/>
        </w:rPr>
        <w:t>(Williams, 2024; Balogun, 2025)</w:t>
      </w:r>
      <w:r w:rsidRPr="00492DC0">
        <w:rPr>
          <w:rFonts w:eastAsia="Times New Roman"/>
          <w:color w:val="0D0D0D"/>
          <w:sz w:val="24"/>
          <w:szCs w:val="24"/>
          <w:highlight w:val="white"/>
        </w:rPr>
        <w:t>.</w:t>
      </w:r>
    </w:p>
    <w:p w14:paraId="1ED35515" w14:textId="77777777" w:rsidR="00C91EC2" w:rsidRPr="008B1EAE" w:rsidRDefault="0000391E">
      <w:pPr>
        <w:spacing w:before="240" w:after="240"/>
        <w:jc w:val="both"/>
        <w:rPr>
          <w:rFonts w:eastAsia="Times New Roman"/>
          <w:color w:val="0D0D0D"/>
          <w:sz w:val="24"/>
          <w:szCs w:val="24"/>
          <w:highlight w:val="white"/>
        </w:rPr>
      </w:pPr>
      <w:r w:rsidRPr="008B1EAE">
        <w:rPr>
          <w:rFonts w:eastAsia="Times New Roman"/>
          <w:color w:val="0D0D0D"/>
          <w:sz w:val="24"/>
          <w:szCs w:val="24"/>
          <w:highlight w:val="white"/>
        </w:rPr>
        <w:t xml:space="preserve">Empirical data illustrates the increasing prevalence of AI-driven phishing in healthcare. </w:t>
      </w:r>
      <w:r w:rsidRPr="008B1EAE">
        <w:rPr>
          <w:sz w:val="24"/>
          <w:szCs w:val="24"/>
        </w:rPr>
        <w:t>Writer (2024)</w:t>
      </w:r>
      <w:r w:rsidRPr="008B1EAE">
        <w:rPr>
          <w:rFonts w:eastAsia="Times New Roman"/>
          <w:color w:val="0D0D0D"/>
          <w:sz w:val="24"/>
          <w:szCs w:val="24"/>
          <w:highlight w:val="white"/>
        </w:rPr>
        <w:t xml:space="preserve"> states that a 2024 </w:t>
      </w:r>
      <w:proofErr w:type="spellStart"/>
      <w:r w:rsidRPr="008B1EAE">
        <w:rPr>
          <w:rFonts w:eastAsia="Times New Roman"/>
          <w:color w:val="0D0D0D"/>
          <w:sz w:val="24"/>
          <w:szCs w:val="24"/>
          <w:highlight w:val="white"/>
        </w:rPr>
        <w:t>Cyberint</w:t>
      </w:r>
      <w:proofErr w:type="spellEnd"/>
      <w:r w:rsidRPr="008B1EAE">
        <w:rPr>
          <w:rFonts w:eastAsia="Times New Roman"/>
          <w:color w:val="0D0D0D"/>
          <w:sz w:val="24"/>
          <w:szCs w:val="24"/>
          <w:highlight w:val="white"/>
        </w:rPr>
        <w:t xml:space="preserve"> report recorded a 51% surge in AI-powered phishing attacks, with </w:t>
      </w:r>
      <w:proofErr w:type="spellStart"/>
      <w:r w:rsidRPr="008B1EAE">
        <w:rPr>
          <w:rFonts w:eastAsia="Times New Roman"/>
          <w:color w:val="0D0D0D"/>
          <w:sz w:val="24"/>
          <w:szCs w:val="24"/>
          <w:highlight w:val="white"/>
        </w:rPr>
        <w:t>deepfake</w:t>
      </w:r>
      <w:proofErr w:type="spellEnd"/>
      <w:r w:rsidRPr="008B1EAE">
        <w:rPr>
          <w:rFonts w:eastAsia="Times New Roman"/>
          <w:color w:val="0D0D0D"/>
          <w:sz w:val="24"/>
          <w:szCs w:val="24"/>
          <w:highlight w:val="white"/>
        </w:rPr>
        <w:t xml:space="preserve">-enabled scams frequently targeting telemedicine platforms. Additionally, </w:t>
      </w:r>
      <w:r w:rsidRPr="008B1EAE">
        <w:rPr>
          <w:sz w:val="24"/>
          <w:szCs w:val="24"/>
        </w:rPr>
        <w:t xml:space="preserve">IBM (2024), </w:t>
      </w:r>
      <w:r w:rsidRPr="008B1EAE">
        <w:rPr>
          <w:rFonts w:eastAsia="Times New Roman"/>
          <w:color w:val="0D0D0D"/>
          <w:sz w:val="24"/>
          <w:szCs w:val="24"/>
          <w:highlight w:val="white"/>
        </w:rPr>
        <w:t xml:space="preserve">documented a 333% rise in credential theft incidents, emphasizing the effectiveness of AI-enhanced deception tactics. </w:t>
      </w:r>
      <w:proofErr w:type="spellStart"/>
      <w:r w:rsidRPr="008B1EAE">
        <w:rPr>
          <w:rFonts w:eastAsia="Times New Roman"/>
          <w:color w:val="0D0D0D"/>
          <w:sz w:val="24"/>
          <w:szCs w:val="24"/>
          <w:highlight w:val="white"/>
        </w:rPr>
        <w:t>Netskope’s</w:t>
      </w:r>
      <w:proofErr w:type="spellEnd"/>
      <w:r w:rsidRPr="008B1EAE">
        <w:rPr>
          <w:rFonts w:eastAsia="Times New Roman"/>
          <w:color w:val="0D0D0D"/>
          <w:sz w:val="24"/>
          <w:szCs w:val="24"/>
          <w:highlight w:val="white"/>
        </w:rPr>
        <w:t xml:space="preserve"> </w:t>
      </w:r>
      <w:r w:rsidRPr="008B1EAE">
        <w:rPr>
          <w:rFonts w:eastAsia="Times New Roman"/>
          <w:i/>
          <w:color w:val="0D0D0D"/>
          <w:sz w:val="24"/>
          <w:szCs w:val="24"/>
          <w:highlight w:val="white"/>
        </w:rPr>
        <w:t>2024 Cloud &amp; Threat Report</w:t>
      </w:r>
      <w:r w:rsidRPr="008B1EAE">
        <w:rPr>
          <w:rFonts w:eastAsia="Times New Roman"/>
          <w:color w:val="0D0D0D"/>
          <w:sz w:val="24"/>
          <w:szCs w:val="24"/>
          <w:highlight w:val="white"/>
        </w:rPr>
        <w:t xml:space="preserve"> further supports these findings, reporting a 190% increase in phishing link click rates, reflecting growing user susceptibility to AI-driven cyber threats </w:t>
      </w:r>
      <w:r w:rsidRPr="008B1EAE">
        <w:rPr>
          <w:sz w:val="24"/>
          <w:szCs w:val="24"/>
        </w:rPr>
        <w:t>(</w:t>
      </w:r>
      <w:proofErr w:type="spellStart"/>
      <w:r w:rsidRPr="008B1EAE">
        <w:rPr>
          <w:sz w:val="24"/>
          <w:szCs w:val="24"/>
        </w:rPr>
        <w:t>Netskope</w:t>
      </w:r>
      <w:proofErr w:type="spellEnd"/>
      <w:r w:rsidRPr="008B1EAE">
        <w:rPr>
          <w:sz w:val="24"/>
          <w:szCs w:val="24"/>
        </w:rPr>
        <w:t>, 2024)</w:t>
      </w:r>
      <w:r w:rsidRPr="008B1EAE">
        <w:rPr>
          <w:rFonts w:eastAsia="Times New Roman"/>
          <w:color w:val="0D0D0D"/>
          <w:sz w:val="24"/>
          <w:szCs w:val="24"/>
          <w:highlight w:val="white"/>
        </w:rPr>
        <w:t>.</w:t>
      </w:r>
    </w:p>
    <w:p w14:paraId="2C73BCBB" w14:textId="77777777" w:rsidR="00C91EC2" w:rsidRPr="008B1EAE" w:rsidRDefault="0000391E">
      <w:pPr>
        <w:spacing w:before="240" w:after="240"/>
        <w:jc w:val="both"/>
        <w:rPr>
          <w:rFonts w:eastAsia="Times New Roman"/>
          <w:color w:val="0D0D0D"/>
          <w:sz w:val="24"/>
          <w:szCs w:val="24"/>
          <w:highlight w:val="white"/>
        </w:rPr>
      </w:pPr>
      <w:r w:rsidRPr="008B1EAE">
        <w:rPr>
          <w:rFonts w:eastAsia="Times New Roman"/>
          <w:color w:val="0D0D0D"/>
          <w:sz w:val="24"/>
          <w:szCs w:val="24"/>
          <w:highlight w:val="white"/>
        </w:rPr>
        <w:t xml:space="preserve">Despite these alarming trends, telemedicine platforms remain reliant </w:t>
      </w:r>
      <w:r w:rsidR="008B1EAE">
        <w:rPr>
          <w:rFonts w:eastAsia="Times New Roman"/>
          <w:color w:val="0D0D0D"/>
          <w:sz w:val="24"/>
          <w:szCs w:val="24"/>
          <w:highlight w:val="white"/>
        </w:rPr>
        <w:t xml:space="preserve">on outdated security measures. </w:t>
      </w:r>
      <w:proofErr w:type="spellStart"/>
      <w:r w:rsidRPr="008B1EAE">
        <w:rPr>
          <w:rFonts w:eastAsia="Times New Roman"/>
          <w:color w:val="0D0D0D"/>
          <w:sz w:val="24"/>
          <w:szCs w:val="24"/>
          <w:highlight w:val="white"/>
        </w:rPr>
        <w:t>Fakhouri</w:t>
      </w:r>
      <w:proofErr w:type="spellEnd"/>
      <w:r w:rsidRPr="008B1EAE">
        <w:rPr>
          <w:rFonts w:eastAsia="Times New Roman"/>
          <w:color w:val="0D0D0D"/>
          <w:sz w:val="24"/>
          <w:szCs w:val="24"/>
          <w:highlight w:val="white"/>
        </w:rPr>
        <w:t xml:space="preserve"> et al.</w:t>
      </w:r>
      <w:r w:rsidR="008B1EAE">
        <w:rPr>
          <w:rFonts w:eastAsia="Times New Roman"/>
          <w:color w:val="0D0D0D"/>
          <w:sz w:val="24"/>
          <w:szCs w:val="24"/>
          <w:highlight w:val="white"/>
        </w:rPr>
        <w:t xml:space="preserve"> (</w:t>
      </w:r>
      <w:r w:rsidRPr="008B1EAE">
        <w:rPr>
          <w:rFonts w:eastAsia="Times New Roman"/>
          <w:color w:val="0D0D0D"/>
          <w:sz w:val="24"/>
          <w:szCs w:val="24"/>
          <w:highlight w:val="white"/>
        </w:rPr>
        <w:t>2024)</w:t>
      </w:r>
      <w:r w:rsidR="008B1EAE">
        <w:rPr>
          <w:rFonts w:eastAsia="Times New Roman"/>
          <w:color w:val="0D0D0D"/>
          <w:sz w:val="24"/>
          <w:szCs w:val="24"/>
          <w:highlight w:val="white"/>
        </w:rPr>
        <w:t xml:space="preserve"> contend</w:t>
      </w:r>
      <w:r w:rsidRPr="008B1EAE">
        <w:rPr>
          <w:rFonts w:eastAsia="Times New Roman"/>
          <w:color w:val="0D0D0D"/>
          <w:sz w:val="24"/>
          <w:szCs w:val="24"/>
          <w:highlight w:val="white"/>
        </w:rPr>
        <w:t xml:space="preserve"> that password-based authentication, a widely used security mechanism, has proven ineffective against AI-enhanced phishing techniques. The increasing sophistication of cyber threats necessitates adaptive security models incorporating AI-driven detection systems, which </w:t>
      </w:r>
      <w:proofErr w:type="spellStart"/>
      <w:r w:rsidRPr="008B1EAE">
        <w:rPr>
          <w:rFonts w:eastAsia="Times New Roman"/>
          <w:color w:val="0D0D0D"/>
          <w:sz w:val="24"/>
          <w:szCs w:val="24"/>
          <w:highlight w:val="white"/>
        </w:rPr>
        <w:t>analyze</w:t>
      </w:r>
      <w:proofErr w:type="spellEnd"/>
      <w:r w:rsidRPr="008B1EAE">
        <w:rPr>
          <w:rFonts w:eastAsia="Times New Roman"/>
          <w:color w:val="0D0D0D"/>
          <w:sz w:val="24"/>
          <w:szCs w:val="24"/>
          <w:highlight w:val="white"/>
        </w:rPr>
        <w:t xml:space="preserve"> linguistic patterns, </w:t>
      </w:r>
      <w:proofErr w:type="spellStart"/>
      <w:r w:rsidRPr="008B1EAE">
        <w:rPr>
          <w:rFonts w:eastAsia="Times New Roman"/>
          <w:color w:val="0D0D0D"/>
          <w:sz w:val="24"/>
          <w:szCs w:val="24"/>
          <w:highlight w:val="white"/>
        </w:rPr>
        <w:t>behavioral</w:t>
      </w:r>
      <w:proofErr w:type="spellEnd"/>
      <w:r w:rsidRPr="008B1EAE">
        <w:rPr>
          <w:rFonts w:eastAsia="Times New Roman"/>
          <w:color w:val="0D0D0D"/>
          <w:sz w:val="24"/>
          <w:szCs w:val="24"/>
          <w:highlight w:val="white"/>
        </w:rPr>
        <w:t xml:space="preserve"> anomalies, and real-time phishing indicators to counter evolving threats (Salem et al., 2024; Obioha-Val et al., 2025).</w:t>
      </w:r>
    </w:p>
    <w:p w14:paraId="6F1C0AF4" w14:textId="77777777" w:rsidR="00C91EC2" w:rsidRPr="00492DC0" w:rsidRDefault="0000391E">
      <w:pPr>
        <w:spacing w:before="240" w:after="240"/>
        <w:jc w:val="both"/>
        <w:rPr>
          <w:rFonts w:eastAsia="Times New Roman"/>
          <w:color w:val="0D0D0D"/>
          <w:sz w:val="24"/>
          <w:szCs w:val="24"/>
          <w:highlight w:val="white"/>
        </w:rPr>
      </w:pPr>
      <w:r w:rsidRPr="00492DC0">
        <w:rPr>
          <w:rFonts w:eastAsia="Times New Roman"/>
          <w:color w:val="0D0D0D"/>
          <w:sz w:val="24"/>
          <w:szCs w:val="24"/>
          <w:highlight w:val="white"/>
        </w:rPr>
        <w:t xml:space="preserve">There is a growing consensus among cybersecurity researchers on the necessity of integrating AI-based threat intelligence into telemedicine security frameworks (Chaudhary </w:t>
      </w:r>
      <w:r w:rsidRPr="00356EA6">
        <w:rPr>
          <w:rFonts w:eastAsia="Times New Roman"/>
          <w:color w:val="0D0D0D"/>
          <w:sz w:val="24"/>
          <w:szCs w:val="24"/>
          <w:highlight w:val="white"/>
        </w:rPr>
        <w:t xml:space="preserve">et al., 2022; </w:t>
      </w:r>
      <w:proofErr w:type="spellStart"/>
      <w:r w:rsidRPr="00356EA6">
        <w:rPr>
          <w:rFonts w:eastAsia="Times New Roman"/>
          <w:color w:val="0D0D0D"/>
          <w:sz w:val="24"/>
          <w:szCs w:val="24"/>
          <w:highlight w:val="white"/>
        </w:rPr>
        <w:t>Nankya</w:t>
      </w:r>
      <w:proofErr w:type="spellEnd"/>
      <w:r w:rsidRPr="00356EA6">
        <w:rPr>
          <w:rFonts w:eastAsia="Times New Roman"/>
          <w:color w:val="0D0D0D"/>
          <w:sz w:val="24"/>
          <w:szCs w:val="24"/>
          <w:highlight w:val="white"/>
        </w:rPr>
        <w:t xml:space="preserve"> et al., 2024; </w:t>
      </w:r>
      <w:proofErr w:type="spellStart"/>
      <w:r w:rsidRPr="00356EA6">
        <w:rPr>
          <w:rFonts w:eastAsia="Times New Roman"/>
          <w:color w:val="0D0D0D"/>
          <w:sz w:val="24"/>
          <w:szCs w:val="24"/>
          <w:highlight w:val="white"/>
        </w:rPr>
        <w:t>Olutimehin</w:t>
      </w:r>
      <w:proofErr w:type="spellEnd"/>
      <w:r w:rsidRPr="00356EA6">
        <w:rPr>
          <w:rFonts w:eastAsia="Times New Roman"/>
          <w:color w:val="0D0D0D"/>
          <w:sz w:val="24"/>
          <w:szCs w:val="24"/>
          <w:highlight w:val="white"/>
        </w:rPr>
        <w:t xml:space="preserve">, 2025). Zhang and </w:t>
      </w:r>
      <w:proofErr w:type="spellStart"/>
      <w:r w:rsidRPr="00356EA6">
        <w:rPr>
          <w:rFonts w:eastAsia="Times New Roman"/>
          <w:color w:val="0D0D0D"/>
          <w:sz w:val="24"/>
          <w:szCs w:val="24"/>
          <w:highlight w:val="white"/>
        </w:rPr>
        <w:t>Tenney</w:t>
      </w:r>
      <w:proofErr w:type="spellEnd"/>
      <w:r w:rsidRPr="00356EA6">
        <w:rPr>
          <w:rFonts w:eastAsia="Times New Roman"/>
          <w:color w:val="0D0D0D"/>
          <w:sz w:val="24"/>
          <w:szCs w:val="24"/>
          <w:highlight w:val="white"/>
        </w:rPr>
        <w:t xml:space="preserve"> (2023)</w:t>
      </w:r>
      <w:r w:rsidR="008B1EAE" w:rsidRPr="00356EA6">
        <w:rPr>
          <w:rFonts w:eastAsia="Times New Roman"/>
          <w:color w:val="0D0D0D"/>
          <w:sz w:val="24"/>
          <w:szCs w:val="24"/>
          <w:highlight w:val="white"/>
        </w:rPr>
        <w:t xml:space="preserve"> aver</w:t>
      </w:r>
      <w:r w:rsidRPr="00356EA6">
        <w:rPr>
          <w:rFonts w:eastAsia="Times New Roman"/>
          <w:color w:val="0D0D0D"/>
          <w:sz w:val="24"/>
          <w:szCs w:val="24"/>
          <w:highlight w:val="white"/>
        </w:rPr>
        <w:t xml:space="preserve"> that</w:t>
      </w:r>
      <w:r w:rsidRPr="00492DC0">
        <w:rPr>
          <w:rFonts w:eastAsia="Times New Roman"/>
          <w:color w:val="0D0D0D"/>
          <w:sz w:val="24"/>
          <w:szCs w:val="24"/>
          <w:highlight w:val="white"/>
        </w:rPr>
        <w:t xml:space="preserve"> while multi-factor authentication (MFA) remains a widely promoted safeguard, its susceptibility to AI-generated bypass techniques necessitates additional protective measures. </w:t>
      </w:r>
    </w:p>
    <w:p w14:paraId="21DD1540"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4" w:name="_xqlvufqpw4pc" w:colFirst="0" w:colLast="0"/>
      <w:bookmarkEnd w:id="4"/>
      <w:r w:rsidRPr="00492DC0">
        <w:rPr>
          <w:rFonts w:eastAsia="Times New Roman"/>
          <w:b/>
          <w:color w:val="0D0D0D"/>
          <w:sz w:val="24"/>
          <w:szCs w:val="24"/>
          <w:highlight w:val="white"/>
        </w:rPr>
        <w:t>Impact of AI-Enhanced Phishing on Patient Data Privacy</w:t>
      </w:r>
    </w:p>
    <w:p w14:paraId="3984ED3A" w14:textId="77777777" w:rsidR="00C91EC2" w:rsidRPr="008B1EAE" w:rsidRDefault="0000391E">
      <w:pPr>
        <w:spacing w:before="240" w:after="240"/>
        <w:rPr>
          <w:rFonts w:eastAsia="Times New Roman"/>
          <w:color w:val="0D0D0D"/>
          <w:sz w:val="24"/>
          <w:szCs w:val="24"/>
          <w:highlight w:val="white"/>
        </w:rPr>
      </w:pPr>
      <w:r w:rsidRPr="008B1EAE">
        <w:rPr>
          <w:rFonts w:eastAsia="Times New Roman"/>
          <w:color w:val="0D0D0D"/>
          <w:sz w:val="24"/>
          <w:szCs w:val="24"/>
          <w:highlight w:val="white"/>
        </w:rPr>
        <w:lastRenderedPageBreak/>
        <w:t xml:space="preserve">The rise of AI-enhanced phishing attacks has significantly jeopardized patient data privacy, increasing the risk of large-scale breaches in healthcare. </w:t>
      </w:r>
      <w:proofErr w:type="spellStart"/>
      <w:r w:rsidRPr="008B1EAE">
        <w:rPr>
          <w:rFonts w:eastAsia="Times New Roman"/>
          <w:color w:val="0D0D0D"/>
          <w:sz w:val="24"/>
          <w:szCs w:val="24"/>
          <w:highlight w:val="white"/>
        </w:rPr>
        <w:t>Minnaar</w:t>
      </w:r>
      <w:proofErr w:type="spellEnd"/>
      <w:r w:rsidRPr="008B1EAE">
        <w:rPr>
          <w:rFonts w:eastAsia="Times New Roman"/>
          <w:color w:val="0D0D0D"/>
          <w:sz w:val="24"/>
          <w:szCs w:val="24"/>
          <w:highlight w:val="white"/>
        </w:rPr>
        <w:t xml:space="preserve"> and </w:t>
      </w:r>
      <w:proofErr w:type="spellStart"/>
      <w:r w:rsidRPr="008B1EAE">
        <w:rPr>
          <w:rFonts w:eastAsia="Times New Roman"/>
          <w:color w:val="0D0D0D"/>
          <w:sz w:val="24"/>
          <w:szCs w:val="24"/>
          <w:highlight w:val="white"/>
        </w:rPr>
        <w:t>Herbig</w:t>
      </w:r>
      <w:proofErr w:type="spellEnd"/>
      <w:r w:rsidRPr="008B1EAE">
        <w:rPr>
          <w:rFonts w:eastAsia="Times New Roman"/>
          <w:color w:val="0D0D0D"/>
          <w:sz w:val="24"/>
          <w:szCs w:val="24"/>
          <w:highlight w:val="white"/>
        </w:rPr>
        <w:t xml:space="preserve"> (2021) contend that medical records hold immense value on the black market, attracting cybercriminals who use artificial intelligence to launch sophisticated social engineering attacks. Unlike financial data, which has a limited lifespan, patient records contain immutable identifiers such as Social Security numbers, medical histories, and insurance details, making them prime targets for identity theft and fraud (</w:t>
      </w:r>
      <w:proofErr w:type="spellStart"/>
      <w:r w:rsidRPr="008B1EAE">
        <w:rPr>
          <w:rFonts w:eastAsia="Times New Roman"/>
          <w:color w:val="0D0D0D"/>
          <w:sz w:val="24"/>
          <w:szCs w:val="24"/>
          <w:highlight w:val="white"/>
        </w:rPr>
        <w:t>Elendu</w:t>
      </w:r>
      <w:proofErr w:type="spellEnd"/>
      <w:r w:rsidRPr="008B1EAE">
        <w:rPr>
          <w:rFonts w:eastAsia="Times New Roman"/>
          <w:color w:val="0D0D0D"/>
          <w:sz w:val="24"/>
          <w:szCs w:val="24"/>
          <w:highlight w:val="white"/>
        </w:rPr>
        <w:t xml:space="preserve"> et al., 2024). According to Yao (2017), a single electronic health record (EHR) can be sold for up to $1,000 on illicit marketplaces, far exceeding the value of credit card details.</w:t>
      </w:r>
    </w:p>
    <w:p w14:paraId="3B8D8DA8" w14:textId="77777777" w:rsidR="00C91EC2" w:rsidRPr="008B1EAE" w:rsidRDefault="0000391E">
      <w:pPr>
        <w:spacing w:before="240" w:after="240"/>
        <w:rPr>
          <w:rFonts w:eastAsia="Times New Roman"/>
          <w:color w:val="0D0D0D"/>
          <w:sz w:val="24"/>
          <w:szCs w:val="24"/>
          <w:highlight w:val="white"/>
        </w:rPr>
      </w:pPr>
      <w:r w:rsidRPr="008B1EAE">
        <w:rPr>
          <w:rFonts w:eastAsia="Times New Roman"/>
          <w:color w:val="0D0D0D"/>
          <w:sz w:val="24"/>
          <w:szCs w:val="24"/>
          <w:highlight w:val="white"/>
        </w:rPr>
        <w:t>The increasing sophistication of AI-driven phishing has escalated the frequency and severity of healthcare data breaches. Nicholls et al. (2021)</w:t>
      </w:r>
      <w:r w:rsidR="008B1EAE" w:rsidRPr="008B1EAE">
        <w:rPr>
          <w:rFonts w:eastAsia="Times New Roman"/>
          <w:color w:val="0D0D0D"/>
          <w:sz w:val="24"/>
          <w:szCs w:val="24"/>
          <w:highlight w:val="white"/>
        </w:rPr>
        <w:t xml:space="preserve"> posit</w:t>
      </w:r>
      <w:r w:rsidRPr="008B1EAE">
        <w:rPr>
          <w:rFonts w:eastAsia="Times New Roman"/>
          <w:color w:val="0D0D0D"/>
          <w:sz w:val="24"/>
          <w:szCs w:val="24"/>
          <w:highlight w:val="white"/>
        </w:rPr>
        <w:t xml:space="preserve"> that cybercriminals now leverage deep learning models to craft phishing emails that closely resemble legitimate communications. The February 2024 Change Healthcare ransomware attack, which compromised data from nearly 100 million Americans, illustrates the devastating consequences of such attacks (Johnson, 2024; Balogun et al., 2025). </w:t>
      </w:r>
      <w:r w:rsidRPr="008B1EAE">
        <w:rPr>
          <w:sz w:val="24"/>
          <w:szCs w:val="24"/>
        </w:rPr>
        <w:t xml:space="preserve">IBM (2024), </w:t>
      </w:r>
      <w:r w:rsidRPr="008B1EAE">
        <w:rPr>
          <w:rFonts w:eastAsia="Times New Roman"/>
          <w:color w:val="0D0D0D"/>
          <w:sz w:val="24"/>
          <w:szCs w:val="24"/>
          <w:highlight w:val="white"/>
        </w:rPr>
        <w:t>further confirms that the healthcare industry experiences the highest breach-related costs, averaging $9.8 million per incident. These breaches not only result in financial losses but also cause reputational damage, legal consequences, and operational disruptions, eroding public trust in telemedicine.</w:t>
      </w:r>
    </w:p>
    <w:p w14:paraId="408039BA"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 xml:space="preserve">A key factor enabling AI-enhanced phishing is human error. According to </w:t>
      </w:r>
      <w:r w:rsidRPr="00356EA6">
        <w:rPr>
          <w:sz w:val="24"/>
          <w:szCs w:val="24"/>
        </w:rPr>
        <w:t>Verizon (2023)</w:t>
      </w:r>
      <w:r w:rsidRPr="00356EA6">
        <w:rPr>
          <w:rFonts w:eastAsia="Times New Roman"/>
          <w:color w:val="0D0D0D"/>
          <w:sz w:val="24"/>
          <w:szCs w:val="24"/>
          <w:highlight w:val="white"/>
        </w:rPr>
        <w:t xml:space="preserve">, 74% of security breaches involved human-related factors, including susceptibility to phishing schemes and security misconfigurations. AI-powered social engineering exploits cognitive biases, making it increasingly difficult for healthcare personnel to recognize fraudulent interactions (Khan et al., 2024; Obioha-Val et al., 2025). </w:t>
      </w:r>
      <w:r w:rsidRPr="00356EA6">
        <w:rPr>
          <w:sz w:val="24"/>
          <w:szCs w:val="24"/>
        </w:rPr>
        <w:t>Writer (2024)</w:t>
      </w:r>
      <w:r w:rsidRPr="00356EA6">
        <w:rPr>
          <w:rFonts w:eastAsia="Times New Roman"/>
          <w:color w:val="0D0D0D"/>
          <w:sz w:val="24"/>
          <w:szCs w:val="24"/>
          <w:highlight w:val="white"/>
        </w:rPr>
        <w:t xml:space="preserve"> recorded a 333% rise in credential theft incidents, demonstrating the growing effectiveness of AI-driven deception techniques in bypassing traditional security measures.</w:t>
      </w:r>
    </w:p>
    <w:p w14:paraId="12336A4B"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 xml:space="preserve">Addressing these vulnerabilities requires a multi-layered security approach integrating AI-driven detection systems with enhanced authentication protocols. </w:t>
      </w:r>
      <w:proofErr w:type="spellStart"/>
      <w:r w:rsidRPr="00356EA6">
        <w:rPr>
          <w:rFonts w:eastAsia="Times New Roman"/>
          <w:color w:val="0D0D0D"/>
          <w:sz w:val="24"/>
          <w:szCs w:val="24"/>
          <w:highlight w:val="white"/>
        </w:rPr>
        <w:t>Olabanji</w:t>
      </w:r>
      <w:proofErr w:type="spellEnd"/>
      <w:r w:rsidRPr="00356EA6">
        <w:rPr>
          <w:rFonts w:eastAsia="Times New Roman"/>
          <w:color w:val="0D0D0D"/>
          <w:sz w:val="24"/>
          <w:szCs w:val="24"/>
          <w:highlight w:val="white"/>
        </w:rPr>
        <w:t xml:space="preserve"> et al. (2024) argues that while multi-factor authentication (MFA) is widely promoted, AI-enhanced phishing techniques have demonstrated the ability to bypass MFA through real-time attacks. The adoption of biometric authentication, </w:t>
      </w:r>
      <w:proofErr w:type="spellStart"/>
      <w:r w:rsidRPr="00356EA6">
        <w:rPr>
          <w:rFonts w:eastAsia="Times New Roman"/>
          <w:color w:val="0D0D0D"/>
          <w:sz w:val="24"/>
          <w:szCs w:val="24"/>
          <w:highlight w:val="white"/>
        </w:rPr>
        <w:t>behavioral</w:t>
      </w:r>
      <w:proofErr w:type="spellEnd"/>
      <w:r w:rsidRPr="00356EA6">
        <w:rPr>
          <w:rFonts w:eastAsia="Times New Roman"/>
          <w:color w:val="0D0D0D"/>
          <w:sz w:val="24"/>
          <w:szCs w:val="24"/>
          <w:highlight w:val="white"/>
        </w:rPr>
        <w:t xml:space="preserve"> analytics, and AI-based threat intelligence has become essential in safeguarding patient data (</w:t>
      </w:r>
      <w:proofErr w:type="spellStart"/>
      <w:r w:rsidRPr="00356EA6">
        <w:rPr>
          <w:rFonts w:eastAsia="Times New Roman"/>
          <w:color w:val="0D0D0D"/>
          <w:sz w:val="24"/>
          <w:szCs w:val="24"/>
          <w:highlight w:val="white"/>
        </w:rPr>
        <w:t>Awad</w:t>
      </w:r>
      <w:proofErr w:type="spellEnd"/>
      <w:r w:rsidRPr="00356EA6">
        <w:rPr>
          <w:rFonts w:eastAsia="Times New Roman"/>
          <w:color w:val="0D0D0D"/>
          <w:sz w:val="24"/>
          <w:szCs w:val="24"/>
          <w:highlight w:val="white"/>
        </w:rPr>
        <w:t xml:space="preserve"> et al., 2024; </w:t>
      </w:r>
      <w:proofErr w:type="spellStart"/>
      <w:r w:rsidRPr="00356EA6">
        <w:rPr>
          <w:rFonts w:eastAsia="Times New Roman"/>
          <w:color w:val="0D0D0D"/>
          <w:sz w:val="24"/>
          <w:szCs w:val="24"/>
          <w:highlight w:val="white"/>
        </w:rPr>
        <w:t>Olutimehin</w:t>
      </w:r>
      <w:proofErr w:type="spellEnd"/>
      <w:r w:rsidRPr="00356EA6">
        <w:rPr>
          <w:rFonts w:eastAsia="Times New Roman"/>
          <w:color w:val="0D0D0D"/>
          <w:sz w:val="24"/>
          <w:szCs w:val="24"/>
          <w:highlight w:val="white"/>
        </w:rPr>
        <w:t xml:space="preserve">, 2025). Additionally, </w:t>
      </w:r>
      <w:proofErr w:type="spellStart"/>
      <w:r w:rsidRPr="00356EA6">
        <w:rPr>
          <w:rFonts w:eastAsia="Times New Roman"/>
          <w:color w:val="0D0D0D"/>
          <w:sz w:val="24"/>
          <w:szCs w:val="24"/>
          <w:highlight w:val="white"/>
        </w:rPr>
        <w:t>Sargiotis</w:t>
      </w:r>
      <w:proofErr w:type="spellEnd"/>
      <w:r w:rsidRPr="00356EA6">
        <w:rPr>
          <w:rFonts w:eastAsia="Times New Roman"/>
          <w:color w:val="0D0D0D"/>
          <w:sz w:val="24"/>
          <w:szCs w:val="24"/>
          <w:highlight w:val="white"/>
        </w:rPr>
        <w:t xml:space="preserve"> (2024) avers that regulatory frameworks such as HIPAA and GDPR must evolve to address emerging threats, ensuring stricter compliance and data protection measures.</w:t>
      </w:r>
    </w:p>
    <w:p w14:paraId="59816AEE"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5" w:name="_dimhh6yftkde" w:colFirst="0" w:colLast="0"/>
      <w:bookmarkEnd w:id="5"/>
      <w:r w:rsidRPr="00492DC0">
        <w:rPr>
          <w:rFonts w:eastAsia="Times New Roman"/>
          <w:b/>
          <w:color w:val="0D0D0D"/>
          <w:sz w:val="24"/>
          <w:szCs w:val="24"/>
          <w:highlight w:val="white"/>
        </w:rPr>
        <w:t>Authentication Protocols in Telemedicine: Strengths and Weaknesses</w:t>
      </w:r>
    </w:p>
    <w:p w14:paraId="54F00254"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lastRenderedPageBreak/>
        <w:t xml:space="preserve">Authentication protocols in telemedicine serve as a critical </w:t>
      </w:r>
      <w:proofErr w:type="spellStart"/>
      <w:r w:rsidRPr="00356EA6">
        <w:rPr>
          <w:rFonts w:eastAsia="Times New Roman"/>
          <w:color w:val="0D0D0D"/>
          <w:sz w:val="24"/>
          <w:szCs w:val="24"/>
          <w:highlight w:val="white"/>
        </w:rPr>
        <w:t>defense</w:t>
      </w:r>
      <w:proofErr w:type="spellEnd"/>
      <w:r w:rsidRPr="00356EA6">
        <w:rPr>
          <w:rFonts w:eastAsia="Times New Roman"/>
          <w:color w:val="0D0D0D"/>
          <w:sz w:val="24"/>
          <w:szCs w:val="24"/>
          <w:highlight w:val="white"/>
        </w:rPr>
        <w:t xml:space="preserve"> against unauthorized access to patient data. Liu et al. (2023)</w:t>
      </w:r>
      <w:r w:rsidR="00774FE2" w:rsidRPr="00356EA6">
        <w:rPr>
          <w:rFonts w:eastAsia="Times New Roman"/>
          <w:color w:val="0D0D0D"/>
          <w:sz w:val="24"/>
          <w:szCs w:val="24"/>
          <w:highlight w:val="white"/>
        </w:rPr>
        <w:t xml:space="preserve"> contend </w:t>
      </w:r>
      <w:r w:rsidRPr="00356EA6">
        <w:rPr>
          <w:rFonts w:eastAsia="Times New Roman"/>
          <w:color w:val="0D0D0D"/>
          <w:sz w:val="24"/>
          <w:szCs w:val="24"/>
          <w:highlight w:val="white"/>
        </w:rPr>
        <w:t xml:space="preserve">that traditional methods, including password-based authentication and two-factor authentication (2FA), have long been used to secure telemedicine platforms. However, these mechanisms exhibit vulnerabilities, particularly against AI-powered phishing attacks. According to </w:t>
      </w:r>
      <w:proofErr w:type="spellStart"/>
      <w:r w:rsidRPr="00356EA6">
        <w:rPr>
          <w:rFonts w:eastAsia="Times New Roman"/>
          <w:color w:val="0D0D0D"/>
          <w:sz w:val="24"/>
          <w:szCs w:val="24"/>
          <w:highlight w:val="white"/>
        </w:rPr>
        <w:t>Yusop</w:t>
      </w:r>
      <w:proofErr w:type="spellEnd"/>
      <w:r w:rsidRPr="00356EA6">
        <w:rPr>
          <w:rFonts w:eastAsia="Times New Roman"/>
          <w:color w:val="0D0D0D"/>
          <w:sz w:val="24"/>
          <w:szCs w:val="24"/>
          <w:highlight w:val="white"/>
        </w:rPr>
        <w:t xml:space="preserve"> et al. (2025), password-based authentication is increasingly ineffective due to credential theft, brute-force attacks, and phishing schemes that exploit human error. Cybercriminals now use AI-driven algorithms to crack passwords or deceive users into revealing credentials, exacerbating security risks (George, 2024; Balogun et al., 2025).</w:t>
      </w:r>
    </w:p>
    <w:p w14:paraId="16963080"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Multi-factor authentication (MFA) has been widely adopted to strengthen telemedicine security. Ali et al. (2021)</w:t>
      </w:r>
      <w:r w:rsidR="00774FE2" w:rsidRPr="00356EA6">
        <w:rPr>
          <w:rFonts w:eastAsia="Times New Roman"/>
          <w:color w:val="0D0D0D"/>
          <w:sz w:val="24"/>
          <w:szCs w:val="24"/>
          <w:highlight w:val="white"/>
        </w:rPr>
        <w:t xml:space="preserve"> argue </w:t>
      </w:r>
      <w:r w:rsidRPr="00356EA6">
        <w:rPr>
          <w:rFonts w:eastAsia="Times New Roman"/>
          <w:color w:val="0D0D0D"/>
          <w:sz w:val="24"/>
          <w:szCs w:val="24"/>
          <w:highlight w:val="white"/>
        </w:rPr>
        <w:t xml:space="preserve">that MFA, which requires multiple verification factors such as SMS-based codes or authentication apps, provides an additional security layer. However, </w:t>
      </w:r>
      <w:r w:rsidR="00774FE2" w:rsidRPr="00356EA6">
        <w:rPr>
          <w:rFonts w:eastAsia="Times New Roman"/>
          <w:color w:val="0D0D0D"/>
          <w:sz w:val="24"/>
          <w:szCs w:val="24"/>
          <w:highlight w:val="white"/>
        </w:rPr>
        <w:t xml:space="preserve">Mittal et al. (2025) posit </w:t>
      </w:r>
      <w:r w:rsidRPr="00356EA6">
        <w:rPr>
          <w:rFonts w:eastAsia="Times New Roman"/>
          <w:color w:val="0D0D0D"/>
          <w:sz w:val="24"/>
          <w:szCs w:val="24"/>
          <w:highlight w:val="white"/>
        </w:rPr>
        <w:t xml:space="preserve">that MFA remains vulnerable to AI-enhanced phishing attacks, as cybercriminals have developed techniques to intercept authentication codes using real-time phishing schemes and automated phishing bots. AI-driven </w:t>
      </w:r>
      <w:proofErr w:type="spellStart"/>
      <w:r w:rsidRPr="00356EA6">
        <w:rPr>
          <w:rFonts w:eastAsia="Times New Roman"/>
          <w:color w:val="0D0D0D"/>
          <w:sz w:val="24"/>
          <w:szCs w:val="24"/>
          <w:highlight w:val="white"/>
        </w:rPr>
        <w:t>deepfake</w:t>
      </w:r>
      <w:proofErr w:type="spellEnd"/>
      <w:r w:rsidRPr="00356EA6">
        <w:rPr>
          <w:rFonts w:eastAsia="Times New Roman"/>
          <w:color w:val="0D0D0D"/>
          <w:sz w:val="24"/>
          <w:szCs w:val="24"/>
          <w:highlight w:val="white"/>
        </w:rPr>
        <w:t xml:space="preserve"> technology further compounds these risks, as attackers use voice and video synthesis to impersonate healthcare administrators and gain unauthorized access to sensitive systems (Dsouza et al., 2024; Obioha-Val et al., 2025).</w:t>
      </w:r>
    </w:p>
    <w:p w14:paraId="1ACF6C21" w14:textId="77777777" w:rsidR="00C91EC2" w:rsidRPr="00492DC0"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 xml:space="preserve">Real-world cases highlight these weaknesses. According to </w:t>
      </w:r>
      <w:proofErr w:type="spellStart"/>
      <w:r w:rsidRPr="00356EA6">
        <w:rPr>
          <w:sz w:val="24"/>
          <w:szCs w:val="24"/>
        </w:rPr>
        <w:t>Plainert</w:t>
      </w:r>
      <w:proofErr w:type="spellEnd"/>
      <w:r w:rsidRPr="00356EA6">
        <w:rPr>
          <w:sz w:val="24"/>
          <w:szCs w:val="24"/>
        </w:rPr>
        <w:t xml:space="preserve"> (2025)</w:t>
      </w:r>
      <w:r w:rsidRPr="00356EA6">
        <w:rPr>
          <w:rFonts w:eastAsia="Times New Roman"/>
          <w:color w:val="0D0D0D"/>
          <w:sz w:val="24"/>
          <w:szCs w:val="24"/>
          <w:highlight w:val="white"/>
        </w:rPr>
        <w:t>, the H-M</w:t>
      </w:r>
      <w:r w:rsidRPr="00492DC0">
        <w:rPr>
          <w:rFonts w:eastAsia="Times New Roman"/>
          <w:color w:val="0D0D0D"/>
          <w:sz w:val="24"/>
          <w:szCs w:val="24"/>
          <w:highlight w:val="white"/>
        </w:rPr>
        <w:t xml:space="preserve"> Health </w:t>
      </w:r>
      <w:proofErr w:type="spellStart"/>
      <w:r w:rsidRPr="00492DC0">
        <w:rPr>
          <w:rFonts w:eastAsia="Times New Roman"/>
          <w:color w:val="0D0D0D"/>
          <w:sz w:val="24"/>
          <w:szCs w:val="24"/>
          <w:highlight w:val="white"/>
        </w:rPr>
        <w:t>deepfake</w:t>
      </w:r>
      <w:proofErr w:type="spellEnd"/>
      <w:r w:rsidRPr="00492DC0">
        <w:rPr>
          <w:rFonts w:eastAsia="Times New Roman"/>
          <w:color w:val="0D0D0D"/>
          <w:sz w:val="24"/>
          <w:szCs w:val="24"/>
          <w:highlight w:val="white"/>
        </w:rPr>
        <w:t xml:space="preserve"> phishing attack in February 2024 demonstrated the growing risks of AI-driven cyber threats. In this incident, cybercriminals used </w:t>
      </w:r>
      <w:proofErr w:type="spellStart"/>
      <w:r w:rsidRPr="00492DC0">
        <w:rPr>
          <w:rFonts w:eastAsia="Times New Roman"/>
          <w:color w:val="0D0D0D"/>
          <w:sz w:val="24"/>
          <w:szCs w:val="24"/>
          <w:highlight w:val="white"/>
        </w:rPr>
        <w:t>deepfake</w:t>
      </w:r>
      <w:proofErr w:type="spellEnd"/>
      <w:r w:rsidRPr="00492DC0">
        <w:rPr>
          <w:rFonts w:eastAsia="Times New Roman"/>
          <w:color w:val="0D0D0D"/>
          <w:sz w:val="24"/>
          <w:szCs w:val="24"/>
          <w:highlight w:val="white"/>
        </w:rPr>
        <w:t xml:space="preserve"> audio technology to impersonate a senior executive, deceiving an employee into granting unauthorized system access. Similarly, IBM (2024) X-Force Study identified multiple cases where MFA tokens were compromised through phishing-as-a-service (</w:t>
      </w:r>
      <w:proofErr w:type="spellStart"/>
      <w:r w:rsidRPr="00492DC0">
        <w:rPr>
          <w:rFonts w:eastAsia="Times New Roman"/>
          <w:color w:val="0D0D0D"/>
          <w:sz w:val="24"/>
          <w:szCs w:val="24"/>
          <w:highlight w:val="white"/>
        </w:rPr>
        <w:t>PhaaS</w:t>
      </w:r>
      <w:proofErr w:type="spellEnd"/>
      <w:r w:rsidRPr="00492DC0">
        <w:rPr>
          <w:rFonts w:eastAsia="Times New Roman"/>
          <w:color w:val="0D0D0D"/>
          <w:sz w:val="24"/>
          <w:szCs w:val="24"/>
          <w:highlight w:val="white"/>
        </w:rPr>
        <w:t>) platforms, raising concerns about existing authentication mechanisms.</w:t>
      </w:r>
    </w:p>
    <w:p w14:paraId="2273E85C"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 xml:space="preserve">Emerging authentication technologies </w:t>
      </w:r>
      <w:proofErr w:type="gramStart"/>
      <w:r w:rsidRPr="00356EA6">
        <w:rPr>
          <w:rFonts w:eastAsia="Times New Roman"/>
          <w:color w:val="0D0D0D"/>
          <w:sz w:val="24"/>
          <w:szCs w:val="24"/>
          <w:highlight w:val="white"/>
        </w:rPr>
        <w:t>offer</w:t>
      </w:r>
      <w:proofErr w:type="gramEnd"/>
      <w:r w:rsidRPr="00356EA6">
        <w:rPr>
          <w:rFonts w:eastAsia="Times New Roman"/>
          <w:color w:val="0D0D0D"/>
          <w:sz w:val="24"/>
          <w:szCs w:val="24"/>
          <w:highlight w:val="white"/>
        </w:rPr>
        <w:t xml:space="preserve"> promising solutions. </w:t>
      </w:r>
      <w:proofErr w:type="spellStart"/>
      <w:r w:rsidRPr="00356EA6">
        <w:rPr>
          <w:rFonts w:eastAsia="Times New Roman"/>
          <w:color w:val="0D0D0D"/>
          <w:sz w:val="24"/>
          <w:szCs w:val="24"/>
          <w:highlight w:val="white"/>
        </w:rPr>
        <w:t>Ayeswarya</w:t>
      </w:r>
      <w:proofErr w:type="spellEnd"/>
      <w:r w:rsidRPr="00356EA6">
        <w:rPr>
          <w:rFonts w:eastAsia="Times New Roman"/>
          <w:color w:val="0D0D0D"/>
          <w:sz w:val="24"/>
          <w:szCs w:val="24"/>
          <w:highlight w:val="white"/>
        </w:rPr>
        <w:t xml:space="preserve"> and Singh (2024)</w:t>
      </w:r>
      <w:r w:rsidR="00774FE2" w:rsidRPr="00356EA6">
        <w:rPr>
          <w:rFonts w:eastAsia="Times New Roman"/>
          <w:color w:val="0D0D0D"/>
          <w:sz w:val="24"/>
          <w:szCs w:val="24"/>
          <w:highlight w:val="white"/>
        </w:rPr>
        <w:t xml:space="preserve"> aver </w:t>
      </w:r>
      <w:r w:rsidRPr="00356EA6">
        <w:rPr>
          <w:rFonts w:eastAsia="Times New Roman"/>
          <w:color w:val="0D0D0D"/>
          <w:sz w:val="24"/>
          <w:szCs w:val="24"/>
          <w:highlight w:val="white"/>
        </w:rPr>
        <w:t xml:space="preserve">that adaptive authentication models, incorporating </w:t>
      </w:r>
      <w:proofErr w:type="spellStart"/>
      <w:r w:rsidRPr="00356EA6">
        <w:rPr>
          <w:rFonts w:eastAsia="Times New Roman"/>
          <w:color w:val="0D0D0D"/>
          <w:sz w:val="24"/>
          <w:szCs w:val="24"/>
          <w:highlight w:val="white"/>
        </w:rPr>
        <w:t>behavioral</w:t>
      </w:r>
      <w:proofErr w:type="spellEnd"/>
      <w:r w:rsidRPr="00356EA6">
        <w:rPr>
          <w:rFonts w:eastAsia="Times New Roman"/>
          <w:color w:val="0D0D0D"/>
          <w:sz w:val="24"/>
          <w:szCs w:val="24"/>
          <w:highlight w:val="white"/>
        </w:rPr>
        <w:t xml:space="preserve"> biometrics and continuous authentication, are viable alternatives to static authentication methods. These systems </w:t>
      </w:r>
      <w:proofErr w:type="spellStart"/>
      <w:r w:rsidRPr="00356EA6">
        <w:rPr>
          <w:rFonts w:eastAsia="Times New Roman"/>
          <w:color w:val="0D0D0D"/>
          <w:sz w:val="24"/>
          <w:szCs w:val="24"/>
          <w:highlight w:val="white"/>
        </w:rPr>
        <w:t>analyze</w:t>
      </w:r>
      <w:proofErr w:type="spellEnd"/>
      <w:r w:rsidRPr="00356EA6">
        <w:rPr>
          <w:rFonts w:eastAsia="Times New Roman"/>
          <w:color w:val="0D0D0D"/>
          <w:sz w:val="24"/>
          <w:szCs w:val="24"/>
          <w:highlight w:val="white"/>
        </w:rPr>
        <w:t xml:space="preserve"> user </w:t>
      </w:r>
      <w:proofErr w:type="spellStart"/>
      <w:r w:rsidRPr="00356EA6">
        <w:rPr>
          <w:rFonts w:eastAsia="Times New Roman"/>
          <w:color w:val="0D0D0D"/>
          <w:sz w:val="24"/>
          <w:szCs w:val="24"/>
          <w:highlight w:val="white"/>
        </w:rPr>
        <w:t>behavior</w:t>
      </w:r>
      <w:proofErr w:type="spellEnd"/>
      <w:r w:rsidRPr="00356EA6">
        <w:rPr>
          <w:rFonts w:eastAsia="Times New Roman"/>
          <w:color w:val="0D0D0D"/>
          <w:sz w:val="24"/>
          <w:szCs w:val="24"/>
          <w:highlight w:val="white"/>
        </w:rPr>
        <w:t>, such as typing patterns and device interactions, to assess authentication legitimacy dynamically. George (2025) posits that AI-driven threat detection systems, when integrated into authentication workflows, can mitigate phishing attempts before they reach end-users. Researchers further advocate for cryptographic authentication mechanisms, such as hardware security keys and decentralized identity management, to enhance security against AI-powered threats (</w:t>
      </w:r>
      <w:proofErr w:type="spellStart"/>
      <w:r w:rsidRPr="00356EA6">
        <w:rPr>
          <w:rFonts w:eastAsia="Times New Roman"/>
          <w:color w:val="0D0D0D"/>
          <w:sz w:val="24"/>
          <w:szCs w:val="24"/>
          <w:highlight w:val="white"/>
        </w:rPr>
        <w:t>Awad</w:t>
      </w:r>
      <w:proofErr w:type="spellEnd"/>
      <w:r w:rsidRPr="00356EA6">
        <w:rPr>
          <w:rFonts w:eastAsia="Times New Roman"/>
          <w:color w:val="0D0D0D"/>
          <w:sz w:val="24"/>
          <w:szCs w:val="24"/>
          <w:highlight w:val="white"/>
        </w:rPr>
        <w:t xml:space="preserve"> et al., 2024; Khan et al., 2025; </w:t>
      </w:r>
      <w:proofErr w:type="spellStart"/>
      <w:r w:rsidRPr="00356EA6">
        <w:rPr>
          <w:rFonts w:eastAsia="Times New Roman"/>
          <w:color w:val="0D0D0D"/>
          <w:sz w:val="24"/>
          <w:szCs w:val="24"/>
          <w:highlight w:val="white"/>
        </w:rPr>
        <w:t>Olutimehin</w:t>
      </w:r>
      <w:proofErr w:type="spellEnd"/>
      <w:r w:rsidRPr="00356EA6">
        <w:rPr>
          <w:rFonts w:eastAsia="Times New Roman"/>
          <w:color w:val="0D0D0D"/>
          <w:sz w:val="24"/>
          <w:szCs w:val="24"/>
          <w:highlight w:val="white"/>
        </w:rPr>
        <w:t>, 2025).</w:t>
      </w:r>
    </w:p>
    <w:p w14:paraId="53A5D801"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 xml:space="preserve">As AI-enhanced phishing attacks evolve, </w:t>
      </w:r>
      <w:proofErr w:type="spellStart"/>
      <w:r w:rsidRPr="00356EA6">
        <w:rPr>
          <w:rFonts w:eastAsia="Times New Roman"/>
          <w:color w:val="0D0D0D"/>
          <w:sz w:val="24"/>
          <w:szCs w:val="24"/>
          <w:highlight w:val="white"/>
        </w:rPr>
        <w:t>Alzahrani</w:t>
      </w:r>
      <w:proofErr w:type="spellEnd"/>
      <w:r w:rsidRPr="00356EA6">
        <w:rPr>
          <w:rFonts w:eastAsia="Times New Roman"/>
          <w:color w:val="0D0D0D"/>
          <w:sz w:val="24"/>
          <w:szCs w:val="24"/>
          <w:highlight w:val="white"/>
        </w:rPr>
        <w:t xml:space="preserve"> (2024) argues that reassessing authentication protocols in telemedicine is imperative. While password-based </w:t>
      </w:r>
      <w:r w:rsidRPr="00356EA6">
        <w:rPr>
          <w:rFonts w:eastAsia="Times New Roman"/>
          <w:color w:val="0D0D0D"/>
          <w:sz w:val="24"/>
          <w:szCs w:val="24"/>
          <w:highlight w:val="white"/>
        </w:rPr>
        <w:lastRenderedPageBreak/>
        <w:t>authentication and MFA have provided foundational security, their vulnerabilities necessitate more advanced frameworks (</w:t>
      </w:r>
      <w:proofErr w:type="spellStart"/>
      <w:r w:rsidRPr="00356EA6">
        <w:rPr>
          <w:rFonts w:eastAsia="Times New Roman"/>
          <w:color w:val="0D0D0D"/>
          <w:sz w:val="24"/>
          <w:szCs w:val="24"/>
          <w:highlight w:val="white"/>
        </w:rPr>
        <w:t>Kamaruddin</w:t>
      </w:r>
      <w:proofErr w:type="spellEnd"/>
      <w:r w:rsidRPr="00356EA6">
        <w:rPr>
          <w:rFonts w:eastAsia="Times New Roman"/>
          <w:color w:val="0D0D0D"/>
          <w:sz w:val="24"/>
          <w:szCs w:val="24"/>
          <w:highlight w:val="white"/>
        </w:rPr>
        <w:t xml:space="preserve"> &amp; </w:t>
      </w:r>
      <w:proofErr w:type="spellStart"/>
      <w:r w:rsidRPr="00356EA6">
        <w:rPr>
          <w:rFonts w:eastAsia="Times New Roman"/>
          <w:color w:val="0D0D0D"/>
          <w:sz w:val="24"/>
          <w:szCs w:val="24"/>
          <w:highlight w:val="white"/>
        </w:rPr>
        <w:t>Zolkipli</w:t>
      </w:r>
      <w:proofErr w:type="spellEnd"/>
      <w:r w:rsidRPr="00356EA6">
        <w:rPr>
          <w:rFonts w:eastAsia="Times New Roman"/>
          <w:color w:val="0D0D0D"/>
          <w:sz w:val="24"/>
          <w:szCs w:val="24"/>
          <w:highlight w:val="white"/>
        </w:rPr>
        <w:t xml:space="preserve">, 2024; </w:t>
      </w:r>
      <w:proofErr w:type="spellStart"/>
      <w:r w:rsidRPr="00356EA6">
        <w:rPr>
          <w:rFonts w:eastAsia="Times New Roman"/>
          <w:color w:val="0D0D0D"/>
          <w:sz w:val="24"/>
          <w:szCs w:val="24"/>
          <w:highlight w:val="white"/>
        </w:rPr>
        <w:t>Alao</w:t>
      </w:r>
      <w:proofErr w:type="spellEnd"/>
      <w:r w:rsidRPr="00356EA6">
        <w:rPr>
          <w:rFonts w:eastAsia="Times New Roman"/>
          <w:color w:val="0D0D0D"/>
          <w:sz w:val="24"/>
          <w:szCs w:val="24"/>
          <w:highlight w:val="white"/>
        </w:rPr>
        <w:t xml:space="preserve"> et al., 2024). The increasing sophistication of </w:t>
      </w:r>
      <w:proofErr w:type="spellStart"/>
      <w:r w:rsidRPr="00356EA6">
        <w:rPr>
          <w:rFonts w:eastAsia="Times New Roman"/>
          <w:color w:val="0D0D0D"/>
          <w:sz w:val="24"/>
          <w:szCs w:val="24"/>
          <w:highlight w:val="white"/>
        </w:rPr>
        <w:t>deepfake</w:t>
      </w:r>
      <w:proofErr w:type="spellEnd"/>
      <w:r w:rsidRPr="00356EA6">
        <w:rPr>
          <w:rFonts w:eastAsia="Times New Roman"/>
          <w:color w:val="0D0D0D"/>
          <w:sz w:val="24"/>
          <w:szCs w:val="24"/>
          <w:highlight w:val="white"/>
        </w:rPr>
        <w:t xml:space="preserve"> technology and automated phishing highlights the need for adaptive authentication solutions integrating real-time threat intelligence and biometric verification (</w:t>
      </w:r>
      <w:proofErr w:type="spellStart"/>
      <w:r w:rsidRPr="00356EA6">
        <w:rPr>
          <w:rFonts w:eastAsia="Times New Roman"/>
          <w:color w:val="0D0D0D"/>
          <w:sz w:val="24"/>
          <w:szCs w:val="24"/>
          <w:highlight w:val="white"/>
        </w:rPr>
        <w:t>Keerthana</w:t>
      </w:r>
      <w:proofErr w:type="spellEnd"/>
      <w:r w:rsidRPr="00356EA6">
        <w:rPr>
          <w:rFonts w:eastAsia="Times New Roman"/>
          <w:color w:val="0D0D0D"/>
          <w:sz w:val="24"/>
          <w:szCs w:val="24"/>
          <w:highlight w:val="white"/>
        </w:rPr>
        <w:t xml:space="preserve"> et al., 2025; </w:t>
      </w:r>
      <w:proofErr w:type="spellStart"/>
      <w:r w:rsidRPr="00356EA6">
        <w:rPr>
          <w:rFonts w:eastAsia="Times New Roman"/>
          <w:color w:val="0D0D0D"/>
          <w:sz w:val="24"/>
          <w:szCs w:val="24"/>
          <w:highlight w:val="white"/>
        </w:rPr>
        <w:t>Olutimehin</w:t>
      </w:r>
      <w:proofErr w:type="spellEnd"/>
      <w:r w:rsidRPr="00356EA6">
        <w:rPr>
          <w:rFonts w:eastAsia="Times New Roman"/>
          <w:color w:val="0D0D0D"/>
          <w:sz w:val="24"/>
          <w:szCs w:val="24"/>
          <w:highlight w:val="white"/>
        </w:rPr>
        <w:t xml:space="preserve"> et al., 2025). Chavan and </w:t>
      </w:r>
      <w:proofErr w:type="spellStart"/>
      <w:r w:rsidRPr="00356EA6">
        <w:rPr>
          <w:rFonts w:eastAsia="Times New Roman"/>
          <w:color w:val="0D0D0D"/>
          <w:sz w:val="24"/>
          <w:szCs w:val="24"/>
          <w:highlight w:val="white"/>
        </w:rPr>
        <w:t>Kanade</w:t>
      </w:r>
      <w:proofErr w:type="spellEnd"/>
      <w:r w:rsidRPr="00356EA6">
        <w:rPr>
          <w:rFonts w:eastAsia="Times New Roman"/>
          <w:color w:val="0D0D0D"/>
          <w:sz w:val="24"/>
          <w:szCs w:val="24"/>
          <w:highlight w:val="white"/>
        </w:rPr>
        <w:t xml:space="preserve"> (2024)</w:t>
      </w:r>
      <w:r w:rsidR="006D6A14" w:rsidRPr="00356EA6">
        <w:rPr>
          <w:rFonts w:eastAsia="Times New Roman"/>
          <w:color w:val="0D0D0D"/>
          <w:sz w:val="24"/>
          <w:szCs w:val="24"/>
          <w:highlight w:val="white"/>
        </w:rPr>
        <w:t xml:space="preserve"> contend</w:t>
      </w:r>
      <w:r w:rsidRPr="00356EA6">
        <w:rPr>
          <w:rFonts w:eastAsia="Times New Roman"/>
          <w:color w:val="0D0D0D"/>
          <w:sz w:val="24"/>
          <w:szCs w:val="24"/>
          <w:highlight w:val="white"/>
        </w:rPr>
        <w:t xml:space="preserve"> that as telemedicine expands, ensuring the security of patient data against AI-driven cyber threats remains a priority, requiring continuous innovation in authentication methodologies.</w:t>
      </w:r>
    </w:p>
    <w:p w14:paraId="1C5C7C40"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6" w:name="_lzgzbbipucrx" w:colFirst="0" w:colLast="0"/>
      <w:bookmarkEnd w:id="6"/>
      <w:r w:rsidRPr="00492DC0">
        <w:rPr>
          <w:rFonts w:eastAsia="Times New Roman"/>
          <w:b/>
          <w:color w:val="0D0D0D"/>
          <w:sz w:val="24"/>
          <w:szCs w:val="24"/>
          <w:highlight w:val="white"/>
        </w:rPr>
        <w:t>AI-Powered Cybersecurity Solutions in Healthcare</w:t>
      </w:r>
    </w:p>
    <w:p w14:paraId="23176D95"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 xml:space="preserve">Artificial intelligence has become a crucial tool in enhancing cybersecurity within the healthcare sector, particularly in mitigating AI-powered phishing attacks. </w:t>
      </w:r>
      <w:proofErr w:type="spellStart"/>
      <w:r w:rsidRPr="00356EA6">
        <w:rPr>
          <w:rFonts w:eastAsia="Times New Roman"/>
          <w:color w:val="0D0D0D"/>
          <w:sz w:val="24"/>
          <w:szCs w:val="24"/>
          <w:highlight w:val="white"/>
        </w:rPr>
        <w:t>Arefin</w:t>
      </w:r>
      <w:proofErr w:type="spellEnd"/>
      <w:r w:rsidRPr="00356EA6">
        <w:rPr>
          <w:rFonts w:eastAsia="Times New Roman"/>
          <w:color w:val="0D0D0D"/>
          <w:sz w:val="24"/>
          <w:szCs w:val="24"/>
          <w:highlight w:val="white"/>
        </w:rPr>
        <w:t xml:space="preserve"> and Simcox (2024) contend that AI-driven </w:t>
      </w:r>
      <w:proofErr w:type="spellStart"/>
      <w:r w:rsidRPr="00356EA6">
        <w:rPr>
          <w:rFonts w:eastAsia="Times New Roman"/>
          <w:color w:val="0D0D0D"/>
          <w:sz w:val="24"/>
          <w:szCs w:val="24"/>
          <w:highlight w:val="white"/>
        </w:rPr>
        <w:t>defense</w:t>
      </w:r>
      <w:proofErr w:type="spellEnd"/>
      <w:r w:rsidRPr="00356EA6">
        <w:rPr>
          <w:rFonts w:eastAsia="Times New Roman"/>
          <w:color w:val="0D0D0D"/>
          <w:sz w:val="24"/>
          <w:szCs w:val="24"/>
          <w:highlight w:val="white"/>
        </w:rPr>
        <w:t xml:space="preserve"> mechanisms strengthen telemedicine security by employing predictive analytics, anomaly detection, and automated response systems. These technologies surpass traditional security measures by offering proactive solutions that adapt to evolving cyber threats targeting digital health infrastructures (</w:t>
      </w:r>
      <w:proofErr w:type="spellStart"/>
      <w:r w:rsidRPr="00356EA6">
        <w:rPr>
          <w:rFonts w:eastAsia="Times New Roman"/>
          <w:color w:val="0D0D0D"/>
          <w:sz w:val="24"/>
          <w:szCs w:val="24"/>
          <w:highlight w:val="white"/>
        </w:rPr>
        <w:t>Bala</w:t>
      </w:r>
      <w:proofErr w:type="spellEnd"/>
      <w:r w:rsidRPr="00356EA6">
        <w:rPr>
          <w:rFonts w:eastAsia="Times New Roman"/>
          <w:color w:val="0D0D0D"/>
          <w:sz w:val="24"/>
          <w:szCs w:val="24"/>
          <w:highlight w:val="white"/>
        </w:rPr>
        <w:t xml:space="preserve"> et al., 2024; Val et al., 2024).</w:t>
      </w:r>
    </w:p>
    <w:p w14:paraId="54D3A7CC"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 xml:space="preserve">Machine learning and natural language processing (NLP) play a central role in phishing detection. According to </w:t>
      </w:r>
      <w:proofErr w:type="spellStart"/>
      <w:r w:rsidRPr="00356EA6">
        <w:rPr>
          <w:rFonts w:eastAsia="Times New Roman"/>
          <w:color w:val="0D0D0D"/>
          <w:sz w:val="24"/>
          <w:szCs w:val="24"/>
          <w:highlight w:val="white"/>
        </w:rPr>
        <w:t>Chataut</w:t>
      </w:r>
      <w:proofErr w:type="spellEnd"/>
      <w:r w:rsidRPr="00356EA6">
        <w:rPr>
          <w:rFonts w:eastAsia="Times New Roman"/>
          <w:color w:val="0D0D0D"/>
          <w:sz w:val="24"/>
          <w:szCs w:val="24"/>
          <w:highlight w:val="white"/>
        </w:rPr>
        <w:t xml:space="preserve"> et al. (2024), machine learning models </w:t>
      </w:r>
      <w:proofErr w:type="spellStart"/>
      <w:r w:rsidRPr="00356EA6">
        <w:rPr>
          <w:rFonts w:eastAsia="Times New Roman"/>
          <w:color w:val="0D0D0D"/>
          <w:sz w:val="24"/>
          <w:szCs w:val="24"/>
          <w:highlight w:val="white"/>
        </w:rPr>
        <w:t>analyze</w:t>
      </w:r>
      <w:proofErr w:type="spellEnd"/>
      <w:r w:rsidRPr="00356EA6">
        <w:rPr>
          <w:rFonts w:eastAsia="Times New Roman"/>
          <w:color w:val="0D0D0D"/>
          <w:sz w:val="24"/>
          <w:szCs w:val="24"/>
          <w:highlight w:val="white"/>
        </w:rPr>
        <w:t xml:space="preserve"> extensive datasets of phishing attempts to identify subtle indicators of malicious activity, including inconsistencies in email content, sender </w:t>
      </w:r>
      <w:proofErr w:type="spellStart"/>
      <w:r w:rsidRPr="00356EA6">
        <w:rPr>
          <w:rFonts w:eastAsia="Times New Roman"/>
          <w:color w:val="0D0D0D"/>
          <w:sz w:val="24"/>
          <w:szCs w:val="24"/>
          <w:highlight w:val="white"/>
        </w:rPr>
        <w:t>behavior</w:t>
      </w:r>
      <w:proofErr w:type="spellEnd"/>
      <w:r w:rsidRPr="00356EA6">
        <w:rPr>
          <w:rFonts w:eastAsia="Times New Roman"/>
          <w:color w:val="0D0D0D"/>
          <w:sz w:val="24"/>
          <w:szCs w:val="24"/>
          <w:highlight w:val="white"/>
        </w:rPr>
        <w:t>, and contextual anomalies. NLP further refines detection by scrutinizing email syntax, sentiment, and linguistic irregularities to flag potential phishing threats (</w:t>
      </w:r>
      <w:proofErr w:type="spellStart"/>
      <w:r w:rsidRPr="00356EA6">
        <w:rPr>
          <w:rFonts w:eastAsia="Times New Roman"/>
          <w:color w:val="0D0D0D"/>
          <w:sz w:val="24"/>
          <w:szCs w:val="24"/>
          <w:highlight w:val="white"/>
        </w:rPr>
        <w:t>Sayyafzadeh</w:t>
      </w:r>
      <w:proofErr w:type="spellEnd"/>
      <w:r w:rsidRPr="00356EA6">
        <w:rPr>
          <w:rFonts w:eastAsia="Times New Roman"/>
          <w:color w:val="0D0D0D"/>
          <w:sz w:val="24"/>
          <w:szCs w:val="24"/>
          <w:highlight w:val="white"/>
        </w:rPr>
        <w:t xml:space="preserve"> et al., 2024; </w:t>
      </w:r>
      <w:proofErr w:type="spellStart"/>
      <w:r w:rsidRPr="00356EA6">
        <w:rPr>
          <w:rFonts w:eastAsia="Times New Roman"/>
          <w:color w:val="0D0D0D"/>
          <w:sz w:val="24"/>
          <w:szCs w:val="24"/>
          <w:highlight w:val="white"/>
        </w:rPr>
        <w:t>Salako</w:t>
      </w:r>
      <w:proofErr w:type="spellEnd"/>
      <w:r w:rsidRPr="00356EA6">
        <w:rPr>
          <w:rFonts w:eastAsia="Times New Roman"/>
          <w:color w:val="0D0D0D"/>
          <w:sz w:val="24"/>
          <w:szCs w:val="24"/>
          <w:highlight w:val="white"/>
        </w:rPr>
        <w:t xml:space="preserve"> et al., 2024). IBM (2024) study reported that AI-enhanced phishing detection models reduced false positives by 42%, demonstrating their effectiveness in refining cybersecurity protocols.</w:t>
      </w:r>
    </w:p>
    <w:p w14:paraId="56D91F90"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 xml:space="preserve">AI’s ability to </w:t>
      </w:r>
      <w:proofErr w:type="spellStart"/>
      <w:r w:rsidRPr="00356EA6">
        <w:rPr>
          <w:rFonts w:eastAsia="Times New Roman"/>
          <w:color w:val="0D0D0D"/>
          <w:sz w:val="24"/>
          <w:szCs w:val="24"/>
          <w:highlight w:val="white"/>
        </w:rPr>
        <w:t>analyze</w:t>
      </w:r>
      <w:proofErr w:type="spellEnd"/>
      <w:r w:rsidRPr="00356EA6">
        <w:rPr>
          <w:rFonts w:eastAsia="Times New Roman"/>
          <w:color w:val="0D0D0D"/>
          <w:sz w:val="24"/>
          <w:szCs w:val="24"/>
          <w:highlight w:val="white"/>
        </w:rPr>
        <w:t xml:space="preserve"> </w:t>
      </w:r>
      <w:proofErr w:type="spellStart"/>
      <w:r w:rsidRPr="00356EA6">
        <w:rPr>
          <w:rFonts w:eastAsia="Times New Roman"/>
          <w:color w:val="0D0D0D"/>
          <w:sz w:val="24"/>
          <w:szCs w:val="24"/>
          <w:highlight w:val="white"/>
        </w:rPr>
        <w:t>behavioral</w:t>
      </w:r>
      <w:proofErr w:type="spellEnd"/>
      <w:r w:rsidRPr="00356EA6">
        <w:rPr>
          <w:rFonts w:eastAsia="Times New Roman"/>
          <w:color w:val="0D0D0D"/>
          <w:sz w:val="24"/>
          <w:szCs w:val="24"/>
          <w:highlight w:val="white"/>
        </w:rPr>
        <w:t xml:space="preserve"> patterns has significantly improved threat detection. Sharma (2021)</w:t>
      </w:r>
      <w:r w:rsidR="00356EA6" w:rsidRPr="00356EA6">
        <w:rPr>
          <w:rFonts w:eastAsia="Times New Roman"/>
          <w:color w:val="0D0D0D"/>
          <w:sz w:val="24"/>
          <w:szCs w:val="24"/>
          <w:highlight w:val="white"/>
        </w:rPr>
        <w:t xml:space="preserve"> posits</w:t>
      </w:r>
      <w:r w:rsidRPr="00356EA6">
        <w:rPr>
          <w:rFonts w:eastAsia="Times New Roman"/>
          <w:color w:val="0D0D0D"/>
          <w:sz w:val="24"/>
          <w:szCs w:val="24"/>
          <w:highlight w:val="white"/>
        </w:rPr>
        <w:t xml:space="preserve"> that </w:t>
      </w:r>
      <w:proofErr w:type="spellStart"/>
      <w:r w:rsidRPr="00356EA6">
        <w:rPr>
          <w:rFonts w:eastAsia="Times New Roman"/>
          <w:color w:val="0D0D0D"/>
          <w:sz w:val="24"/>
          <w:szCs w:val="24"/>
          <w:highlight w:val="white"/>
        </w:rPr>
        <w:t>behavioral</w:t>
      </w:r>
      <w:proofErr w:type="spellEnd"/>
      <w:r w:rsidRPr="00356EA6">
        <w:rPr>
          <w:rFonts w:eastAsia="Times New Roman"/>
          <w:color w:val="0D0D0D"/>
          <w:sz w:val="24"/>
          <w:szCs w:val="24"/>
          <w:highlight w:val="white"/>
        </w:rPr>
        <w:t xml:space="preserve"> analytics employ machine learning algorithms to establish baseline user </w:t>
      </w:r>
      <w:proofErr w:type="spellStart"/>
      <w:r w:rsidRPr="00356EA6">
        <w:rPr>
          <w:rFonts w:eastAsia="Times New Roman"/>
          <w:color w:val="0D0D0D"/>
          <w:sz w:val="24"/>
          <w:szCs w:val="24"/>
          <w:highlight w:val="white"/>
        </w:rPr>
        <w:t>behaviors</w:t>
      </w:r>
      <w:proofErr w:type="spellEnd"/>
      <w:r w:rsidRPr="00356EA6">
        <w:rPr>
          <w:rFonts w:eastAsia="Times New Roman"/>
          <w:color w:val="0D0D0D"/>
          <w:sz w:val="24"/>
          <w:szCs w:val="24"/>
          <w:highlight w:val="white"/>
        </w:rPr>
        <w:t xml:space="preserve"> and detect deviations indicative of a security breach. Sudden changes in login locations, unusual access requests, or irregular communication patterns trigger real-time security alerts. Villanueva (2025) highlights that AI-driven </w:t>
      </w:r>
      <w:proofErr w:type="spellStart"/>
      <w:r w:rsidRPr="00356EA6">
        <w:rPr>
          <w:rFonts w:eastAsia="Times New Roman"/>
          <w:color w:val="0D0D0D"/>
          <w:sz w:val="24"/>
          <w:szCs w:val="24"/>
          <w:highlight w:val="white"/>
        </w:rPr>
        <w:t>behavioral</w:t>
      </w:r>
      <w:proofErr w:type="spellEnd"/>
      <w:r w:rsidRPr="00356EA6">
        <w:rPr>
          <w:rFonts w:eastAsia="Times New Roman"/>
          <w:color w:val="0D0D0D"/>
          <w:sz w:val="24"/>
          <w:szCs w:val="24"/>
          <w:highlight w:val="white"/>
        </w:rPr>
        <w:t xml:space="preserve"> analysis has led to a 60% reduction in successful phishing attempts within telemedicine platforms, emphasizing the necessity of integrating these systems into authentication and access control frameworks.</w:t>
      </w:r>
    </w:p>
    <w:p w14:paraId="629CCB13"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 xml:space="preserve">Case studies illustrate the effectiveness of AI-powered security solutions in mitigating cyber threats. According to Hussain (2024), AI-driven phishing detection systems deployed in telemedicine platforms have successfully identified and neutralized phishing attempts in </w:t>
      </w:r>
      <w:r w:rsidR="006D6A14" w:rsidRPr="00356EA6">
        <w:rPr>
          <w:rFonts w:eastAsia="Times New Roman"/>
          <w:color w:val="0D0D0D"/>
          <w:sz w:val="24"/>
          <w:szCs w:val="24"/>
          <w:highlight w:val="white"/>
        </w:rPr>
        <w:t>real-time</w:t>
      </w:r>
      <w:r w:rsidRPr="00356EA6">
        <w:rPr>
          <w:rFonts w:eastAsia="Times New Roman"/>
          <w:color w:val="0D0D0D"/>
          <w:sz w:val="24"/>
          <w:szCs w:val="24"/>
          <w:highlight w:val="white"/>
        </w:rPr>
        <w:t xml:space="preserve">. A leading telehealth provider in North America observed a 75% </w:t>
      </w:r>
      <w:r w:rsidRPr="00356EA6">
        <w:rPr>
          <w:rFonts w:eastAsia="Times New Roman"/>
          <w:color w:val="0D0D0D"/>
          <w:sz w:val="24"/>
          <w:szCs w:val="24"/>
          <w:highlight w:val="white"/>
        </w:rPr>
        <w:lastRenderedPageBreak/>
        <w:t xml:space="preserve">improvement in phishing attack detection rates following the integration of machine learning-driven security analytics (Naito et al., 2021; </w:t>
      </w:r>
      <w:proofErr w:type="spellStart"/>
      <w:r w:rsidRPr="00356EA6">
        <w:rPr>
          <w:rFonts w:eastAsia="Times New Roman"/>
          <w:color w:val="0D0D0D"/>
          <w:sz w:val="24"/>
          <w:szCs w:val="24"/>
          <w:highlight w:val="white"/>
        </w:rPr>
        <w:t>Gbadebo</w:t>
      </w:r>
      <w:proofErr w:type="spellEnd"/>
      <w:r w:rsidRPr="00356EA6">
        <w:rPr>
          <w:rFonts w:eastAsia="Times New Roman"/>
          <w:color w:val="0D0D0D"/>
          <w:sz w:val="24"/>
          <w:szCs w:val="24"/>
          <w:highlight w:val="white"/>
        </w:rPr>
        <w:t xml:space="preserve"> et al., 2024). Additionally, AI-powered authentication models, such as biometric verification and adaptive authentication, have demonstrated significant success in mitigating credential-based attacks by enhancing user identity validation (Siam et al., 2025; Joseph, 2024).</w:t>
      </w:r>
    </w:p>
    <w:p w14:paraId="34278A18" w14:textId="77777777" w:rsidR="00C91EC2" w:rsidRPr="00356EA6" w:rsidRDefault="0000391E">
      <w:pPr>
        <w:spacing w:before="240" w:after="240"/>
        <w:rPr>
          <w:rFonts w:eastAsia="Roboto"/>
          <w:color w:val="0D0D0D"/>
          <w:sz w:val="24"/>
          <w:szCs w:val="24"/>
          <w:highlight w:val="white"/>
        </w:rPr>
      </w:pPr>
      <w:r w:rsidRPr="00356EA6">
        <w:rPr>
          <w:rFonts w:eastAsia="Times New Roman"/>
          <w:color w:val="0D0D0D"/>
          <w:sz w:val="24"/>
          <w:szCs w:val="24"/>
          <w:highlight w:val="white"/>
        </w:rPr>
        <w:t xml:space="preserve">Despite these advancements, AI-powered cybersecurity faces persistent challenges. George (2024) contends that cyber adversaries continuously refine attack strategies to evade AI-driven </w:t>
      </w:r>
      <w:proofErr w:type="spellStart"/>
      <w:r w:rsidRPr="00356EA6">
        <w:rPr>
          <w:rFonts w:eastAsia="Times New Roman"/>
          <w:color w:val="0D0D0D"/>
          <w:sz w:val="24"/>
          <w:szCs w:val="24"/>
          <w:highlight w:val="white"/>
        </w:rPr>
        <w:t>defenses</w:t>
      </w:r>
      <w:proofErr w:type="spellEnd"/>
      <w:r w:rsidRPr="00356EA6">
        <w:rPr>
          <w:rFonts w:eastAsia="Times New Roman"/>
          <w:color w:val="0D0D0D"/>
          <w:sz w:val="24"/>
          <w:szCs w:val="24"/>
          <w:highlight w:val="white"/>
        </w:rPr>
        <w:t>, necessitating ongoing innovation in cybersecurity research. The adversarial use of AI to generate sophisticated phishing campaigns underscores the need for continuous updates to detection models and adaptive security frameworks (</w:t>
      </w:r>
      <w:proofErr w:type="spellStart"/>
      <w:r w:rsidRPr="00356EA6">
        <w:rPr>
          <w:rFonts w:eastAsia="Times New Roman"/>
          <w:color w:val="0D0D0D"/>
          <w:sz w:val="24"/>
          <w:szCs w:val="24"/>
          <w:highlight w:val="white"/>
        </w:rPr>
        <w:t>Fakhouri</w:t>
      </w:r>
      <w:proofErr w:type="spellEnd"/>
      <w:r w:rsidRPr="00356EA6">
        <w:rPr>
          <w:rFonts w:eastAsia="Times New Roman"/>
          <w:color w:val="0D0D0D"/>
          <w:sz w:val="24"/>
          <w:szCs w:val="24"/>
          <w:highlight w:val="white"/>
        </w:rPr>
        <w:t xml:space="preserve"> et al., 2024; </w:t>
      </w:r>
      <w:proofErr w:type="spellStart"/>
      <w:r w:rsidRPr="00356EA6">
        <w:rPr>
          <w:rFonts w:eastAsia="Times New Roman"/>
          <w:color w:val="0D0D0D"/>
          <w:sz w:val="24"/>
          <w:szCs w:val="24"/>
          <w:highlight w:val="white"/>
        </w:rPr>
        <w:t>Kolade</w:t>
      </w:r>
      <w:proofErr w:type="spellEnd"/>
      <w:r w:rsidRPr="00356EA6">
        <w:rPr>
          <w:rFonts w:eastAsia="Times New Roman"/>
          <w:color w:val="0D0D0D"/>
          <w:sz w:val="24"/>
          <w:szCs w:val="24"/>
          <w:highlight w:val="white"/>
        </w:rPr>
        <w:t xml:space="preserve"> et al., 2024). As telemedicine adoption increases, Ali (2024) argues that AI will remain central to safeguarding patient data, ensuring digital healthcare security, and maintaining trust in AI-enhanced cybersecurity measures.</w:t>
      </w:r>
    </w:p>
    <w:p w14:paraId="6BE98DA9"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7" w:name="_l4v13ig8md5v" w:colFirst="0" w:colLast="0"/>
      <w:bookmarkEnd w:id="7"/>
      <w:r w:rsidRPr="00492DC0">
        <w:rPr>
          <w:rFonts w:eastAsia="Times New Roman"/>
          <w:b/>
          <w:color w:val="0D0D0D"/>
          <w:sz w:val="24"/>
          <w:szCs w:val="24"/>
          <w:highlight w:val="white"/>
        </w:rPr>
        <w:t>Enhancing Patient Data Privacy in Telemedicine</w:t>
      </w:r>
    </w:p>
    <w:p w14:paraId="79EC8F84"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The expansion of telemedicine has revolutionized healthcare delivery but has also introduced significant challenges in maintaining patient data privacy. Chaturvedi et al. (2024)</w:t>
      </w:r>
      <w:r w:rsidR="006D6A14" w:rsidRPr="00356EA6">
        <w:rPr>
          <w:rFonts w:eastAsia="Times New Roman"/>
          <w:color w:val="0D0D0D"/>
          <w:sz w:val="24"/>
          <w:szCs w:val="24"/>
          <w:highlight w:val="white"/>
        </w:rPr>
        <w:t xml:space="preserve"> contend </w:t>
      </w:r>
      <w:r w:rsidRPr="00356EA6">
        <w:rPr>
          <w:rFonts w:eastAsia="Times New Roman"/>
          <w:color w:val="0D0D0D"/>
          <w:sz w:val="24"/>
          <w:szCs w:val="24"/>
          <w:highlight w:val="white"/>
        </w:rPr>
        <w:t xml:space="preserve">that securing medical records requires the integration of encryption technologies, zero-trust security frameworks, and decentralized identity verification. Encryption protocols, such as end-to-end encryption (E2EE) and homomorphic encryption, serve as critical safeguards against unauthorized access (Kumar et al., 2024; </w:t>
      </w:r>
      <w:proofErr w:type="spellStart"/>
      <w:r w:rsidRPr="00356EA6">
        <w:rPr>
          <w:rFonts w:eastAsia="Times New Roman"/>
          <w:color w:val="0D0D0D"/>
          <w:sz w:val="24"/>
          <w:szCs w:val="24"/>
          <w:highlight w:val="white"/>
        </w:rPr>
        <w:t>Mayeke</w:t>
      </w:r>
      <w:proofErr w:type="spellEnd"/>
      <w:r w:rsidRPr="00356EA6">
        <w:rPr>
          <w:rFonts w:eastAsia="Times New Roman"/>
          <w:color w:val="0D0D0D"/>
          <w:sz w:val="24"/>
          <w:szCs w:val="24"/>
          <w:highlight w:val="white"/>
        </w:rPr>
        <w:t xml:space="preserve"> et al., 2024). According to IBM (2024), organizations employing advanced encryption techniques experienced a 38% reduction in data breach risks. However, the emerging threat of quantum computing necessitates ongoing research into post-quantum cryptographic solutions tailored for healthcare applications.</w:t>
      </w:r>
    </w:p>
    <w:p w14:paraId="034AB65D"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 xml:space="preserve">Zero-trust security frameworks have gained prominence as an effective </w:t>
      </w:r>
      <w:proofErr w:type="spellStart"/>
      <w:r w:rsidRPr="00356EA6">
        <w:rPr>
          <w:rFonts w:eastAsia="Times New Roman"/>
          <w:color w:val="0D0D0D"/>
          <w:sz w:val="24"/>
          <w:szCs w:val="24"/>
          <w:highlight w:val="white"/>
        </w:rPr>
        <w:t>defense</w:t>
      </w:r>
      <w:proofErr w:type="spellEnd"/>
      <w:r w:rsidRPr="00356EA6">
        <w:rPr>
          <w:rFonts w:eastAsia="Times New Roman"/>
          <w:color w:val="0D0D0D"/>
          <w:sz w:val="24"/>
          <w:szCs w:val="24"/>
          <w:highlight w:val="white"/>
        </w:rPr>
        <w:t xml:space="preserve"> against telemedicine data breaches. Unlike traditional perimeter-based models, </w:t>
      </w:r>
      <w:proofErr w:type="spellStart"/>
      <w:r w:rsidRPr="00356EA6">
        <w:rPr>
          <w:rFonts w:eastAsia="Times New Roman"/>
          <w:color w:val="0D0D0D"/>
          <w:sz w:val="24"/>
          <w:szCs w:val="24"/>
          <w:highlight w:val="white"/>
        </w:rPr>
        <w:t>Alevizos</w:t>
      </w:r>
      <w:proofErr w:type="spellEnd"/>
      <w:r w:rsidRPr="00356EA6">
        <w:rPr>
          <w:rFonts w:eastAsia="Times New Roman"/>
          <w:color w:val="0D0D0D"/>
          <w:sz w:val="24"/>
          <w:szCs w:val="24"/>
          <w:highlight w:val="white"/>
        </w:rPr>
        <w:t xml:space="preserve"> et al. (2021)</w:t>
      </w:r>
      <w:r w:rsidR="006D6A14" w:rsidRPr="00356EA6">
        <w:rPr>
          <w:rFonts w:eastAsia="Times New Roman"/>
          <w:color w:val="0D0D0D"/>
          <w:sz w:val="24"/>
          <w:szCs w:val="24"/>
          <w:highlight w:val="white"/>
        </w:rPr>
        <w:t xml:space="preserve"> state </w:t>
      </w:r>
      <w:r w:rsidRPr="00356EA6">
        <w:rPr>
          <w:rFonts w:eastAsia="Times New Roman"/>
          <w:color w:val="0D0D0D"/>
          <w:sz w:val="24"/>
          <w:szCs w:val="24"/>
          <w:highlight w:val="white"/>
        </w:rPr>
        <w:t xml:space="preserve">that zero-trust architecture (ZTA) enforces continuous verification, least-privilege access control, and strict endpoint security measures. </w:t>
      </w:r>
      <w:proofErr w:type="spellStart"/>
      <w:r w:rsidRPr="00356EA6">
        <w:rPr>
          <w:rFonts w:eastAsia="Times New Roman"/>
          <w:color w:val="0D0D0D"/>
          <w:sz w:val="24"/>
          <w:szCs w:val="24"/>
          <w:highlight w:val="white"/>
        </w:rPr>
        <w:t>Zscaler</w:t>
      </w:r>
      <w:proofErr w:type="spellEnd"/>
      <w:r w:rsidRPr="00356EA6">
        <w:rPr>
          <w:rFonts w:eastAsia="Times New Roman"/>
          <w:color w:val="0D0D0D"/>
          <w:sz w:val="24"/>
          <w:szCs w:val="24"/>
          <w:highlight w:val="white"/>
        </w:rPr>
        <w:t xml:space="preserve"> (2024) reported that ZTA adoption led to a 46% decline in unauthorized access incidents within digital healthcare ecosystems. However, the complexity and high integration costs of zero-trust frameworks pose challenges, particularly for smaller healthcare providers with limited resources.</w:t>
      </w:r>
    </w:p>
    <w:p w14:paraId="6442C78E"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Decentralized identity verification has emerged as an innovative approach to strengthening patient data security. Kokila and Reddy (2024)</w:t>
      </w:r>
      <w:r w:rsidR="00356EA6" w:rsidRPr="00356EA6">
        <w:rPr>
          <w:rFonts w:eastAsia="Times New Roman"/>
          <w:color w:val="0D0D0D"/>
          <w:sz w:val="24"/>
          <w:szCs w:val="24"/>
          <w:highlight w:val="white"/>
        </w:rPr>
        <w:t xml:space="preserve"> posit</w:t>
      </w:r>
      <w:r w:rsidRPr="00356EA6">
        <w:rPr>
          <w:rFonts w:eastAsia="Times New Roman"/>
          <w:color w:val="0D0D0D"/>
          <w:sz w:val="24"/>
          <w:szCs w:val="24"/>
          <w:highlight w:val="white"/>
        </w:rPr>
        <w:t xml:space="preserve"> that traditional authentication methods rely on centralized databases, which remain vulnerable to breaches. In contrast, blockchain-based decentralized identity systems enable self-sovereign identity (SSI), granting individuals greater control over their credentials </w:t>
      </w:r>
      <w:r w:rsidRPr="00356EA6">
        <w:rPr>
          <w:rFonts w:eastAsia="Times New Roman"/>
          <w:color w:val="0D0D0D"/>
          <w:sz w:val="24"/>
          <w:szCs w:val="24"/>
          <w:highlight w:val="white"/>
        </w:rPr>
        <w:lastRenderedPageBreak/>
        <w:t>without exposing sensitive information (Chan et al., 2025; Samuel-</w:t>
      </w:r>
      <w:proofErr w:type="spellStart"/>
      <w:r w:rsidRPr="00356EA6">
        <w:rPr>
          <w:rFonts w:eastAsia="Times New Roman"/>
          <w:color w:val="0D0D0D"/>
          <w:sz w:val="24"/>
          <w:szCs w:val="24"/>
          <w:highlight w:val="white"/>
        </w:rPr>
        <w:t>Okon</w:t>
      </w:r>
      <w:proofErr w:type="spellEnd"/>
      <w:r w:rsidRPr="00356EA6">
        <w:rPr>
          <w:rFonts w:eastAsia="Times New Roman"/>
          <w:color w:val="0D0D0D"/>
          <w:sz w:val="24"/>
          <w:szCs w:val="24"/>
          <w:highlight w:val="white"/>
        </w:rPr>
        <w:t xml:space="preserve"> et al., 2024). According to NIST (2024), blockchain-based identity verification reduces identity fraud risks by 62%. Despite these advantages, concerns regarding scalability and regulatory compliance present barriers to widespread adoption.</w:t>
      </w:r>
    </w:p>
    <w:p w14:paraId="70EE6E26"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 xml:space="preserve">Comparative analyses of global data privacy regulations reveal fundamental differences in compliance requirements for telemedicine. </w:t>
      </w:r>
      <w:proofErr w:type="spellStart"/>
      <w:r w:rsidRPr="00356EA6">
        <w:rPr>
          <w:rFonts w:eastAsia="Times New Roman"/>
          <w:color w:val="0D0D0D"/>
          <w:sz w:val="24"/>
          <w:szCs w:val="24"/>
          <w:highlight w:val="white"/>
        </w:rPr>
        <w:t>Isibor</w:t>
      </w:r>
      <w:proofErr w:type="spellEnd"/>
      <w:r w:rsidRPr="00356EA6">
        <w:rPr>
          <w:rFonts w:eastAsia="Times New Roman"/>
          <w:color w:val="0D0D0D"/>
          <w:sz w:val="24"/>
          <w:szCs w:val="24"/>
          <w:highlight w:val="white"/>
        </w:rPr>
        <w:t xml:space="preserve"> (2024)</w:t>
      </w:r>
      <w:r w:rsidR="00356EA6" w:rsidRPr="00356EA6">
        <w:rPr>
          <w:rFonts w:eastAsia="Times New Roman"/>
          <w:color w:val="0D0D0D"/>
          <w:sz w:val="24"/>
          <w:szCs w:val="24"/>
          <w:highlight w:val="white"/>
        </w:rPr>
        <w:t xml:space="preserve"> contends</w:t>
      </w:r>
      <w:r w:rsidRPr="00356EA6">
        <w:rPr>
          <w:rFonts w:eastAsia="Times New Roman"/>
          <w:color w:val="0D0D0D"/>
          <w:sz w:val="24"/>
          <w:szCs w:val="24"/>
          <w:highlight w:val="white"/>
        </w:rPr>
        <w:t xml:space="preserve"> that while the Health Insurance Portability and Accountability Act (HIPAA) enforces stringent access controls and breach notification policies in the U.S., the General Data Protection Regulation (GDPR) mandates stricter data subject rights and cross-border data transfer restrictions in the European Union. Multinational telemedicine providers face legal ambiguities while complying with varying regulatory frameworks (Ivanova et al., 2023).</w:t>
      </w:r>
    </w:p>
    <w:p w14:paraId="0604974D"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Regulatory enforcement plays a crucial role in maintaining patient data security; governments and regulatory agencies have intensified penalties for non-compliance (Prasad, 2024). However, Jain et al. (2024)</w:t>
      </w:r>
      <w:r w:rsidR="00356EA6" w:rsidRPr="00356EA6">
        <w:rPr>
          <w:rFonts w:eastAsia="Times New Roman"/>
          <w:color w:val="0D0D0D"/>
          <w:sz w:val="24"/>
          <w:szCs w:val="24"/>
          <w:highlight w:val="white"/>
        </w:rPr>
        <w:t xml:space="preserve"> argue</w:t>
      </w:r>
      <w:r w:rsidRPr="00356EA6">
        <w:rPr>
          <w:rFonts w:eastAsia="Times New Roman"/>
          <w:color w:val="0D0D0D"/>
          <w:sz w:val="24"/>
          <w:szCs w:val="24"/>
          <w:highlight w:val="white"/>
        </w:rPr>
        <w:t xml:space="preserve"> that achieving a balance between stringent security mandates and operational feasibility is essential to avoid stifling telemedicine innovation. As cyber threats continue to evolve, integrating adaptive security measures while ensuring compliance with data protection laws remains critical to safeguarding patient privacy within digital healthcare environments.</w:t>
      </w:r>
    </w:p>
    <w:p w14:paraId="792D233C" w14:textId="77777777" w:rsidR="00C91EC2" w:rsidRPr="00492DC0" w:rsidRDefault="00492DC0">
      <w:pPr>
        <w:pStyle w:val="Heading3"/>
        <w:keepNext w:val="0"/>
        <w:keepLines w:val="0"/>
        <w:spacing w:before="280"/>
        <w:rPr>
          <w:rFonts w:eastAsia="Times New Roman"/>
          <w:b/>
          <w:color w:val="0D0D0D"/>
          <w:sz w:val="24"/>
          <w:szCs w:val="24"/>
          <w:highlight w:val="white"/>
        </w:rPr>
      </w:pPr>
      <w:bookmarkStart w:id="8" w:name="_wjhyg9tmlbwl" w:colFirst="0" w:colLast="0"/>
      <w:bookmarkEnd w:id="8"/>
      <w:r>
        <w:rPr>
          <w:rFonts w:eastAsia="Times New Roman"/>
          <w:b/>
          <w:color w:val="0D0D0D"/>
          <w:sz w:val="24"/>
          <w:szCs w:val="24"/>
          <w:highlight w:val="white"/>
        </w:rPr>
        <w:t>3.</w:t>
      </w:r>
      <w:r>
        <w:rPr>
          <w:rFonts w:eastAsia="Times New Roman"/>
          <w:b/>
          <w:color w:val="0D0D0D"/>
          <w:sz w:val="24"/>
          <w:szCs w:val="24"/>
          <w:highlight w:val="white"/>
        </w:rPr>
        <w:tab/>
      </w:r>
      <w:r w:rsidR="0000391E" w:rsidRPr="00492DC0">
        <w:rPr>
          <w:rFonts w:eastAsia="Times New Roman"/>
          <w:b/>
          <w:color w:val="0D0D0D"/>
          <w:sz w:val="24"/>
          <w:szCs w:val="24"/>
          <w:highlight w:val="white"/>
        </w:rPr>
        <w:t>Methodology</w:t>
      </w:r>
    </w:p>
    <w:p w14:paraId="53ADB2D3"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This study adopts a quantitative research approach to </w:t>
      </w:r>
      <w:proofErr w:type="spellStart"/>
      <w:r w:rsidRPr="00492DC0">
        <w:rPr>
          <w:rFonts w:eastAsia="Times New Roman"/>
          <w:color w:val="0D0D0D"/>
          <w:sz w:val="24"/>
          <w:szCs w:val="24"/>
          <w:highlight w:val="white"/>
        </w:rPr>
        <w:t>analyze</w:t>
      </w:r>
      <w:proofErr w:type="spellEnd"/>
      <w:r w:rsidRPr="00492DC0">
        <w:rPr>
          <w:rFonts w:eastAsia="Times New Roman"/>
          <w:color w:val="0D0D0D"/>
          <w:sz w:val="24"/>
          <w:szCs w:val="24"/>
          <w:highlight w:val="white"/>
        </w:rPr>
        <w:t xml:space="preserve"> AI-powered phishing threats, authentication vulnerabilities, and data privacy mechanisms in telemedicine. Publicly available datasets from HHS Breach Reports, Verizon DBIR, IBM Cost of a Data Breach Report, and </w:t>
      </w:r>
      <w:proofErr w:type="spellStart"/>
      <w:r w:rsidRPr="00492DC0">
        <w:rPr>
          <w:rFonts w:eastAsia="Times New Roman"/>
          <w:color w:val="0D0D0D"/>
          <w:sz w:val="24"/>
          <w:szCs w:val="24"/>
          <w:highlight w:val="white"/>
        </w:rPr>
        <w:t>PhishTank</w:t>
      </w:r>
      <w:proofErr w:type="spellEnd"/>
      <w:r w:rsidRPr="00492DC0">
        <w:rPr>
          <w:rFonts w:eastAsia="Times New Roman"/>
          <w:color w:val="0D0D0D"/>
          <w:sz w:val="24"/>
          <w:szCs w:val="24"/>
          <w:highlight w:val="white"/>
        </w:rPr>
        <w:t xml:space="preserve"> Open Phishing Dataset are utilized for empirical validation. The research applies trend analysis, regression models, ANOVA, and machine learning classification to derive objective insights.</w:t>
      </w:r>
    </w:p>
    <w:p w14:paraId="49B2369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 linear regression model assesses the correlation between phishing-related breaches and compromised patient records (Table 1). A chi-square test evaluates whether AI-powered phishing incidents result in significantly greater data exposure than traditional methods.</w:t>
      </w:r>
      <w:r w:rsidR="00356EA6">
        <w:rPr>
          <w:rFonts w:eastAsia="Times New Roman"/>
          <w:color w:val="0D0D0D"/>
          <w:sz w:val="24"/>
          <w:szCs w:val="24"/>
          <w:highlight w:val="white"/>
        </w:rPr>
        <w:t xml:space="preserve"> Also,</w:t>
      </w:r>
      <w:r w:rsidRPr="00492DC0">
        <w:rPr>
          <w:rFonts w:eastAsia="Times New Roman"/>
          <w:color w:val="0D0D0D"/>
          <w:sz w:val="24"/>
          <w:szCs w:val="24"/>
          <w:highlight w:val="white"/>
        </w:rPr>
        <w:t xml:space="preserve"> logistic regression model (Table 1) predicts authentication breach probabilities based on credential theft incidents, MFA bypass rates, and </w:t>
      </w:r>
      <w:proofErr w:type="spellStart"/>
      <w:r w:rsidRPr="00492DC0">
        <w:rPr>
          <w:rFonts w:eastAsia="Times New Roman"/>
          <w:color w:val="0D0D0D"/>
          <w:sz w:val="24"/>
          <w:szCs w:val="24"/>
          <w:highlight w:val="white"/>
        </w:rPr>
        <w:t>deepfake</w:t>
      </w:r>
      <w:proofErr w:type="spellEnd"/>
      <w:r w:rsidRPr="00492DC0">
        <w:rPr>
          <w:rFonts w:eastAsia="Times New Roman"/>
          <w:color w:val="0D0D0D"/>
          <w:sz w:val="24"/>
          <w:szCs w:val="24"/>
          <w:highlight w:val="white"/>
        </w:rPr>
        <w:t>-related compromises.</w:t>
      </w:r>
      <w:r w:rsidR="00356EA6">
        <w:rPr>
          <w:rFonts w:eastAsia="Times New Roman"/>
          <w:color w:val="0D0D0D"/>
          <w:sz w:val="24"/>
          <w:szCs w:val="24"/>
          <w:highlight w:val="white"/>
        </w:rPr>
        <w:t xml:space="preserve"> </w:t>
      </w:r>
      <w:r w:rsidRPr="00492DC0">
        <w:rPr>
          <w:rFonts w:eastAsia="Times New Roman"/>
          <w:color w:val="0D0D0D"/>
          <w:sz w:val="24"/>
          <w:szCs w:val="24"/>
          <w:highlight w:val="white"/>
        </w:rPr>
        <w:t>ANOVA (Table 1) is employed to test whether privacy mechanisms (e.g., encryption, zero-trust, decentralized identity) significantly reduce breach costs.</w:t>
      </w:r>
      <w:r w:rsidR="00356EA6">
        <w:rPr>
          <w:rFonts w:eastAsia="Times New Roman"/>
          <w:color w:val="0D0D0D"/>
          <w:sz w:val="24"/>
          <w:szCs w:val="24"/>
          <w:highlight w:val="white"/>
        </w:rPr>
        <w:t xml:space="preserve"> </w:t>
      </w:r>
      <w:r w:rsidRPr="00492DC0">
        <w:rPr>
          <w:rFonts w:eastAsia="Times New Roman"/>
          <w:color w:val="0D0D0D"/>
          <w:sz w:val="24"/>
          <w:szCs w:val="24"/>
          <w:highlight w:val="white"/>
        </w:rPr>
        <w:t>A Random Forest classification model (Table 1) assesses phishing detection accuracy, calculating precision, recall, and F1-score to determine model effectiveness.</w:t>
      </w:r>
    </w:p>
    <w:p w14:paraId="54E46AC9"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9" w:name="_923efu8ufx9b" w:colFirst="0" w:colLast="0"/>
      <w:bookmarkEnd w:id="9"/>
      <w:r w:rsidRPr="00492DC0">
        <w:rPr>
          <w:rFonts w:eastAsia="Times New Roman"/>
          <w:b/>
          <w:color w:val="0D0D0D"/>
          <w:sz w:val="24"/>
          <w:szCs w:val="24"/>
          <w:highlight w:val="white"/>
        </w:rPr>
        <w:t>Table 1: Mathematical Equations Used in the Study</w:t>
      </w:r>
    </w:p>
    <w:tbl>
      <w:tblPr>
        <w:tblStyle w:val="TableGrid"/>
        <w:tblW w:w="0" w:type="auto"/>
        <w:tblLook w:val="04A0" w:firstRow="1" w:lastRow="0" w:firstColumn="1" w:lastColumn="0" w:noHBand="0" w:noVBand="1"/>
      </w:tblPr>
      <w:tblGrid>
        <w:gridCol w:w="2272"/>
        <w:gridCol w:w="3213"/>
        <w:gridCol w:w="3865"/>
      </w:tblGrid>
      <w:tr w:rsidR="00380C53" w:rsidRPr="00492DC0" w14:paraId="234C7695" w14:textId="77777777" w:rsidTr="00492DC0">
        <w:tc>
          <w:tcPr>
            <w:tcW w:w="0" w:type="auto"/>
            <w:hideMark/>
          </w:tcPr>
          <w:p w14:paraId="59E18280" w14:textId="77777777" w:rsidR="00380C53" w:rsidRPr="00492DC0" w:rsidRDefault="00380C53" w:rsidP="00492DC0">
            <w:pPr>
              <w:jc w:val="center"/>
              <w:rPr>
                <w:rFonts w:ascii="Arial" w:eastAsia="Times New Roman" w:hAnsi="Arial" w:cs="Arial"/>
                <w:b/>
                <w:bCs/>
                <w:sz w:val="24"/>
                <w:szCs w:val="24"/>
              </w:rPr>
            </w:pPr>
            <w:r w:rsidRPr="00492DC0">
              <w:rPr>
                <w:rFonts w:ascii="Arial" w:eastAsia="Times New Roman" w:hAnsi="Arial" w:cs="Arial"/>
                <w:b/>
                <w:bCs/>
                <w:sz w:val="24"/>
                <w:szCs w:val="24"/>
              </w:rPr>
              <w:lastRenderedPageBreak/>
              <w:t>Equation</w:t>
            </w:r>
          </w:p>
        </w:tc>
        <w:tc>
          <w:tcPr>
            <w:tcW w:w="0" w:type="auto"/>
            <w:hideMark/>
          </w:tcPr>
          <w:p w14:paraId="3B584E67" w14:textId="77777777" w:rsidR="00380C53" w:rsidRPr="00492DC0" w:rsidRDefault="00380C53" w:rsidP="00492DC0">
            <w:pPr>
              <w:jc w:val="center"/>
              <w:rPr>
                <w:rFonts w:ascii="Arial" w:eastAsia="Times New Roman" w:hAnsi="Arial" w:cs="Arial"/>
                <w:b/>
                <w:bCs/>
                <w:sz w:val="24"/>
                <w:szCs w:val="24"/>
              </w:rPr>
            </w:pPr>
            <w:r w:rsidRPr="00492DC0">
              <w:rPr>
                <w:rFonts w:ascii="Arial" w:eastAsia="Times New Roman" w:hAnsi="Arial" w:cs="Arial"/>
                <w:b/>
                <w:bCs/>
                <w:sz w:val="24"/>
                <w:szCs w:val="24"/>
              </w:rPr>
              <w:t>Formula</w:t>
            </w:r>
          </w:p>
        </w:tc>
        <w:tc>
          <w:tcPr>
            <w:tcW w:w="0" w:type="auto"/>
            <w:hideMark/>
          </w:tcPr>
          <w:p w14:paraId="45C4A075" w14:textId="77777777" w:rsidR="00380C53" w:rsidRPr="00492DC0" w:rsidRDefault="00380C53" w:rsidP="00492DC0">
            <w:pPr>
              <w:jc w:val="center"/>
              <w:rPr>
                <w:rFonts w:ascii="Arial" w:eastAsia="Times New Roman" w:hAnsi="Arial" w:cs="Arial"/>
                <w:b/>
                <w:bCs/>
                <w:sz w:val="24"/>
                <w:szCs w:val="24"/>
              </w:rPr>
            </w:pPr>
            <w:r w:rsidRPr="00492DC0">
              <w:rPr>
                <w:rFonts w:ascii="Arial" w:eastAsia="Times New Roman" w:hAnsi="Arial" w:cs="Arial"/>
                <w:b/>
                <w:bCs/>
                <w:sz w:val="24"/>
                <w:szCs w:val="24"/>
              </w:rPr>
              <w:t>Application</w:t>
            </w:r>
          </w:p>
        </w:tc>
      </w:tr>
      <w:tr w:rsidR="00380C53" w:rsidRPr="00492DC0" w14:paraId="60980B9C" w14:textId="77777777" w:rsidTr="00492DC0">
        <w:tc>
          <w:tcPr>
            <w:tcW w:w="0" w:type="auto"/>
            <w:hideMark/>
          </w:tcPr>
          <w:p w14:paraId="476DEFF2"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b/>
                <w:bCs/>
                <w:sz w:val="24"/>
                <w:szCs w:val="24"/>
              </w:rPr>
              <w:t>Linear Regression</w:t>
            </w:r>
          </w:p>
        </w:tc>
        <w:tc>
          <w:tcPr>
            <w:tcW w:w="0" w:type="auto"/>
            <w:hideMark/>
          </w:tcPr>
          <w:p w14:paraId="5F9AEB22" w14:textId="77777777" w:rsidR="00380C53" w:rsidRPr="00492DC0" w:rsidRDefault="00380C53" w:rsidP="00492DC0">
            <w:pPr>
              <w:rPr>
                <w:rFonts w:ascii="Arial" w:eastAsia="Times New Roman" w:hAnsi="Arial" w:cs="Arial"/>
                <w:sz w:val="24"/>
                <w:szCs w:val="24"/>
              </w:rPr>
            </w:pPr>
            <m:oMathPara>
              <m:oMath>
                <m:r>
                  <w:rPr>
                    <w:rFonts w:ascii="Cambria Math" w:eastAsia="Times New Roman" w:hAnsi="Cambria Math" w:cs="Arial"/>
                    <w:sz w:val="24"/>
                    <w:szCs w:val="24"/>
                  </w:rPr>
                  <m:t>Ct=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β</m:t>
                    </m:r>
                  </m:e>
                  <m:sub>
                    <m:r>
                      <w:rPr>
                        <w:rFonts w:ascii="Cambria Math" w:eastAsia="Times New Roman" w:hAnsi="Cambria Math" w:cs="Arial"/>
                        <w:sz w:val="24"/>
                        <w:szCs w:val="24"/>
                      </w:rPr>
                      <m:t>0</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β</m:t>
                    </m:r>
                  </m:e>
                  <m:sub>
                    <m:r>
                      <w:rPr>
                        <w:rFonts w:ascii="Cambria Math" w:eastAsia="Times New Roman" w:hAnsi="Cambria Math" w:cs="Arial"/>
                        <w:sz w:val="24"/>
                        <w:szCs w:val="24"/>
                      </w:rPr>
                      <m:t>1</m:t>
                    </m:r>
                  </m:sub>
                </m:sSub>
                <m:sSub>
                  <m:sSubPr>
                    <m:ctrlPr>
                      <w:rPr>
                        <w:rFonts w:ascii="Cambria Math" w:eastAsia="Times New Roman" w:hAnsi="Cambria Math" w:cs="Arial"/>
                        <w:i/>
                        <w:sz w:val="24"/>
                        <w:szCs w:val="24"/>
                      </w:rPr>
                    </m:ctrlPr>
                  </m:sSubPr>
                  <m:e>
                    <m:r>
                      <w:rPr>
                        <w:rFonts w:ascii="Cambria Math" w:eastAsia="Times New Roman" w:hAnsi="Cambria Math" w:cs="Arial"/>
                        <w:sz w:val="24"/>
                        <w:szCs w:val="24"/>
                      </w:rPr>
                      <m:t>P</m:t>
                    </m:r>
                  </m:e>
                  <m:sub>
                    <m:r>
                      <w:rPr>
                        <w:rFonts w:ascii="Cambria Math" w:eastAsia="Times New Roman" w:hAnsi="Cambria Math" w:cs="Arial"/>
                        <w:sz w:val="24"/>
                        <w:szCs w:val="24"/>
                      </w:rPr>
                      <m:t>t</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ε</m:t>
                    </m:r>
                  </m:e>
                  <m:sub>
                    <m:r>
                      <w:rPr>
                        <w:rFonts w:ascii="Cambria Math" w:eastAsia="Times New Roman" w:hAnsi="Cambria Math" w:cs="Arial"/>
                        <w:sz w:val="24"/>
                        <w:szCs w:val="24"/>
                      </w:rPr>
                      <m:t>t</m:t>
                    </m:r>
                  </m:sub>
                </m:sSub>
              </m:oMath>
            </m:oMathPara>
          </w:p>
        </w:tc>
        <w:tc>
          <w:tcPr>
            <w:tcW w:w="0" w:type="auto"/>
            <w:hideMark/>
          </w:tcPr>
          <w:p w14:paraId="553B577C"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sz w:val="24"/>
                <w:szCs w:val="24"/>
              </w:rPr>
              <w:t>Measures the impact of phishing attack frequency on compromised patient records.</w:t>
            </w:r>
          </w:p>
        </w:tc>
      </w:tr>
      <w:tr w:rsidR="00380C53" w:rsidRPr="00492DC0" w14:paraId="4DD9D301" w14:textId="77777777" w:rsidTr="00492DC0">
        <w:tc>
          <w:tcPr>
            <w:tcW w:w="0" w:type="auto"/>
            <w:hideMark/>
          </w:tcPr>
          <w:p w14:paraId="4402382A"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b/>
                <w:bCs/>
                <w:sz w:val="24"/>
                <w:szCs w:val="24"/>
              </w:rPr>
              <w:t>Chi-Square Test</w:t>
            </w:r>
          </w:p>
        </w:tc>
        <w:tc>
          <w:tcPr>
            <w:tcW w:w="0" w:type="auto"/>
            <w:hideMark/>
          </w:tcPr>
          <w:p w14:paraId="24316A97" w14:textId="77777777" w:rsidR="00380C53" w:rsidRPr="00492DC0" w:rsidRDefault="005F104C" w:rsidP="00492DC0">
            <w:pPr>
              <w:spacing w:before="240" w:after="240"/>
              <w:rPr>
                <w:rFonts w:ascii="Arial" w:hAnsi="Arial" w:cs="Arial"/>
                <w:sz w:val="24"/>
                <w:szCs w:val="24"/>
              </w:rPr>
            </w:pPr>
            <m:oMathPara>
              <m:oMath>
                <m:sSup>
                  <m:sSupPr>
                    <m:ctrlPr>
                      <w:rPr>
                        <w:rFonts w:ascii="Cambria Math" w:eastAsia="Arial Unicode MS" w:hAnsi="Cambria Math" w:cs="Arial"/>
                        <w:i/>
                        <w:sz w:val="24"/>
                        <w:szCs w:val="24"/>
                      </w:rPr>
                    </m:ctrlPr>
                  </m:sSupPr>
                  <m:e>
                    <m:r>
                      <w:rPr>
                        <w:rFonts w:ascii="Cambria Math" w:eastAsia="Arial Unicode MS" w:hAnsi="Cambria Math" w:cs="Arial"/>
                        <w:sz w:val="24"/>
                        <w:szCs w:val="24"/>
                      </w:rPr>
                      <m:t>χ</m:t>
                    </m:r>
                  </m:e>
                  <m:sup>
                    <m:r>
                      <w:rPr>
                        <w:rFonts w:ascii="Cambria Math" w:eastAsia="Arial Unicode MS" w:hAnsi="Cambria Math" w:cs="Arial"/>
                        <w:sz w:val="24"/>
                        <w:szCs w:val="24"/>
                      </w:rPr>
                      <m:t>2</m:t>
                    </m:r>
                  </m:sup>
                </m:sSup>
                <m:r>
                  <w:rPr>
                    <w:rFonts w:ascii="Cambria Math" w:eastAsia="Arial Unicode MS" w:hAnsi="Cambria Math" w:cs="Arial"/>
                    <w:sz w:val="24"/>
                    <w:szCs w:val="24"/>
                  </w:rPr>
                  <m:t>=</m:t>
                </m:r>
                <m:d>
                  <m:dPr>
                    <m:ctrlPr>
                      <w:rPr>
                        <w:rStyle w:val="vlist-s"/>
                        <w:rFonts w:ascii="Cambria Math" w:hAnsi="Cambria Math" w:cs="Arial"/>
                        <w:i/>
                        <w:sz w:val="24"/>
                        <w:szCs w:val="24"/>
                      </w:rPr>
                    </m:ctrlPr>
                  </m:dPr>
                  <m:e>
                    <m:nary>
                      <m:naryPr>
                        <m:chr m:val="∑"/>
                        <m:limLoc m:val="undOvr"/>
                        <m:subHide m:val="1"/>
                        <m:supHide m:val="1"/>
                        <m:ctrlPr>
                          <w:rPr>
                            <w:rStyle w:val="vlist-s"/>
                            <w:rFonts w:ascii="Cambria Math" w:hAnsi="Cambria Math" w:cs="Arial"/>
                            <w:i/>
                            <w:sz w:val="24"/>
                            <w:szCs w:val="24"/>
                          </w:rPr>
                        </m:ctrlPr>
                      </m:naryPr>
                      <m:sub/>
                      <m:sup/>
                      <m:e>
                        <m:f>
                          <m:fPr>
                            <m:ctrlPr>
                              <w:rPr>
                                <w:rStyle w:val="vlist-s"/>
                                <w:rFonts w:ascii="Cambria Math" w:hAnsi="Cambria Math" w:cs="Arial"/>
                                <w:i/>
                                <w:sz w:val="24"/>
                                <w:szCs w:val="24"/>
                              </w:rPr>
                            </m:ctrlPr>
                          </m:fPr>
                          <m:num>
                            <m:sSup>
                              <m:sSupPr>
                                <m:ctrlPr>
                                  <w:rPr>
                                    <w:rStyle w:val="mord"/>
                                    <w:rFonts w:ascii="Cambria Math" w:hAnsi="Cambria Math" w:cs="Arial"/>
                                    <w:i/>
                                    <w:sz w:val="24"/>
                                    <w:szCs w:val="24"/>
                                  </w:rPr>
                                </m:ctrlPr>
                              </m:sSupPr>
                              <m:e>
                                <m:d>
                                  <m:dPr>
                                    <m:ctrlPr>
                                      <w:rPr>
                                        <w:rStyle w:val="mopen"/>
                                        <w:rFonts w:ascii="Cambria Math" w:hAnsi="Cambria Math" w:cs="Arial"/>
                                        <w:i/>
                                        <w:sz w:val="24"/>
                                        <w:szCs w:val="24"/>
                                      </w:rPr>
                                    </m:ctrlPr>
                                  </m:dPr>
                                  <m:e>
                                    <m:sSub>
                                      <m:sSubPr>
                                        <m:ctrlPr>
                                          <w:rPr>
                                            <w:rStyle w:val="mord"/>
                                            <w:rFonts w:ascii="Cambria Math" w:hAnsi="Cambria Math" w:cs="Arial"/>
                                            <w:i/>
                                            <w:sz w:val="24"/>
                                            <w:szCs w:val="24"/>
                                          </w:rPr>
                                        </m:ctrlPr>
                                      </m:sSubPr>
                                      <m:e>
                                        <m:r>
                                          <w:rPr>
                                            <w:rStyle w:val="mord"/>
                                            <w:rFonts w:ascii="Cambria Math" w:hAnsi="Cambria Math" w:cs="Arial"/>
                                            <w:sz w:val="24"/>
                                            <w:szCs w:val="24"/>
                                          </w:rPr>
                                          <m:t>O</m:t>
                                        </m:r>
                                        <m:ctrlPr>
                                          <w:rPr>
                                            <w:rStyle w:val="mopen"/>
                                            <w:rFonts w:ascii="Cambria Math" w:hAnsi="Cambria Math" w:cs="Arial"/>
                                            <w:i/>
                                            <w:sz w:val="24"/>
                                            <w:szCs w:val="24"/>
                                          </w:rPr>
                                        </m:ctrlPr>
                                      </m:e>
                                      <m:sub>
                                        <m:r>
                                          <w:rPr>
                                            <w:rStyle w:val="mord"/>
                                            <w:rFonts w:ascii="Cambria Math" w:hAnsi="Cambria Math" w:cs="Arial"/>
                                            <w:sz w:val="24"/>
                                            <w:szCs w:val="24"/>
                                          </w:rPr>
                                          <m:t>i</m:t>
                                        </m:r>
                                      </m:sub>
                                    </m:sSub>
                                    <m:r>
                                      <w:rPr>
                                        <w:rStyle w:val="vlist-s"/>
                                        <w:rFonts w:ascii="Cambria Math" w:hAnsi="Cambria Math" w:cs="Arial"/>
                                        <w:sz w:val="24"/>
                                        <w:szCs w:val="24"/>
                                      </w:rPr>
                                      <m:t>​</m:t>
                                    </m:r>
                                    <m:r>
                                      <w:rPr>
                                        <w:rStyle w:val="mbin"/>
                                        <w:rFonts w:ascii="Cambria Math" w:hAnsi="Cambria Math" w:cs="Arial"/>
                                        <w:sz w:val="24"/>
                                        <w:szCs w:val="24"/>
                                      </w:rPr>
                                      <m:t>-</m:t>
                                    </m:r>
                                    <m:sSub>
                                      <m:sSubPr>
                                        <m:ctrlPr>
                                          <w:rPr>
                                            <w:rStyle w:val="mord"/>
                                            <w:rFonts w:ascii="Cambria Math" w:hAnsi="Cambria Math" w:cs="Arial"/>
                                            <w:i/>
                                            <w:sz w:val="24"/>
                                            <w:szCs w:val="24"/>
                                          </w:rPr>
                                        </m:ctrlPr>
                                      </m:sSubPr>
                                      <m:e>
                                        <m:r>
                                          <w:rPr>
                                            <w:rStyle w:val="mord"/>
                                            <w:rFonts w:ascii="Cambria Math" w:hAnsi="Cambria Math" w:cs="Arial"/>
                                            <w:sz w:val="24"/>
                                            <w:szCs w:val="24"/>
                                          </w:rPr>
                                          <m:t>E</m:t>
                                        </m:r>
                                        <m:ctrlPr>
                                          <w:rPr>
                                            <w:rStyle w:val="mbin"/>
                                            <w:rFonts w:ascii="Cambria Math" w:hAnsi="Cambria Math" w:cs="Arial"/>
                                            <w:i/>
                                            <w:sz w:val="24"/>
                                            <w:szCs w:val="24"/>
                                          </w:rPr>
                                        </m:ctrlPr>
                                      </m:e>
                                      <m:sub>
                                        <m:r>
                                          <w:rPr>
                                            <w:rStyle w:val="mord"/>
                                            <w:rFonts w:ascii="Cambria Math" w:hAnsi="Cambria Math" w:cs="Arial"/>
                                            <w:sz w:val="24"/>
                                            <w:szCs w:val="24"/>
                                          </w:rPr>
                                          <m:t>i</m:t>
                                        </m:r>
                                      </m:sub>
                                    </m:sSub>
                                    <m:r>
                                      <w:rPr>
                                        <w:rStyle w:val="vlist-s"/>
                                        <w:rFonts w:ascii="Cambria Math" w:hAnsi="Cambria Math" w:cs="Arial"/>
                                        <w:sz w:val="24"/>
                                        <w:szCs w:val="24"/>
                                      </w:rPr>
                                      <m:t>​</m:t>
                                    </m:r>
                                    <m:ctrlPr>
                                      <w:rPr>
                                        <w:rStyle w:val="mclose"/>
                                        <w:rFonts w:ascii="Cambria Math" w:hAnsi="Cambria Math" w:cs="Arial"/>
                                        <w:i/>
                                        <w:sz w:val="24"/>
                                        <w:szCs w:val="24"/>
                                      </w:rPr>
                                    </m:ctrlPr>
                                  </m:e>
                                </m:d>
                                <m:ctrlPr>
                                  <w:rPr>
                                    <w:rFonts w:ascii="Cambria Math" w:eastAsia="Arial Unicode MS" w:hAnsi="Cambria Math" w:cs="Arial"/>
                                    <w:i/>
                                    <w:sz w:val="24"/>
                                    <w:szCs w:val="24"/>
                                  </w:rPr>
                                </m:ctrlPr>
                              </m:e>
                              <m:sup>
                                <m:r>
                                  <w:rPr>
                                    <w:rStyle w:val="mord"/>
                                    <w:rFonts w:ascii="Cambria Math" w:hAnsi="Cambria Math" w:cs="Arial"/>
                                    <w:sz w:val="24"/>
                                    <w:szCs w:val="24"/>
                                  </w:rPr>
                                  <m:t>2</m:t>
                                </m:r>
                              </m:sup>
                            </m:sSup>
                            <m:ctrlPr>
                              <w:rPr>
                                <w:rFonts w:ascii="Cambria Math" w:eastAsia="Arial Unicode MS" w:hAnsi="Cambria Math" w:cs="Arial"/>
                                <w:i/>
                                <w:sz w:val="24"/>
                                <w:szCs w:val="24"/>
                              </w:rPr>
                            </m:ctrlPr>
                          </m:num>
                          <m:den>
                            <m:sSub>
                              <m:sSubPr>
                                <m:ctrlPr>
                                  <w:rPr>
                                    <w:rStyle w:val="mord"/>
                                    <w:rFonts w:ascii="Cambria Math" w:hAnsi="Cambria Math" w:cs="Arial"/>
                                    <w:i/>
                                    <w:sz w:val="24"/>
                                    <w:szCs w:val="24"/>
                                  </w:rPr>
                                </m:ctrlPr>
                              </m:sSubPr>
                              <m:e>
                                <m:r>
                                  <w:rPr>
                                    <w:rStyle w:val="mord"/>
                                    <w:rFonts w:ascii="Cambria Math" w:hAnsi="Cambria Math" w:cs="Arial"/>
                                    <w:sz w:val="24"/>
                                    <w:szCs w:val="24"/>
                                  </w:rPr>
                                  <m:t>E</m:t>
                                </m:r>
                                <m:ctrlPr>
                                  <w:rPr>
                                    <w:rStyle w:val="vlist-s"/>
                                    <w:rFonts w:ascii="Cambria Math" w:hAnsi="Cambria Math" w:cs="Arial"/>
                                    <w:i/>
                                    <w:sz w:val="24"/>
                                    <w:szCs w:val="24"/>
                                  </w:rPr>
                                </m:ctrlPr>
                              </m:e>
                              <m:sub>
                                <m:r>
                                  <w:rPr>
                                    <w:rStyle w:val="mord"/>
                                    <w:rFonts w:ascii="Cambria Math" w:hAnsi="Cambria Math" w:cs="Arial"/>
                                    <w:sz w:val="24"/>
                                    <w:szCs w:val="24"/>
                                  </w:rPr>
                                  <m:t>i</m:t>
                                </m:r>
                              </m:sub>
                            </m:sSub>
                            <m:r>
                              <m:rPr>
                                <m:sty m:val="p"/>
                              </m:rPr>
                              <w:rPr>
                                <w:rStyle w:val="vlist-s"/>
                                <w:rFonts w:ascii="Cambria Math" w:hAnsi="Cambria Math" w:cs="Arial"/>
                                <w:sz w:val="24"/>
                                <w:szCs w:val="24"/>
                              </w:rPr>
                              <m:t>​</m:t>
                            </m:r>
                            <m:r>
                              <w:rPr>
                                <w:rFonts w:ascii="Cambria Math" w:eastAsia="Arial Unicode MS" w:hAnsi="Cambria Math" w:cs="Arial"/>
                                <w:sz w:val="24"/>
                                <w:szCs w:val="24"/>
                              </w:rPr>
                              <m:t>​</m:t>
                            </m:r>
                          </m:den>
                        </m:f>
                      </m:e>
                    </m:nary>
                  </m:e>
                </m:d>
              </m:oMath>
            </m:oMathPara>
          </w:p>
          <w:p w14:paraId="16D2F9B3" w14:textId="77777777" w:rsidR="00380C53" w:rsidRPr="00492DC0" w:rsidRDefault="00380C53" w:rsidP="00492DC0">
            <w:pPr>
              <w:rPr>
                <w:rFonts w:ascii="Arial" w:eastAsia="Times New Roman" w:hAnsi="Arial" w:cs="Arial"/>
                <w:sz w:val="24"/>
                <w:szCs w:val="24"/>
              </w:rPr>
            </w:pPr>
          </w:p>
        </w:tc>
        <w:tc>
          <w:tcPr>
            <w:tcW w:w="0" w:type="auto"/>
            <w:hideMark/>
          </w:tcPr>
          <w:p w14:paraId="36C20F83"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sz w:val="24"/>
                <w:szCs w:val="24"/>
              </w:rPr>
              <w:t>Compares AI-powered phishing severity against traditional phishing.</w:t>
            </w:r>
          </w:p>
        </w:tc>
      </w:tr>
      <w:tr w:rsidR="00380C53" w:rsidRPr="00492DC0" w14:paraId="38FA4F73" w14:textId="77777777" w:rsidTr="00492DC0">
        <w:tc>
          <w:tcPr>
            <w:tcW w:w="0" w:type="auto"/>
            <w:hideMark/>
          </w:tcPr>
          <w:p w14:paraId="3880B2F8"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b/>
                <w:bCs/>
                <w:sz w:val="24"/>
                <w:szCs w:val="24"/>
              </w:rPr>
              <w:t>Logistic Regression</w:t>
            </w:r>
          </w:p>
        </w:tc>
        <w:tc>
          <w:tcPr>
            <w:tcW w:w="0" w:type="auto"/>
          </w:tcPr>
          <w:p w14:paraId="3C5E9342" w14:textId="77777777" w:rsidR="00380C53" w:rsidRPr="00492DC0" w:rsidRDefault="00380C53" w:rsidP="00492DC0">
            <w:pPr>
              <w:rPr>
                <w:rFonts w:ascii="Arial" w:eastAsia="Times New Roman" w:hAnsi="Arial" w:cs="Arial"/>
                <w:sz w:val="24"/>
                <w:szCs w:val="24"/>
              </w:rPr>
            </w:pPr>
            <m:oMathPara>
              <m:oMath>
                <m:r>
                  <m:rPr>
                    <m:sty m:val="b"/>
                  </m:rPr>
                  <w:rPr>
                    <w:rStyle w:val="mop"/>
                    <w:rFonts w:ascii="Cambria Math" w:hAnsi="Cambria Math" w:cs="Arial"/>
                    <w:sz w:val="24"/>
                    <w:szCs w:val="24"/>
                  </w:rPr>
                  <m:t>og</m:t>
                </m:r>
                <m:d>
                  <m:dPr>
                    <m:ctrlPr>
                      <w:rPr>
                        <w:rStyle w:val="mop"/>
                        <w:rFonts w:ascii="Cambria Math" w:hAnsi="Cambria Math" w:cs="Arial"/>
                        <w:sz w:val="24"/>
                        <w:szCs w:val="24"/>
                      </w:rPr>
                    </m:ctrlPr>
                  </m:dPr>
                  <m:e>
                    <m:f>
                      <m:fPr>
                        <m:ctrlPr>
                          <w:rPr>
                            <w:rStyle w:val="mop"/>
                            <w:rFonts w:ascii="Cambria Math" w:hAnsi="Cambria Math" w:cs="Arial"/>
                            <w:sz w:val="24"/>
                            <w:szCs w:val="24"/>
                          </w:rPr>
                        </m:ctrlPr>
                      </m:fPr>
                      <m:num>
                        <m:r>
                          <m:rPr>
                            <m:sty m:val="p"/>
                          </m:rPr>
                          <w:rPr>
                            <w:rStyle w:val="mop"/>
                            <w:rFonts w:ascii="Cambria Math" w:hAnsi="Cambria Math" w:cs="Arial"/>
                            <w:sz w:val="24"/>
                            <w:szCs w:val="24"/>
                          </w:rPr>
                          <m:t>Y</m:t>
                        </m:r>
                      </m:num>
                      <m:den>
                        <m:d>
                          <m:dPr>
                            <m:ctrlPr>
                              <w:rPr>
                                <w:rStyle w:val="delimsizing"/>
                                <w:rFonts w:ascii="Cambria Math" w:hAnsi="Cambria Math" w:cs="Arial"/>
                                <w:sz w:val="24"/>
                                <w:szCs w:val="24"/>
                              </w:rPr>
                            </m:ctrlPr>
                          </m:dPr>
                          <m:e>
                            <m:r>
                              <m:rPr>
                                <m:sty m:val="p"/>
                              </m:rPr>
                              <w:rPr>
                                <w:rStyle w:val="mord"/>
                                <w:rFonts w:ascii="Cambria Math" w:hAnsi="Cambria Math" w:cs="Arial"/>
                                <w:sz w:val="24"/>
                                <w:szCs w:val="24"/>
                              </w:rPr>
                              <m:t>1</m:t>
                            </m:r>
                            <m:r>
                              <m:rPr>
                                <m:sty m:val="p"/>
                              </m:rPr>
                              <w:rPr>
                                <w:rStyle w:val="mbin"/>
                                <w:rFonts w:ascii="Cambria Math" w:hAnsi="Cambria Math" w:cs="Arial"/>
                                <w:sz w:val="24"/>
                                <w:szCs w:val="24"/>
                              </w:rPr>
                              <m:t>-</m:t>
                            </m:r>
                            <m:r>
                              <m:rPr>
                                <m:sty m:val="p"/>
                              </m:rPr>
                              <w:rPr>
                                <w:rStyle w:val="mord"/>
                                <w:rFonts w:ascii="Cambria Math" w:hAnsi="Cambria Math" w:cs="Arial"/>
                                <w:sz w:val="24"/>
                                <w:szCs w:val="24"/>
                              </w:rPr>
                              <m:t>Y</m:t>
                            </m:r>
                            <m:r>
                              <m:rPr>
                                <m:sty m:val="p"/>
                              </m:rPr>
                              <w:rPr>
                                <w:rStyle w:val="vlist-s"/>
                                <w:rFonts w:ascii="Cambria Math" w:hAnsi="Cambria Math" w:cs="Arial"/>
                                <w:sz w:val="24"/>
                                <w:szCs w:val="24"/>
                              </w:rPr>
                              <m:t>​</m:t>
                            </m:r>
                          </m:e>
                        </m:d>
                      </m:den>
                    </m:f>
                    <m:ctrlPr>
                      <w:rPr>
                        <w:rStyle w:val="mrel"/>
                        <w:rFonts w:ascii="Cambria Math" w:hAnsi="Cambria Math" w:cs="Arial"/>
                        <w:sz w:val="24"/>
                        <w:szCs w:val="24"/>
                      </w:rPr>
                    </m:ctrlPr>
                  </m:e>
                </m:d>
                <m:r>
                  <m:rPr>
                    <m:sty m:val="p"/>
                  </m:rPr>
                  <w:rPr>
                    <w:rStyle w:val="mrel"/>
                    <w:rFonts w:ascii="Cambria Math" w:hAnsi="Cambria Math" w:cs="Arial"/>
                    <w:sz w:val="24"/>
                    <w:szCs w:val="24"/>
                  </w:rPr>
                  <m:t>=</m:t>
                </m:r>
                <m:r>
                  <m:rPr>
                    <m:sty m:val="p"/>
                  </m:rPr>
                  <w:rPr>
                    <w:rStyle w:val="mord"/>
                    <w:rFonts w:ascii="Cambria Math" w:hAnsi="Cambria Math" w:cs="Arial"/>
                    <w:sz w:val="24"/>
                    <w:szCs w:val="24"/>
                  </w:rPr>
                  <m:t>α</m:t>
                </m:r>
                <m:r>
                  <m:rPr>
                    <m:sty m:val="p"/>
                  </m:rPr>
                  <w:rPr>
                    <w:rStyle w:val="mbin"/>
                    <w:rFonts w:ascii="Cambria Math" w:hAnsi="Cambria Math" w:cs="Arial"/>
                    <w:sz w:val="24"/>
                    <w:szCs w:val="24"/>
                  </w:rPr>
                  <m:t>+</m:t>
                </m:r>
                <m:sSub>
                  <m:sSubPr>
                    <m:ctrlPr>
                      <w:rPr>
                        <w:rStyle w:val="mord"/>
                        <w:rFonts w:ascii="Cambria Math" w:hAnsi="Cambria Math" w:cs="Arial"/>
                        <w:sz w:val="24"/>
                        <w:szCs w:val="24"/>
                      </w:rPr>
                    </m:ctrlPr>
                  </m:sSubPr>
                  <m:e>
                    <m:r>
                      <m:rPr>
                        <m:sty m:val="p"/>
                      </m:rPr>
                      <w:rPr>
                        <w:rStyle w:val="mord"/>
                        <w:rFonts w:ascii="Cambria Math" w:hAnsi="Cambria Math" w:cs="Arial"/>
                        <w:sz w:val="24"/>
                        <w:szCs w:val="24"/>
                      </w:rPr>
                      <m:t>β</m:t>
                    </m:r>
                  </m:e>
                  <m:sub>
                    <m:r>
                      <m:rPr>
                        <m:sty m:val="p"/>
                      </m:rPr>
                      <w:rPr>
                        <w:rStyle w:val="mord"/>
                        <w:rFonts w:ascii="Cambria Math" w:hAnsi="Cambria Math" w:cs="Arial"/>
                        <w:sz w:val="24"/>
                        <w:szCs w:val="24"/>
                      </w:rPr>
                      <m:t>1</m:t>
                    </m:r>
                  </m:sub>
                </m:sSub>
                <m:r>
                  <m:rPr>
                    <m:sty m:val="p"/>
                  </m:rPr>
                  <w:rPr>
                    <w:rStyle w:val="vlist-s"/>
                    <w:rFonts w:ascii="Cambria Math" w:hAnsi="Cambria Math" w:cs="Arial"/>
                    <w:sz w:val="24"/>
                    <w:szCs w:val="24"/>
                  </w:rPr>
                  <m:t>​</m:t>
                </m:r>
                <m:sSub>
                  <m:sSubPr>
                    <m:ctrlPr>
                      <w:rPr>
                        <w:rStyle w:val="mord"/>
                        <w:rFonts w:ascii="Cambria Math" w:hAnsi="Cambria Math" w:cs="Arial"/>
                        <w:sz w:val="24"/>
                        <w:szCs w:val="24"/>
                      </w:rPr>
                    </m:ctrlPr>
                  </m:sSubPr>
                  <m:e>
                    <m:r>
                      <m:rPr>
                        <m:sty m:val="p"/>
                      </m:rPr>
                      <w:rPr>
                        <w:rStyle w:val="mord"/>
                        <w:rFonts w:ascii="Cambria Math" w:hAnsi="Cambria Math" w:cs="Arial"/>
                        <w:sz w:val="24"/>
                        <w:szCs w:val="24"/>
                      </w:rPr>
                      <m:t>X</m:t>
                    </m:r>
                  </m:e>
                  <m:sub>
                    <m:r>
                      <m:rPr>
                        <m:sty m:val="p"/>
                      </m:rPr>
                      <w:rPr>
                        <w:rStyle w:val="mord"/>
                        <w:rFonts w:ascii="Cambria Math" w:hAnsi="Cambria Math" w:cs="Arial"/>
                        <w:sz w:val="24"/>
                        <w:szCs w:val="24"/>
                      </w:rPr>
                      <m:t>1</m:t>
                    </m:r>
                  </m:sub>
                </m:sSub>
                <m:r>
                  <m:rPr>
                    <m:sty m:val="p"/>
                  </m:rPr>
                  <w:rPr>
                    <w:rStyle w:val="vlist-s"/>
                    <w:rFonts w:ascii="Cambria Math" w:hAnsi="Cambria Math" w:cs="Arial"/>
                    <w:sz w:val="24"/>
                    <w:szCs w:val="24"/>
                  </w:rPr>
                  <m:t>​</m:t>
                </m:r>
                <m:r>
                  <m:rPr>
                    <m:sty m:val="p"/>
                  </m:rPr>
                  <w:rPr>
                    <w:rStyle w:val="mbin"/>
                    <w:rFonts w:ascii="Cambria Math" w:hAnsi="Cambria Math" w:cs="Arial"/>
                    <w:sz w:val="24"/>
                    <w:szCs w:val="24"/>
                  </w:rPr>
                  <m:t>+</m:t>
                </m:r>
                <m:sSub>
                  <m:sSubPr>
                    <m:ctrlPr>
                      <w:rPr>
                        <w:rStyle w:val="mord"/>
                        <w:rFonts w:ascii="Cambria Math" w:hAnsi="Cambria Math" w:cs="Arial"/>
                        <w:sz w:val="24"/>
                        <w:szCs w:val="24"/>
                      </w:rPr>
                    </m:ctrlPr>
                  </m:sSubPr>
                  <m:e>
                    <m:r>
                      <m:rPr>
                        <m:sty m:val="p"/>
                      </m:rPr>
                      <w:rPr>
                        <w:rStyle w:val="mord"/>
                        <w:rFonts w:ascii="Cambria Math" w:hAnsi="Cambria Math" w:cs="Arial"/>
                        <w:sz w:val="24"/>
                        <w:szCs w:val="24"/>
                      </w:rPr>
                      <m:t>β</m:t>
                    </m:r>
                  </m:e>
                  <m:sub>
                    <m:r>
                      <m:rPr>
                        <m:sty m:val="p"/>
                      </m:rPr>
                      <w:rPr>
                        <w:rStyle w:val="mord"/>
                        <w:rFonts w:ascii="Cambria Math" w:hAnsi="Cambria Math" w:cs="Arial"/>
                        <w:sz w:val="24"/>
                        <w:szCs w:val="24"/>
                      </w:rPr>
                      <m:t>2</m:t>
                    </m:r>
                  </m:sub>
                </m:sSub>
                <m:r>
                  <m:rPr>
                    <m:sty m:val="p"/>
                  </m:rPr>
                  <w:rPr>
                    <w:rStyle w:val="vlist-s"/>
                    <w:rFonts w:ascii="Cambria Math" w:hAnsi="Cambria Math" w:cs="Arial"/>
                    <w:sz w:val="24"/>
                    <w:szCs w:val="24"/>
                  </w:rPr>
                  <m:t>​</m:t>
                </m:r>
                <m:sSub>
                  <m:sSubPr>
                    <m:ctrlPr>
                      <w:rPr>
                        <w:rStyle w:val="mord"/>
                        <w:rFonts w:ascii="Cambria Math" w:hAnsi="Cambria Math" w:cs="Arial"/>
                        <w:sz w:val="24"/>
                        <w:szCs w:val="24"/>
                      </w:rPr>
                    </m:ctrlPr>
                  </m:sSubPr>
                  <m:e>
                    <m:r>
                      <m:rPr>
                        <m:sty m:val="p"/>
                      </m:rPr>
                      <w:rPr>
                        <w:rStyle w:val="mord"/>
                        <w:rFonts w:ascii="Cambria Math" w:hAnsi="Cambria Math" w:cs="Arial"/>
                        <w:sz w:val="24"/>
                        <w:szCs w:val="24"/>
                      </w:rPr>
                      <m:t>X</m:t>
                    </m:r>
                  </m:e>
                  <m:sub>
                    <m:r>
                      <m:rPr>
                        <m:sty m:val="p"/>
                      </m:rPr>
                      <w:rPr>
                        <w:rStyle w:val="mord"/>
                        <w:rFonts w:ascii="Cambria Math" w:hAnsi="Cambria Math" w:cs="Arial"/>
                        <w:sz w:val="24"/>
                        <w:szCs w:val="24"/>
                      </w:rPr>
                      <m:t>2</m:t>
                    </m:r>
                  </m:sub>
                </m:sSub>
                <m:r>
                  <m:rPr>
                    <m:sty m:val="p"/>
                  </m:rPr>
                  <w:rPr>
                    <w:rStyle w:val="vlist-s"/>
                    <w:rFonts w:ascii="Cambria Math" w:hAnsi="Cambria Math" w:cs="Arial"/>
                    <w:sz w:val="24"/>
                    <w:szCs w:val="24"/>
                  </w:rPr>
                  <m:t>​</m:t>
                </m:r>
                <m:r>
                  <m:rPr>
                    <m:sty m:val="p"/>
                  </m:rPr>
                  <w:rPr>
                    <w:rStyle w:val="mbin"/>
                    <w:rFonts w:ascii="Cambria Math" w:hAnsi="Cambria Math" w:cs="Arial"/>
                    <w:sz w:val="24"/>
                    <w:szCs w:val="24"/>
                  </w:rPr>
                  <m:t>+</m:t>
                </m:r>
                <m:sSub>
                  <m:sSubPr>
                    <m:ctrlPr>
                      <w:rPr>
                        <w:rStyle w:val="mord"/>
                        <w:rFonts w:ascii="Cambria Math" w:hAnsi="Cambria Math" w:cs="Arial"/>
                        <w:sz w:val="24"/>
                        <w:szCs w:val="24"/>
                      </w:rPr>
                    </m:ctrlPr>
                  </m:sSubPr>
                  <m:e>
                    <m:r>
                      <m:rPr>
                        <m:sty m:val="p"/>
                      </m:rPr>
                      <w:rPr>
                        <w:rStyle w:val="mord"/>
                        <w:rFonts w:ascii="Cambria Math" w:hAnsi="Cambria Math" w:cs="Arial"/>
                        <w:sz w:val="24"/>
                        <w:szCs w:val="24"/>
                      </w:rPr>
                      <m:t>β</m:t>
                    </m:r>
                  </m:e>
                  <m:sub>
                    <m:r>
                      <m:rPr>
                        <m:sty m:val="p"/>
                      </m:rPr>
                      <w:rPr>
                        <w:rStyle w:val="mord"/>
                        <w:rFonts w:ascii="Cambria Math" w:hAnsi="Cambria Math" w:cs="Arial"/>
                        <w:sz w:val="24"/>
                        <w:szCs w:val="24"/>
                      </w:rPr>
                      <m:t>3</m:t>
                    </m:r>
                  </m:sub>
                </m:sSub>
                <m:r>
                  <m:rPr>
                    <m:sty m:val="p"/>
                  </m:rPr>
                  <w:rPr>
                    <w:rStyle w:val="vlist-s"/>
                    <w:rFonts w:ascii="Cambria Math" w:hAnsi="Cambria Math" w:cs="Arial"/>
                    <w:sz w:val="24"/>
                    <w:szCs w:val="24"/>
                  </w:rPr>
                  <m:t>​</m:t>
                </m:r>
                <m:sSub>
                  <m:sSubPr>
                    <m:ctrlPr>
                      <w:rPr>
                        <w:rStyle w:val="mord"/>
                        <w:rFonts w:ascii="Cambria Math" w:hAnsi="Cambria Math" w:cs="Arial"/>
                        <w:sz w:val="24"/>
                        <w:szCs w:val="24"/>
                      </w:rPr>
                    </m:ctrlPr>
                  </m:sSubPr>
                  <m:e>
                    <m:r>
                      <m:rPr>
                        <m:sty m:val="p"/>
                      </m:rPr>
                      <w:rPr>
                        <w:rStyle w:val="mord"/>
                        <w:rFonts w:ascii="Cambria Math" w:hAnsi="Cambria Math" w:cs="Arial"/>
                        <w:sz w:val="24"/>
                        <w:szCs w:val="24"/>
                      </w:rPr>
                      <m:t>X</m:t>
                    </m:r>
                  </m:e>
                  <m:sub>
                    <m:r>
                      <m:rPr>
                        <m:sty m:val="p"/>
                      </m:rPr>
                      <w:rPr>
                        <w:rStyle w:val="mord"/>
                        <w:rFonts w:ascii="Cambria Math" w:hAnsi="Cambria Math" w:cs="Arial"/>
                        <w:sz w:val="24"/>
                        <w:szCs w:val="24"/>
                      </w:rPr>
                      <m:t>3</m:t>
                    </m:r>
                  </m:sub>
                </m:sSub>
                <m:r>
                  <m:rPr>
                    <m:sty m:val="p"/>
                  </m:rPr>
                  <w:rPr>
                    <w:rStyle w:val="vlist-s"/>
                    <w:rFonts w:ascii="Cambria Math" w:hAnsi="Cambria Math" w:cs="Arial"/>
                    <w:sz w:val="24"/>
                    <w:szCs w:val="24"/>
                  </w:rPr>
                  <m:t>​</m:t>
                </m:r>
                <m:r>
                  <m:rPr>
                    <m:sty m:val="p"/>
                  </m:rPr>
                  <w:rPr>
                    <w:rStyle w:val="mbin"/>
                    <w:rFonts w:ascii="Cambria Math" w:hAnsi="Cambria Math" w:cs="Arial"/>
                    <w:sz w:val="24"/>
                    <w:szCs w:val="24"/>
                  </w:rPr>
                  <m:t>+</m:t>
                </m:r>
                <m:r>
                  <m:rPr>
                    <m:sty m:val="p"/>
                  </m:rPr>
                  <w:rPr>
                    <w:rStyle w:val="mord"/>
                    <w:rFonts w:ascii="Cambria Math" w:hAnsi="Cambria Math" w:cs="Arial"/>
                    <w:sz w:val="24"/>
                    <w:szCs w:val="24"/>
                  </w:rPr>
                  <m:t>ε</m:t>
                </m:r>
              </m:oMath>
            </m:oMathPara>
          </w:p>
        </w:tc>
        <w:tc>
          <w:tcPr>
            <w:tcW w:w="0" w:type="auto"/>
            <w:hideMark/>
          </w:tcPr>
          <w:p w14:paraId="1344298A"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sz w:val="24"/>
                <w:szCs w:val="24"/>
              </w:rPr>
              <w:t>Predicts authentication failure probability based on breach characteristics.</w:t>
            </w:r>
          </w:p>
        </w:tc>
      </w:tr>
      <w:tr w:rsidR="00380C53" w:rsidRPr="00492DC0" w14:paraId="26B6DD79" w14:textId="77777777" w:rsidTr="00492DC0">
        <w:tc>
          <w:tcPr>
            <w:tcW w:w="0" w:type="auto"/>
            <w:hideMark/>
          </w:tcPr>
          <w:p w14:paraId="75C6D115"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b/>
                <w:bCs/>
                <w:sz w:val="24"/>
                <w:szCs w:val="24"/>
              </w:rPr>
              <w:t>ANOVA</w:t>
            </w:r>
          </w:p>
        </w:tc>
        <w:tc>
          <w:tcPr>
            <w:tcW w:w="0" w:type="auto"/>
            <w:hideMark/>
          </w:tcPr>
          <w:p w14:paraId="674FF874" w14:textId="77777777" w:rsidR="00380C53" w:rsidRPr="00492DC0" w:rsidRDefault="005F104C" w:rsidP="00492DC0">
            <w:pPr>
              <w:rPr>
                <w:rFonts w:ascii="Arial" w:eastAsia="Times New Roman" w:hAnsi="Arial" w:cs="Arial"/>
                <w:sz w:val="24"/>
                <w:szCs w:val="24"/>
              </w:rPr>
            </w:pPr>
            <m:oMathPara>
              <m:oMath>
                <m:sSub>
                  <m:sSubPr>
                    <m:ctrlPr>
                      <w:rPr>
                        <w:rStyle w:val="mord"/>
                        <w:rFonts w:ascii="Cambria Math" w:hAnsi="Cambria Math" w:cs="Arial"/>
                        <w:sz w:val="24"/>
                        <w:szCs w:val="24"/>
                      </w:rPr>
                    </m:ctrlPr>
                  </m:sSubPr>
                  <m:e>
                    <m:r>
                      <m:rPr>
                        <m:sty m:val="b"/>
                      </m:rPr>
                      <w:rPr>
                        <w:rStyle w:val="mord"/>
                        <w:rFonts w:ascii="Cambria Math" w:hAnsi="Cambria Math" w:cs="Arial"/>
                        <w:sz w:val="24"/>
                        <w:szCs w:val="24"/>
                      </w:rPr>
                      <m:t>Y</m:t>
                    </m:r>
                  </m:e>
                  <m:sub>
                    <m:r>
                      <m:rPr>
                        <m:sty m:val="b"/>
                      </m:rPr>
                      <w:rPr>
                        <w:rStyle w:val="mord"/>
                        <w:rFonts w:ascii="Cambria Math" w:hAnsi="Cambria Math" w:cs="Arial"/>
                        <w:sz w:val="24"/>
                        <w:szCs w:val="24"/>
                      </w:rPr>
                      <m:t>ij</m:t>
                    </m:r>
                  </m:sub>
                </m:sSub>
                <m:r>
                  <m:rPr>
                    <m:sty m:val="b"/>
                  </m:rPr>
                  <w:rPr>
                    <w:rStyle w:val="vlist-s"/>
                    <w:rFonts w:ascii="Cambria Math" w:hAnsi="Cambria Math" w:cs="Arial"/>
                    <w:sz w:val="24"/>
                    <w:szCs w:val="24"/>
                  </w:rPr>
                  <m:t>​</m:t>
                </m:r>
                <m:r>
                  <m:rPr>
                    <m:sty m:val="p"/>
                  </m:rPr>
                  <w:rPr>
                    <w:rStyle w:val="mrel"/>
                    <w:rFonts w:ascii="Cambria Math" w:hAnsi="Cambria Math" w:cs="Arial"/>
                    <w:sz w:val="24"/>
                    <w:szCs w:val="24"/>
                  </w:rPr>
                  <m:t>=</m:t>
                </m:r>
                <m:r>
                  <m:rPr>
                    <m:sty m:val="b"/>
                  </m:rPr>
                  <w:rPr>
                    <w:rStyle w:val="mord"/>
                    <w:rFonts w:ascii="Cambria Math" w:hAnsi="Cambria Math" w:cs="Arial"/>
                    <w:sz w:val="24"/>
                    <w:szCs w:val="24"/>
                  </w:rPr>
                  <m:t>μ</m:t>
                </m:r>
                <m:r>
                  <m:rPr>
                    <m:sty m:val="p"/>
                  </m:rPr>
                  <w:rPr>
                    <w:rStyle w:val="mbin"/>
                    <w:rFonts w:ascii="Cambria Math" w:hAnsi="Cambria Math" w:cs="Arial"/>
                    <w:sz w:val="24"/>
                    <w:szCs w:val="24"/>
                  </w:rPr>
                  <m:t>+</m:t>
                </m:r>
                <m:sSub>
                  <m:sSubPr>
                    <m:ctrlPr>
                      <w:rPr>
                        <w:rStyle w:val="mord"/>
                        <w:rFonts w:ascii="Cambria Math" w:hAnsi="Cambria Math" w:cs="Arial"/>
                        <w:sz w:val="24"/>
                        <w:szCs w:val="24"/>
                      </w:rPr>
                    </m:ctrlPr>
                  </m:sSubPr>
                  <m:e>
                    <m:r>
                      <m:rPr>
                        <m:sty m:val="b"/>
                      </m:rPr>
                      <w:rPr>
                        <w:rStyle w:val="mord"/>
                        <w:rFonts w:ascii="Cambria Math" w:hAnsi="Cambria Math" w:cs="Arial"/>
                        <w:sz w:val="24"/>
                        <w:szCs w:val="24"/>
                      </w:rPr>
                      <m:t>τ</m:t>
                    </m:r>
                  </m:e>
                  <m:sub>
                    <m:r>
                      <m:rPr>
                        <m:sty m:val="b"/>
                      </m:rPr>
                      <w:rPr>
                        <w:rStyle w:val="mord"/>
                        <w:rFonts w:ascii="Cambria Math" w:hAnsi="Cambria Math" w:cs="Arial"/>
                        <w:sz w:val="24"/>
                        <w:szCs w:val="24"/>
                      </w:rPr>
                      <m:t>i</m:t>
                    </m:r>
                  </m:sub>
                </m:sSub>
                <m:r>
                  <m:rPr>
                    <m:sty m:val="b"/>
                  </m:rPr>
                  <w:rPr>
                    <w:rStyle w:val="vlist-s"/>
                    <w:rFonts w:ascii="Cambria Math" w:hAnsi="Cambria Math" w:cs="Arial"/>
                    <w:sz w:val="24"/>
                    <w:szCs w:val="24"/>
                  </w:rPr>
                  <m:t>​</m:t>
                </m:r>
                <m:r>
                  <m:rPr>
                    <m:sty m:val="p"/>
                  </m:rPr>
                  <w:rPr>
                    <w:rStyle w:val="mbin"/>
                    <w:rFonts w:ascii="Cambria Math" w:hAnsi="Cambria Math" w:cs="Arial"/>
                    <w:sz w:val="24"/>
                    <w:szCs w:val="24"/>
                  </w:rPr>
                  <m:t>+</m:t>
                </m:r>
                <m:sSub>
                  <m:sSubPr>
                    <m:ctrlPr>
                      <w:rPr>
                        <w:rStyle w:val="mord"/>
                        <w:rFonts w:ascii="Cambria Math" w:hAnsi="Cambria Math" w:cs="Arial"/>
                        <w:sz w:val="24"/>
                        <w:szCs w:val="24"/>
                      </w:rPr>
                    </m:ctrlPr>
                  </m:sSubPr>
                  <m:e>
                    <m:r>
                      <m:rPr>
                        <m:sty m:val="b"/>
                      </m:rPr>
                      <w:rPr>
                        <w:rStyle w:val="mord"/>
                        <w:rFonts w:ascii="Cambria Math" w:hAnsi="Cambria Math" w:cs="Arial"/>
                        <w:sz w:val="24"/>
                        <w:szCs w:val="24"/>
                      </w:rPr>
                      <m:t>ε</m:t>
                    </m:r>
                  </m:e>
                  <m:sub>
                    <m:r>
                      <m:rPr>
                        <m:sty m:val="b"/>
                      </m:rPr>
                      <w:rPr>
                        <w:rStyle w:val="mord"/>
                        <w:rFonts w:ascii="Cambria Math" w:hAnsi="Cambria Math" w:cs="Arial"/>
                        <w:sz w:val="24"/>
                        <w:szCs w:val="24"/>
                      </w:rPr>
                      <m:t>ij</m:t>
                    </m:r>
                  </m:sub>
                </m:sSub>
                <m:r>
                  <m:rPr>
                    <m:sty m:val="b"/>
                  </m:rPr>
                  <w:rPr>
                    <w:rStyle w:val="vlist-s"/>
                    <w:rFonts w:ascii="Cambria Math" w:hAnsi="Cambria Math" w:cs="Arial"/>
                    <w:sz w:val="24"/>
                    <w:szCs w:val="24"/>
                  </w:rPr>
                  <m:t>​</m:t>
                </m:r>
              </m:oMath>
            </m:oMathPara>
          </w:p>
        </w:tc>
        <w:tc>
          <w:tcPr>
            <w:tcW w:w="0" w:type="auto"/>
            <w:hideMark/>
          </w:tcPr>
          <w:p w14:paraId="01FB74A7"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sz w:val="24"/>
                <w:szCs w:val="24"/>
              </w:rPr>
              <w:t>Tests the effectiveness of different data privacy mechanisms in reducing breach costs.</w:t>
            </w:r>
          </w:p>
        </w:tc>
      </w:tr>
      <w:tr w:rsidR="00380C53" w:rsidRPr="00492DC0" w14:paraId="20E9F805" w14:textId="77777777" w:rsidTr="00492DC0">
        <w:tc>
          <w:tcPr>
            <w:tcW w:w="0" w:type="auto"/>
            <w:hideMark/>
          </w:tcPr>
          <w:p w14:paraId="505B2447"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b/>
                <w:bCs/>
                <w:sz w:val="24"/>
                <w:szCs w:val="24"/>
              </w:rPr>
              <w:t>Random Forest Classification</w:t>
            </w:r>
          </w:p>
        </w:tc>
        <w:tc>
          <w:tcPr>
            <w:tcW w:w="0" w:type="auto"/>
          </w:tcPr>
          <w:p w14:paraId="538BA6E9" w14:textId="77777777" w:rsidR="00380C53" w:rsidRPr="00492DC0" w:rsidRDefault="00380C53" w:rsidP="00492DC0">
            <w:pPr>
              <w:rPr>
                <w:rFonts w:ascii="Arial" w:eastAsia="Times New Roman" w:hAnsi="Arial" w:cs="Arial"/>
                <w:sz w:val="24"/>
                <w:szCs w:val="24"/>
              </w:rPr>
            </w:pPr>
            <m:oMathPara>
              <m:oMath>
                <m:r>
                  <m:rPr>
                    <m:sty m:val="b"/>
                  </m:rPr>
                  <w:rPr>
                    <w:rStyle w:val="mord"/>
                    <w:rFonts w:ascii="Cambria Math" w:hAnsi="Cambria Math" w:cs="Arial"/>
                    <w:sz w:val="24"/>
                    <w:szCs w:val="24"/>
                  </w:rPr>
                  <m:t>P</m:t>
                </m:r>
                <m:d>
                  <m:dPr>
                    <m:ctrlPr>
                      <w:rPr>
                        <w:rStyle w:val="mopen"/>
                        <w:rFonts w:ascii="Cambria Math" w:hAnsi="Cambria Math" w:cs="Arial"/>
                        <w:sz w:val="24"/>
                        <w:szCs w:val="24"/>
                      </w:rPr>
                    </m:ctrlPr>
                  </m:dPr>
                  <m:e>
                    <m:r>
                      <m:rPr>
                        <m:sty m:val="b"/>
                      </m:rPr>
                      <w:rPr>
                        <w:rStyle w:val="mord"/>
                        <w:rFonts w:ascii="Cambria Math" w:hAnsi="Cambria Math" w:cs="Arial"/>
                        <w:sz w:val="24"/>
                        <w:szCs w:val="24"/>
                      </w:rPr>
                      <m:t>Y</m:t>
                    </m:r>
                    <m:ctrlPr>
                      <w:rPr>
                        <w:rStyle w:val="mclose"/>
                        <w:rFonts w:ascii="Cambria Math" w:hAnsi="Cambria Math" w:cs="Arial"/>
                        <w:sz w:val="24"/>
                        <w:szCs w:val="24"/>
                      </w:rPr>
                    </m:ctrlPr>
                  </m:e>
                </m:d>
                <m:r>
                  <m:rPr>
                    <m:sty m:val="p"/>
                  </m:rPr>
                  <w:rPr>
                    <w:rStyle w:val="mrel"/>
                    <w:rFonts w:ascii="Cambria Math" w:hAnsi="Cambria Math" w:cs="Arial"/>
                    <w:sz w:val="24"/>
                    <w:szCs w:val="24"/>
                  </w:rPr>
                  <m:t>=</m:t>
                </m:r>
                <m:f>
                  <m:fPr>
                    <m:ctrlPr>
                      <w:rPr>
                        <w:rStyle w:val="mord"/>
                        <w:rFonts w:ascii="Cambria Math" w:hAnsi="Cambria Math" w:cs="Arial"/>
                        <w:sz w:val="24"/>
                        <w:szCs w:val="24"/>
                      </w:rPr>
                    </m:ctrlPr>
                  </m:fPr>
                  <m:num>
                    <m:r>
                      <m:rPr>
                        <m:sty m:val="b"/>
                      </m:rPr>
                      <w:rPr>
                        <w:rStyle w:val="mord"/>
                        <w:rFonts w:ascii="Cambria Math" w:hAnsi="Cambria Math" w:cs="Arial"/>
                        <w:sz w:val="24"/>
                        <w:szCs w:val="24"/>
                      </w:rPr>
                      <m:t>1</m:t>
                    </m:r>
                  </m:num>
                  <m:den>
                    <m:r>
                      <m:rPr>
                        <m:sty m:val="b"/>
                      </m:rPr>
                      <w:rPr>
                        <w:rStyle w:val="mord"/>
                        <w:rFonts w:ascii="Cambria Math" w:hAnsi="Cambria Math" w:cs="Arial"/>
                        <w:sz w:val="24"/>
                        <w:szCs w:val="24"/>
                      </w:rPr>
                      <m:t>K</m:t>
                    </m:r>
                  </m:den>
                </m:f>
                <m:r>
                  <m:rPr>
                    <m:sty m:val="p"/>
                  </m:rPr>
                  <w:rPr>
                    <w:rStyle w:val="vlist-s"/>
                    <w:rFonts w:ascii="Cambria Math" w:hAnsi="Cambria Math" w:cs="Arial"/>
                    <w:sz w:val="24"/>
                    <w:szCs w:val="24"/>
                  </w:rPr>
                  <m:t>​</m:t>
                </m:r>
                <m:nary>
                  <m:naryPr>
                    <m:chr m:val="∑"/>
                    <m:limLoc m:val="subSup"/>
                    <m:ctrlPr>
                      <w:rPr>
                        <w:rStyle w:val="vlist-s"/>
                        <w:rFonts w:ascii="Cambria Math" w:hAnsi="Cambria Math" w:cs="Arial"/>
                        <w:sz w:val="24"/>
                        <w:szCs w:val="24"/>
                      </w:rPr>
                    </m:ctrlPr>
                  </m:naryPr>
                  <m:sub>
                    <m:r>
                      <w:rPr>
                        <w:rStyle w:val="vlist-s"/>
                        <w:rFonts w:ascii="Cambria Math" w:hAnsi="Cambria Math" w:cs="Arial"/>
                        <w:sz w:val="24"/>
                        <w:szCs w:val="24"/>
                      </w:rPr>
                      <m:t>k=1</m:t>
                    </m:r>
                  </m:sub>
                  <m:sup>
                    <m:r>
                      <w:rPr>
                        <w:rStyle w:val="vlist-s"/>
                        <w:rFonts w:ascii="Cambria Math" w:hAnsi="Cambria Math" w:cs="Arial"/>
                        <w:sz w:val="24"/>
                        <w:szCs w:val="24"/>
                      </w:rPr>
                      <m:t>K</m:t>
                    </m:r>
                  </m:sup>
                  <m:e>
                    <m:r>
                      <m:rPr>
                        <m:sty m:val="p"/>
                      </m:rPr>
                      <w:rPr>
                        <w:rStyle w:val="vlist-s"/>
                        <w:rFonts w:ascii="Cambria Math" w:hAnsi="Cambria Math" w:cs="Arial"/>
                        <w:sz w:val="24"/>
                        <w:szCs w:val="24"/>
                      </w:rPr>
                      <m:t>​</m:t>
                    </m:r>
                    <m:sSub>
                      <m:sSubPr>
                        <m:ctrlPr>
                          <w:rPr>
                            <w:rStyle w:val="mord"/>
                            <w:rFonts w:ascii="Cambria Math" w:hAnsi="Cambria Math" w:cs="Arial"/>
                            <w:sz w:val="24"/>
                            <w:szCs w:val="24"/>
                          </w:rPr>
                        </m:ctrlPr>
                      </m:sSubPr>
                      <m:e>
                        <m:r>
                          <m:rPr>
                            <m:sty m:val="b"/>
                          </m:rPr>
                          <w:rPr>
                            <w:rStyle w:val="mord"/>
                            <w:rFonts w:ascii="Cambria Math" w:hAnsi="Cambria Math" w:cs="Arial"/>
                            <w:sz w:val="24"/>
                            <w:szCs w:val="24"/>
                          </w:rPr>
                          <m:t>T</m:t>
                        </m:r>
                      </m:e>
                      <m:sub>
                        <m:r>
                          <m:rPr>
                            <m:sty m:val="b"/>
                          </m:rPr>
                          <w:rPr>
                            <w:rStyle w:val="mord"/>
                            <w:rFonts w:ascii="Cambria Math" w:hAnsi="Cambria Math" w:cs="Arial"/>
                            <w:sz w:val="24"/>
                            <w:szCs w:val="24"/>
                          </w:rPr>
                          <m:t>k</m:t>
                        </m:r>
                      </m:sub>
                    </m:sSub>
                    <m:r>
                      <m:rPr>
                        <m:sty m:val="p"/>
                      </m:rPr>
                      <w:rPr>
                        <w:rStyle w:val="vlist-s"/>
                        <w:rFonts w:ascii="Cambria Math" w:hAnsi="Cambria Math" w:cs="Arial"/>
                        <w:sz w:val="24"/>
                        <w:szCs w:val="24"/>
                      </w:rPr>
                      <m:t>​</m:t>
                    </m:r>
                    <m:d>
                      <m:dPr>
                        <m:ctrlPr>
                          <w:rPr>
                            <w:rStyle w:val="mopen"/>
                            <w:rFonts w:ascii="Cambria Math" w:hAnsi="Cambria Math" w:cs="Arial"/>
                            <w:sz w:val="24"/>
                            <w:szCs w:val="24"/>
                          </w:rPr>
                        </m:ctrlPr>
                      </m:dPr>
                      <m:e>
                        <m:r>
                          <m:rPr>
                            <m:sty m:val="b"/>
                          </m:rPr>
                          <w:rPr>
                            <w:rStyle w:val="mord"/>
                            <w:rFonts w:ascii="Cambria Math" w:hAnsi="Cambria Math" w:cs="Arial"/>
                            <w:sz w:val="24"/>
                            <w:szCs w:val="24"/>
                          </w:rPr>
                          <m:t>X</m:t>
                        </m:r>
                        <m:ctrlPr>
                          <w:rPr>
                            <w:rStyle w:val="mclose"/>
                            <w:rFonts w:ascii="Cambria Math" w:hAnsi="Cambria Math" w:cs="Arial"/>
                            <w:sz w:val="24"/>
                            <w:szCs w:val="24"/>
                          </w:rPr>
                        </m:ctrlPr>
                      </m:e>
                    </m:d>
                  </m:e>
                </m:nary>
              </m:oMath>
            </m:oMathPara>
          </w:p>
        </w:tc>
        <w:tc>
          <w:tcPr>
            <w:tcW w:w="0" w:type="auto"/>
            <w:hideMark/>
          </w:tcPr>
          <w:p w14:paraId="2F8F20CC" w14:textId="77777777" w:rsidR="00380C53" w:rsidRPr="00492DC0" w:rsidRDefault="00356EA6" w:rsidP="00356EA6">
            <w:pPr>
              <w:rPr>
                <w:rFonts w:ascii="Arial" w:eastAsia="Times New Roman" w:hAnsi="Arial" w:cs="Arial"/>
                <w:sz w:val="24"/>
                <w:szCs w:val="24"/>
              </w:rPr>
            </w:pPr>
            <w:r>
              <w:rPr>
                <w:rFonts w:ascii="Arial" w:eastAsia="Times New Roman" w:hAnsi="Arial" w:cs="Arial"/>
                <w:sz w:val="24"/>
                <w:szCs w:val="24"/>
              </w:rPr>
              <w:t xml:space="preserve">Evaluate </w:t>
            </w:r>
            <w:r w:rsidR="00380C53" w:rsidRPr="00492DC0">
              <w:rPr>
                <w:rFonts w:ascii="Arial" w:eastAsia="Times New Roman" w:hAnsi="Arial" w:cs="Arial"/>
                <w:sz w:val="24"/>
                <w:szCs w:val="24"/>
              </w:rPr>
              <w:t>AI-driven phishing detection system effectiveness.</w:t>
            </w:r>
          </w:p>
        </w:tc>
      </w:tr>
      <w:tr w:rsidR="00380C53" w:rsidRPr="00492DC0" w14:paraId="06F70CEF" w14:textId="77777777" w:rsidTr="00492DC0">
        <w:trPr>
          <w:trHeight w:val="1052"/>
        </w:trPr>
        <w:tc>
          <w:tcPr>
            <w:tcW w:w="0" w:type="auto"/>
            <w:hideMark/>
          </w:tcPr>
          <w:p w14:paraId="4ADC9D59"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b/>
                <w:bCs/>
                <w:sz w:val="24"/>
                <w:szCs w:val="24"/>
              </w:rPr>
              <w:t>F1-Score</w:t>
            </w:r>
          </w:p>
        </w:tc>
        <w:tc>
          <w:tcPr>
            <w:tcW w:w="0" w:type="auto"/>
            <w:hideMark/>
          </w:tcPr>
          <w:p w14:paraId="0C8D4EC1" w14:textId="77777777" w:rsidR="00380C53" w:rsidRPr="00492DC0" w:rsidRDefault="00380C53" w:rsidP="00492DC0">
            <w:pPr>
              <w:rPr>
                <w:rFonts w:ascii="Arial" w:eastAsia="Times New Roman" w:hAnsi="Arial" w:cs="Arial"/>
                <w:sz w:val="24"/>
                <w:szCs w:val="24"/>
              </w:rPr>
            </w:pPr>
            <m:oMathPara>
              <m:oMath>
                <m:r>
                  <w:rPr>
                    <w:rFonts w:ascii="Cambria Math" w:eastAsia="Times New Roman" w:hAnsi="Cambria Math" w:cs="Arial"/>
                    <w:sz w:val="24"/>
                    <w:szCs w:val="24"/>
                  </w:rPr>
                  <m:t>F1-score=2×</m:t>
                </m:r>
                <m:d>
                  <m:dPr>
                    <m:ctrlPr>
                      <w:rPr>
                        <w:rFonts w:ascii="Cambria Math" w:eastAsia="Times New Roman" w:hAnsi="Cambria Math" w:cs="Arial"/>
                        <w:i/>
                        <w:sz w:val="24"/>
                        <w:szCs w:val="24"/>
                      </w:rPr>
                    </m:ctrlPr>
                  </m:dPr>
                  <m:e>
                    <m:f>
                      <m:fPr>
                        <m:ctrlPr>
                          <w:rPr>
                            <w:rFonts w:ascii="Cambria Math" w:eastAsia="Times New Roman" w:hAnsi="Cambria Math" w:cs="Arial"/>
                            <w:i/>
                            <w:sz w:val="24"/>
                            <w:szCs w:val="24"/>
                          </w:rPr>
                        </m:ctrlPr>
                      </m:fPr>
                      <m:num>
                        <m:r>
                          <w:rPr>
                            <w:rFonts w:ascii="Cambria Math" w:eastAsia="Times New Roman" w:hAnsi="Cambria Math" w:cs="Arial"/>
                            <w:sz w:val="24"/>
                            <w:szCs w:val="24"/>
                          </w:rPr>
                          <m:t>Precision×Recall</m:t>
                        </m:r>
                      </m:num>
                      <m:den>
                        <m:r>
                          <w:rPr>
                            <w:rFonts w:ascii="Cambria Math" w:eastAsia="Times New Roman" w:hAnsi="Cambria Math" w:cs="Arial"/>
                            <w:sz w:val="24"/>
                            <w:szCs w:val="24"/>
                          </w:rPr>
                          <m:t>Precision+Recall</m:t>
                        </m:r>
                      </m:den>
                    </m:f>
                  </m:e>
                </m:d>
              </m:oMath>
            </m:oMathPara>
          </w:p>
        </w:tc>
        <w:tc>
          <w:tcPr>
            <w:tcW w:w="0" w:type="auto"/>
            <w:hideMark/>
          </w:tcPr>
          <w:p w14:paraId="2412F96A"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sz w:val="24"/>
                <w:szCs w:val="24"/>
              </w:rPr>
              <w:t>Measures the balance between precision and recall in phishing detection.</w:t>
            </w:r>
          </w:p>
        </w:tc>
      </w:tr>
    </w:tbl>
    <w:p w14:paraId="4EB7F3DB" w14:textId="77777777" w:rsidR="00492DC0" w:rsidRDefault="00492DC0">
      <w:pPr>
        <w:spacing w:before="160" w:after="160"/>
        <w:rPr>
          <w:rFonts w:eastAsia="Times New Roman"/>
          <w:b/>
          <w:color w:val="0D0D0D"/>
          <w:sz w:val="24"/>
          <w:szCs w:val="24"/>
          <w:highlight w:val="white"/>
        </w:rPr>
      </w:pPr>
    </w:p>
    <w:p w14:paraId="0212F9E5" w14:textId="77777777" w:rsidR="00C91EC2" w:rsidRPr="00492DC0" w:rsidRDefault="00492DC0">
      <w:pPr>
        <w:spacing w:before="160" w:after="160"/>
        <w:rPr>
          <w:rFonts w:eastAsia="Times New Roman"/>
          <w:b/>
          <w:color w:val="0D0D0D"/>
          <w:sz w:val="24"/>
          <w:szCs w:val="24"/>
          <w:highlight w:val="white"/>
        </w:rPr>
      </w:pPr>
      <w:r>
        <w:rPr>
          <w:rFonts w:eastAsia="Times New Roman"/>
          <w:b/>
          <w:color w:val="0D0D0D"/>
          <w:sz w:val="24"/>
          <w:szCs w:val="24"/>
          <w:highlight w:val="white"/>
        </w:rPr>
        <w:t>4.</w:t>
      </w:r>
      <w:r>
        <w:rPr>
          <w:rFonts w:eastAsia="Times New Roman"/>
          <w:b/>
          <w:color w:val="0D0D0D"/>
          <w:sz w:val="24"/>
          <w:szCs w:val="24"/>
          <w:highlight w:val="white"/>
        </w:rPr>
        <w:tab/>
        <w:t>Results and Discussion</w:t>
      </w:r>
    </w:p>
    <w:p w14:paraId="2D0977CC" w14:textId="77777777" w:rsidR="00C91EC2" w:rsidRPr="00492DC0" w:rsidRDefault="0000391E">
      <w:pPr>
        <w:spacing w:before="160" w:after="160"/>
        <w:rPr>
          <w:rFonts w:eastAsia="Times New Roman"/>
          <w:color w:val="0D0D0D"/>
          <w:sz w:val="24"/>
          <w:szCs w:val="24"/>
          <w:highlight w:val="white"/>
        </w:rPr>
      </w:pPr>
      <w:bookmarkStart w:id="10" w:name="_rm3wzrycnc3d" w:colFirst="0" w:colLast="0"/>
      <w:bookmarkEnd w:id="10"/>
      <w:r w:rsidRPr="00492DC0">
        <w:rPr>
          <w:rFonts w:eastAsia="Times New Roman"/>
          <w:color w:val="0D0D0D"/>
          <w:sz w:val="24"/>
          <w:szCs w:val="24"/>
          <w:highlight w:val="white"/>
        </w:rPr>
        <w:t>The statistical evaluation of phishing-related healthcare data breaches from 2019 to 2024 reveals a sharp increase in AI-driven phishing incidents, particularly in the last three years. The frequency of these attacks, coupled with their growing sophistication, has led to an escalation in the number of compromised patient records and financial losses.</w:t>
      </w:r>
    </w:p>
    <w:p w14:paraId="5F458A0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 trend analysis (Figure 1) demonstrates that AI-driven phishing attacks have surpassed traditional phishing methods in breach frequency and severity. The volume of patient records exposed through AI-enhanced attacks has increased by over 60% since 2021, while traditional phishing breaches have seen only moderate fluctuations. This aligns with reports indicating that AI-generated phishing schemes are more convincing, harder to detect, and often bypass conventional security measures.</w:t>
      </w:r>
    </w:p>
    <w:p w14:paraId="09CD12E0"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1" w:name="_d6dj4r3iuahp" w:colFirst="0" w:colLast="0"/>
      <w:bookmarkEnd w:id="11"/>
      <w:r w:rsidRPr="00492DC0">
        <w:rPr>
          <w:rFonts w:eastAsia="Times New Roman"/>
          <w:color w:val="0D0D0D"/>
          <w:sz w:val="24"/>
          <w:szCs w:val="24"/>
          <w:highlight w:val="white"/>
        </w:rPr>
        <w:t>Table 2. Summary of Phishing-Related Breaches (2019-2024)</w:t>
      </w:r>
    </w:p>
    <w:tbl>
      <w:tblPr>
        <w:tblStyle w:val="a0"/>
        <w:tblW w:w="7225" w:type="dxa"/>
        <w:tblBorders>
          <w:top w:val="nil"/>
          <w:left w:val="nil"/>
          <w:bottom w:val="nil"/>
          <w:right w:val="nil"/>
          <w:insideH w:val="nil"/>
          <w:insideV w:val="nil"/>
        </w:tblBorders>
        <w:tblLayout w:type="fixed"/>
        <w:tblLook w:val="0600" w:firstRow="0" w:lastRow="0" w:firstColumn="0" w:lastColumn="0" w:noHBand="1" w:noVBand="1"/>
      </w:tblPr>
      <w:tblGrid>
        <w:gridCol w:w="980"/>
        <w:gridCol w:w="1620"/>
        <w:gridCol w:w="1620"/>
        <w:gridCol w:w="1530"/>
        <w:gridCol w:w="1475"/>
      </w:tblGrid>
      <w:tr w:rsidR="00C91EC2" w:rsidRPr="00492DC0" w14:paraId="79EB8F70"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9D72C"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Year</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06483"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Phishing Type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CD1E8"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Breach Frequency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D5C5E"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Affected Individuals</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D46A2"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Financial Impact ($M)</w:t>
            </w:r>
          </w:p>
        </w:tc>
      </w:tr>
      <w:tr w:rsidR="00C91EC2" w:rsidRPr="00492DC0" w14:paraId="74884913"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AACA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lastRenderedPageBreak/>
              <w:t>2019</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EF65C1"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Traditional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F6F1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120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56DE3"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150,000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5A7E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25.4</w:t>
            </w:r>
          </w:p>
        </w:tc>
      </w:tr>
      <w:tr w:rsidR="00C91EC2" w:rsidRPr="00492DC0" w14:paraId="557B660B"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8423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2019</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1B3AA"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AI-Powered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65F9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80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F089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180,000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95AC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32.1</w:t>
            </w:r>
          </w:p>
        </w:tc>
      </w:tr>
      <w:tr w:rsidR="00C91EC2" w:rsidRPr="00492DC0" w14:paraId="36553A91"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69C38"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2020</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40395"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Traditional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A530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140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11774"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210,000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D8F0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36.7</w:t>
            </w:r>
          </w:p>
        </w:tc>
      </w:tr>
      <w:tr w:rsidR="00C91EC2" w:rsidRPr="00492DC0" w14:paraId="7BA67571"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48E8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2020</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D110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AI-Powered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261A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110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91B1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250,000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1DA0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48.9</w:t>
            </w:r>
          </w:p>
        </w:tc>
      </w:tr>
      <w:tr w:rsidR="00C91EC2" w:rsidRPr="00492DC0" w14:paraId="187149A8"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F458A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2021</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9C80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Traditional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B615A"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135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284FF"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190,000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5198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30.3</w:t>
            </w:r>
          </w:p>
        </w:tc>
      </w:tr>
      <w:tr w:rsidR="00C91EC2" w:rsidRPr="00492DC0" w14:paraId="35B000F5"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35DF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2021</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7AAF5"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AI-Powered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672F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145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622A8"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320,000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C839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55.6</w:t>
            </w:r>
          </w:p>
        </w:tc>
      </w:tr>
      <w:tr w:rsidR="00C91EC2" w:rsidRPr="00492DC0" w14:paraId="42EC3068"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18215"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8399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Traditional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7420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125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C17E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180,000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CBB5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28.7</w:t>
            </w:r>
          </w:p>
        </w:tc>
      </w:tr>
      <w:tr w:rsidR="00C91EC2" w:rsidRPr="00492DC0" w14:paraId="6802C745"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9CEE8"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3A545"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AI-Powered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8462B"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190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8D45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400,000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7A71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72.4</w:t>
            </w:r>
          </w:p>
        </w:tc>
      </w:tr>
      <w:tr w:rsidR="00C91EC2" w:rsidRPr="00492DC0" w14:paraId="55EF390E"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383B3"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2023</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0378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Traditional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E22A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110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47C38"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170,000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E4D7B"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26.1</w:t>
            </w:r>
          </w:p>
        </w:tc>
      </w:tr>
      <w:tr w:rsidR="00C91EC2" w:rsidRPr="00492DC0" w14:paraId="73E27CE0"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CB1F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2023</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42F71"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AI-Powered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CCC4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210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6A66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460,000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A7DA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88.3</w:t>
            </w:r>
          </w:p>
        </w:tc>
      </w:tr>
      <w:tr w:rsidR="00C91EC2" w:rsidRPr="00492DC0" w14:paraId="718BC77C"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D931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09A9F"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Traditional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8814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95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37CFF"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160,000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F091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23.5</w:t>
            </w:r>
          </w:p>
        </w:tc>
      </w:tr>
      <w:tr w:rsidR="00C91EC2" w:rsidRPr="00492DC0" w14:paraId="6319B8FF"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0D8F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lastRenderedPageBreak/>
              <w:t>2024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0F59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AI-Powered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B7F7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230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60D1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490,000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1E84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102.7</w:t>
            </w:r>
          </w:p>
        </w:tc>
      </w:tr>
    </w:tbl>
    <w:p w14:paraId="6CDB0578"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As shown in Table 2, AI-powered phishing attacks have demonstrated a substantial year-over-year increase in breach frequency, directly correlating with the rising financial impact on healthcare organizations. While traditional phishing breaches have gradually declined, AI-driven attacks now account for a majority of large-scale security incidents.</w:t>
      </w:r>
    </w:p>
    <w:p w14:paraId="296DCFF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Further statistical testing using a Chi-Square analysis confirms a significant relationship (p &lt; 0.001) between phishing type and breach severity. This reinforces the premise that AI-driven phishing attacks are not only more frequent but also more damaging in terms of the number of affected individuals and financial losses incurred.</w:t>
      </w:r>
    </w:p>
    <w:p w14:paraId="74CF3A6C"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drawing>
          <wp:inline distT="114300" distB="114300" distL="114300" distR="114300" wp14:anchorId="56387A43" wp14:editId="4FB73282">
            <wp:extent cx="4022136" cy="3255214"/>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4022136" cy="3255214"/>
                    </a:xfrm>
                    <a:prstGeom prst="rect">
                      <a:avLst/>
                    </a:prstGeom>
                    <a:ln/>
                  </pic:spPr>
                </pic:pic>
              </a:graphicData>
            </a:graphic>
          </wp:inline>
        </w:drawing>
      </w:r>
    </w:p>
    <w:p w14:paraId="4D013453"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2" w:name="_9e4sdcegxdio" w:colFirst="0" w:colLast="0"/>
      <w:bookmarkEnd w:id="12"/>
      <w:r w:rsidRPr="00492DC0">
        <w:rPr>
          <w:rFonts w:eastAsia="Times New Roman"/>
          <w:color w:val="0D0D0D"/>
          <w:sz w:val="24"/>
          <w:szCs w:val="24"/>
          <w:highlight w:val="white"/>
        </w:rPr>
        <w:t>Figure 1. Radial Column Chart Depicting AI vs. Traditional Phishing Breach Frequency (2019-2024)</w:t>
      </w:r>
    </w:p>
    <w:p w14:paraId="42412DF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visualization in Figure 1 provides an alternative view of breach frequency trends, illustrating the steady decline of traditional phishing attacks in contrast with the sharp rise of AI-driven phishing breaches. This further supports the argument that AI-enhanced cyber threats are rapidly reshaping the security landscape in telemedicine.</w:t>
      </w:r>
    </w:p>
    <w:p w14:paraId="598E3AF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Another key insight is the increasing adaptability of AI-powered phishing schemes, as evidenced by the growing number of breaches involving credential theft, </w:t>
      </w:r>
      <w:proofErr w:type="spellStart"/>
      <w:r w:rsidRPr="00492DC0">
        <w:rPr>
          <w:rFonts w:eastAsia="Times New Roman"/>
          <w:color w:val="0D0D0D"/>
          <w:sz w:val="24"/>
          <w:szCs w:val="24"/>
          <w:highlight w:val="white"/>
        </w:rPr>
        <w:t>deepfake</w:t>
      </w:r>
      <w:proofErr w:type="spellEnd"/>
      <w:r w:rsidRPr="00492DC0">
        <w:rPr>
          <w:rFonts w:eastAsia="Times New Roman"/>
          <w:color w:val="0D0D0D"/>
          <w:sz w:val="24"/>
          <w:szCs w:val="24"/>
          <w:highlight w:val="white"/>
        </w:rPr>
        <w:t xml:space="preserve"> impersonation, and automated phishing bots. Stream Graph analysis (Figure 2) reveals </w:t>
      </w:r>
      <w:r w:rsidRPr="00492DC0">
        <w:rPr>
          <w:rFonts w:eastAsia="Times New Roman"/>
          <w:color w:val="0D0D0D"/>
          <w:sz w:val="24"/>
          <w:szCs w:val="24"/>
          <w:highlight w:val="white"/>
        </w:rPr>
        <w:lastRenderedPageBreak/>
        <w:t>a notable surge in AI-driven attacks affecting a larger number of individuals, particularly from 2021 onward.</w:t>
      </w:r>
    </w:p>
    <w:p w14:paraId="40782F4E"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drawing>
          <wp:inline distT="114300" distB="114300" distL="114300" distR="114300" wp14:anchorId="42197AB8" wp14:editId="6685C859">
            <wp:extent cx="4683257" cy="2714499"/>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683257" cy="2714499"/>
                    </a:xfrm>
                    <a:prstGeom prst="rect">
                      <a:avLst/>
                    </a:prstGeom>
                    <a:ln/>
                  </pic:spPr>
                </pic:pic>
              </a:graphicData>
            </a:graphic>
          </wp:inline>
        </w:drawing>
      </w:r>
    </w:p>
    <w:p w14:paraId="5DBB918F"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3" w:name="_k9at5psucz3q" w:colFirst="0" w:colLast="0"/>
      <w:bookmarkEnd w:id="13"/>
      <w:r w:rsidRPr="00492DC0">
        <w:rPr>
          <w:rFonts w:eastAsia="Times New Roman"/>
          <w:color w:val="0D0D0D"/>
          <w:sz w:val="24"/>
          <w:szCs w:val="24"/>
          <w:highlight w:val="white"/>
        </w:rPr>
        <w:t>Figure 2. Stream Graph Showing Growth in Affected Individuals (2019-2024)</w:t>
      </w:r>
    </w:p>
    <w:p w14:paraId="7FCC0D1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The results in Figure 2 illustrate a dramatic rise in the number of individuals affected by AI-driven phishing attacks. Between 2020 and 2024, the affected population increased by nearly 300%, </w:t>
      </w:r>
      <w:proofErr w:type="spellStart"/>
      <w:r w:rsidRPr="00492DC0">
        <w:rPr>
          <w:rFonts w:eastAsia="Times New Roman"/>
          <w:color w:val="0D0D0D"/>
          <w:sz w:val="24"/>
          <w:szCs w:val="24"/>
          <w:highlight w:val="white"/>
        </w:rPr>
        <w:t>signaling</w:t>
      </w:r>
      <w:proofErr w:type="spellEnd"/>
      <w:r w:rsidRPr="00492DC0">
        <w:rPr>
          <w:rFonts w:eastAsia="Times New Roman"/>
          <w:color w:val="0D0D0D"/>
          <w:sz w:val="24"/>
          <w:szCs w:val="24"/>
          <w:highlight w:val="white"/>
        </w:rPr>
        <w:t xml:space="preserve"> a major security crisis in telemedicine. This trend aligns with existing cybersecurity reports highlighting the increasing sophistication of AI-powered phishing techniques, including highly targeted </w:t>
      </w:r>
      <w:proofErr w:type="spellStart"/>
      <w:r w:rsidRPr="00492DC0">
        <w:rPr>
          <w:rFonts w:eastAsia="Times New Roman"/>
          <w:color w:val="0D0D0D"/>
          <w:sz w:val="24"/>
          <w:szCs w:val="24"/>
          <w:highlight w:val="white"/>
        </w:rPr>
        <w:t>deepfake</w:t>
      </w:r>
      <w:proofErr w:type="spellEnd"/>
      <w:r w:rsidRPr="00492DC0">
        <w:rPr>
          <w:rFonts w:eastAsia="Times New Roman"/>
          <w:color w:val="0D0D0D"/>
          <w:sz w:val="24"/>
          <w:szCs w:val="24"/>
          <w:highlight w:val="white"/>
        </w:rPr>
        <w:t xml:space="preserve"> scams and real-time phishing as a service (</w:t>
      </w:r>
      <w:proofErr w:type="spellStart"/>
      <w:r w:rsidRPr="00492DC0">
        <w:rPr>
          <w:rFonts w:eastAsia="Times New Roman"/>
          <w:color w:val="0D0D0D"/>
          <w:sz w:val="24"/>
          <w:szCs w:val="24"/>
          <w:highlight w:val="white"/>
        </w:rPr>
        <w:t>PhaaS</w:t>
      </w:r>
      <w:proofErr w:type="spellEnd"/>
      <w:r w:rsidRPr="00492DC0">
        <w:rPr>
          <w:rFonts w:eastAsia="Times New Roman"/>
          <w:color w:val="0D0D0D"/>
          <w:sz w:val="24"/>
          <w:szCs w:val="24"/>
          <w:highlight w:val="white"/>
        </w:rPr>
        <w:t>) attacks.</w:t>
      </w:r>
    </w:p>
    <w:p w14:paraId="521E112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findings from this analysis suggest that AI-driven phishing is not only a growing cybersecurity challenge but also a significant public health risk</w:t>
      </w:r>
    </w:p>
    <w:p w14:paraId="6684E633"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14" w:name="_7rp5u01kwxrh" w:colFirst="0" w:colLast="0"/>
      <w:bookmarkEnd w:id="14"/>
      <w:r w:rsidRPr="00492DC0">
        <w:rPr>
          <w:rFonts w:eastAsia="Times New Roman"/>
          <w:b/>
          <w:color w:val="0D0D0D"/>
          <w:sz w:val="24"/>
          <w:szCs w:val="24"/>
          <w:highlight w:val="white"/>
        </w:rPr>
        <w:t>Improving Patient Data Privacy and Authentication Protocols Against AI-Powered Phishing Attacks in Telemedicine</w:t>
      </w:r>
    </w:p>
    <w:p w14:paraId="138014F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Telemedicine platforms rely on authentication protocols to secure patient data and prevent unauthorized access. However, AI-powered phishing techniques have exposed vulnerabilities in traditional authentication systems, allowing cybercriminals to bypass security measures through advanced social engineering tactics. The increasing sophistication of multi-factor authentication (MFA) bypass incidents, credential theft, and real-time phishing attacks necessitates an evaluation of authentication weaknesses in telemedicine. This section examines the effectiveness of existing authentication protocols and identifies critical vulnerabilities based on empirical data from authentication-based breaches.</w:t>
      </w:r>
    </w:p>
    <w:p w14:paraId="33B1D4F3"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lastRenderedPageBreak/>
        <w:t>A logistic regression analysis was conducted to assess the relationship between authentication failures and key risk factors, including phishing success rates, MFA bypass incidents, and credential theft cases. The results indicate that phishing success rates and credential theft have the strongest influence on authentication breaches, while MFA bypass incidents contribute to, but do not solely determine, breach probability.</w:t>
      </w:r>
    </w:p>
    <w:p w14:paraId="48433A1B"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5" w:name="_tvvm2oeyp6hu" w:colFirst="0" w:colLast="0"/>
      <w:bookmarkEnd w:id="15"/>
      <w:r w:rsidRPr="00492DC0">
        <w:rPr>
          <w:rFonts w:eastAsia="Times New Roman"/>
          <w:color w:val="0D0D0D"/>
          <w:sz w:val="24"/>
          <w:szCs w:val="24"/>
          <w:highlight w:val="white"/>
        </w:rPr>
        <w:t>Table 3. Logistic Regression Results for Authentication Breach Prediction</w:t>
      </w:r>
    </w:p>
    <w:tbl>
      <w:tblPr>
        <w:tblStyle w:val="a1"/>
        <w:tblW w:w="4130" w:type="dxa"/>
        <w:tblBorders>
          <w:top w:val="nil"/>
          <w:left w:val="nil"/>
          <w:bottom w:val="nil"/>
          <w:right w:val="nil"/>
          <w:insideH w:val="nil"/>
          <w:insideV w:val="nil"/>
        </w:tblBorders>
        <w:tblLayout w:type="fixed"/>
        <w:tblLook w:val="0600" w:firstRow="0" w:lastRow="0" w:firstColumn="0" w:lastColumn="0" w:noHBand="1" w:noVBand="1"/>
      </w:tblPr>
      <w:tblGrid>
        <w:gridCol w:w="2690"/>
        <w:gridCol w:w="1440"/>
      </w:tblGrid>
      <w:tr w:rsidR="00C91EC2" w:rsidRPr="00492DC0" w14:paraId="3FD07E45" w14:textId="77777777" w:rsidTr="00004EA2">
        <w:trPr>
          <w:trHeight w:val="410"/>
        </w:trPr>
        <w:tc>
          <w:tcPr>
            <w:tcW w:w="2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8F0C1"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Predictor</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8F8E1"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Coefficient</w:t>
            </w:r>
          </w:p>
        </w:tc>
      </w:tr>
      <w:tr w:rsidR="00C91EC2" w:rsidRPr="00492DC0" w14:paraId="5C6B164A" w14:textId="77777777" w:rsidTr="00004EA2">
        <w:trPr>
          <w:trHeight w:val="410"/>
        </w:trPr>
        <w:tc>
          <w:tcPr>
            <w:tcW w:w="2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8EF3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Phishing Success Rate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CE145"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1.42</w:t>
            </w:r>
          </w:p>
        </w:tc>
      </w:tr>
      <w:tr w:rsidR="00C91EC2" w:rsidRPr="00492DC0" w14:paraId="7292D233" w14:textId="77777777" w:rsidTr="00004EA2">
        <w:trPr>
          <w:trHeight w:val="410"/>
        </w:trPr>
        <w:tc>
          <w:tcPr>
            <w:tcW w:w="2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3096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MFA Bypass Incidents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C52D8"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0.87</w:t>
            </w:r>
          </w:p>
        </w:tc>
      </w:tr>
      <w:tr w:rsidR="00C91EC2" w:rsidRPr="00492DC0" w14:paraId="4295DCF8" w14:textId="77777777" w:rsidTr="00004EA2">
        <w:trPr>
          <w:trHeight w:val="410"/>
        </w:trPr>
        <w:tc>
          <w:tcPr>
            <w:tcW w:w="2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6F56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Credential Theft Cases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1221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1.75</w:t>
            </w:r>
          </w:p>
        </w:tc>
      </w:tr>
    </w:tbl>
    <w:p w14:paraId="0A4ADF4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coefficients in Table 3 suggest that credential theft cases have the highest impact on authentication breaches, followed closely by phishing success rates. This aligns with previous cybersecurity studies, which indicate that stolen credentials are a primary attack vector in telemedicine breaches. MFA bypass incidents, while still influential, exhibit a comparatively lower impact, suggesting that attackers combine MFA circumvention with credential theft for higher breach success rates.</w:t>
      </w:r>
    </w:p>
    <w:p w14:paraId="75655234"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 visual representation of the influence of these predictors is shown in Figure 3, where a circular heatmap illustrates the relative importance of each factor in breach occurrence. This visualization reinforces the conclusion that phishing success rates and credential theft significantly contribute to authentication failures.</w:t>
      </w:r>
    </w:p>
    <w:p w14:paraId="4B0F8ECC"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lastRenderedPageBreak/>
        <w:drawing>
          <wp:inline distT="114300" distB="114300" distL="114300" distR="114300" wp14:anchorId="3563E090" wp14:editId="53AAD32C">
            <wp:extent cx="3774790" cy="3632022"/>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774790" cy="3632022"/>
                    </a:xfrm>
                    <a:prstGeom prst="rect">
                      <a:avLst/>
                    </a:prstGeom>
                    <a:ln/>
                  </pic:spPr>
                </pic:pic>
              </a:graphicData>
            </a:graphic>
          </wp:inline>
        </w:drawing>
      </w:r>
    </w:p>
    <w:p w14:paraId="2EE61655"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6" w:name="_m9r5q0j2mgt" w:colFirst="0" w:colLast="0"/>
      <w:bookmarkEnd w:id="16"/>
      <w:r w:rsidRPr="00492DC0">
        <w:rPr>
          <w:rFonts w:eastAsia="Times New Roman"/>
          <w:color w:val="0D0D0D"/>
          <w:sz w:val="24"/>
          <w:szCs w:val="24"/>
          <w:highlight w:val="white"/>
        </w:rPr>
        <w:t>Figure 3. Circular Heatmap Depicting Regression Coefficients for Authentication Breach Predictors</w:t>
      </w:r>
    </w:p>
    <w:p w14:paraId="4BF375C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Further analysis of breach cases highlights a notable trend in authentication failures, particularly among organizations with weak credential management policies. The distribution of phishing success rates among breached and non-breached entities provides additional insight into the role of social engineering in authentication compromises.</w:t>
      </w:r>
    </w:p>
    <w:p w14:paraId="55F9FDED"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lastRenderedPageBreak/>
        <w:drawing>
          <wp:inline distT="114300" distB="114300" distL="114300" distR="114300" wp14:anchorId="5B74172C" wp14:editId="0FA9EB2C">
            <wp:extent cx="5102018" cy="314178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102018" cy="3141785"/>
                    </a:xfrm>
                    <a:prstGeom prst="rect">
                      <a:avLst/>
                    </a:prstGeom>
                    <a:ln/>
                  </pic:spPr>
                </pic:pic>
              </a:graphicData>
            </a:graphic>
          </wp:inline>
        </w:drawing>
      </w:r>
    </w:p>
    <w:p w14:paraId="728F547F"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7" w:name="_o4amqyq8cfdy" w:colFirst="0" w:colLast="0"/>
      <w:bookmarkEnd w:id="17"/>
      <w:r w:rsidRPr="00492DC0">
        <w:rPr>
          <w:rFonts w:eastAsia="Times New Roman"/>
          <w:color w:val="0D0D0D"/>
          <w:sz w:val="24"/>
          <w:szCs w:val="24"/>
          <w:highlight w:val="white"/>
        </w:rPr>
        <w:t xml:space="preserve">Figure 4. </w:t>
      </w:r>
      <w:proofErr w:type="spellStart"/>
      <w:r w:rsidRPr="00492DC0">
        <w:rPr>
          <w:rFonts w:eastAsia="Times New Roman"/>
          <w:color w:val="0D0D0D"/>
          <w:sz w:val="24"/>
          <w:szCs w:val="24"/>
          <w:highlight w:val="white"/>
        </w:rPr>
        <w:t>Beeswarm</w:t>
      </w:r>
      <w:proofErr w:type="spellEnd"/>
      <w:r w:rsidRPr="00492DC0">
        <w:rPr>
          <w:rFonts w:eastAsia="Times New Roman"/>
          <w:color w:val="0D0D0D"/>
          <w:sz w:val="24"/>
          <w:szCs w:val="24"/>
          <w:highlight w:val="white"/>
        </w:rPr>
        <w:t xml:space="preserve"> Plot Showing Distribution of Phishing Success Rate by Breach Occurrence</w:t>
      </w:r>
    </w:p>
    <w:p w14:paraId="7FA97F73"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In Figure 4, the clustering effect among breached entities demonstrates that higher phishing success rates strongly correlate with authentication failures. This finding underscores the urgent need for enhanced phishing detection mechanisms in telemedicine platforms. The visualization also illustrates the increasing prevalence of AI-powered phishing tactics, which exploit human trust and mimic legitimate communication channels to deceive users.</w:t>
      </w:r>
    </w:p>
    <w:p w14:paraId="248B4D9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findings from Table 3, Figure 3, and Figure 4 reinforce the growing consensus that telemedicine authentication systems are highly vulnerable to AI-driven phishing attacks.</w:t>
      </w:r>
    </w:p>
    <w:p w14:paraId="0F2CB2F0"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18" w:name="_a16zsc699tmj" w:colFirst="0" w:colLast="0"/>
      <w:bookmarkEnd w:id="18"/>
      <w:r w:rsidRPr="00492DC0">
        <w:rPr>
          <w:rFonts w:eastAsia="Times New Roman"/>
          <w:b/>
          <w:color w:val="0D0D0D"/>
          <w:sz w:val="24"/>
          <w:szCs w:val="24"/>
          <w:highlight w:val="white"/>
        </w:rPr>
        <w:t>Improving Patient Data Privacy and Authentication Protocols Against AI-Powered Phishing Attacks in Telemedicine</w:t>
      </w:r>
    </w:p>
    <w:p w14:paraId="40D9582F"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As telemedicine adoption expands, ensuring patient data privacy remains a critical concern, particularly in mitigating the impact of AI-powered phishing attacks. While authentication mechanisms aim to prevent unauthorized access, effective privacy strategies must safeguard patient information even in cases where security breaches occur. This section examines the role of privacy mechanisms—encryption, zero-trust security models, and blockchain-based authentication—in reducing breach-related financial losses and data exposure in telemedicine.</w:t>
      </w:r>
    </w:p>
    <w:p w14:paraId="6D18E95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A comparative cost analysis was conducted to assess the effectiveness of different data privacy mechanisms in minimizing breach-related damages. The analysis focused on </w:t>
      </w:r>
      <w:r w:rsidRPr="00492DC0">
        <w:rPr>
          <w:rFonts w:eastAsia="Times New Roman"/>
          <w:color w:val="0D0D0D"/>
          <w:sz w:val="24"/>
          <w:szCs w:val="24"/>
          <w:highlight w:val="white"/>
        </w:rPr>
        <w:lastRenderedPageBreak/>
        <w:t>financial losses incurred per breach, patient record exposure, and containment efficiency. Results indicate that stronger privacy frameworks significantly reduce the impact of phishing-related breaches, while organizations without advanced protection suffer the highest losses.</w:t>
      </w:r>
    </w:p>
    <w:p w14:paraId="6FBCF935"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9" w:name="_dat7bdjv2z63" w:colFirst="0" w:colLast="0"/>
      <w:bookmarkEnd w:id="19"/>
      <w:r w:rsidRPr="00492DC0">
        <w:rPr>
          <w:rFonts w:eastAsia="Times New Roman"/>
          <w:color w:val="0D0D0D"/>
          <w:sz w:val="24"/>
          <w:szCs w:val="24"/>
          <w:highlight w:val="white"/>
        </w:rPr>
        <w:t>Table 4. Financial Impact of Privacy Mechanisms in Telemedicine</w:t>
      </w:r>
    </w:p>
    <w:tbl>
      <w:tblPr>
        <w:tblStyle w:val="a2"/>
        <w:tblW w:w="5235" w:type="dxa"/>
        <w:tblBorders>
          <w:top w:val="nil"/>
          <w:left w:val="nil"/>
          <w:bottom w:val="nil"/>
          <w:right w:val="nil"/>
          <w:insideH w:val="nil"/>
          <w:insideV w:val="nil"/>
        </w:tblBorders>
        <w:tblLayout w:type="fixed"/>
        <w:tblLook w:val="0600" w:firstRow="0" w:lastRow="0" w:firstColumn="0" w:lastColumn="0" w:noHBand="1" w:noVBand="1"/>
      </w:tblPr>
      <w:tblGrid>
        <w:gridCol w:w="2000"/>
        <w:gridCol w:w="2000"/>
        <w:gridCol w:w="1235"/>
      </w:tblGrid>
      <w:tr w:rsidR="00C91EC2" w:rsidRPr="00492DC0" w14:paraId="113E1E00" w14:textId="77777777">
        <w:trPr>
          <w:trHeight w:val="410"/>
        </w:trPr>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16C73"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Privacy Strategy</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A5DE8"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Avg. Financial Loss ($M)</w:t>
            </w:r>
          </w:p>
        </w:tc>
        <w:tc>
          <w:tcPr>
            <w:tcW w:w="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156DD"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Std. Deviation</w:t>
            </w:r>
          </w:p>
        </w:tc>
      </w:tr>
      <w:tr w:rsidR="00C91EC2" w:rsidRPr="00492DC0" w14:paraId="58CEF839" w14:textId="77777777">
        <w:trPr>
          <w:trHeight w:val="410"/>
        </w:trPr>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1A4F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Encryption</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186B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5.0</w:t>
            </w:r>
          </w:p>
        </w:tc>
        <w:tc>
          <w:tcPr>
            <w:tcW w:w="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9A515"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1.5</w:t>
            </w:r>
          </w:p>
        </w:tc>
      </w:tr>
      <w:tr w:rsidR="00C91EC2" w:rsidRPr="00492DC0" w14:paraId="5EB42375" w14:textId="77777777">
        <w:trPr>
          <w:trHeight w:val="410"/>
        </w:trPr>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57FE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Zero-Trust Security</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932B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6.5</w:t>
            </w:r>
          </w:p>
        </w:tc>
        <w:tc>
          <w:tcPr>
            <w:tcW w:w="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B4FE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1.8</w:t>
            </w:r>
          </w:p>
        </w:tc>
      </w:tr>
      <w:tr w:rsidR="00C91EC2" w:rsidRPr="00492DC0" w14:paraId="43E3FE94" w14:textId="77777777">
        <w:trPr>
          <w:trHeight w:val="410"/>
        </w:trPr>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12C9A"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Blockchain Authentication</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8D56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4.5</w:t>
            </w:r>
          </w:p>
        </w:tc>
        <w:tc>
          <w:tcPr>
            <w:tcW w:w="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FB8D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1.2</w:t>
            </w:r>
          </w:p>
        </w:tc>
      </w:tr>
      <w:tr w:rsidR="00C91EC2" w:rsidRPr="00492DC0" w14:paraId="5797B199" w14:textId="77777777">
        <w:trPr>
          <w:trHeight w:val="410"/>
        </w:trPr>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A5D1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No Advanced Protection</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30A3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12.0</w:t>
            </w:r>
          </w:p>
        </w:tc>
        <w:tc>
          <w:tcPr>
            <w:tcW w:w="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B89F1"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3.0</w:t>
            </w:r>
          </w:p>
        </w:tc>
      </w:tr>
    </w:tbl>
    <w:p w14:paraId="71852C9F"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Table 4 highlights the disparity in financial losses based on the privacy strategy implemented. Blockchain authentication demonstrates the strongest protective effect, resulting in the lowest average financial losses ($4.5M per breach). Encryption follows closely, reducing losses to $5M per breach. Zero-trust security models offer moderate protection, while organizations with no advanced protection face the highest financial burden ($12M per breach).</w:t>
      </w:r>
    </w:p>
    <w:p w14:paraId="1D0DBB23"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 statistical comparison using ANOVA confirms that the differences in financial losses across privacy mechanisms are highly significant (p &lt; 0.001), reinforcing the necessity of robust privacy frameworks in telemedicine.</w:t>
      </w:r>
    </w:p>
    <w:p w14:paraId="32D0EC6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distribution of financial losses across different privacy strategies is further illustrated in Figure 5, which employs a violin density plot to visualize the spread of financial damages under each privacy model.</w:t>
      </w:r>
    </w:p>
    <w:p w14:paraId="140B1314"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lastRenderedPageBreak/>
        <w:drawing>
          <wp:inline distT="114300" distB="114300" distL="114300" distR="114300" wp14:anchorId="04AFB7F3" wp14:editId="6430AB42">
            <wp:extent cx="4137519" cy="2567609"/>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137519" cy="2567609"/>
                    </a:xfrm>
                    <a:prstGeom prst="rect">
                      <a:avLst/>
                    </a:prstGeom>
                    <a:ln/>
                  </pic:spPr>
                </pic:pic>
              </a:graphicData>
            </a:graphic>
          </wp:inline>
        </w:drawing>
      </w:r>
    </w:p>
    <w:p w14:paraId="07E794F3"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20" w:name="_ke86b29bggd1" w:colFirst="0" w:colLast="0"/>
      <w:bookmarkEnd w:id="20"/>
      <w:r w:rsidRPr="00492DC0">
        <w:rPr>
          <w:rFonts w:eastAsia="Times New Roman"/>
          <w:color w:val="0D0D0D"/>
          <w:sz w:val="24"/>
          <w:szCs w:val="24"/>
          <w:highlight w:val="white"/>
        </w:rPr>
        <w:t>Figure 5. Violin Density Plot Showing Distribution of Financial Losses by Privacy Strategy</w:t>
      </w:r>
    </w:p>
    <w:p w14:paraId="5A49E7F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As seen in Figure 5, the wide spread of financial losses for organizations without advanced privacy measures suggests a greater variability and unpredictability in breach impact. Conversely, blockchain authentication and encryption demonstrate tighter distributions, confirming their consistency in minimizing breach-related damages.</w:t>
      </w:r>
    </w:p>
    <w:p w14:paraId="6055100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Further, a parallel coordinates analysis (Figure 6) maps financial loss trends across privacy models, revealing a clear downward trajectory for organizations utilizing blockchain and encryption-based security frameworks.</w:t>
      </w:r>
    </w:p>
    <w:p w14:paraId="3A559F56"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drawing>
          <wp:inline distT="114300" distB="114300" distL="114300" distR="114300" wp14:anchorId="3A26F5D8" wp14:editId="03B22468">
            <wp:extent cx="4219808" cy="2280916"/>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219808" cy="2280916"/>
                    </a:xfrm>
                    <a:prstGeom prst="rect">
                      <a:avLst/>
                    </a:prstGeom>
                    <a:ln/>
                  </pic:spPr>
                </pic:pic>
              </a:graphicData>
            </a:graphic>
          </wp:inline>
        </w:drawing>
      </w:r>
    </w:p>
    <w:p w14:paraId="01CE6D34"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21" w:name="_lwd2owzaqdgv" w:colFirst="0" w:colLast="0"/>
      <w:bookmarkEnd w:id="21"/>
      <w:r w:rsidRPr="00492DC0">
        <w:rPr>
          <w:rFonts w:eastAsia="Times New Roman"/>
          <w:color w:val="0D0D0D"/>
          <w:sz w:val="24"/>
          <w:szCs w:val="24"/>
          <w:highlight w:val="white"/>
        </w:rPr>
        <w:t>Figure 6. Parallel Coordinates Plot Showing Financial Loss Trends by Privacy Strategy</w:t>
      </w:r>
    </w:p>
    <w:p w14:paraId="674017E4"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Figure 6 provides an additional perspective on how privacy mechanisms influence breach impact. The clear separation between unprotected organizations and those </w:t>
      </w:r>
      <w:r w:rsidRPr="00492DC0">
        <w:rPr>
          <w:rFonts w:eastAsia="Times New Roman"/>
          <w:color w:val="0D0D0D"/>
          <w:sz w:val="24"/>
          <w:szCs w:val="24"/>
          <w:highlight w:val="white"/>
        </w:rPr>
        <w:lastRenderedPageBreak/>
        <w:t>implementing encryption or blockchain-based solutions confirms the importance of integrating advanced data protection methods in telemedicine platforms.</w:t>
      </w:r>
    </w:p>
    <w:p w14:paraId="20E161EB"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22" w:name="_q182y71wlqkr" w:colFirst="0" w:colLast="0"/>
      <w:bookmarkEnd w:id="22"/>
      <w:r w:rsidRPr="00492DC0">
        <w:rPr>
          <w:rFonts w:eastAsia="Times New Roman"/>
          <w:b/>
          <w:color w:val="0D0D0D"/>
          <w:sz w:val="24"/>
          <w:szCs w:val="24"/>
          <w:highlight w:val="white"/>
        </w:rPr>
        <w:t>Improving Patient Data Privacy and Authentication Protocols Against AI-Powered Phishing Attacks in Telemedicine</w:t>
      </w:r>
    </w:p>
    <w:p w14:paraId="017647E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The increasing prevalence of AI-powered phishing attacks in telemedicine necessitates advanced detection mechanisms to identify and neutralize threats before they compromise patient data. Traditional phishing detection techniques often struggle to differentiate AI-generated phishing attempts from legitimate interactions. Consequently, AI-driven phishing detection systems have emerged as a crucial cybersecurity </w:t>
      </w:r>
      <w:proofErr w:type="spellStart"/>
      <w:r w:rsidRPr="00492DC0">
        <w:rPr>
          <w:rFonts w:eastAsia="Times New Roman"/>
          <w:color w:val="0D0D0D"/>
          <w:sz w:val="24"/>
          <w:szCs w:val="24"/>
          <w:highlight w:val="white"/>
        </w:rPr>
        <w:t>defense</w:t>
      </w:r>
      <w:proofErr w:type="spellEnd"/>
      <w:r w:rsidRPr="00492DC0">
        <w:rPr>
          <w:rFonts w:eastAsia="Times New Roman"/>
          <w:color w:val="0D0D0D"/>
          <w:sz w:val="24"/>
          <w:szCs w:val="24"/>
          <w:highlight w:val="white"/>
        </w:rPr>
        <w:t xml:space="preserve">, leveraging machine learning to </w:t>
      </w:r>
      <w:proofErr w:type="spellStart"/>
      <w:r w:rsidRPr="00492DC0">
        <w:rPr>
          <w:rFonts w:eastAsia="Times New Roman"/>
          <w:color w:val="0D0D0D"/>
          <w:sz w:val="24"/>
          <w:szCs w:val="24"/>
          <w:highlight w:val="white"/>
        </w:rPr>
        <w:t>analyze</w:t>
      </w:r>
      <w:proofErr w:type="spellEnd"/>
      <w:r w:rsidRPr="00492DC0">
        <w:rPr>
          <w:rFonts w:eastAsia="Times New Roman"/>
          <w:color w:val="0D0D0D"/>
          <w:sz w:val="24"/>
          <w:szCs w:val="24"/>
          <w:highlight w:val="white"/>
        </w:rPr>
        <w:t xml:space="preserve"> phishing patterns and improve detection accuracy. This section evaluates the feasibility and effectiveness of AI-driven phishing detection in telemedicine by assessing detection rates, false positives, and false negatives.</w:t>
      </w:r>
    </w:p>
    <w:p w14:paraId="31B1CA2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 machine learning-based classification analysis was conducted to measure the effectiveness of AI-driven phishing detection systems in differentiating between AI-enhanced and traditional phishing attacks. The results highlight significant improvements in detection accuracy, but also expose areas requiring further refinement.</w:t>
      </w:r>
    </w:p>
    <w:p w14:paraId="0CA51476"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23" w:name="_nwpz8bkqikyq" w:colFirst="0" w:colLast="0"/>
      <w:bookmarkEnd w:id="23"/>
      <w:r w:rsidRPr="00492DC0">
        <w:rPr>
          <w:rFonts w:eastAsia="Times New Roman"/>
          <w:color w:val="0D0D0D"/>
          <w:sz w:val="24"/>
          <w:szCs w:val="24"/>
          <w:highlight w:val="white"/>
        </w:rPr>
        <w:t>Table 5. AI-Powered Phishing Detection Performance Metrics</w:t>
      </w:r>
    </w:p>
    <w:tbl>
      <w:tblPr>
        <w:tblStyle w:val="a3"/>
        <w:tblW w:w="5271" w:type="dxa"/>
        <w:tblBorders>
          <w:top w:val="nil"/>
          <w:left w:val="nil"/>
          <w:bottom w:val="nil"/>
          <w:right w:val="nil"/>
          <w:insideH w:val="nil"/>
          <w:insideV w:val="nil"/>
        </w:tblBorders>
        <w:tblLayout w:type="fixed"/>
        <w:tblLook w:val="0600" w:firstRow="0" w:lastRow="0" w:firstColumn="0" w:lastColumn="0" w:noHBand="1" w:noVBand="1"/>
      </w:tblPr>
      <w:tblGrid>
        <w:gridCol w:w="3760"/>
        <w:gridCol w:w="1511"/>
      </w:tblGrid>
      <w:tr w:rsidR="00C91EC2" w:rsidRPr="00492DC0" w14:paraId="55B08F12" w14:textId="77777777" w:rsidTr="00004EA2">
        <w:trPr>
          <w:trHeight w:val="387"/>
        </w:trPr>
        <w:tc>
          <w:tcPr>
            <w:tcW w:w="3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EAD20"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Metric</w:t>
            </w:r>
          </w:p>
        </w:tc>
        <w:tc>
          <w:tcPr>
            <w:tcW w:w="1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473F0"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Value</w:t>
            </w:r>
          </w:p>
        </w:tc>
      </w:tr>
      <w:tr w:rsidR="00C91EC2" w:rsidRPr="00492DC0" w14:paraId="510CAB97" w14:textId="77777777" w:rsidTr="00004EA2">
        <w:trPr>
          <w:trHeight w:val="387"/>
        </w:trPr>
        <w:tc>
          <w:tcPr>
            <w:tcW w:w="3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D95AB"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Accuracy (%)</w:t>
            </w:r>
          </w:p>
        </w:tc>
        <w:tc>
          <w:tcPr>
            <w:tcW w:w="1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3A77A"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63.5</w:t>
            </w:r>
          </w:p>
        </w:tc>
      </w:tr>
      <w:tr w:rsidR="00C91EC2" w:rsidRPr="00492DC0" w14:paraId="2AF3EAA3" w14:textId="77777777" w:rsidTr="00004EA2">
        <w:trPr>
          <w:trHeight w:val="387"/>
        </w:trPr>
        <w:tc>
          <w:tcPr>
            <w:tcW w:w="3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FA98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Precision (Phishing)</w:t>
            </w:r>
          </w:p>
        </w:tc>
        <w:tc>
          <w:tcPr>
            <w:tcW w:w="1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6980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67.4</w:t>
            </w:r>
          </w:p>
        </w:tc>
      </w:tr>
      <w:tr w:rsidR="00C91EC2" w:rsidRPr="00492DC0" w14:paraId="5E0D6C41" w14:textId="77777777" w:rsidTr="00004EA2">
        <w:trPr>
          <w:trHeight w:val="387"/>
        </w:trPr>
        <w:tc>
          <w:tcPr>
            <w:tcW w:w="3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D46BB"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Recall (Phishing)</w:t>
            </w:r>
          </w:p>
        </w:tc>
        <w:tc>
          <w:tcPr>
            <w:tcW w:w="1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F53C4"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90.5</w:t>
            </w:r>
          </w:p>
        </w:tc>
      </w:tr>
      <w:tr w:rsidR="00C91EC2" w:rsidRPr="00492DC0" w14:paraId="6620C4DD" w14:textId="77777777" w:rsidTr="00004EA2">
        <w:trPr>
          <w:trHeight w:val="387"/>
        </w:trPr>
        <w:tc>
          <w:tcPr>
            <w:tcW w:w="3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EE29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False Negative Rate</w:t>
            </w:r>
          </w:p>
        </w:tc>
        <w:tc>
          <w:tcPr>
            <w:tcW w:w="1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780B1"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47.6</w:t>
            </w:r>
          </w:p>
        </w:tc>
      </w:tr>
    </w:tbl>
    <w:p w14:paraId="122D45D4"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data in Table 5 suggests that AI-driven phishing detection systems offer a moderate overall accuracy of 63.5%. While the model performs well in identifying phishing attacks (90.5% recall), it struggles with non-phishing cases, leading to a high false negative rate (47.6%). This indicates that some phishing threats remain undetected, underscoring the need for further model optimization to reduce misclassification errors.</w:t>
      </w:r>
    </w:p>
    <w:p w14:paraId="6DDC8CF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lastRenderedPageBreak/>
        <w:t>A radial feature importance plot (Figure 7) illustrates the key phishing indicators contributing to detection accuracy.</w:t>
      </w:r>
    </w:p>
    <w:p w14:paraId="4117B27F"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drawing>
          <wp:inline distT="114300" distB="114300" distL="114300" distR="114300" wp14:anchorId="642B6173" wp14:editId="6F467767">
            <wp:extent cx="3984695" cy="398469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984695" cy="3984695"/>
                    </a:xfrm>
                    <a:prstGeom prst="rect">
                      <a:avLst/>
                    </a:prstGeom>
                    <a:ln/>
                  </pic:spPr>
                </pic:pic>
              </a:graphicData>
            </a:graphic>
          </wp:inline>
        </w:drawing>
      </w:r>
    </w:p>
    <w:p w14:paraId="45278DC6"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24" w:name="_r8uwcwadpb4k" w:colFirst="0" w:colLast="0"/>
      <w:bookmarkEnd w:id="24"/>
      <w:r w:rsidRPr="00492DC0">
        <w:rPr>
          <w:rFonts w:eastAsia="Times New Roman"/>
          <w:color w:val="0D0D0D"/>
          <w:sz w:val="24"/>
          <w:szCs w:val="24"/>
          <w:highlight w:val="white"/>
        </w:rPr>
        <w:t>Figure 7. Radial Feature Importance Plot for AI-Driven Phishing Detection</w:t>
      </w:r>
    </w:p>
    <w:p w14:paraId="1976C464"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As shown in Figure 7, AI-based phishing indicators play a dominant role in detection effectiveness, with significantly higher importance scores compared to traditional phishing indicators. This confirms that phishing detection models must evolve to incorporate AI-generated threat patterns, as conventional detection techniques struggle against sophisticated phishing tactics such as </w:t>
      </w:r>
      <w:proofErr w:type="spellStart"/>
      <w:r w:rsidRPr="00492DC0">
        <w:rPr>
          <w:rFonts w:eastAsia="Times New Roman"/>
          <w:color w:val="0D0D0D"/>
          <w:sz w:val="24"/>
          <w:szCs w:val="24"/>
          <w:highlight w:val="white"/>
        </w:rPr>
        <w:t>deepfake</w:t>
      </w:r>
      <w:proofErr w:type="spellEnd"/>
      <w:r w:rsidRPr="00492DC0">
        <w:rPr>
          <w:rFonts w:eastAsia="Times New Roman"/>
          <w:color w:val="0D0D0D"/>
          <w:sz w:val="24"/>
          <w:szCs w:val="24"/>
          <w:highlight w:val="white"/>
        </w:rPr>
        <w:t xml:space="preserve"> impersonation and automated phishing attacks.</w:t>
      </w:r>
    </w:p>
    <w:p w14:paraId="7C58F38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force-directed graph (Figure 8) provides a visual representation of true positive, false positive, true negative, and false negative relationships, emphasizing the detection system's strengths and weaknesses.</w:t>
      </w:r>
    </w:p>
    <w:p w14:paraId="7B83CC59"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lastRenderedPageBreak/>
        <w:drawing>
          <wp:inline distT="114300" distB="114300" distL="114300" distR="114300" wp14:anchorId="7D5FA991" wp14:editId="59F92951">
            <wp:extent cx="4489753" cy="3369287"/>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489753" cy="3369287"/>
                    </a:xfrm>
                    <a:prstGeom prst="rect">
                      <a:avLst/>
                    </a:prstGeom>
                    <a:ln/>
                  </pic:spPr>
                </pic:pic>
              </a:graphicData>
            </a:graphic>
          </wp:inline>
        </w:drawing>
      </w:r>
    </w:p>
    <w:p w14:paraId="0A435CA9"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25" w:name="_zepbdok4g3w5" w:colFirst="0" w:colLast="0"/>
      <w:bookmarkEnd w:id="25"/>
      <w:r w:rsidRPr="00492DC0">
        <w:rPr>
          <w:rFonts w:eastAsia="Times New Roman"/>
          <w:color w:val="0D0D0D"/>
          <w:sz w:val="24"/>
          <w:szCs w:val="24"/>
          <w:highlight w:val="white"/>
        </w:rPr>
        <w:t>Figure 8. Force-Directed Graph for Phishing Detection Classification Outcomes</w:t>
      </w:r>
    </w:p>
    <w:p w14:paraId="5546694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Figure 8 highlights high classification accuracy for phishing detection, but also reveals significant false negatives, reinforcing the challenge of distinguishing advanced phishing attempts from legitimate interactions. The strong connectivity between false negatives and phishing incidents suggests that AI-powered threats are evolving faster than current detection models can adapt.</w:t>
      </w:r>
    </w:p>
    <w:p w14:paraId="0941B73E" w14:textId="77777777" w:rsidR="00C91EC2" w:rsidRPr="00492DC0" w:rsidRDefault="0000391E">
      <w:pPr>
        <w:spacing w:before="160" w:after="160"/>
        <w:rPr>
          <w:rFonts w:eastAsia="Times New Roman"/>
          <w:b/>
          <w:color w:val="0D0D0D"/>
          <w:sz w:val="24"/>
          <w:szCs w:val="24"/>
          <w:highlight w:val="white"/>
        </w:rPr>
      </w:pPr>
      <w:r w:rsidRPr="00492DC0">
        <w:rPr>
          <w:rFonts w:eastAsia="Times New Roman"/>
          <w:b/>
          <w:color w:val="0D0D0D"/>
          <w:sz w:val="24"/>
          <w:szCs w:val="24"/>
          <w:highlight w:val="white"/>
        </w:rPr>
        <w:t>Discussion</w:t>
      </w:r>
    </w:p>
    <w:p w14:paraId="391F6EF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growing integration of telemedicine into mainstream healthcare has underscored the urgent need to address the cybersecurity risks associated with AI-powered phishing attacks. The findings of this study reveal a significant escalation in phishing-related breaches, particularly in the last three years, as cybercriminals increasingly leverage artificial intelligence to create highly deceptive phishing schemes (</w:t>
      </w:r>
      <w:proofErr w:type="spellStart"/>
      <w:r w:rsidRPr="00492DC0">
        <w:rPr>
          <w:rFonts w:eastAsia="Times New Roman"/>
          <w:color w:val="0D0D0D"/>
          <w:sz w:val="24"/>
          <w:szCs w:val="24"/>
          <w:highlight w:val="white"/>
        </w:rPr>
        <w:t>Nankya</w:t>
      </w:r>
      <w:proofErr w:type="spellEnd"/>
      <w:r w:rsidRPr="00492DC0">
        <w:rPr>
          <w:rFonts w:eastAsia="Times New Roman"/>
          <w:color w:val="0D0D0D"/>
          <w:sz w:val="24"/>
          <w:szCs w:val="24"/>
          <w:highlight w:val="white"/>
        </w:rPr>
        <w:t xml:space="preserve"> et al., 2024). The trend analysis highlights that AI-driven phishing attacks have surpassed traditional phishing in both frequency and severity, aligning with previous studies that have reported a surge in </w:t>
      </w:r>
      <w:proofErr w:type="spellStart"/>
      <w:r w:rsidRPr="00492DC0">
        <w:rPr>
          <w:rFonts w:eastAsia="Times New Roman"/>
          <w:color w:val="0D0D0D"/>
          <w:sz w:val="24"/>
          <w:szCs w:val="24"/>
          <w:highlight w:val="white"/>
        </w:rPr>
        <w:t>deepfake</w:t>
      </w:r>
      <w:proofErr w:type="spellEnd"/>
      <w:r w:rsidRPr="00492DC0">
        <w:rPr>
          <w:rFonts w:eastAsia="Times New Roman"/>
          <w:color w:val="0D0D0D"/>
          <w:sz w:val="24"/>
          <w:szCs w:val="24"/>
          <w:highlight w:val="white"/>
        </w:rPr>
        <w:t>-enabled scams and real-time phishing-as-a-service (</w:t>
      </w:r>
      <w:proofErr w:type="spellStart"/>
      <w:r w:rsidRPr="00492DC0">
        <w:rPr>
          <w:rFonts w:eastAsia="Times New Roman"/>
          <w:color w:val="0D0D0D"/>
          <w:sz w:val="24"/>
          <w:szCs w:val="24"/>
          <w:highlight w:val="white"/>
        </w:rPr>
        <w:t>PhaaS</w:t>
      </w:r>
      <w:proofErr w:type="spellEnd"/>
      <w:r w:rsidRPr="00492DC0">
        <w:rPr>
          <w:rFonts w:eastAsia="Times New Roman"/>
          <w:color w:val="0D0D0D"/>
          <w:sz w:val="24"/>
          <w:szCs w:val="24"/>
          <w:highlight w:val="white"/>
        </w:rPr>
        <w:t>) operations (</w:t>
      </w:r>
      <w:proofErr w:type="spellStart"/>
      <w:r w:rsidRPr="00492DC0">
        <w:rPr>
          <w:rFonts w:eastAsia="Times New Roman"/>
          <w:color w:val="0D0D0D"/>
          <w:sz w:val="24"/>
          <w:szCs w:val="24"/>
          <w:highlight w:val="white"/>
        </w:rPr>
        <w:t>Javaid</w:t>
      </w:r>
      <w:proofErr w:type="spellEnd"/>
      <w:r w:rsidRPr="00492DC0">
        <w:rPr>
          <w:rFonts w:eastAsia="Times New Roman"/>
          <w:color w:val="0D0D0D"/>
          <w:sz w:val="24"/>
          <w:szCs w:val="24"/>
          <w:highlight w:val="white"/>
        </w:rPr>
        <w:t xml:space="preserve"> et al., 2023; </w:t>
      </w:r>
      <w:proofErr w:type="spellStart"/>
      <w:r w:rsidRPr="00492DC0">
        <w:rPr>
          <w:rFonts w:eastAsia="Times New Roman"/>
          <w:color w:val="0D0D0D"/>
          <w:sz w:val="24"/>
          <w:szCs w:val="24"/>
          <w:highlight w:val="white"/>
        </w:rPr>
        <w:t>D’Andrea</w:t>
      </w:r>
      <w:proofErr w:type="spellEnd"/>
      <w:r w:rsidRPr="00492DC0">
        <w:rPr>
          <w:rFonts w:eastAsia="Times New Roman"/>
          <w:color w:val="0D0D0D"/>
          <w:sz w:val="24"/>
          <w:szCs w:val="24"/>
          <w:highlight w:val="white"/>
        </w:rPr>
        <w:t>, 2024). The chi-square analysis further validates that AI-powered phishing has a statistically significant impact on breach severity, reinforcing the argument that these cyber threats have become not only more frequent but also more damaging in terms of financial and privacy-related consequences (IBM, 2024).</w:t>
      </w:r>
    </w:p>
    <w:p w14:paraId="05F09801"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lastRenderedPageBreak/>
        <w:t xml:space="preserve">The increasing adaptability of AI-driven phishing campaigns has been accompanied by an alarming rise in credential theft, a critical factor in data breaches within telemedicine (Palmer, 2024). The logistic regression results indicate that credential theft has the highest predictive power in determining authentication breaches, surpassing the influence of MFA bypass incidents and phishing success rates (Writer, 2024). This suggests that attackers continue to refine their social engineering strategies, exploiting vulnerabilities in human </w:t>
      </w:r>
      <w:proofErr w:type="spellStart"/>
      <w:r w:rsidRPr="00492DC0">
        <w:rPr>
          <w:rFonts w:eastAsia="Times New Roman"/>
          <w:color w:val="0D0D0D"/>
          <w:sz w:val="24"/>
          <w:szCs w:val="24"/>
          <w:highlight w:val="white"/>
        </w:rPr>
        <w:t>behavior</w:t>
      </w:r>
      <w:proofErr w:type="spellEnd"/>
      <w:r w:rsidRPr="00492DC0">
        <w:rPr>
          <w:rFonts w:eastAsia="Times New Roman"/>
          <w:color w:val="0D0D0D"/>
          <w:sz w:val="24"/>
          <w:szCs w:val="24"/>
          <w:highlight w:val="white"/>
        </w:rPr>
        <w:t xml:space="preserve"> rather than relying solely on technological loopholes (Verizon, 2023). Despite the widespread adoption of multi-factor authentication, AI-enhanced phishing attacks have proven capable of circumventing these security measures by intercepting authentication credentials in real-time (</w:t>
      </w:r>
      <w:proofErr w:type="spellStart"/>
      <w:r w:rsidRPr="00492DC0">
        <w:rPr>
          <w:rFonts w:eastAsia="Times New Roman"/>
          <w:color w:val="0D0D0D"/>
          <w:sz w:val="24"/>
          <w:szCs w:val="24"/>
          <w:highlight w:val="white"/>
        </w:rPr>
        <w:t>Petkauskas</w:t>
      </w:r>
      <w:proofErr w:type="spellEnd"/>
      <w:r w:rsidRPr="00492DC0">
        <w:rPr>
          <w:rFonts w:eastAsia="Times New Roman"/>
          <w:color w:val="0D0D0D"/>
          <w:sz w:val="24"/>
          <w:szCs w:val="24"/>
          <w:highlight w:val="white"/>
        </w:rPr>
        <w:t xml:space="preserve">, 2022). The persistence of social engineering as a primary attack vector supports the argument that authentication frameworks in telemedicine remain highly susceptible to manipulation and require a fundamental shift toward more resilient security mechanisms such as </w:t>
      </w:r>
      <w:proofErr w:type="spellStart"/>
      <w:r w:rsidRPr="00492DC0">
        <w:rPr>
          <w:rFonts w:eastAsia="Times New Roman"/>
          <w:color w:val="0D0D0D"/>
          <w:sz w:val="24"/>
          <w:szCs w:val="24"/>
          <w:highlight w:val="white"/>
        </w:rPr>
        <w:t>behavioral</w:t>
      </w:r>
      <w:proofErr w:type="spellEnd"/>
      <w:r w:rsidRPr="00492DC0">
        <w:rPr>
          <w:rFonts w:eastAsia="Times New Roman"/>
          <w:color w:val="0D0D0D"/>
          <w:sz w:val="24"/>
          <w:szCs w:val="24"/>
          <w:highlight w:val="white"/>
        </w:rPr>
        <w:t xml:space="preserve"> biometrics and continuous authentication (</w:t>
      </w:r>
      <w:proofErr w:type="spellStart"/>
      <w:r w:rsidRPr="00492DC0">
        <w:rPr>
          <w:rFonts w:eastAsia="Times New Roman"/>
          <w:color w:val="0D0D0D"/>
          <w:sz w:val="24"/>
          <w:szCs w:val="24"/>
          <w:highlight w:val="white"/>
        </w:rPr>
        <w:t>Awad</w:t>
      </w:r>
      <w:proofErr w:type="spellEnd"/>
      <w:r w:rsidRPr="00492DC0">
        <w:rPr>
          <w:rFonts w:eastAsia="Times New Roman"/>
          <w:color w:val="0D0D0D"/>
          <w:sz w:val="24"/>
          <w:szCs w:val="24"/>
          <w:highlight w:val="white"/>
        </w:rPr>
        <w:t xml:space="preserve"> et al., 2024; Tyagi et al., 2024).</w:t>
      </w:r>
    </w:p>
    <w:p w14:paraId="7A04208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The empirical evidence further substantiates the necessity of robust data privacy mechanisms as a secondary layer of </w:t>
      </w:r>
      <w:proofErr w:type="spellStart"/>
      <w:r w:rsidRPr="00492DC0">
        <w:rPr>
          <w:rFonts w:eastAsia="Times New Roman"/>
          <w:color w:val="0D0D0D"/>
          <w:sz w:val="24"/>
          <w:szCs w:val="24"/>
          <w:highlight w:val="white"/>
        </w:rPr>
        <w:t>defense</w:t>
      </w:r>
      <w:proofErr w:type="spellEnd"/>
      <w:r w:rsidRPr="00492DC0">
        <w:rPr>
          <w:rFonts w:eastAsia="Times New Roman"/>
          <w:color w:val="0D0D0D"/>
          <w:sz w:val="24"/>
          <w:szCs w:val="24"/>
          <w:highlight w:val="white"/>
        </w:rPr>
        <w:t xml:space="preserve"> against AI-driven phishing attacks. The comparative cost analysis of various privacy strategies demonstrates that blockchain authentication and encryption significantly reduce the financial impact of security breaches, with blockchain emerging as the most effective approach in minimizing damages (</w:t>
      </w:r>
      <w:proofErr w:type="spellStart"/>
      <w:r w:rsidRPr="00492DC0">
        <w:rPr>
          <w:rFonts w:eastAsia="Times New Roman"/>
          <w:color w:val="0D0D0D"/>
          <w:sz w:val="24"/>
          <w:szCs w:val="24"/>
          <w:highlight w:val="white"/>
        </w:rPr>
        <w:t>Isibor</w:t>
      </w:r>
      <w:proofErr w:type="spellEnd"/>
      <w:r w:rsidRPr="00492DC0">
        <w:rPr>
          <w:rFonts w:eastAsia="Times New Roman"/>
          <w:color w:val="0D0D0D"/>
          <w:sz w:val="24"/>
          <w:szCs w:val="24"/>
          <w:highlight w:val="white"/>
        </w:rPr>
        <w:t>, 2024). The ANOVA test results confirm that organizations with no advanced privacy mechanisms suffer significantly higher financial losses, supporting previous research that has emphasized the importance of decentralized identity verification and zero-trust security frameworks in mitigating breach-related risks (Kokila &amp; Reddy, 2024; NIST, 2024). The statistical disparities in financial loss distribution among different privacy strategies reinforce the argument that proactive investment in advanced data protection technologies is essential for minimizing the repercussions of AI-powered phishing attacks (</w:t>
      </w:r>
      <w:proofErr w:type="spellStart"/>
      <w:r w:rsidRPr="00492DC0">
        <w:rPr>
          <w:rFonts w:eastAsia="Times New Roman"/>
          <w:color w:val="0D0D0D"/>
          <w:sz w:val="24"/>
          <w:szCs w:val="24"/>
          <w:highlight w:val="white"/>
        </w:rPr>
        <w:t>Arefin</w:t>
      </w:r>
      <w:proofErr w:type="spellEnd"/>
      <w:r w:rsidRPr="00492DC0">
        <w:rPr>
          <w:rFonts w:eastAsia="Times New Roman"/>
          <w:color w:val="0D0D0D"/>
          <w:sz w:val="24"/>
          <w:szCs w:val="24"/>
          <w:highlight w:val="white"/>
        </w:rPr>
        <w:t xml:space="preserve"> &amp; Simcox, 2024; Tariq, 2024).</w:t>
      </w:r>
    </w:p>
    <w:p w14:paraId="0B609D6F"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Although AI-driven phishing detection systems have shown promising improvements in cybersecurity, their current limitations underscore the need for further model optimization. The machine learning-based classification analysis reveals that AI-enhanced phishing detection achieves a relatively high recall rate for phishing incidents, confirming its ability to identify the majority of malicious threats (FBI, 2024). However, the model also exhibits a high false-negative rate, indicating that a significant proportion of phishing threats remain undetected (Ali, 2024). The radial feature importance analysis further substantiates that AI-powered phishing indicators play a dominant role in detection accuracy, suggesting that traditional phishing detection mechanisms must evolve to incorporate more sophisticated threat recognition capabilities (Schmitt &amp; </w:t>
      </w:r>
      <w:proofErr w:type="spellStart"/>
      <w:r w:rsidRPr="00492DC0">
        <w:rPr>
          <w:rFonts w:eastAsia="Times New Roman"/>
          <w:color w:val="0D0D0D"/>
          <w:sz w:val="24"/>
          <w:szCs w:val="24"/>
          <w:highlight w:val="white"/>
        </w:rPr>
        <w:t>Flechais</w:t>
      </w:r>
      <w:proofErr w:type="spellEnd"/>
      <w:r w:rsidRPr="00492DC0">
        <w:rPr>
          <w:rFonts w:eastAsia="Times New Roman"/>
          <w:color w:val="0D0D0D"/>
          <w:sz w:val="24"/>
          <w:szCs w:val="24"/>
          <w:highlight w:val="white"/>
        </w:rPr>
        <w:t xml:space="preserve">, 2024; Obioha-Val, 2025). The force-directed graph analysis highlights the </w:t>
      </w:r>
      <w:r w:rsidRPr="00492DC0">
        <w:rPr>
          <w:rFonts w:eastAsia="Times New Roman"/>
          <w:color w:val="0D0D0D"/>
          <w:sz w:val="24"/>
          <w:szCs w:val="24"/>
          <w:highlight w:val="white"/>
        </w:rPr>
        <w:lastRenderedPageBreak/>
        <w:t>strong connectivity between false negatives and phishing incidents, reinforcing previous findings that cybercriminals are continuously refining their evasion tactics to bypass even the most advanced detection models (George, 2024). These findings align with cybersecurity research advocating for continuous updates to AI-based phishing detection frameworks, incorporating adversarial learning techniques to enhance detection robustness against evolving AI-generated threats (</w:t>
      </w:r>
      <w:proofErr w:type="spellStart"/>
      <w:r w:rsidRPr="00492DC0">
        <w:rPr>
          <w:rFonts w:eastAsia="Times New Roman"/>
          <w:color w:val="0D0D0D"/>
          <w:sz w:val="24"/>
          <w:szCs w:val="24"/>
          <w:highlight w:val="white"/>
        </w:rPr>
        <w:t>Fakhouri</w:t>
      </w:r>
      <w:proofErr w:type="spellEnd"/>
      <w:r w:rsidRPr="00492DC0">
        <w:rPr>
          <w:rFonts w:eastAsia="Times New Roman"/>
          <w:color w:val="0D0D0D"/>
          <w:sz w:val="24"/>
          <w:szCs w:val="24"/>
          <w:highlight w:val="white"/>
        </w:rPr>
        <w:t xml:space="preserve"> et al., 2024; </w:t>
      </w:r>
      <w:proofErr w:type="spellStart"/>
      <w:r w:rsidRPr="00492DC0">
        <w:rPr>
          <w:rFonts w:eastAsia="Times New Roman"/>
          <w:color w:val="0D0D0D"/>
          <w:sz w:val="24"/>
          <w:szCs w:val="24"/>
          <w:highlight w:val="white"/>
        </w:rPr>
        <w:t>Kolade</w:t>
      </w:r>
      <w:proofErr w:type="spellEnd"/>
      <w:r w:rsidRPr="00492DC0">
        <w:rPr>
          <w:rFonts w:eastAsia="Times New Roman"/>
          <w:color w:val="0D0D0D"/>
          <w:sz w:val="24"/>
          <w:szCs w:val="24"/>
          <w:highlight w:val="white"/>
        </w:rPr>
        <w:t xml:space="preserve"> et al., 2024).</w:t>
      </w:r>
    </w:p>
    <w:p w14:paraId="14845C68" w14:textId="77777777" w:rsidR="00C91EC2"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The results of this study provide compelling evidence that AI-powered phishing attacks have fundamentally altered the cybersecurity landscape in telemedicine. The statistical analyses confirm that AI-enhanced phishing incidents are more frequent, severe, and financially damaging than traditional phishing attacks, reinforcing prior findings on the growing sophistication of AI-generated cyber threats (Palmer, 2024; </w:t>
      </w:r>
      <w:proofErr w:type="spellStart"/>
      <w:r w:rsidRPr="00492DC0">
        <w:rPr>
          <w:rFonts w:eastAsia="Times New Roman"/>
          <w:color w:val="0D0D0D"/>
          <w:sz w:val="24"/>
          <w:szCs w:val="24"/>
          <w:highlight w:val="white"/>
        </w:rPr>
        <w:t>Javaid</w:t>
      </w:r>
      <w:proofErr w:type="spellEnd"/>
      <w:r w:rsidRPr="00492DC0">
        <w:rPr>
          <w:rFonts w:eastAsia="Times New Roman"/>
          <w:color w:val="0D0D0D"/>
          <w:sz w:val="24"/>
          <w:szCs w:val="24"/>
          <w:highlight w:val="white"/>
        </w:rPr>
        <w:t xml:space="preserve"> et al., 2023). The vulnerabilities in existing authentication protocols highlight the limitations of traditional security mechanisms in mitigating phishing risks, particularly in cases where social engineering tactics successfully deceive healthcare personnel into revealing sensitive credentials (Verizon, 2023; Williams, 2024). Furthermore, the findings emphasize the necessity of a multi-layered security approach that integrates both proactive phishing detection and reactive privacy-enhancing measures to safeguard patient data (</w:t>
      </w:r>
      <w:proofErr w:type="spellStart"/>
      <w:r w:rsidRPr="00492DC0">
        <w:rPr>
          <w:rFonts w:eastAsia="Times New Roman"/>
          <w:color w:val="0D0D0D"/>
          <w:sz w:val="24"/>
          <w:szCs w:val="24"/>
          <w:highlight w:val="white"/>
        </w:rPr>
        <w:t>Ayeswarya</w:t>
      </w:r>
      <w:proofErr w:type="spellEnd"/>
      <w:r w:rsidRPr="00492DC0">
        <w:rPr>
          <w:rFonts w:eastAsia="Times New Roman"/>
          <w:color w:val="0D0D0D"/>
          <w:sz w:val="24"/>
          <w:szCs w:val="24"/>
          <w:highlight w:val="white"/>
        </w:rPr>
        <w:t xml:space="preserve"> &amp; Singh, 2024; </w:t>
      </w:r>
      <w:proofErr w:type="spellStart"/>
      <w:r w:rsidRPr="00492DC0">
        <w:rPr>
          <w:rFonts w:eastAsia="Times New Roman"/>
          <w:color w:val="0D0D0D"/>
          <w:sz w:val="24"/>
          <w:szCs w:val="24"/>
          <w:highlight w:val="white"/>
        </w:rPr>
        <w:t>Keerthana</w:t>
      </w:r>
      <w:proofErr w:type="spellEnd"/>
      <w:r w:rsidRPr="00492DC0">
        <w:rPr>
          <w:rFonts w:eastAsia="Times New Roman"/>
          <w:color w:val="0D0D0D"/>
          <w:sz w:val="24"/>
          <w:szCs w:val="24"/>
          <w:highlight w:val="white"/>
        </w:rPr>
        <w:t xml:space="preserve"> et al., 2025). The statistical significance of the findings validates that organizations that invest in AI-driven cybersecurity solutions, </w:t>
      </w:r>
      <w:proofErr w:type="spellStart"/>
      <w:r w:rsidRPr="00492DC0">
        <w:rPr>
          <w:rFonts w:eastAsia="Times New Roman"/>
          <w:color w:val="0D0D0D"/>
          <w:sz w:val="24"/>
          <w:szCs w:val="24"/>
          <w:highlight w:val="white"/>
        </w:rPr>
        <w:t>behavioral</w:t>
      </w:r>
      <w:proofErr w:type="spellEnd"/>
      <w:r w:rsidRPr="00492DC0">
        <w:rPr>
          <w:rFonts w:eastAsia="Times New Roman"/>
          <w:color w:val="0D0D0D"/>
          <w:sz w:val="24"/>
          <w:szCs w:val="24"/>
          <w:highlight w:val="white"/>
        </w:rPr>
        <w:t xml:space="preserve"> analytics, and decentralized identity verification can significantly reduce the risks associated with AI-powered phishing attacks (Chan et al., 2025; </w:t>
      </w:r>
      <w:proofErr w:type="spellStart"/>
      <w:r w:rsidRPr="00492DC0">
        <w:rPr>
          <w:rFonts w:eastAsia="Times New Roman"/>
          <w:color w:val="0D0D0D"/>
          <w:sz w:val="24"/>
          <w:szCs w:val="24"/>
          <w:highlight w:val="white"/>
        </w:rPr>
        <w:t>Olutimehin</w:t>
      </w:r>
      <w:proofErr w:type="spellEnd"/>
      <w:r w:rsidRPr="00492DC0">
        <w:rPr>
          <w:rFonts w:eastAsia="Times New Roman"/>
          <w:color w:val="0D0D0D"/>
          <w:sz w:val="24"/>
          <w:szCs w:val="24"/>
          <w:highlight w:val="white"/>
        </w:rPr>
        <w:t>, 2025). These insights contribute to the growing body of literature advocating for a paradigm shift in telemedicine cybersecurity, emphasizing the need for continuous innovation in threat detection, authentication frameworks, and regulatory compliance measures to effectively counter the evolving landscape of AI-driven cyber threats (Jimmy, 2024; Jain et al., 2024).</w:t>
      </w:r>
    </w:p>
    <w:p w14:paraId="34D9B449" w14:textId="77777777" w:rsidR="00004EA2" w:rsidRPr="00492DC0" w:rsidRDefault="00004EA2">
      <w:pPr>
        <w:spacing w:before="160" w:after="160"/>
        <w:rPr>
          <w:rFonts w:eastAsia="Times New Roman"/>
          <w:color w:val="0D0D0D"/>
          <w:sz w:val="24"/>
          <w:szCs w:val="24"/>
          <w:highlight w:val="white"/>
        </w:rPr>
      </w:pPr>
    </w:p>
    <w:p w14:paraId="1EE61855" w14:textId="77777777" w:rsidR="00C91EC2" w:rsidRPr="00492DC0" w:rsidRDefault="00004EA2">
      <w:pPr>
        <w:spacing w:before="160" w:after="160"/>
        <w:rPr>
          <w:rFonts w:eastAsia="Times New Roman"/>
          <w:b/>
          <w:color w:val="0D0D0D"/>
          <w:sz w:val="24"/>
          <w:szCs w:val="24"/>
          <w:highlight w:val="white"/>
        </w:rPr>
      </w:pPr>
      <w:r>
        <w:rPr>
          <w:rFonts w:eastAsia="Times New Roman"/>
          <w:b/>
          <w:color w:val="0D0D0D"/>
          <w:sz w:val="24"/>
          <w:szCs w:val="24"/>
          <w:highlight w:val="white"/>
        </w:rPr>
        <w:t>5.</w:t>
      </w:r>
      <w:r>
        <w:rPr>
          <w:rFonts w:eastAsia="Times New Roman"/>
          <w:b/>
          <w:color w:val="0D0D0D"/>
          <w:sz w:val="24"/>
          <w:szCs w:val="24"/>
          <w:highlight w:val="white"/>
        </w:rPr>
        <w:tab/>
        <w:t>Conclusion and Recommendations</w:t>
      </w:r>
    </w:p>
    <w:p w14:paraId="7C40371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The findings of this study confirm that AI-powered phishing attacks pose a significant and escalating threat to telemedicine cybersecurity, with statistical evidence demonstrating their increased frequency, severity, and financial impact. The vulnerabilities in existing authentication mechanisms underscore the urgent need for more resilient security frameworks, as traditional multi-factor authentication remains susceptible to AI-driven social engineering tactics. While AI-driven phishing detection systems enhance threat identification, their high false-negative rates indicate a need for further refinement. The integration of blockchain-based authentication, encryption, and zero-trust security models has been shown to mitigate breach-related damages, </w:t>
      </w:r>
      <w:r w:rsidRPr="00492DC0">
        <w:rPr>
          <w:rFonts w:eastAsia="Times New Roman"/>
          <w:color w:val="0D0D0D"/>
          <w:sz w:val="24"/>
          <w:szCs w:val="24"/>
          <w:highlight w:val="white"/>
        </w:rPr>
        <w:lastRenderedPageBreak/>
        <w:t>reinforcing the necessity for a multi-layered cybersecurity strategy.</w:t>
      </w:r>
      <w:r w:rsidR="00004EA2">
        <w:rPr>
          <w:rFonts w:eastAsia="Times New Roman"/>
          <w:color w:val="0D0D0D"/>
          <w:sz w:val="24"/>
          <w:szCs w:val="24"/>
          <w:highlight w:val="white"/>
        </w:rPr>
        <w:t xml:space="preserve"> Following these findings, it is recommended that:</w:t>
      </w:r>
    </w:p>
    <w:p w14:paraId="468F4341" w14:textId="77777777" w:rsidR="00C91EC2" w:rsidRPr="00492DC0" w:rsidRDefault="0000391E">
      <w:pPr>
        <w:numPr>
          <w:ilvl w:val="0"/>
          <w:numId w:val="1"/>
        </w:numPr>
        <w:spacing w:before="160"/>
        <w:rPr>
          <w:rFonts w:eastAsia="Times New Roman"/>
          <w:color w:val="0D0D0D"/>
          <w:sz w:val="24"/>
          <w:szCs w:val="24"/>
          <w:highlight w:val="white"/>
        </w:rPr>
      </w:pPr>
      <w:r w:rsidRPr="00492DC0">
        <w:rPr>
          <w:rFonts w:eastAsia="Times New Roman"/>
          <w:color w:val="0D0D0D"/>
          <w:sz w:val="24"/>
          <w:szCs w:val="24"/>
          <w:highlight w:val="white"/>
        </w:rPr>
        <w:t>Telemedicine platforms should prioritize AI-driven threat detection systems with adaptive learning capabilities to improve phishing identification accuracy and reduce false negatives.</w:t>
      </w:r>
    </w:p>
    <w:p w14:paraId="0113E7DD" w14:textId="77777777" w:rsidR="00C91EC2" w:rsidRPr="00492DC0" w:rsidRDefault="0000391E">
      <w:pPr>
        <w:numPr>
          <w:ilvl w:val="0"/>
          <w:numId w:val="1"/>
        </w:numPr>
        <w:rPr>
          <w:rFonts w:eastAsia="Times New Roman"/>
          <w:color w:val="0D0D0D"/>
          <w:sz w:val="24"/>
          <w:szCs w:val="24"/>
          <w:highlight w:val="white"/>
        </w:rPr>
      </w:pPr>
      <w:r w:rsidRPr="00492DC0">
        <w:rPr>
          <w:rFonts w:eastAsia="Times New Roman"/>
          <w:color w:val="0D0D0D"/>
          <w:sz w:val="24"/>
          <w:szCs w:val="24"/>
          <w:highlight w:val="white"/>
        </w:rPr>
        <w:t xml:space="preserve">Authentication frameworks should transition to </w:t>
      </w:r>
      <w:proofErr w:type="spellStart"/>
      <w:r w:rsidRPr="00492DC0">
        <w:rPr>
          <w:rFonts w:eastAsia="Times New Roman"/>
          <w:color w:val="0D0D0D"/>
          <w:sz w:val="24"/>
          <w:szCs w:val="24"/>
          <w:highlight w:val="white"/>
        </w:rPr>
        <w:t>behavioral</w:t>
      </w:r>
      <w:proofErr w:type="spellEnd"/>
      <w:r w:rsidRPr="00492DC0">
        <w:rPr>
          <w:rFonts w:eastAsia="Times New Roman"/>
          <w:color w:val="0D0D0D"/>
          <w:sz w:val="24"/>
          <w:szCs w:val="24"/>
          <w:highlight w:val="white"/>
        </w:rPr>
        <w:t xml:space="preserve"> biometrics and continuous authentication to minimize the risk of credential theft and MFA bypass incidents.</w:t>
      </w:r>
    </w:p>
    <w:p w14:paraId="73B2B531" w14:textId="77777777" w:rsidR="00C91EC2" w:rsidRPr="00492DC0" w:rsidRDefault="0000391E">
      <w:pPr>
        <w:numPr>
          <w:ilvl w:val="0"/>
          <w:numId w:val="1"/>
        </w:numPr>
        <w:rPr>
          <w:rFonts w:eastAsia="Times New Roman"/>
          <w:color w:val="0D0D0D"/>
          <w:sz w:val="24"/>
          <w:szCs w:val="24"/>
          <w:highlight w:val="white"/>
        </w:rPr>
      </w:pPr>
      <w:r w:rsidRPr="00492DC0">
        <w:rPr>
          <w:rFonts w:eastAsia="Times New Roman"/>
          <w:color w:val="0D0D0D"/>
          <w:sz w:val="24"/>
          <w:szCs w:val="24"/>
          <w:highlight w:val="white"/>
        </w:rPr>
        <w:t>Healthcare organizations must implement blockchain-based identity verification and advanced encryption to strengthen patient data protection, even in the event of a security breach.</w:t>
      </w:r>
    </w:p>
    <w:p w14:paraId="29DE0394" w14:textId="77777777" w:rsidR="00C91EC2" w:rsidRPr="00492DC0" w:rsidRDefault="0000391E" w:rsidP="0000391E">
      <w:pPr>
        <w:numPr>
          <w:ilvl w:val="0"/>
          <w:numId w:val="1"/>
        </w:numPr>
        <w:spacing w:before="240" w:after="240"/>
        <w:rPr>
          <w:rFonts w:eastAsia="Times New Roman"/>
          <w:color w:val="0D0D0D"/>
          <w:sz w:val="24"/>
          <w:szCs w:val="24"/>
          <w:highlight w:val="white"/>
        </w:rPr>
      </w:pPr>
      <w:r w:rsidRPr="00492DC0">
        <w:rPr>
          <w:rFonts w:eastAsia="Times New Roman"/>
          <w:color w:val="0D0D0D"/>
          <w:sz w:val="24"/>
          <w:szCs w:val="24"/>
          <w:highlight w:val="white"/>
        </w:rPr>
        <w:t>Regulatory bodies should enforce stricter compliance measures, integrating AI-specific cybersecurity policies to address evolving AI-generated phishing threats.</w:t>
      </w:r>
    </w:p>
    <w:p w14:paraId="453BFDA3" w14:textId="77777777" w:rsidR="00C91EC2" w:rsidRPr="00492DC0" w:rsidRDefault="00C91EC2">
      <w:pPr>
        <w:spacing w:before="240" w:after="240"/>
        <w:rPr>
          <w:rFonts w:eastAsia="Times New Roman"/>
          <w:color w:val="0D0D0D"/>
          <w:sz w:val="24"/>
          <w:szCs w:val="24"/>
          <w:highlight w:val="white"/>
        </w:rPr>
      </w:pPr>
    </w:p>
    <w:p w14:paraId="297E2AE3" w14:textId="77777777" w:rsidR="00004EA2" w:rsidRDefault="00004EA2">
      <w:pPr>
        <w:rPr>
          <w:rFonts w:eastAsia="Roboto"/>
          <w:b/>
          <w:color w:val="0D0D0D"/>
          <w:sz w:val="24"/>
          <w:szCs w:val="24"/>
          <w:highlight w:val="white"/>
        </w:rPr>
      </w:pPr>
      <w:bookmarkStart w:id="26" w:name="_tmq5h6jm3mdo" w:colFirst="0" w:colLast="0"/>
      <w:bookmarkEnd w:id="26"/>
      <w:r>
        <w:rPr>
          <w:rFonts w:eastAsia="Roboto"/>
          <w:b/>
          <w:color w:val="0D0D0D"/>
          <w:sz w:val="24"/>
          <w:szCs w:val="24"/>
          <w:highlight w:val="white"/>
        </w:rPr>
        <w:br w:type="page"/>
      </w:r>
    </w:p>
    <w:p w14:paraId="684003AE" w14:textId="77777777" w:rsidR="00C91EC2" w:rsidRPr="00492DC0" w:rsidRDefault="0000391E">
      <w:pPr>
        <w:pStyle w:val="Heading1"/>
        <w:keepNext w:val="0"/>
        <w:keepLines w:val="0"/>
        <w:spacing w:before="0" w:after="0" w:line="480" w:lineRule="auto"/>
        <w:jc w:val="center"/>
        <w:rPr>
          <w:rFonts w:eastAsia="Roboto"/>
          <w:b/>
          <w:color w:val="0D0D0D"/>
          <w:sz w:val="24"/>
          <w:szCs w:val="24"/>
          <w:highlight w:val="white"/>
        </w:rPr>
      </w:pPr>
      <w:r w:rsidRPr="00492DC0">
        <w:rPr>
          <w:rFonts w:eastAsia="Roboto"/>
          <w:b/>
          <w:color w:val="0D0D0D"/>
          <w:sz w:val="24"/>
          <w:szCs w:val="24"/>
          <w:highlight w:val="white"/>
        </w:rPr>
        <w:lastRenderedPageBreak/>
        <w:t>References</w:t>
      </w:r>
    </w:p>
    <w:p w14:paraId="7ADA1368"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Ajayi, A. J., Joseph, S. A., </w:t>
      </w:r>
      <w:proofErr w:type="spellStart"/>
      <w:r w:rsidRPr="00492DC0">
        <w:rPr>
          <w:rFonts w:eastAsia="Roboto"/>
          <w:color w:val="0D0D0D"/>
          <w:sz w:val="24"/>
          <w:szCs w:val="24"/>
          <w:highlight w:val="white"/>
        </w:rPr>
        <w:t>Metibemu</w:t>
      </w:r>
      <w:proofErr w:type="spellEnd"/>
      <w:r w:rsidRPr="00492DC0">
        <w:rPr>
          <w:rFonts w:eastAsia="Roboto"/>
          <w:color w:val="0D0D0D"/>
          <w:sz w:val="24"/>
          <w:szCs w:val="24"/>
          <w:highlight w:val="white"/>
        </w:rPr>
        <w:t xml:space="preserve">, O. C., </w:t>
      </w:r>
      <w:proofErr w:type="spellStart"/>
      <w:r w:rsidRPr="00492DC0">
        <w:rPr>
          <w:rFonts w:eastAsia="Roboto"/>
          <w:color w:val="0D0D0D"/>
          <w:sz w:val="24"/>
          <w:szCs w:val="24"/>
          <w:highlight w:val="white"/>
        </w:rPr>
        <w:t>Olutimehin</w:t>
      </w:r>
      <w:proofErr w:type="spellEnd"/>
      <w:r w:rsidRPr="00492DC0">
        <w:rPr>
          <w:rFonts w:eastAsia="Roboto"/>
          <w:color w:val="0D0D0D"/>
          <w:sz w:val="24"/>
          <w:szCs w:val="24"/>
          <w:highlight w:val="white"/>
        </w:rPr>
        <w:t xml:space="preserve">, A. T., Balogun, A. Y., &amp; </w:t>
      </w:r>
      <w:proofErr w:type="spellStart"/>
      <w:r w:rsidRPr="00492DC0">
        <w:rPr>
          <w:rFonts w:eastAsia="Roboto"/>
          <w:color w:val="0D0D0D"/>
          <w:sz w:val="24"/>
          <w:szCs w:val="24"/>
          <w:highlight w:val="white"/>
        </w:rPr>
        <w:t>Olaniyi</w:t>
      </w:r>
      <w:proofErr w:type="spellEnd"/>
      <w:r w:rsidRPr="00492DC0">
        <w:rPr>
          <w:rFonts w:eastAsia="Roboto"/>
          <w:color w:val="0D0D0D"/>
          <w:sz w:val="24"/>
          <w:szCs w:val="24"/>
          <w:highlight w:val="white"/>
        </w:rPr>
        <w:t xml:space="preserve">, O. O. (2025). The Impact of Artificial Intelligence on Cyber Security in Digital Currency Transactions. </w:t>
      </w:r>
      <w:r w:rsidRPr="00492DC0">
        <w:rPr>
          <w:rFonts w:eastAsia="Roboto"/>
          <w:i/>
          <w:color w:val="0D0D0D"/>
          <w:sz w:val="24"/>
          <w:szCs w:val="24"/>
          <w:highlight w:val="white"/>
        </w:rPr>
        <w:t>Archives of Current Research International</w:t>
      </w:r>
      <w:r w:rsidRPr="00492DC0">
        <w:rPr>
          <w:rFonts w:eastAsia="Roboto"/>
          <w:color w:val="0D0D0D"/>
          <w:sz w:val="24"/>
          <w:szCs w:val="24"/>
          <w:highlight w:val="white"/>
        </w:rPr>
        <w:t xml:space="preserve">, </w:t>
      </w:r>
      <w:r w:rsidRPr="00492DC0">
        <w:rPr>
          <w:rFonts w:eastAsia="Roboto"/>
          <w:i/>
          <w:color w:val="0D0D0D"/>
          <w:sz w:val="24"/>
          <w:szCs w:val="24"/>
          <w:highlight w:val="white"/>
        </w:rPr>
        <w:t>25</w:t>
      </w:r>
      <w:r w:rsidRPr="00492DC0">
        <w:rPr>
          <w:rFonts w:eastAsia="Roboto"/>
          <w:color w:val="0D0D0D"/>
          <w:sz w:val="24"/>
          <w:szCs w:val="24"/>
          <w:highlight w:val="white"/>
        </w:rPr>
        <w:t xml:space="preserve">(2), 329–351. </w:t>
      </w:r>
      <w:hyperlink r:id="rId15">
        <w:r w:rsidRPr="00492DC0">
          <w:rPr>
            <w:rFonts w:eastAsia="Roboto"/>
            <w:color w:val="1155CC"/>
            <w:sz w:val="24"/>
            <w:szCs w:val="24"/>
            <w:highlight w:val="white"/>
            <w:u w:val="single"/>
          </w:rPr>
          <w:t>https://doi.org/10.9734/acri/2025/v25i21090</w:t>
        </w:r>
      </w:hyperlink>
      <w:r w:rsidRPr="00492DC0">
        <w:rPr>
          <w:rFonts w:eastAsia="Roboto"/>
          <w:color w:val="0D0D0D"/>
          <w:sz w:val="24"/>
          <w:szCs w:val="24"/>
          <w:highlight w:val="white"/>
        </w:rPr>
        <w:t xml:space="preserve"> </w:t>
      </w:r>
    </w:p>
    <w:p w14:paraId="1B277DE3"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Alabdulatif</w:t>
      </w:r>
      <w:proofErr w:type="spellEnd"/>
      <w:r w:rsidRPr="00492DC0">
        <w:rPr>
          <w:rFonts w:eastAsia="Roboto"/>
          <w:color w:val="0D0D0D"/>
          <w:sz w:val="24"/>
          <w:szCs w:val="24"/>
          <w:highlight w:val="white"/>
        </w:rPr>
        <w:t xml:space="preserve">, A., Khalil, I., &amp; </w:t>
      </w:r>
      <w:proofErr w:type="spellStart"/>
      <w:r w:rsidRPr="00492DC0">
        <w:rPr>
          <w:rFonts w:eastAsia="Roboto"/>
          <w:color w:val="0D0D0D"/>
          <w:sz w:val="24"/>
          <w:szCs w:val="24"/>
          <w:highlight w:val="white"/>
        </w:rPr>
        <w:t>Saidur</w:t>
      </w:r>
      <w:proofErr w:type="spellEnd"/>
      <w:r w:rsidRPr="00492DC0">
        <w:rPr>
          <w:rFonts w:eastAsia="Roboto"/>
          <w:color w:val="0D0D0D"/>
          <w:sz w:val="24"/>
          <w:szCs w:val="24"/>
          <w:highlight w:val="white"/>
        </w:rPr>
        <w:t xml:space="preserve"> Rahman, M. (2022). Security of Blockchain and AI-Empowered Smart Healthcare: Application-Based Analysis. </w:t>
      </w:r>
      <w:r w:rsidRPr="00492DC0">
        <w:rPr>
          <w:rFonts w:eastAsia="Roboto"/>
          <w:i/>
          <w:color w:val="0D0D0D"/>
          <w:sz w:val="24"/>
          <w:szCs w:val="24"/>
          <w:highlight w:val="white"/>
        </w:rPr>
        <w:t>Applied Sciences</w:t>
      </w:r>
      <w:r w:rsidRPr="00492DC0">
        <w:rPr>
          <w:rFonts w:eastAsia="Roboto"/>
          <w:color w:val="0D0D0D"/>
          <w:sz w:val="24"/>
          <w:szCs w:val="24"/>
          <w:highlight w:val="white"/>
        </w:rPr>
        <w:t xml:space="preserve">, </w:t>
      </w:r>
      <w:r w:rsidRPr="00492DC0">
        <w:rPr>
          <w:rFonts w:eastAsia="Roboto"/>
          <w:i/>
          <w:color w:val="0D0D0D"/>
          <w:sz w:val="24"/>
          <w:szCs w:val="24"/>
          <w:highlight w:val="white"/>
        </w:rPr>
        <w:t>12</w:t>
      </w:r>
      <w:r w:rsidRPr="00492DC0">
        <w:rPr>
          <w:rFonts w:eastAsia="Roboto"/>
          <w:color w:val="0D0D0D"/>
          <w:sz w:val="24"/>
          <w:szCs w:val="24"/>
          <w:highlight w:val="white"/>
        </w:rPr>
        <w:t xml:space="preserve">(21), 11039. </w:t>
      </w:r>
      <w:hyperlink r:id="rId16">
        <w:r w:rsidRPr="00492DC0">
          <w:rPr>
            <w:rFonts w:eastAsia="Roboto"/>
            <w:color w:val="1155CC"/>
            <w:sz w:val="24"/>
            <w:szCs w:val="24"/>
            <w:highlight w:val="white"/>
            <w:u w:val="single"/>
          </w:rPr>
          <w:t>https://doi.org/10.3390/app122111039</w:t>
        </w:r>
      </w:hyperlink>
      <w:r w:rsidRPr="00492DC0">
        <w:rPr>
          <w:rFonts w:eastAsia="Roboto"/>
          <w:color w:val="0D0D0D"/>
          <w:sz w:val="24"/>
          <w:szCs w:val="24"/>
          <w:highlight w:val="white"/>
        </w:rPr>
        <w:t xml:space="preserve"> </w:t>
      </w:r>
    </w:p>
    <w:p w14:paraId="55151FBE"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Alao</w:t>
      </w:r>
      <w:proofErr w:type="spellEnd"/>
      <w:r w:rsidRPr="00492DC0">
        <w:rPr>
          <w:rFonts w:eastAsia="Roboto"/>
          <w:color w:val="0D0D0D"/>
          <w:sz w:val="24"/>
          <w:szCs w:val="24"/>
          <w:highlight w:val="white"/>
        </w:rPr>
        <w:t xml:space="preserve">, A. I., Adebiyi, O. O., &amp; </w:t>
      </w:r>
      <w:proofErr w:type="spellStart"/>
      <w:r w:rsidRPr="00492DC0">
        <w:rPr>
          <w:rFonts w:eastAsia="Roboto"/>
          <w:color w:val="0D0D0D"/>
          <w:sz w:val="24"/>
          <w:szCs w:val="24"/>
          <w:highlight w:val="white"/>
        </w:rPr>
        <w:t>Olaniyi</w:t>
      </w:r>
      <w:proofErr w:type="spellEnd"/>
      <w:r w:rsidRPr="00492DC0">
        <w:rPr>
          <w:rFonts w:eastAsia="Roboto"/>
          <w:color w:val="0D0D0D"/>
          <w:sz w:val="24"/>
          <w:szCs w:val="24"/>
          <w:highlight w:val="white"/>
        </w:rPr>
        <w:t xml:space="preserve">, O. O. (2024). The Interconnectedness of Earnings Management, Corporate Governance Failures, and Global Economic Stability: A Critical Examination of the Impact of Earnings Manipulation on Financial Crises and Investor Trust in Global Markets. </w:t>
      </w:r>
      <w:r w:rsidRPr="00492DC0">
        <w:rPr>
          <w:rFonts w:eastAsia="Roboto"/>
          <w:i/>
          <w:color w:val="0D0D0D"/>
          <w:sz w:val="24"/>
          <w:szCs w:val="24"/>
          <w:highlight w:val="white"/>
        </w:rPr>
        <w:t>Asian Journal of Economics Business and Accounting</w:t>
      </w:r>
      <w:r w:rsidRPr="00492DC0">
        <w:rPr>
          <w:rFonts w:eastAsia="Roboto"/>
          <w:color w:val="0D0D0D"/>
          <w:sz w:val="24"/>
          <w:szCs w:val="24"/>
          <w:highlight w:val="white"/>
        </w:rPr>
        <w:t xml:space="preserve">, </w:t>
      </w:r>
      <w:r w:rsidRPr="00492DC0">
        <w:rPr>
          <w:rFonts w:eastAsia="Roboto"/>
          <w:i/>
          <w:color w:val="0D0D0D"/>
          <w:sz w:val="24"/>
          <w:szCs w:val="24"/>
          <w:highlight w:val="white"/>
        </w:rPr>
        <w:t>24</w:t>
      </w:r>
      <w:r w:rsidRPr="00492DC0">
        <w:rPr>
          <w:rFonts w:eastAsia="Roboto"/>
          <w:color w:val="0D0D0D"/>
          <w:sz w:val="24"/>
          <w:szCs w:val="24"/>
          <w:highlight w:val="white"/>
        </w:rPr>
        <w:t xml:space="preserve">(11), 47–73. </w:t>
      </w:r>
      <w:hyperlink r:id="rId17">
        <w:r w:rsidRPr="00492DC0">
          <w:rPr>
            <w:rFonts w:eastAsia="Roboto"/>
            <w:color w:val="1155CC"/>
            <w:sz w:val="24"/>
            <w:szCs w:val="24"/>
            <w:highlight w:val="white"/>
            <w:u w:val="single"/>
          </w:rPr>
          <w:t>https://doi.org/10.9734/ajeba/2024/v24i111542</w:t>
        </w:r>
      </w:hyperlink>
      <w:r w:rsidRPr="00492DC0">
        <w:rPr>
          <w:rFonts w:eastAsia="Roboto"/>
          <w:color w:val="0D0D0D"/>
          <w:sz w:val="24"/>
          <w:szCs w:val="24"/>
          <w:highlight w:val="white"/>
        </w:rPr>
        <w:t xml:space="preserve"> </w:t>
      </w:r>
    </w:p>
    <w:p w14:paraId="266F914B"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9C5696">
        <w:rPr>
          <w:rFonts w:eastAsia="Roboto"/>
          <w:color w:val="0D0D0D"/>
          <w:sz w:val="24"/>
          <w:szCs w:val="24"/>
          <w:highlight w:val="white"/>
          <w:lang w:val="es-ES"/>
        </w:rPr>
        <w:t>Alevizos</w:t>
      </w:r>
      <w:proofErr w:type="spellEnd"/>
      <w:r w:rsidRPr="009C5696">
        <w:rPr>
          <w:rFonts w:eastAsia="Roboto"/>
          <w:color w:val="0D0D0D"/>
          <w:sz w:val="24"/>
          <w:szCs w:val="24"/>
          <w:highlight w:val="white"/>
          <w:lang w:val="es-ES"/>
        </w:rPr>
        <w:t xml:space="preserve">, L., Ta, V. T., &amp; </w:t>
      </w:r>
      <w:proofErr w:type="spellStart"/>
      <w:r w:rsidRPr="009C5696">
        <w:rPr>
          <w:rFonts w:eastAsia="Roboto"/>
          <w:color w:val="0D0D0D"/>
          <w:sz w:val="24"/>
          <w:szCs w:val="24"/>
          <w:highlight w:val="white"/>
          <w:lang w:val="es-ES"/>
        </w:rPr>
        <w:t>Hashem</w:t>
      </w:r>
      <w:proofErr w:type="spellEnd"/>
      <w:r w:rsidRPr="009C5696">
        <w:rPr>
          <w:rFonts w:eastAsia="Roboto"/>
          <w:color w:val="0D0D0D"/>
          <w:sz w:val="24"/>
          <w:szCs w:val="24"/>
          <w:highlight w:val="white"/>
          <w:lang w:val="es-ES"/>
        </w:rPr>
        <w:t xml:space="preserve"> </w:t>
      </w:r>
      <w:proofErr w:type="spellStart"/>
      <w:r w:rsidRPr="009C5696">
        <w:rPr>
          <w:rFonts w:eastAsia="Roboto"/>
          <w:color w:val="0D0D0D"/>
          <w:sz w:val="24"/>
          <w:szCs w:val="24"/>
          <w:highlight w:val="white"/>
          <w:lang w:val="es-ES"/>
        </w:rPr>
        <w:t>Eiza</w:t>
      </w:r>
      <w:proofErr w:type="spellEnd"/>
      <w:r w:rsidRPr="009C5696">
        <w:rPr>
          <w:rFonts w:eastAsia="Roboto"/>
          <w:color w:val="0D0D0D"/>
          <w:sz w:val="24"/>
          <w:szCs w:val="24"/>
          <w:highlight w:val="white"/>
          <w:lang w:val="es-ES"/>
        </w:rPr>
        <w:t xml:space="preserve">, M. (2021). </w:t>
      </w:r>
      <w:r w:rsidRPr="00492DC0">
        <w:rPr>
          <w:rFonts w:eastAsia="Roboto"/>
          <w:color w:val="0D0D0D"/>
          <w:sz w:val="24"/>
          <w:szCs w:val="24"/>
          <w:highlight w:val="white"/>
        </w:rPr>
        <w:t>Augmenting zero trust architecture to endpoints using blockchain: A state</w:t>
      </w:r>
      <w:r w:rsidRPr="00492DC0">
        <w:rPr>
          <w:rFonts w:ascii="Cambria Math" w:eastAsia="Roboto" w:hAnsi="Cambria Math" w:cs="Cambria Math"/>
          <w:color w:val="0D0D0D"/>
          <w:sz w:val="24"/>
          <w:szCs w:val="24"/>
          <w:highlight w:val="white"/>
        </w:rPr>
        <w:t>‐</w:t>
      </w:r>
      <w:r w:rsidRPr="00492DC0">
        <w:rPr>
          <w:rFonts w:eastAsia="Roboto"/>
          <w:color w:val="0D0D0D"/>
          <w:sz w:val="24"/>
          <w:szCs w:val="24"/>
          <w:highlight w:val="white"/>
        </w:rPr>
        <w:t>of</w:t>
      </w:r>
      <w:r w:rsidRPr="00492DC0">
        <w:rPr>
          <w:rFonts w:ascii="Cambria Math" w:eastAsia="Roboto" w:hAnsi="Cambria Math" w:cs="Cambria Math"/>
          <w:color w:val="0D0D0D"/>
          <w:sz w:val="24"/>
          <w:szCs w:val="24"/>
          <w:highlight w:val="white"/>
        </w:rPr>
        <w:t>‐</w:t>
      </w:r>
      <w:r w:rsidRPr="00492DC0">
        <w:rPr>
          <w:rFonts w:eastAsia="Roboto"/>
          <w:color w:val="0D0D0D"/>
          <w:sz w:val="24"/>
          <w:szCs w:val="24"/>
          <w:highlight w:val="white"/>
        </w:rPr>
        <w:t>the</w:t>
      </w:r>
      <w:r w:rsidRPr="00492DC0">
        <w:rPr>
          <w:rFonts w:ascii="Cambria Math" w:eastAsia="Roboto" w:hAnsi="Cambria Math" w:cs="Cambria Math"/>
          <w:color w:val="0D0D0D"/>
          <w:sz w:val="24"/>
          <w:szCs w:val="24"/>
          <w:highlight w:val="white"/>
        </w:rPr>
        <w:t>‐</w:t>
      </w:r>
      <w:r w:rsidRPr="00492DC0">
        <w:rPr>
          <w:rFonts w:eastAsia="Roboto"/>
          <w:color w:val="0D0D0D"/>
          <w:sz w:val="24"/>
          <w:szCs w:val="24"/>
          <w:highlight w:val="white"/>
        </w:rPr>
        <w:t xml:space="preserve">art review. </w:t>
      </w:r>
      <w:r w:rsidRPr="00492DC0">
        <w:rPr>
          <w:rFonts w:eastAsia="Roboto"/>
          <w:i/>
          <w:color w:val="0D0D0D"/>
          <w:sz w:val="24"/>
          <w:szCs w:val="24"/>
          <w:highlight w:val="white"/>
        </w:rPr>
        <w:t>Security and Privacy</w:t>
      </w:r>
      <w:r w:rsidRPr="00492DC0">
        <w:rPr>
          <w:rFonts w:eastAsia="Roboto"/>
          <w:color w:val="0D0D0D"/>
          <w:sz w:val="24"/>
          <w:szCs w:val="24"/>
          <w:highlight w:val="white"/>
        </w:rPr>
        <w:t xml:space="preserve">, </w:t>
      </w:r>
      <w:r w:rsidRPr="00492DC0">
        <w:rPr>
          <w:rFonts w:eastAsia="Roboto"/>
          <w:i/>
          <w:color w:val="0D0D0D"/>
          <w:sz w:val="24"/>
          <w:szCs w:val="24"/>
          <w:highlight w:val="white"/>
        </w:rPr>
        <w:t>5</w:t>
      </w:r>
      <w:r w:rsidRPr="00492DC0">
        <w:rPr>
          <w:rFonts w:eastAsia="Roboto"/>
          <w:color w:val="0D0D0D"/>
          <w:sz w:val="24"/>
          <w:szCs w:val="24"/>
          <w:highlight w:val="white"/>
        </w:rPr>
        <w:t xml:space="preserve">(1). </w:t>
      </w:r>
      <w:hyperlink r:id="rId18">
        <w:r w:rsidRPr="00492DC0">
          <w:rPr>
            <w:rFonts w:eastAsia="Roboto"/>
            <w:color w:val="1155CC"/>
            <w:sz w:val="24"/>
            <w:szCs w:val="24"/>
            <w:highlight w:val="white"/>
            <w:u w:val="single"/>
          </w:rPr>
          <w:t>https://doi.org/10.1002/spy2.191</w:t>
        </w:r>
      </w:hyperlink>
      <w:r w:rsidRPr="00492DC0">
        <w:rPr>
          <w:rFonts w:eastAsia="Roboto"/>
          <w:color w:val="0D0D0D"/>
          <w:sz w:val="24"/>
          <w:szCs w:val="24"/>
          <w:highlight w:val="white"/>
        </w:rPr>
        <w:t xml:space="preserve"> </w:t>
      </w:r>
    </w:p>
    <w:p w14:paraId="2125B8D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Ali, A. (2024). Ethical Implications of Artificial Intelligence: Ensuring Patient Data Security. </w:t>
      </w:r>
      <w:r w:rsidRPr="00492DC0">
        <w:rPr>
          <w:rFonts w:eastAsia="Roboto"/>
          <w:i/>
          <w:color w:val="0D0D0D"/>
          <w:sz w:val="24"/>
          <w:szCs w:val="24"/>
          <w:highlight w:val="white"/>
        </w:rPr>
        <w:t>Approaches to Global Sustainability, Markets, and Governance</w:t>
      </w:r>
      <w:r w:rsidRPr="00492DC0">
        <w:rPr>
          <w:rFonts w:eastAsia="Roboto"/>
          <w:color w:val="0D0D0D"/>
          <w:sz w:val="24"/>
          <w:szCs w:val="24"/>
          <w:highlight w:val="white"/>
        </w:rPr>
        <w:t xml:space="preserve">, 149–164. </w:t>
      </w:r>
      <w:hyperlink r:id="rId19">
        <w:r w:rsidRPr="00492DC0">
          <w:rPr>
            <w:rFonts w:eastAsia="Roboto"/>
            <w:color w:val="1155CC"/>
            <w:sz w:val="24"/>
            <w:szCs w:val="24"/>
            <w:highlight w:val="white"/>
            <w:u w:val="single"/>
          </w:rPr>
          <w:t>https://doi.org/10.1007/978-981-97-9555-0_8</w:t>
        </w:r>
      </w:hyperlink>
      <w:r w:rsidRPr="00492DC0">
        <w:rPr>
          <w:rFonts w:eastAsia="Roboto"/>
          <w:color w:val="0D0D0D"/>
          <w:sz w:val="24"/>
          <w:szCs w:val="24"/>
          <w:highlight w:val="white"/>
        </w:rPr>
        <w:t xml:space="preserve"> </w:t>
      </w:r>
    </w:p>
    <w:p w14:paraId="3F312510"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Ali, G., </w:t>
      </w:r>
      <w:proofErr w:type="spellStart"/>
      <w:r w:rsidRPr="009C5696">
        <w:rPr>
          <w:rFonts w:eastAsia="Roboto"/>
          <w:color w:val="0D0D0D"/>
          <w:sz w:val="24"/>
          <w:szCs w:val="24"/>
          <w:highlight w:val="white"/>
          <w:lang w:val="es-ES"/>
        </w:rPr>
        <w:t>Dida</w:t>
      </w:r>
      <w:proofErr w:type="spellEnd"/>
      <w:r w:rsidRPr="009C5696">
        <w:rPr>
          <w:rFonts w:eastAsia="Roboto"/>
          <w:color w:val="0D0D0D"/>
          <w:sz w:val="24"/>
          <w:szCs w:val="24"/>
          <w:highlight w:val="white"/>
          <w:lang w:val="es-ES"/>
        </w:rPr>
        <w:t xml:space="preserve">, M. A., &amp; </w:t>
      </w:r>
      <w:proofErr w:type="spellStart"/>
      <w:r w:rsidRPr="009C5696">
        <w:rPr>
          <w:rFonts w:eastAsia="Roboto"/>
          <w:color w:val="0D0D0D"/>
          <w:sz w:val="24"/>
          <w:szCs w:val="24"/>
          <w:highlight w:val="white"/>
          <w:lang w:val="es-ES"/>
        </w:rPr>
        <w:t>Elikana</w:t>
      </w:r>
      <w:proofErr w:type="spellEnd"/>
      <w:r w:rsidRPr="009C5696">
        <w:rPr>
          <w:rFonts w:eastAsia="Roboto"/>
          <w:color w:val="0D0D0D"/>
          <w:sz w:val="24"/>
          <w:szCs w:val="24"/>
          <w:highlight w:val="white"/>
          <w:lang w:val="es-ES"/>
        </w:rPr>
        <w:t xml:space="preserve"> Sam, A. (2021). </w:t>
      </w:r>
      <w:r w:rsidRPr="00492DC0">
        <w:rPr>
          <w:rFonts w:eastAsia="Roboto"/>
          <w:color w:val="0D0D0D"/>
          <w:sz w:val="24"/>
          <w:szCs w:val="24"/>
          <w:highlight w:val="white"/>
        </w:rPr>
        <w:t xml:space="preserve">A Secure and Efficient Multi-Factor Authentication Algorithm for Mobile Money Applications. </w:t>
      </w:r>
      <w:r w:rsidRPr="00492DC0">
        <w:rPr>
          <w:rFonts w:eastAsia="Roboto"/>
          <w:i/>
          <w:color w:val="0D0D0D"/>
          <w:sz w:val="24"/>
          <w:szCs w:val="24"/>
          <w:highlight w:val="white"/>
        </w:rPr>
        <w:t>Future Internet</w:t>
      </w:r>
      <w:r w:rsidRPr="00492DC0">
        <w:rPr>
          <w:rFonts w:eastAsia="Roboto"/>
          <w:color w:val="0D0D0D"/>
          <w:sz w:val="24"/>
          <w:szCs w:val="24"/>
          <w:highlight w:val="white"/>
        </w:rPr>
        <w:t xml:space="preserve">, </w:t>
      </w:r>
      <w:r w:rsidRPr="00492DC0">
        <w:rPr>
          <w:rFonts w:eastAsia="Roboto"/>
          <w:i/>
          <w:color w:val="0D0D0D"/>
          <w:sz w:val="24"/>
          <w:szCs w:val="24"/>
          <w:highlight w:val="white"/>
        </w:rPr>
        <w:t>13</w:t>
      </w:r>
      <w:r w:rsidRPr="00492DC0">
        <w:rPr>
          <w:rFonts w:eastAsia="Roboto"/>
          <w:color w:val="0D0D0D"/>
          <w:sz w:val="24"/>
          <w:szCs w:val="24"/>
          <w:highlight w:val="white"/>
        </w:rPr>
        <w:t xml:space="preserve">(12), 299. </w:t>
      </w:r>
      <w:hyperlink r:id="rId20">
        <w:r w:rsidRPr="00492DC0">
          <w:rPr>
            <w:rFonts w:eastAsia="Roboto"/>
            <w:color w:val="1155CC"/>
            <w:sz w:val="24"/>
            <w:szCs w:val="24"/>
            <w:highlight w:val="white"/>
            <w:u w:val="single"/>
          </w:rPr>
          <w:t>https://doi.org/10.3390/fi13120299</w:t>
        </w:r>
      </w:hyperlink>
      <w:r w:rsidRPr="00492DC0">
        <w:rPr>
          <w:rFonts w:eastAsia="Roboto"/>
          <w:color w:val="0D0D0D"/>
          <w:sz w:val="24"/>
          <w:szCs w:val="24"/>
          <w:highlight w:val="white"/>
        </w:rPr>
        <w:t xml:space="preserve"> </w:t>
      </w:r>
    </w:p>
    <w:p w14:paraId="5B67B48C"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Alzahrani</w:t>
      </w:r>
      <w:proofErr w:type="spellEnd"/>
      <w:r w:rsidRPr="00492DC0">
        <w:rPr>
          <w:rFonts w:eastAsia="Roboto"/>
          <w:color w:val="0D0D0D"/>
          <w:sz w:val="24"/>
          <w:szCs w:val="24"/>
          <w:highlight w:val="white"/>
        </w:rPr>
        <w:t xml:space="preserve">, A. (2024). RLKS-TMS: A Robust and Lightweight Key Agreement Scheme for Telemedicine System. </w:t>
      </w:r>
      <w:r w:rsidRPr="00492DC0">
        <w:rPr>
          <w:rFonts w:eastAsia="Roboto"/>
          <w:i/>
          <w:color w:val="0D0D0D"/>
          <w:sz w:val="24"/>
          <w:szCs w:val="24"/>
          <w:highlight w:val="white"/>
        </w:rPr>
        <w:t>IEEE Access</w:t>
      </w:r>
      <w:r w:rsidRPr="00492DC0">
        <w:rPr>
          <w:rFonts w:eastAsia="Roboto"/>
          <w:color w:val="0D0D0D"/>
          <w:sz w:val="24"/>
          <w:szCs w:val="24"/>
          <w:highlight w:val="white"/>
        </w:rPr>
        <w:t xml:space="preserve">, </w:t>
      </w:r>
      <w:r w:rsidRPr="00492DC0">
        <w:rPr>
          <w:rFonts w:eastAsia="Roboto"/>
          <w:i/>
          <w:color w:val="0D0D0D"/>
          <w:sz w:val="24"/>
          <w:szCs w:val="24"/>
          <w:highlight w:val="white"/>
        </w:rPr>
        <w:t>12</w:t>
      </w:r>
      <w:r w:rsidRPr="00492DC0">
        <w:rPr>
          <w:rFonts w:eastAsia="Roboto"/>
          <w:color w:val="0D0D0D"/>
          <w:sz w:val="24"/>
          <w:szCs w:val="24"/>
          <w:highlight w:val="white"/>
        </w:rPr>
        <w:t xml:space="preserve">, 108233–108247. </w:t>
      </w:r>
      <w:hyperlink r:id="rId21">
        <w:r w:rsidRPr="00492DC0">
          <w:rPr>
            <w:rFonts w:eastAsia="Roboto"/>
            <w:color w:val="1155CC"/>
            <w:sz w:val="24"/>
            <w:szCs w:val="24"/>
            <w:highlight w:val="white"/>
            <w:u w:val="single"/>
          </w:rPr>
          <w:t>https://doi.org/10.1109/access.2024.3422038</w:t>
        </w:r>
      </w:hyperlink>
      <w:r w:rsidRPr="00492DC0">
        <w:rPr>
          <w:rFonts w:eastAsia="Roboto"/>
          <w:color w:val="0D0D0D"/>
          <w:sz w:val="24"/>
          <w:szCs w:val="24"/>
          <w:highlight w:val="white"/>
        </w:rPr>
        <w:t xml:space="preserve"> </w:t>
      </w:r>
    </w:p>
    <w:p w14:paraId="3486419E"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Arefin</w:t>
      </w:r>
      <w:proofErr w:type="spellEnd"/>
      <w:r w:rsidRPr="00492DC0">
        <w:rPr>
          <w:rFonts w:eastAsia="Roboto"/>
          <w:color w:val="0D0D0D"/>
          <w:sz w:val="24"/>
          <w:szCs w:val="24"/>
          <w:highlight w:val="white"/>
        </w:rPr>
        <w:t xml:space="preserve">, S., &amp; Simcox, M. (2024). AI-Driven Solutions for Safeguarding Healthcare Data: Innovations in Cybersecurity. </w:t>
      </w:r>
      <w:r w:rsidRPr="00492DC0">
        <w:rPr>
          <w:rFonts w:eastAsia="Roboto"/>
          <w:i/>
          <w:color w:val="0D0D0D"/>
          <w:sz w:val="24"/>
          <w:szCs w:val="24"/>
          <w:highlight w:val="white"/>
        </w:rPr>
        <w:t>International Business Research</w:t>
      </w:r>
      <w:r w:rsidRPr="00492DC0">
        <w:rPr>
          <w:rFonts w:eastAsia="Roboto"/>
          <w:color w:val="0D0D0D"/>
          <w:sz w:val="24"/>
          <w:szCs w:val="24"/>
          <w:highlight w:val="white"/>
        </w:rPr>
        <w:t xml:space="preserve">, </w:t>
      </w:r>
      <w:r w:rsidRPr="00492DC0">
        <w:rPr>
          <w:rFonts w:eastAsia="Roboto"/>
          <w:i/>
          <w:color w:val="0D0D0D"/>
          <w:sz w:val="24"/>
          <w:szCs w:val="24"/>
          <w:highlight w:val="white"/>
        </w:rPr>
        <w:t>17</w:t>
      </w:r>
      <w:r w:rsidRPr="00492DC0">
        <w:rPr>
          <w:rFonts w:eastAsia="Roboto"/>
          <w:color w:val="0D0D0D"/>
          <w:sz w:val="24"/>
          <w:szCs w:val="24"/>
          <w:highlight w:val="white"/>
        </w:rPr>
        <w:t xml:space="preserve">(6), 74. </w:t>
      </w:r>
      <w:hyperlink r:id="rId22">
        <w:r w:rsidRPr="00492DC0">
          <w:rPr>
            <w:rFonts w:eastAsia="Roboto"/>
            <w:color w:val="1155CC"/>
            <w:sz w:val="24"/>
            <w:szCs w:val="24"/>
            <w:highlight w:val="white"/>
            <w:u w:val="single"/>
          </w:rPr>
          <w:t>https://doi.org/10.5539/ibr.v17n6p74</w:t>
        </w:r>
      </w:hyperlink>
      <w:r w:rsidRPr="00492DC0">
        <w:rPr>
          <w:rFonts w:eastAsia="Roboto"/>
          <w:color w:val="0D0D0D"/>
          <w:sz w:val="24"/>
          <w:szCs w:val="24"/>
          <w:highlight w:val="white"/>
        </w:rPr>
        <w:t xml:space="preserve"> </w:t>
      </w:r>
    </w:p>
    <w:p w14:paraId="1D900D50"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Arif</w:t>
      </w:r>
      <w:proofErr w:type="spellEnd"/>
      <w:r w:rsidRPr="00492DC0">
        <w:rPr>
          <w:rFonts w:eastAsia="Roboto"/>
          <w:color w:val="0D0D0D"/>
          <w:sz w:val="24"/>
          <w:szCs w:val="24"/>
          <w:highlight w:val="white"/>
        </w:rPr>
        <w:t xml:space="preserve">, A., Khan, M. I., &amp; Khan, A. (2024). An overview of cyber threats generated by AI. </w:t>
      </w:r>
      <w:r w:rsidRPr="00492DC0">
        <w:rPr>
          <w:rFonts w:eastAsia="Roboto"/>
          <w:i/>
          <w:color w:val="0D0D0D"/>
          <w:sz w:val="24"/>
          <w:szCs w:val="24"/>
          <w:highlight w:val="white"/>
        </w:rPr>
        <w:t>International Journal of Multidisciplinary Sciences and Arts</w:t>
      </w:r>
      <w:r w:rsidRPr="00492DC0">
        <w:rPr>
          <w:rFonts w:eastAsia="Roboto"/>
          <w:color w:val="0D0D0D"/>
          <w:sz w:val="24"/>
          <w:szCs w:val="24"/>
          <w:highlight w:val="white"/>
        </w:rPr>
        <w:t xml:space="preserve">, </w:t>
      </w:r>
      <w:r w:rsidRPr="00492DC0">
        <w:rPr>
          <w:rFonts w:eastAsia="Roboto"/>
          <w:i/>
          <w:color w:val="0D0D0D"/>
          <w:sz w:val="24"/>
          <w:szCs w:val="24"/>
          <w:highlight w:val="white"/>
        </w:rPr>
        <w:t>3</w:t>
      </w:r>
      <w:r w:rsidRPr="00492DC0">
        <w:rPr>
          <w:rFonts w:eastAsia="Roboto"/>
          <w:color w:val="0D0D0D"/>
          <w:sz w:val="24"/>
          <w:szCs w:val="24"/>
          <w:highlight w:val="white"/>
        </w:rPr>
        <w:t xml:space="preserve">(4), 67–76. </w:t>
      </w:r>
      <w:hyperlink r:id="rId23">
        <w:r w:rsidRPr="00492DC0">
          <w:rPr>
            <w:rFonts w:eastAsia="Roboto"/>
            <w:color w:val="1155CC"/>
            <w:sz w:val="24"/>
            <w:szCs w:val="24"/>
            <w:highlight w:val="white"/>
            <w:u w:val="single"/>
          </w:rPr>
          <w:t>https://doi.org/10.47709/ijmdsa.v3i4.4753</w:t>
        </w:r>
      </w:hyperlink>
      <w:r w:rsidRPr="00492DC0">
        <w:rPr>
          <w:rFonts w:eastAsia="Roboto"/>
          <w:color w:val="0D0D0D"/>
          <w:sz w:val="24"/>
          <w:szCs w:val="24"/>
          <w:highlight w:val="white"/>
        </w:rPr>
        <w:t xml:space="preserve"> </w:t>
      </w:r>
    </w:p>
    <w:p w14:paraId="3A5B7168"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Awad</w:t>
      </w:r>
      <w:proofErr w:type="spellEnd"/>
      <w:r w:rsidRPr="00492DC0">
        <w:rPr>
          <w:rFonts w:eastAsia="Roboto"/>
          <w:color w:val="0D0D0D"/>
          <w:sz w:val="24"/>
          <w:szCs w:val="24"/>
          <w:highlight w:val="white"/>
        </w:rPr>
        <w:t xml:space="preserve">, A. I., </w:t>
      </w:r>
      <w:proofErr w:type="spellStart"/>
      <w:r w:rsidRPr="00492DC0">
        <w:rPr>
          <w:rFonts w:eastAsia="Roboto"/>
          <w:color w:val="0D0D0D"/>
          <w:sz w:val="24"/>
          <w:szCs w:val="24"/>
          <w:highlight w:val="white"/>
        </w:rPr>
        <w:t>Babu</w:t>
      </w:r>
      <w:proofErr w:type="spellEnd"/>
      <w:r w:rsidRPr="00492DC0">
        <w:rPr>
          <w:rFonts w:eastAsia="Roboto"/>
          <w:color w:val="0D0D0D"/>
          <w:sz w:val="24"/>
          <w:szCs w:val="24"/>
          <w:highlight w:val="white"/>
        </w:rPr>
        <w:t xml:space="preserve">, A., </w:t>
      </w:r>
      <w:proofErr w:type="spellStart"/>
      <w:r w:rsidRPr="00492DC0">
        <w:rPr>
          <w:rFonts w:eastAsia="Roboto"/>
          <w:color w:val="0D0D0D"/>
          <w:sz w:val="24"/>
          <w:szCs w:val="24"/>
          <w:highlight w:val="white"/>
        </w:rPr>
        <w:t>Barka</w:t>
      </w:r>
      <w:proofErr w:type="spellEnd"/>
      <w:r w:rsidRPr="00492DC0">
        <w:rPr>
          <w:rFonts w:eastAsia="Roboto"/>
          <w:color w:val="0D0D0D"/>
          <w:sz w:val="24"/>
          <w:szCs w:val="24"/>
          <w:highlight w:val="white"/>
        </w:rPr>
        <w:t xml:space="preserve">, E., &amp; Shuaib, K. (2024). AI-powered biometrics for Internet of Things security: A review and future vision. </w:t>
      </w:r>
      <w:r w:rsidRPr="00492DC0">
        <w:rPr>
          <w:rFonts w:eastAsia="Roboto"/>
          <w:i/>
          <w:color w:val="0D0D0D"/>
          <w:sz w:val="24"/>
          <w:szCs w:val="24"/>
          <w:highlight w:val="white"/>
        </w:rPr>
        <w:t>Journal of Information Security and Applications (Print)</w:t>
      </w:r>
      <w:r w:rsidRPr="00492DC0">
        <w:rPr>
          <w:rFonts w:eastAsia="Roboto"/>
          <w:color w:val="0D0D0D"/>
          <w:sz w:val="24"/>
          <w:szCs w:val="24"/>
          <w:highlight w:val="white"/>
        </w:rPr>
        <w:t xml:space="preserve">, </w:t>
      </w:r>
      <w:r w:rsidRPr="00492DC0">
        <w:rPr>
          <w:rFonts w:eastAsia="Roboto"/>
          <w:i/>
          <w:color w:val="0D0D0D"/>
          <w:sz w:val="24"/>
          <w:szCs w:val="24"/>
          <w:highlight w:val="white"/>
        </w:rPr>
        <w:t>82</w:t>
      </w:r>
      <w:r w:rsidRPr="00492DC0">
        <w:rPr>
          <w:rFonts w:eastAsia="Roboto"/>
          <w:color w:val="0D0D0D"/>
          <w:sz w:val="24"/>
          <w:szCs w:val="24"/>
          <w:highlight w:val="white"/>
        </w:rPr>
        <w:t xml:space="preserve">, 103748–103748. </w:t>
      </w:r>
      <w:hyperlink r:id="rId24">
        <w:r w:rsidRPr="00492DC0">
          <w:rPr>
            <w:rFonts w:eastAsia="Roboto"/>
            <w:color w:val="1155CC"/>
            <w:sz w:val="24"/>
            <w:szCs w:val="24"/>
            <w:highlight w:val="white"/>
            <w:u w:val="single"/>
          </w:rPr>
          <w:t>https://doi.org/10.1016/j.jisa.2024.103748</w:t>
        </w:r>
      </w:hyperlink>
      <w:r w:rsidRPr="00492DC0">
        <w:rPr>
          <w:rFonts w:eastAsia="Roboto"/>
          <w:color w:val="0D0D0D"/>
          <w:sz w:val="24"/>
          <w:szCs w:val="24"/>
          <w:highlight w:val="white"/>
        </w:rPr>
        <w:t xml:space="preserve">  </w:t>
      </w:r>
    </w:p>
    <w:p w14:paraId="611A7739"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lastRenderedPageBreak/>
        <w:t>Ayeswarya</w:t>
      </w:r>
      <w:proofErr w:type="spellEnd"/>
      <w:r w:rsidRPr="00492DC0">
        <w:rPr>
          <w:rFonts w:eastAsia="Roboto"/>
          <w:color w:val="0D0D0D"/>
          <w:sz w:val="24"/>
          <w:szCs w:val="24"/>
          <w:highlight w:val="white"/>
        </w:rPr>
        <w:t xml:space="preserve">, S., &amp; Singh, K. J. (2024). A comprehensive review on secure biometric-based continuous authentication and user profiling. </w:t>
      </w:r>
      <w:r w:rsidRPr="00492DC0">
        <w:rPr>
          <w:rFonts w:eastAsia="Roboto"/>
          <w:i/>
          <w:color w:val="0D0D0D"/>
          <w:sz w:val="24"/>
          <w:szCs w:val="24"/>
          <w:highlight w:val="white"/>
        </w:rPr>
        <w:t>IEEE Access</w:t>
      </w:r>
      <w:r w:rsidRPr="00492DC0">
        <w:rPr>
          <w:rFonts w:eastAsia="Roboto"/>
          <w:color w:val="0D0D0D"/>
          <w:sz w:val="24"/>
          <w:szCs w:val="24"/>
          <w:highlight w:val="white"/>
        </w:rPr>
        <w:t xml:space="preserve">, </w:t>
      </w:r>
      <w:r w:rsidRPr="00492DC0">
        <w:rPr>
          <w:rFonts w:eastAsia="Roboto"/>
          <w:i/>
          <w:color w:val="0D0D0D"/>
          <w:sz w:val="24"/>
          <w:szCs w:val="24"/>
          <w:highlight w:val="white"/>
        </w:rPr>
        <w:t>12</w:t>
      </w:r>
      <w:r w:rsidRPr="00492DC0">
        <w:rPr>
          <w:rFonts w:eastAsia="Roboto"/>
          <w:color w:val="0D0D0D"/>
          <w:sz w:val="24"/>
          <w:szCs w:val="24"/>
          <w:highlight w:val="white"/>
        </w:rPr>
        <w:t xml:space="preserve">, 82996–83021. </w:t>
      </w:r>
      <w:hyperlink r:id="rId25">
        <w:r w:rsidRPr="00492DC0">
          <w:rPr>
            <w:rFonts w:eastAsia="Roboto"/>
            <w:color w:val="1155CC"/>
            <w:sz w:val="24"/>
            <w:szCs w:val="24"/>
            <w:highlight w:val="white"/>
            <w:u w:val="single"/>
          </w:rPr>
          <w:t>https://doi.org/10.1109/access.2024.3411783</w:t>
        </w:r>
      </w:hyperlink>
      <w:r w:rsidRPr="00492DC0">
        <w:rPr>
          <w:rFonts w:eastAsia="Roboto"/>
          <w:color w:val="0D0D0D"/>
          <w:sz w:val="24"/>
          <w:szCs w:val="24"/>
          <w:highlight w:val="white"/>
        </w:rPr>
        <w:t xml:space="preserve"> </w:t>
      </w:r>
    </w:p>
    <w:p w14:paraId="4F5CBABF" w14:textId="77777777" w:rsidR="00C91EC2" w:rsidRPr="009C5696" w:rsidRDefault="0000391E" w:rsidP="00004EA2">
      <w:pPr>
        <w:spacing w:before="240" w:line="240" w:lineRule="auto"/>
        <w:ind w:left="720" w:hanging="720"/>
        <w:rPr>
          <w:rFonts w:eastAsia="Roboto"/>
          <w:color w:val="0D0D0D"/>
          <w:sz w:val="24"/>
          <w:szCs w:val="24"/>
          <w:highlight w:val="white"/>
          <w:lang w:val="es-ES"/>
        </w:rPr>
      </w:pPr>
      <w:proofErr w:type="spellStart"/>
      <w:r w:rsidRPr="00492DC0">
        <w:rPr>
          <w:rFonts w:eastAsia="Roboto"/>
          <w:color w:val="0D0D0D"/>
          <w:sz w:val="24"/>
          <w:szCs w:val="24"/>
          <w:highlight w:val="white"/>
        </w:rPr>
        <w:t>Bala</w:t>
      </w:r>
      <w:proofErr w:type="spellEnd"/>
      <w:r w:rsidRPr="00492DC0">
        <w:rPr>
          <w:rFonts w:eastAsia="Roboto"/>
          <w:color w:val="0D0D0D"/>
          <w:sz w:val="24"/>
          <w:szCs w:val="24"/>
          <w:highlight w:val="white"/>
        </w:rPr>
        <w:t xml:space="preserve">, I., </w:t>
      </w:r>
      <w:proofErr w:type="spellStart"/>
      <w:r w:rsidRPr="00492DC0">
        <w:rPr>
          <w:rFonts w:eastAsia="Roboto"/>
          <w:color w:val="0D0D0D"/>
          <w:sz w:val="24"/>
          <w:szCs w:val="24"/>
          <w:highlight w:val="white"/>
        </w:rPr>
        <w:t>Pindoo</w:t>
      </w:r>
      <w:proofErr w:type="spellEnd"/>
      <w:r w:rsidRPr="00492DC0">
        <w:rPr>
          <w:rFonts w:eastAsia="Roboto"/>
          <w:color w:val="0D0D0D"/>
          <w:sz w:val="24"/>
          <w:szCs w:val="24"/>
          <w:highlight w:val="white"/>
        </w:rPr>
        <w:t xml:space="preserve">, I., </w:t>
      </w:r>
      <w:proofErr w:type="spellStart"/>
      <w:r w:rsidRPr="00492DC0">
        <w:rPr>
          <w:rFonts w:eastAsia="Roboto"/>
          <w:color w:val="0D0D0D"/>
          <w:sz w:val="24"/>
          <w:szCs w:val="24"/>
          <w:highlight w:val="white"/>
        </w:rPr>
        <w:t>Mijwil</w:t>
      </w:r>
      <w:proofErr w:type="spellEnd"/>
      <w:r w:rsidRPr="00492DC0">
        <w:rPr>
          <w:rFonts w:eastAsia="Roboto"/>
          <w:color w:val="0D0D0D"/>
          <w:sz w:val="24"/>
          <w:szCs w:val="24"/>
          <w:highlight w:val="white"/>
        </w:rPr>
        <w:t xml:space="preserve">, M. M., </w:t>
      </w:r>
      <w:proofErr w:type="spellStart"/>
      <w:r w:rsidRPr="00492DC0">
        <w:rPr>
          <w:rFonts w:eastAsia="Roboto"/>
          <w:color w:val="0D0D0D"/>
          <w:sz w:val="24"/>
          <w:szCs w:val="24"/>
          <w:highlight w:val="white"/>
        </w:rPr>
        <w:t>Abotaleb</w:t>
      </w:r>
      <w:proofErr w:type="spellEnd"/>
      <w:r w:rsidRPr="00492DC0">
        <w:rPr>
          <w:rFonts w:eastAsia="Roboto"/>
          <w:color w:val="0D0D0D"/>
          <w:sz w:val="24"/>
          <w:szCs w:val="24"/>
          <w:highlight w:val="white"/>
        </w:rPr>
        <w:t xml:space="preserve">, M., &amp; </w:t>
      </w:r>
      <w:proofErr w:type="spellStart"/>
      <w:r w:rsidRPr="00492DC0">
        <w:rPr>
          <w:rFonts w:eastAsia="Roboto"/>
          <w:color w:val="0D0D0D"/>
          <w:sz w:val="24"/>
          <w:szCs w:val="24"/>
          <w:highlight w:val="white"/>
        </w:rPr>
        <w:t>Yundong</w:t>
      </w:r>
      <w:proofErr w:type="spellEnd"/>
      <w:r w:rsidRPr="00492DC0">
        <w:rPr>
          <w:rFonts w:eastAsia="Roboto"/>
          <w:color w:val="0D0D0D"/>
          <w:sz w:val="24"/>
          <w:szCs w:val="24"/>
          <w:highlight w:val="white"/>
        </w:rPr>
        <w:t xml:space="preserve">, W. (2024). Ensuring Security and Privacy in Healthcare Systems: A Review Exploring Challenges, Solutions, Future Trends, and the Practical Applications of Artificial Intelligence. </w:t>
      </w:r>
      <w:proofErr w:type="spellStart"/>
      <w:r w:rsidRPr="009C5696">
        <w:rPr>
          <w:rFonts w:eastAsia="Roboto"/>
          <w:i/>
          <w:color w:val="0D0D0D"/>
          <w:sz w:val="24"/>
          <w:szCs w:val="24"/>
          <w:highlight w:val="white"/>
          <w:lang w:val="es-ES"/>
        </w:rPr>
        <w:t>Jordan</w:t>
      </w:r>
      <w:proofErr w:type="spellEnd"/>
      <w:r w:rsidRPr="009C5696">
        <w:rPr>
          <w:rFonts w:eastAsia="Roboto"/>
          <w:i/>
          <w:color w:val="0D0D0D"/>
          <w:sz w:val="24"/>
          <w:szCs w:val="24"/>
          <w:highlight w:val="white"/>
          <w:lang w:val="es-ES"/>
        </w:rPr>
        <w:t xml:space="preserve"> Medical </w:t>
      </w:r>
      <w:proofErr w:type="spellStart"/>
      <w:r w:rsidRPr="009C5696">
        <w:rPr>
          <w:rFonts w:eastAsia="Roboto"/>
          <w:i/>
          <w:color w:val="0D0D0D"/>
          <w:sz w:val="24"/>
          <w:szCs w:val="24"/>
          <w:highlight w:val="white"/>
          <w:lang w:val="es-ES"/>
        </w:rPr>
        <w:t>Journal</w:t>
      </w:r>
      <w:proofErr w:type="spellEnd"/>
      <w:r w:rsidRPr="009C5696">
        <w:rPr>
          <w:rFonts w:eastAsia="Roboto"/>
          <w:color w:val="0D0D0D"/>
          <w:sz w:val="24"/>
          <w:szCs w:val="24"/>
          <w:highlight w:val="white"/>
          <w:lang w:val="es-ES"/>
        </w:rPr>
        <w:t xml:space="preserve">, </w:t>
      </w:r>
      <w:r w:rsidRPr="009C5696">
        <w:rPr>
          <w:rFonts w:eastAsia="Roboto"/>
          <w:i/>
          <w:color w:val="0D0D0D"/>
          <w:sz w:val="24"/>
          <w:szCs w:val="24"/>
          <w:highlight w:val="white"/>
          <w:lang w:val="es-ES"/>
        </w:rPr>
        <w:t>58</w:t>
      </w:r>
      <w:r w:rsidRPr="009C5696">
        <w:rPr>
          <w:rFonts w:eastAsia="Roboto"/>
          <w:color w:val="0D0D0D"/>
          <w:sz w:val="24"/>
          <w:szCs w:val="24"/>
          <w:highlight w:val="white"/>
          <w:lang w:val="es-ES"/>
        </w:rPr>
        <w:t xml:space="preserve">(2). </w:t>
      </w:r>
      <w:hyperlink r:id="rId26">
        <w:r w:rsidRPr="009C5696">
          <w:rPr>
            <w:rFonts w:eastAsia="Roboto"/>
            <w:color w:val="1155CC"/>
            <w:sz w:val="24"/>
            <w:szCs w:val="24"/>
            <w:highlight w:val="white"/>
            <w:u w:val="single"/>
            <w:lang w:val="es-ES"/>
          </w:rPr>
          <w:t>https://jjournals.ju.edu.jo/index.php/JMJ/article/view/2527</w:t>
        </w:r>
      </w:hyperlink>
      <w:r w:rsidRPr="009C5696">
        <w:rPr>
          <w:rFonts w:eastAsia="Roboto"/>
          <w:color w:val="0D0D0D"/>
          <w:sz w:val="24"/>
          <w:szCs w:val="24"/>
          <w:highlight w:val="white"/>
          <w:lang w:val="es-ES"/>
        </w:rPr>
        <w:t xml:space="preserve"> </w:t>
      </w:r>
    </w:p>
    <w:p w14:paraId="33750096"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Balogun, A. Y. (2025). Strengthening Compliance with Data Privacy Regulations in U.S. Healthcare Cybersecurity.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18</w:t>
      </w:r>
      <w:r w:rsidRPr="00492DC0">
        <w:rPr>
          <w:rFonts w:eastAsia="Roboto"/>
          <w:color w:val="0D0D0D"/>
          <w:sz w:val="24"/>
          <w:szCs w:val="24"/>
          <w:highlight w:val="white"/>
        </w:rPr>
        <w:t xml:space="preserve">(1), 154–173. </w:t>
      </w:r>
      <w:hyperlink r:id="rId27">
        <w:r w:rsidRPr="00492DC0">
          <w:rPr>
            <w:rFonts w:eastAsia="Roboto"/>
            <w:color w:val="1155CC"/>
            <w:sz w:val="24"/>
            <w:szCs w:val="24"/>
            <w:highlight w:val="white"/>
            <w:u w:val="single"/>
          </w:rPr>
          <w:t>https://doi.org/10.9734/ajrcos/2025/v18i1555</w:t>
        </w:r>
      </w:hyperlink>
      <w:r w:rsidRPr="00492DC0">
        <w:rPr>
          <w:rFonts w:eastAsia="Roboto"/>
          <w:color w:val="0D0D0D"/>
          <w:sz w:val="24"/>
          <w:szCs w:val="24"/>
          <w:highlight w:val="white"/>
        </w:rPr>
        <w:t xml:space="preserve"> </w:t>
      </w:r>
    </w:p>
    <w:p w14:paraId="2AA4541C"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Balogun, A. Y., </w:t>
      </w:r>
      <w:proofErr w:type="spellStart"/>
      <w:r w:rsidRPr="00492DC0">
        <w:rPr>
          <w:rFonts w:eastAsia="Roboto"/>
          <w:color w:val="0D0D0D"/>
          <w:sz w:val="24"/>
          <w:szCs w:val="24"/>
          <w:highlight w:val="white"/>
        </w:rPr>
        <w:t>Metibemu</w:t>
      </w:r>
      <w:proofErr w:type="spellEnd"/>
      <w:r w:rsidRPr="00492DC0">
        <w:rPr>
          <w:rFonts w:eastAsia="Roboto"/>
          <w:color w:val="0D0D0D"/>
          <w:sz w:val="24"/>
          <w:szCs w:val="24"/>
          <w:highlight w:val="white"/>
        </w:rPr>
        <w:t xml:space="preserve">, O. C., </w:t>
      </w:r>
      <w:proofErr w:type="spellStart"/>
      <w:r w:rsidRPr="00492DC0">
        <w:rPr>
          <w:rFonts w:eastAsia="Roboto"/>
          <w:color w:val="0D0D0D"/>
          <w:sz w:val="24"/>
          <w:szCs w:val="24"/>
          <w:highlight w:val="white"/>
        </w:rPr>
        <w:t>Olutimehin</w:t>
      </w:r>
      <w:proofErr w:type="spellEnd"/>
      <w:r w:rsidRPr="00492DC0">
        <w:rPr>
          <w:rFonts w:eastAsia="Roboto"/>
          <w:color w:val="0D0D0D"/>
          <w:sz w:val="24"/>
          <w:szCs w:val="24"/>
          <w:highlight w:val="white"/>
        </w:rPr>
        <w:t xml:space="preserve">, A. T., Ajayi, A. J., </w:t>
      </w:r>
      <w:proofErr w:type="spellStart"/>
      <w:r w:rsidRPr="00492DC0">
        <w:rPr>
          <w:rFonts w:eastAsia="Roboto"/>
          <w:color w:val="0D0D0D"/>
          <w:sz w:val="24"/>
          <w:szCs w:val="24"/>
          <w:highlight w:val="white"/>
        </w:rPr>
        <w:t>Babarinde</w:t>
      </w:r>
      <w:proofErr w:type="spellEnd"/>
      <w:r w:rsidRPr="00492DC0">
        <w:rPr>
          <w:rFonts w:eastAsia="Roboto"/>
          <w:color w:val="0D0D0D"/>
          <w:sz w:val="24"/>
          <w:szCs w:val="24"/>
          <w:highlight w:val="white"/>
        </w:rPr>
        <w:t xml:space="preserve">, D. C., &amp; </w:t>
      </w:r>
      <w:proofErr w:type="spellStart"/>
      <w:r w:rsidRPr="00492DC0">
        <w:rPr>
          <w:rFonts w:eastAsia="Roboto"/>
          <w:color w:val="0D0D0D"/>
          <w:sz w:val="24"/>
          <w:szCs w:val="24"/>
          <w:highlight w:val="white"/>
        </w:rPr>
        <w:t>Olaniyi</w:t>
      </w:r>
      <w:proofErr w:type="spellEnd"/>
      <w:r w:rsidRPr="00492DC0">
        <w:rPr>
          <w:rFonts w:eastAsia="Roboto"/>
          <w:color w:val="0D0D0D"/>
          <w:sz w:val="24"/>
          <w:szCs w:val="24"/>
          <w:highlight w:val="white"/>
        </w:rPr>
        <w:t xml:space="preserve">, O. O. (2025). The Ethical and Legal Implications of Shadow AI in Sensitive Industries: A Focus on Healthcare, Finance and Education.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27</w:t>
      </w:r>
      <w:r w:rsidRPr="00492DC0">
        <w:rPr>
          <w:rFonts w:eastAsia="Roboto"/>
          <w:color w:val="0D0D0D"/>
          <w:sz w:val="24"/>
          <w:szCs w:val="24"/>
          <w:highlight w:val="white"/>
        </w:rPr>
        <w:t xml:space="preserve">(3), 1–22. </w:t>
      </w:r>
      <w:hyperlink r:id="rId28">
        <w:r w:rsidRPr="00492DC0">
          <w:rPr>
            <w:rFonts w:eastAsia="Roboto"/>
            <w:color w:val="1155CC"/>
            <w:sz w:val="24"/>
            <w:szCs w:val="24"/>
            <w:highlight w:val="white"/>
            <w:u w:val="single"/>
          </w:rPr>
          <w:t>https://doi.org/10.9734/jerr/2025/v27i31414</w:t>
        </w:r>
      </w:hyperlink>
      <w:r w:rsidRPr="00492DC0">
        <w:rPr>
          <w:rFonts w:eastAsia="Roboto"/>
          <w:color w:val="0D0D0D"/>
          <w:sz w:val="24"/>
          <w:szCs w:val="24"/>
          <w:highlight w:val="white"/>
        </w:rPr>
        <w:t xml:space="preserve"> </w:t>
      </w:r>
    </w:p>
    <w:p w14:paraId="7D3B72EF"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9C5696">
        <w:rPr>
          <w:rFonts w:eastAsia="Roboto"/>
          <w:color w:val="0D0D0D"/>
          <w:sz w:val="24"/>
          <w:szCs w:val="24"/>
          <w:highlight w:val="white"/>
          <w:lang w:val="es-ES"/>
        </w:rPr>
        <w:t>Balogun</w:t>
      </w:r>
      <w:proofErr w:type="spellEnd"/>
      <w:r w:rsidRPr="009C5696">
        <w:rPr>
          <w:rFonts w:eastAsia="Roboto"/>
          <w:color w:val="0D0D0D"/>
          <w:sz w:val="24"/>
          <w:szCs w:val="24"/>
          <w:highlight w:val="white"/>
          <w:lang w:val="es-ES"/>
        </w:rPr>
        <w:t xml:space="preserve">, A. Y., </w:t>
      </w:r>
      <w:proofErr w:type="spellStart"/>
      <w:r w:rsidRPr="009C5696">
        <w:rPr>
          <w:rFonts w:eastAsia="Roboto"/>
          <w:color w:val="0D0D0D"/>
          <w:sz w:val="24"/>
          <w:szCs w:val="24"/>
          <w:highlight w:val="white"/>
          <w:lang w:val="es-ES"/>
        </w:rPr>
        <w:t>Olaniyi</w:t>
      </w:r>
      <w:proofErr w:type="spellEnd"/>
      <w:r w:rsidRPr="009C5696">
        <w:rPr>
          <w:rFonts w:eastAsia="Roboto"/>
          <w:color w:val="0D0D0D"/>
          <w:sz w:val="24"/>
          <w:szCs w:val="24"/>
          <w:highlight w:val="white"/>
          <w:lang w:val="es-ES"/>
        </w:rPr>
        <w:t xml:space="preserve">, O. O., </w:t>
      </w:r>
      <w:proofErr w:type="spellStart"/>
      <w:r w:rsidRPr="009C5696">
        <w:rPr>
          <w:rFonts w:eastAsia="Roboto"/>
          <w:color w:val="0D0D0D"/>
          <w:sz w:val="24"/>
          <w:szCs w:val="24"/>
          <w:highlight w:val="white"/>
          <w:lang w:val="es-ES"/>
        </w:rPr>
        <w:t>Olisa</w:t>
      </w:r>
      <w:proofErr w:type="spellEnd"/>
      <w:r w:rsidRPr="009C5696">
        <w:rPr>
          <w:rFonts w:eastAsia="Roboto"/>
          <w:color w:val="0D0D0D"/>
          <w:sz w:val="24"/>
          <w:szCs w:val="24"/>
          <w:highlight w:val="white"/>
          <w:lang w:val="es-ES"/>
        </w:rPr>
        <w:t xml:space="preserve">, A. O., </w:t>
      </w:r>
      <w:proofErr w:type="spellStart"/>
      <w:r w:rsidRPr="009C5696">
        <w:rPr>
          <w:rFonts w:eastAsia="Roboto"/>
          <w:color w:val="0D0D0D"/>
          <w:sz w:val="24"/>
          <w:szCs w:val="24"/>
          <w:highlight w:val="white"/>
          <w:lang w:val="es-ES"/>
        </w:rPr>
        <w:t>Gbadebo</w:t>
      </w:r>
      <w:proofErr w:type="spellEnd"/>
      <w:r w:rsidRPr="009C5696">
        <w:rPr>
          <w:rFonts w:eastAsia="Roboto"/>
          <w:color w:val="0D0D0D"/>
          <w:sz w:val="24"/>
          <w:szCs w:val="24"/>
          <w:highlight w:val="white"/>
          <w:lang w:val="es-ES"/>
        </w:rPr>
        <w:t xml:space="preserve">, M. O., &amp; </w:t>
      </w:r>
      <w:proofErr w:type="spellStart"/>
      <w:r w:rsidRPr="009C5696">
        <w:rPr>
          <w:rFonts w:eastAsia="Roboto"/>
          <w:color w:val="0D0D0D"/>
          <w:sz w:val="24"/>
          <w:szCs w:val="24"/>
          <w:highlight w:val="white"/>
          <w:lang w:val="es-ES"/>
        </w:rPr>
        <w:t>Chinye</w:t>
      </w:r>
      <w:proofErr w:type="spellEnd"/>
      <w:r w:rsidRPr="009C5696">
        <w:rPr>
          <w:rFonts w:eastAsia="Roboto"/>
          <w:color w:val="0D0D0D"/>
          <w:sz w:val="24"/>
          <w:szCs w:val="24"/>
          <w:highlight w:val="white"/>
          <w:lang w:val="es-ES"/>
        </w:rPr>
        <w:t xml:space="preserve">, N. C. (2025). </w:t>
      </w:r>
      <w:r w:rsidRPr="00492DC0">
        <w:rPr>
          <w:rFonts w:eastAsia="Roboto"/>
          <w:color w:val="0D0D0D"/>
          <w:sz w:val="24"/>
          <w:szCs w:val="24"/>
          <w:highlight w:val="white"/>
        </w:rPr>
        <w:t xml:space="preserve">Enhancing Incident Response Strategies in U.S. Healthcare Cybersecurity.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27</w:t>
      </w:r>
      <w:r w:rsidRPr="00492DC0">
        <w:rPr>
          <w:rFonts w:eastAsia="Roboto"/>
          <w:color w:val="0D0D0D"/>
          <w:sz w:val="24"/>
          <w:szCs w:val="24"/>
          <w:highlight w:val="white"/>
        </w:rPr>
        <w:t xml:space="preserve">(2), 114–135. </w:t>
      </w:r>
      <w:hyperlink r:id="rId29">
        <w:r w:rsidRPr="00492DC0">
          <w:rPr>
            <w:rFonts w:eastAsia="Roboto"/>
            <w:color w:val="1155CC"/>
            <w:sz w:val="24"/>
            <w:szCs w:val="24"/>
            <w:highlight w:val="white"/>
            <w:u w:val="single"/>
          </w:rPr>
          <w:t>https://doi.org/10.9734/jerr/2025/v27i21399</w:t>
        </w:r>
      </w:hyperlink>
      <w:r w:rsidRPr="00492DC0">
        <w:rPr>
          <w:rFonts w:eastAsia="Roboto"/>
          <w:color w:val="0D0D0D"/>
          <w:sz w:val="24"/>
          <w:szCs w:val="24"/>
          <w:highlight w:val="white"/>
        </w:rPr>
        <w:t xml:space="preserve"> </w:t>
      </w:r>
    </w:p>
    <w:p w14:paraId="6CB546F0"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Bellarine Medical Group. (2024). </w:t>
      </w:r>
      <w:r w:rsidRPr="00492DC0">
        <w:rPr>
          <w:rFonts w:eastAsia="Roboto"/>
          <w:i/>
          <w:color w:val="0D0D0D"/>
          <w:sz w:val="24"/>
          <w:szCs w:val="24"/>
          <w:highlight w:val="white"/>
        </w:rPr>
        <w:t>Cyber Incident - Bellarine Medical Group</w:t>
      </w:r>
      <w:r w:rsidRPr="00492DC0">
        <w:rPr>
          <w:rFonts w:eastAsia="Roboto"/>
          <w:color w:val="0D0D0D"/>
          <w:sz w:val="24"/>
          <w:szCs w:val="24"/>
          <w:highlight w:val="white"/>
        </w:rPr>
        <w:t xml:space="preserve">. Bellarine Medical Group. </w:t>
      </w:r>
      <w:hyperlink r:id="rId30">
        <w:r w:rsidRPr="00492DC0">
          <w:rPr>
            <w:rFonts w:eastAsia="Roboto"/>
            <w:color w:val="1155CC"/>
            <w:sz w:val="24"/>
            <w:szCs w:val="24"/>
            <w:highlight w:val="white"/>
            <w:u w:val="single"/>
          </w:rPr>
          <w:t>https://www.bellarinemedicalgroup.com.au/cyber-incident/</w:t>
        </w:r>
      </w:hyperlink>
      <w:r w:rsidRPr="00492DC0">
        <w:rPr>
          <w:rFonts w:eastAsia="Roboto"/>
          <w:color w:val="0D0D0D"/>
          <w:sz w:val="24"/>
          <w:szCs w:val="24"/>
          <w:highlight w:val="white"/>
        </w:rPr>
        <w:t xml:space="preserve"> </w:t>
      </w:r>
    </w:p>
    <w:p w14:paraId="016F58CE"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Chan, W., Gai, K., Yu, J., &amp; Zhu, L. (2025). Blockchain-Assisted Self-Sovereign Identities on Education: A Survey. </w:t>
      </w:r>
      <w:r w:rsidRPr="00492DC0">
        <w:rPr>
          <w:rFonts w:eastAsia="Roboto"/>
          <w:i/>
          <w:color w:val="0D0D0D"/>
          <w:sz w:val="24"/>
          <w:szCs w:val="24"/>
          <w:highlight w:val="white"/>
        </w:rPr>
        <w:t>Blockchains</w:t>
      </w:r>
      <w:r w:rsidRPr="00492DC0">
        <w:rPr>
          <w:rFonts w:eastAsia="Roboto"/>
          <w:color w:val="0D0D0D"/>
          <w:sz w:val="24"/>
          <w:szCs w:val="24"/>
          <w:highlight w:val="white"/>
        </w:rPr>
        <w:t xml:space="preserve">, </w:t>
      </w:r>
      <w:r w:rsidRPr="00492DC0">
        <w:rPr>
          <w:rFonts w:eastAsia="Roboto"/>
          <w:i/>
          <w:color w:val="0D0D0D"/>
          <w:sz w:val="24"/>
          <w:szCs w:val="24"/>
          <w:highlight w:val="white"/>
        </w:rPr>
        <w:t>3</w:t>
      </w:r>
      <w:r w:rsidRPr="00492DC0">
        <w:rPr>
          <w:rFonts w:eastAsia="Roboto"/>
          <w:color w:val="0D0D0D"/>
          <w:sz w:val="24"/>
          <w:szCs w:val="24"/>
          <w:highlight w:val="white"/>
        </w:rPr>
        <w:t xml:space="preserve">(1), 3. </w:t>
      </w:r>
      <w:hyperlink r:id="rId31">
        <w:r w:rsidRPr="00492DC0">
          <w:rPr>
            <w:rFonts w:eastAsia="Roboto"/>
            <w:color w:val="1155CC"/>
            <w:sz w:val="24"/>
            <w:szCs w:val="24"/>
            <w:highlight w:val="white"/>
            <w:u w:val="single"/>
          </w:rPr>
          <w:t>https://doi.org/10.3390/blockchains3010003</w:t>
        </w:r>
      </w:hyperlink>
      <w:r w:rsidRPr="00492DC0">
        <w:rPr>
          <w:rFonts w:eastAsia="Roboto"/>
          <w:color w:val="0D0D0D"/>
          <w:sz w:val="24"/>
          <w:szCs w:val="24"/>
          <w:highlight w:val="white"/>
        </w:rPr>
        <w:t xml:space="preserve"> </w:t>
      </w:r>
    </w:p>
    <w:p w14:paraId="27AE94CE" w14:textId="77777777" w:rsidR="00C91EC2" w:rsidRPr="009C5696" w:rsidRDefault="0000391E" w:rsidP="00004EA2">
      <w:pPr>
        <w:spacing w:before="240" w:line="240" w:lineRule="auto"/>
        <w:ind w:left="720" w:hanging="720"/>
        <w:rPr>
          <w:rFonts w:eastAsia="Roboto"/>
          <w:color w:val="0D0D0D"/>
          <w:sz w:val="24"/>
          <w:szCs w:val="24"/>
          <w:highlight w:val="white"/>
          <w:lang w:val="es-ES"/>
        </w:rPr>
      </w:pPr>
      <w:proofErr w:type="spellStart"/>
      <w:r w:rsidRPr="00492DC0">
        <w:rPr>
          <w:rFonts w:eastAsia="Roboto"/>
          <w:color w:val="0D0D0D"/>
          <w:sz w:val="24"/>
          <w:szCs w:val="24"/>
          <w:highlight w:val="white"/>
        </w:rPr>
        <w:t>Chataut</w:t>
      </w:r>
      <w:proofErr w:type="spellEnd"/>
      <w:r w:rsidRPr="00492DC0">
        <w:rPr>
          <w:rFonts w:eastAsia="Roboto"/>
          <w:color w:val="0D0D0D"/>
          <w:sz w:val="24"/>
          <w:szCs w:val="24"/>
          <w:highlight w:val="white"/>
        </w:rPr>
        <w:t xml:space="preserve">, R., Usman, Y., Rahman, C. M. A., </w:t>
      </w:r>
      <w:proofErr w:type="spellStart"/>
      <w:r w:rsidRPr="00492DC0">
        <w:rPr>
          <w:rFonts w:eastAsia="Roboto"/>
          <w:color w:val="0D0D0D"/>
          <w:sz w:val="24"/>
          <w:szCs w:val="24"/>
          <w:highlight w:val="white"/>
        </w:rPr>
        <w:t>Gyawali</w:t>
      </w:r>
      <w:proofErr w:type="spellEnd"/>
      <w:r w:rsidRPr="00492DC0">
        <w:rPr>
          <w:rFonts w:eastAsia="Roboto"/>
          <w:color w:val="0D0D0D"/>
          <w:sz w:val="24"/>
          <w:szCs w:val="24"/>
          <w:highlight w:val="white"/>
        </w:rPr>
        <w:t xml:space="preserve">, S., &amp; </w:t>
      </w:r>
      <w:proofErr w:type="spellStart"/>
      <w:r w:rsidRPr="00492DC0">
        <w:rPr>
          <w:rFonts w:eastAsia="Roboto"/>
          <w:color w:val="0D0D0D"/>
          <w:sz w:val="24"/>
          <w:szCs w:val="24"/>
          <w:highlight w:val="white"/>
        </w:rPr>
        <w:t>Gyawali</w:t>
      </w:r>
      <w:proofErr w:type="spellEnd"/>
      <w:r w:rsidRPr="00492DC0">
        <w:rPr>
          <w:rFonts w:eastAsia="Roboto"/>
          <w:color w:val="0D0D0D"/>
          <w:sz w:val="24"/>
          <w:szCs w:val="24"/>
          <w:highlight w:val="white"/>
        </w:rPr>
        <w:t xml:space="preserve">, P. K. (2024). Enhancing Phishing Detection with AI: A Novel Dataset and Comprehensive Analysis Using Machine Learning and Large Language Models. </w:t>
      </w:r>
      <w:r w:rsidRPr="00492DC0">
        <w:rPr>
          <w:rFonts w:eastAsia="Roboto"/>
          <w:i/>
          <w:color w:val="0D0D0D"/>
          <w:sz w:val="24"/>
          <w:szCs w:val="24"/>
          <w:highlight w:val="white"/>
        </w:rPr>
        <w:t>2024 IEEE 15th Annual Ubiquitous Computing, Electronics &amp; Mobile Communication Conference (UEMCON)</w:t>
      </w:r>
      <w:r w:rsidRPr="00492DC0">
        <w:rPr>
          <w:rFonts w:eastAsia="Roboto"/>
          <w:color w:val="0D0D0D"/>
          <w:sz w:val="24"/>
          <w:szCs w:val="24"/>
          <w:highlight w:val="white"/>
        </w:rPr>
        <w:t xml:space="preserve">, 0226–0232. </w:t>
      </w:r>
      <w:hyperlink r:id="rId32">
        <w:r w:rsidRPr="009C5696">
          <w:rPr>
            <w:rFonts w:eastAsia="Roboto"/>
            <w:color w:val="1155CC"/>
            <w:sz w:val="24"/>
            <w:szCs w:val="24"/>
            <w:highlight w:val="white"/>
            <w:u w:val="single"/>
            <w:lang w:val="es-ES"/>
          </w:rPr>
          <w:t>https://doi.org/10.1109/uemcon62879.2024.10754710</w:t>
        </w:r>
      </w:hyperlink>
      <w:r w:rsidRPr="009C5696">
        <w:rPr>
          <w:rFonts w:eastAsia="Roboto"/>
          <w:color w:val="0D0D0D"/>
          <w:sz w:val="24"/>
          <w:szCs w:val="24"/>
          <w:highlight w:val="white"/>
          <w:lang w:val="es-ES"/>
        </w:rPr>
        <w:t xml:space="preserve"> </w:t>
      </w:r>
    </w:p>
    <w:p w14:paraId="6F8F5EA1"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9C5696">
        <w:rPr>
          <w:rFonts w:eastAsia="Roboto"/>
          <w:color w:val="0D0D0D"/>
          <w:sz w:val="24"/>
          <w:szCs w:val="24"/>
          <w:highlight w:val="white"/>
          <w:lang w:val="es-ES"/>
        </w:rPr>
        <w:t>Chaturvedi</w:t>
      </w:r>
      <w:proofErr w:type="spellEnd"/>
      <w:r w:rsidRPr="009C5696">
        <w:rPr>
          <w:rFonts w:eastAsia="Roboto"/>
          <w:color w:val="0D0D0D"/>
          <w:sz w:val="24"/>
          <w:szCs w:val="24"/>
          <w:highlight w:val="white"/>
          <w:lang w:val="es-ES"/>
        </w:rPr>
        <w:t xml:space="preserve">, I., </w:t>
      </w:r>
      <w:proofErr w:type="spellStart"/>
      <w:r w:rsidRPr="009C5696">
        <w:rPr>
          <w:rFonts w:eastAsia="Roboto"/>
          <w:color w:val="0D0D0D"/>
          <w:sz w:val="24"/>
          <w:szCs w:val="24"/>
          <w:highlight w:val="white"/>
          <w:lang w:val="es-ES"/>
        </w:rPr>
        <w:t>Pawar</w:t>
      </w:r>
      <w:proofErr w:type="spellEnd"/>
      <w:r w:rsidRPr="009C5696">
        <w:rPr>
          <w:rFonts w:eastAsia="Roboto"/>
          <w:color w:val="0D0D0D"/>
          <w:sz w:val="24"/>
          <w:szCs w:val="24"/>
          <w:highlight w:val="white"/>
          <w:lang w:val="es-ES"/>
        </w:rPr>
        <w:t xml:space="preserve">, P. M., </w:t>
      </w:r>
      <w:proofErr w:type="spellStart"/>
      <w:r w:rsidRPr="009C5696">
        <w:rPr>
          <w:rFonts w:eastAsia="Roboto"/>
          <w:color w:val="0D0D0D"/>
          <w:sz w:val="24"/>
          <w:szCs w:val="24"/>
          <w:highlight w:val="white"/>
          <w:lang w:val="es-ES"/>
        </w:rPr>
        <w:t>Muthalagu</w:t>
      </w:r>
      <w:proofErr w:type="spellEnd"/>
      <w:r w:rsidRPr="009C5696">
        <w:rPr>
          <w:rFonts w:eastAsia="Roboto"/>
          <w:color w:val="0D0D0D"/>
          <w:sz w:val="24"/>
          <w:szCs w:val="24"/>
          <w:highlight w:val="white"/>
          <w:lang w:val="es-ES"/>
        </w:rPr>
        <w:t xml:space="preserve">, R., &amp; </w:t>
      </w:r>
      <w:proofErr w:type="spellStart"/>
      <w:r w:rsidRPr="009C5696">
        <w:rPr>
          <w:rFonts w:eastAsia="Roboto"/>
          <w:color w:val="0D0D0D"/>
          <w:sz w:val="24"/>
          <w:szCs w:val="24"/>
          <w:highlight w:val="white"/>
          <w:lang w:val="es-ES"/>
        </w:rPr>
        <w:t>Tamizharasan</w:t>
      </w:r>
      <w:proofErr w:type="spellEnd"/>
      <w:r w:rsidRPr="009C5696">
        <w:rPr>
          <w:rFonts w:eastAsia="Roboto"/>
          <w:color w:val="0D0D0D"/>
          <w:sz w:val="24"/>
          <w:szCs w:val="24"/>
          <w:highlight w:val="white"/>
          <w:lang w:val="es-ES"/>
        </w:rPr>
        <w:t xml:space="preserve">, P. S. (2024). </w:t>
      </w:r>
      <w:r w:rsidRPr="00492DC0">
        <w:rPr>
          <w:rFonts w:eastAsia="Roboto"/>
          <w:color w:val="0D0D0D"/>
          <w:sz w:val="24"/>
          <w:szCs w:val="24"/>
          <w:highlight w:val="white"/>
        </w:rPr>
        <w:t xml:space="preserve">Zero Trust Security Architecture for Digital Privacy in Healthcare. </w:t>
      </w:r>
      <w:r w:rsidRPr="00492DC0">
        <w:rPr>
          <w:rFonts w:eastAsia="Roboto"/>
          <w:i/>
          <w:color w:val="0D0D0D"/>
          <w:sz w:val="24"/>
          <w:szCs w:val="24"/>
          <w:highlight w:val="white"/>
        </w:rPr>
        <w:t>Springer Nature</w:t>
      </w:r>
      <w:r w:rsidRPr="00492DC0">
        <w:rPr>
          <w:rFonts w:eastAsia="Roboto"/>
          <w:color w:val="0D0D0D"/>
          <w:sz w:val="24"/>
          <w:szCs w:val="24"/>
          <w:highlight w:val="white"/>
        </w:rPr>
        <w:t xml:space="preserve">, 1–23. </w:t>
      </w:r>
      <w:hyperlink r:id="rId33">
        <w:r w:rsidRPr="00492DC0">
          <w:rPr>
            <w:rFonts w:eastAsia="Roboto"/>
            <w:color w:val="1155CC"/>
            <w:sz w:val="24"/>
            <w:szCs w:val="24"/>
            <w:highlight w:val="white"/>
            <w:u w:val="single"/>
          </w:rPr>
          <w:t>https://doi.org/10.1007/978-981-97-0407-1_1</w:t>
        </w:r>
      </w:hyperlink>
      <w:r w:rsidRPr="00492DC0">
        <w:rPr>
          <w:rFonts w:eastAsia="Roboto"/>
          <w:color w:val="0D0D0D"/>
          <w:sz w:val="24"/>
          <w:szCs w:val="24"/>
          <w:highlight w:val="white"/>
        </w:rPr>
        <w:t xml:space="preserve"> </w:t>
      </w:r>
    </w:p>
    <w:p w14:paraId="6A2E29E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Chaudhary, S., </w:t>
      </w:r>
      <w:proofErr w:type="spellStart"/>
      <w:r w:rsidRPr="00492DC0">
        <w:rPr>
          <w:rFonts w:eastAsia="Roboto"/>
          <w:color w:val="0D0D0D"/>
          <w:sz w:val="24"/>
          <w:szCs w:val="24"/>
          <w:highlight w:val="white"/>
        </w:rPr>
        <w:t>Kakkar</w:t>
      </w:r>
      <w:proofErr w:type="spellEnd"/>
      <w:r w:rsidRPr="00492DC0">
        <w:rPr>
          <w:rFonts w:eastAsia="Roboto"/>
          <w:color w:val="0D0D0D"/>
          <w:sz w:val="24"/>
          <w:szCs w:val="24"/>
          <w:highlight w:val="white"/>
        </w:rPr>
        <w:t xml:space="preserve">, R., Jadav, N. K., Nair, A., Gupta, R., </w:t>
      </w:r>
      <w:proofErr w:type="spellStart"/>
      <w:r w:rsidRPr="00492DC0">
        <w:rPr>
          <w:rFonts w:eastAsia="Roboto"/>
          <w:color w:val="0D0D0D"/>
          <w:sz w:val="24"/>
          <w:szCs w:val="24"/>
          <w:highlight w:val="white"/>
        </w:rPr>
        <w:t>Tanwar</w:t>
      </w:r>
      <w:proofErr w:type="spellEnd"/>
      <w:r w:rsidRPr="00492DC0">
        <w:rPr>
          <w:rFonts w:eastAsia="Roboto"/>
          <w:color w:val="0D0D0D"/>
          <w:sz w:val="24"/>
          <w:szCs w:val="24"/>
          <w:highlight w:val="white"/>
        </w:rPr>
        <w:t xml:space="preserve">, S., Agrawal, S., </w:t>
      </w:r>
      <w:proofErr w:type="spellStart"/>
      <w:r w:rsidRPr="00492DC0">
        <w:rPr>
          <w:rFonts w:eastAsia="Roboto"/>
          <w:color w:val="0D0D0D"/>
          <w:sz w:val="24"/>
          <w:szCs w:val="24"/>
          <w:highlight w:val="white"/>
        </w:rPr>
        <w:t>Alshehri</w:t>
      </w:r>
      <w:proofErr w:type="spellEnd"/>
      <w:r w:rsidRPr="00492DC0">
        <w:rPr>
          <w:rFonts w:eastAsia="Roboto"/>
          <w:color w:val="0D0D0D"/>
          <w:sz w:val="24"/>
          <w:szCs w:val="24"/>
          <w:highlight w:val="white"/>
        </w:rPr>
        <w:t xml:space="preserve">, M. D., Sharma, R., Sharma, G., &amp; Davidson, I. E. (2022). A Taxonomy on Smart Healthcare Technologies: Security Framework, Case Study, and Future Directions. </w:t>
      </w:r>
      <w:r w:rsidRPr="00492DC0">
        <w:rPr>
          <w:rFonts w:eastAsia="Roboto"/>
          <w:i/>
          <w:color w:val="0D0D0D"/>
          <w:sz w:val="24"/>
          <w:szCs w:val="24"/>
          <w:highlight w:val="white"/>
        </w:rPr>
        <w:t>Journal of Sensors</w:t>
      </w:r>
      <w:r w:rsidRPr="00492DC0">
        <w:rPr>
          <w:rFonts w:eastAsia="Roboto"/>
          <w:color w:val="0D0D0D"/>
          <w:sz w:val="24"/>
          <w:szCs w:val="24"/>
          <w:highlight w:val="white"/>
        </w:rPr>
        <w:t xml:space="preserve">, </w:t>
      </w:r>
      <w:r w:rsidRPr="00492DC0">
        <w:rPr>
          <w:rFonts w:eastAsia="Roboto"/>
          <w:i/>
          <w:color w:val="0D0D0D"/>
          <w:sz w:val="24"/>
          <w:szCs w:val="24"/>
          <w:highlight w:val="white"/>
        </w:rPr>
        <w:t>2022</w:t>
      </w:r>
      <w:r w:rsidRPr="00492DC0">
        <w:rPr>
          <w:rFonts w:eastAsia="Roboto"/>
          <w:color w:val="0D0D0D"/>
          <w:sz w:val="24"/>
          <w:szCs w:val="24"/>
          <w:highlight w:val="white"/>
        </w:rPr>
        <w:t xml:space="preserve">(1), 1–30. </w:t>
      </w:r>
      <w:hyperlink r:id="rId34">
        <w:r w:rsidRPr="00492DC0">
          <w:rPr>
            <w:rFonts w:eastAsia="Roboto"/>
            <w:color w:val="1155CC"/>
            <w:sz w:val="24"/>
            <w:szCs w:val="24"/>
            <w:highlight w:val="white"/>
            <w:u w:val="single"/>
          </w:rPr>
          <w:t>https://doi.org/10.1155/2022/1863838</w:t>
        </w:r>
      </w:hyperlink>
      <w:r w:rsidRPr="00492DC0">
        <w:rPr>
          <w:rFonts w:eastAsia="Roboto"/>
          <w:color w:val="0D0D0D"/>
          <w:sz w:val="24"/>
          <w:szCs w:val="24"/>
          <w:highlight w:val="white"/>
        </w:rPr>
        <w:t xml:space="preserve"> </w:t>
      </w:r>
    </w:p>
    <w:p w14:paraId="080987D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lastRenderedPageBreak/>
        <w:t xml:space="preserve">Chavan, D. S., &amp; </w:t>
      </w:r>
      <w:proofErr w:type="spellStart"/>
      <w:r w:rsidRPr="00492DC0">
        <w:rPr>
          <w:rFonts w:eastAsia="Roboto"/>
          <w:color w:val="0D0D0D"/>
          <w:sz w:val="24"/>
          <w:szCs w:val="24"/>
          <w:highlight w:val="white"/>
        </w:rPr>
        <w:t>Kanade</w:t>
      </w:r>
      <w:proofErr w:type="spellEnd"/>
      <w:r w:rsidRPr="00492DC0">
        <w:rPr>
          <w:rFonts w:eastAsia="Roboto"/>
          <w:color w:val="0D0D0D"/>
          <w:sz w:val="24"/>
          <w:szCs w:val="24"/>
          <w:highlight w:val="white"/>
        </w:rPr>
        <w:t xml:space="preserve">, T. M. (2024). Blockchain and Cybersecurity Revolutionizing Healthcare in the Digital Era. </w:t>
      </w:r>
      <w:r w:rsidRPr="00492DC0">
        <w:rPr>
          <w:rFonts w:eastAsia="Roboto"/>
          <w:i/>
          <w:color w:val="0D0D0D"/>
          <w:sz w:val="24"/>
          <w:szCs w:val="24"/>
          <w:highlight w:val="white"/>
        </w:rPr>
        <w:t>Advances in Logistics, Operations, and Management Science Book Series</w:t>
      </w:r>
      <w:r w:rsidRPr="00492DC0">
        <w:rPr>
          <w:rFonts w:eastAsia="Roboto"/>
          <w:color w:val="0D0D0D"/>
          <w:sz w:val="24"/>
          <w:szCs w:val="24"/>
          <w:highlight w:val="white"/>
        </w:rPr>
        <w:t xml:space="preserve">, 72–101. </w:t>
      </w:r>
      <w:hyperlink r:id="rId35">
        <w:r w:rsidRPr="00492DC0">
          <w:rPr>
            <w:rFonts w:eastAsia="Roboto"/>
            <w:color w:val="1155CC"/>
            <w:sz w:val="24"/>
            <w:szCs w:val="24"/>
            <w:highlight w:val="white"/>
            <w:u w:val="single"/>
          </w:rPr>
          <w:t>https://doi.org/10.4018/979-8-3693-3494-2.ch005</w:t>
        </w:r>
      </w:hyperlink>
      <w:r w:rsidRPr="00492DC0">
        <w:rPr>
          <w:rFonts w:eastAsia="Roboto"/>
          <w:color w:val="0D0D0D"/>
          <w:sz w:val="24"/>
          <w:szCs w:val="24"/>
          <w:highlight w:val="white"/>
        </w:rPr>
        <w:t xml:space="preserve"> </w:t>
      </w:r>
    </w:p>
    <w:p w14:paraId="70ABFFB1"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D’Andrea</w:t>
      </w:r>
      <w:proofErr w:type="spellEnd"/>
      <w:r w:rsidRPr="00492DC0">
        <w:rPr>
          <w:rFonts w:eastAsia="Roboto"/>
          <w:color w:val="0D0D0D"/>
          <w:sz w:val="24"/>
          <w:szCs w:val="24"/>
          <w:highlight w:val="white"/>
        </w:rPr>
        <w:t xml:space="preserve">, A. (2024). </w:t>
      </w:r>
      <w:r w:rsidRPr="00492DC0">
        <w:rPr>
          <w:rFonts w:eastAsia="Roboto"/>
          <w:i/>
          <w:color w:val="0D0D0D"/>
          <w:sz w:val="24"/>
          <w:szCs w:val="24"/>
          <w:highlight w:val="white"/>
        </w:rPr>
        <w:t>How AI Is Making Phishing Attacks More Dangerous</w:t>
      </w:r>
      <w:r w:rsidRPr="00492DC0">
        <w:rPr>
          <w:rFonts w:eastAsia="Roboto"/>
          <w:color w:val="0D0D0D"/>
          <w:sz w:val="24"/>
          <w:szCs w:val="24"/>
          <w:highlight w:val="white"/>
        </w:rPr>
        <w:t xml:space="preserve">. Keeper Security Blog - Cybersecurity News &amp; Product Updates. </w:t>
      </w:r>
      <w:hyperlink r:id="rId36">
        <w:r w:rsidRPr="00492DC0">
          <w:rPr>
            <w:rFonts w:eastAsia="Roboto"/>
            <w:color w:val="1155CC"/>
            <w:sz w:val="24"/>
            <w:szCs w:val="24"/>
            <w:highlight w:val="white"/>
            <w:u w:val="single"/>
          </w:rPr>
          <w:t>https://www.keepersecurity.com/blog/2024/09/13/how-ai-is-making-phishing-attacks-more-dangerous/</w:t>
        </w:r>
      </w:hyperlink>
      <w:r w:rsidRPr="00492DC0">
        <w:rPr>
          <w:rFonts w:eastAsia="Roboto"/>
          <w:color w:val="0D0D0D"/>
          <w:sz w:val="24"/>
          <w:szCs w:val="24"/>
          <w:highlight w:val="white"/>
        </w:rPr>
        <w:t xml:space="preserve"> </w:t>
      </w:r>
    </w:p>
    <w:p w14:paraId="117D0DEF"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Dsouza, D. S., Hajjar, A. E., &amp; </w:t>
      </w:r>
      <w:proofErr w:type="spellStart"/>
      <w:r w:rsidRPr="00492DC0">
        <w:rPr>
          <w:rFonts w:eastAsia="Roboto"/>
          <w:color w:val="0D0D0D"/>
          <w:sz w:val="24"/>
          <w:szCs w:val="24"/>
          <w:highlight w:val="white"/>
        </w:rPr>
        <w:t>Jahankhani</w:t>
      </w:r>
      <w:proofErr w:type="spellEnd"/>
      <w:r w:rsidRPr="00492DC0">
        <w:rPr>
          <w:rFonts w:eastAsia="Roboto"/>
          <w:color w:val="0D0D0D"/>
          <w:sz w:val="24"/>
          <w:szCs w:val="24"/>
          <w:highlight w:val="white"/>
        </w:rPr>
        <w:t xml:space="preserve">, H. (2024). </w:t>
      </w:r>
      <w:proofErr w:type="spellStart"/>
      <w:r w:rsidRPr="00492DC0">
        <w:rPr>
          <w:rFonts w:eastAsia="Roboto"/>
          <w:color w:val="0D0D0D"/>
          <w:sz w:val="24"/>
          <w:szCs w:val="24"/>
          <w:highlight w:val="white"/>
        </w:rPr>
        <w:t>Deepfakes</w:t>
      </w:r>
      <w:proofErr w:type="spellEnd"/>
      <w:r w:rsidRPr="00492DC0">
        <w:rPr>
          <w:rFonts w:eastAsia="Roboto"/>
          <w:color w:val="0D0D0D"/>
          <w:sz w:val="24"/>
          <w:szCs w:val="24"/>
          <w:highlight w:val="white"/>
        </w:rPr>
        <w:t xml:space="preserve"> in Social Engineering Attacks. </w:t>
      </w:r>
      <w:r w:rsidRPr="00492DC0">
        <w:rPr>
          <w:rFonts w:eastAsia="Roboto"/>
          <w:i/>
          <w:color w:val="0D0D0D"/>
          <w:sz w:val="24"/>
          <w:szCs w:val="24"/>
          <w:highlight w:val="white"/>
        </w:rPr>
        <w:t>Space Law and Policy</w:t>
      </w:r>
      <w:r w:rsidRPr="00492DC0">
        <w:rPr>
          <w:rFonts w:eastAsia="Roboto"/>
          <w:color w:val="0D0D0D"/>
          <w:sz w:val="24"/>
          <w:szCs w:val="24"/>
          <w:highlight w:val="white"/>
        </w:rPr>
        <w:t xml:space="preserve">, 153–183. </w:t>
      </w:r>
      <w:hyperlink r:id="rId37">
        <w:r w:rsidRPr="00492DC0">
          <w:rPr>
            <w:rFonts w:eastAsia="Roboto"/>
            <w:color w:val="1155CC"/>
            <w:sz w:val="24"/>
            <w:szCs w:val="24"/>
            <w:highlight w:val="white"/>
            <w:u w:val="single"/>
          </w:rPr>
          <w:t>https://doi.org/10.1007/978-3-031-64045-2_8</w:t>
        </w:r>
      </w:hyperlink>
      <w:r w:rsidRPr="00492DC0">
        <w:rPr>
          <w:rFonts w:eastAsia="Roboto"/>
          <w:color w:val="0D0D0D"/>
          <w:sz w:val="24"/>
          <w:szCs w:val="24"/>
          <w:highlight w:val="white"/>
        </w:rPr>
        <w:t xml:space="preserve"> </w:t>
      </w:r>
    </w:p>
    <w:p w14:paraId="058C3B35"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Elendu</w:t>
      </w:r>
      <w:proofErr w:type="spellEnd"/>
      <w:r w:rsidRPr="00492DC0">
        <w:rPr>
          <w:rFonts w:eastAsia="Roboto"/>
          <w:color w:val="0D0D0D"/>
          <w:sz w:val="24"/>
          <w:szCs w:val="24"/>
          <w:highlight w:val="white"/>
        </w:rPr>
        <w:t xml:space="preserve">, C., </w:t>
      </w:r>
      <w:proofErr w:type="spellStart"/>
      <w:r w:rsidRPr="00492DC0">
        <w:rPr>
          <w:rFonts w:eastAsia="Roboto"/>
          <w:color w:val="0D0D0D"/>
          <w:sz w:val="24"/>
          <w:szCs w:val="24"/>
          <w:highlight w:val="white"/>
        </w:rPr>
        <w:t>Omeludike</w:t>
      </w:r>
      <w:proofErr w:type="spellEnd"/>
      <w:r w:rsidRPr="00492DC0">
        <w:rPr>
          <w:rFonts w:eastAsia="Roboto"/>
          <w:color w:val="0D0D0D"/>
          <w:sz w:val="24"/>
          <w:szCs w:val="24"/>
          <w:highlight w:val="white"/>
        </w:rPr>
        <w:t xml:space="preserve">, E. K., </w:t>
      </w:r>
      <w:proofErr w:type="spellStart"/>
      <w:r w:rsidRPr="00492DC0">
        <w:rPr>
          <w:rFonts w:eastAsia="Roboto"/>
          <w:color w:val="0D0D0D"/>
          <w:sz w:val="24"/>
          <w:szCs w:val="24"/>
          <w:highlight w:val="white"/>
        </w:rPr>
        <w:t>Oloyede</w:t>
      </w:r>
      <w:proofErr w:type="spellEnd"/>
      <w:r w:rsidRPr="00492DC0">
        <w:rPr>
          <w:rFonts w:eastAsia="Roboto"/>
          <w:color w:val="0D0D0D"/>
          <w:sz w:val="24"/>
          <w:szCs w:val="24"/>
          <w:highlight w:val="white"/>
        </w:rPr>
        <w:t xml:space="preserve">, P. O., </w:t>
      </w:r>
      <w:proofErr w:type="spellStart"/>
      <w:r w:rsidRPr="00492DC0">
        <w:rPr>
          <w:rFonts w:eastAsia="Roboto"/>
          <w:color w:val="0D0D0D"/>
          <w:sz w:val="24"/>
          <w:szCs w:val="24"/>
          <w:highlight w:val="white"/>
        </w:rPr>
        <w:t>Obidigbo</w:t>
      </w:r>
      <w:proofErr w:type="spellEnd"/>
      <w:r w:rsidRPr="00492DC0">
        <w:rPr>
          <w:rFonts w:eastAsia="Roboto"/>
          <w:color w:val="0D0D0D"/>
          <w:sz w:val="24"/>
          <w:szCs w:val="24"/>
          <w:highlight w:val="white"/>
        </w:rPr>
        <w:t xml:space="preserve">, B. T., &amp; </w:t>
      </w:r>
      <w:proofErr w:type="spellStart"/>
      <w:r w:rsidRPr="00492DC0">
        <w:rPr>
          <w:rFonts w:eastAsia="Roboto"/>
          <w:color w:val="0D0D0D"/>
          <w:sz w:val="24"/>
          <w:szCs w:val="24"/>
          <w:highlight w:val="white"/>
        </w:rPr>
        <w:t>Omeludike</w:t>
      </w:r>
      <w:proofErr w:type="spellEnd"/>
      <w:r w:rsidRPr="00492DC0">
        <w:rPr>
          <w:rFonts w:eastAsia="Roboto"/>
          <w:color w:val="0D0D0D"/>
          <w:sz w:val="24"/>
          <w:szCs w:val="24"/>
          <w:highlight w:val="white"/>
        </w:rPr>
        <w:t xml:space="preserve">, J. C. (2024). Legal implications for clinicians in cybersecurity incidents: A review. </w:t>
      </w:r>
      <w:r w:rsidRPr="00492DC0">
        <w:rPr>
          <w:rFonts w:eastAsia="Roboto"/>
          <w:i/>
          <w:color w:val="0D0D0D"/>
          <w:sz w:val="24"/>
          <w:szCs w:val="24"/>
          <w:highlight w:val="white"/>
        </w:rPr>
        <w:t>Medicine</w:t>
      </w:r>
      <w:r w:rsidRPr="00492DC0">
        <w:rPr>
          <w:rFonts w:eastAsia="Roboto"/>
          <w:color w:val="0D0D0D"/>
          <w:sz w:val="24"/>
          <w:szCs w:val="24"/>
          <w:highlight w:val="white"/>
        </w:rPr>
        <w:t xml:space="preserve">, </w:t>
      </w:r>
      <w:r w:rsidRPr="00492DC0">
        <w:rPr>
          <w:rFonts w:eastAsia="Roboto"/>
          <w:i/>
          <w:color w:val="0D0D0D"/>
          <w:sz w:val="24"/>
          <w:szCs w:val="24"/>
          <w:highlight w:val="white"/>
        </w:rPr>
        <w:t>103</w:t>
      </w:r>
      <w:r w:rsidRPr="00492DC0">
        <w:rPr>
          <w:rFonts w:eastAsia="Roboto"/>
          <w:color w:val="0D0D0D"/>
          <w:sz w:val="24"/>
          <w:szCs w:val="24"/>
          <w:highlight w:val="white"/>
        </w:rPr>
        <w:t xml:space="preserve">(39), e39887–e39887. </w:t>
      </w:r>
      <w:hyperlink r:id="rId38">
        <w:r w:rsidRPr="00492DC0">
          <w:rPr>
            <w:rFonts w:eastAsia="Roboto"/>
            <w:color w:val="1155CC"/>
            <w:sz w:val="24"/>
            <w:szCs w:val="24"/>
            <w:highlight w:val="white"/>
            <w:u w:val="single"/>
          </w:rPr>
          <w:t>https://doi.org/10.1097/md.0000000000039887</w:t>
        </w:r>
      </w:hyperlink>
      <w:r w:rsidRPr="00492DC0">
        <w:rPr>
          <w:rFonts w:eastAsia="Roboto"/>
          <w:color w:val="0D0D0D"/>
          <w:sz w:val="24"/>
          <w:szCs w:val="24"/>
          <w:highlight w:val="white"/>
        </w:rPr>
        <w:t xml:space="preserve"> </w:t>
      </w:r>
    </w:p>
    <w:p w14:paraId="6FC80843"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Fakhouri</w:t>
      </w:r>
      <w:proofErr w:type="spellEnd"/>
      <w:r w:rsidRPr="00492DC0">
        <w:rPr>
          <w:rFonts w:eastAsia="Roboto"/>
          <w:color w:val="0D0D0D"/>
          <w:sz w:val="24"/>
          <w:szCs w:val="24"/>
          <w:highlight w:val="white"/>
        </w:rPr>
        <w:t xml:space="preserve">, H. N., </w:t>
      </w:r>
      <w:proofErr w:type="spellStart"/>
      <w:r w:rsidRPr="00492DC0">
        <w:rPr>
          <w:rFonts w:eastAsia="Roboto"/>
          <w:color w:val="0D0D0D"/>
          <w:sz w:val="24"/>
          <w:szCs w:val="24"/>
          <w:highlight w:val="white"/>
        </w:rPr>
        <w:t>Alhadidi</w:t>
      </w:r>
      <w:proofErr w:type="spellEnd"/>
      <w:r w:rsidRPr="00492DC0">
        <w:rPr>
          <w:rFonts w:eastAsia="Roboto"/>
          <w:color w:val="0D0D0D"/>
          <w:sz w:val="24"/>
          <w:szCs w:val="24"/>
          <w:highlight w:val="white"/>
        </w:rPr>
        <w:t xml:space="preserve">, B., Omar, K., </w:t>
      </w:r>
      <w:proofErr w:type="spellStart"/>
      <w:r w:rsidRPr="00492DC0">
        <w:rPr>
          <w:rFonts w:eastAsia="Roboto"/>
          <w:color w:val="0D0D0D"/>
          <w:sz w:val="24"/>
          <w:szCs w:val="24"/>
          <w:highlight w:val="white"/>
        </w:rPr>
        <w:t>Makhadmeh</w:t>
      </w:r>
      <w:proofErr w:type="spellEnd"/>
      <w:r w:rsidRPr="00492DC0">
        <w:rPr>
          <w:rFonts w:eastAsia="Roboto"/>
          <w:color w:val="0D0D0D"/>
          <w:sz w:val="24"/>
          <w:szCs w:val="24"/>
          <w:highlight w:val="white"/>
        </w:rPr>
        <w:t xml:space="preserve">, S. N., Hamad, F., &amp; </w:t>
      </w:r>
      <w:proofErr w:type="spellStart"/>
      <w:r w:rsidRPr="00492DC0">
        <w:rPr>
          <w:rFonts w:eastAsia="Roboto"/>
          <w:color w:val="0D0D0D"/>
          <w:sz w:val="24"/>
          <w:szCs w:val="24"/>
          <w:highlight w:val="white"/>
        </w:rPr>
        <w:t>Halalsheh</w:t>
      </w:r>
      <w:proofErr w:type="spellEnd"/>
      <w:r w:rsidRPr="00492DC0">
        <w:rPr>
          <w:rFonts w:eastAsia="Roboto"/>
          <w:color w:val="0D0D0D"/>
          <w:sz w:val="24"/>
          <w:szCs w:val="24"/>
          <w:highlight w:val="white"/>
        </w:rPr>
        <w:t xml:space="preserve">, N. Z. (2024). AI-Driven Solutions for Social Engineering Attacks: Detection, Prevention, and Response. </w:t>
      </w:r>
      <w:proofErr w:type="gramStart"/>
      <w:r w:rsidRPr="00492DC0">
        <w:rPr>
          <w:rFonts w:eastAsia="Roboto"/>
          <w:i/>
          <w:color w:val="0D0D0D"/>
          <w:sz w:val="24"/>
          <w:szCs w:val="24"/>
          <w:highlight w:val="white"/>
        </w:rPr>
        <w:t xml:space="preserve">IEEE </w:t>
      </w:r>
      <w:r w:rsidRPr="00492DC0">
        <w:rPr>
          <w:rFonts w:eastAsia="Roboto"/>
          <w:color w:val="0D0D0D"/>
          <w:sz w:val="24"/>
          <w:szCs w:val="24"/>
          <w:highlight w:val="white"/>
        </w:rPr>
        <w:t>.</w:t>
      </w:r>
      <w:proofErr w:type="gramEnd"/>
      <w:r w:rsidRPr="00492DC0">
        <w:rPr>
          <w:rFonts w:eastAsia="Roboto"/>
          <w:color w:val="0D0D0D"/>
          <w:sz w:val="24"/>
          <w:szCs w:val="24"/>
          <w:highlight w:val="white"/>
        </w:rPr>
        <w:t xml:space="preserve"> </w:t>
      </w:r>
      <w:hyperlink r:id="rId39">
        <w:r w:rsidRPr="00492DC0">
          <w:rPr>
            <w:rFonts w:eastAsia="Roboto"/>
            <w:color w:val="1155CC"/>
            <w:sz w:val="24"/>
            <w:szCs w:val="24"/>
            <w:highlight w:val="white"/>
            <w:u w:val="single"/>
          </w:rPr>
          <w:t>https://doi.org/10.1109/iccr61006.2024.10533010</w:t>
        </w:r>
      </w:hyperlink>
      <w:r w:rsidRPr="00492DC0">
        <w:rPr>
          <w:rFonts w:eastAsia="Roboto"/>
          <w:color w:val="0D0D0D"/>
          <w:sz w:val="24"/>
          <w:szCs w:val="24"/>
          <w:highlight w:val="white"/>
        </w:rPr>
        <w:t xml:space="preserve"> </w:t>
      </w:r>
    </w:p>
    <w:p w14:paraId="67F1F264" w14:textId="77777777" w:rsidR="00C91EC2" w:rsidRPr="00492DC0" w:rsidRDefault="0000391E" w:rsidP="00004EA2">
      <w:pPr>
        <w:spacing w:before="240" w:line="240" w:lineRule="auto"/>
        <w:ind w:left="720" w:hanging="720"/>
        <w:rPr>
          <w:rFonts w:eastAsia="Roboto"/>
          <w:color w:val="0D0D0D"/>
          <w:sz w:val="24"/>
          <w:szCs w:val="24"/>
          <w:highlight w:val="white"/>
        </w:rPr>
      </w:pPr>
      <w:proofErr w:type="gramStart"/>
      <w:r w:rsidRPr="00492DC0">
        <w:rPr>
          <w:rFonts w:eastAsia="Roboto"/>
          <w:color w:val="0D0D0D"/>
          <w:sz w:val="24"/>
          <w:szCs w:val="24"/>
          <w:highlight w:val="white"/>
        </w:rPr>
        <w:t>FBI .</w:t>
      </w:r>
      <w:proofErr w:type="gramEnd"/>
      <w:r w:rsidRPr="00492DC0">
        <w:rPr>
          <w:rFonts w:eastAsia="Roboto"/>
          <w:color w:val="0D0D0D"/>
          <w:sz w:val="24"/>
          <w:szCs w:val="24"/>
          <w:highlight w:val="white"/>
        </w:rPr>
        <w:t xml:space="preserve"> (2024). </w:t>
      </w:r>
      <w:r w:rsidRPr="00492DC0">
        <w:rPr>
          <w:rFonts w:eastAsia="Roboto"/>
          <w:i/>
          <w:color w:val="0D0D0D"/>
          <w:sz w:val="24"/>
          <w:szCs w:val="24"/>
          <w:highlight w:val="white"/>
        </w:rPr>
        <w:t>FBI Warns of Increasing Threat of Cyber Criminals Utilizing Artificial Intelligence | Federal Bureau of Investigation</w:t>
      </w:r>
      <w:r w:rsidRPr="00492DC0">
        <w:rPr>
          <w:rFonts w:eastAsia="Roboto"/>
          <w:color w:val="0D0D0D"/>
          <w:sz w:val="24"/>
          <w:szCs w:val="24"/>
          <w:highlight w:val="white"/>
        </w:rPr>
        <w:t xml:space="preserve">. Federal Bureau of Investigation. </w:t>
      </w:r>
      <w:hyperlink r:id="rId40">
        <w:r w:rsidRPr="00492DC0">
          <w:rPr>
            <w:rFonts w:eastAsia="Roboto"/>
            <w:color w:val="1155CC"/>
            <w:sz w:val="24"/>
            <w:szCs w:val="24"/>
            <w:highlight w:val="white"/>
            <w:u w:val="single"/>
          </w:rPr>
          <w:t>https://www.fbi.gov/contact-us/field-offices/sanfrancisco/news/fbi-warns-of-increasing-threat-of-cyber-criminals-utilizing-artificial-intelligence</w:t>
        </w:r>
      </w:hyperlink>
      <w:r w:rsidRPr="00492DC0">
        <w:rPr>
          <w:rFonts w:eastAsia="Roboto"/>
          <w:color w:val="0D0D0D"/>
          <w:sz w:val="24"/>
          <w:szCs w:val="24"/>
          <w:highlight w:val="white"/>
        </w:rPr>
        <w:t xml:space="preserve"> </w:t>
      </w:r>
    </w:p>
    <w:p w14:paraId="47ECD080"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9C5696">
        <w:rPr>
          <w:rFonts w:eastAsia="Roboto"/>
          <w:color w:val="0D0D0D"/>
          <w:sz w:val="24"/>
          <w:szCs w:val="24"/>
          <w:highlight w:val="white"/>
          <w:lang w:val="es-ES"/>
        </w:rPr>
        <w:t>Gbadebo</w:t>
      </w:r>
      <w:proofErr w:type="spellEnd"/>
      <w:r w:rsidRPr="009C5696">
        <w:rPr>
          <w:rFonts w:eastAsia="Roboto"/>
          <w:color w:val="0D0D0D"/>
          <w:sz w:val="24"/>
          <w:szCs w:val="24"/>
          <w:highlight w:val="white"/>
          <w:lang w:val="es-ES"/>
        </w:rPr>
        <w:t xml:space="preserve">, M. O., </w:t>
      </w:r>
      <w:proofErr w:type="spellStart"/>
      <w:r w:rsidRPr="009C5696">
        <w:rPr>
          <w:rFonts w:eastAsia="Roboto"/>
          <w:color w:val="0D0D0D"/>
          <w:sz w:val="24"/>
          <w:szCs w:val="24"/>
          <w:highlight w:val="white"/>
          <w:lang w:val="es-ES"/>
        </w:rPr>
        <w:t>Salako</w:t>
      </w:r>
      <w:proofErr w:type="spellEnd"/>
      <w:r w:rsidRPr="009C5696">
        <w:rPr>
          <w:rFonts w:eastAsia="Roboto"/>
          <w:color w:val="0D0D0D"/>
          <w:sz w:val="24"/>
          <w:szCs w:val="24"/>
          <w:highlight w:val="white"/>
          <w:lang w:val="es-ES"/>
        </w:rPr>
        <w:t xml:space="preserve">, A. O., </w:t>
      </w:r>
      <w:proofErr w:type="spellStart"/>
      <w:r w:rsidRPr="009C5696">
        <w:rPr>
          <w:rFonts w:eastAsia="Roboto"/>
          <w:color w:val="0D0D0D"/>
          <w:sz w:val="24"/>
          <w:szCs w:val="24"/>
          <w:highlight w:val="white"/>
          <w:lang w:val="es-ES"/>
        </w:rPr>
        <w:t>Selesi</w:t>
      </w:r>
      <w:proofErr w:type="spellEnd"/>
      <w:r w:rsidRPr="009C5696">
        <w:rPr>
          <w:rFonts w:eastAsia="Roboto"/>
          <w:color w:val="0D0D0D"/>
          <w:sz w:val="24"/>
          <w:szCs w:val="24"/>
          <w:highlight w:val="white"/>
          <w:lang w:val="es-ES"/>
        </w:rPr>
        <w:t xml:space="preserve">-Aina, O., </w:t>
      </w:r>
      <w:proofErr w:type="spellStart"/>
      <w:r w:rsidRPr="009C5696">
        <w:rPr>
          <w:rFonts w:eastAsia="Roboto"/>
          <w:color w:val="0D0D0D"/>
          <w:sz w:val="24"/>
          <w:szCs w:val="24"/>
          <w:highlight w:val="white"/>
          <w:lang w:val="es-ES"/>
        </w:rPr>
        <w:t>Ogungbemi</w:t>
      </w:r>
      <w:proofErr w:type="spellEnd"/>
      <w:r w:rsidRPr="009C5696">
        <w:rPr>
          <w:rFonts w:eastAsia="Roboto"/>
          <w:color w:val="0D0D0D"/>
          <w:sz w:val="24"/>
          <w:szCs w:val="24"/>
          <w:highlight w:val="white"/>
          <w:lang w:val="es-ES"/>
        </w:rPr>
        <w:t xml:space="preserve">, O. S., </w:t>
      </w:r>
      <w:proofErr w:type="spellStart"/>
      <w:r w:rsidRPr="009C5696">
        <w:rPr>
          <w:rFonts w:eastAsia="Roboto"/>
          <w:color w:val="0D0D0D"/>
          <w:sz w:val="24"/>
          <w:szCs w:val="24"/>
          <w:highlight w:val="white"/>
          <w:lang w:val="es-ES"/>
        </w:rPr>
        <w:t>Olateju</w:t>
      </w:r>
      <w:proofErr w:type="spellEnd"/>
      <w:r w:rsidRPr="009C5696">
        <w:rPr>
          <w:rFonts w:eastAsia="Roboto"/>
          <w:color w:val="0D0D0D"/>
          <w:sz w:val="24"/>
          <w:szCs w:val="24"/>
          <w:highlight w:val="white"/>
          <w:lang w:val="es-ES"/>
        </w:rPr>
        <w:t xml:space="preserve">, O. O., &amp; </w:t>
      </w:r>
      <w:proofErr w:type="spellStart"/>
      <w:r w:rsidRPr="009C5696">
        <w:rPr>
          <w:rFonts w:eastAsia="Roboto"/>
          <w:color w:val="0D0D0D"/>
          <w:sz w:val="24"/>
          <w:szCs w:val="24"/>
          <w:highlight w:val="white"/>
          <w:lang w:val="es-ES"/>
        </w:rPr>
        <w:t>Olaniyi</w:t>
      </w:r>
      <w:proofErr w:type="spellEnd"/>
      <w:r w:rsidRPr="009C5696">
        <w:rPr>
          <w:rFonts w:eastAsia="Roboto"/>
          <w:color w:val="0D0D0D"/>
          <w:sz w:val="24"/>
          <w:szCs w:val="24"/>
          <w:highlight w:val="white"/>
          <w:lang w:val="es-ES"/>
        </w:rPr>
        <w:t xml:space="preserve">, O. O. (2024). </w:t>
      </w:r>
      <w:r w:rsidRPr="00492DC0">
        <w:rPr>
          <w:rFonts w:eastAsia="Roboto"/>
          <w:color w:val="0D0D0D"/>
          <w:sz w:val="24"/>
          <w:szCs w:val="24"/>
          <w:highlight w:val="white"/>
        </w:rPr>
        <w:t xml:space="preserve">Augmenting Data Privacy Protocols and Enacting Regulatory Frameworks for Cryptocurrencies via Advanced Blockchain Methodologies and Artificial Intelligence.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26</w:t>
      </w:r>
      <w:r w:rsidRPr="00492DC0">
        <w:rPr>
          <w:rFonts w:eastAsia="Roboto"/>
          <w:color w:val="0D0D0D"/>
          <w:sz w:val="24"/>
          <w:szCs w:val="24"/>
          <w:highlight w:val="white"/>
        </w:rPr>
        <w:t xml:space="preserve">(11), 7–27. </w:t>
      </w:r>
      <w:hyperlink r:id="rId41">
        <w:r w:rsidRPr="00492DC0">
          <w:rPr>
            <w:rFonts w:eastAsia="Roboto"/>
            <w:color w:val="1155CC"/>
            <w:sz w:val="24"/>
            <w:szCs w:val="24"/>
            <w:highlight w:val="white"/>
            <w:u w:val="single"/>
          </w:rPr>
          <w:t>https://doi.org/10.9734/jerr/2024/v26i111311</w:t>
        </w:r>
      </w:hyperlink>
      <w:r w:rsidRPr="00492DC0">
        <w:rPr>
          <w:rFonts w:eastAsia="Roboto"/>
          <w:color w:val="0D0D0D"/>
          <w:sz w:val="24"/>
          <w:szCs w:val="24"/>
          <w:highlight w:val="white"/>
        </w:rPr>
        <w:t xml:space="preserve"> </w:t>
      </w:r>
    </w:p>
    <w:p w14:paraId="6307A71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George, A. S. (2024a). Emerging Trends in AI-Driven Cybersecurity: An In-Depth Analysis. </w:t>
      </w:r>
      <w:r w:rsidRPr="00492DC0">
        <w:rPr>
          <w:rFonts w:eastAsia="Roboto"/>
          <w:i/>
          <w:color w:val="0D0D0D"/>
          <w:sz w:val="24"/>
          <w:szCs w:val="24"/>
          <w:highlight w:val="white"/>
        </w:rPr>
        <w:t>Partners Universal Innovative Research Publication</w:t>
      </w:r>
      <w:r w:rsidRPr="00492DC0">
        <w:rPr>
          <w:rFonts w:eastAsia="Roboto"/>
          <w:color w:val="0D0D0D"/>
          <w:sz w:val="24"/>
          <w:szCs w:val="24"/>
          <w:highlight w:val="white"/>
        </w:rPr>
        <w:t xml:space="preserve">, </w:t>
      </w:r>
      <w:r w:rsidRPr="00492DC0">
        <w:rPr>
          <w:rFonts w:eastAsia="Roboto"/>
          <w:i/>
          <w:color w:val="0D0D0D"/>
          <w:sz w:val="24"/>
          <w:szCs w:val="24"/>
          <w:highlight w:val="white"/>
        </w:rPr>
        <w:t>2</w:t>
      </w:r>
      <w:r w:rsidRPr="00492DC0">
        <w:rPr>
          <w:rFonts w:eastAsia="Roboto"/>
          <w:color w:val="0D0D0D"/>
          <w:sz w:val="24"/>
          <w:szCs w:val="24"/>
          <w:highlight w:val="white"/>
        </w:rPr>
        <w:t xml:space="preserve">(4), 15–28. </w:t>
      </w:r>
      <w:hyperlink r:id="rId42">
        <w:r w:rsidRPr="00492DC0">
          <w:rPr>
            <w:rFonts w:eastAsia="Roboto"/>
            <w:color w:val="1155CC"/>
            <w:sz w:val="24"/>
            <w:szCs w:val="24"/>
            <w:highlight w:val="white"/>
            <w:u w:val="single"/>
          </w:rPr>
          <w:t>https://doi.org/10.5281/zenodo.13333202</w:t>
        </w:r>
      </w:hyperlink>
      <w:r w:rsidRPr="00492DC0">
        <w:rPr>
          <w:rFonts w:eastAsia="Roboto"/>
          <w:color w:val="0D0D0D"/>
          <w:sz w:val="24"/>
          <w:szCs w:val="24"/>
          <w:highlight w:val="white"/>
        </w:rPr>
        <w:t xml:space="preserve"> </w:t>
      </w:r>
    </w:p>
    <w:p w14:paraId="37A259CD"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George, A. S. (2024b). Riding the AI Waves: An Analysis of Artificial Intelligence’s Evolving Role in Combating Cyber Threats. </w:t>
      </w:r>
      <w:r w:rsidRPr="00492DC0">
        <w:rPr>
          <w:rFonts w:eastAsia="Roboto"/>
          <w:i/>
          <w:color w:val="0D0D0D"/>
          <w:sz w:val="24"/>
          <w:szCs w:val="24"/>
          <w:highlight w:val="white"/>
        </w:rPr>
        <w:t>Partners Universal International Innovation Journal</w:t>
      </w:r>
      <w:r w:rsidRPr="00492DC0">
        <w:rPr>
          <w:rFonts w:eastAsia="Roboto"/>
          <w:color w:val="0D0D0D"/>
          <w:sz w:val="24"/>
          <w:szCs w:val="24"/>
          <w:highlight w:val="white"/>
        </w:rPr>
        <w:t xml:space="preserve">, </w:t>
      </w:r>
      <w:r w:rsidRPr="00492DC0">
        <w:rPr>
          <w:rFonts w:eastAsia="Roboto"/>
          <w:i/>
          <w:color w:val="0D0D0D"/>
          <w:sz w:val="24"/>
          <w:szCs w:val="24"/>
          <w:highlight w:val="white"/>
        </w:rPr>
        <w:t>2</w:t>
      </w:r>
      <w:r w:rsidRPr="00492DC0">
        <w:rPr>
          <w:rFonts w:eastAsia="Roboto"/>
          <w:color w:val="0D0D0D"/>
          <w:sz w:val="24"/>
          <w:szCs w:val="24"/>
          <w:highlight w:val="white"/>
        </w:rPr>
        <w:t xml:space="preserve">(1), 39–50. </w:t>
      </w:r>
      <w:hyperlink r:id="rId43">
        <w:r w:rsidRPr="00492DC0">
          <w:rPr>
            <w:rFonts w:eastAsia="Roboto"/>
            <w:color w:val="1155CC"/>
            <w:sz w:val="24"/>
            <w:szCs w:val="24"/>
            <w:highlight w:val="white"/>
            <w:u w:val="single"/>
          </w:rPr>
          <w:t>https://doi.org/10.5281/zenodo.10635964</w:t>
        </w:r>
      </w:hyperlink>
      <w:r w:rsidRPr="00492DC0">
        <w:rPr>
          <w:rFonts w:eastAsia="Roboto"/>
          <w:color w:val="0D0D0D"/>
          <w:sz w:val="24"/>
          <w:szCs w:val="24"/>
          <w:highlight w:val="white"/>
        </w:rPr>
        <w:t xml:space="preserve"> </w:t>
      </w:r>
    </w:p>
    <w:p w14:paraId="6A5BE0A4"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George, S. (2025). Artificial Intelligence-Powered Cybersecurity. </w:t>
      </w:r>
      <w:r w:rsidRPr="00492DC0">
        <w:rPr>
          <w:rFonts w:eastAsia="Roboto"/>
          <w:i/>
          <w:color w:val="0D0D0D"/>
          <w:sz w:val="24"/>
          <w:szCs w:val="24"/>
          <w:highlight w:val="white"/>
        </w:rPr>
        <w:t>Advances in Information Security, Privacy, and Ethics</w:t>
      </w:r>
      <w:r w:rsidRPr="00492DC0">
        <w:rPr>
          <w:rFonts w:eastAsia="Roboto"/>
          <w:color w:val="0D0D0D"/>
          <w:sz w:val="24"/>
          <w:szCs w:val="24"/>
          <w:highlight w:val="white"/>
        </w:rPr>
        <w:t xml:space="preserve">, 247–276. </w:t>
      </w:r>
      <w:hyperlink r:id="rId44">
        <w:r w:rsidRPr="00492DC0">
          <w:rPr>
            <w:rFonts w:eastAsia="Roboto"/>
            <w:color w:val="1155CC"/>
            <w:sz w:val="24"/>
            <w:szCs w:val="24"/>
            <w:highlight w:val="white"/>
            <w:u w:val="single"/>
          </w:rPr>
          <w:t>https://doi.org/10.4018/979-8-3373-1102-9.ch008</w:t>
        </w:r>
      </w:hyperlink>
      <w:r w:rsidRPr="00492DC0">
        <w:rPr>
          <w:rFonts w:eastAsia="Roboto"/>
          <w:color w:val="0D0D0D"/>
          <w:sz w:val="24"/>
          <w:szCs w:val="24"/>
          <w:highlight w:val="white"/>
        </w:rPr>
        <w:t xml:space="preserve"> </w:t>
      </w:r>
    </w:p>
    <w:p w14:paraId="61C5E53E"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lastRenderedPageBreak/>
        <w:t xml:space="preserve">Hussain, I. (2024). Transformative AI Applications in Healthcare, Petroleum, Fraud Detection, Cybersecurity, and Conversational AI: Advancing Industries. </w:t>
      </w:r>
      <w:r w:rsidRPr="00492DC0">
        <w:rPr>
          <w:rFonts w:eastAsia="Roboto"/>
          <w:i/>
          <w:color w:val="0D0D0D"/>
          <w:sz w:val="24"/>
          <w:szCs w:val="24"/>
          <w:highlight w:val="white"/>
        </w:rPr>
        <w:t>Global Journal of Universal Studies</w:t>
      </w:r>
      <w:r w:rsidRPr="00492DC0">
        <w:rPr>
          <w:rFonts w:eastAsia="Roboto"/>
          <w:color w:val="0D0D0D"/>
          <w:sz w:val="24"/>
          <w:szCs w:val="24"/>
          <w:highlight w:val="white"/>
        </w:rPr>
        <w:t xml:space="preserve">, </w:t>
      </w:r>
      <w:r w:rsidRPr="00492DC0">
        <w:rPr>
          <w:rFonts w:eastAsia="Roboto"/>
          <w:i/>
          <w:color w:val="0D0D0D"/>
          <w:sz w:val="24"/>
          <w:szCs w:val="24"/>
          <w:highlight w:val="white"/>
        </w:rPr>
        <w:t>1</w:t>
      </w:r>
      <w:r w:rsidRPr="00492DC0">
        <w:rPr>
          <w:rFonts w:eastAsia="Roboto"/>
          <w:color w:val="0D0D0D"/>
          <w:sz w:val="24"/>
          <w:szCs w:val="24"/>
          <w:highlight w:val="white"/>
        </w:rPr>
        <w:t xml:space="preserve">(2), 21–43. </w:t>
      </w:r>
      <w:hyperlink r:id="rId45">
        <w:r w:rsidRPr="00492DC0">
          <w:rPr>
            <w:rFonts w:eastAsia="Roboto"/>
            <w:color w:val="1155CC"/>
            <w:sz w:val="24"/>
            <w:szCs w:val="24"/>
            <w:highlight w:val="white"/>
            <w:u w:val="single"/>
          </w:rPr>
          <w:t>https://media.neliti.com/media/publications/590139-transformative-ai-applications-in-health-6a6906cb.pdf</w:t>
        </w:r>
      </w:hyperlink>
      <w:r w:rsidRPr="00492DC0">
        <w:rPr>
          <w:rFonts w:eastAsia="Roboto"/>
          <w:color w:val="0D0D0D"/>
          <w:sz w:val="24"/>
          <w:szCs w:val="24"/>
          <w:highlight w:val="white"/>
        </w:rPr>
        <w:t xml:space="preserve"> </w:t>
      </w:r>
    </w:p>
    <w:p w14:paraId="7FF86A6A"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IBM. (2024a). </w:t>
      </w:r>
      <w:r w:rsidRPr="00492DC0">
        <w:rPr>
          <w:rFonts w:eastAsia="Roboto"/>
          <w:i/>
          <w:color w:val="0D0D0D"/>
          <w:sz w:val="24"/>
          <w:szCs w:val="24"/>
          <w:highlight w:val="white"/>
        </w:rPr>
        <w:t>Cost of a Data Breach 2024</w:t>
      </w:r>
      <w:r w:rsidRPr="00492DC0">
        <w:rPr>
          <w:rFonts w:eastAsia="Roboto"/>
          <w:color w:val="0D0D0D"/>
          <w:sz w:val="24"/>
          <w:szCs w:val="24"/>
          <w:highlight w:val="white"/>
        </w:rPr>
        <w:t xml:space="preserve">. IBM; IBM. </w:t>
      </w:r>
      <w:hyperlink r:id="rId46">
        <w:r w:rsidRPr="00492DC0">
          <w:rPr>
            <w:rFonts w:eastAsia="Roboto"/>
            <w:color w:val="1155CC"/>
            <w:sz w:val="24"/>
            <w:szCs w:val="24"/>
            <w:highlight w:val="white"/>
            <w:u w:val="single"/>
          </w:rPr>
          <w:t>https://www.ibm.com/reports/data-breach</w:t>
        </w:r>
      </w:hyperlink>
      <w:r w:rsidRPr="00492DC0">
        <w:rPr>
          <w:rFonts w:eastAsia="Roboto"/>
          <w:color w:val="0D0D0D"/>
          <w:sz w:val="24"/>
          <w:szCs w:val="24"/>
          <w:highlight w:val="white"/>
        </w:rPr>
        <w:t xml:space="preserve"> </w:t>
      </w:r>
    </w:p>
    <w:p w14:paraId="78175E1D"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IBM. (2024b). </w:t>
      </w:r>
      <w:r w:rsidRPr="00492DC0">
        <w:rPr>
          <w:rFonts w:eastAsia="Roboto"/>
          <w:i/>
          <w:color w:val="0D0D0D"/>
          <w:sz w:val="24"/>
          <w:szCs w:val="24"/>
          <w:highlight w:val="white"/>
        </w:rPr>
        <w:t>IBM Security X-Force Threat Intelligence Index 2024</w:t>
      </w:r>
      <w:r w:rsidRPr="00492DC0">
        <w:rPr>
          <w:rFonts w:eastAsia="Roboto"/>
          <w:color w:val="0D0D0D"/>
          <w:sz w:val="24"/>
          <w:szCs w:val="24"/>
          <w:highlight w:val="white"/>
        </w:rPr>
        <w:t xml:space="preserve">. Ibm.com. </w:t>
      </w:r>
      <w:hyperlink r:id="rId47">
        <w:r w:rsidRPr="00492DC0">
          <w:rPr>
            <w:rFonts w:eastAsia="Roboto"/>
            <w:color w:val="1155CC"/>
            <w:sz w:val="24"/>
            <w:szCs w:val="24"/>
            <w:highlight w:val="white"/>
            <w:u w:val="single"/>
          </w:rPr>
          <w:t>https://www.ibm.com/reports/threat-intelligence?os=qtfT_1&amp;ref=app</w:t>
        </w:r>
      </w:hyperlink>
      <w:r w:rsidRPr="00492DC0">
        <w:rPr>
          <w:rFonts w:eastAsia="Roboto"/>
          <w:color w:val="0D0D0D"/>
          <w:sz w:val="24"/>
          <w:szCs w:val="24"/>
          <w:highlight w:val="white"/>
        </w:rPr>
        <w:t xml:space="preserve"> </w:t>
      </w:r>
    </w:p>
    <w:p w14:paraId="3382773F"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Infinium. (2023). </w:t>
      </w:r>
      <w:r w:rsidRPr="00492DC0">
        <w:rPr>
          <w:rFonts w:eastAsia="Roboto"/>
          <w:i/>
          <w:color w:val="0D0D0D"/>
          <w:sz w:val="24"/>
          <w:szCs w:val="24"/>
          <w:highlight w:val="white"/>
        </w:rPr>
        <w:t>Telemedicine Market Size, Share, Trends, Industry Report | IGR</w:t>
      </w:r>
      <w:r w:rsidRPr="00492DC0">
        <w:rPr>
          <w:rFonts w:eastAsia="Roboto"/>
          <w:color w:val="0D0D0D"/>
          <w:sz w:val="24"/>
          <w:szCs w:val="24"/>
          <w:highlight w:val="white"/>
        </w:rPr>
        <w:t xml:space="preserve">. Infiniumglobalresearch.com.  </w:t>
      </w:r>
      <w:hyperlink r:id="rId48">
        <w:r w:rsidRPr="00492DC0">
          <w:rPr>
            <w:rFonts w:eastAsia="Roboto"/>
            <w:color w:val="1155CC"/>
            <w:sz w:val="24"/>
            <w:szCs w:val="24"/>
            <w:highlight w:val="white"/>
            <w:u w:val="single"/>
          </w:rPr>
          <w:t>https://www.infiniumglobalresearch.com/market-reports/global-telemedicine-market</w:t>
        </w:r>
      </w:hyperlink>
      <w:r w:rsidRPr="00492DC0">
        <w:rPr>
          <w:rFonts w:eastAsia="Roboto"/>
          <w:color w:val="0D0D0D"/>
          <w:sz w:val="24"/>
          <w:szCs w:val="24"/>
          <w:highlight w:val="white"/>
        </w:rPr>
        <w:t xml:space="preserve"> </w:t>
      </w:r>
    </w:p>
    <w:p w14:paraId="2F257757"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Isibor</w:t>
      </w:r>
      <w:proofErr w:type="spellEnd"/>
      <w:r w:rsidRPr="00492DC0">
        <w:rPr>
          <w:rFonts w:eastAsia="Roboto"/>
          <w:color w:val="0D0D0D"/>
          <w:sz w:val="24"/>
          <w:szCs w:val="24"/>
          <w:highlight w:val="white"/>
        </w:rPr>
        <w:t xml:space="preserve">, E. (2024). Regulation of Healthcare Data Security: Legal Obligations in A Digital Age. </w:t>
      </w:r>
      <w:r w:rsidRPr="00492DC0">
        <w:rPr>
          <w:rFonts w:eastAsia="Roboto"/>
          <w:i/>
          <w:color w:val="0D0D0D"/>
          <w:sz w:val="24"/>
          <w:szCs w:val="24"/>
          <w:highlight w:val="white"/>
        </w:rPr>
        <w:t>Regulation of Healthcare Data Security: Legal Obligations in a Digital Age</w:t>
      </w:r>
      <w:r w:rsidRPr="00492DC0">
        <w:rPr>
          <w:rFonts w:eastAsia="Roboto"/>
          <w:color w:val="0D0D0D"/>
          <w:sz w:val="24"/>
          <w:szCs w:val="24"/>
          <w:highlight w:val="white"/>
        </w:rPr>
        <w:t xml:space="preserve">. </w:t>
      </w:r>
      <w:hyperlink r:id="rId49">
        <w:r w:rsidRPr="00492DC0">
          <w:rPr>
            <w:rFonts w:eastAsia="Roboto"/>
            <w:color w:val="1155CC"/>
            <w:sz w:val="24"/>
            <w:szCs w:val="24"/>
            <w:highlight w:val="white"/>
            <w:u w:val="single"/>
          </w:rPr>
          <w:t>https://doi.org/10.2139/ssrn.4957244</w:t>
        </w:r>
      </w:hyperlink>
      <w:r w:rsidRPr="00492DC0">
        <w:rPr>
          <w:rFonts w:eastAsia="Roboto"/>
          <w:color w:val="0D0D0D"/>
          <w:sz w:val="24"/>
          <w:szCs w:val="24"/>
          <w:highlight w:val="white"/>
        </w:rPr>
        <w:t xml:space="preserve"> </w:t>
      </w:r>
    </w:p>
    <w:p w14:paraId="4B601B13"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Ivanova, J., Cummins, M. R., Ong, T., </w:t>
      </w:r>
      <w:proofErr w:type="spellStart"/>
      <w:r w:rsidRPr="00492DC0">
        <w:rPr>
          <w:rFonts w:eastAsia="Roboto"/>
          <w:color w:val="0D0D0D"/>
          <w:sz w:val="24"/>
          <w:szCs w:val="24"/>
          <w:highlight w:val="white"/>
        </w:rPr>
        <w:t>Soni</w:t>
      </w:r>
      <w:proofErr w:type="spellEnd"/>
      <w:r w:rsidRPr="00492DC0">
        <w:rPr>
          <w:rFonts w:eastAsia="Roboto"/>
          <w:color w:val="0D0D0D"/>
          <w:sz w:val="24"/>
          <w:szCs w:val="24"/>
          <w:highlight w:val="white"/>
        </w:rPr>
        <w:t xml:space="preserve">, H., </w:t>
      </w:r>
      <w:proofErr w:type="spellStart"/>
      <w:r w:rsidRPr="00492DC0">
        <w:rPr>
          <w:rFonts w:eastAsia="Roboto"/>
          <w:color w:val="0D0D0D"/>
          <w:sz w:val="24"/>
          <w:szCs w:val="24"/>
          <w:highlight w:val="white"/>
        </w:rPr>
        <w:t>Wilczewski</w:t>
      </w:r>
      <w:proofErr w:type="spellEnd"/>
      <w:r w:rsidRPr="00492DC0">
        <w:rPr>
          <w:rFonts w:eastAsia="Roboto"/>
          <w:color w:val="0D0D0D"/>
          <w:sz w:val="24"/>
          <w:szCs w:val="24"/>
          <w:highlight w:val="white"/>
        </w:rPr>
        <w:t xml:space="preserve">, H., Barrera, J., Welch, B., &amp; Bunnell, B. (2023). Regulation and Compliance in Telemedicine: A Viewpoint (Preprint). </w:t>
      </w:r>
      <w:r w:rsidRPr="00492DC0">
        <w:rPr>
          <w:rFonts w:eastAsia="Roboto"/>
          <w:i/>
          <w:color w:val="0D0D0D"/>
          <w:sz w:val="24"/>
          <w:szCs w:val="24"/>
          <w:highlight w:val="white"/>
        </w:rPr>
        <w:t>Journal of Medical Internet Research</w:t>
      </w:r>
      <w:r w:rsidRPr="00492DC0">
        <w:rPr>
          <w:rFonts w:eastAsia="Roboto"/>
          <w:color w:val="0D0D0D"/>
          <w:sz w:val="24"/>
          <w:szCs w:val="24"/>
          <w:highlight w:val="white"/>
        </w:rPr>
        <w:t xml:space="preserve">. </w:t>
      </w:r>
      <w:hyperlink r:id="rId50">
        <w:r w:rsidRPr="00492DC0">
          <w:rPr>
            <w:rFonts w:eastAsia="Roboto"/>
            <w:color w:val="1155CC"/>
            <w:sz w:val="24"/>
            <w:szCs w:val="24"/>
            <w:highlight w:val="white"/>
            <w:u w:val="single"/>
          </w:rPr>
          <w:t>https://doi.org/10.2196/53558</w:t>
        </w:r>
      </w:hyperlink>
      <w:r w:rsidRPr="00492DC0">
        <w:rPr>
          <w:rFonts w:eastAsia="Roboto"/>
          <w:color w:val="0D0D0D"/>
          <w:sz w:val="24"/>
          <w:szCs w:val="24"/>
          <w:highlight w:val="white"/>
        </w:rPr>
        <w:t xml:space="preserve"> </w:t>
      </w:r>
    </w:p>
    <w:p w14:paraId="40FB72E8"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Jain, A., Singh, R. K., &amp; Bhushan, P. (2024). Policy and Regulatory Frameworks for Financing Smart Healthcare. </w:t>
      </w:r>
      <w:r w:rsidRPr="00492DC0">
        <w:rPr>
          <w:rFonts w:eastAsia="Roboto"/>
          <w:i/>
          <w:color w:val="0D0D0D"/>
          <w:sz w:val="24"/>
          <w:szCs w:val="24"/>
          <w:highlight w:val="white"/>
        </w:rPr>
        <w:t>Advances in Human Services and Public Health</w:t>
      </w:r>
      <w:r w:rsidRPr="00492DC0">
        <w:rPr>
          <w:rFonts w:eastAsia="Roboto"/>
          <w:color w:val="0D0D0D"/>
          <w:sz w:val="24"/>
          <w:szCs w:val="24"/>
          <w:highlight w:val="white"/>
        </w:rPr>
        <w:t xml:space="preserve">, 367–388. </w:t>
      </w:r>
      <w:hyperlink r:id="rId51">
        <w:r w:rsidRPr="00492DC0">
          <w:rPr>
            <w:rFonts w:eastAsia="Roboto"/>
            <w:color w:val="1155CC"/>
            <w:sz w:val="24"/>
            <w:szCs w:val="24"/>
            <w:highlight w:val="white"/>
            <w:u w:val="single"/>
          </w:rPr>
          <w:t>https://doi.org/10.4018/979-8-3373-0240-9.ch015</w:t>
        </w:r>
      </w:hyperlink>
      <w:r w:rsidRPr="00492DC0">
        <w:rPr>
          <w:rFonts w:eastAsia="Roboto"/>
          <w:color w:val="0D0D0D"/>
          <w:sz w:val="24"/>
          <w:szCs w:val="24"/>
          <w:highlight w:val="white"/>
        </w:rPr>
        <w:t xml:space="preserve"> </w:t>
      </w:r>
    </w:p>
    <w:p w14:paraId="0974014E"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Javaid</w:t>
      </w:r>
      <w:proofErr w:type="spellEnd"/>
      <w:r w:rsidRPr="00492DC0">
        <w:rPr>
          <w:rFonts w:eastAsia="Roboto"/>
          <w:color w:val="0D0D0D"/>
          <w:sz w:val="24"/>
          <w:szCs w:val="24"/>
          <w:highlight w:val="white"/>
        </w:rPr>
        <w:t xml:space="preserve">, M., Haleem, A., Singh, R. P., &amp; Suman, R. (2023). Towards </w:t>
      </w:r>
      <w:proofErr w:type="spellStart"/>
      <w:r w:rsidRPr="00492DC0">
        <w:rPr>
          <w:rFonts w:eastAsia="Roboto"/>
          <w:color w:val="0D0D0D"/>
          <w:sz w:val="24"/>
          <w:szCs w:val="24"/>
          <w:highlight w:val="white"/>
        </w:rPr>
        <w:t>insighting</w:t>
      </w:r>
      <w:proofErr w:type="spellEnd"/>
      <w:r w:rsidRPr="00492DC0">
        <w:rPr>
          <w:rFonts w:eastAsia="Roboto"/>
          <w:color w:val="0D0D0D"/>
          <w:sz w:val="24"/>
          <w:szCs w:val="24"/>
          <w:highlight w:val="white"/>
        </w:rPr>
        <w:t xml:space="preserve"> Cybersecurity for Healthcare domains: A comprehensive review of recent practices and trends. </w:t>
      </w:r>
      <w:r w:rsidRPr="00492DC0">
        <w:rPr>
          <w:rFonts w:eastAsia="Roboto"/>
          <w:i/>
          <w:color w:val="0D0D0D"/>
          <w:sz w:val="24"/>
          <w:szCs w:val="24"/>
          <w:highlight w:val="white"/>
        </w:rPr>
        <w:t>Cyber Security and Applications</w:t>
      </w:r>
      <w:r w:rsidRPr="00492DC0">
        <w:rPr>
          <w:rFonts w:eastAsia="Roboto"/>
          <w:color w:val="0D0D0D"/>
          <w:sz w:val="24"/>
          <w:szCs w:val="24"/>
          <w:highlight w:val="white"/>
        </w:rPr>
        <w:t xml:space="preserve">, </w:t>
      </w:r>
      <w:r w:rsidRPr="00492DC0">
        <w:rPr>
          <w:rFonts w:eastAsia="Roboto"/>
          <w:i/>
          <w:color w:val="0D0D0D"/>
          <w:sz w:val="24"/>
          <w:szCs w:val="24"/>
          <w:highlight w:val="white"/>
        </w:rPr>
        <w:t>1</w:t>
      </w:r>
      <w:r w:rsidRPr="00492DC0">
        <w:rPr>
          <w:rFonts w:eastAsia="Roboto"/>
          <w:color w:val="0D0D0D"/>
          <w:sz w:val="24"/>
          <w:szCs w:val="24"/>
          <w:highlight w:val="white"/>
        </w:rPr>
        <w:t xml:space="preserve">(100016), 100016. </w:t>
      </w:r>
      <w:hyperlink r:id="rId52">
        <w:r w:rsidRPr="00492DC0">
          <w:rPr>
            <w:rFonts w:eastAsia="Roboto"/>
            <w:color w:val="1155CC"/>
            <w:sz w:val="24"/>
            <w:szCs w:val="24"/>
            <w:highlight w:val="white"/>
            <w:u w:val="single"/>
          </w:rPr>
          <w:t>https://doi.org/10.1016/j.csa.2023.100016</w:t>
        </w:r>
      </w:hyperlink>
      <w:r w:rsidRPr="00492DC0">
        <w:rPr>
          <w:rFonts w:eastAsia="Roboto"/>
          <w:color w:val="0D0D0D"/>
          <w:sz w:val="24"/>
          <w:szCs w:val="24"/>
          <w:highlight w:val="white"/>
        </w:rPr>
        <w:t xml:space="preserve"> </w:t>
      </w:r>
    </w:p>
    <w:p w14:paraId="4262CAB4"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Jimmy, F. (2024). Emerging Threats: The Latest Cybersecurity Risks and the Role of Artificial Intelligence in Enhancing Cybersecurity </w:t>
      </w:r>
      <w:proofErr w:type="spellStart"/>
      <w:r w:rsidRPr="00492DC0">
        <w:rPr>
          <w:rFonts w:eastAsia="Roboto"/>
          <w:color w:val="0D0D0D"/>
          <w:sz w:val="24"/>
          <w:szCs w:val="24"/>
          <w:highlight w:val="white"/>
        </w:rPr>
        <w:t>Defenses</w:t>
      </w:r>
      <w:proofErr w:type="spellEnd"/>
      <w:r w:rsidRPr="00492DC0">
        <w:rPr>
          <w:rFonts w:eastAsia="Roboto"/>
          <w:color w:val="0D0D0D"/>
          <w:sz w:val="24"/>
          <w:szCs w:val="24"/>
          <w:highlight w:val="white"/>
        </w:rPr>
        <w:t xml:space="preserve">. </w:t>
      </w:r>
      <w:r w:rsidRPr="00492DC0">
        <w:rPr>
          <w:rFonts w:eastAsia="Roboto"/>
          <w:i/>
          <w:color w:val="0D0D0D"/>
          <w:sz w:val="24"/>
          <w:szCs w:val="24"/>
          <w:highlight w:val="white"/>
        </w:rPr>
        <w:t>Valley International Journal Digital Library</w:t>
      </w:r>
      <w:r w:rsidRPr="00492DC0">
        <w:rPr>
          <w:rFonts w:eastAsia="Roboto"/>
          <w:color w:val="0D0D0D"/>
          <w:sz w:val="24"/>
          <w:szCs w:val="24"/>
          <w:highlight w:val="white"/>
        </w:rPr>
        <w:t xml:space="preserve">, </w:t>
      </w:r>
      <w:r w:rsidRPr="00492DC0">
        <w:rPr>
          <w:rFonts w:eastAsia="Roboto"/>
          <w:i/>
          <w:color w:val="0D0D0D"/>
          <w:sz w:val="24"/>
          <w:szCs w:val="24"/>
          <w:highlight w:val="white"/>
        </w:rPr>
        <w:t>9</w:t>
      </w:r>
      <w:r w:rsidRPr="00492DC0">
        <w:rPr>
          <w:rFonts w:eastAsia="Roboto"/>
          <w:color w:val="0D0D0D"/>
          <w:sz w:val="24"/>
          <w:szCs w:val="24"/>
          <w:highlight w:val="white"/>
        </w:rPr>
        <w:t xml:space="preserve">(2), 564–574. </w:t>
      </w:r>
      <w:hyperlink r:id="rId53">
        <w:r w:rsidRPr="00492DC0">
          <w:rPr>
            <w:rFonts w:eastAsia="Roboto"/>
            <w:color w:val="1155CC"/>
            <w:sz w:val="24"/>
            <w:szCs w:val="24"/>
            <w:highlight w:val="white"/>
            <w:u w:val="single"/>
          </w:rPr>
          <w:t>https://doi.org/10.18535/ijsrm/v9i2.ec01</w:t>
        </w:r>
      </w:hyperlink>
      <w:r w:rsidRPr="00492DC0">
        <w:rPr>
          <w:rFonts w:eastAsia="Roboto"/>
          <w:color w:val="0D0D0D"/>
          <w:sz w:val="24"/>
          <w:szCs w:val="24"/>
          <w:highlight w:val="white"/>
        </w:rPr>
        <w:t xml:space="preserve"> </w:t>
      </w:r>
    </w:p>
    <w:p w14:paraId="63072C2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Johnson, L. (2024). </w:t>
      </w:r>
      <w:r w:rsidRPr="00492DC0">
        <w:rPr>
          <w:rFonts w:eastAsia="Roboto"/>
          <w:i/>
          <w:color w:val="0D0D0D"/>
          <w:sz w:val="24"/>
          <w:szCs w:val="24"/>
          <w:highlight w:val="white"/>
        </w:rPr>
        <w:t>Change Healthcare Data Breach Settlement Talks to Start This Month - The HIPAA Guide</w:t>
      </w:r>
      <w:r w:rsidRPr="00492DC0">
        <w:rPr>
          <w:rFonts w:eastAsia="Roboto"/>
          <w:color w:val="0D0D0D"/>
          <w:sz w:val="24"/>
          <w:szCs w:val="24"/>
          <w:highlight w:val="white"/>
        </w:rPr>
        <w:t xml:space="preserve">. The HIPAA Guide. </w:t>
      </w:r>
      <w:hyperlink r:id="rId54">
        <w:r w:rsidRPr="00492DC0">
          <w:rPr>
            <w:rFonts w:eastAsia="Roboto"/>
            <w:color w:val="1155CC"/>
            <w:sz w:val="24"/>
            <w:szCs w:val="24"/>
            <w:highlight w:val="white"/>
            <w:u w:val="single"/>
          </w:rPr>
          <w:t>https://www.hipaaguide.net/change-healthcare-data-breach/</w:t>
        </w:r>
      </w:hyperlink>
      <w:r w:rsidRPr="00492DC0">
        <w:rPr>
          <w:rFonts w:eastAsia="Roboto"/>
          <w:color w:val="0D0D0D"/>
          <w:sz w:val="24"/>
          <w:szCs w:val="24"/>
          <w:highlight w:val="white"/>
        </w:rPr>
        <w:t xml:space="preserve"> </w:t>
      </w:r>
    </w:p>
    <w:p w14:paraId="253619C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Joseph, S. A. (2024). Balancing Data Privacy and Compliance in Blockchain-Based Financial Systems.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26</w:t>
      </w:r>
      <w:r w:rsidRPr="00492DC0">
        <w:rPr>
          <w:rFonts w:eastAsia="Roboto"/>
          <w:color w:val="0D0D0D"/>
          <w:sz w:val="24"/>
          <w:szCs w:val="24"/>
          <w:highlight w:val="white"/>
        </w:rPr>
        <w:t xml:space="preserve">(9), 169–189. </w:t>
      </w:r>
      <w:hyperlink r:id="rId55">
        <w:r w:rsidRPr="00492DC0">
          <w:rPr>
            <w:rFonts w:eastAsia="Roboto"/>
            <w:color w:val="1155CC"/>
            <w:sz w:val="24"/>
            <w:szCs w:val="24"/>
            <w:highlight w:val="white"/>
            <w:u w:val="single"/>
          </w:rPr>
          <w:t>https://doi.org/10.9734/jerr/2024/v26i91271</w:t>
        </w:r>
      </w:hyperlink>
      <w:r w:rsidRPr="00492DC0">
        <w:rPr>
          <w:rFonts w:eastAsia="Roboto"/>
          <w:color w:val="0D0D0D"/>
          <w:sz w:val="24"/>
          <w:szCs w:val="24"/>
          <w:highlight w:val="white"/>
        </w:rPr>
        <w:t xml:space="preserve"> </w:t>
      </w:r>
    </w:p>
    <w:p w14:paraId="2786DA6E"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Kamaruddin</w:t>
      </w:r>
      <w:proofErr w:type="spellEnd"/>
      <w:r w:rsidRPr="00492DC0">
        <w:rPr>
          <w:rFonts w:eastAsia="Roboto"/>
          <w:color w:val="0D0D0D"/>
          <w:sz w:val="24"/>
          <w:szCs w:val="24"/>
          <w:highlight w:val="white"/>
        </w:rPr>
        <w:t xml:space="preserve">, C., &amp; </w:t>
      </w:r>
      <w:proofErr w:type="spellStart"/>
      <w:r w:rsidRPr="00492DC0">
        <w:rPr>
          <w:rFonts w:eastAsia="Roboto"/>
          <w:color w:val="0D0D0D"/>
          <w:sz w:val="24"/>
          <w:szCs w:val="24"/>
          <w:highlight w:val="white"/>
        </w:rPr>
        <w:t>Zolkipli</w:t>
      </w:r>
      <w:proofErr w:type="spellEnd"/>
      <w:r w:rsidRPr="00492DC0">
        <w:rPr>
          <w:rFonts w:eastAsia="Roboto"/>
          <w:color w:val="0D0D0D"/>
          <w:sz w:val="24"/>
          <w:szCs w:val="24"/>
          <w:highlight w:val="white"/>
        </w:rPr>
        <w:t xml:space="preserve">, M. F. (2024). The Role of Multi-Factor Authentication in Mitigating Cyber Threats. </w:t>
      </w:r>
      <w:r w:rsidRPr="00492DC0">
        <w:rPr>
          <w:rFonts w:eastAsia="Roboto"/>
          <w:i/>
          <w:color w:val="0D0D0D"/>
          <w:sz w:val="24"/>
          <w:szCs w:val="24"/>
          <w:highlight w:val="white"/>
        </w:rPr>
        <w:t>Borneo International Journal EISSN 2636-9826</w:t>
      </w:r>
      <w:r w:rsidRPr="00492DC0">
        <w:rPr>
          <w:rFonts w:eastAsia="Roboto"/>
          <w:color w:val="0D0D0D"/>
          <w:sz w:val="24"/>
          <w:szCs w:val="24"/>
          <w:highlight w:val="white"/>
        </w:rPr>
        <w:t xml:space="preserve">, </w:t>
      </w:r>
      <w:r w:rsidRPr="00492DC0">
        <w:rPr>
          <w:rFonts w:eastAsia="Roboto"/>
          <w:i/>
          <w:color w:val="0D0D0D"/>
          <w:sz w:val="24"/>
          <w:szCs w:val="24"/>
          <w:highlight w:val="white"/>
        </w:rPr>
        <w:t>7</w:t>
      </w:r>
      <w:r w:rsidRPr="00492DC0">
        <w:rPr>
          <w:rFonts w:eastAsia="Roboto"/>
          <w:color w:val="0D0D0D"/>
          <w:sz w:val="24"/>
          <w:szCs w:val="24"/>
          <w:highlight w:val="white"/>
        </w:rPr>
        <w:t xml:space="preserve">(4), 35–42. </w:t>
      </w:r>
      <w:hyperlink r:id="rId56">
        <w:r w:rsidRPr="00492DC0">
          <w:rPr>
            <w:rFonts w:eastAsia="Roboto"/>
            <w:color w:val="1155CC"/>
            <w:sz w:val="24"/>
            <w:szCs w:val="24"/>
            <w:highlight w:val="white"/>
            <w:u w:val="single"/>
          </w:rPr>
          <w:t>http://majmuah.com/journal/index.php/bij/article/view/667</w:t>
        </w:r>
      </w:hyperlink>
      <w:r w:rsidRPr="00492DC0">
        <w:rPr>
          <w:rFonts w:eastAsia="Roboto"/>
          <w:color w:val="0D0D0D"/>
          <w:sz w:val="24"/>
          <w:szCs w:val="24"/>
          <w:highlight w:val="white"/>
        </w:rPr>
        <w:t xml:space="preserve"> </w:t>
      </w:r>
    </w:p>
    <w:p w14:paraId="7B767537"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lastRenderedPageBreak/>
        <w:t>Keerthana</w:t>
      </w:r>
      <w:proofErr w:type="spellEnd"/>
      <w:r w:rsidRPr="00492DC0">
        <w:rPr>
          <w:rFonts w:eastAsia="Roboto"/>
          <w:color w:val="0D0D0D"/>
          <w:sz w:val="24"/>
          <w:szCs w:val="24"/>
          <w:highlight w:val="white"/>
        </w:rPr>
        <w:t xml:space="preserve">, N. V., Suresh, P., </w:t>
      </w:r>
      <w:proofErr w:type="spellStart"/>
      <w:r w:rsidRPr="00492DC0">
        <w:rPr>
          <w:rFonts w:eastAsia="Roboto"/>
          <w:color w:val="0D0D0D"/>
          <w:sz w:val="24"/>
          <w:szCs w:val="24"/>
          <w:highlight w:val="white"/>
        </w:rPr>
        <w:t>Kulandaivel</w:t>
      </w:r>
      <w:proofErr w:type="spellEnd"/>
      <w:r w:rsidRPr="00492DC0">
        <w:rPr>
          <w:rFonts w:eastAsia="Roboto"/>
          <w:color w:val="0D0D0D"/>
          <w:sz w:val="24"/>
          <w:szCs w:val="24"/>
          <w:highlight w:val="white"/>
        </w:rPr>
        <w:t xml:space="preserve">, M., &amp; </w:t>
      </w:r>
      <w:proofErr w:type="spellStart"/>
      <w:r w:rsidRPr="00492DC0">
        <w:rPr>
          <w:rFonts w:eastAsia="Roboto"/>
          <w:color w:val="0D0D0D"/>
          <w:sz w:val="24"/>
          <w:szCs w:val="24"/>
          <w:highlight w:val="white"/>
        </w:rPr>
        <w:t>Kulandaivel</w:t>
      </w:r>
      <w:proofErr w:type="spellEnd"/>
      <w:r w:rsidRPr="00492DC0">
        <w:rPr>
          <w:rFonts w:eastAsia="Roboto"/>
          <w:color w:val="0D0D0D"/>
          <w:sz w:val="24"/>
          <w:szCs w:val="24"/>
          <w:highlight w:val="white"/>
        </w:rPr>
        <w:t xml:space="preserve">, S. (2025). Critical Strategies for Phishing </w:t>
      </w:r>
      <w:proofErr w:type="spellStart"/>
      <w:r w:rsidRPr="00492DC0">
        <w:rPr>
          <w:rFonts w:eastAsia="Roboto"/>
          <w:color w:val="0D0D0D"/>
          <w:sz w:val="24"/>
          <w:szCs w:val="24"/>
          <w:highlight w:val="white"/>
        </w:rPr>
        <w:t>Defense</w:t>
      </w:r>
      <w:proofErr w:type="spellEnd"/>
      <w:r w:rsidRPr="00492DC0">
        <w:rPr>
          <w:rFonts w:eastAsia="Roboto"/>
          <w:color w:val="0D0D0D"/>
          <w:sz w:val="24"/>
          <w:szCs w:val="24"/>
          <w:highlight w:val="white"/>
        </w:rPr>
        <w:t xml:space="preserve"> and Digital Asset Protection. </w:t>
      </w:r>
      <w:r w:rsidRPr="00492DC0">
        <w:rPr>
          <w:rFonts w:eastAsia="Roboto"/>
          <w:i/>
          <w:color w:val="0D0D0D"/>
          <w:sz w:val="24"/>
          <w:szCs w:val="24"/>
          <w:highlight w:val="white"/>
        </w:rPr>
        <w:t xml:space="preserve">Critical Phishing </w:t>
      </w:r>
      <w:proofErr w:type="spellStart"/>
      <w:r w:rsidRPr="00492DC0">
        <w:rPr>
          <w:rFonts w:eastAsia="Roboto"/>
          <w:i/>
          <w:color w:val="0D0D0D"/>
          <w:sz w:val="24"/>
          <w:szCs w:val="24"/>
          <w:highlight w:val="white"/>
        </w:rPr>
        <w:t>Defense</w:t>
      </w:r>
      <w:proofErr w:type="spellEnd"/>
      <w:r w:rsidRPr="00492DC0">
        <w:rPr>
          <w:rFonts w:eastAsia="Roboto"/>
          <w:i/>
          <w:color w:val="0D0D0D"/>
          <w:sz w:val="24"/>
          <w:szCs w:val="24"/>
          <w:highlight w:val="white"/>
        </w:rPr>
        <w:t xml:space="preserve"> Strategies and Digital Asset Protection</w:t>
      </w:r>
      <w:r w:rsidRPr="00492DC0">
        <w:rPr>
          <w:rFonts w:eastAsia="Roboto"/>
          <w:color w:val="0D0D0D"/>
          <w:sz w:val="24"/>
          <w:szCs w:val="24"/>
          <w:highlight w:val="white"/>
        </w:rPr>
        <w:t xml:space="preserve">, 221–244. </w:t>
      </w:r>
      <w:hyperlink r:id="rId57">
        <w:r w:rsidRPr="00492DC0">
          <w:rPr>
            <w:rFonts w:eastAsia="Roboto"/>
            <w:color w:val="1155CC"/>
            <w:sz w:val="24"/>
            <w:szCs w:val="24"/>
            <w:highlight w:val="white"/>
            <w:u w:val="single"/>
          </w:rPr>
          <w:t>https://doi.org/10.4018/979-8-3693-8784-9.ch011</w:t>
        </w:r>
      </w:hyperlink>
      <w:r w:rsidRPr="00492DC0">
        <w:rPr>
          <w:rFonts w:eastAsia="Roboto"/>
          <w:color w:val="0D0D0D"/>
          <w:sz w:val="24"/>
          <w:szCs w:val="24"/>
          <w:highlight w:val="white"/>
        </w:rPr>
        <w:t xml:space="preserve"> </w:t>
      </w:r>
    </w:p>
    <w:p w14:paraId="0A7BB53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Khan, F., </w:t>
      </w:r>
      <w:proofErr w:type="spellStart"/>
      <w:r w:rsidRPr="00492DC0">
        <w:rPr>
          <w:rFonts w:eastAsia="Roboto"/>
          <w:color w:val="0D0D0D"/>
          <w:sz w:val="24"/>
          <w:szCs w:val="24"/>
          <w:highlight w:val="white"/>
        </w:rPr>
        <w:t>Khati</w:t>
      </w:r>
      <w:proofErr w:type="spellEnd"/>
      <w:r w:rsidRPr="00492DC0">
        <w:rPr>
          <w:rFonts w:eastAsia="Roboto"/>
          <w:color w:val="0D0D0D"/>
          <w:sz w:val="24"/>
          <w:szCs w:val="24"/>
          <w:highlight w:val="white"/>
        </w:rPr>
        <w:t xml:space="preserve">, K., </w:t>
      </w:r>
      <w:proofErr w:type="spellStart"/>
      <w:r w:rsidRPr="00492DC0">
        <w:rPr>
          <w:rFonts w:eastAsia="Roboto"/>
          <w:color w:val="0D0D0D"/>
          <w:sz w:val="24"/>
          <w:szCs w:val="24"/>
          <w:highlight w:val="white"/>
        </w:rPr>
        <w:t>Pargaien</w:t>
      </w:r>
      <w:proofErr w:type="spellEnd"/>
      <w:r w:rsidRPr="00492DC0">
        <w:rPr>
          <w:rFonts w:eastAsia="Roboto"/>
          <w:color w:val="0D0D0D"/>
          <w:sz w:val="24"/>
          <w:szCs w:val="24"/>
          <w:highlight w:val="white"/>
        </w:rPr>
        <w:t xml:space="preserve">, S., Mer, A. M., Arora, S., &amp; </w:t>
      </w:r>
      <w:proofErr w:type="spellStart"/>
      <w:r w:rsidRPr="00492DC0">
        <w:rPr>
          <w:rFonts w:eastAsia="Roboto"/>
          <w:color w:val="0D0D0D"/>
          <w:sz w:val="24"/>
          <w:szCs w:val="24"/>
          <w:highlight w:val="white"/>
        </w:rPr>
        <w:t>Gangola</w:t>
      </w:r>
      <w:proofErr w:type="spellEnd"/>
      <w:r w:rsidRPr="00492DC0">
        <w:rPr>
          <w:rFonts w:eastAsia="Roboto"/>
          <w:color w:val="0D0D0D"/>
          <w:sz w:val="24"/>
          <w:szCs w:val="24"/>
          <w:highlight w:val="white"/>
        </w:rPr>
        <w:t xml:space="preserve">, S. (2025). Harnessing Artificial Intelligence and Blockchain: Advancing Cybersecurity and Identity Protection. </w:t>
      </w:r>
      <w:r w:rsidRPr="00492DC0">
        <w:rPr>
          <w:rFonts w:eastAsia="Roboto"/>
          <w:i/>
          <w:color w:val="0D0D0D"/>
          <w:sz w:val="24"/>
          <w:szCs w:val="24"/>
          <w:highlight w:val="white"/>
        </w:rPr>
        <w:t>SSRN Electronic Journal</w:t>
      </w:r>
      <w:r w:rsidRPr="00492DC0">
        <w:rPr>
          <w:rFonts w:eastAsia="Roboto"/>
          <w:color w:val="0D0D0D"/>
          <w:sz w:val="24"/>
          <w:szCs w:val="24"/>
          <w:highlight w:val="white"/>
        </w:rPr>
        <w:t xml:space="preserve">. </w:t>
      </w:r>
      <w:hyperlink r:id="rId58">
        <w:r w:rsidRPr="00492DC0">
          <w:rPr>
            <w:rFonts w:eastAsia="Roboto"/>
            <w:color w:val="1155CC"/>
            <w:sz w:val="24"/>
            <w:szCs w:val="24"/>
            <w:highlight w:val="white"/>
            <w:u w:val="single"/>
          </w:rPr>
          <w:t>https://doi.org/10.2139/ssrn.5091178</w:t>
        </w:r>
      </w:hyperlink>
      <w:r w:rsidRPr="00492DC0">
        <w:rPr>
          <w:rFonts w:eastAsia="Roboto"/>
          <w:color w:val="0D0D0D"/>
          <w:sz w:val="24"/>
          <w:szCs w:val="24"/>
          <w:highlight w:val="white"/>
        </w:rPr>
        <w:t xml:space="preserve"> </w:t>
      </w:r>
    </w:p>
    <w:p w14:paraId="46E3F11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Khan, M. I., </w:t>
      </w:r>
      <w:proofErr w:type="spellStart"/>
      <w:r w:rsidRPr="00492DC0">
        <w:rPr>
          <w:rFonts w:eastAsia="Roboto"/>
          <w:color w:val="0D0D0D"/>
          <w:sz w:val="24"/>
          <w:szCs w:val="24"/>
          <w:highlight w:val="white"/>
        </w:rPr>
        <w:t>Arif</w:t>
      </w:r>
      <w:proofErr w:type="spellEnd"/>
      <w:r w:rsidRPr="00492DC0">
        <w:rPr>
          <w:rFonts w:eastAsia="Roboto"/>
          <w:color w:val="0D0D0D"/>
          <w:sz w:val="24"/>
          <w:szCs w:val="24"/>
          <w:highlight w:val="white"/>
        </w:rPr>
        <w:t xml:space="preserve">, A., &amp; Raza, A. (2024). AI’s Revolutionary Role in Cyber </w:t>
      </w:r>
      <w:proofErr w:type="spellStart"/>
      <w:r w:rsidRPr="00492DC0">
        <w:rPr>
          <w:rFonts w:eastAsia="Roboto"/>
          <w:color w:val="0D0D0D"/>
          <w:sz w:val="24"/>
          <w:szCs w:val="24"/>
          <w:highlight w:val="white"/>
        </w:rPr>
        <w:t>Defense</w:t>
      </w:r>
      <w:proofErr w:type="spellEnd"/>
      <w:r w:rsidRPr="00492DC0">
        <w:rPr>
          <w:rFonts w:eastAsia="Roboto"/>
          <w:color w:val="0D0D0D"/>
          <w:sz w:val="24"/>
          <w:szCs w:val="24"/>
          <w:highlight w:val="white"/>
        </w:rPr>
        <w:t xml:space="preserve"> and Social Engineering. </w:t>
      </w:r>
      <w:r w:rsidRPr="00492DC0">
        <w:rPr>
          <w:rFonts w:eastAsia="Roboto"/>
          <w:i/>
          <w:color w:val="0D0D0D"/>
          <w:sz w:val="24"/>
          <w:szCs w:val="24"/>
          <w:highlight w:val="white"/>
        </w:rPr>
        <w:t>International Journal of Multidisciplinary Sciences and Arts</w:t>
      </w:r>
      <w:r w:rsidRPr="00492DC0">
        <w:rPr>
          <w:rFonts w:eastAsia="Roboto"/>
          <w:color w:val="0D0D0D"/>
          <w:sz w:val="24"/>
          <w:szCs w:val="24"/>
          <w:highlight w:val="white"/>
        </w:rPr>
        <w:t xml:space="preserve">, </w:t>
      </w:r>
      <w:r w:rsidRPr="00492DC0">
        <w:rPr>
          <w:rFonts w:eastAsia="Roboto"/>
          <w:i/>
          <w:color w:val="0D0D0D"/>
          <w:sz w:val="24"/>
          <w:szCs w:val="24"/>
          <w:highlight w:val="white"/>
        </w:rPr>
        <w:t>3</w:t>
      </w:r>
      <w:r w:rsidRPr="00492DC0">
        <w:rPr>
          <w:rFonts w:eastAsia="Roboto"/>
          <w:color w:val="0D0D0D"/>
          <w:sz w:val="24"/>
          <w:szCs w:val="24"/>
          <w:highlight w:val="white"/>
        </w:rPr>
        <w:t xml:space="preserve">(4), 57–66. </w:t>
      </w:r>
      <w:hyperlink r:id="rId59">
        <w:r w:rsidRPr="00492DC0">
          <w:rPr>
            <w:rFonts w:eastAsia="Roboto"/>
            <w:color w:val="1155CC"/>
            <w:sz w:val="24"/>
            <w:szCs w:val="24"/>
            <w:highlight w:val="white"/>
            <w:u w:val="single"/>
          </w:rPr>
          <w:t>https://doi.org/10.47709/ijmdsa.v3i4.4752</w:t>
        </w:r>
      </w:hyperlink>
      <w:r w:rsidRPr="00492DC0">
        <w:rPr>
          <w:rFonts w:eastAsia="Roboto"/>
          <w:color w:val="0D0D0D"/>
          <w:sz w:val="24"/>
          <w:szCs w:val="24"/>
          <w:highlight w:val="white"/>
        </w:rPr>
        <w:t xml:space="preserve"> </w:t>
      </w:r>
    </w:p>
    <w:p w14:paraId="31A5180F"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Kokila, M., &amp; </w:t>
      </w:r>
      <w:proofErr w:type="gramStart"/>
      <w:r w:rsidRPr="00492DC0">
        <w:rPr>
          <w:rFonts w:eastAsia="Roboto"/>
          <w:color w:val="0D0D0D"/>
          <w:sz w:val="24"/>
          <w:szCs w:val="24"/>
          <w:highlight w:val="white"/>
        </w:rPr>
        <w:t>Reddy ,</w:t>
      </w:r>
      <w:proofErr w:type="gramEnd"/>
      <w:r w:rsidRPr="00492DC0">
        <w:rPr>
          <w:rFonts w:eastAsia="Roboto"/>
          <w:color w:val="0D0D0D"/>
          <w:sz w:val="24"/>
          <w:szCs w:val="24"/>
          <w:highlight w:val="white"/>
        </w:rPr>
        <w:t xml:space="preserve"> S. (2024). Authentication, Access Control and Scalability models in Internet of Things Security - A Review. </w:t>
      </w:r>
      <w:r w:rsidRPr="00492DC0">
        <w:rPr>
          <w:rFonts w:eastAsia="Roboto"/>
          <w:i/>
          <w:color w:val="0D0D0D"/>
          <w:sz w:val="24"/>
          <w:szCs w:val="24"/>
          <w:highlight w:val="white"/>
        </w:rPr>
        <w:t>Cyber Security and Applications</w:t>
      </w:r>
      <w:r w:rsidRPr="00492DC0">
        <w:rPr>
          <w:rFonts w:eastAsia="Roboto"/>
          <w:color w:val="0D0D0D"/>
          <w:sz w:val="24"/>
          <w:szCs w:val="24"/>
          <w:highlight w:val="white"/>
        </w:rPr>
        <w:t xml:space="preserve">, 100057–100057. </w:t>
      </w:r>
      <w:hyperlink r:id="rId60">
        <w:r w:rsidRPr="00492DC0">
          <w:rPr>
            <w:rFonts w:eastAsia="Roboto"/>
            <w:color w:val="1155CC"/>
            <w:sz w:val="24"/>
            <w:szCs w:val="24"/>
            <w:highlight w:val="white"/>
            <w:u w:val="single"/>
          </w:rPr>
          <w:t>https://doi.org/10.1016/j.csa.2024.100057</w:t>
        </w:r>
      </w:hyperlink>
      <w:r w:rsidRPr="00492DC0">
        <w:rPr>
          <w:rFonts w:eastAsia="Roboto"/>
          <w:color w:val="0D0D0D"/>
          <w:sz w:val="24"/>
          <w:szCs w:val="24"/>
          <w:highlight w:val="white"/>
        </w:rPr>
        <w:t xml:space="preserve"> </w:t>
      </w:r>
    </w:p>
    <w:p w14:paraId="2598D855"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Kolade</w:t>
      </w:r>
      <w:proofErr w:type="spellEnd"/>
      <w:r w:rsidRPr="00492DC0">
        <w:rPr>
          <w:rFonts w:eastAsia="Roboto"/>
          <w:color w:val="0D0D0D"/>
          <w:sz w:val="24"/>
          <w:szCs w:val="24"/>
          <w:highlight w:val="white"/>
        </w:rPr>
        <w:t xml:space="preserve">, T. M., </w:t>
      </w:r>
      <w:proofErr w:type="spellStart"/>
      <w:r w:rsidRPr="00492DC0">
        <w:rPr>
          <w:rFonts w:eastAsia="Roboto"/>
          <w:color w:val="0D0D0D"/>
          <w:sz w:val="24"/>
          <w:szCs w:val="24"/>
          <w:highlight w:val="white"/>
        </w:rPr>
        <w:t>Aideyan</w:t>
      </w:r>
      <w:proofErr w:type="spellEnd"/>
      <w:r w:rsidRPr="00492DC0">
        <w:rPr>
          <w:rFonts w:eastAsia="Roboto"/>
          <w:color w:val="0D0D0D"/>
          <w:sz w:val="24"/>
          <w:szCs w:val="24"/>
          <w:highlight w:val="white"/>
        </w:rPr>
        <w:t xml:space="preserve">, N. T., </w:t>
      </w:r>
      <w:proofErr w:type="spellStart"/>
      <w:r w:rsidRPr="00492DC0">
        <w:rPr>
          <w:rFonts w:eastAsia="Roboto"/>
          <w:color w:val="0D0D0D"/>
          <w:sz w:val="24"/>
          <w:szCs w:val="24"/>
          <w:highlight w:val="white"/>
        </w:rPr>
        <w:t>Oyekunle</w:t>
      </w:r>
      <w:proofErr w:type="spellEnd"/>
      <w:r w:rsidRPr="00492DC0">
        <w:rPr>
          <w:rFonts w:eastAsia="Roboto"/>
          <w:color w:val="0D0D0D"/>
          <w:sz w:val="24"/>
          <w:szCs w:val="24"/>
          <w:highlight w:val="white"/>
        </w:rPr>
        <w:t xml:space="preserve">, S. M., </w:t>
      </w:r>
      <w:proofErr w:type="spellStart"/>
      <w:r w:rsidRPr="00492DC0">
        <w:rPr>
          <w:rFonts w:eastAsia="Roboto"/>
          <w:color w:val="0D0D0D"/>
          <w:sz w:val="24"/>
          <w:szCs w:val="24"/>
          <w:highlight w:val="white"/>
        </w:rPr>
        <w:t>Ogungbemi</w:t>
      </w:r>
      <w:proofErr w:type="spellEnd"/>
      <w:r w:rsidRPr="00492DC0">
        <w:rPr>
          <w:rFonts w:eastAsia="Roboto"/>
          <w:color w:val="0D0D0D"/>
          <w:sz w:val="24"/>
          <w:szCs w:val="24"/>
          <w:highlight w:val="white"/>
        </w:rPr>
        <w:t xml:space="preserve">, O. S., &amp; </w:t>
      </w:r>
      <w:proofErr w:type="spellStart"/>
      <w:r w:rsidRPr="00492DC0">
        <w:rPr>
          <w:rFonts w:eastAsia="Roboto"/>
          <w:color w:val="0D0D0D"/>
          <w:sz w:val="24"/>
          <w:szCs w:val="24"/>
          <w:highlight w:val="white"/>
        </w:rPr>
        <w:t>Olaniyi</w:t>
      </w:r>
      <w:proofErr w:type="spellEnd"/>
      <w:r w:rsidRPr="00492DC0">
        <w:rPr>
          <w:rFonts w:eastAsia="Roboto"/>
          <w:color w:val="0D0D0D"/>
          <w:sz w:val="24"/>
          <w:szCs w:val="24"/>
          <w:highlight w:val="white"/>
        </w:rPr>
        <w:t xml:space="preserve">, O. O. (2024). Artificial Intelligence and Information Governance: Strengthening Global Security, through Compliance Frameworks, and Data Security.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17</w:t>
      </w:r>
      <w:r w:rsidRPr="00492DC0">
        <w:rPr>
          <w:rFonts w:eastAsia="Roboto"/>
          <w:color w:val="0D0D0D"/>
          <w:sz w:val="24"/>
          <w:szCs w:val="24"/>
          <w:highlight w:val="white"/>
        </w:rPr>
        <w:t xml:space="preserve">(12), 36–57. </w:t>
      </w:r>
      <w:hyperlink r:id="rId61">
        <w:r w:rsidRPr="00492DC0">
          <w:rPr>
            <w:rFonts w:eastAsia="Roboto"/>
            <w:color w:val="1155CC"/>
            <w:sz w:val="24"/>
            <w:szCs w:val="24"/>
            <w:highlight w:val="white"/>
            <w:u w:val="single"/>
          </w:rPr>
          <w:t>https://doi.org/10.9734/ajrcos/2024/v17i12528</w:t>
        </w:r>
      </w:hyperlink>
      <w:r w:rsidRPr="00492DC0">
        <w:rPr>
          <w:rFonts w:eastAsia="Roboto"/>
          <w:color w:val="0D0D0D"/>
          <w:sz w:val="24"/>
          <w:szCs w:val="24"/>
          <w:highlight w:val="white"/>
        </w:rPr>
        <w:t xml:space="preserve"> </w:t>
      </w:r>
    </w:p>
    <w:p w14:paraId="73B00965"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9C5696">
        <w:rPr>
          <w:rFonts w:eastAsia="Roboto"/>
          <w:color w:val="0D0D0D"/>
          <w:sz w:val="24"/>
          <w:szCs w:val="24"/>
          <w:highlight w:val="white"/>
          <w:lang w:val="es-ES"/>
        </w:rPr>
        <w:t>Kolade</w:t>
      </w:r>
      <w:proofErr w:type="spellEnd"/>
      <w:r w:rsidRPr="009C5696">
        <w:rPr>
          <w:rFonts w:eastAsia="Roboto"/>
          <w:color w:val="0D0D0D"/>
          <w:sz w:val="24"/>
          <w:szCs w:val="24"/>
          <w:highlight w:val="white"/>
          <w:lang w:val="es-ES"/>
        </w:rPr>
        <w:t xml:space="preserve">, T. M., </w:t>
      </w:r>
      <w:proofErr w:type="spellStart"/>
      <w:r w:rsidRPr="009C5696">
        <w:rPr>
          <w:rFonts w:eastAsia="Roboto"/>
          <w:color w:val="0D0D0D"/>
          <w:sz w:val="24"/>
          <w:szCs w:val="24"/>
          <w:highlight w:val="white"/>
          <w:lang w:val="es-ES"/>
        </w:rPr>
        <w:t>Obioha</w:t>
      </w:r>
      <w:proofErr w:type="spellEnd"/>
      <w:r w:rsidRPr="009C5696">
        <w:rPr>
          <w:rFonts w:eastAsia="Roboto"/>
          <w:color w:val="0D0D0D"/>
          <w:sz w:val="24"/>
          <w:szCs w:val="24"/>
          <w:highlight w:val="white"/>
          <w:lang w:val="es-ES"/>
        </w:rPr>
        <w:t xml:space="preserve">-Val, O. A., </w:t>
      </w:r>
      <w:proofErr w:type="spellStart"/>
      <w:r w:rsidRPr="009C5696">
        <w:rPr>
          <w:rFonts w:eastAsia="Roboto"/>
          <w:color w:val="0D0D0D"/>
          <w:sz w:val="24"/>
          <w:szCs w:val="24"/>
          <w:highlight w:val="white"/>
          <w:lang w:val="es-ES"/>
        </w:rPr>
        <w:t>Balogun</w:t>
      </w:r>
      <w:proofErr w:type="spellEnd"/>
      <w:r w:rsidRPr="009C5696">
        <w:rPr>
          <w:rFonts w:eastAsia="Roboto"/>
          <w:color w:val="0D0D0D"/>
          <w:sz w:val="24"/>
          <w:szCs w:val="24"/>
          <w:highlight w:val="white"/>
          <w:lang w:val="es-ES"/>
        </w:rPr>
        <w:t xml:space="preserve">, A. Y., </w:t>
      </w:r>
      <w:proofErr w:type="spellStart"/>
      <w:r w:rsidRPr="009C5696">
        <w:rPr>
          <w:rFonts w:eastAsia="Roboto"/>
          <w:color w:val="0D0D0D"/>
          <w:sz w:val="24"/>
          <w:szCs w:val="24"/>
          <w:highlight w:val="white"/>
          <w:lang w:val="es-ES"/>
        </w:rPr>
        <w:t>Gbadebo</w:t>
      </w:r>
      <w:proofErr w:type="spellEnd"/>
      <w:r w:rsidRPr="009C5696">
        <w:rPr>
          <w:rFonts w:eastAsia="Roboto"/>
          <w:color w:val="0D0D0D"/>
          <w:sz w:val="24"/>
          <w:szCs w:val="24"/>
          <w:highlight w:val="white"/>
          <w:lang w:val="es-ES"/>
        </w:rPr>
        <w:t xml:space="preserve">, M. O., &amp; </w:t>
      </w:r>
      <w:proofErr w:type="spellStart"/>
      <w:r w:rsidRPr="009C5696">
        <w:rPr>
          <w:rFonts w:eastAsia="Roboto"/>
          <w:color w:val="0D0D0D"/>
          <w:sz w:val="24"/>
          <w:szCs w:val="24"/>
          <w:highlight w:val="white"/>
          <w:lang w:val="es-ES"/>
        </w:rPr>
        <w:t>Olaniyi</w:t>
      </w:r>
      <w:proofErr w:type="spellEnd"/>
      <w:r w:rsidRPr="009C5696">
        <w:rPr>
          <w:rFonts w:eastAsia="Roboto"/>
          <w:color w:val="0D0D0D"/>
          <w:sz w:val="24"/>
          <w:szCs w:val="24"/>
          <w:highlight w:val="white"/>
          <w:lang w:val="es-ES"/>
        </w:rPr>
        <w:t xml:space="preserve">, O. O. (2025). </w:t>
      </w:r>
      <w:r w:rsidRPr="00492DC0">
        <w:rPr>
          <w:rFonts w:eastAsia="Roboto"/>
          <w:color w:val="0D0D0D"/>
          <w:sz w:val="24"/>
          <w:szCs w:val="24"/>
          <w:highlight w:val="white"/>
        </w:rPr>
        <w:t xml:space="preserve">AI-Driven Open Source Intelligence in Cyber </w:t>
      </w:r>
      <w:proofErr w:type="spellStart"/>
      <w:r w:rsidRPr="00492DC0">
        <w:rPr>
          <w:rFonts w:eastAsia="Roboto"/>
          <w:color w:val="0D0D0D"/>
          <w:sz w:val="24"/>
          <w:szCs w:val="24"/>
          <w:highlight w:val="white"/>
        </w:rPr>
        <w:t>Defense</w:t>
      </w:r>
      <w:proofErr w:type="spellEnd"/>
      <w:r w:rsidRPr="00492DC0">
        <w:rPr>
          <w:rFonts w:eastAsia="Roboto"/>
          <w:color w:val="0D0D0D"/>
          <w:sz w:val="24"/>
          <w:szCs w:val="24"/>
          <w:highlight w:val="white"/>
        </w:rPr>
        <w:t xml:space="preserve">: A Double-edged Sword for National Security.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18</w:t>
      </w:r>
      <w:r w:rsidRPr="00492DC0">
        <w:rPr>
          <w:rFonts w:eastAsia="Roboto"/>
          <w:color w:val="0D0D0D"/>
          <w:sz w:val="24"/>
          <w:szCs w:val="24"/>
          <w:highlight w:val="white"/>
        </w:rPr>
        <w:t xml:space="preserve">(1), 133–153. </w:t>
      </w:r>
      <w:hyperlink r:id="rId62">
        <w:r w:rsidRPr="00492DC0">
          <w:rPr>
            <w:rFonts w:eastAsia="Roboto"/>
            <w:color w:val="1155CC"/>
            <w:sz w:val="24"/>
            <w:szCs w:val="24"/>
            <w:highlight w:val="white"/>
            <w:u w:val="single"/>
          </w:rPr>
          <w:t>https://doi.org/10.9734/ajrcos/2025/v18i1554</w:t>
        </w:r>
      </w:hyperlink>
      <w:r w:rsidRPr="00492DC0">
        <w:rPr>
          <w:rFonts w:eastAsia="Roboto"/>
          <w:color w:val="0D0D0D"/>
          <w:sz w:val="24"/>
          <w:szCs w:val="24"/>
          <w:highlight w:val="white"/>
        </w:rPr>
        <w:t xml:space="preserve"> </w:t>
      </w:r>
    </w:p>
    <w:p w14:paraId="436563B3"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Kumar, K. S., Reddy, P. J., Teja, P. G., </w:t>
      </w:r>
      <w:proofErr w:type="spellStart"/>
      <w:r w:rsidRPr="009C5696">
        <w:rPr>
          <w:rFonts w:eastAsia="Roboto"/>
          <w:color w:val="0D0D0D"/>
          <w:sz w:val="24"/>
          <w:szCs w:val="24"/>
          <w:highlight w:val="white"/>
          <w:lang w:val="es-ES"/>
        </w:rPr>
        <w:t>Babu</w:t>
      </w:r>
      <w:proofErr w:type="spellEnd"/>
      <w:r w:rsidRPr="009C5696">
        <w:rPr>
          <w:rFonts w:eastAsia="Roboto"/>
          <w:color w:val="0D0D0D"/>
          <w:sz w:val="24"/>
          <w:szCs w:val="24"/>
          <w:highlight w:val="white"/>
          <w:lang w:val="es-ES"/>
        </w:rPr>
        <w:t xml:space="preserve">, C. S., Ande, P. K., &amp; </w:t>
      </w:r>
      <w:proofErr w:type="spellStart"/>
      <w:r w:rsidRPr="009C5696">
        <w:rPr>
          <w:rFonts w:eastAsia="Roboto"/>
          <w:color w:val="0D0D0D"/>
          <w:sz w:val="24"/>
          <w:szCs w:val="24"/>
          <w:highlight w:val="white"/>
          <w:lang w:val="es-ES"/>
        </w:rPr>
        <w:t>Sai</w:t>
      </w:r>
      <w:proofErr w:type="spellEnd"/>
      <w:r w:rsidRPr="009C5696">
        <w:rPr>
          <w:rFonts w:eastAsia="Roboto"/>
          <w:color w:val="0D0D0D"/>
          <w:sz w:val="24"/>
          <w:szCs w:val="24"/>
          <w:highlight w:val="white"/>
          <w:lang w:val="es-ES"/>
        </w:rPr>
        <w:t xml:space="preserve">, N. R. (2024). </w:t>
      </w:r>
      <w:r w:rsidRPr="00492DC0">
        <w:rPr>
          <w:rFonts w:eastAsia="Roboto"/>
          <w:color w:val="0D0D0D"/>
          <w:sz w:val="24"/>
          <w:szCs w:val="24"/>
          <w:highlight w:val="white"/>
        </w:rPr>
        <w:t xml:space="preserve">Encryption in the Cloud: Analysing Deep into the Layers of Security. </w:t>
      </w:r>
      <w:proofErr w:type="gramStart"/>
      <w:r w:rsidRPr="00492DC0">
        <w:rPr>
          <w:rFonts w:eastAsia="Roboto"/>
          <w:i/>
          <w:color w:val="0D0D0D"/>
          <w:sz w:val="24"/>
          <w:szCs w:val="24"/>
          <w:highlight w:val="white"/>
        </w:rPr>
        <w:t xml:space="preserve">IEEE </w:t>
      </w:r>
      <w:r w:rsidRPr="00492DC0">
        <w:rPr>
          <w:rFonts w:eastAsia="Roboto"/>
          <w:color w:val="0D0D0D"/>
          <w:sz w:val="24"/>
          <w:szCs w:val="24"/>
          <w:highlight w:val="white"/>
        </w:rPr>
        <w:t>,</w:t>
      </w:r>
      <w:proofErr w:type="gramEnd"/>
      <w:r w:rsidRPr="00492DC0">
        <w:rPr>
          <w:rFonts w:eastAsia="Roboto"/>
          <w:color w:val="0D0D0D"/>
          <w:sz w:val="24"/>
          <w:szCs w:val="24"/>
          <w:highlight w:val="white"/>
        </w:rPr>
        <w:t xml:space="preserve"> 81–86. </w:t>
      </w:r>
      <w:hyperlink r:id="rId63">
        <w:r w:rsidRPr="00492DC0">
          <w:rPr>
            <w:rFonts w:eastAsia="Roboto"/>
            <w:color w:val="1155CC"/>
            <w:sz w:val="24"/>
            <w:szCs w:val="24"/>
            <w:highlight w:val="white"/>
            <w:u w:val="single"/>
          </w:rPr>
          <w:t>https://doi.org/10.1109/icoeca62351.2024.00028</w:t>
        </w:r>
      </w:hyperlink>
      <w:r w:rsidRPr="00492DC0">
        <w:rPr>
          <w:rFonts w:eastAsia="Roboto"/>
          <w:color w:val="0D0D0D"/>
          <w:sz w:val="24"/>
          <w:szCs w:val="24"/>
          <w:highlight w:val="white"/>
        </w:rPr>
        <w:t xml:space="preserve"> </w:t>
      </w:r>
    </w:p>
    <w:p w14:paraId="23AE952F"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Liu, K., Zhou, Z., Cao, Q., Xu, G., Wang, C., Gao, Y., Zeng, W., &amp; Xu, G. (2023). A Robust and Effective Two-Factor Authentication (2FA) Protocol Based on ECC for Mobile Computing. </w:t>
      </w:r>
      <w:r w:rsidRPr="00492DC0">
        <w:rPr>
          <w:rFonts w:eastAsia="Roboto"/>
          <w:i/>
          <w:color w:val="0D0D0D"/>
          <w:sz w:val="24"/>
          <w:szCs w:val="24"/>
          <w:highlight w:val="white"/>
        </w:rPr>
        <w:t>Applied Sciences</w:t>
      </w:r>
      <w:r w:rsidRPr="00492DC0">
        <w:rPr>
          <w:rFonts w:eastAsia="Roboto"/>
          <w:color w:val="0D0D0D"/>
          <w:sz w:val="24"/>
          <w:szCs w:val="24"/>
          <w:highlight w:val="white"/>
        </w:rPr>
        <w:t xml:space="preserve">, </w:t>
      </w:r>
      <w:r w:rsidRPr="00492DC0">
        <w:rPr>
          <w:rFonts w:eastAsia="Roboto"/>
          <w:i/>
          <w:color w:val="0D0D0D"/>
          <w:sz w:val="24"/>
          <w:szCs w:val="24"/>
          <w:highlight w:val="white"/>
        </w:rPr>
        <w:t>13</w:t>
      </w:r>
      <w:r w:rsidRPr="00492DC0">
        <w:rPr>
          <w:rFonts w:eastAsia="Roboto"/>
          <w:color w:val="0D0D0D"/>
          <w:sz w:val="24"/>
          <w:szCs w:val="24"/>
          <w:highlight w:val="white"/>
        </w:rPr>
        <w:t xml:space="preserve">(7), 4425. </w:t>
      </w:r>
      <w:hyperlink r:id="rId64">
        <w:r w:rsidRPr="00492DC0">
          <w:rPr>
            <w:rFonts w:eastAsia="Roboto"/>
            <w:color w:val="1155CC"/>
            <w:sz w:val="24"/>
            <w:szCs w:val="24"/>
            <w:highlight w:val="white"/>
            <w:u w:val="single"/>
          </w:rPr>
          <w:t>https://doi.org/10.3390/app13074425</w:t>
        </w:r>
      </w:hyperlink>
      <w:r w:rsidRPr="00492DC0">
        <w:rPr>
          <w:rFonts w:eastAsia="Roboto"/>
          <w:color w:val="0D0D0D"/>
          <w:sz w:val="24"/>
          <w:szCs w:val="24"/>
          <w:highlight w:val="white"/>
        </w:rPr>
        <w:t xml:space="preserve"> </w:t>
      </w:r>
    </w:p>
    <w:p w14:paraId="7B9DE6AA"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Mayeke</w:t>
      </w:r>
      <w:proofErr w:type="spellEnd"/>
      <w:r w:rsidRPr="00492DC0">
        <w:rPr>
          <w:rFonts w:eastAsia="Roboto"/>
          <w:color w:val="0D0D0D"/>
          <w:sz w:val="24"/>
          <w:szCs w:val="24"/>
          <w:highlight w:val="white"/>
        </w:rPr>
        <w:t xml:space="preserve">, N. R., </w:t>
      </w:r>
      <w:proofErr w:type="spellStart"/>
      <w:r w:rsidRPr="00492DC0">
        <w:rPr>
          <w:rFonts w:eastAsia="Roboto"/>
          <w:color w:val="0D0D0D"/>
          <w:sz w:val="24"/>
          <w:szCs w:val="24"/>
          <w:highlight w:val="white"/>
        </w:rPr>
        <w:t>Arigbabu</w:t>
      </w:r>
      <w:proofErr w:type="spellEnd"/>
      <w:r w:rsidRPr="00492DC0">
        <w:rPr>
          <w:rFonts w:eastAsia="Roboto"/>
          <w:color w:val="0D0D0D"/>
          <w:sz w:val="24"/>
          <w:szCs w:val="24"/>
          <w:highlight w:val="white"/>
        </w:rPr>
        <w:t xml:space="preserve">, A. T., </w:t>
      </w:r>
      <w:proofErr w:type="spellStart"/>
      <w:r w:rsidRPr="00492DC0">
        <w:rPr>
          <w:rFonts w:eastAsia="Roboto"/>
          <w:color w:val="0D0D0D"/>
          <w:sz w:val="24"/>
          <w:szCs w:val="24"/>
          <w:highlight w:val="white"/>
        </w:rPr>
        <w:t>Olaniyi</w:t>
      </w:r>
      <w:proofErr w:type="spellEnd"/>
      <w:r w:rsidRPr="00492DC0">
        <w:rPr>
          <w:rFonts w:eastAsia="Roboto"/>
          <w:color w:val="0D0D0D"/>
          <w:sz w:val="24"/>
          <w:szCs w:val="24"/>
          <w:highlight w:val="white"/>
        </w:rPr>
        <w:t xml:space="preserve">, O. O., </w:t>
      </w:r>
      <w:proofErr w:type="spellStart"/>
      <w:r w:rsidRPr="00492DC0">
        <w:rPr>
          <w:rFonts w:eastAsia="Roboto"/>
          <w:color w:val="0D0D0D"/>
          <w:sz w:val="24"/>
          <w:szCs w:val="24"/>
          <w:highlight w:val="white"/>
        </w:rPr>
        <w:t>Okunleye</w:t>
      </w:r>
      <w:proofErr w:type="spellEnd"/>
      <w:r w:rsidRPr="00492DC0">
        <w:rPr>
          <w:rFonts w:eastAsia="Roboto"/>
          <w:color w:val="0D0D0D"/>
          <w:sz w:val="24"/>
          <w:szCs w:val="24"/>
          <w:highlight w:val="white"/>
        </w:rPr>
        <w:t xml:space="preserve">, O. J., &amp; </w:t>
      </w:r>
      <w:proofErr w:type="spellStart"/>
      <w:r w:rsidRPr="00492DC0">
        <w:rPr>
          <w:rFonts w:eastAsia="Roboto"/>
          <w:color w:val="0D0D0D"/>
          <w:sz w:val="24"/>
          <w:szCs w:val="24"/>
          <w:highlight w:val="white"/>
        </w:rPr>
        <w:t>Adigwe</w:t>
      </w:r>
      <w:proofErr w:type="spellEnd"/>
      <w:r w:rsidRPr="00492DC0">
        <w:rPr>
          <w:rFonts w:eastAsia="Roboto"/>
          <w:color w:val="0D0D0D"/>
          <w:sz w:val="24"/>
          <w:szCs w:val="24"/>
          <w:highlight w:val="white"/>
        </w:rPr>
        <w:t xml:space="preserve">, C. S. (2024). Evolving Access Control Paradigms: A Comprehensive Multi-Dimensional Analysis of Security Risks and System Assurance in Cyber Engineering.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17</w:t>
      </w:r>
      <w:r w:rsidRPr="00492DC0">
        <w:rPr>
          <w:rFonts w:eastAsia="Roboto"/>
          <w:color w:val="0D0D0D"/>
          <w:sz w:val="24"/>
          <w:szCs w:val="24"/>
          <w:highlight w:val="white"/>
        </w:rPr>
        <w:t xml:space="preserve">(5), 108–124. </w:t>
      </w:r>
      <w:hyperlink r:id="rId65">
        <w:r w:rsidRPr="00492DC0">
          <w:rPr>
            <w:rFonts w:eastAsia="Roboto"/>
            <w:color w:val="1155CC"/>
            <w:sz w:val="24"/>
            <w:szCs w:val="24"/>
            <w:highlight w:val="white"/>
            <w:u w:val="single"/>
          </w:rPr>
          <w:t>https://doi.org/10.9734/ajrcos/2024/v17i5442</w:t>
        </w:r>
      </w:hyperlink>
      <w:r w:rsidRPr="00492DC0">
        <w:rPr>
          <w:rFonts w:eastAsia="Roboto"/>
          <w:color w:val="0D0D0D"/>
          <w:sz w:val="24"/>
          <w:szCs w:val="24"/>
          <w:highlight w:val="white"/>
        </w:rPr>
        <w:t xml:space="preserve"> </w:t>
      </w:r>
    </w:p>
    <w:p w14:paraId="73A7099B"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Minnaar</w:t>
      </w:r>
      <w:proofErr w:type="spellEnd"/>
      <w:r w:rsidRPr="00492DC0">
        <w:rPr>
          <w:rFonts w:eastAsia="Roboto"/>
          <w:color w:val="0D0D0D"/>
          <w:sz w:val="24"/>
          <w:szCs w:val="24"/>
          <w:highlight w:val="white"/>
        </w:rPr>
        <w:t xml:space="preserve">, A., &amp; </w:t>
      </w:r>
      <w:proofErr w:type="spellStart"/>
      <w:r w:rsidRPr="00492DC0">
        <w:rPr>
          <w:rFonts w:eastAsia="Roboto"/>
          <w:color w:val="0D0D0D"/>
          <w:sz w:val="24"/>
          <w:szCs w:val="24"/>
          <w:highlight w:val="white"/>
        </w:rPr>
        <w:t>Herbig</w:t>
      </w:r>
      <w:proofErr w:type="spellEnd"/>
      <w:r w:rsidRPr="00492DC0">
        <w:rPr>
          <w:rFonts w:eastAsia="Roboto"/>
          <w:color w:val="0D0D0D"/>
          <w:sz w:val="24"/>
          <w:szCs w:val="24"/>
          <w:highlight w:val="white"/>
        </w:rPr>
        <w:t xml:space="preserve">, F. J. W. (2021). Cyberattacks and the Cybercrime Threat of Ransomware to Hospitals and Healthcare Services During the COVID-19 Pandemic | Acta </w:t>
      </w:r>
      <w:proofErr w:type="spellStart"/>
      <w:proofErr w:type="gramStart"/>
      <w:r w:rsidRPr="00492DC0">
        <w:rPr>
          <w:rFonts w:eastAsia="Roboto"/>
          <w:color w:val="0D0D0D"/>
          <w:sz w:val="24"/>
          <w:szCs w:val="24"/>
          <w:highlight w:val="white"/>
        </w:rPr>
        <w:t>Criminologica</w:t>
      </w:r>
      <w:proofErr w:type="spellEnd"/>
      <w:r w:rsidRPr="00492DC0">
        <w:rPr>
          <w:rFonts w:eastAsia="Roboto"/>
          <w:color w:val="0D0D0D"/>
          <w:sz w:val="24"/>
          <w:szCs w:val="24"/>
          <w:highlight w:val="white"/>
        </w:rPr>
        <w:t xml:space="preserve"> :</w:t>
      </w:r>
      <w:proofErr w:type="gramEnd"/>
      <w:r w:rsidRPr="00492DC0">
        <w:rPr>
          <w:rFonts w:eastAsia="Roboto"/>
          <w:color w:val="0D0D0D"/>
          <w:sz w:val="24"/>
          <w:szCs w:val="24"/>
          <w:highlight w:val="white"/>
        </w:rPr>
        <w:t xml:space="preserve"> African Journal of Criminology &amp; Victimology. </w:t>
      </w:r>
      <w:r w:rsidRPr="00492DC0">
        <w:rPr>
          <w:rFonts w:eastAsia="Roboto"/>
          <w:i/>
          <w:color w:val="0D0D0D"/>
          <w:sz w:val="24"/>
          <w:szCs w:val="24"/>
          <w:highlight w:val="white"/>
        </w:rPr>
        <w:lastRenderedPageBreak/>
        <w:t xml:space="preserve">Acta </w:t>
      </w:r>
      <w:proofErr w:type="spellStart"/>
      <w:proofErr w:type="gramStart"/>
      <w:r w:rsidRPr="00492DC0">
        <w:rPr>
          <w:rFonts w:eastAsia="Roboto"/>
          <w:i/>
          <w:color w:val="0D0D0D"/>
          <w:sz w:val="24"/>
          <w:szCs w:val="24"/>
          <w:highlight w:val="white"/>
        </w:rPr>
        <w:t>Criminologica</w:t>
      </w:r>
      <w:proofErr w:type="spellEnd"/>
      <w:r w:rsidRPr="00492DC0">
        <w:rPr>
          <w:rFonts w:eastAsia="Roboto"/>
          <w:i/>
          <w:color w:val="0D0D0D"/>
          <w:sz w:val="24"/>
          <w:szCs w:val="24"/>
          <w:highlight w:val="white"/>
        </w:rPr>
        <w:t xml:space="preserve"> :</w:t>
      </w:r>
      <w:proofErr w:type="gramEnd"/>
      <w:r w:rsidRPr="00492DC0">
        <w:rPr>
          <w:rFonts w:eastAsia="Roboto"/>
          <w:i/>
          <w:color w:val="0D0D0D"/>
          <w:sz w:val="24"/>
          <w:szCs w:val="24"/>
          <w:highlight w:val="white"/>
        </w:rPr>
        <w:t xml:space="preserve"> African Journal of Criminology &amp; Victimology</w:t>
      </w:r>
      <w:r w:rsidRPr="00492DC0">
        <w:rPr>
          <w:rFonts w:eastAsia="Roboto"/>
          <w:color w:val="0D0D0D"/>
          <w:sz w:val="24"/>
          <w:szCs w:val="24"/>
          <w:highlight w:val="white"/>
        </w:rPr>
        <w:t xml:space="preserve">, </w:t>
      </w:r>
      <w:r w:rsidRPr="00492DC0">
        <w:rPr>
          <w:rFonts w:eastAsia="Roboto"/>
          <w:i/>
          <w:color w:val="0D0D0D"/>
          <w:sz w:val="24"/>
          <w:szCs w:val="24"/>
          <w:highlight w:val="white"/>
        </w:rPr>
        <w:t>34</w:t>
      </w:r>
      <w:r w:rsidRPr="00492DC0">
        <w:rPr>
          <w:rFonts w:eastAsia="Roboto"/>
          <w:color w:val="0D0D0D"/>
          <w:sz w:val="24"/>
          <w:szCs w:val="24"/>
          <w:highlight w:val="white"/>
        </w:rPr>
        <w:t xml:space="preserve">(3). </w:t>
      </w:r>
      <w:hyperlink r:id="rId66">
        <w:r w:rsidRPr="00492DC0">
          <w:rPr>
            <w:rFonts w:eastAsia="Roboto"/>
            <w:color w:val="1155CC"/>
            <w:sz w:val="24"/>
            <w:szCs w:val="24"/>
            <w:highlight w:val="white"/>
            <w:u w:val="single"/>
          </w:rPr>
          <w:t>https://doi.org/10.10520/crim.v34.n3;article:article:doi</w:t>
        </w:r>
      </w:hyperlink>
      <w:r w:rsidRPr="00492DC0">
        <w:rPr>
          <w:rFonts w:eastAsia="Roboto"/>
          <w:color w:val="0D0D0D"/>
          <w:sz w:val="24"/>
          <w:szCs w:val="24"/>
          <w:highlight w:val="white"/>
        </w:rPr>
        <w:t xml:space="preserve"> </w:t>
      </w:r>
    </w:p>
    <w:p w14:paraId="6A287744"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Mittal, R., Singh, S. K., Kumar, S., Khullar, T., Kumar, R., Gupta, B. B., &amp; </w:t>
      </w:r>
      <w:proofErr w:type="spellStart"/>
      <w:r w:rsidRPr="00492DC0">
        <w:rPr>
          <w:rFonts w:eastAsia="Roboto"/>
          <w:color w:val="0D0D0D"/>
          <w:sz w:val="24"/>
          <w:szCs w:val="24"/>
          <w:highlight w:val="white"/>
        </w:rPr>
        <w:t>Psannis</w:t>
      </w:r>
      <w:proofErr w:type="spellEnd"/>
      <w:r w:rsidRPr="00492DC0">
        <w:rPr>
          <w:rFonts w:eastAsia="Roboto"/>
          <w:color w:val="0D0D0D"/>
          <w:sz w:val="24"/>
          <w:szCs w:val="24"/>
          <w:highlight w:val="white"/>
        </w:rPr>
        <w:t xml:space="preserve">, K. (2025). Advanced Techniques and Best Practices for Phishing Detection. </w:t>
      </w:r>
      <w:r w:rsidRPr="00492DC0">
        <w:rPr>
          <w:rFonts w:eastAsia="Roboto"/>
          <w:i/>
          <w:color w:val="0D0D0D"/>
          <w:sz w:val="24"/>
          <w:szCs w:val="24"/>
          <w:highlight w:val="white"/>
        </w:rPr>
        <w:t xml:space="preserve">IGI Global </w:t>
      </w:r>
      <w:proofErr w:type="spellStart"/>
      <w:r w:rsidRPr="00492DC0">
        <w:rPr>
          <w:rFonts w:eastAsia="Roboto"/>
          <w:i/>
          <w:color w:val="0D0D0D"/>
          <w:sz w:val="24"/>
          <w:szCs w:val="24"/>
          <w:highlight w:val="white"/>
        </w:rPr>
        <w:t>EBooks</w:t>
      </w:r>
      <w:proofErr w:type="spellEnd"/>
      <w:r w:rsidRPr="00492DC0">
        <w:rPr>
          <w:rFonts w:eastAsia="Roboto"/>
          <w:color w:val="0D0D0D"/>
          <w:sz w:val="24"/>
          <w:szCs w:val="24"/>
          <w:highlight w:val="white"/>
        </w:rPr>
        <w:t xml:space="preserve">, 149–186. </w:t>
      </w:r>
      <w:hyperlink r:id="rId67">
        <w:r w:rsidRPr="00492DC0">
          <w:rPr>
            <w:rFonts w:eastAsia="Roboto"/>
            <w:color w:val="1155CC"/>
            <w:sz w:val="24"/>
            <w:szCs w:val="24"/>
            <w:highlight w:val="white"/>
            <w:u w:val="single"/>
          </w:rPr>
          <w:t>https://doi.org/10.4018/979-8-3693-8784-9.ch008</w:t>
        </w:r>
      </w:hyperlink>
      <w:r w:rsidRPr="00492DC0">
        <w:rPr>
          <w:rFonts w:eastAsia="Roboto"/>
          <w:color w:val="0D0D0D"/>
          <w:sz w:val="24"/>
          <w:szCs w:val="24"/>
          <w:highlight w:val="white"/>
        </w:rPr>
        <w:t xml:space="preserve"> </w:t>
      </w:r>
    </w:p>
    <w:p w14:paraId="2D746490"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Naito, A., Wills, A.-M., </w:t>
      </w:r>
      <w:proofErr w:type="spellStart"/>
      <w:r w:rsidRPr="00492DC0">
        <w:rPr>
          <w:rFonts w:eastAsia="Roboto"/>
          <w:color w:val="0D0D0D"/>
          <w:sz w:val="24"/>
          <w:szCs w:val="24"/>
          <w:highlight w:val="white"/>
        </w:rPr>
        <w:t>Tropea</w:t>
      </w:r>
      <w:proofErr w:type="spellEnd"/>
      <w:r w:rsidRPr="00492DC0">
        <w:rPr>
          <w:rFonts w:eastAsia="Roboto"/>
          <w:color w:val="0D0D0D"/>
          <w:sz w:val="24"/>
          <w:szCs w:val="24"/>
          <w:highlight w:val="white"/>
        </w:rPr>
        <w:t xml:space="preserve">, T. F., Ramirez-Zamora, A., Hauser, R. A., Martino, D., Turner, T. H., Rafferty, M. R., </w:t>
      </w:r>
      <w:proofErr w:type="spellStart"/>
      <w:r w:rsidRPr="00492DC0">
        <w:rPr>
          <w:rFonts w:eastAsia="Roboto"/>
          <w:color w:val="0D0D0D"/>
          <w:sz w:val="24"/>
          <w:szCs w:val="24"/>
          <w:highlight w:val="white"/>
        </w:rPr>
        <w:t>Afshari</w:t>
      </w:r>
      <w:proofErr w:type="spellEnd"/>
      <w:r w:rsidRPr="00492DC0">
        <w:rPr>
          <w:rFonts w:eastAsia="Roboto"/>
          <w:color w:val="0D0D0D"/>
          <w:sz w:val="24"/>
          <w:szCs w:val="24"/>
          <w:highlight w:val="white"/>
        </w:rPr>
        <w:t xml:space="preserve">, M., Williams, K. L., </w:t>
      </w:r>
      <w:proofErr w:type="spellStart"/>
      <w:r w:rsidRPr="00492DC0">
        <w:rPr>
          <w:rFonts w:eastAsia="Roboto"/>
          <w:color w:val="0D0D0D"/>
          <w:sz w:val="24"/>
          <w:szCs w:val="24"/>
          <w:highlight w:val="white"/>
        </w:rPr>
        <w:t>Vaou</w:t>
      </w:r>
      <w:proofErr w:type="spellEnd"/>
      <w:r w:rsidRPr="00492DC0">
        <w:rPr>
          <w:rFonts w:eastAsia="Roboto"/>
          <w:color w:val="0D0D0D"/>
          <w:sz w:val="24"/>
          <w:szCs w:val="24"/>
          <w:highlight w:val="white"/>
        </w:rPr>
        <w:t xml:space="preserve">, O., McKeown, M. J., Ginsburg, L., Ezra, A., </w:t>
      </w:r>
      <w:proofErr w:type="spellStart"/>
      <w:r w:rsidRPr="00492DC0">
        <w:rPr>
          <w:rFonts w:eastAsia="Roboto"/>
          <w:color w:val="0D0D0D"/>
          <w:sz w:val="24"/>
          <w:szCs w:val="24"/>
          <w:highlight w:val="white"/>
        </w:rPr>
        <w:t>Iansek</w:t>
      </w:r>
      <w:proofErr w:type="spellEnd"/>
      <w:r w:rsidRPr="00492DC0">
        <w:rPr>
          <w:rFonts w:eastAsia="Roboto"/>
          <w:color w:val="0D0D0D"/>
          <w:sz w:val="24"/>
          <w:szCs w:val="24"/>
          <w:highlight w:val="white"/>
        </w:rPr>
        <w:t xml:space="preserve">, R., </w:t>
      </w:r>
      <w:proofErr w:type="spellStart"/>
      <w:r w:rsidRPr="00492DC0">
        <w:rPr>
          <w:rFonts w:eastAsia="Roboto"/>
          <w:color w:val="0D0D0D"/>
          <w:sz w:val="24"/>
          <w:szCs w:val="24"/>
          <w:highlight w:val="white"/>
        </w:rPr>
        <w:t>Wallock</w:t>
      </w:r>
      <w:proofErr w:type="spellEnd"/>
      <w:r w:rsidRPr="00492DC0">
        <w:rPr>
          <w:rFonts w:eastAsia="Roboto"/>
          <w:color w:val="0D0D0D"/>
          <w:sz w:val="24"/>
          <w:szCs w:val="24"/>
          <w:highlight w:val="white"/>
        </w:rPr>
        <w:t xml:space="preserve">, K., Evers, C., Schroeder, K., DeLeon, R., &amp; </w:t>
      </w:r>
      <w:proofErr w:type="spellStart"/>
      <w:r w:rsidRPr="00492DC0">
        <w:rPr>
          <w:rFonts w:eastAsia="Roboto"/>
          <w:color w:val="0D0D0D"/>
          <w:sz w:val="24"/>
          <w:szCs w:val="24"/>
          <w:highlight w:val="white"/>
        </w:rPr>
        <w:t>Yarab</w:t>
      </w:r>
      <w:proofErr w:type="spellEnd"/>
      <w:r w:rsidRPr="00492DC0">
        <w:rPr>
          <w:rFonts w:eastAsia="Roboto"/>
          <w:color w:val="0D0D0D"/>
          <w:sz w:val="24"/>
          <w:szCs w:val="24"/>
          <w:highlight w:val="white"/>
        </w:rPr>
        <w:t xml:space="preserve">, N. (2021). Expediting telehealth use in clinical research studies: recommendations for overcoming barriers in North America. </w:t>
      </w:r>
      <w:proofErr w:type="spellStart"/>
      <w:r w:rsidRPr="00492DC0">
        <w:rPr>
          <w:rFonts w:eastAsia="Roboto"/>
          <w:i/>
          <w:color w:val="0D0D0D"/>
          <w:sz w:val="24"/>
          <w:szCs w:val="24"/>
          <w:highlight w:val="white"/>
        </w:rPr>
        <w:t>Npj</w:t>
      </w:r>
      <w:proofErr w:type="spellEnd"/>
      <w:r w:rsidRPr="00492DC0">
        <w:rPr>
          <w:rFonts w:eastAsia="Roboto"/>
          <w:i/>
          <w:color w:val="0D0D0D"/>
          <w:sz w:val="24"/>
          <w:szCs w:val="24"/>
          <w:highlight w:val="white"/>
        </w:rPr>
        <w:t xml:space="preserve"> Parkinson’s Disease</w:t>
      </w:r>
      <w:r w:rsidRPr="00492DC0">
        <w:rPr>
          <w:rFonts w:eastAsia="Roboto"/>
          <w:color w:val="0D0D0D"/>
          <w:sz w:val="24"/>
          <w:szCs w:val="24"/>
          <w:highlight w:val="white"/>
        </w:rPr>
        <w:t xml:space="preserve">, </w:t>
      </w:r>
      <w:r w:rsidRPr="00492DC0">
        <w:rPr>
          <w:rFonts w:eastAsia="Roboto"/>
          <w:i/>
          <w:color w:val="0D0D0D"/>
          <w:sz w:val="24"/>
          <w:szCs w:val="24"/>
          <w:highlight w:val="white"/>
        </w:rPr>
        <w:t>7</w:t>
      </w:r>
      <w:r w:rsidRPr="00492DC0">
        <w:rPr>
          <w:rFonts w:eastAsia="Roboto"/>
          <w:color w:val="0D0D0D"/>
          <w:sz w:val="24"/>
          <w:szCs w:val="24"/>
          <w:highlight w:val="white"/>
        </w:rPr>
        <w:t xml:space="preserve">(1). </w:t>
      </w:r>
      <w:hyperlink r:id="rId68">
        <w:r w:rsidRPr="00492DC0">
          <w:rPr>
            <w:rFonts w:eastAsia="Roboto"/>
            <w:color w:val="1155CC"/>
            <w:sz w:val="24"/>
            <w:szCs w:val="24"/>
            <w:highlight w:val="white"/>
            <w:u w:val="single"/>
          </w:rPr>
          <w:t>https://doi.org/10.1038/s41531-021-00177-8</w:t>
        </w:r>
      </w:hyperlink>
      <w:r w:rsidRPr="00492DC0">
        <w:rPr>
          <w:rFonts w:eastAsia="Roboto"/>
          <w:color w:val="0D0D0D"/>
          <w:sz w:val="24"/>
          <w:szCs w:val="24"/>
          <w:highlight w:val="white"/>
        </w:rPr>
        <w:t xml:space="preserve"> </w:t>
      </w:r>
    </w:p>
    <w:p w14:paraId="6542C1A0"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Nankya</w:t>
      </w:r>
      <w:proofErr w:type="spellEnd"/>
      <w:r w:rsidRPr="00492DC0">
        <w:rPr>
          <w:rFonts w:eastAsia="Roboto"/>
          <w:color w:val="0D0D0D"/>
          <w:sz w:val="24"/>
          <w:szCs w:val="24"/>
          <w:highlight w:val="white"/>
        </w:rPr>
        <w:t xml:space="preserve">, M., </w:t>
      </w:r>
      <w:proofErr w:type="spellStart"/>
      <w:r w:rsidRPr="00492DC0">
        <w:rPr>
          <w:rFonts w:eastAsia="Roboto"/>
          <w:color w:val="0D0D0D"/>
          <w:sz w:val="24"/>
          <w:szCs w:val="24"/>
          <w:highlight w:val="white"/>
        </w:rPr>
        <w:t>Mugisa</w:t>
      </w:r>
      <w:proofErr w:type="spellEnd"/>
      <w:r w:rsidRPr="00492DC0">
        <w:rPr>
          <w:rFonts w:eastAsia="Roboto"/>
          <w:color w:val="0D0D0D"/>
          <w:sz w:val="24"/>
          <w:szCs w:val="24"/>
          <w:highlight w:val="white"/>
        </w:rPr>
        <w:t xml:space="preserve">, A., Usman, Y., Upadhyay, A., &amp; </w:t>
      </w:r>
      <w:proofErr w:type="spellStart"/>
      <w:r w:rsidRPr="00492DC0">
        <w:rPr>
          <w:rFonts w:eastAsia="Roboto"/>
          <w:color w:val="0D0D0D"/>
          <w:sz w:val="24"/>
          <w:szCs w:val="24"/>
          <w:highlight w:val="white"/>
        </w:rPr>
        <w:t>Chataut</w:t>
      </w:r>
      <w:proofErr w:type="spellEnd"/>
      <w:r w:rsidRPr="00492DC0">
        <w:rPr>
          <w:rFonts w:eastAsia="Roboto"/>
          <w:color w:val="0D0D0D"/>
          <w:sz w:val="24"/>
          <w:szCs w:val="24"/>
          <w:highlight w:val="white"/>
        </w:rPr>
        <w:t xml:space="preserve">, R. (2024). Security and Privacy in E-Health Systems: A Review of AI and Machine Learning Techniques. </w:t>
      </w:r>
      <w:r w:rsidRPr="00492DC0">
        <w:rPr>
          <w:rFonts w:eastAsia="Roboto"/>
          <w:i/>
          <w:color w:val="0D0D0D"/>
          <w:sz w:val="24"/>
          <w:szCs w:val="24"/>
          <w:highlight w:val="white"/>
        </w:rPr>
        <w:t>IEEE Access</w:t>
      </w:r>
      <w:r w:rsidRPr="00492DC0">
        <w:rPr>
          <w:rFonts w:eastAsia="Roboto"/>
          <w:color w:val="0D0D0D"/>
          <w:sz w:val="24"/>
          <w:szCs w:val="24"/>
          <w:highlight w:val="white"/>
        </w:rPr>
        <w:t xml:space="preserve">, </w:t>
      </w:r>
      <w:r w:rsidRPr="00492DC0">
        <w:rPr>
          <w:rFonts w:eastAsia="Roboto"/>
          <w:i/>
          <w:color w:val="0D0D0D"/>
          <w:sz w:val="24"/>
          <w:szCs w:val="24"/>
          <w:highlight w:val="white"/>
        </w:rPr>
        <w:t>12</w:t>
      </w:r>
      <w:r w:rsidRPr="00492DC0">
        <w:rPr>
          <w:rFonts w:eastAsia="Roboto"/>
          <w:color w:val="0D0D0D"/>
          <w:sz w:val="24"/>
          <w:szCs w:val="24"/>
          <w:highlight w:val="white"/>
        </w:rPr>
        <w:t xml:space="preserve">, 148796–148816. </w:t>
      </w:r>
      <w:hyperlink r:id="rId69">
        <w:r w:rsidRPr="00492DC0">
          <w:rPr>
            <w:rFonts w:eastAsia="Roboto"/>
            <w:color w:val="1155CC"/>
            <w:sz w:val="24"/>
            <w:szCs w:val="24"/>
            <w:highlight w:val="white"/>
            <w:u w:val="single"/>
          </w:rPr>
          <w:t>https://doi.org/10.1109/access.2024.3469215</w:t>
        </w:r>
      </w:hyperlink>
      <w:r w:rsidRPr="00492DC0">
        <w:rPr>
          <w:rFonts w:eastAsia="Roboto"/>
          <w:color w:val="0D0D0D"/>
          <w:sz w:val="24"/>
          <w:szCs w:val="24"/>
          <w:highlight w:val="white"/>
        </w:rPr>
        <w:t xml:space="preserve"> </w:t>
      </w:r>
    </w:p>
    <w:p w14:paraId="4D0B04BF" w14:textId="77777777" w:rsidR="00C91EC2" w:rsidRPr="009C5696" w:rsidRDefault="0000391E" w:rsidP="00004EA2">
      <w:pPr>
        <w:spacing w:before="240" w:line="240" w:lineRule="auto"/>
        <w:ind w:left="720" w:hanging="720"/>
        <w:rPr>
          <w:rFonts w:eastAsia="Roboto"/>
          <w:color w:val="0D0D0D"/>
          <w:sz w:val="24"/>
          <w:szCs w:val="24"/>
          <w:highlight w:val="white"/>
          <w:lang w:val="fr-FR"/>
        </w:rPr>
      </w:pPr>
      <w:proofErr w:type="spellStart"/>
      <w:r w:rsidRPr="00492DC0">
        <w:rPr>
          <w:rFonts w:eastAsia="Roboto"/>
          <w:color w:val="0D0D0D"/>
          <w:sz w:val="24"/>
          <w:szCs w:val="24"/>
          <w:highlight w:val="white"/>
        </w:rPr>
        <w:t>Netskope</w:t>
      </w:r>
      <w:proofErr w:type="spellEnd"/>
      <w:r w:rsidRPr="00492DC0">
        <w:rPr>
          <w:rFonts w:eastAsia="Roboto"/>
          <w:color w:val="0D0D0D"/>
          <w:sz w:val="24"/>
          <w:szCs w:val="24"/>
          <w:highlight w:val="white"/>
        </w:rPr>
        <w:t xml:space="preserve">. (2024). </w:t>
      </w:r>
      <w:r w:rsidRPr="00492DC0">
        <w:rPr>
          <w:rFonts w:eastAsia="Roboto"/>
          <w:i/>
          <w:color w:val="0D0D0D"/>
          <w:sz w:val="24"/>
          <w:szCs w:val="24"/>
          <w:highlight w:val="white"/>
        </w:rPr>
        <w:t>Cloud and Threat Report 2024</w:t>
      </w:r>
      <w:r w:rsidRPr="00492DC0">
        <w:rPr>
          <w:rFonts w:eastAsia="Roboto"/>
          <w:color w:val="0D0D0D"/>
          <w:sz w:val="24"/>
          <w:szCs w:val="24"/>
          <w:highlight w:val="white"/>
        </w:rPr>
        <w:t xml:space="preserve">. </w:t>
      </w:r>
      <w:proofErr w:type="spellStart"/>
      <w:r w:rsidRPr="009C5696">
        <w:rPr>
          <w:rFonts w:eastAsia="Roboto"/>
          <w:color w:val="0D0D0D"/>
          <w:sz w:val="24"/>
          <w:szCs w:val="24"/>
          <w:highlight w:val="white"/>
          <w:lang w:val="fr-FR"/>
        </w:rPr>
        <w:t>Netskope</w:t>
      </w:r>
      <w:proofErr w:type="spellEnd"/>
      <w:r w:rsidRPr="009C5696">
        <w:rPr>
          <w:rFonts w:eastAsia="Roboto"/>
          <w:color w:val="0D0D0D"/>
          <w:sz w:val="24"/>
          <w:szCs w:val="24"/>
          <w:highlight w:val="white"/>
          <w:lang w:val="fr-FR"/>
        </w:rPr>
        <w:t xml:space="preserve">. </w:t>
      </w:r>
      <w:hyperlink r:id="rId70">
        <w:r w:rsidRPr="009C5696">
          <w:rPr>
            <w:rFonts w:eastAsia="Roboto"/>
            <w:color w:val="1155CC"/>
            <w:sz w:val="24"/>
            <w:szCs w:val="24"/>
            <w:highlight w:val="white"/>
            <w:u w:val="single"/>
            <w:lang w:val="fr-FR"/>
          </w:rPr>
          <w:t>https://www.netskope.com/resources/reports-guides/cloud-and-threat-report-2024</w:t>
        </w:r>
      </w:hyperlink>
      <w:r w:rsidRPr="009C5696">
        <w:rPr>
          <w:rFonts w:eastAsia="Roboto"/>
          <w:color w:val="0D0D0D"/>
          <w:sz w:val="24"/>
          <w:szCs w:val="24"/>
          <w:highlight w:val="white"/>
          <w:lang w:val="fr-FR"/>
        </w:rPr>
        <w:t xml:space="preserve"> </w:t>
      </w:r>
    </w:p>
    <w:p w14:paraId="3AC1E343"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Nicholls, J., </w:t>
      </w:r>
      <w:proofErr w:type="spellStart"/>
      <w:r w:rsidRPr="00492DC0">
        <w:rPr>
          <w:rFonts w:eastAsia="Roboto"/>
          <w:color w:val="0D0D0D"/>
          <w:sz w:val="24"/>
          <w:szCs w:val="24"/>
          <w:highlight w:val="white"/>
        </w:rPr>
        <w:t>Kuppa</w:t>
      </w:r>
      <w:proofErr w:type="spellEnd"/>
      <w:r w:rsidRPr="00492DC0">
        <w:rPr>
          <w:rFonts w:eastAsia="Roboto"/>
          <w:color w:val="0D0D0D"/>
          <w:sz w:val="24"/>
          <w:szCs w:val="24"/>
          <w:highlight w:val="white"/>
        </w:rPr>
        <w:t>, A., &amp; Le-</w:t>
      </w:r>
      <w:proofErr w:type="spellStart"/>
      <w:r w:rsidRPr="00492DC0">
        <w:rPr>
          <w:rFonts w:eastAsia="Roboto"/>
          <w:color w:val="0D0D0D"/>
          <w:sz w:val="24"/>
          <w:szCs w:val="24"/>
          <w:highlight w:val="white"/>
        </w:rPr>
        <w:t>Khac</w:t>
      </w:r>
      <w:proofErr w:type="spellEnd"/>
      <w:r w:rsidRPr="00492DC0">
        <w:rPr>
          <w:rFonts w:eastAsia="Roboto"/>
          <w:color w:val="0D0D0D"/>
          <w:sz w:val="24"/>
          <w:szCs w:val="24"/>
          <w:highlight w:val="white"/>
        </w:rPr>
        <w:t xml:space="preserve">, N.-A. (2021). Financial Cybercrime: A Comprehensive Survey of Deep Learning Approaches to Tackle the Evolving Financial Crime Landscape. </w:t>
      </w:r>
      <w:r w:rsidRPr="00492DC0">
        <w:rPr>
          <w:rFonts w:eastAsia="Roboto"/>
          <w:i/>
          <w:color w:val="0D0D0D"/>
          <w:sz w:val="24"/>
          <w:szCs w:val="24"/>
          <w:highlight w:val="white"/>
        </w:rPr>
        <w:t>IEEE Access</w:t>
      </w:r>
      <w:r w:rsidRPr="00492DC0">
        <w:rPr>
          <w:rFonts w:eastAsia="Roboto"/>
          <w:color w:val="0D0D0D"/>
          <w:sz w:val="24"/>
          <w:szCs w:val="24"/>
          <w:highlight w:val="white"/>
        </w:rPr>
        <w:t xml:space="preserve">, </w:t>
      </w:r>
      <w:r w:rsidRPr="00492DC0">
        <w:rPr>
          <w:rFonts w:eastAsia="Roboto"/>
          <w:i/>
          <w:color w:val="0D0D0D"/>
          <w:sz w:val="24"/>
          <w:szCs w:val="24"/>
          <w:highlight w:val="white"/>
        </w:rPr>
        <w:t>9</w:t>
      </w:r>
      <w:r w:rsidRPr="00492DC0">
        <w:rPr>
          <w:rFonts w:eastAsia="Roboto"/>
          <w:color w:val="0D0D0D"/>
          <w:sz w:val="24"/>
          <w:szCs w:val="24"/>
          <w:highlight w:val="white"/>
        </w:rPr>
        <w:t xml:space="preserve">, 163965–163986. </w:t>
      </w:r>
      <w:hyperlink r:id="rId71">
        <w:r w:rsidRPr="00492DC0">
          <w:rPr>
            <w:rFonts w:eastAsia="Roboto"/>
            <w:color w:val="1155CC"/>
            <w:sz w:val="24"/>
            <w:szCs w:val="24"/>
            <w:highlight w:val="white"/>
            <w:u w:val="single"/>
          </w:rPr>
          <w:t>https://doi.org/10.1109/access.2021.3134076</w:t>
        </w:r>
      </w:hyperlink>
      <w:r w:rsidRPr="00492DC0">
        <w:rPr>
          <w:rFonts w:eastAsia="Roboto"/>
          <w:color w:val="0D0D0D"/>
          <w:sz w:val="24"/>
          <w:szCs w:val="24"/>
          <w:highlight w:val="white"/>
        </w:rPr>
        <w:t xml:space="preserve"> </w:t>
      </w:r>
    </w:p>
    <w:p w14:paraId="3B384CF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NIST. (2024). </w:t>
      </w:r>
      <w:r w:rsidRPr="00492DC0">
        <w:rPr>
          <w:rFonts w:eastAsia="Roboto"/>
          <w:i/>
          <w:color w:val="0D0D0D"/>
          <w:sz w:val="24"/>
          <w:szCs w:val="24"/>
          <w:highlight w:val="white"/>
        </w:rPr>
        <w:t>The NIST Cybersecurity Framework (CSF) 2.0</w:t>
      </w:r>
      <w:r w:rsidRPr="00492DC0">
        <w:rPr>
          <w:rFonts w:eastAsia="Roboto"/>
          <w:color w:val="0D0D0D"/>
          <w:sz w:val="24"/>
          <w:szCs w:val="24"/>
          <w:highlight w:val="white"/>
        </w:rPr>
        <w:t xml:space="preserve">. Csrc.nist.gov. </w:t>
      </w:r>
      <w:hyperlink r:id="rId72">
        <w:r w:rsidRPr="00492DC0">
          <w:rPr>
            <w:rFonts w:eastAsia="Roboto"/>
            <w:color w:val="1155CC"/>
            <w:sz w:val="24"/>
            <w:szCs w:val="24"/>
            <w:highlight w:val="white"/>
            <w:u w:val="single"/>
          </w:rPr>
          <w:t>https://csrc.nist.gov/pubs/cswp/29/the-nist-cybersecurity-framework-csf-20/final</w:t>
        </w:r>
      </w:hyperlink>
      <w:r w:rsidRPr="00492DC0">
        <w:rPr>
          <w:rFonts w:eastAsia="Roboto"/>
          <w:color w:val="0D0D0D"/>
          <w:sz w:val="24"/>
          <w:szCs w:val="24"/>
          <w:highlight w:val="white"/>
        </w:rPr>
        <w:t xml:space="preserve"> </w:t>
      </w:r>
    </w:p>
    <w:p w14:paraId="79EC9DF4"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Obioha-Val, O. A. (2025). Bridging Gaps in Cybersecurity Governance: Leveraging Collaborative Digital Solutions.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18</w:t>
      </w:r>
      <w:r w:rsidRPr="00492DC0">
        <w:rPr>
          <w:rFonts w:eastAsia="Roboto"/>
          <w:color w:val="0D0D0D"/>
          <w:sz w:val="24"/>
          <w:szCs w:val="24"/>
          <w:highlight w:val="white"/>
        </w:rPr>
        <w:t xml:space="preserve">(2), 82–100. </w:t>
      </w:r>
      <w:hyperlink r:id="rId73">
        <w:r w:rsidRPr="00492DC0">
          <w:rPr>
            <w:rFonts w:eastAsia="Roboto"/>
            <w:color w:val="1155CC"/>
            <w:sz w:val="24"/>
            <w:szCs w:val="24"/>
            <w:highlight w:val="white"/>
            <w:u w:val="single"/>
          </w:rPr>
          <w:t>https://doi.org/10.9734/ajrcos/2025/v18i2564</w:t>
        </w:r>
      </w:hyperlink>
      <w:r w:rsidRPr="00492DC0">
        <w:rPr>
          <w:rFonts w:eastAsia="Roboto"/>
          <w:color w:val="0D0D0D"/>
          <w:sz w:val="24"/>
          <w:szCs w:val="24"/>
          <w:highlight w:val="white"/>
        </w:rPr>
        <w:t xml:space="preserve"> </w:t>
      </w:r>
    </w:p>
    <w:p w14:paraId="057482C5"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9C5696">
        <w:rPr>
          <w:rFonts w:eastAsia="Roboto"/>
          <w:color w:val="0D0D0D"/>
          <w:sz w:val="24"/>
          <w:szCs w:val="24"/>
          <w:highlight w:val="white"/>
          <w:lang w:val="es-ES"/>
        </w:rPr>
        <w:t>Obioha</w:t>
      </w:r>
      <w:proofErr w:type="spellEnd"/>
      <w:r w:rsidRPr="009C5696">
        <w:rPr>
          <w:rFonts w:eastAsia="Roboto"/>
          <w:color w:val="0D0D0D"/>
          <w:sz w:val="24"/>
          <w:szCs w:val="24"/>
          <w:highlight w:val="white"/>
          <w:lang w:val="es-ES"/>
        </w:rPr>
        <w:t xml:space="preserve">-Val, O. A., </w:t>
      </w:r>
      <w:proofErr w:type="spellStart"/>
      <w:r w:rsidRPr="009C5696">
        <w:rPr>
          <w:rFonts w:eastAsia="Roboto"/>
          <w:color w:val="0D0D0D"/>
          <w:sz w:val="24"/>
          <w:szCs w:val="24"/>
          <w:highlight w:val="white"/>
          <w:lang w:val="es-ES"/>
        </w:rPr>
        <w:t>Gbadebo</w:t>
      </w:r>
      <w:proofErr w:type="spellEnd"/>
      <w:r w:rsidRPr="009C5696">
        <w:rPr>
          <w:rFonts w:eastAsia="Roboto"/>
          <w:color w:val="0D0D0D"/>
          <w:sz w:val="24"/>
          <w:szCs w:val="24"/>
          <w:highlight w:val="white"/>
          <w:lang w:val="es-ES"/>
        </w:rPr>
        <w:t xml:space="preserve">, M. O., </w:t>
      </w:r>
      <w:proofErr w:type="spellStart"/>
      <w:r w:rsidRPr="009C5696">
        <w:rPr>
          <w:rFonts w:eastAsia="Roboto"/>
          <w:color w:val="0D0D0D"/>
          <w:sz w:val="24"/>
          <w:szCs w:val="24"/>
          <w:highlight w:val="white"/>
          <w:lang w:val="es-ES"/>
        </w:rPr>
        <w:t>Olaniyi</w:t>
      </w:r>
      <w:proofErr w:type="spellEnd"/>
      <w:r w:rsidRPr="009C5696">
        <w:rPr>
          <w:rFonts w:eastAsia="Roboto"/>
          <w:color w:val="0D0D0D"/>
          <w:sz w:val="24"/>
          <w:szCs w:val="24"/>
          <w:highlight w:val="white"/>
          <w:lang w:val="es-ES"/>
        </w:rPr>
        <w:t xml:space="preserve">, O. O., </w:t>
      </w:r>
      <w:proofErr w:type="spellStart"/>
      <w:r w:rsidRPr="009C5696">
        <w:rPr>
          <w:rFonts w:eastAsia="Roboto"/>
          <w:color w:val="0D0D0D"/>
          <w:sz w:val="24"/>
          <w:szCs w:val="24"/>
          <w:highlight w:val="white"/>
          <w:lang w:val="es-ES"/>
        </w:rPr>
        <w:t>Chinye</w:t>
      </w:r>
      <w:proofErr w:type="spellEnd"/>
      <w:r w:rsidRPr="009C5696">
        <w:rPr>
          <w:rFonts w:eastAsia="Roboto"/>
          <w:color w:val="0D0D0D"/>
          <w:sz w:val="24"/>
          <w:szCs w:val="24"/>
          <w:highlight w:val="white"/>
          <w:lang w:val="es-ES"/>
        </w:rPr>
        <w:t xml:space="preserve">, N. C., &amp; </w:t>
      </w:r>
      <w:proofErr w:type="spellStart"/>
      <w:r w:rsidRPr="009C5696">
        <w:rPr>
          <w:rFonts w:eastAsia="Roboto"/>
          <w:color w:val="0D0D0D"/>
          <w:sz w:val="24"/>
          <w:szCs w:val="24"/>
          <w:highlight w:val="white"/>
          <w:lang w:val="es-ES"/>
        </w:rPr>
        <w:t>Balogun</w:t>
      </w:r>
      <w:proofErr w:type="spellEnd"/>
      <w:r w:rsidRPr="009C5696">
        <w:rPr>
          <w:rFonts w:eastAsia="Roboto"/>
          <w:color w:val="0D0D0D"/>
          <w:sz w:val="24"/>
          <w:szCs w:val="24"/>
          <w:highlight w:val="white"/>
          <w:lang w:val="es-ES"/>
        </w:rPr>
        <w:t xml:space="preserve">, A. Y. (2025). </w:t>
      </w:r>
      <w:r w:rsidRPr="00492DC0">
        <w:rPr>
          <w:rFonts w:eastAsia="Roboto"/>
          <w:color w:val="0D0D0D"/>
          <w:sz w:val="24"/>
          <w:szCs w:val="24"/>
          <w:highlight w:val="white"/>
        </w:rPr>
        <w:t xml:space="preserve">Innovative Regulation of Open Source Intelligence and </w:t>
      </w:r>
      <w:proofErr w:type="spellStart"/>
      <w:r w:rsidRPr="00492DC0">
        <w:rPr>
          <w:rFonts w:eastAsia="Roboto"/>
          <w:color w:val="0D0D0D"/>
          <w:sz w:val="24"/>
          <w:szCs w:val="24"/>
          <w:highlight w:val="white"/>
        </w:rPr>
        <w:t>Deepfakes</w:t>
      </w:r>
      <w:proofErr w:type="spellEnd"/>
      <w:r w:rsidRPr="00492DC0">
        <w:rPr>
          <w:rFonts w:eastAsia="Roboto"/>
          <w:color w:val="0D0D0D"/>
          <w:sz w:val="24"/>
          <w:szCs w:val="24"/>
          <w:highlight w:val="white"/>
        </w:rPr>
        <w:t xml:space="preserve"> AI in Managing Public Trust.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27</w:t>
      </w:r>
      <w:r w:rsidRPr="00492DC0">
        <w:rPr>
          <w:rFonts w:eastAsia="Roboto"/>
          <w:color w:val="0D0D0D"/>
          <w:sz w:val="24"/>
          <w:szCs w:val="24"/>
          <w:highlight w:val="white"/>
        </w:rPr>
        <w:t xml:space="preserve">(2), 136–156. </w:t>
      </w:r>
      <w:hyperlink r:id="rId74">
        <w:r w:rsidRPr="00492DC0">
          <w:rPr>
            <w:rFonts w:eastAsia="Roboto"/>
            <w:color w:val="1155CC"/>
            <w:sz w:val="24"/>
            <w:szCs w:val="24"/>
            <w:highlight w:val="white"/>
            <w:u w:val="single"/>
          </w:rPr>
          <w:t>https://doi.org/10.9734/jerr/2025/v27i21400</w:t>
        </w:r>
      </w:hyperlink>
      <w:r w:rsidRPr="00492DC0">
        <w:rPr>
          <w:rFonts w:eastAsia="Roboto"/>
          <w:color w:val="0D0D0D"/>
          <w:sz w:val="24"/>
          <w:szCs w:val="24"/>
          <w:highlight w:val="white"/>
        </w:rPr>
        <w:t xml:space="preserve"> </w:t>
      </w:r>
    </w:p>
    <w:p w14:paraId="61C96D0C"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9C5696">
        <w:rPr>
          <w:rFonts w:eastAsia="Roboto"/>
          <w:color w:val="0D0D0D"/>
          <w:sz w:val="24"/>
          <w:szCs w:val="24"/>
          <w:highlight w:val="white"/>
          <w:lang w:val="es-ES"/>
        </w:rPr>
        <w:t>Obioha</w:t>
      </w:r>
      <w:proofErr w:type="spellEnd"/>
      <w:r w:rsidRPr="009C5696">
        <w:rPr>
          <w:rFonts w:eastAsia="Roboto"/>
          <w:color w:val="0D0D0D"/>
          <w:sz w:val="24"/>
          <w:szCs w:val="24"/>
          <w:highlight w:val="white"/>
          <w:lang w:val="es-ES"/>
        </w:rPr>
        <w:t xml:space="preserve">-Val, O. A., Lawal, T. I., </w:t>
      </w:r>
      <w:proofErr w:type="spellStart"/>
      <w:r w:rsidRPr="009C5696">
        <w:rPr>
          <w:rFonts w:eastAsia="Roboto"/>
          <w:color w:val="0D0D0D"/>
          <w:sz w:val="24"/>
          <w:szCs w:val="24"/>
          <w:highlight w:val="white"/>
          <w:lang w:val="es-ES"/>
        </w:rPr>
        <w:t>Olaniyi</w:t>
      </w:r>
      <w:proofErr w:type="spellEnd"/>
      <w:r w:rsidRPr="009C5696">
        <w:rPr>
          <w:rFonts w:eastAsia="Roboto"/>
          <w:color w:val="0D0D0D"/>
          <w:sz w:val="24"/>
          <w:szCs w:val="24"/>
          <w:highlight w:val="white"/>
          <w:lang w:val="es-ES"/>
        </w:rPr>
        <w:t xml:space="preserve">, O. O., </w:t>
      </w:r>
      <w:proofErr w:type="spellStart"/>
      <w:r w:rsidRPr="009C5696">
        <w:rPr>
          <w:rFonts w:eastAsia="Roboto"/>
          <w:color w:val="0D0D0D"/>
          <w:sz w:val="24"/>
          <w:szCs w:val="24"/>
          <w:highlight w:val="white"/>
          <w:lang w:val="es-ES"/>
        </w:rPr>
        <w:t>Gbadebo</w:t>
      </w:r>
      <w:proofErr w:type="spellEnd"/>
      <w:r w:rsidRPr="009C5696">
        <w:rPr>
          <w:rFonts w:eastAsia="Roboto"/>
          <w:color w:val="0D0D0D"/>
          <w:sz w:val="24"/>
          <w:szCs w:val="24"/>
          <w:highlight w:val="white"/>
          <w:lang w:val="es-ES"/>
        </w:rPr>
        <w:t xml:space="preserve">, M. O., &amp; </w:t>
      </w:r>
      <w:proofErr w:type="spellStart"/>
      <w:r w:rsidRPr="009C5696">
        <w:rPr>
          <w:rFonts w:eastAsia="Roboto"/>
          <w:color w:val="0D0D0D"/>
          <w:sz w:val="24"/>
          <w:szCs w:val="24"/>
          <w:highlight w:val="white"/>
          <w:lang w:val="es-ES"/>
        </w:rPr>
        <w:t>Olisa</w:t>
      </w:r>
      <w:proofErr w:type="spellEnd"/>
      <w:r w:rsidRPr="009C5696">
        <w:rPr>
          <w:rFonts w:eastAsia="Roboto"/>
          <w:color w:val="0D0D0D"/>
          <w:sz w:val="24"/>
          <w:szCs w:val="24"/>
          <w:highlight w:val="white"/>
          <w:lang w:val="es-ES"/>
        </w:rPr>
        <w:t xml:space="preserve">, A. O. (2025). </w:t>
      </w:r>
      <w:r w:rsidRPr="00492DC0">
        <w:rPr>
          <w:rFonts w:eastAsia="Roboto"/>
          <w:color w:val="0D0D0D"/>
          <w:sz w:val="24"/>
          <w:szCs w:val="24"/>
          <w:highlight w:val="white"/>
        </w:rPr>
        <w:t xml:space="preserve">Investigating the Feasibility and Risks of Leveraging Artificial Intelligence and Open Source Intelligence to Manage Predictive Cyber Threat Models.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27</w:t>
      </w:r>
      <w:r w:rsidRPr="00492DC0">
        <w:rPr>
          <w:rFonts w:eastAsia="Roboto"/>
          <w:color w:val="0D0D0D"/>
          <w:sz w:val="24"/>
          <w:szCs w:val="24"/>
          <w:highlight w:val="white"/>
        </w:rPr>
        <w:t xml:space="preserve">(2), 10–28. </w:t>
      </w:r>
      <w:hyperlink r:id="rId75">
        <w:r w:rsidRPr="00492DC0">
          <w:rPr>
            <w:rFonts w:eastAsia="Roboto"/>
            <w:color w:val="1155CC"/>
            <w:sz w:val="24"/>
            <w:szCs w:val="24"/>
            <w:highlight w:val="white"/>
            <w:u w:val="single"/>
          </w:rPr>
          <w:t>https://doi.org/10.9734/jerr/2025/v27i21390</w:t>
        </w:r>
      </w:hyperlink>
      <w:r w:rsidRPr="00492DC0">
        <w:rPr>
          <w:rFonts w:eastAsia="Roboto"/>
          <w:color w:val="0D0D0D"/>
          <w:sz w:val="24"/>
          <w:szCs w:val="24"/>
          <w:highlight w:val="white"/>
        </w:rPr>
        <w:t xml:space="preserve"> </w:t>
      </w:r>
    </w:p>
    <w:p w14:paraId="07694905"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9C5696">
        <w:rPr>
          <w:rFonts w:eastAsia="Roboto"/>
          <w:color w:val="0D0D0D"/>
          <w:sz w:val="24"/>
          <w:szCs w:val="24"/>
          <w:highlight w:val="white"/>
          <w:lang w:val="es-ES"/>
        </w:rPr>
        <w:t>Obioha</w:t>
      </w:r>
      <w:proofErr w:type="spellEnd"/>
      <w:r w:rsidRPr="009C5696">
        <w:rPr>
          <w:rFonts w:eastAsia="Roboto"/>
          <w:color w:val="0D0D0D"/>
          <w:sz w:val="24"/>
          <w:szCs w:val="24"/>
          <w:highlight w:val="white"/>
          <w:lang w:val="es-ES"/>
        </w:rPr>
        <w:t xml:space="preserve">-Val, O. A., </w:t>
      </w:r>
      <w:proofErr w:type="spellStart"/>
      <w:r w:rsidRPr="009C5696">
        <w:rPr>
          <w:rFonts w:eastAsia="Roboto"/>
          <w:color w:val="0D0D0D"/>
          <w:sz w:val="24"/>
          <w:szCs w:val="24"/>
          <w:highlight w:val="white"/>
          <w:lang w:val="es-ES"/>
        </w:rPr>
        <w:t>Olaniyi</w:t>
      </w:r>
      <w:proofErr w:type="spellEnd"/>
      <w:r w:rsidRPr="009C5696">
        <w:rPr>
          <w:rFonts w:eastAsia="Roboto"/>
          <w:color w:val="0D0D0D"/>
          <w:sz w:val="24"/>
          <w:szCs w:val="24"/>
          <w:highlight w:val="white"/>
          <w:lang w:val="es-ES"/>
        </w:rPr>
        <w:t xml:space="preserve">, O. O., </w:t>
      </w:r>
      <w:proofErr w:type="spellStart"/>
      <w:r w:rsidRPr="009C5696">
        <w:rPr>
          <w:rFonts w:eastAsia="Roboto"/>
          <w:color w:val="0D0D0D"/>
          <w:sz w:val="24"/>
          <w:szCs w:val="24"/>
          <w:highlight w:val="white"/>
          <w:lang w:val="es-ES"/>
        </w:rPr>
        <w:t>Gbadebo</w:t>
      </w:r>
      <w:proofErr w:type="spellEnd"/>
      <w:r w:rsidRPr="009C5696">
        <w:rPr>
          <w:rFonts w:eastAsia="Roboto"/>
          <w:color w:val="0D0D0D"/>
          <w:sz w:val="24"/>
          <w:szCs w:val="24"/>
          <w:highlight w:val="white"/>
          <w:lang w:val="es-ES"/>
        </w:rPr>
        <w:t xml:space="preserve">, M. O., </w:t>
      </w:r>
      <w:proofErr w:type="spellStart"/>
      <w:r w:rsidRPr="009C5696">
        <w:rPr>
          <w:rFonts w:eastAsia="Roboto"/>
          <w:color w:val="0D0D0D"/>
          <w:sz w:val="24"/>
          <w:szCs w:val="24"/>
          <w:highlight w:val="white"/>
          <w:lang w:val="es-ES"/>
        </w:rPr>
        <w:t>Balogun</w:t>
      </w:r>
      <w:proofErr w:type="spellEnd"/>
      <w:r w:rsidRPr="009C5696">
        <w:rPr>
          <w:rFonts w:eastAsia="Roboto"/>
          <w:color w:val="0D0D0D"/>
          <w:sz w:val="24"/>
          <w:szCs w:val="24"/>
          <w:highlight w:val="white"/>
          <w:lang w:val="es-ES"/>
        </w:rPr>
        <w:t xml:space="preserve">, A. Y., &amp; </w:t>
      </w:r>
      <w:proofErr w:type="spellStart"/>
      <w:r w:rsidRPr="009C5696">
        <w:rPr>
          <w:rFonts w:eastAsia="Roboto"/>
          <w:color w:val="0D0D0D"/>
          <w:sz w:val="24"/>
          <w:szCs w:val="24"/>
          <w:highlight w:val="white"/>
          <w:lang w:val="es-ES"/>
        </w:rPr>
        <w:t>Olisa</w:t>
      </w:r>
      <w:proofErr w:type="spellEnd"/>
      <w:r w:rsidRPr="009C5696">
        <w:rPr>
          <w:rFonts w:eastAsia="Roboto"/>
          <w:color w:val="0D0D0D"/>
          <w:sz w:val="24"/>
          <w:szCs w:val="24"/>
          <w:highlight w:val="white"/>
          <w:lang w:val="es-ES"/>
        </w:rPr>
        <w:t xml:space="preserve">, A. O. (2025). </w:t>
      </w:r>
      <w:r w:rsidRPr="00492DC0">
        <w:rPr>
          <w:rFonts w:eastAsia="Roboto"/>
          <w:color w:val="0D0D0D"/>
          <w:sz w:val="24"/>
          <w:szCs w:val="24"/>
          <w:highlight w:val="white"/>
        </w:rPr>
        <w:t xml:space="preserve">Cyber Espionage in the Age of Artificial Intelligence: A Comparative </w:t>
      </w:r>
      <w:r w:rsidRPr="00492DC0">
        <w:rPr>
          <w:rFonts w:eastAsia="Roboto"/>
          <w:color w:val="0D0D0D"/>
          <w:sz w:val="24"/>
          <w:szCs w:val="24"/>
          <w:highlight w:val="white"/>
        </w:rPr>
        <w:lastRenderedPageBreak/>
        <w:t xml:space="preserve">Study of State-Sponsored Campaign.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18</w:t>
      </w:r>
      <w:r w:rsidRPr="00492DC0">
        <w:rPr>
          <w:rFonts w:eastAsia="Roboto"/>
          <w:color w:val="0D0D0D"/>
          <w:sz w:val="24"/>
          <w:szCs w:val="24"/>
          <w:highlight w:val="white"/>
        </w:rPr>
        <w:t xml:space="preserve">(1), 184–204. </w:t>
      </w:r>
      <w:hyperlink r:id="rId76">
        <w:r w:rsidRPr="00492DC0">
          <w:rPr>
            <w:rFonts w:eastAsia="Roboto"/>
            <w:color w:val="1155CC"/>
            <w:sz w:val="24"/>
            <w:szCs w:val="24"/>
            <w:highlight w:val="white"/>
            <w:u w:val="single"/>
          </w:rPr>
          <w:t>https://doi.org/10.9734/ajrcos/2025/v18i1557</w:t>
        </w:r>
      </w:hyperlink>
      <w:r w:rsidRPr="00492DC0">
        <w:rPr>
          <w:rFonts w:eastAsia="Roboto"/>
          <w:color w:val="0D0D0D"/>
          <w:sz w:val="24"/>
          <w:szCs w:val="24"/>
          <w:highlight w:val="white"/>
        </w:rPr>
        <w:t xml:space="preserve"> </w:t>
      </w:r>
    </w:p>
    <w:p w14:paraId="6D22E841"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Olabanji</w:t>
      </w:r>
      <w:proofErr w:type="spellEnd"/>
      <w:r w:rsidRPr="00492DC0">
        <w:rPr>
          <w:rFonts w:eastAsia="Roboto"/>
          <w:color w:val="0D0D0D"/>
          <w:sz w:val="24"/>
          <w:szCs w:val="24"/>
          <w:highlight w:val="white"/>
        </w:rPr>
        <w:t xml:space="preserve">, S. O., </w:t>
      </w:r>
      <w:proofErr w:type="spellStart"/>
      <w:r w:rsidRPr="00492DC0">
        <w:rPr>
          <w:rFonts w:eastAsia="Roboto"/>
          <w:color w:val="0D0D0D"/>
          <w:sz w:val="24"/>
          <w:szCs w:val="24"/>
          <w:highlight w:val="white"/>
        </w:rPr>
        <w:t>Olaniyi</w:t>
      </w:r>
      <w:proofErr w:type="spellEnd"/>
      <w:r w:rsidRPr="00492DC0">
        <w:rPr>
          <w:rFonts w:eastAsia="Roboto"/>
          <w:color w:val="0D0D0D"/>
          <w:sz w:val="24"/>
          <w:szCs w:val="24"/>
          <w:highlight w:val="white"/>
        </w:rPr>
        <w:t xml:space="preserve">, O. O., </w:t>
      </w:r>
      <w:proofErr w:type="spellStart"/>
      <w:r w:rsidRPr="00492DC0">
        <w:rPr>
          <w:rFonts w:eastAsia="Roboto"/>
          <w:color w:val="0D0D0D"/>
          <w:sz w:val="24"/>
          <w:szCs w:val="24"/>
          <w:highlight w:val="white"/>
        </w:rPr>
        <w:t>Adigwe</w:t>
      </w:r>
      <w:proofErr w:type="spellEnd"/>
      <w:r w:rsidRPr="00492DC0">
        <w:rPr>
          <w:rFonts w:eastAsia="Roboto"/>
          <w:color w:val="0D0D0D"/>
          <w:sz w:val="24"/>
          <w:szCs w:val="24"/>
          <w:highlight w:val="white"/>
        </w:rPr>
        <w:t xml:space="preserve">, C. S., </w:t>
      </w:r>
      <w:proofErr w:type="spellStart"/>
      <w:r w:rsidRPr="00492DC0">
        <w:rPr>
          <w:rFonts w:eastAsia="Roboto"/>
          <w:color w:val="0D0D0D"/>
          <w:sz w:val="24"/>
          <w:szCs w:val="24"/>
          <w:highlight w:val="white"/>
        </w:rPr>
        <w:t>Okunleye</w:t>
      </w:r>
      <w:proofErr w:type="spellEnd"/>
      <w:r w:rsidRPr="00492DC0">
        <w:rPr>
          <w:rFonts w:eastAsia="Roboto"/>
          <w:color w:val="0D0D0D"/>
          <w:sz w:val="24"/>
          <w:szCs w:val="24"/>
          <w:highlight w:val="white"/>
        </w:rPr>
        <w:t xml:space="preserve">, O. J., &amp; </w:t>
      </w:r>
      <w:proofErr w:type="spellStart"/>
      <w:r w:rsidRPr="00492DC0">
        <w:rPr>
          <w:rFonts w:eastAsia="Roboto"/>
          <w:color w:val="0D0D0D"/>
          <w:sz w:val="24"/>
          <w:szCs w:val="24"/>
          <w:highlight w:val="white"/>
        </w:rPr>
        <w:t>Oladoyinbo</w:t>
      </w:r>
      <w:proofErr w:type="spellEnd"/>
      <w:r w:rsidRPr="00492DC0">
        <w:rPr>
          <w:rFonts w:eastAsia="Roboto"/>
          <w:color w:val="0D0D0D"/>
          <w:sz w:val="24"/>
          <w:szCs w:val="24"/>
          <w:highlight w:val="white"/>
        </w:rPr>
        <w:t xml:space="preserve">, T. O. (2024). AI for Identity and Access Management (IAM) in the Cloud: Exploring the Potential of Artificial Intelligence to Improve User Authentication, Authorization, and Access Control within Cloud-Based Systems. </w:t>
      </w:r>
      <w:r w:rsidRPr="00492DC0">
        <w:rPr>
          <w:rFonts w:eastAsia="Roboto"/>
          <w:i/>
          <w:color w:val="0D0D0D"/>
          <w:sz w:val="24"/>
          <w:szCs w:val="24"/>
          <w:highlight w:val="white"/>
        </w:rPr>
        <w:t>Social Science Research Network</w:t>
      </w:r>
      <w:r w:rsidRPr="00492DC0">
        <w:rPr>
          <w:rFonts w:eastAsia="Roboto"/>
          <w:color w:val="0D0D0D"/>
          <w:sz w:val="24"/>
          <w:szCs w:val="24"/>
          <w:highlight w:val="white"/>
        </w:rPr>
        <w:t xml:space="preserve">. </w:t>
      </w:r>
      <w:hyperlink r:id="rId77">
        <w:r w:rsidRPr="00492DC0">
          <w:rPr>
            <w:rFonts w:eastAsia="Roboto"/>
            <w:color w:val="1155CC"/>
            <w:sz w:val="24"/>
            <w:szCs w:val="24"/>
            <w:highlight w:val="white"/>
            <w:u w:val="single"/>
          </w:rPr>
          <w:t>https://doi.org/10.2139/ssrn.4706726</w:t>
        </w:r>
      </w:hyperlink>
      <w:r w:rsidRPr="00492DC0">
        <w:rPr>
          <w:rFonts w:eastAsia="Roboto"/>
          <w:color w:val="0D0D0D"/>
          <w:sz w:val="24"/>
          <w:szCs w:val="24"/>
          <w:highlight w:val="white"/>
        </w:rPr>
        <w:t xml:space="preserve"> </w:t>
      </w:r>
    </w:p>
    <w:p w14:paraId="6F350297"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Olutimehin</w:t>
      </w:r>
      <w:proofErr w:type="spellEnd"/>
      <w:r w:rsidRPr="00492DC0">
        <w:rPr>
          <w:rFonts w:eastAsia="Roboto"/>
          <w:color w:val="0D0D0D"/>
          <w:sz w:val="24"/>
          <w:szCs w:val="24"/>
          <w:highlight w:val="white"/>
        </w:rPr>
        <w:t xml:space="preserve">, A. T. (2025a). Advancing Cloud Security in Digital Finance: AI-Driven Threat Detection, Cryptographic Solutions, and Privacy Challenges.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27</w:t>
      </w:r>
      <w:r w:rsidRPr="00492DC0">
        <w:rPr>
          <w:rFonts w:eastAsia="Roboto"/>
          <w:color w:val="0D0D0D"/>
          <w:sz w:val="24"/>
          <w:szCs w:val="24"/>
          <w:highlight w:val="white"/>
        </w:rPr>
        <w:t xml:space="preserve">(3), 35–55. </w:t>
      </w:r>
      <w:hyperlink r:id="rId78">
        <w:r w:rsidRPr="00492DC0">
          <w:rPr>
            <w:rFonts w:eastAsia="Roboto"/>
            <w:color w:val="1155CC"/>
            <w:sz w:val="24"/>
            <w:szCs w:val="24"/>
            <w:highlight w:val="white"/>
            <w:u w:val="single"/>
          </w:rPr>
          <w:t>https://doi.org/10.9734/jerr/2025/v27i31416</w:t>
        </w:r>
      </w:hyperlink>
      <w:r w:rsidRPr="00492DC0">
        <w:rPr>
          <w:rFonts w:eastAsia="Roboto"/>
          <w:color w:val="0D0D0D"/>
          <w:sz w:val="24"/>
          <w:szCs w:val="24"/>
          <w:highlight w:val="white"/>
        </w:rPr>
        <w:t xml:space="preserve"> </w:t>
      </w:r>
    </w:p>
    <w:p w14:paraId="5FB15A28"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Olutimehin</w:t>
      </w:r>
      <w:proofErr w:type="spellEnd"/>
      <w:r w:rsidRPr="00492DC0">
        <w:rPr>
          <w:rFonts w:eastAsia="Roboto"/>
          <w:color w:val="0D0D0D"/>
          <w:sz w:val="24"/>
          <w:szCs w:val="24"/>
          <w:highlight w:val="white"/>
        </w:rPr>
        <w:t>, A. T. (2025b). Assessing the Effectiveness of Cybersecurity Frameworks in Mitigating Cyberattacks in the Banking Sector and its Applicability to Decentralized Finance (</w:t>
      </w:r>
      <w:proofErr w:type="spellStart"/>
      <w:r w:rsidRPr="00492DC0">
        <w:rPr>
          <w:rFonts w:eastAsia="Roboto"/>
          <w:color w:val="0D0D0D"/>
          <w:sz w:val="24"/>
          <w:szCs w:val="24"/>
          <w:highlight w:val="white"/>
        </w:rPr>
        <w:t>DeFi</w:t>
      </w:r>
      <w:proofErr w:type="spellEnd"/>
      <w:r w:rsidRPr="00492DC0">
        <w:rPr>
          <w:rFonts w:eastAsia="Roboto"/>
          <w:color w:val="0D0D0D"/>
          <w:sz w:val="24"/>
          <w:szCs w:val="24"/>
          <w:highlight w:val="white"/>
        </w:rPr>
        <w:t xml:space="preserve">).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18</w:t>
      </w:r>
      <w:r w:rsidRPr="00492DC0">
        <w:rPr>
          <w:rFonts w:eastAsia="Roboto"/>
          <w:color w:val="0D0D0D"/>
          <w:sz w:val="24"/>
          <w:szCs w:val="24"/>
          <w:highlight w:val="white"/>
        </w:rPr>
        <w:t xml:space="preserve">(3), 130–151. </w:t>
      </w:r>
      <w:hyperlink r:id="rId79">
        <w:r w:rsidRPr="00492DC0">
          <w:rPr>
            <w:rFonts w:eastAsia="Roboto"/>
            <w:color w:val="1155CC"/>
            <w:sz w:val="24"/>
            <w:szCs w:val="24"/>
            <w:highlight w:val="white"/>
            <w:u w:val="single"/>
          </w:rPr>
          <w:t>https://doi.org/10.9734/ajrcos/2025/v18i3583</w:t>
        </w:r>
      </w:hyperlink>
      <w:r w:rsidRPr="00492DC0">
        <w:rPr>
          <w:rFonts w:eastAsia="Roboto"/>
          <w:color w:val="0D0D0D"/>
          <w:sz w:val="24"/>
          <w:szCs w:val="24"/>
          <w:highlight w:val="white"/>
        </w:rPr>
        <w:t xml:space="preserve"> </w:t>
      </w:r>
    </w:p>
    <w:p w14:paraId="31DCA1C0"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Olutimehin</w:t>
      </w:r>
      <w:proofErr w:type="spellEnd"/>
      <w:r w:rsidRPr="00492DC0">
        <w:rPr>
          <w:rFonts w:eastAsia="Roboto"/>
          <w:color w:val="0D0D0D"/>
          <w:sz w:val="24"/>
          <w:szCs w:val="24"/>
          <w:highlight w:val="white"/>
        </w:rPr>
        <w:t xml:space="preserve">, A. T. (2025c). The Synergistic Role of Machine Learning, Deep Learning, and Reinforcement Learning in Strengthening Cyber Security Measures for Crypto Currency Platforms.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18</w:t>
      </w:r>
      <w:r w:rsidRPr="00492DC0">
        <w:rPr>
          <w:rFonts w:eastAsia="Roboto"/>
          <w:color w:val="0D0D0D"/>
          <w:sz w:val="24"/>
          <w:szCs w:val="24"/>
          <w:highlight w:val="white"/>
        </w:rPr>
        <w:t xml:space="preserve">(3), 190–212. </w:t>
      </w:r>
      <w:hyperlink r:id="rId80">
        <w:r w:rsidRPr="00492DC0">
          <w:rPr>
            <w:rFonts w:eastAsia="Roboto"/>
            <w:color w:val="1155CC"/>
            <w:sz w:val="24"/>
            <w:szCs w:val="24"/>
            <w:highlight w:val="white"/>
            <w:u w:val="single"/>
          </w:rPr>
          <w:t>https://doi.org/10.9734/ajrcos/2025/v18i3586</w:t>
        </w:r>
      </w:hyperlink>
      <w:r w:rsidRPr="00492DC0">
        <w:rPr>
          <w:rFonts w:eastAsia="Roboto"/>
          <w:color w:val="0D0D0D"/>
          <w:sz w:val="24"/>
          <w:szCs w:val="24"/>
          <w:highlight w:val="white"/>
        </w:rPr>
        <w:t xml:space="preserve"> </w:t>
      </w:r>
    </w:p>
    <w:p w14:paraId="783607D5"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Olutimehin</w:t>
      </w:r>
      <w:proofErr w:type="spellEnd"/>
      <w:r w:rsidRPr="00492DC0">
        <w:rPr>
          <w:rFonts w:eastAsia="Roboto"/>
          <w:color w:val="0D0D0D"/>
          <w:sz w:val="24"/>
          <w:szCs w:val="24"/>
          <w:highlight w:val="white"/>
        </w:rPr>
        <w:t xml:space="preserve">, A. T., Ajayi, A. J., </w:t>
      </w:r>
      <w:proofErr w:type="spellStart"/>
      <w:r w:rsidRPr="00492DC0">
        <w:rPr>
          <w:rFonts w:eastAsia="Roboto"/>
          <w:color w:val="0D0D0D"/>
          <w:sz w:val="24"/>
          <w:szCs w:val="24"/>
          <w:highlight w:val="white"/>
        </w:rPr>
        <w:t>Metibemu</w:t>
      </w:r>
      <w:proofErr w:type="spellEnd"/>
      <w:r w:rsidRPr="00492DC0">
        <w:rPr>
          <w:rFonts w:eastAsia="Roboto"/>
          <w:color w:val="0D0D0D"/>
          <w:sz w:val="24"/>
          <w:szCs w:val="24"/>
          <w:highlight w:val="white"/>
        </w:rPr>
        <w:t xml:space="preserve">, O. C., Balogun, A. Y., </w:t>
      </w:r>
      <w:proofErr w:type="spellStart"/>
      <w:r w:rsidRPr="00492DC0">
        <w:rPr>
          <w:rFonts w:eastAsia="Roboto"/>
          <w:color w:val="0D0D0D"/>
          <w:sz w:val="24"/>
          <w:szCs w:val="24"/>
          <w:highlight w:val="white"/>
        </w:rPr>
        <w:t>Oladoyinbo</w:t>
      </w:r>
      <w:proofErr w:type="spellEnd"/>
      <w:r w:rsidRPr="00492DC0">
        <w:rPr>
          <w:rFonts w:eastAsia="Roboto"/>
          <w:color w:val="0D0D0D"/>
          <w:sz w:val="24"/>
          <w:szCs w:val="24"/>
          <w:highlight w:val="white"/>
        </w:rPr>
        <w:t xml:space="preserve">, T. O., &amp; </w:t>
      </w:r>
      <w:proofErr w:type="spellStart"/>
      <w:r w:rsidRPr="00492DC0">
        <w:rPr>
          <w:rFonts w:eastAsia="Roboto"/>
          <w:color w:val="0D0D0D"/>
          <w:sz w:val="24"/>
          <w:szCs w:val="24"/>
          <w:highlight w:val="white"/>
        </w:rPr>
        <w:t>Olaniyi</w:t>
      </w:r>
      <w:proofErr w:type="spellEnd"/>
      <w:r w:rsidRPr="00492DC0">
        <w:rPr>
          <w:rFonts w:eastAsia="Roboto"/>
          <w:color w:val="0D0D0D"/>
          <w:sz w:val="24"/>
          <w:szCs w:val="24"/>
          <w:highlight w:val="white"/>
        </w:rPr>
        <w:t xml:space="preserve">, O. O. (2025). Adversarial Threats to AI-Driven Systems: Exploring the Attack Surface of Machine Learning Models and Countermeasures.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27</w:t>
      </w:r>
      <w:r w:rsidRPr="00492DC0">
        <w:rPr>
          <w:rFonts w:eastAsia="Roboto"/>
          <w:color w:val="0D0D0D"/>
          <w:sz w:val="24"/>
          <w:szCs w:val="24"/>
          <w:highlight w:val="white"/>
        </w:rPr>
        <w:t xml:space="preserve">(2), 341–362. </w:t>
      </w:r>
      <w:hyperlink r:id="rId81">
        <w:r w:rsidRPr="00492DC0">
          <w:rPr>
            <w:rFonts w:eastAsia="Roboto"/>
            <w:color w:val="1155CC"/>
            <w:sz w:val="24"/>
            <w:szCs w:val="24"/>
            <w:highlight w:val="white"/>
            <w:u w:val="single"/>
          </w:rPr>
          <w:t>https://doi.org/10.9734/jerr/2025/v27i21413</w:t>
        </w:r>
      </w:hyperlink>
      <w:r w:rsidRPr="00492DC0">
        <w:rPr>
          <w:rFonts w:eastAsia="Roboto"/>
          <w:color w:val="0D0D0D"/>
          <w:sz w:val="24"/>
          <w:szCs w:val="24"/>
          <w:highlight w:val="white"/>
        </w:rPr>
        <w:t xml:space="preserve"> </w:t>
      </w:r>
    </w:p>
    <w:p w14:paraId="4BD7625A" w14:textId="77777777" w:rsidR="00C91EC2" w:rsidRPr="001179DC" w:rsidRDefault="0000391E" w:rsidP="00004EA2">
      <w:pPr>
        <w:spacing w:before="240" w:line="240" w:lineRule="auto"/>
        <w:ind w:left="720" w:hanging="720"/>
        <w:rPr>
          <w:rFonts w:eastAsia="Roboto"/>
          <w:color w:val="0D0D0D"/>
          <w:sz w:val="24"/>
          <w:szCs w:val="24"/>
          <w:highlight w:val="white"/>
          <w:lang w:val="fr-FR"/>
        </w:rPr>
      </w:pPr>
      <w:r w:rsidRPr="00492DC0">
        <w:rPr>
          <w:rFonts w:eastAsia="Roboto"/>
          <w:color w:val="0D0D0D"/>
          <w:sz w:val="24"/>
          <w:szCs w:val="24"/>
          <w:highlight w:val="white"/>
        </w:rPr>
        <w:t xml:space="preserve">Palmer, K. (2024). </w:t>
      </w:r>
      <w:r w:rsidRPr="00492DC0">
        <w:rPr>
          <w:rFonts w:eastAsia="Roboto"/>
          <w:i/>
          <w:color w:val="0D0D0D"/>
          <w:sz w:val="24"/>
          <w:szCs w:val="24"/>
          <w:highlight w:val="white"/>
        </w:rPr>
        <w:t>Change Healthcare cyberattack drives 2024 into another record year for health data breaches</w:t>
      </w:r>
      <w:r w:rsidRPr="00492DC0">
        <w:rPr>
          <w:rFonts w:eastAsia="Roboto"/>
          <w:color w:val="0D0D0D"/>
          <w:sz w:val="24"/>
          <w:szCs w:val="24"/>
          <w:highlight w:val="white"/>
        </w:rPr>
        <w:t xml:space="preserve">. </w:t>
      </w:r>
      <w:r w:rsidRPr="001179DC">
        <w:rPr>
          <w:rFonts w:eastAsia="Roboto"/>
          <w:color w:val="0D0D0D"/>
          <w:sz w:val="24"/>
          <w:szCs w:val="24"/>
          <w:highlight w:val="white"/>
          <w:lang w:val="fr-FR"/>
        </w:rPr>
        <w:t xml:space="preserve">STAT. </w:t>
      </w:r>
      <w:hyperlink r:id="rId82">
        <w:r w:rsidRPr="001179DC">
          <w:rPr>
            <w:rFonts w:eastAsia="Roboto"/>
            <w:color w:val="1155CC"/>
            <w:sz w:val="24"/>
            <w:szCs w:val="24"/>
            <w:highlight w:val="white"/>
            <w:u w:val="single"/>
            <w:lang w:val="fr-FR"/>
          </w:rPr>
          <w:t>https://www.statnews.com/2024/12/05/change-healthcare-cyberattack-2024-record-year-us-data-breaches/</w:t>
        </w:r>
      </w:hyperlink>
      <w:r w:rsidRPr="001179DC">
        <w:rPr>
          <w:rFonts w:eastAsia="Roboto"/>
          <w:color w:val="0D0D0D"/>
          <w:sz w:val="24"/>
          <w:szCs w:val="24"/>
          <w:highlight w:val="white"/>
          <w:lang w:val="fr-FR"/>
        </w:rPr>
        <w:t xml:space="preserve"> </w:t>
      </w:r>
    </w:p>
    <w:p w14:paraId="20E4E6CC" w14:textId="77777777" w:rsidR="00C91EC2" w:rsidRPr="001179DC" w:rsidRDefault="0000391E" w:rsidP="00004EA2">
      <w:pPr>
        <w:spacing w:before="240" w:line="240" w:lineRule="auto"/>
        <w:ind w:left="720" w:hanging="720"/>
        <w:rPr>
          <w:rFonts w:eastAsia="Roboto"/>
          <w:color w:val="0D0D0D"/>
          <w:sz w:val="24"/>
          <w:szCs w:val="24"/>
          <w:highlight w:val="white"/>
          <w:lang w:val="fr-FR"/>
        </w:rPr>
      </w:pPr>
      <w:proofErr w:type="spellStart"/>
      <w:r w:rsidRPr="00492DC0">
        <w:rPr>
          <w:rFonts w:eastAsia="Roboto"/>
          <w:color w:val="0D0D0D"/>
          <w:sz w:val="24"/>
          <w:szCs w:val="24"/>
          <w:highlight w:val="white"/>
        </w:rPr>
        <w:t>Petkauskas</w:t>
      </w:r>
      <w:proofErr w:type="spellEnd"/>
      <w:r w:rsidRPr="00492DC0">
        <w:rPr>
          <w:rFonts w:eastAsia="Roboto"/>
          <w:color w:val="0D0D0D"/>
          <w:sz w:val="24"/>
          <w:szCs w:val="24"/>
          <w:highlight w:val="white"/>
        </w:rPr>
        <w:t xml:space="preserve">, V. (2022). </w:t>
      </w:r>
      <w:r w:rsidRPr="00492DC0">
        <w:rPr>
          <w:rFonts w:eastAsia="Roboto"/>
          <w:i/>
          <w:color w:val="0D0D0D"/>
          <w:sz w:val="24"/>
          <w:szCs w:val="24"/>
          <w:highlight w:val="white"/>
        </w:rPr>
        <w:t xml:space="preserve">Scammers use </w:t>
      </w:r>
      <w:proofErr w:type="spellStart"/>
      <w:r w:rsidRPr="00492DC0">
        <w:rPr>
          <w:rFonts w:eastAsia="Roboto"/>
          <w:i/>
          <w:color w:val="0D0D0D"/>
          <w:sz w:val="24"/>
          <w:szCs w:val="24"/>
          <w:highlight w:val="white"/>
        </w:rPr>
        <w:t>deepfakes</w:t>
      </w:r>
      <w:proofErr w:type="spellEnd"/>
      <w:r w:rsidRPr="00492DC0">
        <w:rPr>
          <w:rFonts w:eastAsia="Roboto"/>
          <w:i/>
          <w:color w:val="0D0D0D"/>
          <w:sz w:val="24"/>
          <w:szCs w:val="24"/>
          <w:highlight w:val="white"/>
        </w:rPr>
        <w:t xml:space="preserve"> to bypass biometric checks | </w:t>
      </w:r>
      <w:proofErr w:type="spellStart"/>
      <w:r w:rsidRPr="00492DC0">
        <w:rPr>
          <w:rFonts w:eastAsia="Roboto"/>
          <w:i/>
          <w:color w:val="0D0D0D"/>
          <w:sz w:val="24"/>
          <w:szCs w:val="24"/>
          <w:highlight w:val="white"/>
        </w:rPr>
        <w:t>Cybernews</w:t>
      </w:r>
      <w:proofErr w:type="spellEnd"/>
      <w:r w:rsidRPr="00492DC0">
        <w:rPr>
          <w:rFonts w:eastAsia="Roboto"/>
          <w:color w:val="0D0D0D"/>
          <w:sz w:val="24"/>
          <w:szCs w:val="24"/>
          <w:highlight w:val="white"/>
        </w:rPr>
        <w:t xml:space="preserve">. </w:t>
      </w:r>
      <w:proofErr w:type="spellStart"/>
      <w:r w:rsidRPr="001179DC">
        <w:rPr>
          <w:rFonts w:eastAsia="Roboto"/>
          <w:color w:val="0D0D0D"/>
          <w:sz w:val="24"/>
          <w:szCs w:val="24"/>
          <w:highlight w:val="white"/>
          <w:lang w:val="fr-FR"/>
        </w:rPr>
        <w:t>Cybernews</w:t>
      </w:r>
      <w:proofErr w:type="spellEnd"/>
      <w:r w:rsidRPr="001179DC">
        <w:rPr>
          <w:rFonts w:eastAsia="Roboto"/>
          <w:color w:val="0D0D0D"/>
          <w:sz w:val="24"/>
          <w:szCs w:val="24"/>
          <w:highlight w:val="white"/>
          <w:lang w:val="fr-FR"/>
        </w:rPr>
        <w:t xml:space="preserve">. </w:t>
      </w:r>
      <w:hyperlink r:id="rId83">
        <w:r w:rsidRPr="001179DC">
          <w:rPr>
            <w:rFonts w:eastAsia="Roboto"/>
            <w:color w:val="1155CC"/>
            <w:sz w:val="24"/>
            <w:szCs w:val="24"/>
            <w:highlight w:val="white"/>
            <w:u w:val="single"/>
            <w:lang w:val="fr-FR"/>
          </w:rPr>
          <w:t>https://cybernews.com/news/scammers-use-deepfakes-to-bypass-biometric-checks/</w:t>
        </w:r>
      </w:hyperlink>
      <w:r w:rsidRPr="001179DC">
        <w:rPr>
          <w:rFonts w:eastAsia="Roboto"/>
          <w:color w:val="0D0D0D"/>
          <w:sz w:val="24"/>
          <w:szCs w:val="24"/>
          <w:highlight w:val="white"/>
          <w:lang w:val="fr-FR"/>
        </w:rPr>
        <w:t xml:space="preserve"> </w:t>
      </w:r>
    </w:p>
    <w:p w14:paraId="0876DA42"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proofErr w:type="gramStart"/>
      <w:r w:rsidRPr="00492DC0">
        <w:rPr>
          <w:rFonts w:eastAsia="Roboto"/>
          <w:color w:val="0D0D0D"/>
          <w:sz w:val="24"/>
          <w:szCs w:val="24"/>
          <w:highlight w:val="white"/>
        </w:rPr>
        <w:t>Plainert</w:t>
      </w:r>
      <w:proofErr w:type="spellEnd"/>
      <w:r w:rsidRPr="00492DC0">
        <w:rPr>
          <w:rFonts w:eastAsia="Roboto"/>
          <w:color w:val="0D0D0D"/>
          <w:sz w:val="24"/>
          <w:szCs w:val="24"/>
          <w:highlight w:val="white"/>
        </w:rPr>
        <w:t xml:space="preserve"> ,</w:t>
      </w:r>
      <w:proofErr w:type="gramEnd"/>
      <w:r w:rsidRPr="00492DC0">
        <w:rPr>
          <w:rFonts w:eastAsia="Roboto"/>
          <w:color w:val="0D0D0D"/>
          <w:sz w:val="24"/>
          <w:szCs w:val="24"/>
          <w:highlight w:val="white"/>
        </w:rPr>
        <w:t xml:space="preserve"> N. (2025). </w:t>
      </w:r>
      <w:r w:rsidRPr="00492DC0">
        <w:rPr>
          <w:rFonts w:eastAsia="Roboto"/>
          <w:i/>
          <w:color w:val="0D0D0D"/>
          <w:sz w:val="24"/>
          <w:szCs w:val="24"/>
          <w:highlight w:val="white"/>
        </w:rPr>
        <w:t>Healthcare Sector Faces Escalating Data Breaches and Cyber Threats in 2024</w:t>
      </w:r>
      <w:r w:rsidRPr="00492DC0">
        <w:rPr>
          <w:rFonts w:eastAsia="Roboto"/>
          <w:color w:val="0D0D0D"/>
          <w:sz w:val="24"/>
          <w:szCs w:val="24"/>
          <w:highlight w:val="white"/>
        </w:rPr>
        <w:t xml:space="preserve">. </w:t>
      </w:r>
      <w:proofErr w:type="spellStart"/>
      <w:r w:rsidRPr="00492DC0">
        <w:rPr>
          <w:rFonts w:eastAsia="Roboto"/>
          <w:color w:val="0D0D0D"/>
          <w:sz w:val="24"/>
          <w:szCs w:val="24"/>
          <w:highlight w:val="white"/>
        </w:rPr>
        <w:t>HealthPoint</w:t>
      </w:r>
      <w:proofErr w:type="spellEnd"/>
      <w:r w:rsidRPr="00492DC0">
        <w:rPr>
          <w:rFonts w:eastAsia="Roboto"/>
          <w:color w:val="0D0D0D"/>
          <w:sz w:val="24"/>
          <w:szCs w:val="24"/>
          <w:highlight w:val="white"/>
        </w:rPr>
        <w:t xml:space="preserve">; healthpoint.com. </w:t>
      </w:r>
      <w:hyperlink r:id="rId84">
        <w:r w:rsidRPr="00492DC0">
          <w:rPr>
            <w:rFonts w:eastAsia="Roboto"/>
            <w:color w:val="1155CC"/>
            <w:sz w:val="24"/>
            <w:szCs w:val="24"/>
            <w:highlight w:val="white"/>
            <w:u w:val="single"/>
          </w:rPr>
          <w:t>https://healthpoint.com/data-and-information/healthcare-sector-faces-escalating-data-breaches-and-cyber-threats-in-2024/</w:t>
        </w:r>
      </w:hyperlink>
      <w:r w:rsidRPr="00492DC0">
        <w:rPr>
          <w:rFonts w:eastAsia="Roboto"/>
          <w:color w:val="0D0D0D"/>
          <w:sz w:val="24"/>
          <w:szCs w:val="24"/>
          <w:highlight w:val="white"/>
        </w:rPr>
        <w:t xml:space="preserve"> </w:t>
      </w:r>
    </w:p>
    <w:p w14:paraId="529FC7A7"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Prasad, A. N. (2024). Regulatory Compliance and Risk Management. </w:t>
      </w:r>
      <w:proofErr w:type="spellStart"/>
      <w:r w:rsidRPr="00492DC0">
        <w:rPr>
          <w:rFonts w:eastAsia="Roboto"/>
          <w:i/>
          <w:color w:val="0D0D0D"/>
          <w:sz w:val="24"/>
          <w:szCs w:val="24"/>
          <w:highlight w:val="white"/>
        </w:rPr>
        <w:t>Apress</w:t>
      </w:r>
      <w:proofErr w:type="spellEnd"/>
      <w:r w:rsidRPr="00492DC0">
        <w:rPr>
          <w:rFonts w:eastAsia="Roboto"/>
          <w:i/>
          <w:color w:val="0D0D0D"/>
          <w:sz w:val="24"/>
          <w:szCs w:val="24"/>
          <w:highlight w:val="white"/>
        </w:rPr>
        <w:t xml:space="preserve"> </w:t>
      </w:r>
      <w:proofErr w:type="spellStart"/>
      <w:r w:rsidRPr="00492DC0">
        <w:rPr>
          <w:rFonts w:eastAsia="Roboto"/>
          <w:i/>
          <w:color w:val="0D0D0D"/>
          <w:sz w:val="24"/>
          <w:szCs w:val="24"/>
          <w:highlight w:val="white"/>
        </w:rPr>
        <w:t>EBooks</w:t>
      </w:r>
      <w:proofErr w:type="spellEnd"/>
      <w:r w:rsidRPr="00492DC0">
        <w:rPr>
          <w:rFonts w:eastAsia="Roboto"/>
          <w:color w:val="0D0D0D"/>
          <w:sz w:val="24"/>
          <w:szCs w:val="24"/>
          <w:highlight w:val="white"/>
        </w:rPr>
        <w:t xml:space="preserve">, 485–624. </w:t>
      </w:r>
      <w:hyperlink r:id="rId85">
        <w:r w:rsidRPr="00492DC0">
          <w:rPr>
            <w:rFonts w:eastAsia="Roboto"/>
            <w:color w:val="1155CC"/>
            <w:sz w:val="24"/>
            <w:szCs w:val="24"/>
            <w:highlight w:val="white"/>
            <w:u w:val="single"/>
          </w:rPr>
          <w:t>https://doi.org/10.1007/979-8-8688-1023-7_8</w:t>
        </w:r>
      </w:hyperlink>
      <w:r w:rsidRPr="00492DC0">
        <w:rPr>
          <w:rFonts w:eastAsia="Roboto"/>
          <w:color w:val="0D0D0D"/>
          <w:sz w:val="24"/>
          <w:szCs w:val="24"/>
          <w:highlight w:val="white"/>
        </w:rPr>
        <w:t xml:space="preserve"> </w:t>
      </w:r>
    </w:p>
    <w:p w14:paraId="56BB3BEA"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Salako</w:t>
      </w:r>
      <w:proofErr w:type="spellEnd"/>
      <w:r w:rsidRPr="00492DC0">
        <w:rPr>
          <w:rFonts w:eastAsia="Roboto"/>
          <w:color w:val="0D0D0D"/>
          <w:sz w:val="24"/>
          <w:szCs w:val="24"/>
          <w:highlight w:val="white"/>
        </w:rPr>
        <w:t xml:space="preserve">, A. O., </w:t>
      </w:r>
      <w:proofErr w:type="spellStart"/>
      <w:r w:rsidRPr="00492DC0">
        <w:rPr>
          <w:rFonts w:eastAsia="Roboto"/>
          <w:color w:val="0D0D0D"/>
          <w:sz w:val="24"/>
          <w:szCs w:val="24"/>
          <w:highlight w:val="white"/>
        </w:rPr>
        <w:t>Fabuyi</w:t>
      </w:r>
      <w:proofErr w:type="spellEnd"/>
      <w:r w:rsidRPr="00492DC0">
        <w:rPr>
          <w:rFonts w:eastAsia="Roboto"/>
          <w:color w:val="0D0D0D"/>
          <w:sz w:val="24"/>
          <w:szCs w:val="24"/>
          <w:highlight w:val="white"/>
        </w:rPr>
        <w:t xml:space="preserve">, J. A., </w:t>
      </w:r>
      <w:proofErr w:type="spellStart"/>
      <w:r w:rsidRPr="00492DC0">
        <w:rPr>
          <w:rFonts w:eastAsia="Roboto"/>
          <w:color w:val="0D0D0D"/>
          <w:sz w:val="24"/>
          <w:szCs w:val="24"/>
          <w:highlight w:val="white"/>
        </w:rPr>
        <w:t>Aideyan</w:t>
      </w:r>
      <w:proofErr w:type="spellEnd"/>
      <w:r w:rsidRPr="00492DC0">
        <w:rPr>
          <w:rFonts w:eastAsia="Roboto"/>
          <w:color w:val="0D0D0D"/>
          <w:sz w:val="24"/>
          <w:szCs w:val="24"/>
          <w:highlight w:val="white"/>
        </w:rPr>
        <w:t xml:space="preserve">, N. T., </w:t>
      </w:r>
      <w:proofErr w:type="spellStart"/>
      <w:r w:rsidRPr="00492DC0">
        <w:rPr>
          <w:rFonts w:eastAsia="Roboto"/>
          <w:color w:val="0D0D0D"/>
          <w:sz w:val="24"/>
          <w:szCs w:val="24"/>
          <w:highlight w:val="white"/>
        </w:rPr>
        <w:t>Selesi-Aina</w:t>
      </w:r>
      <w:proofErr w:type="spellEnd"/>
      <w:r w:rsidRPr="00492DC0">
        <w:rPr>
          <w:rFonts w:eastAsia="Roboto"/>
          <w:color w:val="0D0D0D"/>
          <w:sz w:val="24"/>
          <w:szCs w:val="24"/>
          <w:highlight w:val="white"/>
        </w:rPr>
        <w:t xml:space="preserve">, O., </w:t>
      </w:r>
      <w:proofErr w:type="spellStart"/>
      <w:r w:rsidRPr="00492DC0">
        <w:rPr>
          <w:rFonts w:eastAsia="Roboto"/>
          <w:color w:val="0D0D0D"/>
          <w:sz w:val="24"/>
          <w:szCs w:val="24"/>
          <w:highlight w:val="white"/>
        </w:rPr>
        <w:t>Dapo-Oyewole</w:t>
      </w:r>
      <w:proofErr w:type="spellEnd"/>
      <w:r w:rsidRPr="00492DC0">
        <w:rPr>
          <w:rFonts w:eastAsia="Roboto"/>
          <w:color w:val="0D0D0D"/>
          <w:sz w:val="24"/>
          <w:szCs w:val="24"/>
          <w:highlight w:val="white"/>
        </w:rPr>
        <w:t xml:space="preserve">, D. L., &amp; </w:t>
      </w:r>
      <w:proofErr w:type="spellStart"/>
      <w:r w:rsidRPr="00492DC0">
        <w:rPr>
          <w:rFonts w:eastAsia="Roboto"/>
          <w:color w:val="0D0D0D"/>
          <w:sz w:val="24"/>
          <w:szCs w:val="24"/>
          <w:highlight w:val="white"/>
        </w:rPr>
        <w:t>Olaniyi</w:t>
      </w:r>
      <w:proofErr w:type="spellEnd"/>
      <w:r w:rsidRPr="00492DC0">
        <w:rPr>
          <w:rFonts w:eastAsia="Roboto"/>
          <w:color w:val="0D0D0D"/>
          <w:sz w:val="24"/>
          <w:szCs w:val="24"/>
          <w:highlight w:val="white"/>
        </w:rPr>
        <w:t xml:space="preserve">, O. O. (2024). Advancing Information Governance in AI-Driven Cloud </w:t>
      </w:r>
      <w:r w:rsidRPr="00492DC0">
        <w:rPr>
          <w:rFonts w:eastAsia="Roboto"/>
          <w:color w:val="0D0D0D"/>
          <w:sz w:val="24"/>
          <w:szCs w:val="24"/>
          <w:highlight w:val="white"/>
        </w:rPr>
        <w:lastRenderedPageBreak/>
        <w:t xml:space="preserve">Ecosystem: Strategies for Enhancing Data Security and Meeting Regulatory Compliance.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17</w:t>
      </w:r>
      <w:r w:rsidRPr="00492DC0">
        <w:rPr>
          <w:rFonts w:eastAsia="Roboto"/>
          <w:color w:val="0D0D0D"/>
          <w:sz w:val="24"/>
          <w:szCs w:val="24"/>
          <w:highlight w:val="white"/>
        </w:rPr>
        <w:t xml:space="preserve">(12), 66–88. </w:t>
      </w:r>
      <w:hyperlink r:id="rId86">
        <w:r w:rsidRPr="00492DC0">
          <w:rPr>
            <w:rFonts w:eastAsia="Roboto"/>
            <w:color w:val="1155CC"/>
            <w:sz w:val="24"/>
            <w:szCs w:val="24"/>
            <w:highlight w:val="white"/>
            <w:u w:val="single"/>
          </w:rPr>
          <w:t>https://doi.org/10.9734/ajrcos/2024/v17i12530</w:t>
        </w:r>
      </w:hyperlink>
      <w:r w:rsidRPr="00492DC0">
        <w:rPr>
          <w:rFonts w:eastAsia="Roboto"/>
          <w:color w:val="0D0D0D"/>
          <w:sz w:val="24"/>
          <w:szCs w:val="24"/>
          <w:highlight w:val="white"/>
        </w:rPr>
        <w:t xml:space="preserve"> </w:t>
      </w:r>
    </w:p>
    <w:p w14:paraId="67F66F93"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Salem, A. H., Azzam, S. M., </w:t>
      </w:r>
      <w:proofErr w:type="spellStart"/>
      <w:r w:rsidRPr="00492DC0">
        <w:rPr>
          <w:rFonts w:eastAsia="Roboto"/>
          <w:color w:val="0D0D0D"/>
          <w:sz w:val="24"/>
          <w:szCs w:val="24"/>
          <w:highlight w:val="white"/>
        </w:rPr>
        <w:t>Emam</w:t>
      </w:r>
      <w:proofErr w:type="spellEnd"/>
      <w:r w:rsidRPr="00492DC0">
        <w:rPr>
          <w:rFonts w:eastAsia="Roboto"/>
          <w:color w:val="0D0D0D"/>
          <w:sz w:val="24"/>
          <w:szCs w:val="24"/>
          <w:highlight w:val="white"/>
        </w:rPr>
        <w:t xml:space="preserve">, O. E., &amp; </w:t>
      </w:r>
      <w:proofErr w:type="spellStart"/>
      <w:r w:rsidRPr="00492DC0">
        <w:rPr>
          <w:rFonts w:eastAsia="Roboto"/>
          <w:color w:val="0D0D0D"/>
          <w:sz w:val="24"/>
          <w:szCs w:val="24"/>
          <w:highlight w:val="white"/>
        </w:rPr>
        <w:t>Abohany</w:t>
      </w:r>
      <w:proofErr w:type="spellEnd"/>
      <w:r w:rsidRPr="00492DC0">
        <w:rPr>
          <w:rFonts w:eastAsia="Roboto"/>
          <w:color w:val="0D0D0D"/>
          <w:sz w:val="24"/>
          <w:szCs w:val="24"/>
          <w:highlight w:val="white"/>
        </w:rPr>
        <w:t xml:space="preserve">, A. A. (2024). Advancing cybersecurity: a comprehensive review of AI-driven detection techniques. </w:t>
      </w:r>
      <w:r w:rsidRPr="00492DC0">
        <w:rPr>
          <w:rFonts w:eastAsia="Roboto"/>
          <w:i/>
          <w:color w:val="0D0D0D"/>
          <w:sz w:val="24"/>
          <w:szCs w:val="24"/>
          <w:highlight w:val="white"/>
        </w:rPr>
        <w:t>Journal of Big Data</w:t>
      </w:r>
      <w:r w:rsidRPr="00492DC0">
        <w:rPr>
          <w:rFonts w:eastAsia="Roboto"/>
          <w:color w:val="0D0D0D"/>
          <w:sz w:val="24"/>
          <w:szCs w:val="24"/>
          <w:highlight w:val="white"/>
        </w:rPr>
        <w:t xml:space="preserve">, </w:t>
      </w:r>
      <w:r w:rsidRPr="00492DC0">
        <w:rPr>
          <w:rFonts w:eastAsia="Roboto"/>
          <w:i/>
          <w:color w:val="0D0D0D"/>
          <w:sz w:val="24"/>
          <w:szCs w:val="24"/>
          <w:highlight w:val="white"/>
        </w:rPr>
        <w:t>11</w:t>
      </w:r>
      <w:r w:rsidRPr="00492DC0">
        <w:rPr>
          <w:rFonts w:eastAsia="Roboto"/>
          <w:color w:val="0D0D0D"/>
          <w:sz w:val="24"/>
          <w:szCs w:val="24"/>
          <w:highlight w:val="white"/>
        </w:rPr>
        <w:t xml:space="preserve">(1). </w:t>
      </w:r>
      <w:hyperlink r:id="rId87">
        <w:r w:rsidRPr="00492DC0">
          <w:rPr>
            <w:rFonts w:eastAsia="Roboto"/>
            <w:color w:val="1155CC"/>
            <w:sz w:val="24"/>
            <w:szCs w:val="24"/>
            <w:highlight w:val="white"/>
            <w:u w:val="single"/>
          </w:rPr>
          <w:t>https://doi.org/10.1186/s40537-024-00957-y</w:t>
        </w:r>
      </w:hyperlink>
      <w:r w:rsidRPr="00492DC0">
        <w:rPr>
          <w:rFonts w:eastAsia="Roboto"/>
          <w:color w:val="0D0D0D"/>
          <w:sz w:val="24"/>
          <w:szCs w:val="24"/>
          <w:highlight w:val="white"/>
        </w:rPr>
        <w:t xml:space="preserve"> </w:t>
      </w:r>
    </w:p>
    <w:p w14:paraId="742345FF"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Samuel-</w:t>
      </w:r>
      <w:proofErr w:type="spellStart"/>
      <w:r w:rsidRPr="00492DC0">
        <w:rPr>
          <w:rFonts w:eastAsia="Roboto"/>
          <w:color w:val="0D0D0D"/>
          <w:sz w:val="24"/>
          <w:szCs w:val="24"/>
          <w:highlight w:val="white"/>
        </w:rPr>
        <w:t>Okon</w:t>
      </w:r>
      <w:proofErr w:type="spellEnd"/>
      <w:r w:rsidRPr="00492DC0">
        <w:rPr>
          <w:rFonts w:eastAsia="Roboto"/>
          <w:color w:val="0D0D0D"/>
          <w:sz w:val="24"/>
          <w:szCs w:val="24"/>
          <w:highlight w:val="white"/>
        </w:rPr>
        <w:t xml:space="preserve">, A. D., Akinola, O. I., </w:t>
      </w:r>
      <w:proofErr w:type="spellStart"/>
      <w:r w:rsidRPr="00492DC0">
        <w:rPr>
          <w:rFonts w:eastAsia="Roboto"/>
          <w:color w:val="0D0D0D"/>
          <w:sz w:val="24"/>
          <w:szCs w:val="24"/>
          <w:highlight w:val="white"/>
        </w:rPr>
        <w:t>Olaniyi</w:t>
      </w:r>
      <w:proofErr w:type="spellEnd"/>
      <w:r w:rsidRPr="00492DC0">
        <w:rPr>
          <w:rFonts w:eastAsia="Roboto"/>
          <w:color w:val="0D0D0D"/>
          <w:sz w:val="24"/>
          <w:szCs w:val="24"/>
          <w:highlight w:val="white"/>
        </w:rPr>
        <w:t xml:space="preserve">, O. O., </w:t>
      </w:r>
      <w:proofErr w:type="spellStart"/>
      <w:r w:rsidRPr="00492DC0">
        <w:rPr>
          <w:rFonts w:eastAsia="Roboto"/>
          <w:color w:val="0D0D0D"/>
          <w:sz w:val="24"/>
          <w:szCs w:val="24"/>
          <w:highlight w:val="white"/>
        </w:rPr>
        <w:t>Olateju</w:t>
      </w:r>
      <w:proofErr w:type="spellEnd"/>
      <w:r w:rsidRPr="00492DC0">
        <w:rPr>
          <w:rFonts w:eastAsia="Roboto"/>
          <w:color w:val="0D0D0D"/>
          <w:sz w:val="24"/>
          <w:szCs w:val="24"/>
          <w:highlight w:val="white"/>
        </w:rPr>
        <w:t xml:space="preserve">, O. O., &amp; Ajayi, S. A. (2024). Assessing the Effectiveness of Network Security Tools in Mitigating the Impact of </w:t>
      </w:r>
      <w:proofErr w:type="spellStart"/>
      <w:r w:rsidRPr="00492DC0">
        <w:rPr>
          <w:rFonts w:eastAsia="Roboto"/>
          <w:color w:val="0D0D0D"/>
          <w:sz w:val="24"/>
          <w:szCs w:val="24"/>
          <w:highlight w:val="white"/>
        </w:rPr>
        <w:t>Deepfakes</w:t>
      </w:r>
      <w:proofErr w:type="spellEnd"/>
      <w:r w:rsidRPr="00492DC0">
        <w:rPr>
          <w:rFonts w:eastAsia="Roboto"/>
          <w:color w:val="0D0D0D"/>
          <w:sz w:val="24"/>
          <w:szCs w:val="24"/>
          <w:highlight w:val="white"/>
        </w:rPr>
        <w:t xml:space="preserve"> AI on Public Trust in Media. </w:t>
      </w:r>
      <w:r w:rsidRPr="00492DC0">
        <w:rPr>
          <w:rFonts w:eastAsia="Roboto"/>
          <w:i/>
          <w:color w:val="0D0D0D"/>
          <w:sz w:val="24"/>
          <w:szCs w:val="24"/>
          <w:highlight w:val="white"/>
        </w:rPr>
        <w:t>Archives of Current Research International</w:t>
      </w:r>
      <w:r w:rsidRPr="00492DC0">
        <w:rPr>
          <w:rFonts w:eastAsia="Roboto"/>
          <w:color w:val="0D0D0D"/>
          <w:sz w:val="24"/>
          <w:szCs w:val="24"/>
          <w:highlight w:val="white"/>
        </w:rPr>
        <w:t xml:space="preserve">, </w:t>
      </w:r>
      <w:r w:rsidRPr="00492DC0">
        <w:rPr>
          <w:rFonts w:eastAsia="Roboto"/>
          <w:i/>
          <w:color w:val="0D0D0D"/>
          <w:sz w:val="24"/>
          <w:szCs w:val="24"/>
          <w:highlight w:val="white"/>
        </w:rPr>
        <w:t>24</w:t>
      </w:r>
      <w:r w:rsidRPr="00492DC0">
        <w:rPr>
          <w:rFonts w:eastAsia="Roboto"/>
          <w:color w:val="0D0D0D"/>
          <w:sz w:val="24"/>
          <w:szCs w:val="24"/>
          <w:highlight w:val="white"/>
        </w:rPr>
        <w:t xml:space="preserve">(6), 355–375. </w:t>
      </w:r>
      <w:hyperlink r:id="rId88">
        <w:r w:rsidRPr="00492DC0">
          <w:rPr>
            <w:rFonts w:eastAsia="Roboto"/>
            <w:color w:val="1155CC"/>
            <w:sz w:val="24"/>
            <w:szCs w:val="24"/>
            <w:highlight w:val="white"/>
            <w:u w:val="single"/>
          </w:rPr>
          <w:t>https://doi.org/10.9734/acri/2024/v24i6794</w:t>
        </w:r>
      </w:hyperlink>
      <w:r w:rsidRPr="00492DC0">
        <w:rPr>
          <w:rFonts w:eastAsia="Roboto"/>
          <w:color w:val="0D0D0D"/>
          <w:sz w:val="24"/>
          <w:szCs w:val="24"/>
          <w:highlight w:val="white"/>
        </w:rPr>
        <w:t xml:space="preserve">  </w:t>
      </w:r>
    </w:p>
    <w:p w14:paraId="0841418C"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Sargiotis</w:t>
      </w:r>
      <w:proofErr w:type="spellEnd"/>
      <w:r w:rsidRPr="00492DC0">
        <w:rPr>
          <w:rFonts w:eastAsia="Roboto"/>
          <w:color w:val="0D0D0D"/>
          <w:sz w:val="24"/>
          <w:szCs w:val="24"/>
          <w:highlight w:val="white"/>
        </w:rPr>
        <w:t xml:space="preserve">, D. (2024). Data Security and Privacy: Protecting Sensitive Information. </w:t>
      </w:r>
      <w:r w:rsidRPr="00492DC0">
        <w:rPr>
          <w:rFonts w:eastAsia="Roboto"/>
          <w:i/>
          <w:color w:val="0D0D0D"/>
          <w:sz w:val="24"/>
          <w:szCs w:val="24"/>
          <w:highlight w:val="white"/>
        </w:rPr>
        <w:t>Data Governance</w:t>
      </w:r>
      <w:r w:rsidRPr="00492DC0">
        <w:rPr>
          <w:rFonts w:eastAsia="Roboto"/>
          <w:color w:val="0D0D0D"/>
          <w:sz w:val="24"/>
          <w:szCs w:val="24"/>
          <w:highlight w:val="white"/>
        </w:rPr>
        <w:t xml:space="preserve">, 217–245. </w:t>
      </w:r>
      <w:hyperlink r:id="rId89">
        <w:r w:rsidRPr="00492DC0">
          <w:rPr>
            <w:rFonts w:eastAsia="Roboto"/>
            <w:color w:val="1155CC"/>
            <w:sz w:val="24"/>
            <w:szCs w:val="24"/>
            <w:highlight w:val="white"/>
            <w:u w:val="single"/>
          </w:rPr>
          <w:t>https://doi.org/10.1007/978-3-031-67268-2_6</w:t>
        </w:r>
      </w:hyperlink>
      <w:r w:rsidRPr="00492DC0">
        <w:rPr>
          <w:rFonts w:eastAsia="Roboto"/>
          <w:color w:val="0D0D0D"/>
          <w:sz w:val="24"/>
          <w:szCs w:val="24"/>
          <w:highlight w:val="white"/>
        </w:rPr>
        <w:t xml:space="preserve"> </w:t>
      </w:r>
    </w:p>
    <w:p w14:paraId="4A7C5FB7"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Sayyafzadeh</w:t>
      </w:r>
      <w:proofErr w:type="spellEnd"/>
      <w:r w:rsidRPr="00492DC0">
        <w:rPr>
          <w:rFonts w:eastAsia="Roboto"/>
          <w:color w:val="0D0D0D"/>
          <w:sz w:val="24"/>
          <w:szCs w:val="24"/>
          <w:highlight w:val="white"/>
        </w:rPr>
        <w:t xml:space="preserve">, S., Weatherspoon, M., Yan, J., &amp; Chi, H. (2024). Securing Against Deception: Exploring Phishing Emails Through </w:t>
      </w:r>
      <w:proofErr w:type="spellStart"/>
      <w:r w:rsidRPr="00492DC0">
        <w:rPr>
          <w:rFonts w:eastAsia="Roboto"/>
          <w:color w:val="0D0D0D"/>
          <w:sz w:val="24"/>
          <w:szCs w:val="24"/>
          <w:highlight w:val="white"/>
        </w:rPr>
        <w:t>ChatGPT</w:t>
      </w:r>
      <w:proofErr w:type="spellEnd"/>
      <w:r w:rsidRPr="00492DC0">
        <w:rPr>
          <w:rFonts w:eastAsia="Roboto"/>
          <w:color w:val="0D0D0D"/>
          <w:sz w:val="24"/>
          <w:szCs w:val="24"/>
          <w:highlight w:val="white"/>
        </w:rPr>
        <w:t xml:space="preserve"> and Sentiment Analysis. </w:t>
      </w:r>
      <w:proofErr w:type="gramStart"/>
      <w:r w:rsidRPr="00492DC0">
        <w:rPr>
          <w:rFonts w:eastAsia="Roboto"/>
          <w:i/>
          <w:color w:val="0D0D0D"/>
          <w:sz w:val="24"/>
          <w:szCs w:val="24"/>
          <w:highlight w:val="white"/>
        </w:rPr>
        <w:t xml:space="preserve">IEEE </w:t>
      </w:r>
      <w:r w:rsidRPr="00492DC0">
        <w:rPr>
          <w:rFonts w:eastAsia="Roboto"/>
          <w:color w:val="0D0D0D"/>
          <w:sz w:val="24"/>
          <w:szCs w:val="24"/>
          <w:highlight w:val="white"/>
        </w:rPr>
        <w:t>,</w:t>
      </w:r>
      <w:proofErr w:type="gramEnd"/>
      <w:r w:rsidRPr="00492DC0">
        <w:rPr>
          <w:rFonts w:eastAsia="Roboto"/>
          <w:color w:val="0D0D0D"/>
          <w:sz w:val="24"/>
          <w:szCs w:val="24"/>
          <w:highlight w:val="white"/>
        </w:rPr>
        <w:t xml:space="preserve"> 159–165. </w:t>
      </w:r>
      <w:hyperlink r:id="rId90">
        <w:r w:rsidRPr="00492DC0">
          <w:rPr>
            <w:rFonts w:eastAsia="Roboto"/>
            <w:color w:val="1155CC"/>
            <w:sz w:val="24"/>
            <w:szCs w:val="24"/>
            <w:highlight w:val="white"/>
            <w:u w:val="single"/>
          </w:rPr>
          <w:t>https://doi.org/10.1109/sera61261.2024.10685564</w:t>
        </w:r>
      </w:hyperlink>
      <w:r w:rsidRPr="00492DC0">
        <w:rPr>
          <w:rFonts w:eastAsia="Roboto"/>
          <w:color w:val="0D0D0D"/>
          <w:sz w:val="24"/>
          <w:szCs w:val="24"/>
          <w:highlight w:val="white"/>
        </w:rPr>
        <w:t xml:space="preserve"> </w:t>
      </w:r>
    </w:p>
    <w:p w14:paraId="2070D0BD"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Schmitt, M., &amp; </w:t>
      </w:r>
      <w:proofErr w:type="spellStart"/>
      <w:r w:rsidRPr="00492DC0">
        <w:rPr>
          <w:rFonts w:eastAsia="Roboto"/>
          <w:color w:val="0D0D0D"/>
          <w:sz w:val="24"/>
          <w:szCs w:val="24"/>
          <w:highlight w:val="white"/>
        </w:rPr>
        <w:t>Flechais</w:t>
      </w:r>
      <w:proofErr w:type="spellEnd"/>
      <w:r w:rsidRPr="00492DC0">
        <w:rPr>
          <w:rFonts w:eastAsia="Roboto"/>
          <w:color w:val="0D0D0D"/>
          <w:sz w:val="24"/>
          <w:szCs w:val="24"/>
          <w:highlight w:val="white"/>
        </w:rPr>
        <w:t xml:space="preserve">, I. (2024). Digital deception: generative artificial intelligence in social engineering and phishing. </w:t>
      </w:r>
      <w:r w:rsidRPr="00492DC0">
        <w:rPr>
          <w:rFonts w:eastAsia="Roboto"/>
          <w:i/>
          <w:color w:val="0D0D0D"/>
          <w:sz w:val="24"/>
          <w:szCs w:val="24"/>
          <w:highlight w:val="white"/>
        </w:rPr>
        <w:t>Artificial Intelligence Review</w:t>
      </w:r>
      <w:r w:rsidRPr="00492DC0">
        <w:rPr>
          <w:rFonts w:eastAsia="Roboto"/>
          <w:color w:val="0D0D0D"/>
          <w:sz w:val="24"/>
          <w:szCs w:val="24"/>
          <w:highlight w:val="white"/>
        </w:rPr>
        <w:t xml:space="preserve">, </w:t>
      </w:r>
      <w:r w:rsidRPr="00492DC0">
        <w:rPr>
          <w:rFonts w:eastAsia="Roboto"/>
          <w:i/>
          <w:color w:val="0D0D0D"/>
          <w:sz w:val="24"/>
          <w:szCs w:val="24"/>
          <w:highlight w:val="white"/>
        </w:rPr>
        <w:t>57</w:t>
      </w:r>
      <w:r w:rsidRPr="00492DC0">
        <w:rPr>
          <w:rFonts w:eastAsia="Roboto"/>
          <w:color w:val="0D0D0D"/>
          <w:sz w:val="24"/>
          <w:szCs w:val="24"/>
          <w:highlight w:val="white"/>
        </w:rPr>
        <w:t xml:space="preserve">(12). </w:t>
      </w:r>
      <w:hyperlink r:id="rId91">
        <w:r w:rsidRPr="00492DC0">
          <w:rPr>
            <w:rFonts w:eastAsia="Roboto"/>
            <w:color w:val="1155CC"/>
            <w:sz w:val="24"/>
            <w:szCs w:val="24"/>
            <w:highlight w:val="white"/>
            <w:u w:val="single"/>
          </w:rPr>
          <w:t>https://doi.org/10.1007/s10462-024-10973-2</w:t>
        </w:r>
      </w:hyperlink>
      <w:r w:rsidRPr="00492DC0">
        <w:rPr>
          <w:rFonts w:eastAsia="Roboto"/>
          <w:color w:val="0D0D0D"/>
          <w:sz w:val="24"/>
          <w:szCs w:val="24"/>
          <w:highlight w:val="white"/>
        </w:rPr>
        <w:t xml:space="preserve"> </w:t>
      </w:r>
    </w:p>
    <w:p w14:paraId="2304B3A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Sharma, H. (2021). BEHAVIORAL ANALYTICS AND ZERO TRUST. </w:t>
      </w:r>
      <w:r w:rsidRPr="00492DC0">
        <w:rPr>
          <w:rFonts w:eastAsia="Roboto"/>
          <w:i/>
          <w:color w:val="0D0D0D"/>
          <w:sz w:val="24"/>
          <w:szCs w:val="24"/>
          <w:highlight w:val="white"/>
        </w:rPr>
        <w:t xml:space="preserve">International Journal of Computer Engineering and </w:t>
      </w:r>
      <w:proofErr w:type="gramStart"/>
      <w:r w:rsidRPr="00492DC0">
        <w:rPr>
          <w:rFonts w:eastAsia="Roboto"/>
          <w:i/>
          <w:color w:val="0D0D0D"/>
          <w:sz w:val="24"/>
          <w:szCs w:val="24"/>
          <w:highlight w:val="white"/>
        </w:rPr>
        <w:t xml:space="preserve">Technology </w:t>
      </w:r>
      <w:r w:rsidRPr="00492DC0">
        <w:rPr>
          <w:rFonts w:eastAsia="Roboto"/>
          <w:color w:val="0D0D0D"/>
          <w:sz w:val="24"/>
          <w:szCs w:val="24"/>
          <w:highlight w:val="white"/>
        </w:rPr>
        <w:t>,</w:t>
      </w:r>
      <w:proofErr w:type="gramEnd"/>
      <w:r w:rsidRPr="00492DC0">
        <w:rPr>
          <w:rFonts w:eastAsia="Roboto"/>
          <w:color w:val="0D0D0D"/>
          <w:sz w:val="24"/>
          <w:szCs w:val="24"/>
          <w:highlight w:val="white"/>
        </w:rPr>
        <w:t xml:space="preserve"> </w:t>
      </w:r>
      <w:r w:rsidRPr="00492DC0">
        <w:rPr>
          <w:rFonts w:eastAsia="Roboto"/>
          <w:i/>
          <w:color w:val="0D0D0D"/>
          <w:sz w:val="24"/>
          <w:szCs w:val="24"/>
          <w:highlight w:val="white"/>
        </w:rPr>
        <w:t>12</w:t>
      </w:r>
      <w:r w:rsidRPr="00492DC0">
        <w:rPr>
          <w:rFonts w:eastAsia="Roboto"/>
          <w:color w:val="0D0D0D"/>
          <w:sz w:val="24"/>
          <w:szCs w:val="24"/>
          <w:highlight w:val="white"/>
        </w:rPr>
        <w:t xml:space="preserve">(1), 63–84. </w:t>
      </w:r>
      <w:hyperlink r:id="rId92">
        <w:r w:rsidRPr="00492DC0">
          <w:rPr>
            <w:rFonts w:eastAsia="Roboto"/>
            <w:color w:val="1155CC"/>
            <w:sz w:val="24"/>
            <w:szCs w:val="24"/>
            <w:highlight w:val="white"/>
            <w:u w:val="single"/>
          </w:rPr>
          <w:t>https://hal.science/hal-04686453</w:t>
        </w:r>
      </w:hyperlink>
      <w:r w:rsidRPr="00492DC0">
        <w:rPr>
          <w:rFonts w:eastAsia="Roboto"/>
          <w:color w:val="0D0D0D"/>
          <w:sz w:val="24"/>
          <w:szCs w:val="24"/>
          <w:highlight w:val="white"/>
        </w:rPr>
        <w:t xml:space="preserve"> </w:t>
      </w:r>
    </w:p>
    <w:p w14:paraId="066D1B70"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Siam, A. A., </w:t>
      </w:r>
      <w:proofErr w:type="spellStart"/>
      <w:r w:rsidRPr="00492DC0">
        <w:rPr>
          <w:rFonts w:eastAsia="Roboto"/>
          <w:color w:val="0D0D0D"/>
          <w:sz w:val="24"/>
          <w:szCs w:val="24"/>
          <w:highlight w:val="white"/>
        </w:rPr>
        <w:t>Alazab</w:t>
      </w:r>
      <w:proofErr w:type="spellEnd"/>
      <w:r w:rsidRPr="00492DC0">
        <w:rPr>
          <w:rFonts w:eastAsia="Roboto"/>
          <w:color w:val="0D0D0D"/>
          <w:sz w:val="24"/>
          <w:szCs w:val="24"/>
          <w:highlight w:val="white"/>
        </w:rPr>
        <w:t xml:space="preserve">, M., </w:t>
      </w:r>
      <w:proofErr w:type="spellStart"/>
      <w:r w:rsidRPr="00492DC0">
        <w:rPr>
          <w:rFonts w:eastAsia="Roboto"/>
          <w:color w:val="0D0D0D"/>
          <w:sz w:val="24"/>
          <w:szCs w:val="24"/>
          <w:highlight w:val="white"/>
        </w:rPr>
        <w:t>Awajan</w:t>
      </w:r>
      <w:proofErr w:type="spellEnd"/>
      <w:r w:rsidRPr="00492DC0">
        <w:rPr>
          <w:rFonts w:eastAsia="Roboto"/>
          <w:color w:val="0D0D0D"/>
          <w:sz w:val="24"/>
          <w:szCs w:val="24"/>
          <w:highlight w:val="white"/>
        </w:rPr>
        <w:t xml:space="preserve">, A., &amp; </w:t>
      </w:r>
      <w:proofErr w:type="spellStart"/>
      <w:r w:rsidRPr="00492DC0">
        <w:rPr>
          <w:rFonts w:eastAsia="Roboto"/>
          <w:color w:val="0D0D0D"/>
          <w:sz w:val="24"/>
          <w:szCs w:val="24"/>
          <w:highlight w:val="white"/>
        </w:rPr>
        <w:t>Faruqui</w:t>
      </w:r>
      <w:proofErr w:type="spellEnd"/>
      <w:r w:rsidRPr="00492DC0">
        <w:rPr>
          <w:rFonts w:eastAsia="Roboto"/>
          <w:color w:val="0D0D0D"/>
          <w:sz w:val="24"/>
          <w:szCs w:val="24"/>
          <w:highlight w:val="white"/>
        </w:rPr>
        <w:t xml:space="preserve">, N. (2025). A Comprehensive Review of AI’s Current Impact and Future Prospects in Cybersecurity. </w:t>
      </w:r>
      <w:r w:rsidRPr="00492DC0">
        <w:rPr>
          <w:rFonts w:eastAsia="Roboto"/>
          <w:i/>
          <w:color w:val="0D0D0D"/>
          <w:sz w:val="24"/>
          <w:szCs w:val="24"/>
          <w:highlight w:val="white"/>
        </w:rPr>
        <w:t>IEEE Access</w:t>
      </w:r>
      <w:r w:rsidRPr="00492DC0">
        <w:rPr>
          <w:rFonts w:eastAsia="Roboto"/>
          <w:color w:val="0D0D0D"/>
          <w:sz w:val="24"/>
          <w:szCs w:val="24"/>
          <w:highlight w:val="white"/>
        </w:rPr>
        <w:t xml:space="preserve">, 1–1. </w:t>
      </w:r>
      <w:hyperlink r:id="rId93">
        <w:r w:rsidRPr="00492DC0">
          <w:rPr>
            <w:rFonts w:eastAsia="Roboto"/>
            <w:color w:val="1155CC"/>
            <w:sz w:val="24"/>
            <w:szCs w:val="24"/>
            <w:highlight w:val="white"/>
            <w:u w:val="single"/>
          </w:rPr>
          <w:t>https://doi.org/10.1109/access.2025.3528114</w:t>
        </w:r>
      </w:hyperlink>
      <w:r w:rsidRPr="00492DC0">
        <w:rPr>
          <w:rFonts w:eastAsia="Roboto"/>
          <w:color w:val="0D0D0D"/>
          <w:sz w:val="24"/>
          <w:szCs w:val="24"/>
          <w:highlight w:val="white"/>
        </w:rPr>
        <w:t xml:space="preserve"> </w:t>
      </w:r>
    </w:p>
    <w:p w14:paraId="22C23E47"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Sutherlin, J. (2024). </w:t>
      </w:r>
      <w:r w:rsidRPr="00492DC0">
        <w:rPr>
          <w:rFonts w:eastAsia="Roboto"/>
          <w:i/>
          <w:color w:val="0D0D0D"/>
          <w:sz w:val="24"/>
          <w:szCs w:val="24"/>
          <w:highlight w:val="white"/>
        </w:rPr>
        <w:t>Nearly half of employed people have fallen victim to cyberattack or scam</w:t>
      </w:r>
      <w:r w:rsidRPr="00492DC0">
        <w:rPr>
          <w:rFonts w:eastAsia="Roboto"/>
          <w:color w:val="0D0D0D"/>
          <w:sz w:val="24"/>
          <w:szCs w:val="24"/>
          <w:highlight w:val="white"/>
        </w:rPr>
        <w:t xml:space="preserve">. New York Post. </w:t>
      </w:r>
      <w:hyperlink r:id="rId94">
        <w:r w:rsidRPr="00492DC0">
          <w:rPr>
            <w:rFonts w:eastAsia="Roboto"/>
            <w:color w:val="1155CC"/>
            <w:sz w:val="24"/>
            <w:szCs w:val="24"/>
            <w:highlight w:val="white"/>
            <w:u w:val="single"/>
          </w:rPr>
          <w:t>https://nypost.com/2024/09/26/lifestyle/nearly-half-of-employed-people-have-fallen-victim-to-cyberattack-or-scam/</w:t>
        </w:r>
      </w:hyperlink>
      <w:r w:rsidRPr="00492DC0">
        <w:rPr>
          <w:rFonts w:eastAsia="Roboto"/>
          <w:color w:val="0D0D0D"/>
          <w:sz w:val="24"/>
          <w:szCs w:val="24"/>
          <w:highlight w:val="white"/>
        </w:rPr>
        <w:t xml:space="preserve"> </w:t>
      </w:r>
    </w:p>
    <w:p w14:paraId="10DBF22D"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Swain, G. (2024). </w:t>
      </w:r>
      <w:r w:rsidRPr="00492DC0">
        <w:rPr>
          <w:rFonts w:eastAsia="Roboto"/>
          <w:i/>
          <w:color w:val="0D0D0D"/>
          <w:sz w:val="24"/>
          <w:szCs w:val="24"/>
          <w:highlight w:val="white"/>
        </w:rPr>
        <w:t>Change Healthcare data breach exposed “only” 100 million US health records</w:t>
      </w:r>
      <w:r w:rsidRPr="00492DC0">
        <w:rPr>
          <w:rFonts w:eastAsia="Roboto"/>
          <w:color w:val="0D0D0D"/>
          <w:sz w:val="24"/>
          <w:szCs w:val="24"/>
          <w:highlight w:val="white"/>
        </w:rPr>
        <w:t xml:space="preserve">. CSO Online. </w:t>
      </w:r>
      <w:hyperlink r:id="rId95">
        <w:r w:rsidRPr="00492DC0">
          <w:rPr>
            <w:rFonts w:eastAsia="Roboto"/>
            <w:color w:val="1155CC"/>
            <w:sz w:val="24"/>
            <w:szCs w:val="24"/>
            <w:highlight w:val="white"/>
            <w:u w:val="single"/>
          </w:rPr>
          <w:t>https://www.csoonline.com/article/3588766/change-healthcare-data-breach-exposed-only-100-million-us-health-records.html</w:t>
        </w:r>
      </w:hyperlink>
      <w:r w:rsidRPr="00492DC0">
        <w:rPr>
          <w:rFonts w:eastAsia="Roboto"/>
          <w:color w:val="0D0D0D"/>
          <w:sz w:val="24"/>
          <w:szCs w:val="24"/>
          <w:highlight w:val="white"/>
        </w:rPr>
        <w:t xml:space="preserve"> </w:t>
      </w:r>
    </w:p>
    <w:p w14:paraId="60E66DA8"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Tariq, M. U. (2024). </w:t>
      </w:r>
      <w:r w:rsidRPr="00492DC0">
        <w:rPr>
          <w:rFonts w:eastAsia="Roboto"/>
          <w:i/>
          <w:color w:val="0D0D0D"/>
          <w:sz w:val="24"/>
          <w:szCs w:val="24"/>
          <w:highlight w:val="white"/>
        </w:rPr>
        <w:t>Enhancing Cybersecurity Protocols in Modern Healthcare Systems: Strategies and Best Practices</w:t>
      </w:r>
      <w:r w:rsidRPr="00492DC0">
        <w:rPr>
          <w:rFonts w:eastAsia="Roboto"/>
          <w:color w:val="0D0D0D"/>
          <w:sz w:val="24"/>
          <w:szCs w:val="24"/>
          <w:highlight w:val="white"/>
        </w:rPr>
        <w:t xml:space="preserve">. Www.igi-Global.com; IGI Global. </w:t>
      </w:r>
      <w:hyperlink r:id="rId96">
        <w:r w:rsidRPr="00492DC0">
          <w:rPr>
            <w:rFonts w:eastAsia="Roboto"/>
            <w:color w:val="1155CC"/>
            <w:sz w:val="24"/>
            <w:szCs w:val="24"/>
            <w:highlight w:val="white"/>
            <w:u w:val="single"/>
          </w:rPr>
          <w:t>https://www.igi-global.com/chapter/enhancing-cybersecurity-protocols-in-modern-healthcare-systems/342829</w:t>
        </w:r>
      </w:hyperlink>
      <w:r w:rsidRPr="00492DC0">
        <w:rPr>
          <w:rFonts w:eastAsia="Roboto"/>
          <w:color w:val="0D0D0D"/>
          <w:sz w:val="24"/>
          <w:szCs w:val="24"/>
          <w:highlight w:val="white"/>
        </w:rPr>
        <w:t xml:space="preserve"> </w:t>
      </w:r>
    </w:p>
    <w:p w14:paraId="0309A08C"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Tyagi, A. K., Kumari, S., &amp; Richa, N. (2024). Artificial Intelligence</w:t>
      </w:r>
      <w:r w:rsidRPr="00492DC0">
        <w:rPr>
          <w:rFonts w:ascii="Cambria Math" w:eastAsia="Roboto" w:hAnsi="Cambria Math" w:cs="Cambria Math"/>
          <w:color w:val="0D0D0D"/>
          <w:sz w:val="24"/>
          <w:szCs w:val="24"/>
          <w:highlight w:val="white"/>
        </w:rPr>
        <w:t>‐</w:t>
      </w:r>
      <w:r w:rsidRPr="00492DC0">
        <w:rPr>
          <w:rFonts w:eastAsia="Roboto"/>
          <w:color w:val="0D0D0D"/>
          <w:sz w:val="24"/>
          <w:szCs w:val="24"/>
          <w:highlight w:val="white"/>
        </w:rPr>
        <w:t xml:space="preserve">Based Cyber Security and Digital Forensics. </w:t>
      </w:r>
      <w:r w:rsidRPr="00492DC0">
        <w:rPr>
          <w:rFonts w:eastAsia="Roboto"/>
          <w:i/>
          <w:color w:val="0D0D0D"/>
          <w:sz w:val="24"/>
          <w:szCs w:val="24"/>
          <w:highlight w:val="white"/>
        </w:rPr>
        <w:t>Wiley Online Library</w:t>
      </w:r>
      <w:r w:rsidRPr="00492DC0">
        <w:rPr>
          <w:rFonts w:eastAsia="Roboto"/>
          <w:color w:val="0D0D0D"/>
          <w:sz w:val="24"/>
          <w:szCs w:val="24"/>
          <w:highlight w:val="white"/>
        </w:rPr>
        <w:t xml:space="preserve">, 391–419. </w:t>
      </w:r>
      <w:hyperlink r:id="rId97">
        <w:r w:rsidRPr="00492DC0">
          <w:rPr>
            <w:rFonts w:eastAsia="Roboto"/>
            <w:color w:val="1155CC"/>
            <w:sz w:val="24"/>
            <w:szCs w:val="24"/>
            <w:highlight w:val="white"/>
            <w:u w:val="single"/>
          </w:rPr>
          <w:t>https://doi.org/10.1002/9781394303601.ch18</w:t>
        </w:r>
      </w:hyperlink>
      <w:r w:rsidRPr="00492DC0">
        <w:rPr>
          <w:rFonts w:eastAsia="Roboto"/>
          <w:color w:val="0D0D0D"/>
          <w:sz w:val="24"/>
          <w:szCs w:val="24"/>
          <w:highlight w:val="white"/>
        </w:rPr>
        <w:t xml:space="preserve"> </w:t>
      </w:r>
    </w:p>
    <w:p w14:paraId="2360DE86"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lastRenderedPageBreak/>
        <w:t xml:space="preserve">Val, O. O., </w:t>
      </w:r>
      <w:proofErr w:type="spellStart"/>
      <w:r w:rsidRPr="00492DC0">
        <w:rPr>
          <w:rFonts w:eastAsia="Roboto"/>
          <w:color w:val="0D0D0D"/>
          <w:sz w:val="24"/>
          <w:szCs w:val="24"/>
          <w:highlight w:val="white"/>
        </w:rPr>
        <w:t>Kolade</w:t>
      </w:r>
      <w:proofErr w:type="spellEnd"/>
      <w:r w:rsidRPr="00492DC0">
        <w:rPr>
          <w:rFonts w:eastAsia="Roboto"/>
          <w:color w:val="0D0D0D"/>
          <w:sz w:val="24"/>
          <w:szCs w:val="24"/>
          <w:highlight w:val="white"/>
        </w:rPr>
        <w:t xml:space="preserve">, T. M., </w:t>
      </w:r>
      <w:proofErr w:type="spellStart"/>
      <w:r w:rsidRPr="00492DC0">
        <w:rPr>
          <w:rFonts w:eastAsia="Roboto"/>
          <w:color w:val="0D0D0D"/>
          <w:sz w:val="24"/>
          <w:szCs w:val="24"/>
          <w:highlight w:val="white"/>
        </w:rPr>
        <w:t>Gbadebo</w:t>
      </w:r>
      <w:proofErr w:type="spellEnd"/>
      <w:r w:rsidRPr="00492DC0">
        <w:rPr>
          <w:rFonts w:eastAsia="Roboto"/>
          <w:color w:val="0D0D0D"/>
          <w:sz w:val="24"/>
          <w:szCs w:val="24"/>
          <w:highlight w:val="white"/>
        </w:rPr>
        <w:t xml:space="preserve">, M. O., </w:t>
      </w:r>
      <w:proofErr w:type="spellStart"/>
      <w:r w:rsidRPr="00492DC0">
        <w:rPr>
          <w:rFonts w:eastAsia="Roboto"/>
          <w:color w:val="0D0D0D"/>
          <w:sz w:val="24"/>
          <w:szCs w:val="24"/>
          <w:highlight w:val="white"/>
        </w:rPr>
        <w:t>Selesi-Aina</w:t>
      </w:r>
      <w:proofErr w:type="spellEnd"/>
      <w:r w:rsidRPr="00492DC0">
        <w:rPr>
          <w:rFonts w:eastAsia="Roboto"/>
          <w:color w:val="0D0D0D"/>
          <w:sz w:val="24"/>
          <w:szCs w:val="24"/>
          <w:highlight w:val="white"/>
        </w:rPr>
        <w:t xml:space="preserve">, O., </w:t>
      </w:r>
      <w:proofErr w:type="spellStart"/>
      <w:r w:rsidRPr="00492DC0">
        <w:rPr>
          <w:rFonts w:eastAsia="Roboto"/>
          <w:color w:val="0D0D0D"/>
          <w:sz w:val="24"/>
          <w:szCs w:val="24"/>
          <w:highlight w:val="white"/>
        </w:rPr>
        <w:t>Olateju</w:t>
      </w:r>
      <w:proofErr w:type="spellEnd"/>
      <w:r w:rsidRPr="00492DC0">
        <w:rPr>
          <w:rFonts w:eastAsia="Roboto"/>
          <w:color w:val="0D0D0D"/>
          <w:sz w:val="24"/>
          <w:szCs w:val="24"/>
          <w:highlight w:val="white"/>
        </w:rPr>
        <w:t xml:space="preserve">, O. O., &amp; </w:t>
      </w:r>
      <w:proofErr w:type="spellStart"/>
      <w:r w:rsidRPr="00492DC0">
        <w:rPr>
          <w:rFonts w:eastAsia="Roboto"/>
          <w:color w:val="0D0D0D"/>
          <w:sz w:val="24"/>
          <w:szCs w:val="24"/>
          <w:highlight w:val="white"/>
        </w:rPr>
        <w:t>Olaniyi</w:t>
      </w:r>
      <w:proofErr w:type="spellEnd"/>
      <w:r w:rsidRPr="00492DC0">
        <w:rPr>
          <w:rFonts w:eastAsia="Roboto"/>
          <w:color w:val="0D0D0D"/>
          <w:sz w:val="24"/>
          <w:szCs w:val="24"/>
          <w:highlight w:val="white"/>
        </w:rPr>
        <w:t xml:space="preserve">, O. O. (2024). Strengthening Cybersecurity Measures for the </w:t>
      </w:r>
      <w:proofErr w:type="spellStart"/>
      <w:r w:rsidRPr="00492DC0">
        <w:rPr>
          <w:rFonts w:eastAsia="Roboto"/>
          <w:color w:val="0D0D0D"/>
          <w:sz w:val="24"/>
          <w:szCs w:val="24"/>
          <w:highlight w:val="white"/>
        </w:rPr>
        <w:t>Defense</w:t>
      </w:r>
      <w:proofErr w:type="spellEnd"/>
      <w:r w:rsidRPr="00492DC0">
        <w:rPr>
          <w:rFonts w:eastAsia="Roboto"/>
          <w:color w:val="0D0D0D"/>
          <w:sz w:val="24"/>
          <w:szCs w:val="24"/>
          <w:highlight w:val="white"/>
        </w:rPr>
        <w:t xml:space="preserve"> of Critical Infrastructure in the United States.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17</w:t>
      </w:r>
      <w:r w:rsidRPr="00492DC0">
        <w:rPr>
          <w:rFonts w:eastAsia="Roboto"/>
          <w:color w:val="0D0D0D"/>
          <w:sz w:val="24"/>
          <w:szCs w:val="24"/>
          <w:highlight w:val="white"/>
        </w:rPr>
        <w:t xml:space="preserve">(11), 25–45. </w:t>
      </w:r>
      <w:hyperlink r:id="rId98">
        <w:r w:rsidRPr="00492DC0">
          <w:rPr>
            <w:rFonts w:eastAsia="Roboto"/>
            <w:color w:val="1155CC"/>
            <w:sz w:val="24"/>
            <w:szCs w:val="24"/>
            <w:highlight w:val="white"/>
            <w:u w:val="single"/>
          </w:rPr>
          <w:t>https://doi.org/10.9734/ajrcos/2024/v17i11517</w:t>
        </w:r>
      </w:hyperlink>
      <w:r w:rsidRPr="00492DC0">
        <w:rPr>
          <w:rFonts w:eastAsia="Roboto"/>
          <w:color w:val="0D0D0D"/>
          <w:sz w:val="24"/>
          <w:szCs w:val="24"/>
          <w:highlight w:val="white"/>
        </w:rPr>
        <w:t xml:space="preserve"> </w:t>
      </w:r>
    </w:p>
    <w:p w14:paraId="56456EFB" w14:textId="77777777" w:rsidR="00C91EC2" w:rsidRPr="001179DC" w:rsidRDefault="0000391E" w:rsidP="00004EA2">
      <w:pPr>
        <w:spacing w:before="240" w:line="240" w:lineRule="auto"/>
        <w:ind w:left="720" w:hanging="720"/>
        <w:rPr>
          <w:rFonts w:eastAsia="Roboto"/>
          <w:color w:val="0D0D0D"/>
          <w:sz w:val="24"/>
          <w:szCs w:val="24"/>
          <w:highlight w:val="white"/>
          <w:lang w:val="es-ES"/>
        </w:rPr>
      </w:pPr>
      <w:r w:rsidRPr="00492DC0">
        <w:rPr>
          <w:rFonts w:eastAsia="Roboto"/>
          <w:color w:val="0D0D0D"/>
          <w:sz w:val="24"/>
          <w:szCs w:val="24"/>
          <w:highlight w:val="white"/>
        </w:rPr>
        <w:t xml:space="preserve">Verizon. (2023). </w:t>
      </w:r>
      <w:r w:rsidRPr="00492DC0">
        <w:rPr>
          <w:rFonts w:eastAsia="Roboto"/>
          <w:i/>
          <w:color w:val="0D0D0D"/>
          <w:sz w:val="24"/>
          <w:szCs w:val="24"/>
          <w:highlight w:val="white"/>
        </w:rPr>
        <w:t>2023 Data Breach Investigations Report: frequency and cost of social engineering attacks skyrocket</w:t>
      </w:r>
      <w:r w:rsidRPr="00492DC0">
        <w:rPr>
          <w:rFonts w:eastAsia="Roboto"/>
          <w:color w:val="0D0D0D"/>
          <w:sz w:val="24"/>
          <w:szCs w:val="24"/>
          <w:highlight w:val="white"/>
        </w:rPr>
        <w:t xml:space="preserve">. </w:t>
      </w:r>
      <w:proofErr w:type="gramStart"/>
      <w:r w:rsidRPr="001179DC">
        <w:rPr>
          <w:rFonts w:eastAsia="Roboto"/>
          <w:color w:val="0D0D0D"/>
          <w:sz w:val="24"/>
          <w:szCs w:val="24"/>
          <w:highlight w:val="white"/>
          <w:lang w:val="es-ES"/>
        </w:rPr>
        <w:t>VERIZON .</w:t>
      </w:r>
      <w:proofErr w:type="gramEnd"/>
      <w:r w:rsidRPr="001179DC">
        <w:rPr>
          <w:rFonts w:eastAsia="Roboto"/>
          <w:color w:val="0D0D0D"/>
          <w:sz w:val="24"/>
          <w:szCs w:val="24"/>
          <w:highlight w:val="white"/>
          <w:lang w:val="es-ES"/>
        </w:rPr>
        <w:t xml:space="preserve"> </w:t>
      </w:r>
      <w:hyperlink r:id="rId99">
        <w:r w:rsidRPr="001179DC">
          <w:rPr>
            <w:rFonts w:eastAsia="Roboto"/>
            <w:color w:val="1155CC"/>
            <w:sz w:val="24"/>
            <w:szCs w:val="24"/>
            <w:highlight w:val="white"/>
            <w:u w:val="single"/>
            <w:lang w:val="es-ES"/>
          </w:rPr>
          <w:t>https://www.verizon.com/about/news/2023-data-breach-investigations-report?msockid=2e7b7a8ff19a6b6922d36e50f02e6a07</w:t>
        </w:r>
      </w:hyperlink>
      <w:r w:rsidRPr="001179DC">
        <w:rPr>
          <w:rFonts w:eastAsia="Roboto"/>
          <w:color w:val="0D0D0D"/>
          <w:sz w:val="24"/>
          <w:szCs w:val="24"/>
          <w:highlight w:val="white"/>
          <w:lang w:val="es-ES"/>
        </w:rPr>
        <w:t xml:space="preserve"> </w:t>
      </w:r>
    </w:p>
    <w:p w14:paraId="40BF7BC9" w14:textId="77777777" w:rsidR="00C91EC2" w:rsidRPr="00492DC0" w:rsidRDefault="0000391E" w:rsidP="00004EA2">
      <w:pPr>
        <w:spacing w:before="240" w:line="240" w:lineRule="auto"/>
        <w:ind w:left="720" w:hanging="720"/>
        <w:rPr>
          <w:rFonts w:eastAsia="Roboto"/>
          <w:color w:val="0D0D0D"/>
          <w:sz w:val="24"/>
          <w:szCs w:val="24"/>
          <w:highlight w:val="white"/>
        </w:rPr>
      </w:pPr>
      <w:r w:rsidRPr="001179DC">
        <w:rPr>
          <w:rFonts w:eastAsia="Roboto"/>
          <w:color w:val="0D0D0D"/>
          <w:sz w:val="24"/>
          <w:szCs w:val="24"/>
          <w:highlight w:val="white"/>
          <w:lang w:val="es-ES"/>
        </w:rPr>
        <w:t xml:space="preserve">Villanueva, J. (2025). </w:t>
      </w:r>
      <w:r w:rsidRPr="00492DC0">
        <w:rPr>
          <w:rFonts w:eastAsia="Roboto"/>
          <w:i/>
          <w:color w:val="0D0D0D"/>
          <w:sz w:val="24"/>
          <w:szCs w:val="24"/>
          <w:highlight w:val="white"/>
        </w:rPr>
        <w:t>Philippine Threat Landscape Report 2024-2025</w:t>
      </w:r>
      <w:r w:rsidRPr="00492DC0">
        <w:rPr>
          <w:rFonts w:eastAsia="Roboto"/>
          <w:color w:val="0D0D0D"/>
          <w:sz w:val="24"/>
          <w:szCs w:val="24"/>
          <w:highlight w:val="white"/>
        </w:rPr>
        <w:t xml:space="preserve">. </w:t>
      </w:r>
      <w:proofErr w:type="spellStart"/>
      <w:r w:rsidRPr="00492DC0">
        <w:rPr>
          <w:rFonts w:eastAsia="Roboto"/>
          <w:color w:val="0D0D0D"/>
          <w:sz w:val="24"/>
          <w:szCs w:val="24"/>
          <w:highlight w:val="white"/>
        </w:rPr>
        <w:t>Cyberint</w:t>
      </w:r>
      <w:proofErr w:type="spellEnd"/>
      <w:r w:rsidRPr="00492DC0">
        <w:rPr>
          <w:rFonts w:eastAsia="Roboto"/>
          <w:color w:val="0D0D0D"/>
          <w:sz w:val="24"/>
          <w:szCs w:val="24"/>
          <w:highlight w:val="white"/>
        </w:rPr>
        <w:t xml:space="preserve">. </w:t>
      </w:r>
      <w:hyperlink r:id="rId100">
        <w:r w:rsidRPr="00492DC0">
          <w:rPr>
            <w:rFonts w:eastAsia="Roboto"/>
            <w:color w:val="1155CC"/>
            <w:sz w:val="24"/>
            <w:szCs w:val="24"/>
            <w:highlight w:val="white"/>
            <w:u w:val="single"/>
          </w:rPr>
          <w:t>https://cyberint.com/blog/threat-intelligence/philippine-threat-landscape-report-2024-2025/</w:t>
        </w:r>
      </w:hyperlink>
      <w:r w:rsidRPr="00492DC0">
        <w:rPr>
          <w:rFonts w:eastAsia="Roboto"/>
          <w:color w:val="0D0D0D"/>
          <w:sz w:val="24"/>
          <w:szCs w:val="24"/>
          <w:highlight w:val="white"/>
        </w:rPr>
        <w:t xml:space="preserve"> </w:t>
      </w:r>
    </w:p>
    <w:p w14:paraId="0CFC976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Whittaker, L., Mulcahy, R., </w:t>
      </w:r>
      <w:proofErr w:type="spellStart"/>
      <w:r w:rsidRPr="00492DC0">
        <w:rPr>
          <w:rFonts w:eastAsia="Roboto"/>
          <w:color w:val="0D0D0D"/>
          <w:sz w:val="24"/>
          <w:szCs w:val="24"/>
          <w:highlight w:val="white"/>
        </w:rPr>
        <w:t>Letheren</w:t>
      </w:r>
      <w:proofErr w:type="spellEnd"/>
      <w:r w:rsidRPr="00492DC0">
        <w:rPr>
          <w:rFonts w:eastAsia="Roboto"/>
          <w:color w:val="0D0D0D"/>
          <w:sz w:val="24"/>
          <w:szCs w:val="24"/>
          <w:highlight w:val="white"/>
        </w:rPr>
        <w:t xml:space="preserve">, K., </w:t>
      </w:r>
      <w:proofErr w:type="spellStart"/>
      <w:r w:rsidRPr="00492DC0">
        <w:rPr>
          <w:rFonts w:eastAsia="Roboto"/>
          <w:color w:val="0D0D0D"/>
          <w:sz w:val="24"/>
          <w:szCs w:val="24"/>
          <w:highlight w:val="white"/>
        </w:rPr>
        <w:t>Kietzmann</w:t>
      </w:r>
      <w:proofErr w:type="spellEnd"/>
      <w:r w:rsidRPr="00492DC0">
        <w:rPr>
          <w:rFonts w:eastAsia="Roboto"/>
          <w:color w:val="0D0D0D"/>
          <w:sz w:val="24"/>
          <w:szCs w:val="24"/>
          <w:highlight w:val="white"/>
        </w:rPr>
        <w:t xml:space="preserve">, J., &amp; Russell-Bennett, R. (2023). Mapping the </w:t>
      </w:r>
      <w:proofErr w:type="spellStart"/>
      <w:r w:rsidRPr="00492DC0">
        <w:rPr>
          <w:rFonts w:eastAsia="Roboto"/>
          <w:color w:val="0D0D0D"/>
          <w:sz w:val="24"/>
          <w:szCs w:val="24"/>
          <w:highlight w:val="white"/>
        </w:rPr>
        <w:t>deepfake</w:t>
      </w:r>
      <w:proofErr w:type="spellEnd"/>
      <w:r w:rsidRPr="00492DC0">
        <w:rPr>
          <w:rFonts w:eastAsia="Roboto"/>
          <w:color w:val="0D0D0D"/>
          <w:sz w:val="24"/>
          <w:szCs w:val="24"/>
          <w:highlight w:val="white"/>
        </w:rPr>
        <w:t xml:space="preserve"> landscape for innovation: A multidisciplinary systematic review and future research agenda. </w:t>
      </w:r>
      <w:proofErr w:type="spellStart"/>
      <w:r w:rsidRPr="00492DC0">
        <w:rPr>
          <w:rFonts w:eastAsia="Roboto"/>
          <w:i/>
          <w:color w:val="0D0D0D"/>
          <w:sz w:val="24"/>
          <w:szCs w:val="24"/>
          <w:highlight w:val="white"/>
        </w:rPr>
        <w:t>Technovation</w:t>
      </w:r>
      <w:proofErr w:type="spellEnd"/>
      <w:r w:rsidRPr="00492DC0">
        <w:rPr>
          <w:rFonts w:eastAsia="Roboto"/>
          <w:color w:val="0D0D0D"/>
          <w:sz w:val="24"/>
          <w:szCs w:val="24"/>
          <w:highlight w:val="white"/>
        </w:rPr>
        <w:t xml:space="preserve">, </w:t>
      </w:r>
      <w:r w:rsidRPr="00492DC0">
        <w:rPr>
          <w:rFonts w:eastAsia="Roboto"/>
          <w:i/>
          <w:color w:val="0D0D0D"/>
          <w:sz w:val="24"/>
          <w:szCs w:val="24"/>
          <w:highlight w:val="white"/>
        </w:rPr>
        <w:t>125</w:t>
      </w:r>
      <w:r w:rsidRPr="00492DC0">
        <w:rPr>
          <w:rFonts w:eastAsia="Roboto"/>
          <w:color w:val="0D0D0D"/>
          <w:sz w:val="24"/>
          <w:szCs w:val="24"/>
          <w:highlight w:val="white"/>
        </w:rPr>
        <w:t xml:space="preserve">, 102784. </w:t>
      </w:r>
      <w:hyperlink r:id="rId101">
        <w:r w:rsidRPr="00492DC0">
          <w:rPr>
            <w:rFonts w:eastAsia="Roboto"/>
            <w:color w:val="1155CC"/>
            <w:sz w:val="24"/>
            <w:szCs w:val="24"/>
            <w:highlight w:val="white"/>
            <w:u w:val="single"/>
          </w:rPr>
          <w:t>https://doi.org/10.1016/j.technovation.2023.102784</w:t>
        </w:r>
      </w:hyperlink>
      <w:r w:rsidRPr="00492DC0">
        <w:rPr>
          <w:rFonts w:eastAsia="Roboto"/>
          <w:color w:val="0D0D0D"/>
          <w:sz w:val="24"/>
          <w:szCs w:val="24"/>
          <w:highlight w:val="white"/>
        </w:rPr>
        <w:t xml:space="preserve"> </w:t>
      </w:r>
    </w:p>
    <w:p w14:paraId="5148110B" w14:textId="77777777" w:rsidR="00C91EC2" w:rsidRPr="00492DC0" w:rsidRDefault="0000391E" w:rsidP="00004EA2">
      <w:pPr>
        <w:spacing w:before="240" w:line="240" w:lineRule="auto"/>
        <w:ind w:left="720" w:hanging="720"/>
        <w:rPr>
          <w:rFonts w:eastAsia="Roboto"/>
          <w:color w:val="0D0D0D"/>
          <w:sz w:val="24"/>
          <w:szCs w:val="24"/>
          <w:highlight w:val="white"/>
        </w:rPr>
      </w:pPr>
      <w:proofErr w:type="gramStart"/>
      <w:r w:rsidRPr="00492DC0">
        <w:rPr>
          <w:rFonts w:eastAsia="Roboto"/>
          <w:color w:val="0D0D0D"/>
          <w:sz w:val="24"/>
          <w:szCs w:val="24"/>
          <w:highlight w:val="white"/>
        </w:rPr>
        <w:t>Williams ,</w:t>
      </w:r>
      <w:proofErr w:type="gramEnd"/>
      <w:r w:rsidRPr="00492DC0">
        <w:rPr>
          <w:rFonts w:eastAsia="Roboto"/>
          <w:color w:val="0D0D0D"/>
          <w:sz w:val="24"/>
          <w:szCs w:val="24"/>
          <w:highlight w:val="white"/>
        </w:rPr>
        <w:t xml:space="preserve"> T. (2024). </w:t>
      </w:r>
      <w:r w:rsidRPr="00492DC0">
        <w:rPr>
          <w:rFonts w:eastAsia="Roboto"/>
          <w:i/>
          <w:color w:val="0D0D0D"/>
          <w:sz w:val="24"/>
          <w:szCs w:val="24"/>
          <w:highlight w:val="white"/>
        </w:rPr>
        <w:t>Services Australia breaches spike using stolen account details</w:t>
      </w:r>
      <w:r w:rsidRPr="00492DC0">
        <w:rPr>
          <w:rFonts w:eastAsia="Roboto"/>
          <w:color w:val="0D0D0D"/>
          <w:sz w:val="24"/>
          <w:szCs w:val="24"/>
          <w:highlight w:val="white"/>
        </w:rPr>
        <w:t xml:space="preserve">. Information Age. </w:t>
      </w:r>
      <w:hyperlink r:id="rId102">
        <w:r w:rsidRPr="00492DC0">
          <w:rPr>
            <w:rFonts w:eastAsia="Roboto"/>
            <w:color w:val="1155CC"/>
            <w:sz w:val="24"/>
            <w:szCs w:val="24"/>
            <w:highlight w:val="white"/>
            <w:u w:val="single"/>
          </w:rPr>
          <w:t>https://ia.acs.org.au/article/2024/services-australia-breaches-spike-using-stolen-account-details.html</w:t>
        </w:r>
      </w:hyperlink>
      <w:r w:rsidRPr="00492DC0">
        <w:rPr>
          <w:rFonts w:eastAsia="Roboto"/>
          <w:color w:val="0D0D0D"/>
          <w:sz w:val="24"/>
          <w:szCs w:val="24"/>
          <w:highlight w:val="white"/>
        </w:rPr>
        <w:t xml:space="preserve"> </w:t>
      </w:r>
    </w:p>
    <w:p w14:paraId="54C2C4A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Writer, G. (2024). </w:t>
      </w:r>
      <w:proofErr w:type="spellStart"/>
      <w:r w:rsidRPr="00492DC0">
        <w:rPr>
          <w:rFonts w:eastAsia="Roboto"/>
          <w:i/>
          <w:color w:val="0D0D0D"/>
          <w:sz w:val="24"/>
          <w:szCs w:val="24"/>
          <w:highlight w:val="white"/>
        </w:rPr>
        <w:t>Cyberint’s</w:t>
      </w:r>
      <w:proofErr w:type="spellEnd"/>
      <w:r w:rsidRPr="00492DC0">
        <w:rPr>
          <w:rFonts w:eastAsia="Roboto"/>
          <w:i/>
          <w:color w:val="0D0D0D"/>
          <w:sz w:val="24"/>
          <w:szCs w:val="24"/>
          <w:highlight w:val="white"/>
        </w:rPr>
        <w:t xml:space="preserve"> 2024 Report Highlights Surge in Credential Theft and Rise of AI-Powered Phishing</w:t>
      </w:r>
      <w:r w:rsidRPr="00492DC0">
        <w:rPr>
          <w:rFonts w:eastAsia="Roboto"/>
          <w:color w:val="0D0D0D"/>
          <w:sz w:val="24"/>
          <w:szCs w:val="24"/>
          <w:highlight w:val="white"/>
        </w:rPr>
        <w:t xml:space="preserve">. IT Security Guru. </w:t>
      </w:r>
      <w:hyperlink r:id="rId103">
        <w:r w:rsidRPr="00492DC0">
          <w:rPr>
            <w:rFonts w:eastAsia="Roboto"/>
            <w:color w:val="1155CC"/>
            <w:sz w:val="24"/>
            <w:szCs w:val="24"/>
            <w:highlight w:val="white"/>
            <w:u w:val="single"/>
          </w:rPr>
          <w:t>https://www.itsecurityguru.org/2024/12/13/cyberints-2024-report-highlights-surge-in-credential-theft-and-rise-of-ai-powered-phishing/</w:t>
        </w:r>
      </w:hyperlink>
      <w:r w:rsidRPr="00492DC0">
        <w:rPr>
          <w:rFonts w:eastAsia="Roboto"/>
          <w:color w:val="0D0D0D"/>
          <w:sz w:val="24"/>
          <w:szCs w:val="24"/>
          <w:highlight w:val="white"/>
        </w:rPr>
        <w:t xml:space="preserve">  </w:t>
      </w:r>
    </w:p>
    <w:p w14:paraId="4EFF764A" w14:textId="77777777" w:rsidR="00C91EC2" w:rsidRPr="001179DC" w:rsidRDefault="0000391E" w:rsidP="00004EA2">
      <w:pPr>
        <w:spacing w:before="240" w:line="240" w:lineRule="auto"/>
        <w:ind w:left="720" w:hanging="720"/>
        <w:rPr>
          <w:rFonts w:eastAsia="Roboto"/>
          <w:color w:val="0D0D0D"/>
          <w:sz w:val="24"/>
          <w:szCs w:val="24"/>
          <w:highlight w:val="white"/>
          <w:lang w:val="fr-FR"/>
        </w:rPr>
      </w:pPr>
      <w:r w:rsidRPr="00492DC0">
        <w:rPr>
          <w:rFonts w:eastAsia="Roboto"/>
          <w:color w:val="0D0D0D"/>
          <w:sz w:val="24"/>
          <w:szCs w:val="24"/>
          <w:highlight w:val="white"/>
        </w:rPr>
        <w:t xml:space="preserve">Yao, M. (2017). Your Electronic Medical Records Could Be Worth $1000 To Hackers. </w:t>
      </w:r>
      <w:r w:rsidRPr="001179DC">
        <w:rPr>
          <w:rFonts w:eastAsia="Roboto"/>
          <w:i/>
          <w:color w:val="0D0D0D"/>
          <w:sz w:val="24"/>
          <w:szCs w:val="24"/>
          <w:highlight w:val="white"/>
          <w:lang w:val="fr-FR"/>
        </w:rPr>
        <w:t>Forbes</w:t>
      </w:r>
      <w:r w:rsidRPr="001179DC">
        <w:rPr>
          <w:rFonts w:eastAsia="Roboto"/>
          <w:color w:val="0D0D0D"/>
          <w:sz w:val="24"/>
          <w:szCs w:val="24"/>
          <w:highlight w:val="white"/>
          <w:lang w:val="fr-FR"/>
        </w:rPr>
        <w:t xml:space="preserve">. </w:t>
      </w:r>
      <w:hyperlink r:id="rId104">
        <w:r w:rsidRPr="001179DC">
          <w:rPr>
            <w:rFonts w:eastAsia="Roboto"/>
            <w:color w:val="1155CC"/>
            <w:sz w:val="24"/>
            <w:szCs w:val="24"/>
            <w:highlight w:val="white"/>
            <w:u w:val="single"/>
            <w:lang w:val="fr-FR"/>
          </w:rPr>
          <w:t>https://www.forbes.com/sites/mariyayao/2017/04/14/your-electronic-medical-records-can-be-worth-1000-to-hackers/</w:t>
        </w:r>
      </w:hyperlink>
      <w:r w:rsidRPr="001179DC">
        <w:rPr>
          <w:rFonts w:eastAsia="Roboto"/>
          <w:color w:val="0D0D0D"/>
          <w:sz w:val="24"/>
          <w:szCs w:val="24"/>
          <w:highlight w:val="white"/>
          <w:lang w:val="fr-FR"/>
        </w:rPr>
        <w:t xml:space="preserve"> </w:t>
      </w:r>
    </w:p>
    <w:p w14:paraId="3969C821"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Yusop</w:t>
      </w:r>
      <w:proofErr w:type="spellEnd"/>
      <w:r w:rsidRPr="00492DC0">
        <w:rPr>
          <w:rFonts w:eastAsia="Roboto"/>
          <w:color w:val="0D0D0D"/>
          <w:sz w:val="24"/>
          <w:szCs w:val="24"/>
          <w:highlight w:val="white"/>
        </w:rPr>
        <w:t xml:space="preserve">, M. I. M., </w:t>
      </w:r>
      <w:proofErr w:type="spellStart"/>
      <w:r w:rsidRPr="00492DC0">
        <w:rPr>
          <w:rFonts w:eastAsia="Roboto"/>
          <w:color w:val="0D0D0D"/>
          <w:sz w:val="24"/>
          <w:szCs w:val="24"/>
          <w:highlight w:val="white"/>
        </w:rPr>
        <w:t>Kamarudin</w:t>
      </w:r>
      <w:proofErr w:type="spellEnd"/>
      <w:r w:rsidRPr="00492DC0">
        <w:rPr>
          <w:rFonts w:eastAsia="Roboto"/>
          <w:color w:val="0D0D0D"/>
          <w:sz w:val="24"/>
          <w:szCs w:val="24"/>
          <w:highlight w:val="white"/>
        </w:rPr>
        <w:t xml:space="preserve">, N. H., </w:t>
      </w:r>
      <w:proofErr w:type="spellStart"/>
      <w:r w:rsidRPr="00492DC0">
        <w:rPr>
          <w:rFonts w:eastAsia="Roboto"/>
          <w:color w:val="0D0D0D"/>
          <w:sz w:val="24"/>
          <w:szCs w:val="24"/>
          <w:highlight w:val="white"/>
        </w:rPr>
        <w:t>Suhaimi</w:t>
      </w:r>
      <w:proofErr w:type="spellEnd"/>
      <w:r w:rsidRPr="00492DC0">
        <w:rPr>
          <w:rFonts w:eastAsia="Roboto"/>
          <w:color w:val="0D0D0D"/>
          <w:sz w:val="24"/>
          <w:szCs w:val="24"/>
          <w:highlight w:val="white"/>
        </w:rPr>
        <w:t xml:space="preserve">, N. H. S., &amp; Hasan, M. K. (2025). Advancing </w:t>
      </w:r>
      <w:proofErr w:type="spellStart"/>
      <w:r w:rsidRPr="00492DC0">
        <w:rPr>
          <w:rFonts w:eastAsia="Roboto"/>
          <w:color w:val="0D0D0D"/>
          <w:sz w:val="24"/>
          <w:szCs w:val="24"/>
          <w:highlight w:val="white"/>
        </w:rPr>
        <w:t>Passwordless</w:t>
      </w:r>
      <w:proofErr w:type="spellEnd"/>
      <w:r w:rsidRPr="00492DC0">
        <w:rPr>
          <w:rFonts w:eastAsia="Roboto"/>
          <w:color w:val="0D0D0D"/>
          <w:sz w:val="24"/>
          <w:szCs w:val="24"/>
          <w:highlight w:val="white"/>
        </w:rPr>
        <w:t xml:space="preserve"> Authentication: A Systematic Review of Methods, Challenges, and Future Directions for Secure User Identity. </w:t>
      </w:r>
      <w:r w:rsidRPr="00492DC0">
        <w:rPr>
          <w:rFonts w:eastAsia="Roboto"/>
          <w:i/>
          <w:color w:val="0D0D0D"/>
          <w:sz w:val="24"/>
          <w:szCs w:val="24"/>
          <w:highlight w:val="white"/>
        </w:rPr>
        <w:t>IEEE Access</w:t>
      </w:r>
      <w:r w:rsidRPr="00492DC0">
        <w:rPr>
          <w:rFonts w:eastAsia="Roboto"/>
          <w:color w:val="0D0D0D"/>
          <w:sz w:val="24"/>
          <w:szCs w:val="24"/>
          <w:highlight w:val="white"/>
        </w:rPr>
        <w:t xml:space="preserve">, </w:t>
      </w:r>
      <w:r w:rsidRPr="00492DC0">
        <w:rPr>
          <w:rFonts w:eastAsia="Roboto"/>
          <w:i/>
          <w:color w:val="0D0D0D"/>
          <w:sz w:val="24"/>
          <w:szCs w:val="24"/>
          <w:highlight w:val="white"/>
        </w:rPr>
        <w:t>13</w:t>
      </w:r>
      <w:r w:rsidRPr="00492DC0">
        <w:rPr>
          <w:rFonts w:eastAsia="Roboto"/>
          <w:color w:val="0D0D0D"/>
          <w:sz w:val="24"/>
          <w:szCs w:val="24"/>
          <w:highlight w:val="white"/>
        </w:rPr>
        <w:t xml:space="preserve">, 13919–13943. </w:t>
      </w:r>
      <w:hyperlink r:id="rId105">
        <w:r w:rsidRPr="00492DC0">
          <w:rPr>
            <w:rFonts w:eastAsia="Roboto"/>
            <w:color w:val="1155CC"/>
            <w:sz w:val="24"/>
            <w:szCs w:val="24"/>
            <w:highlight w:val="white"/>
            <w:u w:val="single"/>
          </w:rPr>
          <w:t>https://doi.org/10.1109/access.2025.3528960</w:t>
        </w:r>
      </w:hyperlink>
      <w:r w:rsidRPr="00492DC0">
        <w:rPr>
          <w:rFonts w:eastAsia="Roboto"/>
          <w:color w:val="0D0D0D"/>
          <w:sz w:val="24"/>
          <w:szCs w:val="24"/>
          <w:highlight w:val="white"/>
        </w:rPr>
        <w:t xml:space="preserve"> </w:t>
      </w:r>
    </w:p>
    <w:p w14:paraId="2A2F6C43"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Zhang, J., &amp; </w:t>
      </w:r>
      <w:proofErr w:type="spellStart"/>
      <w:r w:rsidRPr="00492DC0">
        <w:rPr>
          <w:rFonts w:eastAsia="Roboto"/>
          <w:color w:val="0D0D0D"/>
          <w:sz w:val="24"/>
          <w:szCs w:val="24"/>
          <w:highlight w:val="white"/>
        </w:rPr>
        <w:t>Tenney</w:t>
      </w:r>
      <w:proofErr w:type="spellEnd"/>
      <w:r w:rsidRPr="00492DC0">
        <w:rPr>
          <w:rFonts w:eastAsia="Roboto"/>
          <w:color w:val="0D0D0D"/>
          <w:sz w:val="24"/>
          <w:szCs w:val="24"/>
          <w:highlight w:val="white"/>
        </w:rPr>
        <w:t xml:space="preserve">, D. (2023). The Evolution of Integrated Advance Persistent Threat and Its </w:t>
      </w:r>
      <w:proofErr w:type="spellStart"/>
      <w:r w:rsidRPr="00492DC0">
        <w:rPr>
          <w:rFonts w:eastAsia="Roboto"/>
          <w:color w:val="0D0D0D"/>
          <w:sz w:val="24"/>
          <w:szCs w:val="24"/>
          <w:highlight w:val="white"/>
        </w:rPr>
        <w:t>Defense</w:t>
      </w:r>
      <w:proofErr w:type="spellEnd"/>
      <w:r w:rsidRPr="00492DC0">
        <w:rPr>
          <w:rFonts w:eastAsia="Roboto"/>
          <w:color w:val="0D0D0D"/>
          <w:sz w:val="24"/>
          <w:szCs w:val="24"/>
          <w:highlight w:val="white"/>
        </w:rPr>
        <w:t xml:space="preserve"> Solutions: A Literature Review. </w:t>
      </w:r>
      <w:r w:rsidRPr="00492DC0">
        <w:rPr>
          <w:rFonts w:eastAsia="Roboto"/>
          <w:i/>
          <w:color w:val="0D0D0D"/>
          <w:sz w:val="24"/>
          <w:szCs w:val="24"/>
          <w:highlight w:val="white"/>
        </w:rPr>
        <w:t>Open Journal of Business and Management</w:t>
      </w:r>
      <w:r w:rsidRPr="00492DC0">
        <w:rPr>
          <w:rFonts w:eastAsia="Roboto"/>
          <w:color w:val="0D0D0D"/>
          <w:sz w:val="24"/>
          <w:szCs w:val="24"/>
          <w:highlight w:val="white"/>
        </w:rPr>
        <w:t xml:space="preserve">, </w:t>
      </w:r>
      <w:r w:rsidRPr="00492DC0">
        <w:rPr>
          <w:rFonts w:eastAsia="Roboto"/>
          <w:i/>
          <w:color w:val="0D0D0D"/>
          <w:sz w:val="24"/>
          <w:szCs w:val="24"/>
          <w:highlight w:val="white"/>
        </w:rPr>
        <w:t>12</w:t>
      </w:r>
      <w:r w:rsidRPr="00492DC0">
        <w:rPr>
          <w:rFonts w:eastAsia="Roboto"/>
          <w:color w:val="0D0D0D"/>
          <w:sz w:val="24"/>
          <w:szCs w:val="24"/>
          <w:highlight w:val="white"/>
        </w:rPr>
        <w:t xml:space="preserve">(1), 293–338. </w:t>
      </w:r>
      <w:hyperlink r:id="rId106">
        <w:r w:rsidRPr="00492DC0">
          <w:rPr>
            <w:rFonts w:eastAsia="Roboto"/>
            <w:color w:val="1155CC"/>
            <w:sz w:val="24"/>
            <w:szCs w:val="24"/>
            <w:highlight w:val="white"/>
            <w:u w:val="single"/>
          </w:rPr>
          <w:t>https://doi.org/10.4236/ojbm.2024.121021</w:t>
        </w:r>
      </w:hyperlink>
      <w:r w:rsidRPr="00492DC0">
        <w:rPr>
          <w:rFonts w:eastAsia="Roboto"/>
          <w:color w:val="0D0D0D"/>
          <w:sz w:val="24"/>
          <w:szCs w:val="24"/>
          <w:highlight w:val="white"/>
        </w:rPr>
        <w:t xml:space="preserve"> </w:t>
      </w:r>
    </w:p>
    <w:p w14:paraId="78590ABF" w14:textId="77777777" w:rsidR="00C91EC2" w:rsidRPr="00492DC0" w:rsidRDefault="0000391E" w:rsidP="00004EA2">
      <w:pPr>
        <w:spacing w:before="240" w:line="240" w:lineRule="auto"/>
        <w:ind w:left="720" w:hanging="720"/>
        <w:rPr>
          <w:rFonts w:eastAsia="Roboto"/>
          <w:color w:val="0D0D0D"/>
          <w:sz w:val="24"/>
          <w:szCs w:val="24"/>
          <w:highlight w:val="white"/>
        </w:rPr>
      </w:pPr>
      <w:proofErr w:type="spellStart"/>
      <w:r w:rsidRPr="00492DC0">
        <w:rPr>
          <w:rFonts w:eastAsia="Roboto"/>
          <w:color w:val="0D0D0D"/>
          <w:sz w:val="24"/>
          <w:szCs w:val="24"/>
          <w:highlight w:val="white"/>
        </w:rPr>
        <w:t>Zscaler</w:t>
      </w:r>
      <w:proofErr w:type="spellEnd"/>
      <w:r w:rsidRPr="00492DC0">
        <w:rPr>
          <w:rFonts w:eastAsia="Roboto"/>
          <w:color w:val="0D0D0D"/>
          <w:sz w:val="24"/>
          <w:szCs w:val="24"/>
          <w:highlight w:val="white"/>
        </w:rPr>
        <w:t xml:space="preserve">. (2024). </w:t>
      </w:r>
      <w:proofErr w:type="spellStart"/>
      <w:r w:rsidRPr="00492DC0">
        <w:rPr>
          <w:rFonts w:eastAsia="Roboto"/>
          <w:i/>
          <w:color w:val="0D0D0D"/>
          <w:sz w:val="24"/>
          <w:szCs w:val="24"/>
          <w:highlight w:val="white"/>
        </w:rPr>
        <w:t>Zscaler</w:t>
      </w:r>
      <w:proofErr w:type="spellEnd"/>
      <w:r w:rsidRPr="00492DC0">
        <w:rPr>
          <w:rFonts w:eastAsia="Roboto"/>
          <w:i/>
          <w:color w:val="0D0D0D"/>
          <w:sz w:val="24"/>
          <w:szCs w:val="24"/>
          <w:highlight w:val="white"/>
        </w:rPr>
        <w:t xml:space="preserve"> Study Finds 90% of Global Enterprises are Adopting Zero Trust, Yet Have Not Unlocked the Full Business Potential</w:t>
      </w:r>
      <w:r w:rsidRPr="00492DC0">
        <w:rPr>
          <w:rFonts w:eastAsia="Roboto"/>
          <w:color w:val="0D0D0D"/>
          <w:sz w:val="24"/>
          <w:szCs w:val="24"/>
          <w:highlight w:val="white"/>
        </w:rPr>
        <w:t xml:space="preserve">. Zscaler.com. </w:t>
      </w:r>
      <w:hyperlink r:id="rId107">
        <w:r w:rsidRPr="00492DC0">
          <w:rPr>
            <w:rFonts w:eastAsia="Roboto"/>
            <w:color w:val="1155CC"/>
            <w:sz w:val="24"/>
            <w:szCs w:val="24"/>
            <w:highlight w:val="white"/>
            <w:u w:val="single"/>
          </w:rPr>
          <w:t>https://www.zscaler.com/press/zscaler-study-finds-90-percent-global-enterprises-are-adopting-zero-trust</w:t>
        </w:r>
      </w:hyperlink>
      <w:r w:rsidRPr="00492DC0">
        <w:rPr>
          <w:rFonts w:eastAsia="Roboto"/>
          <w:color w:val="0D0D0D"/>
          <w:sz w:val="24"/>
          <w:szCs w:val="24"/>
          <w:highlight w:val="white"/>
        </w:rPr>
        <w:t xml:space="preserve"> </w:t>
      </w:r>
    </w:p>
    <w:p w14:paraId="0AFE3B60" w14:textId="77777777" w:rsidR="00C91EC2" w:rsidRPr="00492DC0" w:rsidRDefault="00C91EC2">
      <w:pPr>
        <w:rPr>
          <w:rFonts w:eastAsia="Roboto"/>
          <w:color w:val="0D0D0D"/>
          <w:sz w:val="24"/>
          <w:szCs w:val="24"/>
          <w:highlight w:val="white"/>
        </w:rPr>
      </w:pPr>
    </w:p>
    <w:sectPr w:rsidR="00C91EC2" w:rsidRPr="00492DC0">
      <w:headerReference w:type="even" r:id="rId108"/>
      <w:headerReference w:type="default" r:id="rId109"/>
      <w:footerReference w:type="even" r:id="rId110"/>
      <w:footerReference w:type="default" r:id="rId111"/>
      <w:headerReference w:type="first" r:id="rId112"/>
      <w:footerReference w:type="first" r:id="rId1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8840F" w14:textId="77777777" w:rsidR="005F104C" w:rsidRDefault="005F104C" w:rsidP="0084494B">
      <w:pPr>
        <w:spacing w:line="240" w:lineRule="auto"/>
      </w:pPr>
      <w:r>
        <w:separator/>
      </w:r>
    </w:p>
  </w:endnote>
  <w:endnote w:type="continuationSeparator" w:id="0">
    <w:p w14:paraId="26969E57" w14:textId="77777777" w:rsidR="005F104C" w:rsidRDefault="005F104C" w:rsidP="008449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08BC6" w14:textId="77777777" w:rsidR="0084494B" w:rsidRDefault="008449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5F7D7" w14:textId="77777777" w:rsidR="0084494B" w:rsidRDefault="008449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53F59" w14:textId="77777777" w:rsidR="0084494B" w:rsidRDefault="008449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53F9EA" w14:textId="77777777" w:rsidR="005F104C" w:rsidRDefault="005F104C" w:rsidP="0084494B">
      <w:pPr>
        <w:spacing w:line="240" w:lineRule="auto"/>
      </w:pPr>
      <w:r>
        <w:separator/>
      </w:r>
    </w:p>
  </w:footnote>
  <w:footnote w:type="continuationSeparator" w:id="0">
    <w:p w14:paraId="132618BB" w14:textId="77777777" w:rsidR="005F104C" w:rsidRDefault="005F104C" w:rsidP="008449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CDD99" w14:textId="3CDB9078" w:rsidR="0084494B" w:rsidRDefault="0084494B">
    <w:pPr>
      <w:pStyle w:val="Header"/>
    </w:pPr>
    <w:r>
      <w:rPr>
        <w:noProof/>
      </w:rPr>
      <w:pict w14:anchorId="52485B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40232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B7F1E" w14:textId="35558920" w:rsidR="0084494B" w:rsidRDefault="0084494B">
    <w:pPr>
      <w:pStyle w:val="Header"/>
    </w:pPr>
    <w:r>
      <w:rPr>
        <w:noProof/>
      </w:rPr>
      <w:pict w14:anchorId="1C9C5A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40233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839DC" w14:textId="5F3F8421" w:rsidR="0084494B" w:rsidRDefault="0084494B">
    <w:pPr>
      <w:pStyle w:val="Header"/>
    </w:pPr>
    <w:r>
      <w:rPr>
        <w:noProof/>
      </w:rPr>
      <w:pict w14:anchorId="62653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40232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62ABA"/>
    <w:multiLevelType w:val="multilevel"/>
    <w:tmpl w:val="AA4C95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4D35A5A"/>
    <w:multiLevelType w:val="multilevel"/>
    <w:tmpl w:val="ED92AD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EC2"/>
    <w:rsid w:val="0000391E"/>
    <w:rsid w:val="00004EA2"/>
    <w:rsid w:val="001179DC"/>
    <w:rsid w:val="00255BB8"/>
    <w:rsid w:val="003272B8"/>
    <w:rsid w:val="00352BDF"/>
    <w:rsid w:val="00356EA6"/>
    <w:rsid w:val="00380C53"/>
    <w:rsid w:val="00492DC0"/>
    <w:rsid w:val="004C039D"/>
    <w:rsid w:val="005F104C"/>
    <w:rsid w:val="006D6A14"/>
    <w:rsid w:val="007256CE"/>
    <w:rsid w:val="00774FE2"/>
    <w:rsid w:val="0084494B"/>
    <w:rsid w:val="008B1EAE"/>
    <w:rsid w:val="0091721B"/>
    <w:rsid w:val="009A35CA"/>
    <w:rsid w:val="009C5696"/>
    <w:rsid w:val="00A33D81"/>
    <w:rsid w:val="00C91EC2"/>
    <w:rsid w:val="00DD6F1B"/>
    <w:rsid w:val="00EA3489"/>
    <w:rsid w:val="00F73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93B8670"/>
  <w15:docId w15:val="{BADD92F5-E74A-420D-80D2-39CB10CDD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customStyle="1" w:styleId="mord">
    <w:name w:val="mord"/>
    <w:basedOn w:val="DefaultParagraphFont"/>
    <w:rsid w:val="00380C53"/>
  </w:style>
  <w:style w:type="character" w:customStyle="1" w:styleId="vlist-s">
    <w:name w:val="vlist-s"/>
    <w:basedOn w:val="DefaultParagraphFont"/>
    <w:rsid w:val="00380C53"/>
  </w:style>
  <w:style w:type="character" w:customStyle="1" w:styleId="mrel">
    <w:name w:val="mrel"/>
    <w:basedOn w:val="DefaultParagraphFont"/>
    <w:rsid w:val="00380C53"/>
  </w:style>
  <w:style w:type="character" w:customStyle="1" w:styleId="mbin">
    <w:name w:val="mbin"/>
    <w:basedOn w:val="DefaultParagraphFont"/>
    <w:rsid w:val="00380C53"/>
  </w:style>
  <w:style w:type="character" w:customStyle="1" w:styleId="mop">
    <w:name w:val="mop"/>
    <w:basedOn w:val="DefaultParagraphFont"/>
    <w:rsid w:val="00380C53"/>
  </w:style>
  <w:style w:type="character" w:customStyle="1" w:styleId="mopen">
    <w:name w:val="mopen"/>
    <w:basedOn w:val="DefaultParagraphFont"/>
    <w:rsid w:val="00380C53"/>
  </w:style>
  <w:style w:type="character" w:customStyle="1" w:styleId="mclose">
    <w:name w:val="mclose"/>
    <w:basedOn w:val="DefaultParagraphFont"/>
    <w:rsid w:val="00380C53"/>
  </w:style>
  <w:style w:type="character" w:customStyle="1" w:styleId="delimsizing">
    <w:name w:val="delimsizing"/>
    <w:basedOn w:val="DefaultParagraphFont"/>
    <w:rsid w:val="00380C53"/>
  </w:style>
  <w:style w:type="table" w:styleId="TableGrid">
    <w:name w:val="Table Grid"/>
    <w:basedOn w:val="TableNormal"/>
    <w:uiPriority w:val="39"/>
    <w:rsid w:val="00380C53"/>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2DC0"/>
    <w:pPr>
      <w:ind w:left="720"/>
      <w:contextualSpacing/>
    </w:pPr>
  </w:style>
  <w:style w:type="character" w:styleId="Hyperlink">
    <w:name w:val="Hyperlink"/>
    <w:basedOn w:val="DefaultParagraphFont"/>
    <w:uiPriority w:val="99"/>
    <w:unhideWhenUsed/>
    <w:rsid w:val="009C5696"/>
    <w:rPr>
      <w:color w:val="0000FF" w:themeColor="hyperlink"/>
      <w:u w:val="single"/>
    </w:rPr>
  </w:style>
  <w:style w:type="paragraph" w:styleId="NoSpacing">
    <w:name w:val="No Spacing"/>
    <w:uiPriority w:val="1"/>
    <w:qFormat/>
    <w:rsid w:val="007256CE"/>
    <w:pPr>
      <w:spacing w:line="240" w:lineRule="auto"/>
    </w:pPr>
    <w:rPr>
      <w:rFonts w:asciiTheme="minorHAnsi" w:eastAsiaTheme="minorHAnsi" w:hAnsiTheme="minorHAnsi" w:cstheme="minorBidi"/>
      <w:kern w:val="2"/>
      <w:lang w:val="en-US"/>
      <w14:ligatures w14:val="standardContextual"/>
    </w:rPr>
  </w:style>
  <w:style w:type="character" w:styleId="UnresolvedMention">
    <w:name w:val="Unresolved Mention"/>
    <w:basedOn w:val="DefaultParagraphFont"/>
    <w:uiPriority w:val="99"/>
    <w:semiHidden/>
    <w:unhideWhenUsed/>
    <w:rsid w:val="00F73B46"/>
    <w:rPr>
      <w:color w:val="605E5C"/>
      <w:shd w:val="clear" w:color="auto" w:fill="E1DFDD"/>
    </w:rPr>
  </w:style>
  <w:style w:type="paragraph" w:styleId="Header">
    <w:name w:val="header"/>
    <w:basedOn w:val="Normal"/>
    <w:link w:val="HeaderChar"/>
    <w:uiPriority w:val="99"/>
    <w:unhideWhenUsed/>
    <w:rsid w:val="0084494B"/>
    <w:pPr>
      <w:tabs>
        <w:tab w:val="center" w:pos="4680"/>
        <w:tab w:val="right" w:pos="9360"/>
      </w:tabs>
      <w:spacing w:line="240" w:lineRule="auto"/>
    </w:pPr>
  </w:style>
  <w:style w:type="character" w:customStyle="1" w:styleId="HeaderChar">
    <w:name w:val="Header Char"/>
    <w:basedOn w:val="DefaultParagraphFont"/>
    <w:link w:val="Header"/>
    <w:uiPriority w:val="99"/>
    <w:rsid w:val="0084494B"/>
  </w:style>
  <w:style w:type="paragraph" w:styleId="Footer">
    <w:name w:val="footer"/>
    <w:basedOn w:val="Normal"/>
    <w:link w:val="FooterChar"/>
    <w:uiPriority w:val="99"/>
    <w:unhideWhenUsed/>
    <w:rsid w:val="0084494B"/>
    <w:pPr>
      <w:tabs>
        <w:tab w:val="center" w:pos="4680"/>
        <w:tab w:val="right" w:pos="9360"/>
      </w:tabs>
      <w:spacing w:line="240" w:lineRule="auto"/>
    </w:pPr>
  </w:style>
  <w:style w:type="character" w:customStyle="1" w:styleId="FooterChar">
    <w:name w:val="Footer Char"/>
    <w:basedOn w:val="DefaultParagraphFont"/>
    <w:link w:val="Footer"/>
    <w:uiPriority w:val="99"/>
    <w:rsid w:val="00844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jjournals.ju.edu.jo/index.php/JMJ/article/view/2527" TargetMode="External"/><Relationship Id="rId21" Type="http://schemas.openxmlformats.org/officeDocument/2006/relationships/hyperlink" Target="https://doi.org/10.1109/access.2024.3422038" TargetMode="External"/><Relationship Id="rId42" Type="http://schemas.openxmlformats.org/officeDocument/2006/relationships/hyperlink" Target="https://doi.org/10.5281/zenodo.13333202" TargetMode="External"/><Relationship Id="rId47" Type="http://schemas.openxmlformats.org/officeDocument/2006/relationships/hyperlink" Target="https://www.ibm.com/reports/threat-intelligence?os=qtfT_1&amp;ref=app" TargetMode="External"/><Relationship Id="rId63" Type="http://schemas.openxmlformats.org/officeDocument/2006/relationships/hyperlink" Target="https://doi.org/10.1109/icoeca62351.2024.00028" TargetMode="External"/><Relationship Id="rId68" Type="http://schemas.openxmlformats.org/officeDocument/2006/relationships/hyperlink" Target="https://doi.org/10.1038/s41531-021-00177-8" TargetMode="External"/><Relationship Id="rId84" Type="http://schemas.openxmlformats.org/officeDocument/2006/relationships/hyperlink" Target="https://healthpoint.com/data-and-information/healthcare-sector-faces-escalating-data-breaches-and-cyber-threats-in-2024/" TargetMode="External"/><Relationship Id="rId89" Type="http://schemas.openxmlformats.org/officeDocument/2006/relationships/hyperlink" Target="https://doi.org/10.1007/978-3-031-67268-2_6" TargetMode="External"/><Relationship Id="rId112" Type="http://schemas.openxmlformats.org/officeDocument/2006/relationships/header" Target="header3.xml"/><Relationship Id="rId16" Type="http://schemas.openxmlformats.org/officeDocument/2006/relationships/hyperlink" Target="https://doi.org/10.3390/app122111039" TargetMode="External"/><Relationship Id="rId107" Type="http://schemas.openxmlformats.org/officeDocument/2006/relationships/hyperlink" Target="https://www.zscaler.com/press/zscaler-study-finds-90-percent-global-enterprises-are-adopting-zero-trust" TargetMode="External"/><Relationship Id="rId11" Type="http://schemas.openxmlformats.org/officeDocument/2006/relationships/image" Target="media/image5.png"/><Relationship Id="rId32" Type="http://schemas.openxmlformats.org/officeDocument/2006/relationships/hyperlink" Target="https://doi.org/10.1109/uemcon62879.2024.10754710" TargetMode="External"/><Relationship Id="rId37" Type="http://schemas.openxmlformats.org/officeDocument/2006/relationships/hyperlink" Target="https://doi.org/10.1007/978-3-031-64045-2_8" TargetMode="External"/><Relationship Id="rId53" Type="http://schemas.openxmlformats.org/officeDocument/2006/relationships/hyperlink" Target="https://doi.org/10.18535/ijsrm/v9i2.ec01" TargetMode="External"/><Relationship Id="rId58" Type="http://schemas.openxmlformats.org/officeDocument/2006/relationships/hyperlink" Target="https://doi.org/10.2139/ssrn.5091178" TargetMode="External"/><Relationship Id="rId74" Type="http://schemas.openxmlformats.org/officeDocument/2006/relationships/hyperlink" Target="https://doi.org/10.9734/jerr/2025/v27i21400" TargetMode="External"/><Relationship Id="rId79" Type="http://schemas.openxmlformats.org/officeDocument/2006/relationships/hyperlink" Target="https://doi.org/10.9734/ajrcos/2025/v18i3583" TargetMode="External"/><Relationship Id="rId102" Type="http://schemas.openxmlformats.org/officeDocument/2006/relationships/hyperlink" Target="https://ia.acs.org.au/article/2024/services-australia-breaches-spike-using-stolen-account-details.html" TargetMode="External"/><Relationship Id="rId5" Type="http://schemas.openxmlformats.org/officeDocument/2006/relationships/footnotes" Target="footnotes.xml"/><Relationship Id="rId90" Type="http://schemas.openxmlformats.org/officeDocument/2006/relationships/hyperlink" Target="https://doi.org/10.1109/sera61261.2024.10685564" TargetMode="External"/><Relationship Id="rId95" Type="http://schemas.openxmlformats.org/officeDocument/2006/relationships/hyperlink" Target="https://www.csoonline.com/article/3588766/change-healthcare-data-breach-exposed-only-100-million-us-health-records.html" TargetMode="External"/><Relationship Id="rId22" Type="http://schemas.openxmlformats.org/officeDocument/2006/relationships/hyperlink" Target="https://doi.org/10.5539/ibr.v17n6p74" TargetMode="External"/><Relationship Id="rId27" Type="http://schemas.openxmlformats.org/officeDocument/2006/relationships/hyperlink" Target="https://doi.org/10.9734/ajrcos/2025/v18i1555" TargetMode="External"/><Relationship Id="rId43" Type="http://schemas.openxmlformats.org/officeDocument/2006/relationships/hyperlink" Target="https://doi.org/10.5281/zenodo.10635964" TargetMode="External"/><Relationship Id="rId48" Type="http://schemas.openxmlformats.org/officeDocument/2006/relationships/hyperlink" Target="https://www.infiniumglobalresearch.com/market-reports/global-telemedicine-market" TargetMode="External"/><Relationship Id="rId64" Type="http://schemas.openxmlformats.org/officeDocument/2006/relationships/hyperlink" Target="https://doi.org/10.3390/app13074425" TargetMode="External"/><Relationship Id="rId69" Type="http://schemas.openxmlformats.org/officeDocument/2006/relationships/hyperlink" Target="https://doi.org/10.1109/access.2024.3469215" TargetMode="External"/><Relationship Id="rId113" Type="http://schemas.openxmlformats.org/officeDocument/2006/relationships/footer" Target="footer3.xml"/><Relationship Id="rId80" Type="http://schemas.openxmlformats.org/officeDocument/2006/relationships/hyperlink" Target="https://doi.org/10.9734/ajrcos/2025/v18i3586" TargetMode="External"/><Relationship Id="rId85" Type="http://schemas.openxmlformats.org/officeDocument/2006/relationships/hyperlink" Target="https://doi.org/10.1007/979-8-8688-1023-7_8" TargetMode="External"/><Relationship Id="rId12" Type="http://schemas.openxmlformats.org/officeDocument/2006/relationships/image" Target="media/image6.png"/><Relationship Id="rId17" Type="http://schemas.openxmlformats.org/officeDocument/2006/relationships/hyperlink" Target="https://doi.org/10.9734/ajeba/2024/v24i111542" TargetMode="External"/><Relationship Id="rId33" Type="http://schemas.openxmlformats.org/officeDocument/2006/relationships/hyperlink" Target="https://doi.org/10.1007/978-981-97-0407-1_1" TargetMode="External"/><Relationship Id="rId38" Type="http://schemas.openxmlformats.org/officeDocument/2006/relationships/hyperlink" Target="https://doi.org/10.1097/md.0000000000039887" TargetMode="External"/><Relationship Id="rId59" Type="http://schemas.openxmlformats.org/officeDocument/2006/relationships/hyperlink" Target="https://doi.org/10.47709/ijmdsa.v3i4.4752" TargetMode="External"/><Relationship Id="rId103" Type="http://schemas.openxmlformats.org/officeDocument/2006/relationships/hyperlink" Target="https://www.itsecurityguru.org/2024/12/13/cyberints-2024-report-highlights-surge-in-credential-theft-and-rise-of-ai-powered-phishing/" TargetMode="External"/><Relationship Id="rId108" Type="http://schemas.openxmlformats.org/officeDocument/2006/relationships/header" Target="header1.xml"/><Relationship Id="rId54" Type="http://schemas.openxmlformats.org/officeDocument/2006/relationships/hyperlink" Target="https://www.hipaaguide.net/change-healthcare-data-breach/" TargetMode="External"/><Relationship Id="rId70" Type="http://schemas.openxmlformats.org/officeDocument/2006/relationships/hyperlink" Target="https://www.netskope.com/resources/reports-guides/cloud-and-threat-report-2024" TargetMode="External"/><Relationship Id="rId75" Type="http://schemas.openxmlformats.org/officeDocument/2006/relationships/hyperlink" Target="https://doi.org/10.9734/jerr/2025/v27i21390" TargetMode="External"/><Relationship Id="rId91" Type="http://schemas.openxmlformats.org/officeDocument/2006/relationships/hyperlink" Target="https://doi.org/10.1007/s10462-024-10973-2" TargetMode="External"/><Relationship Id="rId96" Type="http://schemas.openxmlformats.org/officeDocument/2006/relationships/hyperlink" Target="https://www.igi-global.com/chapter/enhancing-cybersecurity-protocols-in-modern-healthcare-systems/34282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9734/acri/2025/v25i21090" TargetMode="External"/><Relationship Id="rId23" Type="http://schemas.openxmlformats.org/officeDocument/2006/relationships/hyperlink" Target="https://doi.org/10.47709/ijmdsa.v3i4.4753" TargetMode="External"/><Relationship Id="rId28" Type="http://schemas.openxmlformats.org/officeDocument/2006/relationships/hyperlink" Target="https://doi.org/10.9734/jerr/2025/v27i31414" TargetMode="External"/><Relationship Id="rId36" Type="http://schemas.openxmlformats.org/officeDocument/2006/relationships/hyperlink" Target="https://www.keepersecurity.com/blog/2024/09/13/how-ai-is-making-phishing-attacks-more-dangerous/" TargetMode="External"/><Relationship Id="rId49" Type="http://schemas.openxmlformats.org/officeDocument/2006/relationships/hyperlink" Target="https://doi.org/10.2139/ssrn.4957244" TargetMode="External"/><Relationship Id="rId57" Type="http://schemas.openxmlformats.org/officeDocument/2006/relationships/hyperlink" Target="https://doi.org/10.4018/979-8-3693-8784-9.ch011" TargetMode="External"/><Relationship Id="rId106" Type="http://schemas.openxmlformats.org/officeDocument/2006/relationships/hyperlink" Target="https://doi.org/10.4236/ojbm.2024.121021" TargetMode="External"/><Relationship Id="rId114"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s://doi.org/10.3390/blockchains3010003" TargetMode="External"/><Relationship Id="rId44" Type="http://schemas.openxmlformats.org/officeDocument/2006/relationships/hyperlink" Target="https://doi.org/10.4018/979-8-3373-1102-9.ch008" TargetMode="External"/><Relationship Id="rId52" Type="http://schemas.openxmlformats.org/officeDocument/2006/relationships/hyperlink" Target="https://doi.org/10.1016/j.csa.2023.100016" TargetMode="External"/><Relationship Id="rId60" Type="http://schemas.openxmlformats.org/officeDocument/2006/relationships/hyperlink" Target="https://doi.org/10.1016/j.csa.2024.100057" TargetMode="External"/><Relationship Id="rId65" Type="http://schemas.openxmlformats.org/officeDocument/2006/relationships/hyperlink" Target="https://doi.org/10.9734/ajrcos/2024/v17i5442" TargetMode="External"/><Relationship Id="rId73" Type="http://schemas.openxmlformats.org/officeDocument/2006/relationships/hyperlink" Target="https://doi.org/10.9734/ajrcos/2025/v18i2564" TargetMode="External"/><Relationship Id="rId78" Type="http://schemas.openxmlformats.org/officeDocument/2006/relationships/hyperlink" Target="https://doi.org/10.9734/jerr/2025/v27i31416" TargetMode="External"/><Relationship Id="rId81" Type="http://schemas.openxmlformats.org/officeDocument/2006/relationships/hyperlink" Target="https://doi.org/10.9734/jerr/2025/v27i21413" TargetMode="External"/><Relationship Id="rId86" Type="http://schemas.openxmlformats.org/officeDocument/2006/relationships/hyperlink" Target="https://doi.org/10.9734/ajrcos/2024/v17i12530" TargetMode="External"/><Relationship Id="rId94" Type="http://schemas.openxmlformats.org/officeDocument/2006/relationships/hyperlink" Target="https://nypost.com/2024/09/26/lifestyle/nearly-half-of-employed-people-have-fallen-victim-to-cyberattack-or-scam/" TargetMode="External"/><Relationship Id="rId99" Type="http://schemas.openxmlformats.org/officeDocument/2006/relationships/hyperlink" Target="https://www.verizon.com/about/news/2023-data-breach-investigations-report?msockid=2e7b7a8ff19a6b6922d36e50f02e6a07" TargetMode="External"/><Relationship Id="rId101" Type="http://schemas.openxmlformats.org/officeDocument/2006/relationships/hyperlink" Target="https://doi.org/10.1016/j.technovation.2023.102784"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1002/spy2.191" TargetMode="External"/><Relationship Id="rId39" Type="http://schemas.openxmlformats.org/officeDocument/2006/relationships/hyperlink" Target="https://doi.org/10.1109/iccr61006.2024.10533010" TargetMode="External"/><Relationship Id="rId109" Type="http://schemas.openxmlformats.org/officeDocument/2006/relationships/header" Target="header2.xml"/><Relationship Id="rId34" Type="http://schemas.openxmlformats.org/officeDocument/2006/relationships/hyperlink" Target="https://doi.org/10.1155/2022/1863838" TargetMode="External"/><Relationship Id="rId50" Type="http://schemas.openxmlformats.org/officeDocument/2006/relationships/hyperlink" Target="https://doi.org/10.2196/53558" TargetMode="External"/><Relationship Id="rId55" Type="http://schemas.openxmlformats.org/officeDocument/2006/relationships/hyperlink" Target="https://doi.org/10.9734/jerr/2024/v26i91271" TargetMode="External"/><Relationship Id="rId76" Type="http://schemas.openxmlformats.org/officeDocument/2006/relationships/hyperlink" Target="https://doi.org/10.9734/ajrcos/2025/v18i1557" TargetMode="External"/><Relationship Id="rId97" Type="http://schemas.openxmlformats.org/officeDocument/2006/relationships/hyperlink" Target="https://doi.org/10.1002/9781394303601.ch18" TargetMode="External"/><Relationship Id="rId104" Type="http://schemas.openxmlformats.org/officeDocument/2006/relationships/hyperlink" Target="https://www.forbes.com/sites/mariyayao/2017/04/14/your-electronic-medical-records-can-be-worth-1000-to-hackers/" TargetMode="External"/><Relationship Id="rId7" Type="http://schemas.openxmlformats.org/officeDocument/2006/relationships/image" Target="media/image1.png"/><Relationship Id="rId71" Type="http://schemas.openxmlformats.org/officeDocument/2006/relationships/hyperlink" Target="https://doi.org/10.1109/access.2021.3134076" TargetMode="External"/><Relationship Id="rId92" Type="http://schemas.openxmlformats.org/officeDocument/2006/relationships/hyperlink" Target="https://hal.science/hal-04686453" TargetMode="External"/><Relationship Id="rId2" Type="http://schemas.openxmlformats.org/officeDocument/2006/relationships/styles" Target="styles.xml"/><Relationship Id="rId29" Type="http://schemas.openxmlformats.org/officeDocument/2006/relationships/hyperlink" Target="https://doi.org/10.9734/jerr/2025/v27i21399" TargetMode="External"/><Relationship Id="rId24" Type="http://schemas.openxmlformats.org/officeDocument/2006/relationships/hyperlink" Target="https://doi.org/10.1016/j.jisa.2024.103748" TargetMode="External"/><Relationship Id="rId40" Type="http://schemas.openxmlformats.org/officeDocument/2006/relationships/hyperlink" Target="https://www.fbi.gov/contact-us/field-offices/sanfrancisco/news/fbi-warns-of-increasing-threat-of-cyber-criminals-utilizing-artificial-intelligence" TargetMode="External"/><Relationship Id="rId45" Type="http://schemas.openxmlformats.org/officeDocument/2006/relationships/hyperlink" Target="https://media.neliti.com/media/publications/590139-transformative-ai-applications-in-health-6a6906cb.pdf" TargetMode="External"/><Relationship Id="rId66" Type="http://schemas.openxmlformats.org/officeDocument/2006/relationships/hyperlink" Target="https://doi.org/10.10520/crim.v34.n3;article:article:doi" TargetMode="External"/><Relationship Id="rId87" Type="http://schemas.openxmlformats.org/officeDocument/2006/relationships/hyperlink" Target="https://doi.org/10.1186/s40537-024-00957-y" TargetMode="External"/><Relationship Id="rId110" Type="http://schemas.openxmlformats.org/officeDocument/2006/relationships/footer" Target="footer1.xml"/><Relationship Id="rId115" Type="http://schemas.openxmlformats.org/officeDocument/2006/relationships/theme" Target="theme/theme1.xml"/><Relationship Id="rId61" Type="http://schemas.openxmlformats.org/officeDocument/2006/relationships/hyperlink" Target="https://doi.org/10.9734/ajrcos/2024/v17i12528" TargetMode="External"/><Relationship Id="rId82" Type="http://schemas.openxmlformats.org/officeDocument/2006/relationships/hyperlink" Target="https://www.statnews.com/2024/12/05/change-healthcare-cyberattack-2024-record-year-us-data-breaches/" TargetMode="External"/><Relationship Id="rId19" Type="http://schemas.openxmlformats.org/officeDocument/2006/relationships/hyperlink" Target="https://doi.org/10.1007/978-981-97-9555-0_8" TargetMode="External"/><Relationship Id="rId14" Type="http://schemas.openxmlformats.org/officeDocument/2006/relationships/image" Target="media/image8.png"/><Relationship Id="rId30" Type="http://schemas.openxmlformats.org/officeDocument/2006/relationships/hyperlink" Target="https://www.bellarinemedicalgroup.com.au/cyber-incident/" TargetMode="External"/><Relationship Id="rId35" Type="http://schemas.openxmlformats.org/officeDocument/2006/relationships/hyperlink" Target="https://doi.org/10.4018/979-8-3693-3494-2.ch005" TargetMode="External"/><Relationship Id="rId56" Type="http://schemas.openxmlformats.org/officeDocument/2006/relationships/hyperlink" Target="http://majmuah.com/journal/index.php/bij/article/view/667" TargetMode="External"/><Relationship Id="rId77" Type="http://schemas.openxmlformats.org/officeDocument/2006/relationships/hyperlink" Target="https://doi.org/10.2139/ssrn.4706726" TargetMode="External"/><Relationship Id="rId100" Type="http://schemas.openxmlformats.org/officeDocument/2006/relationships/hyperlink" Target="https://cyberint.com/blog/threat-intelligence/philippine-threat-landscape-report-2024-2025/" TargetMode="External"/><Relationship Id="rId105" Type="http://schemas.openxmlformats.org/officeDocument/2006/relationships/hyperlink" Target="https://doi.org/10.1109/access.2025.3528960" TargetMode="External"/><Relationship Id="rId8" Type="http://schemas.openxmlformats.org/officeDocument/2006/relationships/image" Target="media/image2.png"/><Relationship Id="rId51" Type="http://schemas.openxmlformats.org/officeDocument/2006/relationships/hyperlink" Target="https://doi.org/10.4018/979-8-3373-0240-9.ch015" TargetMode="External"/><Relationship Id="rId72" Type="http://schemas.openxmlformats.org/officeDocument/2006/relationships/hyperlink" Target="https://csrc.nist.gov/pubs/cswp/29/the-nist-cybersecurity-framework-csf-20/final" TargetMode="External"/><Relationship Id="rId93" Type="http://schemas.openxmlformats.org/officeDocument/2006/relationships/hyperlink" Target="https://doi.org/10.1109/access.2025.3528114" TargetMode="External"/><Relationship Id="rId98" Type="http://schemas.openxmlformats.org/officeDocument/2006/relationships/hyperlink" Target="https://doi.org/10.9734/ajrcos/2024/v17i11517" TargetMode="External"/><Relationship Id="rId3" Type="http://schemas.openxmlformats.org/officeDocument/2006/relationships/settings" Target="settings.xml"/><Relationship Id="rId25" Type="http://schemas.openxmlformats.org/officeDocument/2006/relationships/hyperlink" Target="https://doi.org/10.1109/access.2024.3411783" TargetMode="External"/><Relationship Id="rId46" Type="http://schemas.openxmlformats.org/officeDocument/2006/relationships/hyperlink" Target="https://www.ibm.com/reports/data-breach" TargetMode="External"/><Relationship Id="rId67" Type="http://schemas.openxmlformats.org/officeDocument/2006/relationships/hyperlink" Target="https://doi.org/10.4018/979-8-3693-8784-9.ch008" TargetMode="External"/><Relationship Id="rId20" Type="http://schemas.openxmlformats.org/officeDocument/2006/relationships/hyperlink" Target="https://doi.org/10.3390/fi13120299" TargetMode="External"/><Relationship Id="rId41" Type="http://schemas.openxmlformats.org/officeDocument/2006/relationships/hyperlink" Target="https://doi.org/10.9734/jerr/2024/v26i111311" TargetMode="External"/><Relationship Id="rId62" Type="http://schemas.openxmlformats.org/officeDocument/2006/relationships/hyperlink" Target="https://doi.org/10.9734/ajrcos/2025/v18i1554" TargetMode="External"/><Relationship Id="rId83" Type="http://schemas.openxmlformats.org/officeDocument/2006/relationships/hyperlink" Target="https://cybernews.com/news/scammers-use-deepfakes-to-bypass-biometric-checks/" TargetMode="External"/><Relationship Id="rId88" Type="http://schemas.openxmlformats.org/officeDocument/2006/relationships/hyperlink" Target="https://doi.org/10.9734/acri/2024/v24i6794" TargetMode="External"/><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34</Pages>
  <Words>12083</Words>
  <Characters>68878</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12</cp:revision>
  <dcterms:created xsi:type="dcterms:W3CDTF">2025-03-02T20:53:00Z</dcterms:created>
  <dcterms:modified xsi:type="dcterms:W3CDTF">2025-03-03T10:00:00Z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da215f14d9ca50142e23aebc85291ec0de4350a323fc523c0d1d3e68c93a1563</vt:lpwstr>
  </property>
</Properties>
</file>