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8431C" w14:textId="440B5CA4" w:rsidR="001D265A" w:rsidRPr="002729A0" w:rsidRDefault="00DE0AA2" w:rsidP="002729A0">
      <w:pPr>
        <w:spacing w:after="0" w:line="240" w:lineRule="auto"/>
        <w:jc w:val="both"/>
        <w:rPr>
          <w:rFonts w:ascii="Times New Roman" w:eastAsia="Times New Roman" w:hAnsi="Times New Roman" w:cs="Times New Roman"/>
          <w:b/>
          <w:color w:val="000000"/>
          <w:kern w:val="0"/>
          <w:lang w:val="en-GB"/>
          <w14:ligatures w14:val="none"/>
        </w:rPr>
      </w:pPr>
      <w:bookmarkStart w:id="0" w:name="_Hlk173753533"/>
      <w:r w:rsidRPr="002729A0">
        <w:rPr>
          <w:rFonts w:ascii="Times New Roman" w:eastAsia="Times New Roman" w:hAnsi="Times New Roman" w:cs="Times New Roman"/>
          <w:b/>
          <w:color w:val="000000"/>
          <w:kern w:val="0"/>
          <w:lang w:val="en-GB"/>
          <w14:ligatures w14:val="none"/>
        </w:rPr>
        <w:t xml:space="preserve">Factors Associated with </w:t>
      </w:r>
      <w:r w:rsidR="00803BC0" w:rsidRPr="002729A0">
        <w:rPr>
          <w:rFonts w:ascii="Times New Roman" w:eastAsia="Times New Roman" w:hAnsi="Times New Roman" w:cs="Times New Roman"/>
          <w:b/>
          <w:color w:val="000000"/>
          <w:kern w:val="0"/>
          <w:lang w:val="en-GB"/>
          <w14:ligatures w14:val="none"/>
        </w:rPr>
        <w:t>Community-Level Public Health Emergency Preparedness</w:t>
      </w:r>
      <w:r w:rsidRPr="002729A0">
        <w:rPr>
          <w:rFonts w:ascii="Times New Roman" w:eastAsia="Times New Roman" w:hAnsi="Times New Roman" w:cs="Times New Roman"/>
          <w:b/>
          <w:color w:val="000000"/>
          <w:kern w:val="0"/>
          <w:lang w:val="en-GB"/>
          <w14:ligatures w14:val="none"/>
        </w:rPr>
        <w:t xml:space="preserve"> and  </w:t>
      </w:r>
      <w:r w:rsidR="00803BC0" w:rsidRPr="002729A0">
        <w:rPr>
          <w:rFonts w:ascii="Times New Roman" w:eastAsia="Times New Roman" w:hAnsi="Times New Roman" w:cs="Times New Roman"/>
          <w:b/>
          <w:color w:val="000000"/>
          <w:kern w:val="0"/>
          <w:lang w:val="en-GB"/>
          <w14:ligatures w14:val="none"/>
        </w:rPr>
        <w:t xml:space="preserve"> Response Capability </w:t>
      </w:r>
      <w:r w:rsidR="001D265A" w:rsidRPr="002729A0">
        <w:rPr>
          <w:rFonts w:ascii="Times New Roman" w:eastAsia="Times New Roman" w:hAnsi="Times New Roman" w:cs="Times New Roman"/>
          <w:b/>
          <w:color w:val="000000"/>
          <w:kern w:val="0"/>
          <w:lang w:val="en-GB"/>
          <w14:ligatures w14:val="none"/>
        </w:rPr>
        <w:t>in Kisumu</w:t>
      </w:r>
    </w:p>
    <w:p w14:paraId="6DA59F5F" w14:textId="77777777" w:rsidR="005744A2" w:rsidRPr="002729A0" w:rsidRDefault="005744A2" w:rsidP="002729A0">
      <w:pPr>
        <w:spacing w:after="0" w:line="240" w:lineRule="auto"/>
        <w:jc w:val="both"/>
        <w:rPr>
          <w:rFonts w:ascii="Times New Roman" w:eastAsia="Times New Roman" w:hAnsi="Times New Roman" w:cs="Times New Roman"/>
          <w:b/>
          <w:color w:val="000000"/>
          <w:kern w:val="0"/>
          <w:lang w:val="en-GB"/>
          <w14:ligatures w14:val="none"/>
        </w:rPr>
      </w:pPr>
    </w:p>
    <w:bookmarkEnd w:id="0"/>
    <w:p w14:paraId="5DAA0886" w14:textId="77777777" w:rsidR="0085747B" w:rsidRPr="001D6DA0" w:rsidRDefault="0085747B" w:rsidP="002729A0">
      <w:pPr>
        <w:spacing w:line="240" w:lineRule="auto"/>
        <w:jc w:val="both"/>
        <w:rPr>
          <w:rFonts w:ascii="Times New Roman" w:eastAsia="Times New Roman" w:hAnsi="Times New Roman" w:cs="Times New Roman"/>
          <w:bCs/>
          <w:lang w:val="en-GB"/>
        </w:rPr>
      </w:pPr>
    </w:p>
    <w:p w14:paraId="15380826" w14:textId="46F8C7FC" w:rsidR="0085747B" w:rsidRPr="002729A0" w:rsidRDefault="0085747B" w:rsidP="002729A0">
      <w:pPr>
        <w:spacing w:line="240" w:lineRule="auto"/>
        <w:jc w:val="both"/>
        <w:rPr>
          <w:rFonts w:ascii="Times New Roman" w:hAnsi="Times New Roman" w:cs="Times New Roman"/>
        </w:rPr>
      </w:pPr>
      <w:proofErr w:type="gramStart"/>
      <w:r>
        <w:rPr>
          <w:rFonts w:ascii="Times New Roman" w:eastAsia="Times New Roman" w:hAnsi="Times New Roman" w:cs="Times New Roman"/>
          <w:bCs/>
        </w:rPr>
        <w:t>Abstract :</w:t>
      </w:r>
      <w:proofErr w:type="gramEnd"/>
      <w:r>
        <w:rPr>
          <w:rFonts w:ascii="Times New Roman" w:eastAsia="Times New Roman" w:hAnsi="Times New Roman" w:cs="Times New Roman"/>
          <w:bCs/>
        </w:rPr>
        <w:t xml:space="preserve"> </w:t>
      </w:r>
    </w:p>
    <w:p w14:paraId="390EDC24" w14:textId="0C619113" w:rsidR="006B70E3" w:rsidRPr="002729A0" w:rsidRDefault="006B70E3" w:rsidP="002729A0">
      <w:pPr>
        <w:spacing w:after="0" w:line="240" w:lineRule="auto"/>
        <w:jc w:val="both"/>
        <w:rPr>
          <w:rFonts w:ascii="Times New Roman" w:hAnsi="Times New Roman" w:cs="Times New Roman"/>
          <w:b/>
          <w:bCs/>
        </w:rPr>
      </w:pPr>
      <w:r w:rsidRPr="002729A0">
        <w:rPr>
          <w:rFonts w:ascii="Times New Roman" w:hAnsi="Times New Roman" w:cs="Times New Roman"/>
          <w:b/>
          <w:bCs/>
        </w:rPr>
        <w:t xml:space="preserve">Introduction </w:t>
      </w:r>
    </w:p>
    <w:p w14:paraId="189E6750" w14:textId="11F6DCD1" w:rsidR="009C2639" w:rsidRPr="002729A0" w:rsidRDefault="00BA58A7" w:rsidP="002729A0">
      <w:pPr>
        <w:spacing w:after="0" w:line="240" w:lineRule="auto"/>
        <w:jc w:val="both"/>
        <w:rPr>
          <w:rFonts w:ascii="Times New Roman" w:hAnsi="Times New Roman" w:cs="Times New Roman"/>
        </w:rPr>
      </w:pPr>
      <w:r w:rsidRPr="002729A0">
        <w:rPr>
          <w:rFonts w:ascii="Times New Roman" w:hAnsi="Times New Roman" w:cs="Times New Roman"/>
        </w:rPr>
        <w:t xml:space="preserve">The study </w:t>
      </w:r>
      <w:r w:rsidR="00B25B1A" w:rsidRPr="002729A0">
        <w:rPr>
          <w:rFonts w:ascii="Times New Roman" w:hAnsi="Times New Roman" w:cs="Times New Roman"/>
        </w:rPr>
        <w:t>aimed to assess</w:t>
      </w:r>
      <w:r w:rsidR="00DE0AA2" w:rsidRPr="002729A0">
        <w:rPr>
          <w:rFonts w:ascii="Times New Roman" w:hAnsi="Times New Roman" w:cs="Times New Roman"/>
        </w:rPr>
        <w:t xml:space="preserve"> factors associated with</w:t>
      </w:r>
      <w:r w:rsidR="00B25B1A" w:rsidRPr="002729A0">
        <w:rPr>
          <w:rFonts w:ascii="Times New Roman" w:hAnsi="Times New Roman" w:cs="Times New Roman"/>
        </w:rPr>
        <w:t xml:space="preserve"> </w:t>
      </w:r>
      <w:r w:rsidR="00DE0AA2" w:rsidRPr="002729A0">
        <w:rPr>
          <w:rFonts w:ascii="Times New Roman" w:hAnsi="Times New Roman" w:cs="Times New Roman"/>
        </w:rPr>
        <w:t>Community-Level Public Health Emergency</w:t>
      </w:r>
      <w:r w:rsidR="001D265A" w:rsidRPr="002729A0">
        <w:rPr>
          <w:rFonts w:ascii="Times New Roman" w:hAnsi="Times New Roman" w:cs="Times New Roman"/>
        </w:rPr>
        <w:t xml:space="preserve"> </w:t>
      </w:r>
      <w:r w:rsidR="00DE0AA2" w:rsidRPr="002729A0">
        <w:rPr>
          <w:rFonts w:ascii="Times New Roman" w:hAnsi="Times New Roman" w:cs="Times New Roman"/>
        </w:rPr>
        <w:t>and</w:t>
      </w:r>
      <w:r w:rsidR="00E50F2C" w:rsidRPr="002729A0">
        <w:rPr>
          <w:rFonts w:ascii="Times New Roman" w:hAnsi="Times New Roman" w:cs="Times New Roman"/>
        </w:rPr>
        <w:t xml:space="preserve"> R</w:t>
      </w:r>
      <w:r w:rsidR="00DE0AA2" w:rsidRPr="002729A0">
        <w:rPr>
          <w:rFonts w:ascii="Times New Roman" w:hAnsi="Times New Roman" w:cs="Times New Roman"/>
        </w:rPr>
        <w:t>esponse Capability in Kisumu</w:t>
      </w:r>
      <w:r w:rsidR="001D228C" w:rsidRPr="002729A0">
        <w:rPr>
          <w:rFonts w:ascii="Times New Roman" w:hAnsi="Times New Roman" w:cs="Times New Roman"/>
        </w:rPr>
        <w:t xml:space="preserve">. </w:t>
      </w:r>
      <w:r w:rsidR="009C2639" w:rsidRPr="002729A0">
        <w:rPr>
          <w:rFonts w:ascii="Times New Roman" w:hAnsi="Times New Roman" w:cs="Times New Roman"/>
        </w:rPr>
        <w:t>Understanding the community’s prevailing response capabilities, capacities, and implementation structures may help identify aspects of program implementation to inform effectiveness improvement plans and to enable</w:t>
      </w:r>
      <w:r w:rsidR="004C6179">
        <w:rPr>
          <w:rFonts w:ascii="Times New Roman" w:hAnsi="Times New Roman" w:cs="Times New Roman"/>
        </w:rPr>
        <w:t xml:space="preserve"> </w:t>
      </w:r>
      <w:r w:rsidR="009C2639" w:rsidRPr="002729A0">
        <w:rPr>
          <w:rFonts w:ascii="Times New Roman" w:hAnsi="Times New Roman" w:cs="Times New Roman"/>
        </w:rPr>
        <w:t>design</w:t>
      </w:r>
      <w:r w:rsidR="00C41ACB" w:rsidRPr="002729A0">
        <w:rPr>
          <w:rFonts w:ascii="Times New Roman" w:hAnsi="Times New Roman" w:cs="Times New Roman"/>
        </w:rPr>
        <w:t>ing</w:t>
      </w:r>
      <w:r w:rsidR="009C2639" w:rsidRPr="002729A0">
        <w:rPr>
          <w:rFonts w:ascii="Times New Roman" w:hAnsi="Times New Roman" w:cs="Times New Roman"/>
        </w:rPr>
        <w:t xml:space="preserve"> of contextually specific, acceptable and appropriate interventions</w:t>
      </w:r>
      <w:r w:rsidR="00C41ACB" w:rsidRPr="002729A0">
        <w:rPr>
          <w:rFonts w:ascii="Times New Roman" w:hAnsi="Times New Roman" w:cs="Times New Roman"/>
        </w:rPr>
        <w:t>.</w:t>
      </w:r>
      <w:r w:rsidR="009C2639" w:rsidRPr="002729A0">
        <w:rPr>
          <w:rFonts w:ascii="Times New Roman" w:hAnsi="Times New Roman" w:cs="Times New Roman"/>
        </w:rPr>
        <w:t xml:space="preserve"> </w:t>
      </w:r>
    </w:p>
    <w:p w14:paraId="1EDA3E77" w14:textId="77777777" w:rsidR="001D265A" w:rsidRPr="002729A0" w:rsidRDefault="001D265A" w:rsidP="002729A0">
      <w:pPr>
        <w:spacing w:after="0" w:line="240" w:lineRule="auto"/>
        <w:jc w:val="both"/>
        <w:rPr>
          <w:rFonts w:ascii="Times New Roman" w:hAnsi="Times New Roman" w:cs="Times New Roman"/>
        </w:rPr>
      </w:pPr>
    </w:p>
    <w:p w14:paraId="4CB6E48E" w14:textId="4068D030" w:rsidR="006B70E3" w:rsidRPr="002729A0" w:rsidRDefault="006B70E3" w:rsidP="002729A0">
      <w:pPr>
        <w:spacing w:after="0" w:line="240" w:lineRule="auto"/>
        <w:jc w:val="both"/>
        <w:rPr>
          <w:rFonts w:ascii="Times New Roman" w:hAnsi="Times New Roman" w:cs="Times New Roman"/>
          <w:b/>
          <w:bCs/>
        </w:rPr>
      </w:pPr>
      <w:r w:rsidRPr="002729A0">
        <w:rPr>
          <w:rFonts w:ascii="Times New Roman" w:hAnsi="Times New Roman" w:cs="Times New Roman"/>
          <w:b/>
          <w:bCs/>
        </w:rPr>
        <w:t>Methods</w:t>
      </w:r>
    </w:p>
    <w:p w14:paraId="0DA9324E" w14:textId="21912944" w:rsidR="006B70E3" w:rsidRPr="002729A0" w:rsidRDefault="001E25B8" w:rsidP="002729A0">
      <w:pPr>
        <w:spacing w:after="0" w:line="240" w:lineRule="auto"/>
        <w:jc w:val="both"/>
        <w:rPr>
          <w:rFonts w:ascii="Times New Roman" w:hAnsi="Times New Roman" w:cs="Times New Roman"/>
          <w:lang w:val="en-GB"/>
        </w:rPr>
      </w:pPr>
      <w:r w:rsidRPr="002729A0">
        <w:rPr>
          <w:rFonts w:ascii="Times New Roman" w:hAnsi="Times New Roman" w:cs="Times New Roman"/>
        </w:rPr>
        <w:t>The study adopted mixed primary methods involving collection of both qualitative</w:t>
      </w:r>
      <w:r w:rsidR="00211185" w:rsidRPr="002729A0">
        <w:rPr>
          <w:rFonts w:ascii="Times New Roman" w:hAnsi="Times New Roman" w:cs="Times New Roman"/>
        </w:rPr>
        <w:t xml:space="preserve"> data which was analyzed thematically</w:t>
      </w:r>
      <w:r w:rsidRPr="002729A0">
        <w:rPr>
          <w:rFonts w:ascii="Times New Roman" w:hAnsi="Times New Roman" w:cs="Times New Roman"/>
        </w:rPr>
        <w:t xml:space="preserve"> and quantitative data</w:t>
      </w:r>
      <w:r w:rsidR="00211185" w:rsidRPr="002729A0">
        <w:rPr>
          <w:rFonts w:ascii="Times New Roman" w:hAnsi="Times New Roman" w:cs="Times New Roman"/>
        </w:rPr>
        <w:t>, analyzed using SPSS software</w:t>
      </w:r>
      <w:r w:rsidRPr="002729A0">
        <w:rPr>
          <w:rFonts w:ascii="Times New Roman" w:hAnsi="Times New Roman" w:cs="Times New Roman"/>
        </w:rPr>
        <w:t xml:space="preserve">. </w:t>
      </w:r>
      <w:r w:rsidR="00F664A2" w:rsidRPr="002729A0">
        <w:rPr>
          <w:rFonts w:ascii="Times New Roman" w:hAnsi="Times New Roman" w:cs="Times New Roman"/>
        </w:rPr>
        <w:t>Quantitative data was collected from</w:t>
      </w:r>
      <w:r w:rsidR="00851FEE" w:rsidRPr="002729A0">
        <w:rPr>
          <w:rFonts w:ascii="Times New Roman" w:hAnsi="Times New Roman" w:cs="Times New Roman"/>
        </w:rPr>
        <w:t xml:space="preserve"> 507 participants including</w:t>
      </w:r>
      <w:r w:rsidR="00637B11" w:rsidRPr="002729A0">
        <w:rPr>
          <w:rFonts w:ascii="Times New Roman" w:hAnsi="Times New Roman" w:cs="Times New Roman"/>
        </w:rPr>
        <w:t xml:space="preserve"> all men and women</w:t>
      </w:r>
      <w:r w:rsidR="001D265A" w:rsidRPr="002729A0">
        <w:rPr>
          <w:rFonts w:ascii="Times New Roman" w:hAnsi="Times New Roman" w:cs="Times New Roman"/>
        </w:rPr>
        <w:t>,</w:t>
      </w:r>
      <w:r w:rsidR="00637B11" w:rsidRPr="002729A0">
        <w:rPr>
          <w:rFonts w:ascii="Times New Roman" w:hAnsi="Times New Roman" w:cs="Times New Roman"/>
        </w:rPr>
        <w:t xml:space="preserve"> community members above 18 years and staff comprising of chiefs, PHE response persons, public health officer and community health extension worker (CHEWs) residing within Kisumu County numbering up to 1,155,574 who have either encountered or </w:t>
      </w:r>
      <w:r w:rsidR="00B572CA" w:rsidRPr="002729A0">
        <w:rPr>
          <w:rFonts w:ascii="Times New Roman" w:hAnsi="Times New Roman" w:cs="Times New Roman"/>
        </w:rPr>
        <w:t>were</w:t>
      </w:r>
      <w:r w:rsidR="00637B11" w:rsidRPr="002729A0">
        <w:rPr>
          <w:rFonts w:ascii="Times New Roman" w:hAnsi="Times New Roman" w:cs="Times New Roman"/>
        </w:rPr>
        <w:t xml:space="preserve"> aware of local public health emergency.</w:t>
      </w:r>
      <w:r w:rsidR="00ED1D8E" w:rsidRPr="002729A0">
        <w:rPr>
          <w:rFonts w:ascii="Times New Roman" w:hAnsi="Times New Roman" w:cs="Times New Roman"/>
        </w:rPr>
        <w:t xml:space="preserve"> </w:t>
      </w:r>
      <w:r w:rsidR="00A641A6" w:rsidRPr="002729A0">
        <w:rPr>
          <w:rFonts w:ascii="Times New Roman" w:hAnsi="Times New Roman" w:cs="Times New Roman"/>
          <w:lang w:val="en-GB"/>
        </w:rPr>
        <w:t>Key informant interviews (KIIs) included three participants in each sub-county, including one (1) CHV, one (1) County public health Emergency response team leader and one (1) Chief from each selected sub-county for purposes of qualitative data</w:t>
      </w:r>
      <w:r w:rsidR="005B7179" w:rsidRPr="002729A0">
        <w:rPr>
          <w:rFonts w:ascii="Times New Roman" w:hAnsi="Times New Roman" w:cs="Times New Roman"/>
          <w:lang w:val="en-GB"/>
        </w:rPr>
        <w:t xml:space="preserve"> collection.</w:t>
      </w:r>
    </w:p>
    <w:p w14:paraId="28C6F920" w14:textId="77777777" w:rsidR="003F4E6E" w:rsidRPr="002729A0" w:rsidRDefault="003F4E6E" w:rsidP="002729A0">
      <w:pPr>
        <w:spacing w:after="0" w:line="240" w:lineRule="auto"/>
        <w:jc w:val="both"/>
        <w:rPr>
          <w:rFonts w:ascii="Times New Roman" w:hAnsi="Times New Roman" w:cs="Times New Roman"/>
        </w:rPr>
      </w:pPr>
    </w:p>
    <w:p w14:paraId="0642364B" w14:textId="38D82C4D" w:rsidR="006B70E3" w:rsidRPr="002729A0" w:rsidRDefault="006B70E3" w:rsidP="002729A0">
      <w:pPr>
        <w:spacing w:after="0" w:line="240" w:lineRule="auto"/>
        <w:jc w:val="both"/>
        <w:rPr>
          <w:rFonts w:ascii="Times New Roman" w:hAnsi="Times New Roman" w:cs="Times New Roman"/>
          <w:b/>
          <w:bCs/>
        </w:rPr>
      </w:pPr>
      <w:r w:rsidRPr="002729A0">
        <w:rPr>
          <w:rFonts w:ascii="Times New Roman" w:hAnsi="Times New Roman" w:cs="Times New Roman"/>
          <w:b/>
          <w:bCs/>
        </w:rPr>
        <w:t>Results</w:t>
      </w:r>
    </w:p>
    <w:p w14:paraId="14218C2E" w14:textId="42B3D6E4" w:rsidR="00A641A6" w:rsidRPr="002729A0" w:rsidRDefault="00D752D5" w:rsidP="002729A0">
      <w:pPr>
        <w:spacing w:after="0" w:line="240" w:lineRule="auto"/>
        <w:jc w:val="both"/>
        <w:rPr>
          <w:rFonts w:ascii="Times New Roman" w:hAnsi="Times New Roman" w:cs="Times New Roman"/>
        </w:rPr>
      </w:pPr>
      <w:r w:rsidRPr="002729A0">
        <w:rPr>
          <w:rFonts w:ascii="Times New Roman" w:hAnsi="Times New Roman" w:cs="Times New Roman"/>
        </w:rPr>
        <w:t xml:space="preserve">The participants who </w:t>
      </w:r>
      <w:r w:rsidR="00B572CA" w:rsidRPr="002729A0">
        <w:rPr>
          <w:rFonts w:ascii="Times New Roman" w:hAnsi="Times New Roman" w:cs="Times New Roman"/>
        </w:rPr>
        <w:t>were</w:t>
      </w:r>
      <w:r w:rsidRPr="002729A0">
        <w:rPr>
          <w:rFonts w:ascii="Times New Roman" w:hAnsi="Times New Roman" w:cs="Times New Roman"/>
        </w:rPr>
        <w:t xml:space="preserve"> aware of PHE had an adjusted odds ratio (</w:t>
      </w:r>
      <w:proofErr w:type="spellStart"/>
      <w:r w:rsidRPr="002729A0">
        <w:rPr>
          <w:rFonts w:ascii="Times New Roman" w:hAnsi="Times New Roman" w:cs="Times New Roman"/>
        </w:rPr>
        <w:t>aOR</w:t>
      </w:r>
      <w:proofErr w:type="spellEnd"/>
      <w:r w:rsidRPr="002729A0">
        <w:rPr>
          <w:rFonts w:ascii="Times New Roman" w:hAnsi="Times New Roman" w:cs="Times New Roman"/>
        </w:rPr>
        <w:t xml:space="preserve">) of 2.23, although this result approaches but does not reach statistical significance (p=0.078). Those who have heard about PHE preparedness </w:t>
      </w:r>
      <w:r w:rsidR="00110127" w:rsidRPr="002729A0">
        <w:rPr>
          <w:rFonts w:ascii="Times New Roman" w:hAnsi="Times New Roman" w:cs="Times New Roman"/>
        </w:rPr>
        <w:t>were</w:t>
      </w:r>
      <w:r w:rsidRPr="002729A0">
        <w:rPr>
          <w:rFonts w:ascii="Times New Roman" w:hAnsi="Times New Roman" w:cs="Times New Roman"/>
        </w:rPr>
        <w:t xml:space="preserve"> much more likely to be prepared, but in the adjusted model, the effect is not statistically significant (</w:t>
      </w:r>
      <w:proofErr w:type="spellStart"/>
      <w:r w:rsidRPr="002729A0">
        <w:rPr>
          <w:rFonts w:ascii="Times New Roman" w:hAnsi="Times New Roman" w:cs="Times New Roman"/>
        </w:rPr>
        <w:t>aOR</w:t>
      </w:r>
      <w:proofErr w:type="spellEnd"/>
      <w:r w:rsidRPr="002729A0">
        <w:rPr>
          <w:rFonts w:ascii="Times New Roman" w:hAnsi="Times New Roman" w:cs="Times New Roman"/>
        </w:rPr>
        <w:t xml:space="preserve">=1.29, </w:t>
      </w:r>
      <w:r w:rsidRPr="002729A0">
        <w:rPr>
          <w:rFonts w:ascii="Times New Roman" w:hAnsi="Times New Roman" w:cs="Times New Roman"/>
          <w:i/>
          <w:iCs/>
        </w:rPr>
        <w:t>p</w:t>
      </w:r>
      <w:r w:rsidRPr="002729A0">
        <w:rPr>
          <w:rFonts w:ascii="Times New Roman" w:hAnsi="Times New Roman" w:cs="Times New Roman"/>
        </w:rPr>
        <w:t xml:space="preserve">=0.612). Notably, those who have never experienced a PHE event </w:t>
      </w:r>
      <w:r w:rsidR="00110127" w:rsidRPr="002729A0">
        <w:rPr>
          <w:rFonts w:ascii="Times New Roman" w:hAnsi="Times New Roman" w:cs="Times New Roman"/>
        </w:rPr>
        <w:t>were</w:t>
      </w:r>
      <w:r w:rsidRPr="002729A0">
        <w:rPr>
          <w:rFonts w:ascii="Times New Roman" w:hAnsi="Times New Roman" w:cs="Times New Roman"/>
        </w:rPr>
        <w:t xml:space="preserve"> more likely to be prepared than those with more frequent experiences, though the adjusted odds </w:t>
      </w:r>
      <w:r w:rsidR="00110127" w:rsidRPr="002729A0">
        <w:rPr>
          <w:rFonts w:ascii="Times New Roman" w:hAnsi="Times New Roman" w:cs="Times New Roman"/>
        </w:rPr>
        <w:t>were</w:t>
      </w:r>
      <w:r w:rsidRPr="002729A0">
        <w:rPr>
          <w:rFonts w:ascii="Times New Roman" w:hAnsi="Times New Roman" w:cs="Times New Roman"/>
        </w:rPr>
        <w:t xml:space="preserve"> not significant (</w:t>
      </w:r>
      <w:proofErr w:type="spellStart"/>
      <w:r w:rsidRPr="002729A0">
        <w:rPr>
          <w:rFonts w:ascii="Times New Roman" w:hAnsi="Times New Roman" w:cs="Times New Roman"/>
        </w:rPr>
        <w:t>aOR</w:t>
      </w:r>
      <w:proofErr w:type="spellEnd"/>
      <w:r w:rsidRPr="002729A0">
        <w:rPr>
          <w:rFonts w:ascii="Times New Roman" w:hAnsi="Times New Roman" w:cs="Times New Roman"/>
        </w:rPr>
        <w:t>=3.59,</w:t>
      </w:r>
      <w:r w:rsidRPr="002729A0">
        <w:rPr>
          <w:rFonts w:ascii="Times New Roman" w:hAnsi="Times New Roman" w:cs="Times New Roman"/>
          <w:i/>
          <w:iCs/>
        </w:rPr>
        <w:t xml:space="preserve"> p</w:t>
      </w:r>
      <w:r w:rsidRPr="002729A0">
        <w:rPr>
          <w:rFonts w:ascii="Times New Roman" w:hAnsi="Times New Roman" w:cs="Times New Roman"/>
        </w:rPr>
        <w:t>=0.126).</w:t>
      </w:r>
      <w:r w:rsidR="00D52439" w:rsidRPr="002729A0">
        <w:rPr>
          <w:rFonts w:ascii="Times New Roman" w:hAnsi="Times New Roman" w:cs="Times New Roman"/>
        </w:rPr>
        <w:t xml:space="preserve"> </w:t>
      </w:r>
      <w:r w:rsidRPr="002729A0">
        <w:rPr>
          <w:rFonts w:ascii="Times New Roman" w:hAnsi="Times New Roman" w:cs="Times New Roman"/>
        </w:rPr>
        <w:t xml:space="preserve">Respondents who know what actions to take </w:t>
      </w:r>
      <w:r w:rsidR="00D27F98" w:rsidRPr="002729A0">
        <w:rPr>
          <w:rFonts w:ascii="Times New Roman" w:hAnsi="Times New Roman" w:cs="Times New Roman"/>
        </w:rPr>
        <w:t>were</w:t>
      </w:r>
      <w:r w:rsidRPr="002729A0">
        <w:rPr>
          <w:rFonts w:ascii="Times New Roman" w:hAnsi="Times New Roman" w:cs="Times New Roman"/>
        </w:rPr>
        <w:t xml:space="preserve"> significantly more likely to be prepared, with an AOR of 5.81, indicating a high level of preparedness (</w:t>
      </w:r>
      <w:r w:rsidRPr="002729A0">
        <w:rPr>
          <w:rFonts w:ascii="Times New Roman" w:hAnsi="Times New Roman" w:cs="Times New Roman"/>
          <w:i/>
          <w:iCs/>
        </w:rPr>
        <w:t>p</w:t>
      </w:r>
      <w:r w:rsidRPr="002729A0">
        <w:rPr>
          <w:rFonts w:ascii="Times New Roman" w:hAnsi="Times New Roman" w:cs="Times New Roman"/>
        </w:rPr>
        <w:t>&lt;0.001).</w:t>
      </w:r>
      <w:r w:rsidR="00A46D44" w:rsidRPr="002729A0">
        <w:rPr>
          <w:rFonts w:ascii="Times New Roman" w:hAnsi="Times New Roman" w:cs="Times New Roman"/>
        </w:rPr>
        <w:t xml:space="preserve"> </w:t>
      </w:r>
      <w:r w:rsidRPr="002729A0">
        <w:rPr>
          <w:rFonts w:ascii="Times New Roman" w:hAnsi="Times New Roman" w:cs="Times New Roman"/>
        </w:rPr>
        <w:t xml:space="preserve">Respondents with a communication plan </w:t>
      </w:r>
      <w:r w:rsidR="00A46D44" w:rsidRPr="002729A0">
        <w:rPr>
          <w:rFonts w:ascii="Times New Roman" w:hAnsi="Times New Roman" w:cs="Times New Roman"/>
        </w:rPr>
        <w:t>were</w:t>
      </w:r>
      <w:r w:rsidRPr="002729A0">
        <w:rPr>
          <w:rFonts w:ascii="Times New Roman" w:hAnsi="Times New Roman" w:cs="Times New Roman"/>
        </w:rPr>
        <w:t xml:space="preserve"> substantially more likely to be prepared, with an </w:t>
      </w:r>
      <w:proofErr w:type="spellStart"/>
      <w:r w:rsidRPr="002729A0">
        <w:rPr>
          <w:rFonts w:ascii="Times New Roman" w:hAnsi="Times New Roman" w:cs="Times New Roman"/>
        </w:rPr>
        <w:t>aOR</w:t>
      </w:r>
      <w:proofErr w:type="spellEnd"/>
      <w:r w:rsidRPr="002729A0">
        <w:rPr>
          <w:rFonts w:ascii="Times New Roman" w:hAnsi="Times New Roman" w:cs="Times New Roman"/>
        </w:rPr>
        <w:t xml:space="preserve"> of 7.74 (p&lt;0.001). Those who always g</w:t>
      </w:r>
      <w:r w:rsidR="007E0B4B" w:rsidRPr="002729A0">
        <w:rPr>
          <w:rFonts w:ascii="Times New Roman" w:hAnsi="Times New Roman" w:cs="Times New Roman"/>
        </w:rPr>
        <w:t>o</w:t>
      </w:r>
      <w:r w:rsidRPr="002729A0">
        <w:rPr>
          <w:rFonts w:ascii="Times New Roman" w:hAnsi="Times New Roman" w:cs="Times New Roman"/>
        </w:rPr>
        <w:t xml:space="preserve">t information </w:t>
      </w:r>
      <w:r w:rsidR="007E0B4B" w:rsidRPr="002729A0">
        <w:rPr>
          <w:rFonts w:ascii="Times New Roman" w:hAnsi="Times New Roman" w:cs="Times New Roman"/>
        </w:rPr>
        <w:t>were</w:t>
      </w:r>
      <w:r w:rsidRPr="002729A0">
        <w:rPr>
          <w:rFonts w:ascii="Times New Roman" w:hAnsi="Times New Roman" w:cs="Times New Roman"/>
        </w:rPr>
        <w:t xml:space="preserve"> more likely to be prepared compared to those who sometimes or never g</w:t>
      </w:r>
      <w:r w:rsidR="007E0B4B" w:rsidRPr="002729A0">
        <w:rPr>
          <w:rFonts w:ascii="Times New Roman" w:hAnsi="Times New Roman" w:cs="Times New Roman"/>
        </w:rPr>
        <w:t>ot</w:t>
      </w:r>
      <w:r w:rsidRPr="002729A0">
        <w:rPr>
          <w:rFonts w:ascii="Times New Roman" w:hAnsi="Times New Roman" w:cs="Times New Roman"/>
        </w:rPr>
        <w:t xml:space="preserve"> information, although the adjusted odds for sometimes and never </w:t>
      </w:r>
      <w:r w:rsidR="007E0B4B" w:rsidRPr="002729A0">
        <w:rPr>
          <w:rFonts w:ascii="Times New Roman" w:hAnsi="Times New Roman" w:cs="Times New Roman"/>
        </w:rPr>
        <w:t>were</w:t>
      </w:r>
      <w:r w:rsidRPr="002729A0">
        <w:rPr>
          <w:rFonts w:ascii="Times New Roman" w:hAnsi="Times New Roman" w:cs="Times New Roman"/>
        </w:rPr>
        <w:t xml:space="preserve"> not statistically significant (</w:t>
      </w:r>
      <w:proofErr w:type="spellStart"/>
      <w:r w:rsidRPr="002729A0">
        <w:rPr>
          <w:rFonts w:ascii="Times New Roman" w:hAnsi="Times New Roman" w:cs="Times New Roman"/>
        </w:rPr>
        <w:t>aOR</w:t>
      </w:r>
      <w:proofErr w:type="spellEnd"/>
      <w:r w:rsidRPr="002729A0">
        <w:rPr>
          <w:rFonts w:ascii="Times New Roman" w:hAnsi="Times New Roman" w:cs="Times New Roman"/>
        </w:rPr>
        <w:t xml:space="preserve">=0.73, p=0.43; </w:t>
      </w:r>
      <w:proofErr w:type="spellStart"/>
      <w:r w:rsidRPr="002729A0">
        <w:rPr>
          <w:rFonts w:ascii="Times New Roman" w:hAnsi="Times New Roman" w:cs="Times New Roman"/>
        </w:rPr>
        <w:t>aOR</w:t>
      </w:r>
      <w:proofErr w:type="spellEnd"/>
      <w:r w:rsidRPr="002729A0">
        <w:rPr>
          <w:rFonts w:ascii="Times New Roman" w:hAnsi="Times New Roman" w:cs="Times New Roman"/>
        </w:rPr>
        <w:t xml:space="preserve">=0.74, p=0.611, respectively). </w:t>
      </w:r>
      <w:r w:rsidR="007E0B4B" w:rsidRPr="002729A0">
        <w:rPr>
          <w:rFonts w:ascii="Times New Roman" w:hAnsi="Times New Roman" w:cs="Times New Roman"/>
        </w:rPr>
        <w:t xml:space="preserve"> </w:t>
      </w:r>
      <w:r w:rsidRPr="002729A0">
        <w:rPr>
          <w:rFonts w:ascii="Times New Roman" w:hAnsi="Times New Roman" w:cs="Times New Roman"/>
        </w:rPr>
        <w:t xml:space="preserve">Communities where government staff regularly check on PHE effects </w:t>
      </w:r>
      <w:r w:rsidR="00D27F98" w:rsidRPr="002729A0">
        <w:rPr>
          <w:rFonts w:ascii="Times New Roman" w:hAnsi="Times New Roman" w:cs="Times New Roman"/>
        </w:rPr>
        <w:t xml:space="preserve">were </w:t>
      </w:r>
      <w:r w:rsidRPr="002729A0">
        <w:rPr>
          <w:rFonts w:ascii="Times New Roman" w:hAnsi="Times New Roman" w:cs="Times New Roman"/>
        </w:rPr>
        <w:t xml:space="preserve">significantly more prepared, with an </w:t>
      </w:r>
      <w:proofErr w:type="spellStart"/>
      <w:r w:rsidRPr="002729A0">
        <w:rPr>
          <w:rFonts w:ascii="Times New Roman" w:hAnsi="Times New Roman" w:cs="Times New Roman"/>
        </w:rPr>
        <w:t>aOR</w:t>
      </w:r>
      <w:proofErr w:type="spellEnd"/>
      <w:r w:rsidRPr="002729A0">
        <w:rPr>
          <w:rFonts w:ascii="Times New Roman" w:hAnsi="Times New Roman" w:cs="Times New Roman"/>
        </w:rPr>
        <w:t xml:space="preserve"> of 6.19 (p&lt;0.001).</w:t>
      </w:r>
      <w:r w:rsidR="007E0B4B" w:rsidRPr="002729A0">
        <w:rPr>
          <w:rFonts w:ascii="Times New Roman" w:hAnsi="Times New Roman" w:cs="Times New Roman"/>
        </w:rPr>
        <w:t xml:space="preserve"> </w:t>
      </w:r>
      <w:r w:rsidRPr="002729A0">
        <w:rPr>
          <w:rFonts w:ascii="Times New Roman" w:hAnsi="Times New Roman" w:cs="Times New Roman"/>
        </w:rPr>
        <w:t>Residents who g</w:t>
      </w:r>
      <w:r w:rsidR="007E0B4B" w:rsidRPr="002729A0">
        <w:rPr>
          <w:rFonts w:ascii="Times New Roman" w:hAnsi="Times New Roman" w:cs="Times New Roman"/>
        </w:rPr>
        <w:t>o</w:t>
      </w:r>
      <w:r w:rsidRPr="002729A0">
        <w:rPr>
          <w:rFonts w:ascii="Times New Roman" w:hAnsi="Times New Roman" w:cs="Times New Roman"/>
        </w:rPr>
        <w:t xml:space="preserve">t their information from community health volunteers (CHVs) or leaders </w:t>
      </w:r>
      <w:r w:rsidR="007E0B4B" w:rsidRPr="002729A0">
        <w:rPr>
          <w:rFonts w:ascii="Times New Roman" w:hAnsi="Times New Roman" w:cs="Times New Roman"/>
        </w:rPr>
        <w:t>were</w:t>
      </w:r>
      <w:r w:rsidRPr="002729A0">
        <w:rPr>
          <w:rFonts w:ascii="Times New Roman" w:hAnsi="Times New Roman" w:cs="Times New Roman"/>
        </w:rPr>
        <w:t xml:space="preserve"> less likely to be prepared compared to those who </w:t>
      </w:r>
      <w:r w:rsidR="007E0B4B" w:rsidRPr="002729A0">
        <w:rPr>
          <w:rFonts w:ascii="Times New Roman" w:hAnsi="Times New Roman" w:cs="Times New Roman"/>
        </w:rPr>
        <w:t>relied</w:t>
      </w:r>
      <w:r w:rsidRPr="002729A0">
        <w:rPr>
          <w:rFonts w:ascii="Times New Roman" w:hAnsi="Times New Roman" w:cs="Times New Roman"/>
        </w:rPr>
        <w:t xml:space="preserve"> radios or TVs, although the adjusted odds for CHVs and </w:t>
      </w:r>
      <w:r w:rsidR="00422541" w:rsidRPr="002729A0">
        <w:rPr>
          <w:rFonts w:ascii="Times New Roman" w:hAnsi="Times New Roman" w:cs="Times New Roman"/>
        </w:rPr>
        <w:t>leaders were</w:t>
      </w:r>
      <w:r w:rsidRPr="002729A0">
        <w:rPr>
          <w:rFonts w:ascii="Times New Roman" w:hAnsi="Times New Roman" w:cs="Times New Roman"/>
        </w:rPr>
        <w:t xml:space="preserve"> not significant (</w:t>
      </w:r>
      <w:proofErr w:type="spellStart"/>
      <w:r w:rsidRPr="002729A0">
        <w:rPr>
          <w:rFonts w:ascii="Times New Roman" w:hAnsi="Times New Roman" w:cs="Times New Roman"/>
        </w:rPr>
        <w:t>aOR</w:t>
      </w:r>
      <w:proofErr w:type="spellEnd"/>
      <w:r w:rsidRPr="002729A0">
        <w:rPr>
          <w:rFonts w:ascii="Times New Roman" w:hAnsi="Times New Roman" w:cs="Times New Roman"/>
        </w:rPr>
        <w:t xml:space="preserve">=0.65, p=0.295; </w:t>
      </w:r>
      <w:proofErr w:type="spellStart"/>
      <w:r w:rsidRPr="002729A0">
        <w:rPr>
          <w:rFonts w:ascii="Times New Roman" w:hAnsi="Times New Roman" w:cs="Times New Roman"/>
        </w:rPr>
        <w:t>aOR</w:t>
      </w:r>
      <w:proofErr w:type="spellEnd"/>
      <w:r w:rsidRPr="002729A0">
        <w:rPr>
          <w:rFonts w:ascii="Times New Roman" w:hAnsi="Times New Roman" w:cs="Times New Roman"/>
        </w:rPr>
        <w:t>=0.44, p=0.399, respectively</w:t>
      </w:r>
    </w:p>
    <w:p w14:paraId="042D78B2" w14:textId="77777777" w:rsidR="003F4E6E" w:rsidRPr="002729A0" w:rsidRDefault="003F4E6E" w:rsidP="002729A0">
      <w:pPr>
        <w:spacing w:line="240" w:lineRule="auto"/>
        <w:jc w:val="both"/>
        <w:rPr>
          <w:rFonts w:ascii="Times New Roman" w:hAnsi="Times New Roman" w:cs="Times New Roman"/>
          <w:b/>
          <w:bCs/>
        </w:rPr>
      </w:pPr>
    </w:p>
    <w:p w14:paraId="32A90637" w14:textId="77777777" w:rsidR="003F4E6E" w:rsidRPr="002729A0" w:rsidRDefault="003F4E6E" w:rsidP="002729A0">
      <w:pPr>
        <w:spacing w:line="240" w:lineRule="auto"/>
        <w:jc w:val="both"/>
        <w:rPr>
          <w:rFonts w:ascii="Times New Roman" w:hAnsi="Times New Roman" w:cs="Times New Roman"/>
          <w:b/>
          <w:bCs/>
        </w:rPr>
      </w:pPr>
    </w:p>
    <w:p w14:paraId="0E990DF5" w14:textId="7C4E948E" w:rsidR="003F4E6E" w:rsidRPr="002729A0" w:rsidRDefault="006B70E3" w:rsidP="002729A0">
      <w:pPr>
        <w:spacing w:after="0" w:line="240" w:lineRule="auto"/>
        <w:jc w:val="both"/>
        <w:rPr>
          <w:rFonts w:ascii="Times New Roman" w:hAnsi="Times New Roman" w:cs="Times New Roman"/>
        </w:rPr>
      </w:pPr>
      <w:r w:rsidRPr="002729A0">
        <w:rPr>
          <w:rFonts w:ascii="Times New Roman" w:hAnsi="Times New Roman" w:cs="Times New Roman"/>
          <w:b/>
          <w:bCs/>
        </w:rPr>
        <w:t>Conclusion</w:t>
      </w:r>
    </w:p>
    <w:p w14:paraId="5BD85C23" w14:textId="44305E28" w:rsidR="00AA0D83" w:rsidRPr="002729A0" w:rsidRDefault="00553B48" w:rsidP="002729A0">
      <w:pPr>
        <w:spacing w:after="0" w:line="240" w:lineRule="auto"/>
        <w:jc w:val="both"/>
        <w:rPr>
          <w:rFonts w:ascii="Times New Roman" w:hAnsi="Times New Roman" w:cs="Times New Roman"/>
        </w:rPr>
      </w:pPr>
      <w:r w:rsidRPr="002729A0">
        <w:rPr>
          <w:rFonts w:ascii="Times New Roman" w:hAnsi="Times New Roman" w:cs="Times New Roman"/>
        </w:rPr>
        <w:lastRenderedPageBreak/>
        <w:t>Key findings emphasize the role of demographic factors, including age, marital status, education level, and occupation, in influencing individual preparedness. Notably, younger, married, self-employed, and lower-educated individuals exhibited higher preparedness rates, indicating that targeted strategies are essential for engaging various demographic groups.</w:t>
      </w:r>
      <w:r w:rsidR="00AA0D83" w:rsidRPr="002729A0">
        <w:rPr>
          <w:rFonts w:ascii="Times New Roman" w:hAnsi="Times New Roman" w:cs="Times New Roman"/>
        </w:rPr>
        <w:t xml:space="preserve"> </w:t>
      </w:r>
      <w:r w:rsidRPr="002729A0">
        <w:rPr>
          <w:rFonts w:ascii="Times New Roman" w:hAnsi="Times New Roman" w:cs="Times New Roman"/>
        </w:rPr>
        <w:t>Religious and cultural factors also play a significant role, with Christians showing higher preparedness rates than Muslims</w:t>
      </w:r>
    </w:p>
    <w:p w14:paraId="1FBA4E9C" w14:textId="77777777" w:rsidR="00AA0D83" w:rsidRPr="002729A0" w:rsidRDefault="00AA0D83" w:rsidP="002729A0">
      <w:pPr>
        <w:spacing w:after="0" w:line="240" w:lineRule="auto"/>
        <w:jc w:val="both"/>
        <w:rPr>
          <w:rFonts w:ascii="Times New Roman" w:hAnsi="Times New Roman" w:cs="Times New Roman"/>
        </w:rPr>
      </w:pPr>
    </w:p>
    <w:p w14:paraId="74A4A4BB" w14:textId="16539651" w:rsidR="006B70E3" w:rsidRPr="002729A0" w:rsidRDefault="006B70E3" w:rsidP="002729A0">
      <w:pPr>
        <w:spacing w:after="0" w:line="240" w:lineRule="auto"/>
        <w:jc w:val="both"/>
        <w:rPr>
          <w:rFonts w:ascii="Times New Roman" w:hAnsi="Times New Roman" w:cs="Times New Roman"/>
          <w:b/>
          <w:bCs/>
        </w:rPr>
      </w:pPr>
      <w:r w:rsidRPr="002729A0">
        <w:rPr>
          <w:rFonts w:ascii="Times New Roman" w:hAnsi="Times New Roman" w:cs="Times New Roman"/>
          <w:b/>
          <w:bCs/>
        </w:rPr>
        <w:t>Introduction</w:t>
      </w:r>
    </w:p>
    <w:p w14:paraId="0626A7E3" w14:textId="653116EA" w:rsidR="007C6ECC" w:rsidRPr="002729A0" w:rsidRDefault="004E4A74" w:rsidP="002729A0">
      <w:pPr>
        <w:spacing w:after="0" w:line="240" w:lineRule="auto"/>
        <w:jc w:val="both"/>
        <w:rPr>
          <w:rFonts w:ascii="Times New Roman" w:hAnsi="Times New Roman" w:cs="Times New Roman"/>
        </w:rPr>
      </w:pPr>
      <w:r w:rsidRPr="002729A0">
        <w:rPr>
          <w:rFonts w:ascii="Times New Roman" w:hAnsi="Times New Roman" w:cs="Times New Roman"/>
        </w:rPr>
        <w:t xml:space="preserve">Community-level public health emergencies (PHE) and disasters increasingly pose considerable public health threat in low and middle-income countries. Worldwide, public health emergencies and disasters create complex health and social contexts due to disruptions in public health systems and community functioning, particularly in resource-poor regions </w:t>
      </w:r>
      <w:r w:rsidR="00012CCE" w:rsidRPr="002729A0">
        <w:rPr>
          <w:rFonts w:ascii="Times New Roman" w:hAnsi="Times New Roman" w:cs="Times New Roman"/>
        </w:rPr>
        <w:fldChar w:fldCharType="begin"/>
      </w:r>
      <w:r w:rsidR="00012CCE" w:rsidRPr="002729A0">
        <w:rPr>
          <w:rFonts w:ascii="Times New Roman" w:hAnsi="Times New Roman" w:cs="Times New Roman"/>
        </w:rPr>
        <w:instrText xml:space="preserve"> ADDIN EN.CITE &lt;EndNote&gt;&lt;Cite&gt;&lt;Author&gt;Singh&lt;/Author&gt;&lt;Year&gt;2021&lt;/Year&gt;&lt;RecNum&gt;126&lt;/RecNum&gt;&lt;DisplayText&gt;[1]&lt;/DisplayText&gt;&lt;record&gt;&lt;rec-number&gt;126&lt;/rec-number&gt;&lt;foreign-keys&gt;&lt;key app="EN" db-id="vs0frvazl2v0tyexsxlvspsbf9d52p0r9zwd" timestamp="1729430362"&gt;126&lt;/key&gt;&lt;/foreign-keys&gt;&lt;ref-type name="Journal Article"&gt;17&lt;/ref-type&gt;&lt;contributors&gt;&lt;authors&gt;&lt;author&gt;Singh, Devendra Raj&lt;/author&gt;&lt;author&gt;Sunuwar, Dev Ram&lt;/author&gt;&lt;author&gt;Shah, Sunil Kumar&lt;/author&gt;&lt;author&gt;Karki, Kshitij&lt;/author&gt;&lt;author&gt;Sah, Lalita Kumari&lt;/author&gt;&lt;author&gt;Adhikari, Bipin&lt;/author&gt;&lt;author&gt;Sah, Rajeeb Kumar&lt;/author&gt;&lt;/authors&gt;&lt;/contributors&gt;&lt;titles&gt;&lt;title&gt;Impact of COVID-19 on health services utilization in Province-2 of Nepal: a qualitative study among community members and stakeholders&lt;/title&gt;&lt;secondary-title&gt;BMC health services research&lt;/secondary-title&gt;&lt;/titles&gt;&lt;periodical&gt;&lt;full-title&gt;BMC health services research&lt;/full-title&gt;&lt;/periodical&gt;&lt;pages&gt;1-14&lt;/pages&gt;&lt;volume&gt;21&lt;/volume&gt;&lt;dates&gt;&lt;year&gt;2021&lt;/year&gt;&lt;/dates&gt;&lt;urls&gt;&lt;/urls&gt;&lt;/record&gt;&lt;/Cite&gt;&lt;/EndNote&gt;</w:instrText>
      </w:r>
      <w:r w:rsidR="00012CCE" w:rsidRPr="002729A0">
        <w:rPr>
          <w:rFonts w:ascii="Times New Roman" w:hAnsi="Times New Roman" w:cs="Times New Roman"/>
        </w:rPr>
        <w:fldChar w:fldCharType="separate"/>
      </w:r>
      <w:r w:rsidR="00012CCE" w:rsidRPr="002729A0">
        <w:rPr>
          <w:rFonts w:ascii="Times New Roman" w:hAnsi="Times New Roman" w:cs="Times New Roman"/>
          <w:noProof/>
        </w:rPr>
        <w:t>[1]</w:t>
      </w:r>
      <w:r w:rsidR="00012CCE" w:rsidRPr="002729A0">
        <w:rPr>
          <w:rFonts w:ascii="Times New Roman" w:hAnsi="Times New Roman" w:cs="Times New Roman"/>
        </w:rPr>
        <w:fldChar w:fldCharType="end"/>
      </w:r>
      <w:r w:rsidRPr="002729A0">
        <w:rPr>
          <w:rFonts w:ascii="Times New Roman" w:hAnsi="Times New Roman" w:cs="Times New Roman"/>
        </w:rPr>
        <w:t xml:space="preserve">. Low and Middle-Income Countries (LMIC) have insufficient information on community-level preparedness, engagement and response capabilities to public health emergencies as opposed to the national levels </w:t>
      </w:r>
      <w:r w:rsidR="00012CCE" w:rsidRPr="002729A0">
        <w:rPr>
          <w:rFonts w:ascii="Times New Roman" w:hAnsi="Times New Roman" w:cs="Times New Roman"/>
        </w:rPr>
        <w:fldChar w:fldCharType="begin"/>
      </w:r>
      <w:r w:rsidR="00012CCE" w:rsidRPr="002729A0">
        <w:rPr>
          <w:rFonts w:ascii="Times New Roman" w:hAnsi="Times New Roman" w:cs="Times New Roman"/>
        </w:rPr>
        <w:instrText xml:space="preserve"> ADDIN EN.CITE &lt;EndNote&gt;&lt;Cite&gt;&lt;Author&gt;Warsame&lt;/Author&gt;&lt;Year&gt;2020&lt;/Year&gt;&lt;RecNum&gt;75&lt;/RecNum&gt;&lt;DisplayText&gt;[2]&lt;/DisplayText&gt;&lt;record&gt;&lt;rec-number&gt;75&lt;/rec-number&gt;&lt;foreign-keys&gt;&lt;key app="EN" db-id="vs0frvazl2v0tyexsxlvspsbf9d52p0r9zwd" timestamp="1729428356"&gt;75&lt;/key&gt;&lt;/foreign-keys&gt;&lt;ref-type name="Journal Article"&gt;17&lt;/ref-type&gt;&lt;contributors&gt;&lt;authors&gt;&lt;author&gt;Warsame, Abdihamid&lt;/author&gt;&lt;author&gt;Blanchet, Karl&lt;/author&gt;&lt;author&gt;Checchi, Francesco&lt;/author&gt;&lt;/authors&gt;&lt;/contributors&gt;&lt;titles&gt;&lt;title&gt;Towards systematic evaluation of epidemic responses during humanitarian crises: a scoping review of existing public health evaluation frameworks&lt;/title&gt;&lt;secondary-title&gt;BMJ global health&lt;/secondary-title&gt;&lt;/titles&gt;&lt;periodical&gt;&lt;full-title&gt;BMJ global health&lt;/full-title&gt;&lt;/periodical&gt;&lt;pages&gt;e002109&lt;/pages&gt;&lt;volume&gt;5&lt;/volume&gt;&lt;number&gt;1&lt;/number&gt;&lt;dates&gt;&lt;year&gt;2020&lt;/year&gt;&lt;/dates&gt;&lt;isbn&gt;2059-7908&lt;/isbn&gt;&lt;urls&gt;&lt;/urls&gt;&lt;/record&gt;&lt;/Cite&gt;&lt;/EndNote&gt;</w:instrText>
      </w:r>
      <w:r w:rsidR="00012CCE" w:rsidRPr="002729A0">
        <w:rPr>
          <w:rFonts w:ascii="Times New Roman" w:hAnsi="Times New Roman" w:cs="Times New Roman"/>
        </w:rPr>
        <w:fldChar w:fldCharType="separate"/>
      </w:r>
      <w:r w:rsidR="00012CCE" w:rsidRPr="002729A0">
        <w:rPr>
          <w:rFonts w:ascii="Times New Roman" w:hAnsi="Times New Roman" w:cs="Times New Roman"/>
          <w:noProof/>
        </w:rPr>
        <w:t>[2]</w:t>
      </w:r>
      <w:r w:rsidR="00012CCE" w:rsidRPr="002729A0">
        <w:rPr>
          <w:rFonts w:ascii="Times New Roman" w:hAnsi="Times New Roman" w:cs="Times New Roman"/>
        </w:rPr>
        <w:fldChar w:fldCharType="end"/>
      </w:r>
      <w:r w:rsidRPr="002729A0">
        <w:rPr>
          <w:rFonts w:ascii="Times New Roman" w:hAnsi="Times New Roman" w:cs="Times New Roman"/>
        </w:rPr>
        <w:t xml:space="preserve">. In sub-Saharan Africa, strategies for early warning and reduction of health risks during and after emergencies primarily exist, but community involvement is often less explicit </w:t>
      </w:r>
      <w:r w:rsidR="00012CCE" w:rsidRPr="002729A0">
        <w:rPr>
          <w:rFonts w:ascii="Times New Roman" w:hAnsi="Times New Roman" w:cs="Times New Roman"/>
        </w:rPr>
        <w:fldChar w:fldCharType="begin"/>
      </w:r>
      <w:r w:rsidR="00012CCE" w:rsidRPr="002729A0">
        <w:rPr>
          <w:rFonts w:ascii="Times New Roman" w:hAnsi="Times New Roman" w:cs="Times New Roman"/>
        </w:rPr>
        <w:instrText xml:space="preserve"> ADDIN EN.CITE &lt;EndNote&gt;&lt;Cite&gt;&lt;Author&gt;Maat&lt;/Author&gt;&lt;RecNum&gt;76&lt;/RecNum&gt;&lt;DisplayText&gt;[3]&lt;/DisplayText&gt;&lt;record&gt;&lt;rec-number&gt;76&lt;/rec-number&gt;&lt;foreign-keys&gt;&lt;key app="EN" db-id="vs0frvazl2v0tyexsxlvspsbf9d52p0r9zwd" timestamp="1729428356"&gt;76&lt;/key&gt;&lt;/foreign-keys&gt;&lt;ref-type name="Journal Article"&gt;17&lt;/ref-type&gt;&lt;contributors&gt;&lt;authors&gt;&lt;author&gt;Maat, Harro&lt;/author&gt;&lt;author&gt;Balabanova, Dina&lt;/author&gt;&lt;author&gt;Mokuwa, Esther&lt;/author&gt;&lt;author&gt;Richards, Paul&lt;/author&gt;&lt;author&gt;Mohan, Vik&lt;/author&gt;&lt;author&gt;Ssengooba, Freddie&lt;/author&gt;&lt;author&gt;Twinomuhangi, Revocatus&lt;/author&gt;&lt;author&gt;Woldie, Mirkuzie&lt;/author&gt;&lt;author&gt;Mayhew, Susannah&lt;/author&gt;&lt;/authors&gt;&lt;/contributors&gt;&lt;titles&gt;&lt;title&gt;Towards Sustainable Community-Based Systems for Infectious Disease and Disaster Response&lt;/title&gt;&lt;/titles&gt;&lt;dates&gt;&lt;/dates&gt;&lt;urls&gt;&lt;/urls&gt;&lt;/record&gt;&lt;/Cite&gt;&lt;/EndNote&gt;</w:instrText>
      </w:r>
      <w:r w:rsidR="00012CCE" w:rsidRPr="002729A0">
        <w:rPr>
          <w:rFonts w:ascii="Times New Roman" w:hAnsi="Times New Roman" w:cs="Times New Roman"/>
        </w:rPr>
        <w:fldChar w:fldCharType="separate"/>
      </w:r>
      <w:r w:rsidR="00012CCE" w:rsidRPr="002729A0">
        <w:rPr>
          <w:rFonts w:ascii="Times New Roman" w:hAnsi="Times New Roman" w:cs="Times New Roman"/>
          <w:noProof/>
        </w:rPr>
        <w:t>[3]</w:t>
      </w:r>
      <w:r w:rsidR="00012CCE" w:rsidRPr="002729A0">
        <w:rPr>
          <w:rFonts w:ascii="Times New Roman" w:hAnsi="Times New Roman" w:cs="Times New Roman"/>
        </w:rPr>
        <w:fldChar w:fldCharType="end"/>
      </w:r>
      <w:r w:rsidRPr="002729A0">
        <w:rPr>
          <w:rFonts w:ascii="Times New Roman" w:hAnsi="Times New Roman" w:cs="Times New Roman"/>
        </w:rPr>
        <w:t xml:space="preserve">. </w:t>
      </w:r>
    </w:p>
    <w:p w14:paraId="450BB4D5" w14:textId="672B0453" w:rsidR="005C68DA" w:rsidRPr="002729A0" w:rsidRDefault="005C68DA" w:rsidP="002729A0">
      <w:pPr>
        <w:spacing w:line="240" w:lineRule="auto"/>
        <w:jc w:val="both"/>
        <w:rPr>
          <w:rFonts w:ascii="Times New Roman" w:hAnsi="Times New Roman" w:cs="Times New Roman"/>
          <w:lang w:val="en-GB"/>
        </w:rPr>
      </w:pPr>
      <w:r w:rsidRPr="002729A0">
        <w:rPr>
          <w:rFonts w:ascii="Times New Roman" w:hAnsi="Times New Roman" w:cs="Times New Roman"/>
          <w:lang w:val="en-GB"/>
        </w:rPr>
        <w:t xml:space="preserve">Understanding the community-level engagement and participation in dealing with public health emergencies in Africa is critical to successful risk reduction and management </w:t>
      </w:r>
      <w:r w:rsidRPr="002729A0">
        <w:rPr>
          <w:rFonts w:ascii="Times New Roman" w:hAnsi="Times New Roman" w:cs="Times New Roman"/>
          <w:lang w:val="en-GB"/>
        </w:rPr>
        <w:fldChar w:fldCharType="begin"/>
      </w:r>
      <w:r w:rsidR="00012CCE" w:rsidRPr="002729A0">
        <w:rPr>
          <w:rFonts w:ascii="Times New Roman" w:hAnsi="Times New Roman" w:cs="Times New Roman"/>
          <w:lang w:val="en-GB"/>
        </w:rPr>
        <w:instrText xml:space="preserve"> ADDIN EN.CITE &lt;EndNote&gt;&lt;Cite&gt;&lt;Author&gt;Corbin&lt;/Author&gt;&lt;Year&gt;2021&lt;/Year&gt;&lt;RecNum&gt;879&lt;/RecNum&gt;&lt;DisplayText&gt;[4]&lt;/DisplayText&gt;&lt;record&gt;&lt;rec-number&gt;879&lt;/rec-number&gt;&lt;foreign-keys&gt;&lt;key app="EN" db-id="x59tx9arpxfr2heds9a5axddsvx5twa55wwx" timestamp="1723649864"&gt;879&lt;/key&gt;&lt;/foreign-keys&gt;&lt;ref-type name="Journal Article"&gt;17&lt;/ref-type&gt;&lt;contributors&gt;&lt;authors&gt;&lt;author&gt;Corbin, J Hope&lt;/author&gt;&lt;author&gt;Oyene, Ukam Ebe&lt;/author&gt;&lt;author&gt;Manoncourt, Erma&lt;/author&gt;&lt;author&gt;Onya, Hans&lt;/author&gt;&lt;author&gt;Kwamboka, Metrine&lt;/author&gt;&lt;author&gt;Amuyunzu-Nyamongo, Mary&lt;/author&gt;&lt;author&gt;Sørensen, Kristine&lt;/author&gt;&lt;author&gt;Mweemba, Oliver&lt;/author&gt;&lt;author&gt;Barry, Margaret M&lt;/author&gt;&lt;author&gt;Munodawafa, Davison&lt;/author&gt;&lt;/authors&gt;&lt;/contributors&gt;&lt;titles&gt;&lt;title&gt;A health promotion approach to emergency management: effective community engagement strategies from five cases&lt;/title&gt;&lt;secondary-title&gt;Health promotion international&lt;/secondary-title&gt;&lt;/titles&gt;&lt;periodical&gt;&lt;full-title&gt;Health promotion international&lt;/full-title&gt;&lt;/periodical&gt;&lt;pages&gt;i24-i38&lt;/pages&gt;&lt;volume&gt;36&lt;/volume&gt;&lt;number&gt;Supplement_1&lt;/number&gt;&lt;dates&gt;&lt;year&gt;2021&lt;/year&gt;&lt;/dates&gt;&lt;isbn&gt;1460-2245&lt;/isbn&gt;&lt;urls&gt;&lt;/urls&gt;&lt;/record&gt;&lt;/Cite&gt;&lt;/EndNote&gt;</w:instrText>
      </w:r>
      <w:r w:rsidRPr="002729A0">
        <w:rPr>
          <w:rFonts w:ascii="Times New Roman" w:hAnsi="Times New Roman" w:cs="Times New Roman"/>
          <w:lang w:val="en-GB"/>
        </w:rPr>
        <w:fldChar w:fldCharType="separate"/>
      </w:r>
      <w:r w:rsidR="00012CCE" w:rsidRPr="002729A0">
        <w:rPr>
          <w:rFonts w:ascii="Times New Roman" w:hAnsi="Times New Roman" w:cs="Times New Roman"/>
          <w:noProof/>
          <w:lang w:val="en-GB"/>
        </w:rPr>
        <w:t>[4]</w:t>
      </w:r>
      <w:r w:rsidRPr="002729A0">
        <w:rPr>
          <w:rFonts w:ascii="Times New Roman" w:hAnsi="Times New Roman" w:cs="Times New Roman"/>
        </w:rPr>
        <w:fldChar w:fldCharType="end"/>
      </w:r>
      <w:r w:rsidRPr="002729A0">
        <w:rPr>
          <w:rFonts w:ascii="Times New Roman" w:hAnsi="Times New Roman" w:cs="Times New Roman"/>
          <w:lang w:val="en-GB"/>
        </w:rPr>
        <w:t>,</w:t>
      </w:r>
    </w:p>
    <w:p w14:paraId="6D252B9D" w14:textId="179229E2" w:rsidR="005C68DA" w:rsidRPr="002729A0" w:rsidRDefault="005C68DA" w:rsidP="002729A0">
      <w:pPr>
        <w:spacing w:line="240" w:lineRule="auto"/>
        <w:jc w:val="both"/>
        <w:rPr>
          <w:rFonts w:ascii="Times New Roman" w:hAnsi="Times New Roman" w:cs="Times New Roman"/>
        </w:rPr>
      </w:pPr>
      <w:r w:rsidRPr="002729A0">
        <w:rPr>
          <w:rFonts w:ascii="Times New Roman" w:hAnsi="Times New Roman" w:cs="Times New Roman"/>
        </w:rPr>
        <w:t xml:space="preserve">In the local context, the Kenya health policy 2014-2030 and the constitution of Kenya 2010 emphasize and provide the legal framework for the involvement of communities and strengthening their engagement to foster local ownership and trust. This is consistent with the international frameworks that advocate an ‘all-of-society (those who may be affected by PHE) and all-of-State approach (government actors)’ to allow for harnessing available resources while promoting inclusivity </w:t>
      </w:r>
      <w:r w:rsidRPr="002729A0">
        <w:rPr>
          <w:rFonts w:ascii="Times New Roman" w:hAnsi="Times New Roman" w:cs="Times New Roman"/>
        </w:rPr>
        <w:fldChar w:fldCharType="begin"/>
      </w:r>
      <w:r w:rsidR="00012CCE" w:rsidRPr="002729A0">
        <w:rPr>
          <w:rFonts w:ascii="Times New Roman" w:hAnsi="Times New Roman" w:cs="Times New Roman"/>
        </w:rPr>
        <w:instrText xml:space="preserve"> ADDIN EN.CITE &lt;EndNote&gt;&lt;Cite&gt;&lt;Author&gt;Saner&lt;/Author&gt;&lt;Year&gt;2020&lt;/Year&gt;&lt;RecNum&gt;16&lt;/RecNum&gt;&lt;DisplayText&gt;[5]&lt;/DisplayText&gt;&lt;record&gt;&lt;rec-number&gt;16&lt;/rec-number&gt;&lt;foreign-keys&gt;&lt;key app="EN" db-id="zwewtpdwt0dwxoe5ffrx9fdkr2a9fr9ddrz9" timestamp="1694674282"&gt;16&lt;/key&gt;&lt;/foreign-keys&gt;&lt;ref-type name="Journal Article"&gt;17&lt;/ref-type&gt;&lt;contributors&gt;&lt;authors&gt;&lt;author&gt;Saner, Raymond&lt;/author&gt;&lt;author&gt;Yiu, Lichia&lt;/author&gt;&lt;author&gt;Nguyen, Melanie&lt;/author&gt;&lt;/authors&gt;&lt;/contributors&gt;&lt;titles&gt;&lt;title&gt;Monitoring the SDGs: digital and social technologies to ensure citizen participation, inclusiveness and transparency&lt;/title&gt;&lt;secondary-title&gt;Development Policy Review&lt;/secondary-title&gt;&lt;/titles&gt;&lt;periodical&gt;&lt;full-title&gt;Development Policy Review&lt;/full-title&gt;&lt;/periodical&gt;&lt;pages&gt;483-500&lt;/pages&gt;&lt;volume&gt;38&lt;/volume&gt;&lt;number&gt;4&lt;/number&gt;&lt;dates&gt;&lt;year&gt;2020&lt;/year&gt;&lt;/dates&gt;&lt;isbn&gt;0950-6764&lt;/isbn&gt;&lt;urls&gt;&lt;/urls&gt;&lt;/record&gt;&lt;/Cite&gt;&lt;/EndNote&gt;</w:instrText>
      </w:r>
      <w:r w:rsidRPr="002729A0">
        <w:rPr>
          <w:rFonts w:ascii="Times New Roman" w:hAnsi="Times New Roman" w:cs="Times New Roman"/>
        </w:rPr>
        <w:fldChar w:fldCharType="separate"/>
      </w:r>
      <w:r w:rsidR="00012CCE" w:rsidRPr="002729A0">
        <w:rPr>
          <w:rFonts w:ascii="Times New Roman" w:hAnsi="Times New Roman" w:cs="Times New Roman"/>
          <w:noProof/>
        </w:rPr>
        <w:t>[5]</w:t>
      </w:r>
      <w:r w:rsidRPr="002729A0">
        <w:rPr>
          <w:rFonts w:ascii="Times New Roman" w:hAnsi="Times New Roman" w:cs="Times New Roman"/>
        </w:rPr>
        <w:fldChar w:fldCharType="end"/>
      </w:r>
      <w:r w:rsidRPr="002729A0">
        <w:rPr>
          <w:rFonts w:ascii="Times New Roman" w:hAnsi="Times New Roman" w:cs="Times New Roman"/>
        </w:rPr>
        <w:t xml:space="preserve">. According to </w:t>
      </w:r>
      <w:r w:rsidRPr="002729A0">
        <w:rPr>
          <w:rFonts w:ascii="Times New Roman" w:hAnsi="Times New Roman" w:cs="Times New Roman"/>
        </w:rPr>
        <w:fldChar w:fldCharType="begin"/>
      </w:r>
      <w:r w:rsidR="00012CCE" w:rsidRPr="002729A0">
        <w:rPr>
          <w:rFonts w:ascii="Times New Roman" w:hAnsi="Times New Roman" w:cs="Times New Roman"/>
        </w:rPr>
        <w:instrText xml:space="preserve"> ADDIN EN.CITE &lt;EndNote&gt;&lt;Cite&gt;&lt;Author&gt;Canton&lt;/Author&gt;&lt;Year&gt;2019&lt;/Year&gt;&lt;RecNum&gt;881&lt;/RecNum&gt;&lt;DisplayText&gt;[6]&lt;/DisplayText&gt;&lt;record&gt;&lt;rec-number&gt;881&lt;/rec-number&gt;&lt;foreign-keys&gt;&lt;key app="EN" db-id="x59tx9arpxfr2heds9a5axddsvx5twa55wwx" timestamp="1723654495"&gt;881&lt;/key&gt;&lt;/foreign-keys&gt;&lt;ref-type name="Book"&gt;6&lt;/ref-type&gt;&lt;contributors&gt;&lt;authors&gt;&lt;author&gt;Canton, Lucien G&lt;/author&gt;&lt;/authors&gt;&lt;/contributors&gt;&lt;titles&gt;&lt;title&gt;Emergency management: Concepts and strategies for effective programs&lt;/title&gt;&lt;/titles&gt;&lt;dates&gt;&lt;year&gt;2019&lt;/year&gt;&lt;/dates&gt;&lt;publisher&gt;John Wiley &amp;amp; Sons&lt;/publisher&gt;&lt;isbn&gt;1119066859&lt;/isbn&gt;&lt;urls&gt;&lt;/urls&gt;&lt;/record&gt;&lt;/Cite&gt;&lt;/EndNote&gt;</w:instrText>
      </w:r>
      <w:r w:rsidRPr="002729A0">
        <w:rPr>
          <w:rFonts w:ascii="Times New Roman" w:hAnsi="Times New Roman" w:cs="Times New Roman"/>
        </w:rPr>
        <w:fldChar w:fldCharType="separate"/>
      </w:r>
      <w:r w:rsidR="00012CCE" w:rsidRPr="002729A0">
        <w:rPr>
          <w:rFonts w:ascii="Times New Roman" w:hAnsi="Times New Roman" w:cs="Times New Roman"/>
          <w:noProof/>
        </w:rPr>
        <w:t>[6]</w:t>
      </w:r>
      <w:r w:rsidRPr="002729A0">
        <w:rPr>
          <w:rFonts w:ascii="Times New Roman" w:hAnsi="Times New Roman" w:cs="Times New Roman"/>
        </w:rPr>
        <w:fldChar w:fldCharType="end"/>
      </w:r>
      <w:r w:rsidRPr="002729A0">
        <w:rPr>
          <w:rFonts w:ascii="Times New Roman" w:hAnsi="Times New Roman" w:cs="Times New Roman"/>
        </w:rPr>
        <w:t xml:space="preserve">, resources and strategies for emergency response, as well as leadership and coordination mechanisms for implementation, are relatively more substantial at the national than at the County level, however, this does not translate to robust and sustainable intervention outcomes. There is a need to establish community-level awareness and resource capabilities and clarify how to harness their function to ensure the sustainable ‘all-of-society’ approach to preparedness, engagement and response capacities to public health emergencies </w:t>
      </w:r>
      <w:r w:rsidRPr="002729A0">
        <w:rPr>
          <w:rFonts w:ascii="Times New Roman" w:hAnsi="Times New Roman" w:cs="Times New Roman"/>
        </w:rPr>
        <w:fldChar w:fldCharType="begin"/>
      </w:r>
      <w:r w:rsidR="00012CCE" w:rsidRPr="002729A0">
        <w:rPr>
          <w:rFonts w:ascii="Times New Roman" w:hAnsi="Times New Roman" w:cs="Times New Roman"/>
        </w:rPr>
        <w:instrText xml:space="preserve"> ADDIN EN.CITE &lt;EndNote&gt;&lt;Cite&gt;&lt;Author&gt;CDC&lt;/Author&gt;&lt;Year&gt;2018&lt;/Year&gt;&lt;RecNum&gt;4&lt;/RecNum&gt;&lt;DisplayText&gt;[7, 8]&lt;/DisplayText&gt;&lt;record&gt;&lt;rec-number&gt;4&lt;/rec-number&gt;&lt;foreign-keys&gt;&lt;key app="EN" db-id="zwewtpdwt0dwxoe5ffrx9fdkr2a9fr9ddrz9" timestamp="1694674281"&gt;4&lt;/key&gt;&lt;/foreign-keys&gt;&lt;ref-type name="Journal Article"&gt;17&lt;/ref-type&gt;&lt;contributors&gt;&lt;authors&gt;&lt;author&gt;CDC&lt;/author&gt;&lt;/authors&gt;&lt;/contributors&gt;&lt;titles&gt;&lt;title&gt;Centers for Disease Control and Prevention. Underlying Cause of Death, 1999–2018. CDC WONDER Online Database. Atlanta, GA: Centers for Disease Control and Prevention;&lt;/title&gt;&lt;/titles&gt;&lt;dates&gt;&lt;year&gt;2018&lt;/year&gt;&lt;/dates&gt;&lt;urls&gt;&lt;/urls&gt;&lt;/record&gt;&lt;/Cite&gt;&lt;Cite&gt;&lt;Author&gt;Johnson&lt;/Author&gt;&lt;Year&gt;2019&lt;/Year&gt;&lt;RecNum&gt;2&lt;/RecNum&gt;&lt;record&gt;&lt;rec-number&gt;2&lt;/rec-number&gt;&lt;foreign-keys&gt;&lt;key app="EN" db-id="s92a5z2esvsds6e2w5fvaavoedspdfzp9ata" timestamp="1723899359"&gt;2&lt;/key&gt;&lt;/foreign-keys&gt;&lt;ref-type name="Journal Article"&gt;17&lt;/ref-type&gt;&lt;contributors&gt;&lt;authors&gt;&lt;author&gt;Johnson, Emily K&lt;/author&gt;&lt;author&gt;Hardy, Rose&lt;/author&gt;&lt;author&gt;Santos, Tatiane&lt;/author&gt;&lt;author&gt;Leider, Jonathon P&lt;/author&gt;&lt;author&gt;Lindrooth, Richard C&lt;/author&gt;&lt;author&gt;Tung, Gregory J&lt;/author&gt;&lt;/authors&gt;&lt;/contributors&gt;&lt;titles&gt;&lt;title&gt;State laws and nonprofit hospital community benefit spending&lt;/title&gt;&lt;secondary-title&gt;Journal of Public Health Management and Practice&lt;/secondary-title&gt;&lt;/titles&gt;&lt;periodical&gt;&lt;full-title&gt;Journal of Public Health Management and Practice&lt;/full-title&gt;&lt;/periodical&gt;&lt;pages&gt;E9-E17&lt;/pages&gt;&lt;volume&gt;25&lt;/volume&gt;&lt;number&gt;4&lt;/number&gt;&lt;dates&gt;&lt;year&gt;2019&lt;/year&gt;&lt;/dates&gt;&lt;isbn&gt;1078-4659&lt;/isbn&gt;&lt;urls&gt;&lt;/urls&gt;&lt;/record&gt;&lt;/Cite&gt;&lt;/EndNote&gt;</w:instrText>
      </w:r>
      <w:r w:rsidRPr="002729A0">
        <w:rPr>
          <w:rFonts w:ascii="Times New Roman" w:hAnsi="Times New Roman" w:cs="Times New Roman"/>
        </w:rPr>
        <w:fldChar w:fldCharType="separate"/>
      </w:r>
      <w:r w:rsidR="00012CCE" w:rsidRPr="002729A0">
        <w:rPr>
          <w:rFonts w:ascii="Times New Roman" w:hAnsi="Times New Roman" w:cs="Times New Roman"/>
          <w:noProof/>
        </w:rPr>
        <w:t>[7, 8]</w:t>
      </w:r>
      <w:r w:rsidRPr="002729A0">
        <w:rPr>
          <w:rFonts w:ascii="Times New Roman" w:hAnsi="Times New Roman" w:cs="Times New Roman"/>
        </w:rPr>
        <w:fldChar w:fldCharType="end"/>
      </w:r>
      <w:r w:rsidRPr="002729A0">
        <w:rPr>
          <w:rFonts w:ascii="Times New Roman" w:hAnsi="Times New Roman" w:cs="Times New Roman"/>
        </w:rPr>
        <w:t xml:space="preserve">. The study aim </w:t>
      </w:r>
      <w:r w:rsidR="00D9172C" w:rsidRPr="002729A0">
        <w:rPr>
          <w:rFonts w:ascii="Times New Roman" w:hAnsi="Times New Roman" w:cs="Times New Roman"/>
        </w:rPr>
        <w:t xml:space="preserve">was </w:t>
      </w:r>
      <w:r w:rsidRPr="002729A0">
        <w:rPr>
          <w:rFonts w:ascii="Times New Roman" w:hAnsi="Times New Roman" w:cs="Times New Roman"/>
        </w:rPr>
        <w:t xml:space="preserve">to assess level of community preparedness and their engagement in planning and implementation public health emergency mitigation in Kisumu County. </w:t>
      </w:r>
    </w:p>
    <w:p w14:paraId="272FD4FE" w14:textId="42BD0415" w:rsidR="00DF3AB3" w:rsidRPr="002729A0" w:rsidRDefault="00DF3AB3" w:rsidP="002729A0">
      <w:pPr>
        <w:spacing w:line="240" w:lineRule="auto"/>
        <w:jc w:val="both"/>
        <w:rPr>
          <w:rFonts w:ascii="Times New Roman" w:hAnsi="Times New Roman" w:cs="Times New Roman"/>
          <w:lang w:val="en-GB"/>
        </w:rPr>
      </w:pPr>
      <w:r w:rsidRPr="002729A0">
        <w:rPr>
          <w:rFonts w:ascii="Times New Roman" w:hAnsi="Times New Roman" w:cs="Times New Roman"/>
          <w:lang w:val="en-GB"/>
        </w:rPr>
        <w:t xml:space="preserve">Understanding the community’s prevailing response capabilities, capacities, and implementation structures may help identify aspects of program implementation to inform effectiveness improvement plans and to enable the design of contextually specific, acceptable and appropriate interventions for multi-level coordination of players and program components </w:t>
      </w:r>
      <w:r w:rsidRPr="002729A0">
        <w:rPr>
          <w:rFonts w:ascii="Times New Roman" w:hAnsi="Times New Roman" w:cs="Times New Roman"/>
          <w:lang w:val="en-GB"/>
        </w:rPr>
        <w:fldChar w:fldCharType="begin"/>
      </w:r>
      <w:r w:rsidR="00012CCE" w:rsidRPr="002729A0">
        <w:rPr>
          <w:rFonts w:ascii="Times New Roman" w:hAnsi="Times New Roman" w:cs="Times New Roman"/>
          <w:lang w:val="en-GB"/>
        </w:rPr>
        <w:instrText xml:space="preserve"> ADDIN EN.CITE &lt;EndNote&gt;&lt;Cite&gt;&lt;Author&gt;Karvinen&lt;/Author&gt;&lt;Year&gt;2016&lt;/Year&gt;&lt;RecNum&gt;13&lt;/RecNum&gt;&lt;DisplayText&gt;[9]&lt;/DisplayText&gt;&lt;record&gt;&lt;rec-number&gt;13&lt;/rec-number&gt;&lt;foreign-keys&gt;&lt;key app="EN" db-id="zwewtpdwt0dwxoe5ffrx9fdkr2a9fr9ddrz9" timestamp="1694674282"&gt;13&lt;/key&gt;&lt;/foreign-keys&gt;&lt;ref-type name="Journal Article"&gt;17&lt;/ref-type&gt;&lt;contributors&gt;&lt;authors&gt;&lt;author&gt;Karvinen, Ikali&lt;/author&gt;&lt;author&gt;Lejonqvist, Gun‑Britt&lt;/author&gt;&lt;author&gt;Kinnunen, Eija‑Riitta&lt;/author&gt;&lt;author&gt;Fredriksson, Marketta&lt;/author&gt;&lt;author&gt;Halonen, Riikka&lt;/author&gt;&lt;author&gt;Koski, Arja&lt;/author&gt;&lt;/authors&gt;&lt;/contributors&gt;&lt;titles&gt;&lt;title&gt;A study of the community‑based disaster preparedness in Kenyan rural communities&lt;/title&gt;&lt;/titles&gt;&lt;dates&gt;&lt;year&gt;2016&lt;/year&gt;&lt;/dates&gt;&lt;urls&gt;&lt;/urls&gt;&lt;/record&gt;&lt;/Cite&gt;&lt;/EndNote&gt;</w:instrText>
      </w:r>
      <w:r w:rsidRPr="002729A0">
        <w:rPr>
          <w:rFonts w:ascii="Times New Roman" w:hAnsi="Times New Roman" w:cs="Times New Roman"/>
          <w:lang w:val="en-GB"/>
        </w:rPr>
        <w:fldChar w:fldCharType="separate"/>
      </w:r>
      <w:r w:rsidR="00012CCE" w:rsidRPr="002729A0">
        <w:rPr>
          <w:rFonts w:ascii="Times New Roman" w:hAnsi="Times New Roman" w:cs="Times New Roman"/>
          <w:noProof/>
          <w:lang w:val="en-GB"/>
        </w:rPr>
        <w:t>[9]</w:t>
      </w:r>
      <w:r w:rsidRPr="002729A0">
        <w:rPr>
          <w:rFonts w:ascii="Times New Roman" w:hAnsi="Times New Roman" w:cs="Times New Roman"/>
        </w:rPr>
        <w:fldChar w:fldCharType="end"/>
      </w:r>
    </w:p>
    <w:p w14:paraId="56484859" w14:textId="2D64C524" w:rsidR="00070561" w:rsidRPr="002729A0" w:rsidRDefault="00070561" w:rsidP="002729A0">
      <w:pPr>
        <w:spacing w:line="240" w:lineRule="auto"/>
        <w:jc w:val="both"/>
        <w:rPr>
          <w:rFonts w:ascii="Times New Roman" w:hAnsi="Times New Roman" w:cs="Times New Roman"/>
          <w:lang w:val="en-GB"/>
        </w:rPr>
      </w:pPr>
      <w:r w:rsidRPr="002729A0">
        <w:rPr>
          <w:rFonts w:ascii="Times New Roman" w:hAnsi="Times New Roman" w:cs="Times New Roman"/>
          <w:lang w:val="en-GB"/>
        </w:rPr>
        <w:t xml:space="preserve">Understanding the capacity of community to respond to public health emergencies, priority concerns and how to effectively engage and coordinate within national and county programs is critical to developing meaningful ‘whole-of-government’ and ‘whole-of-society’ response approaches recommended by international frameworks for preventing and mitigating effects of public health emergencies </w:t>
      </w:r>
      <w:r w:rsidRPr="002729A0">
        <w:rPr>
          <w:rFonts w:ascii="Times New Roman" w:hAnsi="Times New Roman" w:cs="Times New Roman"/>
          <w:lang w:val="en-GB"/>
        </w:rPr>
        <w:fldChar w:fldCharType="begin"/>
      </w:r>
      <w:r w:rsidR="00012CCE" w:rsidRPr="002729A0">
        <w:rPr>
          <w:rFonts w:ascii="Times New Roman" w:hAnsi="Times New Roman" w:cs="Times New Roman"/>
          <w:lang w:val="en-GB"/>
        </w:rPr>
        <w:instrText xml:space="preserve"> ADDIN EN.CITE &lt;EndNote&gt;&lt;Cite&gt;&lt;Author&gt;Organization&lt;/Author&gt;&lt;Year&gt;2020&lt;/Year&gt;&lt;RecNum&gt;884&lt;/RecNum&gt;&lt;DisplayText&gt;[10]&lt;/DisplayText&gt;&lt;record&gt;&lt;rec-number&gt;884&lt;/rec-number&gt;&lt;foreign-keys&gt;&lt;key app="EN" db-id="x59tx9arpxfr2heds9a5axddsvx5twa55wwx" timestamp="1723657154"&gt;884&lt;/key&gt;&lt;/foreign-keys&gt;&lt;ref-type name="Journal Article"&gt;17&lt;/ref-type&gt;&lt;contributors&gt;&lt;authors&gt;&lt;author&gt;World Health Organization&lt;/author&gt;&lt;/authors&gt;&lt;/contributors&gt;&lt;titles&gt;&lt;title&gt;Everyone’s business: Whole-of-society action to manage health risks and reduce socio-economic impacts of emergencies and disasters: Operational guidance&lt;/title&gt;&lt;/titles&gt;&lt;dates&gt;&lt;year&gt;2020&lt;/year&gt;&lt;/dates&gt;&lt;isbn&gt;9240015086&lt;/isbn&gt;&lt;urls&gt;&lt;/urls&gt;&lt;/record&gt;&lt;/Cite&gt;&lt;/EndNote&gt;</w:instrText>
      </w:r>
      <w:r w:rsidRPr="002729A0">
        <w:rPr>
          <w:rFonts w:ascii="Times New Roman" w:hAnsi="Times New Roman" w:cs="Times New Roman"/>
          <w:lang w:val="en-GB"/>
        </w:rPr>
        <w:fldChar w:fldCharType="separate"/>
      </w:r>
      <w:r w:rsidR="00012CCE" w:rsidRPr="002729A0">
        <w:rPr>
          <w:rFonts w:ascii="Times New Roman" w:hAnsi="Times New Roman" w:cs="Times New Roman"/>
          <w:noProof/>
          <w:lang w:val="en-GB"/>
        </w:rPr>
        <w:t>[10]</w:t>
      </w:r>
      <w:r w:rsidRPr="002729A0">
        <w:rPr>
          <w:rFonts w:ascii="Times New Roman" w:hAnsi="Times New Roman" w:cs="Times New Roman"/>
        </w:rPr>
        <w:fldChar w:fldCharType="end"/>
      </w:r>
      <w:r w:rsidRPr="002729A0">
        <w:rPr>
          <w:rFonts w:ascii="Times New Roman" w:hAnsi="Times New Roman" w:cs="Times New Roman"/>
          <w:lang w:val="en-GB"/>
        </w:rPr>
        <w:t xml:space="preserve">, and Kenya’s Ministry of Health in Public Health Emergency Operations Centre </w:t>
      </w:r>
      <w:r w:rsidRPr="002729A0">
        <w:rPr>
          <w:rFonts w:ascii="Times New Roman" w:hAnsi="Times New Roman" w:cs="Times New Roman"/>
          <w:lang w:val="en-GB"/>
        </w:rPr>
        <w:fldChar w:fldCharType="begin"/>
      </w:r>
      <w:r w:rsidR="00012CCE" w:rsidRPr="002729A0">
        <w:rPr>
          <w:rFonts w:ascii="Times New Roman" w:hAnsi="Times New Roman" w:cs="Times New Roman"/>
          <w:lang w:val="en-GB"/>
        </w:rPr>
        <w:instrText xml:space="preserve"> ADDIN EN.CITE &lt;EndNote&gt;&lt;Cite ExcludeYear="1"&gt;&lt;Author&gt;KPHEOC&lt;/Author&gt;&lt;Year&gt;2021&lt;/Year&gt;&lt;RecNum&gt;885&lt;/RecNum&gt;&lt;DisplayText&gt;[11]&lt;/DisplayText&gt;&lt;record&gt;&lt;rec-number&gt;885&lt;/rec-number&gt;&lt;foreign-keys&gt;&lt;key app="EN" db-id="x59tx9arpxfr2heds9a5axddsvx5twa55wwx" timestamp="1723657866"&gt;885&lt;/key&gt;&lt;/foreign-keys&gt;&lt;ref-type name="Journal Article"&gt;17&lt;/ref-type&gt;&lt;contributors&gt;&lt;authors&gt;&lt;author&gt;KPHEOC&lt;/author&gt;&lt;/authors&gt;&lt;/contributors&gt;&lt;titles&gt;&lt;title&gt;Public Health Emergency Operations Center KPHEOC Handbook&lt;/title&gt;&lt;/titles&gt;&lt;pages&gt;116&lt;/pages&gt;&lt;edition&gt;March 2021&lt;/edition&gt;&lt;dates&gt;&lt;year&gt;2021&lt;/year&gt;&lt;/dates&gt;&lt;urls&gt;&lt;related-urls&gt;&lt;url&gt;http://guidelines.health.go.ke:8000/media/Kenya_Public_Health_Emergency_Operations_Center_KPHEOC_Handbook_-_March_2021.pdf&lt;/url&gt;&lt;/related-urls&gt;&lt;/urls&gt;&lt;/record&gt;&lt;/Cite&gt;&lt;/EndNote&gt;</w:instrText>
      </w:r>
      <w:r w:rsidRPr="002729A0">
        <w:rPr>
          <w:rFonts w:ascii="Times New Roman" w:hAnsi="Times New Roman" w:cs="Times New Roman"/>
          <w:lang w:val="en-GB"/>
        </w:rPr>
        <w:fldChar w:fldCharType="separate"/>
      </w:r>
      <w:r w:rsidR="00012CCE" w:rsidRPr="002729A0">
        <w:rPr>
          <w:rFonts w:ascii="Times New Roman" w:hAnsi="Times New Roman" w:cs="Times New Roman"/>
          <w:noProof/>
          <w:lang w:val="en-GB"/>
        </w:rPr>
        <w:t>[11]</w:t>
      </w:r>
      <w:r w:rsidRPr="002729A0">
        <w:rPr>
          <w:rFonts w:ascii="Times New Roman" w:hAnsi="Times New Roman" w:cs="Times New Roman"/>
        </w:rPr>
        <w:fldChar w:fldCharType="end"/>
      </w:r>
      <w:r w:rsidRPr="002729A0">
        <w:rPr>
          <w:rFonts w:ascii="Times New Roman" w:hAnsi="Times New Roman" w:cs="Times New Roman"/>
          <w:lang w:val="en-GB"/>
        </w:rPr>
        <w:t xml:space="preserve"> handbook  </w:t>
      </w:r>
      <w:r w:rsidRPr="002729A0">
        <w:rPr>
          <w:rFonts w:ascii="Times New Roman" w:hAnsi="Times New Roman" w:cs="Times New Roman"/>
          <w:lang w:val="en-GB"/>
        </w:rPr>
        <w:fldChar w:fldCharType="begin"/>
      </w:r>
      <w:r w:rsidR="00012CCE" w:rsidRPr="002729A0">
        <w:rPr>
          <w:rFonts w:ascii="Times New Roman" w:hAnsi="Times New Roman" w:cs="Times New Roman"/>
          <w:lang w:val="en-GB"/>
        </w:rPr>
        <w:instrText xml:space="preserve"> ADDIN EN.CITE &lt;EndNote&gt;&lt;Cite&gt;&lt;Author&gt;KPHEOC&lt;/Author&gt;&lt;Year&gt;2021&lt;/Year&gt;&lt;RecNum&gt;885&lt;/RecNum&gt;&lt;DisplayText&gt;[11]&lt;/DisplayText&gt;&lt;record&gt;&lt;rec-number&gt;885&lt;/rec-number&gt;&lt;foreign-keys&gt;&lt;key app="EN" db-id="x59tx9arpxfr2heds9a5axddsvx5twa55wwx" timestamp="1723657866"&gt;885&lt;/key&gt;&lt;/foreign-keys&gt;&lt;ref-type name="Journal Article"&gt;17&lt;/ref-type&gt;&lt;contributors&gt;&lt;authors&gt;&lt;author&gt;KPHEOC&lt;/author&gt;&lt;/authors&gt;&lt;/contributors&gt;&lt;titles&gt;&lt;title&gt;Public Health Emergency Operations Center KPHEOC Handbook&lt;/title&gt;&lt;/titles&gt;&lt;pages&gt;116&lt;/pages&gt;&lt;edition&gt;March 2021&lt;/edition&gt;&lt;dates&gt;&lt;year&gt;2021&lt;/year&gt;&lt;/dates&gt;&lt;urls&gt;&lt;related-urls&gt;&lt;url&gt;http://guidelines.health.go.ke:8000/media/Kenya_Public_Health_Emergency_Operations_Center_KPHEOC_Handbook_-_March_2021.pdf&lt;/url&gt;&lt;/related-urls&gt;&lt;/urls&gt;&lt;/record&gt;&lt;/Cite&gt;&lt;/EndNote&gt;</w:instrText>
      </w:r>
      <w:r w:rsidRPr="002729A0">
        <w:rPr>
          <w:rFonts w:ascii="Times New Roman" w:hAnsi="Times New Roman" w:cs="Times New Roman"/>
          <w:lang w:val="en-GB"/>
        </w:rPr>
        <w:fldChar w:fldCharType="separate"/>
      </w:r>
      <w:r w:rsidR="00012CCE" w:rsidRPr="002729A0">
        <w:rPr>
          <w:rFonts w:ascii="Times New Roman" w:hAnsi="Times New Roman" w:cs="Times New Roman"/>
          <w:noProof/>
          <w:lang w:val="en-GB"/>
        </w:rPr>
        <w:t>[11]</w:t>
      </w:r>
      <w:r w:rsidRPr="002729A0">
        <w:rPr>
          <w:rFonts w:ascii="Times New Roman" w:hAnsi="Times New Roman" w:cs="Times New Roman"/>
        </w:rPr>
        <w:fldChar w:fldCharType="end"/>
      </w:r>
      <w:r w:rsidRPr="002729A0">
        <w:rPr>
          <w:rFonts w:ascii="Times New Roman" w:hAnsi="Times New Roman" w:cs="Times New Roman"/>
          <w:lang w:val="en-GB"/>
        </w:rPr>
        <w:t xml:space="preserve"> .</w:t>
      </w:r>
    </w:p>
    <w:p w14:paraId="1D07EE62" w14:textId="589DB46C" w:rsidR="00A44344" w:rsidRPr="002729A0" w:rsidRDefault="00070561" w:rsidP="002729A0">
      <w:pPr>
        <w:spacing w:line="240" w:lineRule="auto"/>
        <w:jc w:val="both"/>
        <w:rPr>
          <w:rFonts w:ascii="Times New Roman" w:hAnsi="Times New Roman" w:cs="Times New Roman"/>
        </w:rPr>
      </w:pPr>
      <w:r w:rsidRPr="002729A0">
        <w:rPr>
          <w:rFonts w:ascii="Times New Roman" w:hAnsi="Times New Roman" w:cs="Times New Roman"/>
          <w:lang w:val="en-GB"/>
        </w:rPr>
        <w:t xml:space="preserve">Kisumu County with a population of 1,155,574 </w:t>
      </w:r>
      <w:r w:rsidRPr="002729A0">
        <w:rPr>
          <w:rFonts w:ascii="Times New Roman" w:hAnsi="Times New Roman" w:cs="Times New Roman"/>
          <w:lang w:val="en-GB"/>
        </w:rPr>
        <w:fldChar w:fldCharType="begin"/>
      </w:r>
      <w:r w:rsidR="00012CCE" w:rsidRPr="002729A0">
        <w:rPr>
          <w:rFonts w:ascii="Times New Roman" w:hAnsi="Times New Roman" w:cs="Times New Roman"/>
          <w:lang w:val="en-GB"/>
        </w:rPr>
        <w:instrText xml:space="preserve"> ADDIN EN.CITE &lt;EndNote&gt;&lt;Cite&gt;&lt;Author&gt;KNBS&lt;/Author&gt;&lt;Year&gt;2019&lt;/Year&gt;&lt;RecNum&gt;850&lt;/RecNum&gt;&lt;DisplayText&gt;[12]&lt;/DisplayText&gt;&lt;record&gt;&lt;rec-number&gt;850&lt;/rec-number&gt;&lt;foreign-keys&gt;&lt;key app="EN" db-id="x59tx9arpxfr2heds9a5axddsvx5twa55wwx" timestamp="1713602496"&gt;850&lt;/key&gt;&lt;/foreign-keys&gt;&lt;ref-type name="Journal Article"&gt;17&lt;/ref-type&gt;&lt;contributors&gt;&lt;authors&gt;&lt;author&gt;KNBS, K.  &lt;/author&gt;&lt;/authors&gt;&lt;/contributors&gt;&lt;titles&gt;&lt;title&gt;Kenya Population and Housing Census Volume I: Population By County and Sub-County.&lt;/title&gt;&lt;/titles&gt;&lt;volume&gt;Vol. 1, 2019.&lt;/volume&gt;&lt;dates&gt;&lt;year&gt;2019&lt;/year&gt;&lt;/dates&gt;&lt;urls&gt;&lt;related-urls&gt;&lt;url&gt;https://www.knbs.or.ke/?wpdmpro=2019-kenya-population-and-housing-census-volume-i-population-by-county-and-sub-county&lt;/url&gt;&lt;/related-urls&gt;&lt;/urls&gt;&lt;/record&gt;&lt;/Cite&gt;&lt;/EndNote&gt;</w:instrText>
      </w:r>
      <w:r w:rsidRPr="002729A0">
        <w:rPr>
          <w:rFonts w:ascii="Times New Roman" w:hAnsi="Times New Roman" w:cs="Times New Roman"/>
          <w:lang w:val="en-GB"/>
        </w:rPr>
        <w:fldChar w:fldCharType="separate"/>
      </w:r>
      <w:r w:rsidR="00012CCE" w:rsidRPr="002729A0">
        <w:rPr>
          <w:rFonts w:ascii="Times New Roman" w:hAnsi="Times New Roman" w:cs="Times New Roman"/>
          <w:noProof/>
          <w:lang w:val="en-GB"/>
        </w:rPr>
        <w:t>[12]</w:t>
      </w:r>
      <w:r w:rsidRPr="002729A0">
        <w:rPr>
          <w:rFonts w:ascii="Times New Roman" w:hAnsi="Times New Roman" w:cs="Times New Roman"/>
        </w:rPr>
        <w:fldChar w:fldCharType="end"/>
      </w:r>
      <w:r w:rsidRPr="002729A0">
        <w:rPr>
          <w:rFonts w:ascii="Times New Roman" w:hAnsi="Times New Roman" w:cs="Times New Roman"/>
          <w:lang w:val="en-GB"/>
        </w:rPr>
        <w:t xml:space="preserve">; the health sector strategic and investment plan 2018-2030 does not specify how the community can be engaged in public health emergency preparedness and response mechanisms and framework for strategic interventions to improve </w:t>
      </w:r>
      <w:r w:rsidRPr="002729A0">
        <w:rPr>
          <w:rFonts w:ascii="Times New Roman" w:hAnsi="Times New Roman" w:cs="Times New Roman"/>
          <w:lang w:val="en-GB"/>
        </w:rPr>
        <w:lastRenderedPageBreak/>
        <w:t>response by communities during public health emergency is not well defined in the County policy documents (emphasis being on medical emergencies) making it hard for effective and targeted community-level actions. While emphasis of public health emergency preparedness (PHEP) has largely focused on institutional capabilities, including their administrative, technical expertise and political influence, ways of integrating community capabilities has been largely overlooked and still understudied.</w:t>
      </w:r>
      <w:r w:rsidR="00EC7F45" w:rsidRPr="002729A0">
        <w:rPr>
          <w:rFonts w:ascii="Times New Roman" w:hAnsi="Times New Roman" w:cs="Times New Roman"/>
          <w:lang w:val="en-GB"/>
        </w:rPr>
        <w:t xml:space="preserve"> This study </w:t>
      </w:r>
      <w:r w:rsidR="003F0D73" w:rsidRPr="002729A0">
        <w:rPr>
          <w:rFonts w:ascii="Times New Roman" w:hAnsi="Times New Roman" w:cs="Times New Roman"/>
          <w:lang w:val="en-GB"/>
        </w:rPr>
        <w:t xml:space="preserve">aimed at </w:t>
      </w:r>
      <w:r w:rsidR="003F0D73" w:rsidRPr="002729A0">
        <w:rPr>
          <w:rFonts w:ascii="Times New Roman" w:hAnsi="Times New Roman" w:cs="Times New Roman"/>
        </w:rPr>
        <w:t xml:space="preserve">describing </w:t>
      </w:r>
      <w:bookmarkStart w:id="1" w:name="_Hlk150547606"/>
      <w:r w:rsidR="003F0D73" w:rsidRPr="002729A0">
        <w:rPr>
          <w:rFonts w:ascii="Times New Roman" w:hAnsi="Times New Roman" w:cs="Times New Roman"/>
        </w:rPr>
        <w:t>community preparedness about public health emergencies and events</w:t>
      </w:r>
      <w:r w:rsidR="00BC2A89" w:rsidRPr="002729A0">
        <w:rPr>
          <w:rFonts w:ascii="Times New Roman" w:hAnsi="Times New Roman" w:cs="Times New Roman"/>
        </w:rPr>
        <w:t xml:space="preserve"> they</w:t>
      </w:r>
      <w:r w:rsidR="003F0D73" w:rsidRPr="002729A0">
        <w:rPr>
          <w:rFonts w:ascii="Times New Roman" w:hAnsi="Times New Roman" w:cs="Times New Roman"/>
        </w:rPr>
        <w:t xml:space="preserve"> perceive as of priority concer</w:t>
      </w:r>
      <w:bookmarkEnd w:id="1"/>
      <w:r w:rsidR="003F0D73" w:rsidRPr="002729A0">
        <w:rPr>
          <w:rFonts w:ascii="Times New Roman" w:hAnsi="Times New Roman" w:cs="Times New Roman"/>
        </w:rPr>
        <w:t>n in Kisumu County.</w:t>
      </w:r>
    </w:p>
    <w:p w14:paraId="3C6848A7" w14:textId="17DE905E" w:rsidR="00A44344" w:rsidRPr="002729A0" w:rsidRDefault="00A44344" w:rsidP="002729A0">
      <w:pPr>
        <w:spacing w:line="240" w:lineRule="auto"/>
        <w:jc w:val="both"/>
        <w:rPr>
          <w:rFonts w:ascii="Times New Roman" w:hAnsi="Times New Roman" w:cs="Times New Roman"/>
          <w:b/>
          <w:bCs/>
        </w:rPr>
      </w:pPr>
      <w:r w:rsidRPr="002729A0">
        <w:rPr>
          <w:rFonts w:ascii="Times New Roman" w:hAnsi="Times New Roman" w:cs="Times New Roman"/>
          <w:b/>
          <w:bCs/>
        </w:rPr>
        <w:t>Methods and Materials</w:t>
      </w:r>
    </w:p>
    <w:p w14:paraId="6E150627" w14:textId="2B0DA686" w:rsidR="00A44344" w:rsidRPr="002729A0" w:rsidRDefault="00A44344" w:rsidP="002729A0">
      <w:pPr>
        <w:spacing w:line="240" w:lineRule="auto"/>
        <w:jc w:val="both"/>
        <w:rPr>
          <w:rFonts w:ascii="Times New Roman" w:hAnsi="Times New Roman" w:cs="Times New Roman"/>
          <w:b/>
          <w:bCs/>
        </w:rPr>
      </w:pPr>
      <w:r w:rsidRPr="002729A0">
        <w:rPr>
          <w:rFonts w:ascii="Times New Roman" w:hAnsi="Times New Roman" w:cs="Times New Roman"/>
          <w:b/>
          <w:bCs/>
        </w:rPr>
        <w:t>Study design</w:t>
      </w:r>
    </w:p>
    <w:p w14:paraId="6463A455" w14:textId="77777777" w:rsidR="00FA4C5F" w:rsidRPr="002729A0" w:rsidRDefault="00FA4C5F" w:rsidP="002729A0">
      <w:pPr>
        <w:spacing w:line="240" w:lineRule="auto"/>
        <w:jc w:val="both"/>
        <w:rPr>
          <w:rFonts w:ascii="Times New Roman" w:hAnsi="Times New Roman" w:cs="Times New Roman"/>
        </w:rPr>
      </w:pPr>
      <w:r w:rsidRPr="002729A0">
        <w:rPr>
          <w:rFonts w:ascii="Times New Roman" w:hAnsi="Times New Roman" w:cs="Times New Roman"/>
        </w:rPr>
        <w:t>This study employed a cross-sectional mixed design involving both quantitative and qualitative, to examine public health emergency preparedness, response capability, community engagement, results of which informed the development of a structured framework for improving PHE interventions in Kisumu county-Kenya.</w:t>
      </w:r>
    </w:p>
    <w:p w14:paraId="1212CA20" w14:textId="5DA44BD6" w:rsidR="00A44344" w:rsidRPr="002729A0" w:rsidRDefault="00FA4C5F" w:rsidP="002729A0">
      <w:pPr>
        <w:spacing w:line="240" w:lineRule="auto"/>
        <w:jc w:val="both"/>
        <w:rPr>
          <w:rFonts w:ascii="Times New Roman" w:hAnsi="Times New Roman" w:cs="Times New Roman"/>
        </w:rPr>
      </w:pPr>
      <w:r w:rsidRPr="002729A0">
        <w:rPr>
          <w:rFonts w:ascii="Times New Roman" w:hAnsi="Times New Roman" w:cs="Times New Roman"/>
        </w:rPr>
        <w:t>First, the study involved using surveys to gather quantitative data on community preparedness and awareness. This was then followed by focus group discussions to explore participants’ personal experiences, perceptions, and suggestions for improving public health emergency interventions. The qualitative findings were then used to interpret and explain the quantitative results, leading to more informed and actionable recommendations.</w:t>
      </w:r>
    </w:p>
    <w:p w14:paraId="4F4252F4" w14:textId="085EE6CE" w:rsidR="00A44344" w:rsidRPr="002729A0" w:rsidRDefault="00A44344" w:rsidP="002729A0">
      <w:pPr>
        <w:spacing w:line="240" w:lineRule="auto"/>
        <w:jc w:val="both"/>
        <w:rPr>
          <w:rFonts w:ascii="Times New Roman" w:hAnsi="Times New Roman" w:cs="Times New Roman"/>
          <w:b/>
          <w:bCs/>
        </w:rPr>
      </w:pPr>
      <w:r w:rsidRPr="002729A0">
        <w:rPr>
          <w:rFonts w:ascii="Times New Roman" w:hAnsi="Times New Roman" w:cs="Times New Roman"/>
          <w:b/>
          <w:bCs/>
        </w:rPr>
        <w:t>Study Area</w:t>
      </w:r>
    </w:p>
    <w:p w14:paraId="5847CD0D" w14:textId="55D02CA7" w:rsidR="00A44344" w:rsidRPr="002729A0" w:rsidRDefault="00CA1922" w:rsidP="002729A0">
      <w:pPr>
        <w:spacing w:line="240" w:lineRule="auto"/>
        <w:jc w:val="both"/>
        <w:rPr>
          <w:rFonts w:ascii="Times New Roman" w:hAnsi="Times New Roman" w:cs="Times New Roman"/>
        </w:rPr>
      </w:pPr>
      <w:r w:rsidRPr="002729A0">
        <w:rPr>
          <w:rFonts w:ascii="Times New Roman" w:hAnsi="Times New Roman" w:cs="Times New Roman"/>
        </w:rPr>
        <w:t xml:space="preserve">The study was conducted in Kisumu County, one of the 47 counties of Kenya located along the shores of Lake Victoria with headquarters being Kisumu City. According to the population estimates of the 2019 population census, Kisumu County has an estimated population of 1,155,574. The people of Kisumu, both Rural and Urban are 714,668 and 440,906 respectively. It has a population density of 570.2.  It lies within the longitudes 330 20’E and 350 20’E, and longitudes 00 20’ South and 00 50’North. Homa Bay County borders the County to the South, Nandi County to the North East, Kericho to the East, Vihiga County to the North West and Siaya County to the West. The County covers a total land area of 2009.5 km2 and another 567 km2 covered by water. It is divided into seven sub-counties: Kisumu East, Kisumu Central, Kisumu West, Seme, </w:t>
      </w:r>
      <w:proofErr w:type="spellStart"/>
      <w:r w:rsidRPr="002729A0">
        <w:rPr>
          <w:rFonts w:ascii="Times New Roman" w:hAnsi="Times New Roman" w:cs="Times New Roman"/>
        </w:rPr>
        <w:t>Nyando</w:t>
      </w:r>
      <w:proofErr w:type="spellEnd"/>
      <w:r w:rsidRPr="002729A0">
        <w:rPr>
          <w:rFonts w:ascii="Times New Roman" w:hAnsi="Times New Roman" w:cs="Times New Roman"/>
        </w:rPr>
        <w:t xml:space="preserve">, </w:t>
      </w:r>
      <w:proofErr w:type="spellStart"/>
      <w:r w:rsidRPr="002729A0">
        <w:rPr>
          <w:rFonts w:ascii="Times New Roman" w:hAnsi="Times New Roman" w:cs="Times New Roman"/>
        </w:rPr>
        <w:t>Muhoroni</w:t>
      </w:r>
      <w:proofErr w:type="spellEnd"/>
      <w:r w:rsidRPr="002729A0">
        <w:rPr>
          <w:rFonts w:ascii="Times New Roman" w:hAnsi="Times New Roman" w:cs="Times New Roman"/>
        </w:rPr>
        <w:t xml:space="preserve"> and </w:t>
      </w:r>
      <w:proofErr w:type="spellStart"/>
      <w:r w:rsidRPr="002729A0">
        <w:rPr>
          <w:rFonts w:ascii="Times New Roman" w:hAnsi="Times New Roman" w:cs="Times New Roman"/>
        </w:rPr>
        <w:t>Nyakach</w:t>
      </w:r>
      <w:proofErr w:type="spellEnd"/>
      <w:r w:rsidRPr="002729A0">
        <w:rPr>
          <w:rFonts w:ascii="Times New Roman" w:hAnsi="Times New Roman" w:cs="Times New Roman"/>
        </w:rPr>
        <w:t xml:space="preserve"> (KNBS, 2019).</w:t>
      </w:r>
      <w:r w:rsidR="00C46B5E" w:rsidRPr="002729A0">
        <w:rPr>
          <w:rFonts w:ascii="Times New Roman" w:hAnsi="Times New Roman" w:cs="Times New Roman"/>
        </w:rPr>
        <w:t xml:space="preserve"> </w:t>
      </w:r>
    </w:p>
    <w:p w14:paraId="32DB52A1" w14:textId="77777777" w:rsidR="007F5A0E" w:rsidRPr="002729A0" w:rsidRDefault="007F5A0E" w:rsidP="002729A0">
      <w:pPr>
        <w:spacing w:line="240" w:lineRule="auto"/>
        <w:jc w:val="both"/>
        <w:rPr>
          <w:rFonts w:ascii="Times New Roman" w:hAnsi="Times New Roman" w:cs="Times New Roman"/>
          <w:b/>
          <w:bCs/>
        </w:rPr>
      </w:pPr>
    </w:p>
    <w:p w14:paraId="66BD1FE8" w14:textId="66E9CFF2" w:rsidR="00A44344" w:rsidRPr="002729A0" w:rsidRDefault="00A44344" w:rsidP="002729A0">
      <w:pPr>
        <w:spacing w:line="240" w:lineRule="auto"/>
        <w:jc w:val="both"/>
        <w:rPr>
          <w:rFonts w:ascii="Times New Roman" w:hAnsi="Times New Roman" w:cs="Times New Roman"/>
          <w:b/>
          <w:bCs/>
        </w:rPr>
      </w:pPr>
      <w:r w:rsidRPr="002729A0">
        <w:rPr>
          <w:rFonts w:ascii="Times New Roman" w:hAnsi="Times New Roman" w:cs="Times New Roman"/>
          <w:b/>
          <w:bCs/>
        </w:rPr>
        <w:t>Study Population</w:t>
      </w:r>
    </w:p>
    <w:p w14:paraId="352AF936" w14:textId="3C6C36D3" w:rsidR="00A44344" w:rsidRPr="002729A0" w:rsidRDefault="00437C9C" w:rsidP="002729A0">
      <w:pPr>
        <w:spacing w:line="240" w:lineRule="auto"/>
        <w:jc w:val="both"/>
        <w:rPr>
          <w:rFonts w:ascii="Times New Roman" w:hAnsi="Times New Roman" w:cs="Times New Roman"/>
        </w:rPr>
      </w:pPr>
      <w:r w:rsidRPr="002729A0">
        <w:rPr>
          <w:rFonts w:ascii="Times New Roman" w:hAnsi="Times New Roman" w:cs="Times New Roman"/>
        </w:rPr>
        <w:t xml:space="preserve">The total population of persons that a researcher was interested in and reasonably expected to yield findings known as the target population </w:t>
      </w:r>
      <w:r w:rsidR="00604807" w:rsidRPr="002729A0">
        <w:rPr>
          <w:rFonts w:ascii="Times New Roman" w:hAnsi="Times New Roman" w:cs="Times New Roman"/>
        </w:rPr>
        <w:fldChar w:fldCharType="begin"/>
      </w:r>
      <w:r w:rsidR="00604807" w:rsidRPr="002729A0">
        <w:rPr>
          <w:rFonts w:ascii="Times New Roman" w:hAnsi="Times New Roman" w:cs="Times New Roman"/>
        </w:rPr>
        <w:instrText xml:space="preserve"> ADDIN EN.CITE &lt;EndNote&gt;&lt;Cite&gt;&lt;Author&gt;Pandey&lt;/Author&gt;&lt;Year&gt;2021&lt;/Year&gt;&lt;RecNum&gt;127&lt;/RecNum&gt;&lt;DisplayText&gt;[13]&lt;/DisplayText&gt;&lt;record&gt;&lt;rec-number&gt;127&lt;/rec-number&gt;&lt;foreign-keys&gt;&lt;key app="EN" db-id="vs0frvazl2v0tyexsxlvspsbf9d52p0r9zwd" timestamp="1729430859"&gt;127&lt;/key&gt;&lt;/foreign-keys&gt;&lt;ref-type name="Book"&gt;6&lt;/ref-type&gt;&lt;contributors&gt;&lt;authors&gt;&lt;author&gt;Pandey, Prabhat&lt;/author&gt;&lt;author&gt;Pandey, Meenu Mishra&lt;/author&gt;&lt;/authors&gt;&lt;/contributors&gt;&lt;titles&gt;&lt;title&gt;Research methodology tools and techniques&lt;/title&gt;&lt;/titles&gt;&lt;dates&gt;&lt;year&gt;2021&lt;/year&gt;&lt;/dates&gt;&lt;publisher&gt;Bridge Center&lt;/publisher&gt;&lt;isbn&gt;6069350278&lt;/isbn&gt;&lt;urls&gt;&lt;/urls&gt;&lt;/record&gt;&lt;/Cite&gt;&lt;/EndNote&gt;</w:instrText>
      </w:r>
      <w:r w:rsidR="00604807" w:rsidRPr="002729A0">
        <w:rPr>
          <w:rFonts w:ascii="Times New Roman" w:hAnsi="Times New Roman" w:cs="Times New Roman"/>
        </w:rPr>
        <w:fldChar w:fldCharType="separate"/>
      </w:r>
      <w:r w:rsidR="00604807" w:rsidRPr="002729A0">
        <w:rPr>
          <w:rFonts w:ascii="Times New Roman" w:hAnsi="Times New Roman" w:cs="Times New Roman"/>
          <w:noProof/>
        </w:rPr>
        <w:t>[13]</w:t>
      </w:r>
      <w:r w:rsidR="00604807" w:rsidRPr="002729A0">
        <w:rPr>
          <w:rFonts w:ascii="Times New Roman" w:hAnsi="Times New Roman" w:cs="Times New Roman"/>
        </w:rPr>
        <w:fldChar w:fldCharType="end"/>
      </w:r>
      <w:r w:rsidRPr="002729A0">
        <w:rPr>
          <w:rFonts w:ascii="Times New Roman" w:hAnsi="Times New Roman" w:cs="Times New Roman"/>
        </w:rPr>
        <w:t xml:space="preserve"> are all men and women community members above 18 years and staff comprising of chiefs, </w:t>
      </w:r>
      <w:r w:rsidR="00A115DE" w:rsidRPr="002729A0">
        <w:rPr>
          <w:rFonts w:ascii="Times New Roman" w:hAnsi="Times New Roman" w:cs="Times New Roman"/>
          <w:lang w:val="en-GB"/>
        </w:rPr>
        <w:t>Public Health Emergency (</w:t>
      </w:r>
      <w:r w:rsidRPr="002729A0">
        <w:rPr>
          <w:rFonts w:ascii="Times New Roman" w:hAnsi="Times New Roman" w:cs="Times New Roman"/>
        </w:rPr>
        <w:t>PHE</w:t>
      </w:r>
      <w:r w:rsidR="00A115DE" w:rsidRPr="002729A0">
        <w:rPr>
          <w:rFonts w:ascii="Times New Roman" w:hAnsi="Times New Roman" w:cs="Times New Roman"/>
        </w:rPr>
        <w:t>)</w:t>
      </w:r>
      <w:r w:rsidRPr="002729A0">
        <w:rPr>
          <w:rFonts w:ascii="Times New Roman" w:hAnsi="Times New Roman" w:cs="Times New Roman"/>
        </w:rPr>
        <w:t xml:space="preserve"> response persons, public health officer and community health extension worker (CHEWs)  residing within Kisumu County numbering up to 1,155,574 who have either encountered or </w:t>
      </w:r>
      <w:r w:rsidR="00F85984" w:rsidRPr="002729A0">
        <w:rPr>
          <w:rFonts w:ascii="Times New Roman" w:hAnsi="Times New Roman" w:cs="Times New Roman"/>
        </w:rPr>
        <w:t>were</w:t>
      </w:r>
      <w:r w:rsidRPr="002729A0">
        <w:rPr>
          <w:rFonts w:ascii="Times New Roman" w:hAnsi="Times New Roman" w:cs="Times New Roman"/>
        </w:rPr>
        <w:t xml:space="preserve"> aware of local public health emergency.</w:t>
      </w:r>
    </w:p>
    <w:p w14:paraId="4D828322" w14:textId="261BE464" w:rsidR="00A44344" w:rsidRPr="002729A0" w:rsidRDefault="00A44344" w:rsidP="002729A0">
      <w:pPr>
        <w:spacing w:line="240" w:lineRule="auto"/>
        <w:jc w:val="both"/>
        <w:rPr>
          <w:rFonts w:ascii="Times New Roman" w:hAnsi="Times New Roman" w:cs="Times New Roman"/>
          <w:b/>
          <w:bCs/>
        </w:rPr>
      </w:pPr>
      <w:r w:rsidRPr="002729A0">
        <w:rPr>
          <w:rFonts w:ascii="Times New Roman" w:hAnsi="Times New Roman" w:cs="Times New Roman"/>
          <w:b/>
          <w:bCs/>
        </w:rPr>
        <w:t>Sample Size and Sampling Procedure</w:t>
      </w:r>
    </w:p>
    <w:p w14:paraId="6856F544" w14:textId="175F64E1" w:rsidR="00EB7567" w:rsidRPr="002729A0" w:rsidRDefault="00EB7567"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Mugenda 2003 formula was used, whose procedure allows the researcher to calculate an ideal sample size given a desired level of precision, desired confidence level, and the estimated </w:t>
      </w:r>
      <w:r w:rsidRPr="002729A0">
        <w:rPr>
          <w:rFonts w:ascii="Times New Roman" w:eastAsia="Times New Roman" w:hAnsi="Times New Roman" w:cs="Times New Roman"/>
          <w:color w:val="000000"/>
          <w:kern w:val="0"/>
          <w:lang w:val="en-GB"/>
          <w14:ligatures w14:val="none"/>
        </w:rPr>
        <w:lastRenderedPageBreak/>
        <w:t xml:space="preserve">proportion of the attribute present in the population </w:t>
      </w:r>
      <w:r w:rsidRPr="002729A0">
        <w:rPr>
          <w:rFonts w:ascii="Times New Roman" w:eastAsia="Times New Roman" w:hAnsi="Times New Roman" w:cs="Times New Roman"/>
          <w:color w:val="000000"/>
          <w:kern w:val="0"/>
          <w:lang w:val="en-GB"/>
          <w14:ligatures w14:val="none"/>
        </w:rPr>
        <w:fldChar w:fldCharType="begin"/>
      </w:r>
      <w:r w:rsidR="00604807" w:rsidRPr="002729A0">
        <w:rPr>
          <w:rFonts w:ascii="Times New Roman" w:eastAsia="Times New Roman" w:hAnsi="Times New Roman" w:cs="Times New Roman"/>
          <w:color w:val="000000"/>
          <w:kern w:val="0"/>
          <w:lang w:val="en-GB"/>
          <w14:ligatures w14:val="none"/>
        </w:rPr>
        <w:instrText xml:space="preserve"> ADDIN EN.CITE &lt;EndNote&gt;&lt;Cite&gt;&lt;Author&gt;Mugenda&lt;/Author&gt;&lt;Year&gt;2003&lt;/Year&gt;&lt;RecNum&gt;46&lt;/RecNum&gt;&lt;DisplayText&gt;[14]&lt;/DisplayText&gt;&lt;record&gt;&lt;rec-number&gt;46&lt;/rec-number&gt;&lt;foreign-keys&gt;&lt;key app="EN" db-id="5etxzxsem0atr6e00dp5a0xva5xdw2f2tdf5" timestamp="1724248632"&gt;46&lt;/key&gt;&lt;/foreign-keys&gt;&lt;ref-type name="Journal Article"&gt;17&lt;/ref-type&gt;&lt;contributors&gt;&lt;authors&gt;&lt;author&gt;Mugenda, O&lt;/author&gt;&lt;/authors&gt;&lt;/contributors&gt;&lt;titles&gt;&lt;title&gt;&amp;amp;Mugenda A.(2003)&lt;/title&gt;&lt;secondary-title&gt;Research methods: quantitative and qualitative approaches&lt;/secondary-title&gt;&lt;/titles&gt;&lt;periodical&gt;&lt;full-title&gt;Research methods: quantitative and qualitative approaches&lt;/full-title&gt;&lt;/periodical&gt;&lt;pages&gt;3-50&lt;/pages&gt;&lt;dates&gt;&lt;year&gt;2003&lt;/year&gt;&lt;/dates&gt;&lt;isbn&gt;9966411070&lt;/isbn&gt;&lt;urls&gt;&lt;/urls&gt;&lt;/record&gt;&lt;/Cite&gt;&lt;/EndNote&gt;</w:instrText>
      </w:r>
      <w:r w:rsidRPr="002729A0">
        <w:rPr>
          <w:rFonts w:ascii="Times New Roman" w:eastAsia="Times New Roman" w:hAnsi="Times New Roman" w:cs="Times New Roman"/>
          <w:color w:val="000000"/>
          <w:kern w:val="0"/>
          <w:lang w:val="en-GB"/>
          <w14:ligatures w14:val="none"/>
        </w:rPr>
        <w:fldChar w:fldCharType="separate"/>
      </w:r>
      <w:r w:rsidR="00604807" w:rsidRPr="002729A0">
        <w:rPr>
          <w:rFonts w:ascii="Times New Roman" w:eastAsia="Times New Roman" w:hAnsi="Times New Roman" w:cs="Times New Roman"/>
          <w:noProof/>
          <w:color w:val="000000"/>
          <w:kern w:val="0"/>
          <w:lang w:val="en-GB"/>
          <w14:ligatures w14:val="none"/>
        </w:rPr>
        <w:t>[14]</w:t>
      </w:r>
      <w:r w:rsidRPr="002729A0">
        <w:rPr>
          <w:rFonts w:ascii="Times New Roman" w:eastAsia="Times New Roman" w:hAnsi="Times New Roman" w:cs="Times New Roman"/>
          <w:color w:val="000000"/>
          <w:kern w:val="0"/>
          <w:lang w:val="en-GB"/>
          <w14:ligatures w14:val="none"/>
        </w:rPr>
        <w:fldChar w:fldCharType="end"/>
      </w:r>
      <w:r w:rsidRPr="002729A0">
        <w:rPr>
          <w:rFonts w:ascii="Times New Roman" w:eastAsia="Times New Roman" w:hAnsi="Times New Roman" w:cs="Times New Roman"/>
          <w:color w:val="000000"/>
          <w:kern w:val="0"/>
          <w:lang w:val="en-GB"/>
          <w14:ligatures w14:val="none"/>
        </w:rPr>
        <w:t>. Therefore, Mugenda's formula is considered appropriate, especially in situations with a large population</w:t>
      </w:r>
      <w:r w:rsidR="004B663B" w:rsidRPr="002729A0">
        <w:rPr>
          <w:rFonts w:ascii="Times New Roman" w:eastAsia="Times New Roman" w:hAnsi="Times New Roman" w:cs="Times New Roman"/>
          <w:color w:val="000000"/>
          <w:kern w:val="0"/>
          <w:lang w:val="en-GB"/>
          <w14:ligatures w14:val="none"/>
        </w:rPr>
        <w:t xml:space="preserve"> of more than 10,000</w:t>
      </w:r>
      <w:r w:rsidRPr="002729A0">
        <w:rPr>
          <w:rFonts w:ascii="Times New Roman" w:eastAsia="Times New Roman" w:hAnsi="Times New Roman" w:cs="Times New Roman"/>
          <w:color w:val="000000"/>
          <w:kern w:val="0"/>
          <w:lang w:val="en-GB"/>
          <w14:ligatures w14:val="none"/>
        </w:rPr>
        <w:t xml:space="preserve">. </w:t>
      </w:r>
    </w:p>
    <w:p w14:paraId="3AE398AE" w14:textId="77777777" w:rsidR="00F84DB0" w:rsidRPr="002729A0" w:rsidRDefault="00F84DB0"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For quantitative data collection, the formula below was used.</w:t>
      </w:r>
    </w:p>
    <w:p w14:paraId="69290DF7" w14:textId="77777777" w:rsidR="00F84DB0" w:rsidRPr="002729A0" w:rsidRDefault="00F84DB0" w:rsidP="002729A0">
      <w:pPr>
        <w:spacing w:after="0" w:line="240" w:lineRule="auto"/>
        <w:jc w:val="both"/>
        <w:rPr>
          <w:rFonts w:ascii="Times New Roman" w:eastAsia="Times New Roman" w:hAnsi="Times New Roman" w:cs="Times New Roman"/>
          <w:color w:val="000000"/>
          <w:kern w:val="0"/>
          <w:shd w:val="clear" w:color="auto" w:fill="FFFFFF"/>
          <w:lang w:val="en-GB"/>
          <w14:ligatures w14:val="none"/>
        </w:rPr>
      </w:pPr>
    </w:p>
    <w:p w14:paraId="6709A5DA" w14:textId="77777777" w:rsidR="00F84DB0" w:rsidRPr="002729A0" w:rsidRDefault="00F84DB0"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shd w:val="clear" w:color="auto" w:fill="FFFFFF"/>
          <w:lang w:val="en-GB"/>
          <w14:ligatures w14:val="none"/>
        </w:rPr>
        <w:t>Therefore:</w:t>
      </w:r>
    </w:p>
    <w:p w14:paraId="782C9653" w14:textId="77777777" w:rsidR="00F84DB0" w:rsidRPr="002729A0" w:rsidRDefault="00F84DB0" w:rsidP="002729A0">
      <w:pPr>
        <w:spacing w:after="0" w:line="240" w:lineRule="auto"/>
        <w:jc w:val="both"/>
        <w:rPr>
          <w:rFonts w:ascii="Times New Roman" w:eastAsia="Times New Roman" w:hAnsi="Times New Roman" w:cs="Times New Roman"/>
          <w:color w:val="000000"/>
          <w:kern w:val="0"/>
          <w:u w:val="single"/>
          <w:lang w:val="en-GB"/>
          <w14:ligatures w14:val="none"/>
        </w:rPr>
      </w:pPr>
      <w:r w:rsidRPr="002729A0">
        <w:rPr>
          <w:rFonts w:ascii="Times New Roman" w:eastAsia="Times New Roman" w:hAnsi="Times New Roman" w:cs="Times New Roman"/>
          <w:color w:val="000000"/>
          <w:kern w:val="0"/>
          <w:lang w:val="en-GB"/>
          <w14:ligatures w14:val="none"/>
        </w:rPr>
        <w:tab/>
        <w:t xml:space="preserve">                 n     =                    </w:t>
      </w:r>
      <w:r w:rsidRPr="002729A0">
        <w:rPr>
          <w:rFonts w:ascii="Times New Roman" w:eastAsia="Times New Roman" w:hAnsi="Times New Roman" w:cs="Times New Roman"/>
          <w:color w:val="000000"/>
          <w:kern w:val="0"/>
          <w:u w:val="single"/>
          <w:lang w:val="en-GB"/>
          <w14:ligatures w14:val="none"/>
        </w:rPr>
        <w:t>Z</w:t>
      </w:r>
      <w:r w:rsidRPr="002729A0">
        <w:rPr>
          <w:rFonts w:ascii="Times New Roman" w:eastAsia="Times New Roman" w:hAnsi="Times New Roman" w:cs="Times New Roman"/>
          <w:color w:val="000000"/>
          <w:kern w:val="0"/>
          <w:u w:val="single"/>
          <w:vertAlign w:val="superscript"/>
          <w:lang w:val="en-GB"/>
          <w14:ligatures w14:val="none"/>
        </w:rPr>
        <w:t xml:space="preserve"> 2 </w:t>
      </w:r>
      <w:r w:rsidRPr="002729A0">
        <w:rPr>
          <w:rFonts w:ascii="Times New Roman" w:eastAsia="Times New Roman" w:hAnsi="Times New Roman" w:cs="Times New Roman"/>
          <w:color w:val="000000"/>
          <w:kern w:val="0"/>
          <w:u w:val="single"/>
          <w:lang w:val="en-GB"/>
          <w14:ligatures w14:val="none"/>
        </w:rPr>
        <w:t>q P</w:t>
      </w:r>
    </w:p>
    <w:p w14:paraId="618FF133" w14:textId="77777777" w:rsidR="00F84DB0" w:rsidRPr="002729A0" w:rsidRDefault="00F84DB0" w:rsidP="002729A0">
      <w:pPr>
        <w:spacing w:after="0" w:line="240" w:lineRule="auto"/>
        <w:jc w:val="both"/>
        <w:rPr>
          <w:rFonts w:ascii="Times New Roman" w:eastAsia="Times New Roman" w:hAnsi="Times New Roman" w:cs="Times New Roman"/>
          <w:color w:val="000000"/>
          <w:kern w:val="0"/>
          <w:vertAlign w:val="superscript"/>
          <w:lang w:val="en-GB"/>
          <w14:ligatures w14:val="none"/>
        </w:rPr>
      </w:pPr>
      <w:r w:rsidRPr="002729A0">
        <w:rPr>
          <w:rFonts w:ascii="Times New Roman" w:eastAsia="Calibri" w:hAnsi="Times New Roman" w:cs="Times New Roman"/>
          <w:color w:val="000000"/>
          <w:kern w:val="0"/>
          <w:lang w:val="en-GB"/>
          <w14:ligatures w14:val="none"/>
        </w:rPr>
        <w:tab/>
      </w:r>
      <w:r w:rsidRPr="002729A0">
        <w:rPr>
          <w:rFonts w:ascii="Times New Roman" w:eastAsia="Calibri" w:hAnsi="Times New Roman" w:cs="Times New Roman"/>
          <w:color w:val="000000"/>
          <w:kern w:val="0"/>
          <w:lang w:val="en-GB"/>
          <w14:ligatures w14:val="none"/>
        </w:rPr>
        <w:tab/>
      </w:r>
      <w:r w:rsidRPr="002729A0">
        <w:rPr>
          <w:rFonts w:ascii="Times New Roman" w:eastAsia="Calibri" w:hAnsi="Times New Roman" w:cs="Times New Roman"/>
          <w:color w:val="000000"/>
          <w:kern w:val="0"/>
          <w:lang w:val="en-GB"/>
          <w14:ligatures w14:val="none"/>
        </w:rPr>
        <w:tab/>
      </w:r>
      <w:r w:rsidRPr="002729A0">
        <w:rPr>
          <w:rFonts w:ascii="Times New Roman" w:eastAsia="Calibri" w:hAnsi="Times New Roman" w:cs="Times New Roman"/>
          <w:color w:val="000000"/>
          <w:kern w:val="0"/>
          <w:lang w:val="en-GB"/>
          <w14:ligatures w14:val="none"/>
        </w:rPr>
        <w:tab/>
        <w:t xml:space="preserve">               e</w:t>
      </w:r>
      <w:r w:rsidRPr="002729A0">
        <w:rPr>
          <w:rFonts w:ascii="Times New Roman" w:eastAsia="Calibri" w:hAnsi="Times New Roman" w:cs="Times New Roman"/>
          <w:color w:val="000000"/>
          <w:kern w:val="0"/>
          <w:vertAlign w:val="superscript"/>
          <w:lang w:val="en-GB"/>
          <w14:ligatures w14:val="none"/>
        </w:rPr>
        <w:t>2</w:t>
      </w:r>
      <w:r w:rsidRPr="002729A0">
        <w:rPr>
          <w:rFonts w:ascii="Times New Roman" w:eastAsia="Calibri" w:hAnsi="Times New Roman" w:cs="Times New Roman"/>
          <w:color w:val="000000"/>
          <w:kern w:val="0"/>
          <w:vertAlign w:val="superscript"/>
          <w:lang w:val="en-GB"/>
          <w14:ligatures w14:val="none"/>
        </w:rPr>
        <w:tab/>
      </w:r>
      <w:r w:rsidRPr="002729A0">
        <w:rPr>
          <w:rFonts w:ascii="Times New Roman" w:eastAsia="Times New Roman" w:hAnsi="Times New Roman" w:cs="Times New Roman"/>
          <w:color w:val="000000"/>
          <w:kern w:val="0"/>
          <w:lang w:val="en-GB"/>
          <w14:ligatures w14:val="none"/>
        </w:rPr>
        <w:tab/>
      </w:r>
      <w:r w:rsidRPr="002729A0">
        <w:rPr>
          <w:rFonts w:ascii="Times New Roman" w:eastAsia="Times New Roman" w:hAnsi="Times New Roman" w:cs="Times New Roman"/>
          <w:color w:val="000000"/>
          <w:kern w:val="0"/>
          <w:lang w:val="en-GB"/>
          <w14:ligatures w14:val="none"/>
        </w:rPr>
        <w:tab/>
      </w:r>
      <w:r w:rsidRPr="002729A0">
        <w:rPr>
          <w:rFonts w:ascii="Times New Roman" w:eastAsia="Times New Roman" w:hAnsi="Times New Roman" w:cs="Times New Roman"/>
          <w:color w:val="000000"/>
          <w:kern w:val="0"/>
          <w:lang w:val="en-GB"/>
          <w14:ligatures w14:val="none"/>
        </w:rPr>
        <w:tab/>
      </w:r>
      <w:r w:rsidRPr="002729A0">
        <w:rPr>
          <w:rFonts w:ascii="Times New Roman" w:eastAsia="Times New Roman" w:hAnsi="Times New Roman" w:cs="Times New Roman"/>
          <w:color w:val="000000"/>
          <w:kern w:val="0"/>
          <w:lang w:val="en-GB"/>
          <w14:ligatures w14:val="none"/>
        </w:rPr>
        <w:tab/>
      </w:r>
    </w:p>
    <w:p w14:paraId="6A2525E4" w14:textId="77777777" w:rsidR="00F84DB0" w:rsidRPr="002729A0" w:rsidRDefault="00F84DB0" w:rsidP="002729A0">
      <w:pPr>
        <w:spacing w:before="100" w:after="100" w:line="240" w:lineRule="auto"/>
        <w:jc w:val="both"/>
        <w:rPr>
          <w:rFonts w:ascii="Times New Roman" w:eastAsia="Times New Roman" w:hAnsi="Times New Roman" w:cs="Times New Roman"/>
          <w:color w:val="000000"/>
          <w:kern w:val="0"/>
          <w:vertAlign w:val="superscript"/>
          <w:lang w:val="en-GB"/>
          <w14:ligatures w14:val="none"/>
        </w:rPr>
      </w:pPr>
      <w:r w:rsidRPr="002729A0">
        <w:rPr>
          <w:rFonts w:ascii="Times New Roman" w:eastAsia="Times New Roman" w:hAnsi="Times New Roman" w:cs="Times New Roman"/>
          <w:color w:val="000000"/>
          <w:kern w:val="0"/>
          <w:lang w:val="en-GB"/>
          <w14:ligatures w14:val="none"/>
        </w:rPr>
        <w:t>Z</w:t>
      </w:r>
      <w:r w:rsidRPr="002729A0">
        <w:rPr>
          <w:rFonts w:ascii="Times New Roman" w:eastAsia="Times New Roman" w:hAnsi="Times New Roman" w:cs="Times New Roman"/>
          <w:color w:val="000000"/>
          <w:kern w:val="0"/>
          <w:vertAlign w:val="superscript"/>
          <w:lang w:val="en-GB"/>
          <w14:ligatures w14:val="none"/>
        </w:rPr>
        <w:t xml:space="preserve">2 </w:t>
      </w:r>
      <w:r w:rsidRPr="002729A0">
        <w:rPr>
          <w:rFonts w:ascii="Times New Roman" w:eastAsia="Times New Roman" w:hAnsi="Times New Roman" w:cs="Times New Roman"/>
          <w:color w:val="000000"/>
          <w:kern w:val="0"/>
          <w:lang w:val="en-GB"/>
          <w14:ligatures w14:val="none"/>
        </w:rPr>
        <w:t>= Standard normal deviation which corresponds to 95% confidence level (1.96)</w:t>
      </w:r>
      <w:r w:rsidRPr="002729A0">
        <w:rPr>
          <w:rFonts w:ascii="Times New Roman" w:eastAsia="Times New Roman" w:hAnsi="Times New Roman" w:cs="Times New Roman"/>
          <w:color w:val="000000"/>
          <w:kern w:val="0"/>
          <w:vertAlign w:val="superscript"/>
          <w:lang w:val="en-GB"/>
          <w14:ligatures w14:val="none"/>
        </w:rPr>
        <w:t>2</w:t>
      </w:r>
    </w:p>
    <w:p w14:paraId="2E2B790A" w14:textId="77777777" w:rsidR="00F84DB0" w:rsidRPr="002729A0" w:rsidRDefault="00F84DB0" w:rsidP="002729A0">
      <w:pPr>
        <w:spacing w:before="100" w:after="100" w:line="240" w:lineRule="auto"/>
        <w:jc w:val="both"/>
        <w:rPr>
          <w:rFonts w:ascii="Times New Roman" w:eastAsia="Times New Roman" w:hAnsi="Times New Roman" w:cs="Times New Roman"/>
          <w:color w:val="000000"/>
          <w:kern w:val="0"/>
          <w:vertAlign w:val="superscript"/>
          <w:lang w:val="en-GB"/>
          <w14:ligatures w14:val="none"/>
        </w:rPr>
      </w:pPr>
      <w:r w:rsidRPr="002729A0">
        <w:rPr>
          <w:rFonts w:ascii="Times New Roman" w:eastAsia="Times New Roman" w:hAnsi="Times New Roman" w:cs="Times New Roman"/>
          <w:color w:val="000000"/>
          <w:kern w:val="0"/>
          <w:lang w:val="en-GB"/>
          <w14:ligatures w14:val="none"/>
        </w:rPr>
        <w:t>P = Proportion of the population (sample) with characteristics of interest estimated at 50% (0.5)</w:t>
      </w:r>
      <w:r w:rsidRPr="002729A0">
        <w:rPr>
          <w:rFonts w:ascii="Times New Roman" w:eastAsia="Times New Roman" w:hAnsi="Times New Roman" w:cs="Times New Roman"/>
          <w:color w:val="000000"/>
          <w:kern w:val="0"/>
          <w:lang w:val="en-GB"/>
          <w14:ligatures w14:val="none"/>
        </w:rPr>
        <w:tab/>
      </w:r>
    </w:p>
    <w:p w14:paraId="54CF4CF9" w14:textId="77777777" w:rsidR="00F84DB0" w:rsidRPr="002729A0" w:rsidRDefault="00F84DB0" w:rsidP="002729A0">
      <w:pPr>
        <w:spacing w:before="100" w:after="10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e</w:t>
      </w:r>
      <w:r w:rsidRPr="002729A0">
        <w:rPr>
          <w:rFonts w:ascii="Times New Roman" w:eastAsia="Times New Roman" w:hAnsi="Times New Roman" w:cs="Times New Roman"/>
          <w:color w:val="000000"/>
          <w:kern w:val="0"/>
          <w:vertAlign w:val="superscript"/>
          <w:lang w:val="en-GB"/>
          <w14:ligatures w14:val="none"/>
        </w:rPr>
        <w:t xml:space="preserve">2 </w:t>
      </w:r>
      <w:r w:rsidRPr="002729A0">
        <w:rPr>
          <w:rFonts w:ascii="Times New Roman" w:eastAsia="Times New Roman" w:hAnsi="Times New Roman" w:cs="Times New Roman"/>
          <w:color w:val="000000"/>
          <w:kern w:val="0"/>
          <w:lang w:val="en-GB"/>
          <w14:ligatures w14:val="none"/>
        </w:rPr>
        <w:t>= Level of precision………………………………...…</w:t>
      </w:r>
      <w:r w:rsidRPr="002729A0">
        <w:rPr>
          <w:rFonts w:ascii="Times New Roman" w:eastAsia="Times New Roman" w:hAnsi="Times New Roman" w:cs="Times New Roman"/>
          <w:color w:val="000000"/>
          <w:kern w:val="0"/>
          <w:u w:val="single"/>
          <w:lang w:val="en-GB"/>
          <w14:ligatures w14:val="none"/>
        </w:rPr>
        <w:t>+</w:t>
      </w:r>
      <w:r w:rsidRPr="002729A0">
        <w:rPr>
          <w:rFonts w:ascii="Times New Roman" w:eastAsia="Times New Roman" w:hAnsi="Times New Roman" w:cs="Times New Roman"/>
          <w:color w:val="000000"/>
          <w:kern w:val="0"/>
          <w:lang w:val="en-GB"/>
          <w14:ligatures w14:val="none"/>
        </w:rPr>
        <w:t xml:space="preserve"> 5% true value of pop. (0.05)</w:t>
      </w:r>
      <w:r w:rsidRPr="002729A0">
        <w:rPr>
          <w:rFonts w:ascii="Times New Roman" w:eastAsia="Times New Roman" w:hAnsi="Times New Roman" w:cs="Times New Roman"/>
          <w:color w:val="000000"/>
          <w:kern w:val="0"/>
          <w:vertAlign w:val="superscript"/>
          <w:lang w:val="en-GB"/>
          <w14:ligatures w14:val="none"/>
        </w:rPr>
        <w:t>2</w:t>
      </w:r>
    </w:p>
    <w:p w14:paraId="2FC8CC37" w14:textId="77777777" w:rsidR="00F84DB0" w:rsidRPr="002729A0" w:rsidRDefault="00F84DB0" w:rsidP="002729A0">
      <w:pPr>
        <w:spacing w:before="100" w:after="10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Q = ………………………………………………………1-P (1-0.5=0.5)</w:t>
      </w:r>
    </w:p>
    <w:p w14:paraId="454F3911" w14:textId="77777777" w:rsidR="00F84DB0" w:rsidRPr="002729A0" w:rsidRDefault="00F84DB0" w:rsidP="002729A0">
      <w:pPr>
        <w:spacing w:before="100" w:after="10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Design effect=1.2, Study considered multiple stratification </w:t>
      </w:r>
      <w:r w:rsidRPr="002729A0">
        <w:rPr>
          <w:rFonts w:ascii="Times New Roman" w:eastAsia="Times New Roman" w:hAnsi="Times New Roman" w:cs="Times New Roman"/>
          <w:kern w:val="0"/>
          <w:lang w:val="en-GB"/>
          <w14:ligatures w14:val="none"/>
        </w:rPr>
        <w:t>levels, (</w:t>
      </w:r>
      <w:proofErr w:type="gramStart"/>
      <w:r w:rsidRPr="002729A0">
        <w:rPr>
          <w:rFonts w:ascii="Times New Roman" w:eastAsia="Times New Roman" w:hAnsi="Times New Roman" w:cs="Times New Roman"/>
          <w:kern w:val="0"/>
          <w:shd w:val="clear" w:color="auto" w:fill="FFFFFF"/>
          <w:lang w:val="en-GB"/>
          <w14:ligatures w14:val="none"/>
        </w:rPr>
        <w:t>Wejnert ,</w:t>
      </w:r>
      <w:proofErr w:type="gramEnd"/>
      <w:r w:rsidRPr="002729A0">
        <w:rPr>
          <w:rFonts w:ascii="Times New Roman" w:eastAsia="Times New Roman" w:hAnsi="Times New Roman" w:cs="Times New Roman"/>
          <w:kern w:val="0"/>
          <w:shd w:val="clear" w:color="auto" w:fill="FFFFFF"/>
          <w:lang w:val="en-GB"/>
          <w14:ligatures w14:val="none"/>
        </w:rPr>
        <w:t xml:space="preserve"> </w:t>
      </w:r>
      <w:r w:rsidRPr="002729A0">
        <w:rPr>
          <w:rFonts w:ascii="Times New Roman" w:eastAsia="Times New Roman" w:hAnsi="Times New Roman" w:cs="Times New Roman"/>
          <w:i/>
          <w:iCs/>
          <w:kern w:val="0"/>
          <w:shd w:val="clear" w:color="auto" w:fill="FFFFFF"/>
          <w:lang w:val="en-GB"/>
          <w14:ligatures w14:val="none"/>
        </w:rPr>
        <w:t>et al.,</w:t>
      </w:r>
      <w:r w:rsidRPr="002729A0">
        <w:rPr>
          <w:rFonts w:ascii="Times New Roman" w:eastAsia="Times New Roman" w:hAnsi="Times New Roman" w:cs="Times New Roman"/>
          <w:kern w:val="0"/>
          <w:shd w:val="clear" w:color="auto" w:fill="FFFFFF"/>
          <w:lang w:val="en-GB"/>
          <w14:ligatures w14:val="none"/>
        </w:rPr>
        <w:t xml:space="preserve"> 2012)</w:t>
      </w:r>
    </w:p>
    <w:p w14:paraId="0B4D07E9" w14:textId="77777777" w:rsidR="00F84DB0" w:rsidRPr="002729A0" w:rsidRDefault="00F84DB0" w:rsidP="002729A0">
      <w:pPr>
        <w:spacing w:before="100" w:after="10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u w:val="single"/>
          <w:lang w:val="en-GB"/>
          <w14:ligatures w14:val="none"/>
        </w:rPr>
        <w:t xml:space="preserve"> (1.96)</w:t>
      </w:r>
      <w:r w:rsidRPr="002729A0">
        <w:rPr>
          <w:rFonts w:ascii="Times New Roman" w:eastAsia="Times New Roman" w:hAnsi="Times New Roman" w:cs="Times New Roman"/>
          <w:color w:val="000000"/>
          <w:kern w:val="0"/>
          <w:u w:val="single"/>
          <w:vertAlign w:val="superscript"/>
          <w:lang w:val="en-GB"/>
          <w14:ligatures w14:val="none"/>
        </w:rPr>
        <w:t xml:space="preserve">2 </w:t>
      </w:r>
      <w:r w:rsidRPr="002729A0">
        <w:rPr>
          <w:rFonts w:ascii="Times New Roman" w:eastAsia="Times New Roman" w:hAnsi="Times New Roman" w:cs="Times New Roman"/>
          <w:color w:val="000000"/>
          <w:kern w:val="0"/>
          <w:u w:val="single"/>
          <w:lang w:val="en-GB"/>
          <w14:ligatures w14:val="none"/>
        </w:rPr>
        <w:t>(0.5) (0.5)</w:t>
      </w:r>
      <w:r w:rsidRPr="002729A0">
        <w:rPr>
          <w:rFonts w:ascii="Times New Roman" w:eastAsia="Times New Roman" w:hAnsi="Times New Roman" w:cs="Times New Roman"/>
          <w:color w:val="000000"/>
          <w:kern w:val="0"/>
          <w:lang w:val="en-GB"/>
          <w14:ligatures w14:val="none"/>
        </w:rPr>
        <w:t xml:space="preserve">    x 1.2=     460.9 = (Rounded off to 461).    </w:t>
      </w:r>
    </w:p>
    <w:p w14:paraId="25353B1B" w14:textId="77777777" w:rsidR="00F84DB0" w:rsidRPr="002729A0" w:rsidRDefault="00F84DB0" w:rsidP="002729A0">
      <w:pPr>
        <w:spacing w:before="100" w:after="100" w:line="240" w:lineRule="auto"/>
        <w:jc w:val="both"/>
        <w:rPr>
          <w:rFonts w:ascii="Times New Roman" w:eastAsia="Times New Roman" w:hAnsi="Times New Roman" w:cs="Times New Roman"/>
          <w:color w:val="000000"/>
          <w:kern w:val="0"/>
          <w:vertAlign w:val="superscript"/>
          <w:lang w:val="en-GB"/>
          <w14:ligatures w14:val="none"/>
        </w:rPr>
      </w:pPr>
      <w:r w:rsidRPr="002729A0">
        <w:rPr>
          <w:rFonts w:ascii="Times New Roman" w:eastAsia="Times New Roman" w:hAnsi="Times New Roman" w:cs="Times New Roman"/>
          <w:color w:val="000000"/>
          <w:kern w:val="0"/>
          <w:lang w:val="en-GB"/>
          <w14:ligatures w14:val="none"/>
        </w:rPr>
        <w:t xml:space="preserve">         (0.05)</w:t>
      </w:r>
      <w:r w:rsidRPr="002729A0">
        <w:rPr>
          <w:rFonts w:ascii="Times New Roman" w:eastAsia="Times New Roman" w:hAnsi="Times New Roman" w:cs="Times New Roman"/>
          <w:color w:val="000000"/>
          <w:kern w:val="0"/>
          <w:vertAlign w:val="superscript"/>
          <w:lang w:val="en-GB"/>
          <w14:ligatures w14:val="none"/>
        </w:rPr>
        <w:t xml:space="preserve">2           </w:t>
      </w:r>
    </w:p>
    <w:p w14:paraId="06293CE6" w14:textId="77777777" w:rsidR="00F84DB0" w:rsidRPr="002729A0" w:rsidRDefault="00F84DB0" w:rsidP="002729A0">
      <w:pPr>
        <w:spacing w:before="100" w:after="10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This was adjusted by 10% to take account for errors and non-response therefore  </w:t>
      </w:r>
    </w:p>
    <w:p w14:paraId="7711FEF8" w14:textId="77777777" w:rsidR="00F84DB0" w:rsidRPr="002729A0" w:rsidRDefault="00F84DB0" w:rsidP="002729A0">
      <w:pPr>
        <w:spacing w:before="100" w:after="10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 = 461+ 46.1 = 507 study participants</w:t>
      </w:r>
    </w:p>
    <w:p w14:paraId="3C2554E9" w14:textId="77777777" w:rsidR="00E40FCF" w:rsidRPr="002729A0" w:rsidRDefault="00E40FCF" w:rsidP="002729A0">
      <w:pPr>
        <w:spacing w:line="240" w:lineRule="auto"/>
        <w:jc w:val="both"/>
        <w:rPr>
          <w:rFonts w:ascii="Times New Roman" w:hAnsi="Times New Roman" w:cs="Times New Roman"/>
          <w:b/>
          <w:bCs/>
        </w:rPr>
      </w:pPr>
      <w:r w:rsidRPr="002729A0">
        <w:rPr>
          <w:rFonts w:ascii="Times New Roman" w:hAnsi="Times New Roman" w:cs="Times New Roman"/>
          <w:b/>
          <w:bCs/>
        </w:rPr>
        <w:t>Sampling procedure</w:t>
      </w:r>
    </w:p>
    <w:p w14:paraId="044C8C99" w14:textId="77777777" w:rsidR="00E40FCF" w:rsidRPr="002729A0" w:rsidRDefault="00E40FCF" w:rsidP="002729A0">
      <w:pPr>
        <w:spacing w:line="240" w:lineRule="auto"/>
        <w:jc w:val="both"/>
        <w:rPr>
          <w:rFonts w:ascii="Times New Roman" w:hAnsi="Times New Roman" w:cs="Times New Roman"/>
        </w:rPr>
      </w:pPr>
      <w:r w:rsidRPr="002729A0">
        <w:rPr>
          <w:rFonts w:ascii="Times New Roman" w:hAnsi="Times New Roman" w:cs="Times New Roman"/>
        </w:rPr>
        <w:t xml:space="preserve">There are seven (7) Sub-counties in Kisumu County. Four Sub-counties namely, Nyando, Muhoroni, Nyakach and Kisumu East were selected using the purposive method. The rationale for a purposive sampling of the four sub-counties was based on the fact that they are hot spots for public health emergencies. </w:t>
      </w:r>
    </w:p>
    <w:p w14:paraId="07BA7592" w14:textId="3061E64E" w:rsidR="00E40FCF" w:rsidRPr="002729A0" w:rsidRDefault="00E40FCF" w:rsidP="002729A0">
      <w:pPr>
        <w:spacing w:line="240" w:lineRule="auto"/>
        <w:jc w:val="both"/>
        <w:rPr>
          <w:rFonts w:ascii="Times New Roman" w:hAnsi="Times New Roman" w:cs="Times New Roman"/>
        </w:rPr>
      </w:pPr>
      <w:r w:rsidRPr="002729A0">
        <w:rPr>
          <w:rFonts w:ascii="Times New Roman" w:hAnsi="Times New Roman" w:cs="Times New Roman"/>
        </w:rPr>
        <w:t xml:space="preserve">The remaining three were also selected using the same method and these </w:t>
      </w:r>
      <w:r w:rsidR="005E5BF9" w:rsidRPr="002729A0">
        <w:rPr>
          <w:rFonts w:ascii="Times New Roman" w:hAnsi="Times New Roman" w:cs="Times New Roman"/>
        </w:rPr>
        <w:t>were</w:t>
      </w:r>
      <w:r w:rsidRPr="002729A0">
        <w:rPr>
          <w:rFonts w:ascii="Times New Roman" w:hAnsi="Times New Roman" w:cs="Times New Roman"/>
        </w:rPr>
        <w:t xml:space="preserve"> quiet or low grade in terms of PHEs therefore, they served as pilot sites. Multistage cluster random sampling was applied to generate quantitative data using a structured questionnaire which was both researcher and assistant administered to the respondents. The sub-counties were clustered, villages were purposively selected for the reason that the method could be tailored to enhance study effectiveness thus the subjects fit the profile for the study. This was done with the help of the Community Health Volunteers. The list of households was provided, forming the sampling frame from which participants were chosen using systematic random sampling. The sub-county with the highest population yielded the highest participants proportionately. </w:t>
      </w:r>
    </w:p>
    <w:p w14:paraId="54CB2932" w14:textId="173D070E" w:rsidR="00E40FCF" w:rsidRPr="002729A0" w:rsidRDefault="00E40FCF" w:rsidP="002729A0">
      <w:pPr>
        <w:spacing w:line="240" w:lineRule="auto"/>
        <w:jc w:val="both"/>
        <w:rPr>
          <w:rFonts w:ascii="Times New Roman" w:hAnsi="Times New Roman" w:cs="Times New Roman"/>
        </w:rPr>
      </w:pPr>
      <w:r w:rsidRPr="002729A0">
        <w:rPr>
          <w:rFonts w:ascii="Times New Roman" w:hAnsi="Times New Roman" w:cs="Times New Roman"/>
        </w:rPr>
        <w:t>K-value (interval) is calculated by dividing the number of households by the sample size per sub-county, as shown in Table 1 below.</w:t>
      </w:r>
    </w:p>
    <w:p w14:paraId="24BCC102" w14:textId="77777777" w:rsidR="000A79FD" w:rsidRPr="002729A0" w:rsidRDefault="000A79FD" w:rsidP="002729A0">
      <w:pPr>
        <w:spacing w:line="240" w:lineRule="auto"/>
        <w:jc w:val="both"/>
        <w:rPr>
          <w:rFonts w:ascii="Times New Roman" w:hAnsi="Times New Roman" w:cs="Times New Roman"/>
        </w:rPr>
      </w:pPr>
    </w:p>
    <w:p w14:paraId="452FC838" w14:textId="53D2365B" w:rsidR="000A79FD" w:rsidRPr="002729A0" w:rsidRDefault="000A79FD" w:rsidP="002729A0">
      <w:pPr>
        <w:keepNext/>
        <w:spacing w:after="200" w:line="240" w:lineRule="auto"/>
        <w:jc w:val="both"/>
        <w:rPr>
          <w:rFonts w:ascii="Times New Roman" w:eastAsia="SimSun" w:hAnsi="Times New Roman" w:cs="Times New Roman"/>
          <w:b/>
          <w:bCs/>
          <w:color w:val="000000"/>
          <w:kern w:val="0"/>
          <w:lang w:val="en-GB"/>
          <w14:ligatures w14:val="none"/>
        </w:rPr>
      </w:pPr>
      <w:bookmarkStart w:id="2" w:name="_Toc177471258"/>
      <w:r w:rsidRPr="002729A0">
        <w:rPr>
          <w:rFonts w:ascii="Times New Roman" w:eastAsia="SimSun" w:hAnsi="Times New Roman" w:cs="Times New Roman"/>
          <w:b/>
          <w:bCs/>
          <w:color w:val="000000"/>
          <w:kern w:val="0"/>
          <w:lang w:val="en-GB"/>
          <w14:ligatures w14:val="none"/>
        </w:rPr>
        <w:t xml:space="preserve">Table </w:t>
      </w:r>
      <w:r w:rsidR="002A1312" w:rsidRPr="002729A0">
        <w:rPr>
          <w:rFonts w:ascii="Times New Roman" w:eastAsia="SimSun" w:hAnsi="Times New Roman" w:cs="Times New Roman"/>
          <w:b/>
          <w:bCs/>
          <w:color w:val="000000"/>
          <w:kern w:val="0"/>
          <w:lang w:val="en-GB"/>
          <w14:ligatures w14:val="none"/>
        </w:rPr>
        <w:t xml:space="preserve">1 </w:t>
      </w:r>
      <w:r w:rsidRPr="002729A0">
        <w:rPr>
          <w:rFonts w:ascii="Times New Roman" w:eastAsia="SimSun" w:hAnsi="Times New Roman" w:cs="Times New Roman"/>
          <w:b/>
          <w:bCs/>
          <w:color w:val="000000"/>
          <w:kern w:val="0"/>
          <w:lang w:val="en-GB"/>
          <w14:ligatures w14:val="none"/>
        </w:rPr>
        <w:t>Kisumu County: Sub-counties population and households (HH)</w:t>
      </w:r>
      <w:bookmarkEnd w:id="2"/>
    </w:p>
    <w:tbl>
      <w:tblPr>
        <w:tblW w:w="8797" w:type="dxa"/>
        <w:tblInd w:w="-8" w:type="dxa"/>
        <w:tblLook w:val="0000" w:firstRow="0" w:lastRow="0" w:firstColumn="0" w:lastColumn="0" w:noHBand="0" w:noVBand="0"/>
      </w:tblPr>
      <w:tblGrid>
        <w:gridCol w:w="1711"/>
        <w:gridCol w:w="1907"/>
        <w:gridCol w:w="1045"/>
        <w:gridCol w:w="1031"/>
        <w:gridCol w:w="1277"/>
        <w:gridCol w:w="1826"/>
      </w:tblGrid>
      <w:tr w:rsidR="000A79FD" w:rsidRPr="002729A0" w14:paraId="3B278B61" w14:textId="77777777" w:rsidTr="007E5F13">
        <w:trPr>
          <w:trHeight w:val="492"/>
        </w:trPr>
        <w:tc>
          <w:tcPr>
            <w:tcW w:w="1711" w:type="dxa"/>
            <w:tcBorders>
              <w:top w:val="single" w:sz="4" w:space="0" w:color="auto"/>
              <w:bottom w:val="single" w:sz="4" w:space="0" w:color="auto"/>
            </w:tcBorders>
            <w:shd w:val="clear" w:color="000000" w:fill="FFFFFF"/>
            <w:noWrap/>
            <w:vAlign w:val="center"/>
          </w:tcPr>
          <w:p w14:paraId="5520EA3A"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Sub-county</w:t>
            </w:r>
          </w:p>
        </w:tc>
        <w:tc>
          <w:tcPr>
            <w:tcW w:w="1907" w:type="dxa"/>
            <w:tcBorders>
              <w:top w:val="single" w:sz="4" w:space="0" w:color="auto"/>
              <w:bottom w:val="single" w:sz="4" w:space="0" w:color="auto"/>
            </w:tcBorders>
            <w:shd w:val="clear" w:color="000000" w:fill="FFFFFF"/>
            <w:noWrap/>
            <w:vAlign w:val="center"/>
          </w:tcPr>
          <w:p w14:paraId="6AC6A3C3"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Population (pop.)</w:t>
            </w:r>
          </w:p>
        </w:tc>
        <w:tc>
          <w:tcPr>
            <w:tcW w:w="1045" w:type="dxa"/>
            <w:tcBorders>
              <w:top w:val="single" w:sz="4" w:space="0" w:color="auto"/>
              <w:bottom w:val="single" w:sz="4" w:space="0" w:color="auto"/>
            </w:tcBorders>
            <w:shd w:val="clear" w:color="000000" w:fill="FFFFFF"/>
            <w:noWrap/>
            <w:vAlign w:val="center"/>
          </w:tcPr>
          <w:p w14:paraId="618550DF"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 xml:space="preserve">No. </w:t>
            </w:r>
            <w:proofErr w:type="spellStart"/>
            <w:r w:rsidRPr="002729A0">
              <w:rPr>
                <w:rFonts w:ascii="Times New Roman" w:eastAsia="Times New Roman" w:hAnsi="Times New Roman" w:cs="Times New Roman"/>
                <w:b/>
                <w:bCs/>
                <w:color w:val="000000"/>
                <w:kern w:val="0"/>
                <w:lang w:val="en-GB"/>
                <w14:ligatures w14:val="none"/>
              </w:rPr>
              <w:t>hh</w:t>
            </w:r>
            <w:proofErr w:type="spellEnd"/>
          </w:p>
        </w:tc>
        <w:tc>
          <w:tcPr>
            <w:tcW w:w="1031" w:type="dxa"/>
            <w:tcBorders>
              <w:top w:val="single" w:sz="4" w:space="0" w:color="auto"/>
              <w:bottom w:val="single" w:sz="4" w:space="0" w:color="auto"/>
            </w:tcBorders>
            <w:shd w:val="clear" w:color="000000" w:fill="FFFFFF"/>
            <w:noWrap/>
            <w:vAlign w:val="center"/>
          </w:tcPr>
          <w:p w14:paraId="527C5D8B"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 xml:space="preserve">% of </w:t>
            </w:r>
            <w:proofErr w:type="spellStart"/>
            <w:r w:rsidRPr="002729A0">
              <w:rPr>
                <w:rFonts w:ascii="Times New Roman" w:eastAsia="Times New Roman" w:hAnsi="Times New Roman" w:cs="Times New Roman"/>
                <w:b/>
                <w:bCs/>
                <w:color w:val="000000"/>
                <w:kern w:val="0"/>
                <w:lang w:val="en-GB"/>
                <w14:ligatures w14:val="none"/>
              </w:rPr>
              <w:t>hh</w:t>
            </w:r>
            <w:proofErr w:type="spellEnd"/>
          </w:p>
        </w:tc>
        <w:tc>
          <w:tcPr>
            <w:tcW w:w="1277" w:type="dxa"/>
            <w:tcBorders>
              <w:top w:val="single" w:sz="4" w:space="0" w:color="auto"/>
              <w:bottom w:val="single" w:sz="4" w:space="0" w:color="auto"/>
            </w:tcBorders>
            <w:shd w:val="clear" w:color="000000" w:fill="FFFFFF"/>
            <w:noWrap/>
            <w:vAlign w:val="center"/>
          </w:tcPr>
          <w:p w14:paraId="081D71DE"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Sample size</w:t>
            </w:r>
          </w:p>
        </w:tc>
        <w:tc>
          <w:tcPr>
            <w:tcW w:w="1826" w:type="dxa"/>
            <w:tcBorders>
              <w:top w:val="single" w:sz="4" w:space="0" w:color="auto"/>
              <w:bottom w:val="single" w:sz="4" w:space="0" w:color="auto"/>
            </w:tcBorders>
            <w:shd w:val="clear" w:color="000000" w:fill="FFFFFF"/>
            <w:noWrap/>
            <w:vAlign w:val="center"/>
          </w:tcPr>
          <w:p w14:paraId="6CA6195A"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K</w:t>
            </w:r>
            <w:r w:rsidRPr="002729A0">
              <w:rPr>
                <w:rFonts w:ascii="Times New Roman" w:eastAsia="Times New Roman" w:hAnsi="Times New Roman" w:cs="Times New Roman"/>
                <w:b/>
                <w:bCs/>
                <w:color w:val="000000"/>
                <w:kern w:val="0"/>
                <w:vertAlign w:val="superscript"/>
                <w:lang w:val="en-GB"/>
                <w14:ligatures w14:val="none"/>
              </w:rPr>
              <w:t>th</w:t>
            </w:r>
            <w:r w:rsidRPr="002729A0">
              <w:rPr>
                <w:rFonts w:ascii="Times New Roman" w:eastAsia="Times New Roman" w:hAnsi="Times New Roman" w:cs="Times New Roman"/>
                <w:b/>
                <w:bCs/>
                <w:color w:val="000000"/>
                <w:kern w:val="0"/>
                <w:lang w:val="en-GB"/>
                <w14:ligatures w14:val="none"/>
              </w:rPr>
              <w:t xml:space="preserve"> interval</w:t>
            </w:r>
          </w:p>
        </w:tc>
      </w:tr>
      <w:tr w:rsidR="000A79FD" w:rsidRPr="002729A0" w14:paraId="3E2309B4" w14:textId="77777777" w:rsidTr="007E5F13">
        <w:trPr>
          <w:trHeight w:val="469"/>
        </w:trPr>
        <w:tc>
          <w:tcPr>
            <w:tcW w:w="1711" w:type="dxa"/>
            <w:tcBorders>
              <w:top w:val="single" w:sz="4" w:space="0" w:color="auto"/>
            </w:tcBorders>
            <w:shd w:val="clear" w:color="000000" w:fill="FFFFFF"/>
            <w:noWrap/>
            <w:vAlign w:val="center"/>
          </w:tcPr>
          <w:p w14:paraId="771AE17A"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Nyando</w:t>
            </w:r>
          </w:p>
        </w:tc>
        <w:tc>
          <w:tcPr>
            <w:tcW w:w="1907" w:type="dxa"/>
            <w:tcBorders>
              <w:top w:val="single" w:sz="4" w:space="0" w:color="auto"/>
            </w:tcBorders>
            <w:shd w:val="clear" w:color="000000" w:fill="FFFFFF"/>
            <w:noWrap/>
            <w:vAlign w:val="center"/>
          </w:tcPr>
          <w:p w14:paraId="5D48EBF8"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178,246</w:t>
            </w:r>
          </w:p>
        </w:tc>
        <w:tc>
          <w:tcPr>
            <w:tcW w:w="1045" w:type="dxa"/>
            <w:tcBorders>
              <w:top w:val="single" w:sz="4" w:space="0" w:color="auto"/>
            </w:tcBorders>
            <w:shd w:val="clear" w:color="000000" w:fill="FFFFFF"/>
            <w:noWrap/>
            <w:vAlign w:val="center"/>
          </w:tcPr>
          <w:p w14:paraId="5191839A"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39637</w:t>
            </w:r>
          </w:p>
        </w:tc>
        <w:tc>
          <w:tcPr>
            <w:tcW w:w="1031" w:type="dxa"/>
            <w:tcBorders>
              <w:top w:val="single" w:sz="4" w:space="0" w:color="auto"/>
            </w:tcBorders>
            <w:shd w:val="clear" w:color="000000" w:fill="FFFFFF"/>
            <w:noWrap/>
            <w:vAlign w:val="center"/>
          </w:tcPr>
          <w:p w14:paraId="5672841C"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26.82</w:t>
            </w:r>
          </w:p>
        </w:tc>
        <w:tc>
          <w:tcPr>
            <w:tcW w:w="1277" w:type="dxa"/>
            <w:tcBorders>
              <w:top w:val="single" w:sz="4" w:space="0" w:color="auto"/>
            </w:tcBorders>
            <w:shd w:val="clear" w:color="000000" w:fill="FFFFFF"/>
            <w:noWrap/>
            <w:vAlign w:val="center"/>
          </w:tcPr>
          <w:p w14:paraId="024305DC"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136</w:t>
            </w:r>
          </w:p>
        </w:tc>
        <w:tc>
          <w:tcPr>
            <w:tcW w:w="1826" w:type="dxa"/>
            <w:tcBorders>
              <w:top w:val="single" w:sz="4" w:space="0" w:color="auto"/>
            </w:tcBorders>
            <w:shd w:val="clear" w:color="000000" w:fill="FFFFFF"/>
            <w:noWrap/>
            <w:vAlign w:val="center"/>
          </w:tcPr>
          <w:p w14:paraId="60447AAC"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39637/136=291</w:t>
            </w:r>
          </w:p>
        </w:tc>
      </w:tr>
      <w:tr w:rsidR="000A79FD" w:rsidRPr="002729A0" w14:paraId="4512DAA4" w14:textId="77777777" w:rsidTr="007E5F13">
        <w:trPr>
          <w:trHeight w:val="469"/>
        </w:trPr>
        <w:tc>
          <w:tcPr>
            <w:tcW w:w="1711" w:type="dxa"/>
            <w:shd w:val="clear" w:color="000000" w:fill="FFFFFF"/>
            <w:noWrap/>
            <w:vAlign w:val="center"/>
          </w:tcPr>
          <w:p w14:paraId="61381A7A"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Nyakach</w:t>
            </w:r>
          </w:p>
        </w:tc>
        <w:tc>
          <w:tcPr>
            <w:tcW w:w="1907" w:type="dxa"/>
            <w:shd w:val="clear" w:color="000000" w:fill="FFFFFF"/>
            <w:noWrap/>
            <w:vAlign w:val="center"/>
          </w:tcPr>
          <w:p w14:paraId="405C9D3A"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168,140</w:t>
            </w:r>
          </w:p>
        </w:tc>
        <w:tc>
          <w:tcPr>
            <w:tcW w:w="1045" w:type="dxa"/>
            <w:shd w:val="clear" w:color="000000" w:fill="FFFFFF"/>
            <w:noWrap/>
            <w:vAlign w:val="center"/>
          </w:tcPr>
          <w:p w14:paraId="3C088AEB"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27341</w:t>
            </w:r>
          </w:p>
        </w:tc>
        <w:tc>
          <w:tcPr>
            <w:tcW w:w="1031" w:type="dxa"/>
            <w:shd w:val="clear" w:color="000000" w:fill="FFFFFF"/>
            <w:noWrap/>
            <w:vAlign w:val="center"/>
          </w:tcPr>
          <w:p w14:paraId="2EC632D6"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18.5</w:t>
            </w:r>
          </w:p>
        </w:tc>
        <w:tc>
          <w:tcPr>
            <w:tcW w:w="1277" w:type="dxa"/>
            <w:shd w:val="clear" w:color="000000" w:fill="FFFFFF"/>
            <w:noWrap/>
            <w:vAlign w:val="center"/>
          </w:tcPr>
          <w:p w14:paraId="049910F1"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94</w:t>
            </w:r>
          </w:p>
        </w:tc>
        <w:tc>
          <w:tcPr>
            <w:tcW w:w="1826" w:type="dxa"/>
            <w:shd w:val="clear" w:color="000000" w:fill="FFFFFF"/>
            <w:noWrap/>
            <w:vAlign w:val="center"/>
          </w:tcPr>
          <w:p w14:paraId="7F2B8ED1"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27341/94=291</w:t>
            </w:r>
          </w:p>
        </w:tc>
      </w:tr>
      <w:tr w:rsidR="000A79FD" w:rsidRPr="002729A0" w14:paraId="517D13A1" w14:textId="77777777" w:rsidTr="007E5F13">
        <w:trPr>
          <w:trHeight w:val="469"/>
        </w:trPr>
        <w:tc>
          <w:tcPr>
            <w:tcW w:w="1711" w:type="dxa"/>
            <w:shd w:val="clear" w:color="000000" w:fill="FFFFFF"/>
            <w:noWrap/>
            <w:vAlign w:val="center"/>
          </w:tcPr>
          <w:p w14:paraId="7F5AA303"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lastRenderedPageBreak/>
              <w:t>Muhoroni</w:t>
            </w:r>
          </w:p>
        </w:tc>
        <w:tc>
          <w:tcPr>
            <w:tcW w:w="1907" w:type="dxa"/>
            <w:shd w:val="clear" w:color="000000" w:fill="FFFFFF"/>
            <w:noWrap/>
            <w:vAlign w:val="center"/>
          </w:tcPr>
          <w:p w14:paraId="532C9756"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184,220</w:t>
            </w:r>
          </w:p>
        </w:tc>
        <w:tc>
          <w:tcPr>
            <w:tcW w:w="1045" w:type="dxa"/>
            <w:shd w:val="clear" w:color="000000" w:fill="FFFFFF"/>
            <w:noWrap/>
            <w:vAlign w:val="center"/>
          </w:tcPr>
          <w:p w14:paraId="70B691C9"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30292</w:t>
            </w:r>
          </w:p>
        </w:tc>
        <w:tc>
          <w:tcPr>
            <w:tcW w:w="1031" w:type="dxa"/>
            <w:shd w:val="clear" w:color="000000" w:fill="FFFFFF"/>
            <w:noWrap/>
            <w:vAlign w:val="center"/>
          </w:tcPr>
          <w:p w14:paraId="2703BA2A"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20.5</w:t>
            </w:r>
          </w:p>
        </w:tc>
        <w:tc>
          <w:tcPr>
            <w:tcW w:w="1277" w:type="dxa"/>
            <w:shd w:val="clear" w:color="000000" w:fill="FFFFFF"/>
            <w:noWrap/>
            <w:vAlign w:val="center"/>
          </w:tcPr>
          <w:p w14:paraId="5509B7B2"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104</w:t>
            </w:r>
          </w:p>
        </w:tc>
        <w:tc>
          <w:tcPr>
            <w:tcW w:w="1826" w:type="dxa"/>
            <w:shd w:val="clear" w:color="000000" w:fill="FFFFFF"/>
            <w:noWrap/>
            <w:vAlign w:val="center"/>
          </w:tcPr>
          <w:p w14:paraId="70D90AB7"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30292/104=291</w:t>
            </w:r>
          </w:p>
        </w:tc>
      </w:tr>
      <w:tr w:rsidR="000A79FD" w:rsidRPr="002729A0" w14:paraId="57A6080B" w14:textId="77777777" w:rsidTr="007E5F13">
        <w:trPr>
          <w:trHeight w:val="469"/>
        </w:trPr>
        <w:tc>
          <w:tcPr>
            <w:tcW w:w="1711" w:type="dxa"/>
            <w:tcBorders>
              <w:bottom w:val="single" w:sz="4" w:space="0" w:color="auto"/>
            </w:tcBorders>
            <w:shd w:val="clear" w:color="000000" w:fill="FFFFFF"/>
            <w:noWrap/>
            <w:vAlign w:val="center"/>
          </w:tcPr>
          <w:p w14:paraId="4666D8C9"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Kisumu East</w:t>
            </w:r>
          </w:p>
        </w:tc>
        <w:tc>
          <w:tcPr>
            <w:tcW w:w="1907" w:type="dxa"/>
            <w:tcBorders>
              <w:bottom w:val="single" w:sz="4" w:space="0" w:color="auto"/>
            </w:tcBorders>
            <w:shd w:val="clear" w:color="000000" w:fill="FFFFFF"/>
            <w:noWrap/>
            <w:vAlign w:val="center"/>
          </w:tcPr>
          <w:p w14:paraId="729773EE"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189,730</w:t>
            </w:r>
          </w:p>
        </w:tc>
        <w:tc>
          <w:tcPr>
            <w:tcW w:w="1045" w:type="dxa"/>
            <w:tcBorders>
              <w:bottom w:val="single" w:sz="4" w:space="0" w:color="auto"/>
            </w:tcBorders>
            <w:shd w:val="clear" w:color="000000" w:fill="FFFFFF"/>
            <w:noWrap/>
            <w:vAlign w:val="center"/>
          </w:tcPr>
          <w:p w14:paraId="3747544B"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50523</w:t>
            </w:r>
          </w:p>
        </w:tc>
        <w:tc>
          <w:tcPr>
            <w:tcW w:w="1031" w:type="dxa"/>
            <w:tcBorders>
              <w:bottom w:val="single" w:sz="4" w:space="0" w:color="auto"/>
            </w:tcBorders>
            <w:shd w:val="clear" w:color="000000" w:fill="FFFFFF"/>
            <w:noWrap/>
            <w:vAlign w:val="center"/>
          </w:tcPr>
          <w:p w14:paraId="46798B33"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34.18</w:t>
            </w:r>
          </w:p>
        </w:tc>
        <w:tc>
          <w:tcPr>
            <w:tcW w:w="1277" w:type="dxa"/>
            <w:tcBorders>
              <w:bottom w:val="single" w:sz="4" w:space="0" w:color="auto"/>
            </w:tcBorders>
            <w:shd w:val="clear" w:color="000000" w:fill="FFFFFF"/>
            <w:noWrap/>
            <w:vAlign w:val="center"/>
          </w:tcPr>
          <w:p w14:paraId="3FDE0815"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173</w:t>
            </w:r>
          </w:p>
        </w:tc>
        <w:tc>
          <w:tcPr>
            <w:tcW w:w="1826" w:type="dxa"/>
            <w:tcBorders>
              <w:bottom w:val="single" w:sz="4" w:space="0" w:color="auto"/>
            </w:tcBorders>
            <w:shd w:val="clear" w:color="000000" w:fill="FFFFFF"/>
            <w:noWrap/>
            <w:vAlign w:val="center"/>
          </w:tcPr>
          <w:p w14:paraId="43E8DE54"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50523/173=292</w:t>
            </w:r>
          </w:p>
        </w:tc>
      </w:tr>
      <w:tr w:rsidR="000A79FD" w:rsidRPr="002729A0" w14:paraId="0E9063C4" w14:textId="77777777" w:rsidTr="007E5F13">
        <w:trPr>
          <w:trHeight w:val="492"/>
        </w:trPr>
        <w:tc>
          <w:tcPr>
            <w:tcW w:w="1711" w:type="dxa"/>
            <w:tcBorders>
              <w:top w:val="single" w:sz="4" w:space="0" w:color="auto"/>
              <w:bottom w:val="single" w:sz="4" w:space="0" w:color="auto"/>
            </w:tcBorders>
            <w:shd w:val="clear" w:color="000000" w:fill="FFFFFF"/>
            <w:noWrap/>
            <w:vAlign w:val="center"/>
          </w:tcPr>
          <w:p w14:paraId="178F6B6F" w14:textId="77777777" w:rsidR="000A79FD" w:rsidRPr="002729A0" w:rsidRDefault="000A79FD" w:rsidP="002729A0">
            <w:pPr>
              <w:spacing w:after="0" w:line="240" w:lineRule="auto"/>
              <w:jc w:val="both"/>
              <w:rPr>
                <w:rFonts w:ascii="Times New Roman" w:eastAsia="Times New Roman" w:hAnsi="Times New Roman" w:cs="Times New Roman"/>
                <w:b/>
                <w:color w:val="000000"/>
                <w:kern w:val="0"/>
                <w:lang w:val="en-GB"/>
                <w14:ligatures w14:val="none"/>
              </w:rPr>
            </w:pPr>
            <w:r w:rsidRPr="002729A0">
              <w:rPr>
                <w:rFonts w:ascii="Times New Roman" w:eastAsia="Times New Roman" w:hAnsi="Times New Roman" w:cs="Times New Roman"/>
                <w:b/>
                <w:color w:val="000000"/>
                <w:kern w:val="0"/>
                <w:lang w:val="en-GB"/>
                <w14:ligatures w14:val="none"/>
              </w:rPr>
              <w:t> Total</w:t>
            </w:r>
          </w:p>
        </w:tc>
        <w:tc>
          <w:tcPr>
            <w:tcW w:w="1907" w:type="dxa"/>
            <w:tcBorders>
              <w:top w:val="single" w:sz="4" w:space="0" w:color="auto"/>
              <w:bottom w:val="single" w:sz="4" w:space="0" w:color="auto"/>
            </w:tcBorders>
            <w:shd w:val="clear" w:color="000000" w:fill="FFFFFF"/>
            <w:noWrap/>
            <w:vAlign w:val="center"/>
          </w:tcPr>
          <w:p w14:paraId="74194834"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720,336</w:t>
            </w:r>
          </w:p>
        </w:tc>
        <w:tc>
          <w:tcPr>
            <w:tcW w:w="1045" w:type="dxa"/>
            <w:tcBorders>
              <w:top w:val="single" w:sz="4" w:space="0" w:color="auto"/>
              <w:bottom w:val="single" w:sz="4" w:space="0" w:color="auto"/>
            </w:tcBorders>
            <w:shd w:val="clear" w:color="000000" w:fill="FFFFFF"/>
            <w:noWrap/>
            <w:vAlign w:val="center"/>
          </w:tcPr>
          <w:p w14:paraId="08F3ECA7"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147,793</w:t>
            </w:r>
          </w:p>
        </w:tc>
        <w:tc>
          <w:tcPr>
            <w:tcW w:w="1031" w:type="dxa"/>
            <w:tcBorders>
              <w:top w:val="single" w:sz="4" w:space="0" w:color="auto"/>
              <w:bottom w:val="single" w:sz="4" w:space="0" w:color="auto"/>
            </w:tcBorders>
            <w:shd w:val="clear" w:color="000000" w:fill="FFFFFF"/>
            <w:noWrap/>
            <w:vAlign w:val="center"/>
          </w:tcPr>
          <w:p w14:paraId="10CA7C97"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100</w:t>
            </w:r>
          </w:p>
        </w:tc>
        <w:tc>
          <w:tcPr>
            <w:tcW w:w="1277" w:type="dxa"/>
            <w:tcBorders>
              <w:top w:val="single" w:sz="4" w:space="0" w:color="auto"/>
              <w:bottom w:val="single" w:sz="4" w:space="0" w:color="auto"/>
            </w:tcBorders>
            <w:shd w:val="clear" w:color="000000" w:fill="FFFFFF"/>
            <w:noWrap/>
            <w:vAlign w:val="center"/>
          </w:tcPr>
          <w:p w14:paraId="431A6FFE" w14:textId="77777777" w:rsidR="000A79FD" w:rsidRPr="002729A0" w:rsidRDefault="000A79FD"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507</w:t>
            </w:r>
          </w:p>
        </w:tc>
        <w:tc>
          <w:tcPr>
            <w:tcW w:w="1826" w:type="dxa"/>
            <w:tcBorders>
              <w:top w:val="single" w:sz="4" w:space="0" w:color="auto"/>
              <w:bottom w:val="single" w:sz="4" w:space="0" w:color="auto"/>
            </w:tcBorders>
            <w:shd w:val="clear" w:color="000000" w:fill="FFFFFF"/>
            <w:noWrap/>
            <w:vAlign w:val="center"/>
          </w:tcPr>
          <w:p w14:paraId="68473385" w14:textId="77777777" w:rsidR="000A79FD" w:rsidRPr="002729A0" w:rsidRDefault="000A79FD"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w:t>
            </w:r>
          </w:p>
        </w:tc>
      </w:tr>
    </w:tbl>
    <w:p w14:paraId="3A347C02" w14:textId="77777777" w:rsidR="00AE326B" w:rsidRPr="002729A0" w:rsidRDefault="00AE326B" w:rsidP="002729A0">
      <w:pPr>
        <w:spacing w:line="240" w:lineRule="auto"/>
        <w:jc w:val="both"/>
        <w:rPr>
          <w:rFonts w:ascii="Times New Roman" w:hAnsi="Times New Roman" w:cs="Times New Roman"/>
        </w:rPr>
      </w:pPr>
    </w:p>
    <w:p w14:paraId="760E118F" w14:textId="77777777" w:rsidR="006142EA" w:rsidRPr="002729A0" w:rsidRDefault="006142EA" w:rsidP="002729A0">
      <w:pPr>
        <w:spacing w:line="240" w:lineRule="auto"/>
        <w:jc w:val="both"/>
        <w:rPr>
          <w:rFonts w:ascii="Times New Roman" w:hAnsi="Times New Roman" w:cs="Times New Roman"/>
          <w:b/>
          <w:bCs/>
        </w:rPr>
      </w:pPr>
      <w:r w:rsidRPr="002729A0">
        <w:rPr>
          <w:rFonts w:ascii="Times New Roman" w:hAnsi="Times New Roman" w:cs="Times New Roman"/>
          <w:b/>
          <w:bCs/>
        </w:rPr>
        <w:t>Recruitment of Study Participants</w:t>
      </w:r>
    </w:p>
    <w:p w14:paraId="14C4A293" w14:textId="77777777" w:rsidR="006142EA" w:rsidRPr="002729A0" w:rsidRDefault="006142EA" w:rsidP="002729A0">
      <w:pPr>
        <w:spacing w:line="240" w:lineRule="auto"/>
        <w:jc w:val="both"/>
        <w:rPr>
          <w:rFonts w:ascii="Times New Roman" w:hAnsi="Times New Roman" w:cs="Times New Roman"/>
        </w:rPr>
      </w:pPr>
      <w:r w:rsidRPr="002729A0">
        <w:rPr>
          <w:rFonts w:ascii="Times New Roman" w:hAnsi="Times New Roman" w:cs="Times New Roman"/>
        </w:rPr>
        <w:t>Kisumu County population order list was obtained from the county health information system (KHIS). This list was used where the first house was randomly selected, and the subsequent house was selected systematically based on the Kth value. All the sub-counties generated lists for households. Systematic random sampling was conducted for all the households in the four sub-counties where the calculated sample was reached. The recruitment exercise for participants was done during the sensitization time, and households were given identification numbers with the help of community health volunteers. For qualitative data collection, the researcher and Research assistants used the purposive technique to involve those with higher knowledge about the prevalence of PHE in the selected sub-counties. Key Informant persons such as the Sub County Medical officer of Health (SCMOH), Public Health Officer (PHO), Sub County Emergency officer/Disease surveillance officer was identified, The Administrators (Area chief), Sub County Director Nursing services, CHEW, CHV lead person and Sub-County Health records officer were used to obtain qualitative data.</w:t>
      </w:r>
    </w:p>
    <w:p w14:paraId="64B31B12" w14:textId="77D470A1" w:rsidR="0089427E" w:rsidRPr="002729A0" w:rsidRDefault="0089427E" w:rsidP="002729A0">
      <w:pPr>
        <w:spacing w:line="240" w:lineRule="auto"/>
        <w:jc w:val="both"/>
        <w:rPr>
          <w:rFonts w:ascii="Times New Roman" w:hAnsi="Times New Roman" w:cs="Times New Roman"/>
          <w:b/>
          <w:bCs/>
        </w:rPr>
      </w:pPr>
      <w:r w:rsidRPr="002729A0">
        <w:rPr>
          <w:rFonts w:ascii="Times New Roman" w:hAnsi="Times New Roman" w:cs="Times New Roman"/>
          <w:b/>
          <w:bCs/>
        </w:rPr>
        <w:t>Data collection Procedure and Data Collection Instrument</w:t>
      </w:r>
    </w:p>
    <w:p w14:paraId="64DEAFED" w14:textId="77777777" w:rsidR="00926BEB" w:rsidRPr="002729A0" w:rsidRDefault="00FD7CAE" w:rsidP="002729A0">
      <w:pPr>
        <w:spacing w:line="240" w:lineRule="auto"/>
        <w:jc w:val="both"/>
        <w:rPr>
          <w:rFonts w:ascii="Times New Roman" w:hAnsi="Times New Roman" w:cs="Times New Roman"/>
        </w:rPr>
      </w:pPr>
      <w:r w:rsidRPr="002729A0">
        <w:rPr>
          <w:rFonts w:ascii="Times New Roman" w:hAnsi="Times New Roman" w:cs="Times New Roman"/>
        </w:rPr>
        <w:t>Both quantitative and qualitative methods were used. For quantitative data, the researcher and research assistants administered a structured questionnaire to the respondents sequentially at the beginning then followed by FGDs and KIIS on different days to groups and key informants.</w:t>
      </w:r>
      <w:r w:rsidR="0007025E" w:rsidRPr="002729A0">
        <w:rPr>
          <w:rFonts w:ascii="Times New Roman" w:hAnsi="Times New Roman" w:cs="Times New Roman"/>
        </w:rPr>
        <w:t xml:space="preserve">  The researcher trained 12 research assistants for two days before the commencement of data collection. The training entailed topic on study procedure and recruitment of study participants.  Major focus was on the quality of data collected, use of the mobile application tool for data collection, and informed consent signing by the participants after a clear explanation was given by the Principal Investigator (PI) and research assistants. </w:t>
      </w:r>
    </w:p>
    <w:p w14:paraId="6BAFF33B" w14:textId="77777777" w:rsidR="00262FAF" w:rsidRPr="002729A0" w:rsidRDefault="00262FAF" w:rsidP="002729A0">
      <w:pPr>
        <w:spacing w:line="240" w:lineRule="auto"/>
        <w:jc w:val="both"/>
        <w:rPr>
          <w:rFonts w:ascii="Times New Roman" w:hAnsi="Times New Roman" w:cs="Times New Roman"/>
          <w:b/>
          <w:bCs/>
        </w:rPr>
      </w:pPr>
    </w:p>
    <w:p w14:paraId="6CB41130" w14:textId="77777777" w:rsidR="00262FAF" w:rsidRPr="002729A0" w:rsidRDefault="00262FAF" w:rsidP="002729A0">
      <w:pPr>
        <w:spacing w:line="240" w:lineRule="auto"/>
        <w:jc w:val="both"/>
        <w:rPr>
          <w:rFonts w:ascii="Times New Roman" w:hAnsi="Times New Roman" w:cs="Times New Roman"/>
          <w:b/>
          <w:bCs/>
        </w:rPr>
      </w:pPr>
    </w:p>
    <w:p w14:paraId="400EE5C7" w14:textId="58130502" w:rsidR="00684B1B" w:rsidRPr="002729A0" w:rsidRDefault="00684B1B" w:rsidP="002729A0">
      <w:pPr>
        <w:spacing w:line="240" w:lineRule="auto"/>
        <w:jc w:val="both"/>
        <w:rPr>
          <w:rFonts w:ascii="Times New Roman" w:hAnsi="Times New Roman" w:cs="Times New Roman"/>
          <w:b/>
          <w:bCs/>
        </w:rPr>
      </w:pPr>
      <w:r w:rsidRPr="002729A0">
        <w:rPr>
          <w:rFonts w:ascii="Times New Roman" w:hAnsi="Times New Roman" w:cs="Times New Roman"/>
          <w:b/>
          <w:bCs/>
        </w:rPr>
        <w:t xml:space="preserve">Quality Control </w:t>
      </w:r>
    </w:p>
    <w:p w14:paraId="1924B57C" w14:textId="3BECB156" w:rsidR="00926BEB" w:rsidRPr="002729A0" w:rsidRDefault="00926BEB" w:rsidP="002729A0">
      <w:pPr>
        <w:spacing w:line="240" w:lineRule="auto"/>
        <w:jc w:val="both"/>
        <w:rPr>
          <w:rFonts w:ascii="Times New Roman" w:hAnsi="Times New Roman" w:cs="Times New Roman"/>
        </w:rPr>
      </w:pPr>
      <w:r w:rsidRPr="002729A0">
        <w:rPr>
          <w:rFonts w:ascii="Times New Roman" w:hAnsi="Times New Roman" w:cs="Times New Roman"/>
        </w:rPr>
        <w:t xml:space="preserve">Qualification requirement for research assistants was at least a Kenya Certificate of Secondary Education and demonstrated competency in study work to the end of data collection. In addition, the PI and research assistants conducted a pre-test using respondents with similar characteristics that </w:t>
      </w:r>
      <w:r w:rsidR="00A138D5" w:rsidRPr="002729A0">
        <w:rPr>
          <w:rFonts w:ascii="Times New Roman" w:hAnsi="Times New Roman" w:cs="Times New Roman"/>
        </w:rPr>
        <w:t>were</w:t>
      </w:r>
      <w:r w:rsidRPr="002729A0">
        <w:rPr>
          <w:rFonts w:ascii="Times New Roman" w:hAnsi="Times New Roman" w:cs="Times New Roman"/>
        </w:rPr>
        <w:t xml:space="preserve"> not part of the selected sample and in sub-counties that did not form part of the actual study.  The study drew on correct techniques to generate data to describe the day-to-day experiences of the community members whenever a PHE occurred and mapped out their concerns and deeper understanding</w:t>
      </w:r>
      <w:r w:rsidR="00682142" w:rsidRPr="002729A0">
        <w:rPr>
          <w:rFonts w:ascii="Times New Roman" w:hAnsi="Times New Roman" w:cs="Times New Roman"/>
        </w:rPr>
        <w:t xml:space="preserve"> </w:t>
      </w:r>
      <w:r w:rsidR="00682142" w:rsidRPr="002729A0">
        <w:rPr>
          <w:rFonts w:ascii="Times New Roman" w:hAnsi="Times New Roman" w:cs="Times New Roman"/>
        </w:rPr>
        <w:fldChar w:fldCharType="begin"/>
      </w:r>
      <w:r w:rsidR="00682142" w:rsidRPr="002729A0">
        <w:rPr>
          <w:rFonts w:ascii="Times New Roman" w:hAnsi="Times New Roman" w:cs="Times New Roman"/>
        </w:rPr>
        <w:instrText xml:space="preserve"> ADDIN EN.CITE &lt;EndNote&gt;&lt;Cite&gt;&lt;Author&gt;Green&lt;/Author&gt;&lt;Year&gt;2018&lt;/Year&gt;&lt;RecNum&gt;81&lt;/RecNum&gt;&lt;DisplayText&gt;[15]&lt;/DisplayText&gt;&lt;record&gt;&lt;rec-number&gt;81&lt;/rec-number&gt;&lt;foreign-keys&gt;&lt;key app="EN" db-id="vs0frvazl2v0tyexsxlvspsbf9d52p0r9zwd" timestamp="1729428356"&gt;81&lt;/key&gt;&lt;/foreign-keys&gt;&lt;ref-type name="Journal Article"&gt;17&lt;/ref-type&gt;&lt;contributors&gt;&lt;authors&gt;&lt;author&gt;Green, Judith&lt;/author&gt;&lt;author&gt;Thorogood, Nicki&lt;/author&gt;&lt;/authors&gt;&lt;/contributors&gt;&lt;titles&gt;&lt;title&gt;Qualitative methods for health research&lt;/title&gt;&lt;/titles&gt;&lt;dates&gt;&lt;year&gt;2018&lt;/year&gt;&lt;/dates&gt;&lt;urls&gt;&lt;/urls&gt;&lt;/record&gt;&lt;/Cite&gt;&lt;/EndNote&gt;</w:instrText>
      </w:r>
      <w:r w:rsidR="00682142" w:rsidRPr="002729A0">
        <w:rPr>
          <w:rFonts w:ascii="Times New Roman" w:hAnsi="Times New Roman" w:cs="Times New Roman"/>
        </w:rPr>
        <w:fldChar w:fldCharType="separate"/>
      </w:r>
      <w:r w:rsidR="00682142" w:rsidRPr="002729A0">
        <w:rPr>
          <w:rFonts w:ascii="Times New Roman" w:hAnsi="Times New Roman" w:cs="Times New Roman"/>
          <w:noProof/>
        </w:rPr>
        <w:t>[15]</w:t>
      </w:r>
      <w:r w:rsidR="00682142" w:rsidRPr="002729A0">
        <w:rPr>
          <w:rFonts w:ascii="Times New Roman" w:hAnsi="Times New Roman" w:cs="Times New Roman"/>
        </w:rPr>
        <w:fldChar w:fldCharType="end"/>
      </w:r>
      <w:r w:rsidR="00682142" w:rsidRPr="002729A0">
        <w:rPr>
          <w:rFonts w:ascii="Times New Roman" w:hAnsi="Times New Roman" w:cs="Times New Roman"/>
        </w:rPr>
        <w:t>.</w:t>
      </w:r>
    </w:p>
    <w:p w14:paraId="29B9F748" w14:textId="72E7ABEB" w:rsidR="00684B1B" w:rsidRPr="002729A0" w:rsidRDefault="001F1505" w:rsidP="002729A0">
      <w:pPr>
        <w:spacing w:line="240" w:lineRule="auto"/>
        <w:jc w:val="both"/>
        <w:rPr>
          <w:rFonts w:ascii="Times New Roman" w:hAnsi="Times New Roman" w:cs="Times New Roman"/>
          <w:b/>
          <w:bCs/>
        </w:rPr>
      </w:pPr>
      <w:r w:rsidRPr="002729A0">
        <w:rPr>
          <w:rFonts w:ascii="Times New Roman" w:hAnsi="Times New Roman" w:cs="Times New Roman"/>
          <w:b/>
          <w:bCs/>
        </w:rPr>
        <w:t>Data Analysis</w:t>
      </w:r>
    </w:p>
    <w:p w14:paraId="4BF1B2F7" w14:textId="44D52C68" w:rsidR="00684B1B" w:rsidRPr="002729A0" w:rsidRDefault="00034084" w:rsidP="002729A0">
      <w:pPr>
        <w:spacing w:after="300" w:line="240" w:lineRule="auto"/>
        <w:jc w:val="both"/>
        <w:rPr>
          <w:rFonts w:ascii="Times New Roman" w:eastAsia="Times New Roman" w:hAnsi="Times New Roman" w:cs="Times New Roman"/>
          <w:color w:val="000000" w:themeColor="text1"/>
        </w:rPr>
      </w:pPr>
      <w:r w:rsidRPr="002729A0">
        <w:rPr>
          <w:rFonts w:ascii="Times New Roman" w:hAnsi="Times New Roman" w:cs="Times New Roman"/>
          <w:color w:val="000000" w:themeColor="text1"/>
        </w:rPr>
        <w:lastRenderedPageBreak/>
        <w:t xml:space="preserve">The study objectives were addressed, and various statistical analyses were employed. The influence of independent variables on the dependent variable was assessed using percentages, frequencies, and logistic regression models. Initially, bivariate logistic regression was conducted to examine the relationship between individual independent variables and the dependent variable. Subsequently, multivariate logistic regression models were employed to assess the combined effect of multiple independent variables on the dependent variable. Descriptive statistics, frequencies and percentages, were utilized to </w:t>
      </w:r>
      <w:r w:rsidR="009B4CC8" w:rsidRPr="002729A0">
        <w:rPr>
          <w:rFonts w:ascii="Times New Roman" w:hAnsi="Times New Roman" w:cs="Times New Roman"/>
          <w:color w:val="000000" w:themeColor="text1"/>
        </w:rPr>
        <w:t>analyze</w:t>
      </w:r>
      <w:r w:rsidRPr="002729A0">
        <w:rPr>
          <w:rFonts w:ascii="Times New Roman" w:hAnsi="Times New Roman" w:cs="Times New Roman"/>
          <w:color w:val="000000" w:themeColor="text1"/>
        </w:rPr>
        <w:t xml:space="preserve"> the socio-demographic characteristics of the study participants. This analysis provided a comprehensive understanding of the participants' backgrounds and demographics. Further, results were subjected to descriptive statistical analysis to evaluate emergency preparedness, engagement and response. Frequencies and percentages were used to summarize and interpret the data, enabling comparisons and assessments of any changes or improvements over time. By employing these statistical techniques and descriptive analyses, the study aimed to determine the influence of independent variables on the dependent variable, explore the socio-demographic characteristics of respondents, and assess the emergency preparedness, response capability and engagement by the community </w:t>
      </w:r>
      <w:r w:rsidRPr="002729A0">
        <w:rPr>
          <w:rFonts w:ascii="Times New Roman" w:eastAsia="Times New Roman" w:hAnsi="Times New Roman" w:cs="Times New Roman"/>
          <w:color w:val="000000" w:themeColor="text1"/>
        </w:rPr>
        <w:fldChar w:fldCharType="begin"/>
      </w:r>
      <w:r w:rsidR="00682142" w:rsidRPr="002729A0">
        <w:rPr>
          <w:rFonts w:ascii="Times New Roman" w:eastAsia="Times New Roman" w:hAnsi="Times New Roman" w:cs="Times New Roman"/>
          <w:color w:val="000000" w:themeColor="text1"/>
        </w:rPr>
        <w:instrText xml:space="preserve"> ADDIN EN.CITE &lt;EndNote&gt;&lt;Cite&gt;&lt;Author&gt;Saeed&lt;/Author&gt;&lt;Year&gt;2021&lt;/Year&gt;&lt;RecNum&gt;250&lt;/RecNum&gt;&lt;DisplayText&gt;[16]&lt;/DisplayText&gt;&lt;record&gt;&lt;rec-number&gt;250&lt;/rec-number&gt;&lt;foreign-keys&gt;&lt;key app="EN" db-id="wzraexszmdddx3e0ara5f9rawfwzzdfrtw20" timestamp="1654531226"&gt;250&lt;/key&gt;&lt;/foreign-keys&gt;&lt;ref-type name="Journal Article"&gt;17&lt;/ref-type&gt;&lt;contributors&gt;&lt;authors&gt;&lt;author&gt;Saeed, Balsam Qubais&lt;/author&gt;&lt;author&gt;Al-Shahrabi, Rula&lt;/author&gt;&lt;author&gt;Bolarinwa, Obasanjo Afolabi&lt;/author&gt;&lt;/authors&gt;&lt;/contributors&gt;&lt;titles&gt;&lt;title&gt;Socio-demographic correlate of knowledge and practice toward COVID-19 among people living in Mosul-Iraq: A cross-sectional study&lt;/title&gt;&lt;secondary-title&gt;PloS one&lt;/secondary-title&gt;&lt;/titles&gt;&lt;periodical&gt;&lt;full-title&gt;PloS one&lt;/full-title&gt;&lt;/periodical&gt;&lt;pages&gt;e0249310&lt;/pages&gt;&lt;volume&gt;16&lt;/volume&gt;&lt;number&gt;3&lt;/number&gt;&lt;dates&gt;&lt;year&gt;2021&lt;/year&gt;&lt;/dates&gt;&lt;isbn&gt;1932-6203&lt;/isbn&gt;&lt;urls&gt;&lt;/urls&gt;&lt;/record&gt;&lt;/Cite&gt;&lt;/EndNote&gt;</w:instrText>
      </w:r>
      <w:r w:rsidRPr="002729A0">
        <w:rPr>
          <w:rFonts w:ascii="Times New Roman" w:eastAsia="Times New Roman" w:hAnsi="Times New Roman" w:cs="Times New Roman"/>
          <w:color w:val="000000" w:themeColor="text1"/>
        </w:rPr>
        <w:fldChar w:fldCharType="separate"/>
      </w:r>
      <w:r w:rsidR="00682142" w:rsidRPr="002729A0">
        <w:rPr>
          <w:rFonts w:ascii="Times New Roman" w:eastAsia="Times New Roman" w:hAnsi="Times New Roman" w:cs="Times New Roman"/>
          <w:noProof/>
          <w:color w:val="000000" w:themeColor="text1"/>
        </w:rPr>
        <w:t>[16]</w:t>
      </w:r>
      <w:r w:rsidRPr="002729A0">
        <w:rPr>
          <w:rFonts w:ascii="Times New Roman" w:eastAsia="Times New Roman" w:hAnsi="Times New Roman" w:cs="Times New Roman"/>
          <w:color w:val="000000" w:themeColor="text1"/>
        </w:rPr>
        <w:fldChar w:fldCharType="end"/>
      </w:r>
      <w:r w:rsidRPr="002729A0">
        <w:rPr>
          <w:rFonts w:ascii="Times New Roman" w:eastAsia="Times New Roman" w:hAnsi="Times New Roman" w:cs="Times New Roman"/>
          <w:color w:val="000000" w:themeColor="text1"/>
        </w:rPr>
        <w:t>.</w:t>
      </w:r>
    </w:p>
    <w:p w14:paraId="41680748" w14:textId="658472A0" w:rsidR="00684B1B" w:rsidRPr="002729A0" w:rsidRDefault="00684B1B" w:rsidP="002729A0">
      <w:pPr>
        <w:spacing w:line="240" w:lineRule="auto"/>
        <w:jc w:val="both"/>
        <w:rPr>
          <w:rFonts w:ascii="Times New Roman" w:hAnsi="Times New Roman" w:cs="Times New Roman"/>
          <w:b/>
          <w:bCs/>
        </w:rPr>
      </w:pPr>
      <w:r w:rsidRPr="002729A0">
        <w:rPr>
          <w:rFonts w:ascii="Times New Roman" w:hAnsi="Times New Roman" w:cs="Times New Roman"/>
          <w:b/>
          <w:bCs/>
        </w:rPr>
        <w:t xml:space="preserve">Ethics Approval and </w:t>
      </w:r>
      <w:r w:rsidR="004B12B3" w:rsidRPr="002729A0">
        <w:rPr>
          <w:rFonts w:ascii="Times New Roman" w:hAnsi="Times New Roman" w:cs="Times New Roman"/>
          <w:b/>
          <w:bCs/>
        </w:rPr>
        <w:t>C</w:t>
      </w:r>
      <w:r w:rsidRPr="002729A0">
        <w:rPr>
          <w:rFonts w:ascii="Times New Roman" w:hAnsi="Times New Roman" w:cs="Times New Roman"/>
          <w:b/>
          <w:bCs/>
        </w:rPr>
        <w:t>on</w:t>
      </w:r>
      <w:r w:rsidR="004B12B3" w:rsidRPr="002729A0">
        <w:rPr>
          <w:rFonts w:ascii="Times New Roman" w:hAnsi="Times New Roman" w:cs="Times New Roman"/>
          <w:b/>
          <w:bCs/>
        </w:rPr>
        <w:t>sent to Participate</w:t>
      </w:r>
    </w:p>
    <w:p w14:paraId="7C9FE77E" w14:textId="15FC5893" w:rsidR="00426633" w:rsidRPr="002729A0" w:rsidRDefault="00426633" w:rsidP="002729A0">
      <w:pPr>
        <w:spacing w:after="0" w:line="240" w:lineRule="auto"/>
        <w:jc w:val="both"/>
        <w:rPr>
          <w:rFonts w:ascii="Times New Roman" w:eastAsia="Times New Roman" w:hAnsi="Times New Roman" w:cs="Times New Roman"/>
          <w:color w:val="000000" w:themeColor="text1"/>
        </w:rPr>
      </w:pPr>
      <w:r w:rsidRPr="002729A0">
        <w:rPr>
          <w:rFonts w:ascii="Times New Roman" w:eastAsia="Times New Roman" w:hAnsi="Times New Roman" w:cs="Times New Roman"/>
          <w:color w:val="000000" w:themeColor="text1"/>
        </w:rPr>
        <w:t xml:space="preserve">The </w:t>
      </w:r>
      <w:r w:rsidR="00CD085C" w:rsidRPr="002729A0">
        <w:rPr>
          <w:rFonts w:ascii="Times New Roman" w:eastAsia="Times New Roman" w:hAnsi="Times New Roman" w:cs="Times New Roman"/>
          <w:color w:val="000000" w:themeColor="text1"/>
        </w:rPr>
        <w:t>request</w:t>
      </w:r>
      <w:r w:rsidRPr="002729A0">
        <w:rPr>
          <w:rFonts w:ascii="Times New Roman" w:eastAsia="Times New Roman" w:hAnsi="Times New Roman" w:cs="Times New Roman"/>
          <w:color w:val="000000" w:themeColor="text1"/>
        </w:rPr>
        <w:t xml:space="preserve"> was submitted to the school of post graduate studies of Jaramogi Oginga Odinga University of Science and Technology to seek approval and authorization letter to carry out the study and data collection.  The authorization letter and the proposal were further submitted to Jaramogi Oginga Odinga Teaching and Referral Hospital Institutional and Ethics Research Committee (JOOTRH-ISERC) for ethical clearance. </w:t>
      </w:r>
    </w:p>
    <w:p w14:paraId="1D80D525" w14:textId="77777777" w:rsidR="00426633" w:rsidRPr="002729A0" w:rsidRDefault="00426633" w:rsidP="002729A0">
      <w:pPr>
        <w:spacing w:line="240" w:lineRule="auto"/>
        <w:jc w:val="both"/>
        <w:rPr>
          <w:rFonts w:ascii="Times New Roman" w:hAnsi="Times New Roman" w:cs="Times New Roman"/>
          <w:color w:val="000000" w:themeColor="text1"/>
        </w:rPr>
      </w:pPr>
      <w:r w:rsidRPr="002729A0">
        <w:rPr>
          <w:rFonts w:ascii="Times New Roman" w:hAnsi="Times New Roman" w:cs="Times New Roman"/>
          <w:color w:val="000000" w:themeColor="text1"/>
        </w:rPr>
        <w:t>The study obtained the necessary research permit from the National Commission for Science, Technology, and Innovation (NACOSTI). Permission to collect data within the sub-counties of Kisumu County was also sought and obtained from the Kisumu County Health office. Sub-county leadership was informed through the chief’s Barraza’s about the study.</w:t>
      </w:r>
    </w:p>
    <w:p w14:paraId="727DB665" w14:textId="77777777" w:rsidR="00426633" w:rsidRPr="002729A0" w:rsidRDefault="00426633" w:rsidP="002729A0">
      <w:pPr>
        <w:spacing w:line="240" w:lineRule="auto"/>
        <w:jc w:val="both"/>
        <w:rPr>
          <w:rFonts w:ascii="Times New Roman" w:hAnsi="Times New Roman" w:cs="Times New Roman"/>
          <w:color w:val="000000" w:themeColor="text1"/>
        </w:rPr>
      </w:pPr>
      <w:r w:rsidRPr="002729A0">
        <w:rPr>
          <w:rFonts w:ascii="Times New Roman" w:hAnsi="Times New Roman" w:cs="Times New Roman"/>
          <w:color w:val="000000" w:themeColor="text1"/>
        </w:rPr>
        <w:t>For the focus group discussions (FGDs) and key informant interviews (KIIs), written informed consent and verbal permission w</w:t>
      </w:r>
      <w:r w:rsidRPr="002729A0">
        <w:rPr>
          <w:rFonts w:ascii="Times New Roman" w:hAnsi="Times New Roman" w:cs="Times New Roman"/>
          <w:color w:val="000000" w:themeColor="text1"/>
          <w:lang w:val="et-EE"/>
        </w:rPr>
        <w:t>as</w:t>
      </w:r>
      <w:r w:rsidRPr="002729A0">
        <w:rPr>
          <w:rFonts w:ascii="Times New Roman" w:hAnsi="Times New Roman" w:cs="Times New Roman"/>
          <w:color w:val="000000" w:themeColor="text1"/>
        </w:rPr>
        <w:t xml:space="preserve"> obtained from all participants prior to recording their discussions. The principles of voluntary participation, confidentiality, and anonymity were strictly upheld throughout the study.</w:t>
      </w:r>
    </w:p>
    <w:p w14:paraId="5BCB253E" w14:textId="77777777" w:rsidR="00426633" w:rsidRPr="002729A0" w:rsidRDefault="00426633" w:rsidP="002729A0">
      <w:pPr>
        <w:spacing w:line="240" w:lineRule="auto"/>
        <w:jc w:val="both"/>
        <w:rPr>
          <w:rFonts w:ascii="Times New Roman" w:hAnsi="Times New Roman" w:cs="Times New Roman"/>
          <w:color w:val="000000" w:themeColor="text1"/>
        </w:rPr>
      </w:pPr>
      <w:r w:rsidRPr="002729A0">
        <w:rPr>
          <w:rFonts w:ascii="Times New Roman" w:hAnsi="Times New Roman" w:cs="Times New Roman"/>
          <w:color w:val="000000" w:themeColor="text1"/>
        </w:rPr>
        <w:t xml:space="preserve"> To ensure confidentiality, participants were assigned unique identifiers instead of using their personal information. These measures were taken to ensure compliance with ethical guidelines, protect participants' rights, and maintain the privacy and confidentiality of the data collected during the FGDs and KIIs.</w:t>
      </w:r>
    </w:p>
    <w:p w14:paraId="7B4B100B" w14:textId="1B60B2BD" w:rsidR="004B12B3" w:rsidRPr="002729A0" w:rsidRDefault="00426633" w:rsidP="002729A0">
      <w:pPr>
        <w:spacing w:line="240" w:lineRule="auto"/>
        <w:jc w:val="both"/>
        <w:rPr>
          <w:rFonts w:ascii="Times New Roman" w:hAnsi="Times New Roman" w:cs="Times New Roman"/>
          <w:b/>
          <w:bCs/>
        </w:rPr>
      </w:pPr>
      <w:r w:rsidRPr="002729A0">
        <w:rPr>
          <w:rFonts w:ascii="Times New Roman" w:eastAsia="Times New Roman" w:hAnsi="Times New Roman" w:cs="Times New Roman"/>
          <w:color w:val="000000" w:themeColor="text1"/>
        </w:rPr>
        <w:t>The researcher and research assistants described the study's aim</w:t>
      </w:r>
      <w:r w:rsidRPr="002729A0">
        <w:rPr>
          <w:rFonts w:ascii="Times New Roman" w:eastAsia="Times New Roman" w:hAnsi="Times New Roman" w:cs="Times New Roman"/>
          <w:color w:val="000000" w:themeColor="text1"/>
          <w:lang w:val="et-EE"/>
        </w:rPr>
        <w:t>,</w:t>
      </w:r>
      <w:r w:rsidRPr="002729A0">
        <w:rPr>
          <w:rFonts w:ascii="Times New Roman" w:eastAsia="Times New Roman" w:hAnsi="Times New Roman" w:cs="Times New Roman"/>
          <w:color w:val="000000" w:themeColor="text1"/>
        </w:rPr>
        <w:t xml:space="preserve"> nature, risks and benefits, languages </w:t>
      </w:r>
      <w:r w:rsidRPr="002729A0">
        <w:rPr>
          <w:rFonts w:ascii="Times New Roman" w:eastAsia="Times New Roman" w:hAnsi="Times New Roman" w:cs="Times New Roman"/>
          <w:color w:val="000000" w:themeColor="text1"/>
          <w:lang w:val="et-EE"/>
        </w:rPr>
        <w:t xml:space="preserve">used were either </w:t>
      </w:r>
      <w:r w:rsidRPr="002729A0">
        <w:rPr>
          <w:rFonts w:ascii="Times New Roman" w:eastAsia="Times New Roman" w:hAnsi="Times New Roman" w:cs="Times New Roman"/>
          <w:color w:val="000000" w:themeColor="text1"/>
        </w:rPr>
        <w:t xml:space="preserve">English, Kiswahili </w:t>
      </w:r>
      <w:r w:rsidRPr="002729A0">
        <w:rPr>
          <w:rFonts w:ascii="Times New Roman" w:eastAsia="Times New Roman" w:hAnsi="Times New Roman" w:cs="Times New Roman"/>
          <w:color w:val="000000" w:themeColor="text1"/>
          <w:lang w:val="et-EE"/>
        </w:rPr>
        <w:t>or</w:t>
      </w:r>
      <w:r w:rsidRPr="002729A0">
        <w:rPr>
          <w:rFonts w:ascii="Times New Roman" w:eastAsia="Times New Roman" w:hAnsi="Times New Roman" w:cs="Times New Roman"/>
          <w:color w:val="000000" w:themeColor="text1"/>
        </w:rPr>
        <w:t xml:space="preserve"> Luo</w:t>
      </w:r>
      <w:r w:rsidRPr="002729A0">
        <w:rPr>
          <w:rFonts w:ascii="Times New Roman" w:eastAsia="Times New Roman" w:hAnsi="Times New Roman" w:cs="Times New Roman"/>
          <w:color w:val="000000" w:themeColor="text1"/>
          <w:lang w:val="et-EE"/>
        </w:rPr>
        <w:t xml:space="preserve"> as </w:t>
      </w:r>
      <w:r w:rsidRPr="002729A0">
        <w:rPr>
          <w:rFonts w:ascii="Times New Roman" w:eastAsia="Times New Roman" w:hAnsi="Times New Roman" w:cs="Times New Roman"/>
          <w:color w:val="000000" w:themeColor="text1"/>
        </w:rPr>
        <w:t>preferred</w:t>
      </w:r>
      <w:r w:rsidRPr="002729A0">
        <w:rPr>
          <w:rFonts w:ascii="Times New Roman" w:eastAsia="Times New Roman" w:hAnsi="Times New Roman" w:cs="Times New Roman"/>
          <w:color w:val="000000" w:themeColor="text1"/>
          <w:lang w:val="et-EE"/>
        </w:rPr>
        <w:t xml:space="preserve"> by the participants</w:t>
      </w:r>
      <w:r w:rsidRPr="002729A0">
        <w:rPr>
          <w:rFonts w:ascii="Times New Roman" w:eastAsia="Times New Roman" w:hAnsi="Times New Roman" w:cs="Times New Roman"/>
          <w:color w:val="000000" w:themeColor="text1"/>
        </w:rPr>
        <w:t xml:space="preserve">. </w:t>
      </w:r>
      <w:r w:rsidRPr="002729A0">
        <w:rPr>
          <w:rFonts w:ascii="Times New Roman" w:eastAsia="Times New Roman" w:hAnsi="Times New Roman" w:cs="Times New Roman"/>
          <w:color w:val="000000" w:themeColor="text1"/>
          <w:lang w:val="et-EE"/>
        </w:rPr>
        <w:t>Informed consent was obtained</w:t>
      </w:r>
      <w:r w:rsidRPr="002729A0">
        <w:rPr>
          <w:rFonts w:ascii="Times New Roman" w:eastAsia="Times New Roman" w:hAnsi="Times New Roman" w:cs="Times New Roman"/>
          <w:color w:val="000000" w:themeColor="text1"/>
        </w:rPr>
        <w:t xml:space="preserve"> after the explanation about the study. </w:t>
      </w:r>
      <w:r w:rsidRPr="002729A0">
        <w:rPr>
          <w:rFonts w:ascii="Times New Roman" w:eastAsia="Times New Roman" w:hAnsi="Times New Roman" w:cs="Times New Roman"/>
          <w:color w:val="000000" w:themeColor="text1"/>
          <w:lang w:val="et-EE"/>
        </w:rPr>
        <w:t>They were informed there was no</w:t>
      </w:r>
      <w:r w:rsidRPr="002729A0">
        <w:rPr>
          <w:rFonts w:ascii="Times New Roman" w:eastAsia="Times New Roman" w:hAnsi="Times New Roman" w:cs="Times New Roman"/>
          <w:color w:val="000000" w:themeColor="text1"/>
        </w:rPr>
        <w:t xml:space="preserve"> compensation for taking part in the study. To protect study participants' sensitivities and confidentiality, the information to be disclosed w</w:t>
      </w:r>
      <w:r w:rsidRPr="002729A0">
        <w:rPr>
          <w:rFonts w:ascii="Times New Roman" w:eastAsia="Times New Roman" w:hAnsi="Times New Roman" w:cs="Times New Roman"/>
          <w:color w:val="000000" w:themeColor="text1"/>
          <w:lang w:val="et-EE"/>
        </w:rPr>
        <w:t xml:space="preserve">as </w:t>
      </w:r>
      <w:r w:rsidRPr="002729A0">
        <w:rPr>
          <w:rFonts w:ascii="Times New Roman" w:eastAsia="Times New Roman" w:hAnsi="Times New Roman" w:cs="Times New Roman"/>
          <w:color w:val="000000" w:themeColor="text1"/>
        </w:rPr>
        <w:t>carefully chosen, and records about specific people kept anonymous. The researcher assured to delete the information once the study is finished. To assure the study population's variability, the researcher ensured every potential participant was given an equal opportunity to participate, representative sample size was possible, and its makeup established proportionately. Participants who desired to withdraw from the study were do so without any penalty.</w:t>
      </w:r>
    </w:p>
    <w:p w14:paraId="36ABE810" w14:textId="77777777" w:rsidR="00437375" w:rsidRPr="002729A0" w:rsidRDefault="00437375" w:rsidP="002729A0">
      <w:pPr>
        <w:spacing w:line="240" w:lineRule="auto"/>
        <w:jc w:val="both"/>
        <w:rPr>
          <w:rFonts w:ascii="Times New Roman" w:hAnsi="Times New Roman" w:cs="Times New Roman"/>
          <w:b/>
          <w:bCs/>
        </w:rPr>
      </w:pPr>
    </w:p>
    <w:p w14:paraId="45292FEE" w14:textId="6AC585D3" w:rsidR="004B12B3" w:rsidRPr="002729A0" w:rsidRDefault="004B12B3" w:rsidP="002729A0">
      <w:pPr>
        <w:spacing w:line="240" w:lineRule="auto"/>
        <w:jc w:val="both"/>
        <w:rPr>
          <w:rFonts w:ascii="Times New Roman" w:hAnsi="Times New Roman" w:cs="Times New Roman"/>
          <w:b/>
          <w:bCs/>
        </w:rPr>
      </w:pPr>
      <w:r w:rsidRPr="002729A0">
        <w:rPr>
          <w:rFonts w:ascii="Times New Roman" w:hAnsi="Times New Roman" w:cs="Times New Roman"/>
          <w:b/>
          <w:bCs/>
        </w:rPr>
        <w:t>Results</w:t>
      </w:r>
    </w:p>
    <w:p w14:paraId="6157A7F5" w14:textId="71876059" w:rsidR="004B12B3" w:rsidRPr="002729A0" w:rsidRDefault="004B12B3" w:rsidP="002729A0">
      <w:pPr>
        <w:spacing w:line="240" w:lineRule="auto"/>
        <w:jc w:val="both"/>
        <w:rPr>
          <w:rFonts w:ascii="Times New Roman" w:hAnsi="Times New Roman" w:cs="Times New Roman"/>
          <w:b/>
          <w:bCs/>
        </w:rPr>
      </w:pPr>
      <w:r w:rsidRPr="002729A0">
        <w:rPr>
          <w:rFonts w:ascii="Times New Roman" w:hAnsi="Times New Roman" w:cs="Times New Roman"/>
          <w:b/>
          <w:bCs/>
        </w:rPr>
        <w:t>Study Participants Socio-Demographic Characteristics</w:t>
      </w:r>
    </w:p>
    <w:p w14:paraId="08375378" w14:textId="77777777" w:rsidR="00D66F86" w:rsidRPr="002729A0" w:rsidRDefault="00D66F86" w:rsidP="002729A0">
      <w:pPr>
        <w:keepNext/>
        <w:keepLines/>
        <w:spacing w:before="160" w:after="120" w:line="240" w:lineRule="auto"/>
        <w:jc w:val="both"/>
        <w:outlineLvl w:val="1"/>
        <w:rPr>
          <w:rFonts w:ascii="Times New Roman" w:eastAsia="SimSun" w:hAnsi="Times New Roman" w:cs="Times New Roman"/>
          <w:b/>
          <w:kern w:val="0"/>
          <w:lang w:val="en-GB"/>
          <w14:ligatures w14:val="none"/>
        </w:rPr>
      </w:pPr>
      <w:r w:rsidRPr="002729A0">
        <w:rPr>
          <w:rFonts w:ascii="Times New Roman" w:eastAsia="SimSun" w:hAnsi="Times New Roman" w:cs="Times New Roman"/>
          <w:b/>
          <w:kern w:val="0"/>
          <w:lang w:val="en-GB"/>
          <w14:ligatures w14:val="none"/>
        </w:rPr>
        <w:t xml:space="preserve">Socio-Demographic factors influencing Community-level public health emergency preparedness, response capability and engagement in Kisumu </w:t>
      </w:r>
    </w:p>
    <w:p w14:paraId="4D89D638" w14:textId="1D1792A2" w:rsidR="00D66F86" w:rsidRPr="002729A0" w:rsidRDefault="00D66F86" w:rsidP="002729A0">
      <w:pPr>
        <w:tabs>
          <w:tab w:val="left" w:pos="7500"/>
        </w:tabs>
        <w:spacing w:after="0" w:line="240" w:lineRule="auto"/>
        <w:jc w:val="both"/>
        <w:rPr>
          <w:rFonts w:ascii="Times New Roman" w:eastAsia="Times New Roman" w:hAnsi="Times New Roman" w:cs="Times New Roman"/>
          <w:color w:val="000000"/>
          <w:kern w:val="0"/>
          <w:lang w:val="en-GB"/>
          <w14:ligatures w14:val="none"/>
        </w:rPr>
      </w:pPr>
      <w:bookmarkStart w:id="3" w:name="_Hlk175153528"/>
      <w:r w:rsidRPr="002729A0">
        <w:rPr>
          <w:rFonts w:ascii="Times New Roman" w:eastAsia="Times New Roman" w:hAnsi="Times New Roman" w:cs="Times New Roman"/>
          <w:color w:val="000000"/>
          <w:kern w:val="0"/>
          <w:lang w:val="en-GB"/>
          <w14:ligatures w14:val="none"/>
        </w:rPr>
        <w:t xml:space="preserve">The socio-demographic characteristics of respondents in Kisumu County, as presented in Table 1, provide a detailed overview of the sample population. </w:t>
      </w:r>
      <w:r w:rsidRPr="002729A0">
        <w:rPr>
          <w:rFonts w:ascii="Times New Roman" w:eastAsia="Times New Roman" w:hAnsi="Times New Roman" w:cs="Times New Roman"/>
          <w:kern w:val="0"/>
          <w:lang w:val="en-GB"/>
          <w14:ligatures w14:val="none"/>
        </w:rPr>
        <w:t xml:space="preserve">The study achieved 507(100%) response rate. </w:t>
      </w:r>
      <w:r w:rsidRPr="002729A0">
        <w:rPr>
          <w:rFonts w:ascii="Times New Roman" w:eastAsia="Times New Roman" w:hAnsi="Times New Roman" w:cs="Times New Roman"/>
          <w:color w:val="000000"/>
          <w:kern w:val="0"/>
          <w:lang w:val="en-GB"/>
          <w14:ligatures w14:val="none"/>
        </w:rPr>
        <w:t xml:space="preserve">The age distribution shows that the </w:t>
      </w:r>
      <w:bookmarkStart w:id="4" w:name="_Hlk173408286"/>
      <w:r w:rsidRPr="002729A0">
        <w:rPr>
          <w:rFonts w:ascii="Times New Roman" w:eastAsia="Times New Roman" w:hAnsi="Times New Roman" w:cs="Times New Roman"/>
          <w:color w:val="000000"/>
          <w:kern w:val="0"/>
          <w:lang w:val="en-GB"/>
          <w14:ligatures w14:val="none"/>
        </w:rPr>
        <w:t xml:space="preserve">majority of respondents </w:t>
      </w:r>
      <w:r w:rsidR="00A138D5"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aged 45 and above, comprising 213(42.0%) of the sample. </w:t>
      </w:r>
      <w:bookmarkEnd w:id="4"/>
      <w:r w:rsidRPr="002729A0">
        <w:rPr>
          <w:rFonts w:ascii="Times New Roman" w:eastAsia="Times New Roman" w:hAnsi="Times New Roman" w:cs="Times New Roman"/>
          <w:color w:val="000000"/>
          <w:kern w:val="0"/>
          <w:lang w:val="en-GB"/>
          <w14:ligatures w14:val="none"/>
        </w:rPr>
        <w:t>The 35-44 age group represents 120(23.7%), the 25-34 age group accounts for 110(21.7%), and the 18-24 age group constitutes 64(12.6%).</w:t>
      </w:r>
    </w:p>
    <w:p w14:paraId="3BEC01F4" w14:textId="2AD5FBAD" w:rsidR="00D66F86" w:rsidRPr="002729A0" w:rsidRDefault="00D66F86" w:rsidP="002729A0">
      <w:pPr>
        <w:tabs>
          <w:tab w:val="left" w:pos="7500"/>
        </w:tabs>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In terms of marital status, nearly half of the respondents </w:t>
      </w:r>
      <w:r w:rsidR="00A138D5"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w:t>
      </w:r>
      <w:bookmarkStart w:id="5" w:name="_Hlk173408467"/>
      <w:r w:rsidRPr="002729A0">
        <w:rPr>
          <w:rFonts w:ascii="Times New Roman" w:eastAsia="Times New Roman" w:hAnsi="Times New Roman" w:cs="Times New Roman"/>
          <w:color w:val="000000"/>
          <w:kern w:val="0"/>
          <w:lang w:val="en-GB"/>
          <w14:ligatures w14:val="none"/>
        </w:rPr>
        <w:t xml:space="preserve">married 252(49.7%). </w:t>
      </w:r>
      <w:bookmarkEnd w:id="5"/>
      <w:r w:rsidRPr="002729A0">
        <w:rPr>
          <w:rFonts w:ascii="Times New Roman" w:eastAsia="Times New Roman" w:hAnsi="Times New Roman" w:cs="Times New Roman"/>
          <w:color w:val="000000"/>
          <w:kern w:val="0"/>
          <w:lang w:val="en-GB"/>
          <w14:ligatures w14:val="none"/>
        </w:rPr>
        <w:t xml:space="preserve">Widowed individuals make up 105(20.7%) of the sample, while those who </w:t>
      </w:r>
      <w:r w:rsidR="006E0A36" w:rsidRPr="002729A0">
        <w:rPr>
          <w:rFonts w:ascii="Times New Roman" w:eastAsia="Times New Roman" w:hAnsi="Times New Roman" w:cs="Times New Roman"/>
          <w:color w:val="000000"/>
          <w:kern w:val="0"/>
          <w:lang w:val="en-GB"/>
          <w14:ligatures w14:val="none"/>
        </w:rPr>
        <w:t xml:space="preserve">were </w:t>
      </w:r>
      <w:r w:rsidRPr="002729A0">
        <w:rPr>
          <w:rFonts w:ascii="Times New Roman" w:eastAsia="Times New Roman" w:hAnsi="Times New Roman" w:cs="Times New Roman"/>
          <w:color w:val="000000"/>
          <w:kern w:val="0"/>
          <w:lang w:val="en-GB"/>
          <w14:ligatures w14:val="none"/>
        </w:rPr>
        <w:t>divorced represent 65(12.8%). Single respondents constitute11(2.2%), and those who have never married account for74(14.6%).</w:t>
      </w:r>
    </w:p>
    <w:p w14:paraId="6813BEC9" w14:textId="77777777" w:rsidR="00D66F86" w:rsidRPr="002729A0" w:rsidRDefault="00D66F86" w:rsidP="002729A0">
      <w:pPr>
        <w:tabs>
          <w:tab w:val="left" w:pos="7500"/>
        </w:tabs>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Religious affiliation among respondents is predominantly Christian, with 370(73.2%) identifying with this religion. Muslims make up 69(13.6%) of the sample, Hindus account for 9(1.8%), and those identifying with other religions represent 58(11.4%).</w:t>
      </w:r>
    </w:p>
    <w:p w14:paraId="588B1A5B" w14:textId="77777777" w:rsidR="00D66F86" w:rsidRPr="002729A0" w:rsidRDefault="00D66F86" w:rsidP="002729A0">
      <w:pPr>
        <w:tabs>
          <w:tab w:val="left" w:pos="7500"/>
        </w:tabs>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Regarding </w:t>
      </w:r>
      <w:bookmarkStart w:id="6" w:name="_Hlk173408803"/>
      <w:r w:rsidRPr="002729A0">
        <w:rPr>
          <w:rFonts w:ascii="Times New Roman" w:eastAsia="Times New Roman" w:hAnsi="Times New Roman" w:cs="Times New Roman"/>
          <w:color w:val="000000"/>
          <w:kern w:val="0"/>
          <w:lang w:val="en-GB"/>
          <w14:ligatures w14:val="none"/>
        </w:rPr>
        <w:t xml:space="preserve">education level, 226(44.6%) </w:t>
      </w:r>
      <w:bookmarkEnd w:id="6"/>
      <w:r w:rsidRPr="002729A0">
        <w:rPr>
          <w:rFonts w:ascii="Times New Roman" w:eastAsia="Times New Roman" w:hAnsi="Times New Roman" w:cs="Times New Roman"/>
          <w:color w:val="000000"/>
          <w:kern w:val="0"/>
          <w:lang w:val="en-GB"/>
          <w14:ligatures w14:val="none"/>
        </w:rPr>
        <w:t>of respondents have completed secondary education. University-educated individuals make up 190(37.5%) of the sample, while those with only primary education constitute 10.9%. Respondents with other forms of education represent 36(7.1%).</w:t>
      </w:r>
    </w:p>
    <w:p w14:paraId="6B7F0021" w14:textId="47CF56B3" w:rsidR="00D66F86" w:rsidRPr="002729A0" w:rsidRDefault="00D66F86" w:rsidP="002729A0">
      <w:pPr>
        <w:tabs>
          <w:tab w:val="left" w:pos="7500"/>
        </w:tabs>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Occupationally, </w:t>
      </w:r>
      <w:bookmarkStart w:id="7" w:name="_Hlk173409118"/>
      <w:r w:rsidRPr="002729A0">
        <w:rPr>
          <w:rFonts w:ascii="Times New Roman" w:eastAsia="Times New Roman" w:hAnsi="Times New Roman" w:cs="Times New Roman"/>
          <w:color w:val="000000"/>
          <w:kern w:val="0"/>
          <w:lang w:val="en-GB"/>
          <w14:ligatures w14:val="none"/>
        </w:rPr>
        <w:t xml:space="preserve">a significant portion of respondents </w:t>
      </w:r>
      <w:r w:rsidR="006E0A36"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self-employed, comprising 281(55.4%) </w:t>
      </w:r>
      <w:bookmarkEnd w:id="7"/>
      <w:r w:rsidRPr="002729A0">
        <w:rPr>
          <w:rFonts w:ascii="Times New Roman" w:eastAsia="Times New Roman" w:hAnsi="Times New Roman" w:cs="Times New Roman"/>
          <w:color w:val="000000"/>
          <w:kern w:val="0"/>
          <w:lang w:val="en-GB"/>
          <w14:ligatures w14:val="none"/>
        </w:rPr>
        <w:t xml:space="preserve">of the sample. Those who </w:t>
      </w:r>
      <w:r w:rsidR="006E0A36"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formally employed account for 35.3%, students make up 23(4.5%), and respondents with other occupations represent 24(4.7%).</w:t>
      </w:r>
    </w:p>
    <w:p w14:paraId="0234E17C" w14:textId="77777777" w:rsidR="00D66F86" w:rsidRPr="002729A0" w:rsidRDefault="00D66F86" w:rsidP="002729A0">
      <w:pPr>
        <w:tabs>
          <w:tab w:val="left" w:pos="7500"/>
        </w:tabs>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Most respondents reside in rural areas, </w:t>
      </w:r>
      <w:bookmarkStart w:id="8" w:name="_Hlk173409200"/>
      <w:r w:rsidRPr="002729A0">
        <w:rPr>
          <w:rFonts w:ascii="Times New Roman" w:eastAsia="Times New Roman" w:hAnsi="Times New Roman" w:cs="Times New Roman"/>
          <w:color w:val="000000"/>
          <w:kern w:val="0"/>
          <w:lang w:val="en-GB"/>
          <w14:ligatures w14:val="none"/>
        </w:rPr>
        <w:t xml:space="preserve">with 405(79.9%) </w:t>
      </w:r>
      <w:bookmarkEnd w:id="8"/>
      <w:r w:rsidRPr="002729A0">
        <w:rPr>
          <w:rFonts w:ascii="Times New Roman" w:eastAsia="Times New Roman" w:hAnsi="Times New Roman" w:cs="Times New Roman"/>
          <w:color w:val="000000"/>
          <w:kern w:val="0"/>
          <w:lang w:val="en-GB"/>
          <w14:ligatures w14:val="none"/>
        </w:rPr>
        <w:t>living in these locations, while 102(20.1%) live in urban areas.</w:t>
      </w:r>
    </w:p>
    <w:p w14:paraId="41BB1050" w14:textId="38A7452E" w:rsidR="00D66F86" w:rsidRPr="002729A0" w:rsidRDefault="00D66F86" w:rsidP="002729A0">
      <w:pPr>
        <w:tabs>
          <w:tab w:val="left" w:pos="7500"/>
        </w:tabs>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The distribution of respondents across the sub-counties of Kisumu shows that 173(34.1%) </w:t>
      </w:r>
      <w:r w:rsidR="007B161D"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from Kisumu East, 136(26.8%) </w:t>
      </w:r>
      <w:r w:rsidR="007B161D"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from Nyando, 104(20.5%) </w:t>
      </w:r>
      <w:r w:rsidR="007B161D"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from Muhoroni, and 94(18.5%) </w:t>
      </w:r>
      <w:r w:rsidR="007B161D"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from Nyakach. </w:t>
      </w:r>
      <w:bookmarkEnd w:id="3"/>
      <w:r w:rsidRPr="002729A0">
        <w:rPr>
          <w:rFonts w:ascii="Times New Roman" w:eastAsia="Times New Roman" w:hAnsi="Times New Roman" w:cs="Times New Roman"/>
          <w:color w:val="000000"/>
          <w:kern w:val="0"/>
          <w:lang w:val="en-GB"/>
          <w14:ligatures w14:val="none"/>
        </w:rPr>
        <w:t>This distribution provides a broad representation of the population across different sub-counties in Kisumu County.</w:t>
      </w:r>
    </w:p>
    <w:p w14:paraId="55C558DD" w14:textId="77777777" w:rsidR="00A26E1A" w:rsidRPr="002729A0" w:rsidRDefault="00A26E1A" w:rsidP="002729A0">
      <w:pPr>
        <w:tabs>
          <w:tab w:val="left" w:pos="7500"/>
        </w:tabs>
        <w:spacing w:after="0" w:line="240" w:lineRule="auto"/>
        <w:jc w:val="both"/>
        <w:rPr>
          <w:rFonts w:ascii="Times New Roman" w:eastAsia="Times New Roman" w:hAnsi="Times New Roman" w:cs="Times New Roman"/>
          <w:color w:val="000000"/>
          <w:kern w:val="0"/>
          <w:lang w:val="en-GB"/>
          <w14:ligatures w14:val="none"/>
        </w:rPr>
      </w:pPr>
    </w:p>
    <w:p w14:paraId="406DA4BB" w14:textId="2995C935" w:rsidR="00D66F86" w:rsidRPr="002729A0" w:rsidRDefault="002A1312" w:rsidP="002729A0">
      <w:pPr>
        <w:keepNext/>
        <w:spacing w:after="200" w:line="240" w:lineRule="auto"/>
        <w:jc w:val="both"/>
        <w:rPr>
          <w:rFonts w:ascii="Times New Roman" w:eastAsia="SimSun" w:hAnsi="Times New Roman" w:cs="Times New Roman"/>
          <w:i/>
          <w:iCs/>
          <w:color w:val="000000"/>
          <w:kern w:val="0"/>
          <w:lang w:val="en-GB"/>
          <w14:ligatures w14:val="none"/>
        </w:rPr>
      </w:pPr>
      <w:bookmarkStart w:id="9" w:name="_Toc177471253"/>
      <w:r w:rsidRPr="002729A0">
        <w:rPr>
          <w:rFonts w:ascii="Times New Roman" w:eastAsia="SimSun" w:hAnsi="Times New Roman" w:cs="Times New Roman"/>
          <w:b/>
          <w:bCs/>
          <w:color w:val="000000"/>
          <w:kern w:val="0"/>
          <w:lang w:val="en-GB"/>
          <w14:ligatures w14:val="none"/>
        </w:rPr>
        <w:t xml:space="preserve">Table 2 </w:t>
      </w:r>
      <w:r w:rsidR="00D66F86" w:rsidRPr="002729A0">
        <w:rPr>
          <w:rFonts w:ascii="Times New Roman" w:eastAsia="SimSun" w:hAnsi="Times New Roman" w:cs="Times New Roman"/>
          <w:b/>
          <w:bCs/>
          <w:color w:val="000000"/>
          <w:kern w:val="0"/>
          <w:lang w:val="en-GB"/>
          <w14:ligatures w14:val="none"/>
        </w:rPr>
        <w:t>Socio demographic factors influencing Community-level public health emergency preparedness, response capability and engagement in Kisumu</w:t>
      </w:r>
      <w:bookmarkEnd w:id="9"/>
      <w:r w:rsidR="00D66F86" w:rsidRPr="002729A0">
        <w:rPr>
          <w:rFonts w:ascii="Times New Roman" w:eastAsia="SimSun" w:hAnsi="Times New Roman" w:cs="Times New Roman"/>
          <w:color w:val="000000"/>
          <w:kern w:val="0"/>
          <w:lang w:val="en-GB"/>
          <w14:ligatures w14:val="none"/>
        </w:rPr>
        <w:t xml:space="preserve"> </w:t>
      </w:r>
    </w:p>
    <w:tbl>
      <w:tblPr>
        <w:tblW w:w="9436" w:type="dxa"/>
        <w:tblLook w:val="04A0" w:firstRow="1" w:lastRow="0" w:firstColumn="1" w:lastColumn="0" w:noHBand="0" w:noVBand="1"/>
      </w:tblPr>
      <w:tblGrid>
        <w:gridCol w:w="2297"/>
        <w:gridCol w:w="2791"/>
        <w:gridCol w:w="2108"/>
        <w:gridCol w:w="2240"/>
      </w:tblGrid>
      <w:tr w:rsidR="00D66F86" w:rsidRPr="002729A0" w14:paraId="60C58E98" w14:textId="77777777" w:rsidTr="00436DBF">
        <w:trPr>
          <w:trHeight w:val="295"/>
        </w:trPr>
        <w:tc>
          <w:tcPr>
            <w:tcW w:w="2297" w:type="dxa"/>
            <w:tcBorders>
              <w:top w:val="single" w:sz="4" w:space="0" w:color="auto"/>
              <w:left w:val="nil"/>
              <w:bottom w:val="single" w:sz="4" w:space="0" w:color="auto"/>
              <w:right w:val="nil"/>
            </w:tcBorders>
            <w:shd w:val="clear" w:color="auto" w:fill="auto"/>
            <w:noWrap/>
            <w:vAlign w:val="bottom"/>
            <w:hideMark/>
          </w:tcPr>
          <w:p w14:paraId="49557858"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Variable</w:t>
            </w:r>
          </w:p>
        </w:tc>
        <w:tc>
          <w:tcPr>
            <w:tcW w:w="2791" w:type="dxa"/>
            <w:tcBorders>
              <w:top w:val="single" w:sz="4" w:space="0" w:color="auto"/>
              <w:left w:val="nil"/>
              <w:bottom w:val="single" w:sz="4" w:space="0" w:color="auto"/>
              <w:right w:val="nil"/>
            </w:tcBorders>
            <w:shd w:val="clear" w:color="auto" w:fill="auto"/>
            <w:noWrap/>
            <w:vAlign w:val="bottom"/>
            <w:hideMark/>
          </w:tcPr>
          <w:p w14:paraId="6EF69CB6"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Attributes</w:t>
            </w:r>
          </w:p>
        </w:tc>
        <w:tc>
          <w:tcPr>
            <w:tcW w:w="2108" w:type="dxa"/>
            <w:tcBorders>
              <w:top w:val="single" w:sz="4" w:space="0" w:color="auto"/>
              <w:left w:val="nil"/>
              <w:bottom w:val="single" w:sz="4" w:space="0" w:color="auto"/>
              <w:right w:val="nil"/>
            </w:tcBorders>
            <w:shd w:val="clear" w:color="auto" w:fill="auto"/>
            <w:noWrap/>
            <w:vAlign w:val="bottom"/>
            <w:hideMark/>
          </w:tcPr>
          <w:p w14:paraId="05E6DCAB"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Frequency (N)</w:t>
            </w:r>
          </w:p>
        </w:tc>
        <w:tc>
          <w:tcPr>
            <w:tcW w:w="2240" w:type="dxa"/>
            <w:tcBorders>
              <w:top w:val="single" w:sz="4" w:space="0" w:color="auto"/>
              <w:left w:val="nil"/>
              <w:bottom w:val="single" w:sz="4" w:space="0" w:color="auto"/>
              <w:right w:val="nil"/>
            </w:tcBorders>
            <w:shd w:val="clear" w:color="auto" w:fill="auto"/>
            <w:noWrap/>
            <w:vAlign w:val="bottom"/>
            <w:hideMark/>
          </w:tcPr>
          <w:p w14:paraId="04AC4AFD"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Percentage (%)</w:t>
            </w:r>
          </w:p>
        </w:tc>
      </w:tr>
      <w:tr w:rsidR="00D66F86" w:rsidRPr="002729A0" w14:paraId="1F20A5AB" w14:textId="77777777" w:rsidTr="00436DBF">
        <w:trPr>
          <w:trHeight w:val="295"/>
        </w:trPr>
        <w:tc>
          <w:tcPr>
            <w:tcW w:w="2297" w:type="dxa"/>
            <w:tcBorders>
              <w:top w:val="nil"/>
              <w:left w:val="nil"/>
              <w:bottom w:val="nil"/>
              <w:right w:val="nil"/>
            </w:tcBorders>
            <w:shd w:val="clear" w:color="auto" w:fill="auto"/>
            <w:noWrap/>
            <w:vAlign w:val="bottom"/>
            <w:hideMark/>
          </w:tcPr>
          <w:p w14:paraId="15FC5063"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Age</w:t>
            </w:r>
          </w:p>
        </w:tc>
        <w:tc>
          <w:tcPr>
            <w:tcW w:w="2791" w:type="dxa"/>
            <w:tcBorders>
              <w:top w:val="nil"/>
              <w:left w:val="nil"/>
              <w:bottom w:val="nil"/>
              <w:right w:val="nil"/>
            </w:tcBorders>
            <w:shd w:val="clear" w:color="auto" w:fill="auto"/>
            <w:noWrap/>
            <w:vAlign w:val="bottom"/>
            <w:hideMark/>
          </w:tcPr>
          <w:p w14:paraId="0BA4A06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18-24</w:t>
            </w:r>
          </w:p>
        </w:tc>
        <w:tc>
          <w:tcPr>
            <w:tcW w:w="2108" w:type="dxa"/>
            <w:tcBorders>
              <w:top w:val="nil"/>
              <w:left w:val="nil"/>
              <w:bottom w:val="nil"/>
              <w:right w:val="nil"/>
            </w:tcBorders>
            <w:shd w:val="clear" w:color="auto" w:fill="auto"/>
            <w:noWrap/>
            <w:vAlign w:val="bottom"/>
            <w:hideMark/>
          </w:tcPr>
          <w:p w14:paraId="45AAA9B2"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64</w:t>
            </w:r>
          </w:p>
        </w:tc>
        <w:tc>
          <w:tcPr>
            <w:tcW w:w="2240" w:type="dxa"/>
            <w:tcBorders>
              <w:top w:val="nil"/>
              <w:left w:val="nil"/>
              <w:bottom w:val="nil"/>
              <w:right w:val="nil"/>
            </w:tcBorders>
            <w:shd w:val="clear" w:color="auto" w:fill="auto"/>
            <w:noWrap/>
            <w:vAlign w:val="bottom"/>
            <w:hideMark/>
          </w:tcPr>
          <w:p w14:paraId="3F3CEB6E"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12.62</w:t>
            </w:r>
          </w:p>
        </w:tc>
      </w:tr>
      <w:tr w:rsidR="00D66F86" w:rsidRPr="002729A0" w14:paraId="030F17B1" w14:textId="77777777" w:rsidTr="00436DBF">
        <w:trPr>
          <w:trHeight w:val="295"/>
        </w:trPr>
        <w:tc>
          <w:tcPr>
            <w:tcW w:w="2297" w:type="dxa"/>
            <w:tcBorders>
              <w:top w:val="nil"/>
              <w:left w:val="nil"/>
              <w:bottom w:val="nil"/>
              <w:right w:val="nil"/>
            </w:tcBorders>
            <w:shd w:val="clear" w:color="auto" w:fill="auto"/>
            <w:noWrap/>
            <w:vAlign w:val="bottom"/>
            <w:hideMark/>
          </w:tcPr>
          <w:p w14:paraId="42804845"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4E614CEB"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25-34</w:t>
            </w:r>
          </w:p>
        </w:tc>
        <w:tc>
          <w:tcPr>
            <w:tcW w:w="2108" w:type="dxa"/>
            <w:tcBorders>
              <w:top w:val="nil"/>
              <w:left w:val="nil"/>
              <w:bottom w:val="nil"/>
              <w:right w:val="nil"/>
            </w:tcBorders>
            <w:shd w:val="clear" w:color="auto" w:fill="auto"/>
            <w:noWrap/>
            <w:vAlign w:val="bottom"/>
            <w:hideMark/>
          </w:tcPr>
          <w:p w14:paraId="05D0A2A6"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110</w:t>
            </w:r>
          </w:p>
        </w:tc>
        <w:tc>
          <w:tcPr>
            <w:tcW w:w="2240" w:type="dxa"/>
            <w:tcBorders>
              <w:top w:val="nil"/>
              <w:left w:val="nil"/>
              <w:bottom w:val="nil"/>
              <w:right w:val="nil"/>
            </w:tcBorders>
            <w:shd w:val="clear" w:color="auto" w:fill="auto"/>
            <w:noWrap/>
            <w:vAlign w:val="bottom"/>
            <w:hideMark/>
          </w:tcPr>
          <w:p w14:paraId="2FFC7486"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21.7</w:t>
            </w:r>
          </w:p>
        </w:tc>
      </w:tr>
      <w:tr w:rsidR="00D66F86" w:rsidRPr="002729A0" w14:paraId="4F974081" w14:textId="77777777" w:rsidTr="00436DBF">
        <w:trPr>
          <w:trHeight w:val="295"/>
        </w:trPr>
        <w:tc>
          <w:tcPr>
            <w:tcW w:w="2297" w:type="dxa"/>
            <w:tcBorders>
              <w:top w:val="nil"/>
              <w:left w:val="nil"/>
              <w:bottom w:val="nil"/>
              <w:right w:val="nil"/>
            </w:tcBorders>
            <w:shd w:val="clear" w:color="auto" w:fill="auto"/>
            <w:noWrap/>
            <w:vAlign w:val="bottom"/>
            <w:hideMark/>
          </w:tcPr>
          <w:p w14:paraId="750CA110"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008BD2C3"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35-44</w:t>
            </w:r>
          </w:p>
        </w:tc>
        <w:tc>
          <w:tcPr>
            <w:tcW w:w="2108" w:type="dxa"/>
            <w:tcBorders>
              <w:top w:val="nil"/>
              <w:left w:val="nil"/>
              <w:bottom w:val="nil"/>
              <w:right w:val="nil"/>
            </w:tcBorders>
            <w:shd w:val="clear" w:color="auto" w:fill="auto"/>
            <w:noWrap/>
            <w:vAlign w:val="bottom"/>
            <w:hideMark/>
          </w:tcPr>
          <w:p w14:paraId="0F213545"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120</w:t>
            </w:r>
          </w:p>
        </w:tc>
        <w:tc>
          <w:tcPr>
            <w:tcW w:w="2240" w:type="dxa"/>
            <w:tcBorders>
              <w:top w:val="nil"/>
              <w:left w:val="nil"/>
              <w:bottom w:val="nil"/>
              <w:right w:val="nil"/>
            </w:tcBorders>
            <w:shd w:val="clear" w:color="auto" w:fill="auto"/>
            <w:noWrap/>
            <w:vAlign w:val="bottom"/>
            <w:hideMark/>
          </w:tcPr>
          <w:p w14:paraId="080554E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23.67</w:t>
            </w:r>
          </w:p>
        </w:tc>
      </w:tr>
      <w:tr w:rsidR="00D66F86" w:rsidRPr="002729A0" w14:paraId="6248F5F2" w14:textId="77777777" w:rsidTr="00436DBF">
        <w:trPr>
          <w:trHeight w:val="295"/>
        </w:trPr>
        <w:tc>
          <w:tcPr>
            <w:tcW w:w="2297" w:type="dxa"/>
            <w:tcBorders>
              <w:top w:val="nil"/>
              <w:left w:val="nil"/>
              <w:bottom w:val="nil"/>
              <w:right w:val="nil"/>
            </w:tcBorders>
            <w:shd w:val="clear" w:color="auto" w:fill="auto"/>
            <w:noWrap/>
            <w:vAlign w:val="bottom"/>
            <w:hideMark/>
          </w:tcPr>
          <w:p w14:paraId="78926C7D"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2458F4D8"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45+</w:t>
            </w:r>
          </w:p>
        </w:tc>
        <w:tc>
          <w:tcPr>
            <w:tcW w:w="2108" w:type="dxa"/>
            <w:tcBorders>
              <w:top w:val="nil"/>
              <w:left w:val="nil"/>
              <w:bottom w:val="nil"/>
              <w:right w:val="nil"/>
            </w:tcBorders>
            <w:shd w:val="clear" w:color="auto" w:fill="auto"/>
            <w:noWrap/>
            <w:vAlign w:val="bottom"/>
            <w:hideMark/>
          </w:tcPr>
          <w:p w14:paraId="03B5B8A5"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213</w:t>
            </w:r>
          </w:p>
        </w:tc>
        <w:tc>
          <w:tcPr>
            <w:tcW w:w="2240" w:type="dxa"/>
            <w:tcBorders>
              <w:top w:val="nil"/>
              <w:left w:val="nil"/>
              <w:bottom w:val="nil"/>
              <w:right w:val="nil"/>
            </w:tcBorders>
            <w:shd w:val="clear" w:color="auto" w:fill="auto"/>
            <w:noWrap/>
            <w:vAlign w:val="bottom"/>
            <w:hideMark/>
          </w:tcPr>
          <w:p w14:paraId="6D7951ED"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42.01</w:t>
            </w:r>
          </w:p>
        </w:tc>
      </w:tr>
      <w:tr w:rsidR="00D66F86" w:rsidRPr="002729A0" w14:paraId="0AD2F103" w14:textId="77777777" w:rsidTr="00436DBF">
        <w:trPr>
          <w:trHeight w:val="295"/>
        </w:trPr>
        <w:tc>
          <w:tcPr>
            <w:tcW w:w="2297" w:type="dxa"/>
            <w:tcBorders>
              <w:top w:val="nil"/>
              <w:left w:val="nil"/>
              <w:bottom w:val="nil"/>
              <w:right w:val="nil"/>
            </w:tcBorders>
            <w:shd w:val="clear" w:color="auto" w:fill="auto"/>
            <w:noWrap/>
            <w:vAlign w:val="bottom"/>
            <w:hideMark/>
          </w:tcPr>
          <w:p w14:paraId="241020B4"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Marital Status</w:t>
            </w:r>
          </w:p>
        </w:tc>
        <w:tc>
          <w:tcPr>
            <w:tcW w:w="2791" w:type="dxa"/>
            <w:tcBorders>
              <w:top w:val="nil"/>
              <w:left w:val="nil"/>
              <w:bottom w:val="nil"/>
              <w:right w:val="nil"/>
            </w:tcBorders>
            <w:shd w:val="clear" w:color="auto" w:fill="auto"/>
            <w:noWrap/>
            <w:vAlign w:val="bottom"/>
            <w:hideMark/>
          </w:tcPr>
          <w:p w14:paraId="19C3606D"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Married</w:t>
            </w:r>
          </w:p>
        </w:tc>
        <w:tc>
          <w:tcPr>
            <w:tcW w:w="2108" w:type="dxa"/>
            <w:tcBorders>
              <w:top w:val="nil"/>
              <w:left w:val="nil"/>
              <w:bottom w:val="nil"/>
              <w:right w:val="nil"/>
            </w:tcBorders>
            <w:shd w:val="clear" w:color="auto" w:fill="auto"/>
            <w:noWrap/>
            <w:vAlign w:val="bottom"/>
            <w:hideMark/>
          </w:tcPr>
          <w:p w14:paraId="7756F090"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252</w:t>
            </w:r>
          </w:p>
        </w:tc>
        <w:tc>
          <w:tcPr>
            <w:tcW w:w="2240" w:type="dxa"/>
            <w:tcBorders>
              <w:top w:val="nil"/>
              <w:left w:val="nil"/>
              <w:bottom w:val="nil"/>
              <w:right w:val="nil"/>
            </w:tcBorders>
            <w:shd w:val="clear" w:color="auto" w:fill="auto"/>
            <w:noWrap/>
            <w:vAlign w:val="bottom"/>
            <w:hideMark/>
          </w:tcPr>
          <w:p w14:paraId="5D57C2A4"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49.7</w:t>
            </w:r>
          </w:p>
        </w:tc>
      </w:tr>
      <w:tr w:rsidR="00D66F86" w:rsidRPr="002729A0" w14:paraId="6D6A3B16" w14:textId="77777777" w:rsidTr="00436DBF">
        <w:trPr>
          <w:trHeight w:val="295"/>
        </w:trPr>
        <w:tc>
          <w:tcPr>
            <w:tcW w:w="2297" w:type="dxa"/>
            <w:tcBorders>
              <w:top w:val="nil"/>
              <w:left w:val="nil"/>
              <w:bottom w:val="nil"/>
              <w:right w:val="nil"/>
            </w:tcBorders>
            <w:shd w:val="clear" w:color="auto" w:fill="auto"/>
            <w:noWrap/>
            <w:vAlign w:val="bottom"/>
            <w:hideMark/>
          </w:tcPr>
          <w:p w14:paraId="5974B4FD"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6D5030E3"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Single</w:t>
            </w:r>
          </w:p>
        </w:tc>
        <w:tc>
          <w:tcPr>
            <w:tcW w:w="2108" w:type="dxa"/>
            <w:tcBorders>
              <w:top w:val="nil"/>
              <w:left w:val="nil"/>
              <w:bottom w:val="nil"/>
              <w:right w:val="nil"/>
            </w:tcBorders>
            <w:shd w:val="clear" w:color="auto" w:fill="auto"/>
            <w:noWrap/>
            <w:vAlign w:val="bottom"/>
            <w:hideMark/>
          </w:tcPr>
          <w:p w14:paraId="387072A5"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11</w:t>
            </w:r>
          </w:p>
        </w:tc>
        <w:tc>
          <w:tcPr>
            <w:tcW w:w="2240" w:type="dxa"/>
            <w:tcBorders>
              <w:top w:val="nil"/>
              <w:left w:val="nil"/>
              <w:bottom w:val="nil"/>
              <w:right w:val="nil"/>
            </w:tcBorders>
            <w:shd w:val="clear" w:color="auto" w:fill="auto"/>
            <w:noWrap/>
            <w:vAlign w:val="bottom"/>
            <w:hideMark/>
          </w:tcPr>
          <w:p w14:paraId="4CEAF949"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2.17</w:t>
            </w:r>
          </w:p>
        </w:tc>
      </w:tr>
      <w:tr w:rsidR="00D66F86" w:rsidRPr="002729A0" w14:paraId="004F97B7" w14:textId="77777777" w:rsidTr="00436DBF">
        <w:trPr>
          <w:trHeight w:val="295"/>
        </w:trPr>
        <w:tc>
          <w:tcPr>
            <w:tcW w:w="2297" w:type="dxa"/>
            <w:tcBorders>
              <w:top w:val="nil"/>
              <w:left w:val="nil"/>
              <w:bottom w:val="nil"/>
              <w:right w:val="nil"/>
            </w:tcBorders>
            <w:shd w:val="clear" w:color="auto" w:fill="auto"/>
            <w:noWrap/>
            <w:vAlign w:val="bottom"/>
            <w:hideMark/>
          </w:tcPr>
          <w:p w14:paraId="1F69A578"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32FDA46B"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Widowed</w:t>
            </w:r>
          </w:p>
        </w:tc>
        <w:tc>
          <w:tcPr>
            <w:tcW w:w="2108" w:type="dxa"/>
            <w:tcBorders>
              <w:top w:val="nil"/>
              <w:left w:val="nil"/>
              <w:bottom w:val="nil"/>
              <w:right w:val="nil"/>
            </w:tcBorders>
            <w:shd w:val="clear" w:color="auto" w:fill="auto"/>
            <w:noWrap/>
            <w:vAlign w:val="bottom"/>
            <w:hideMark/>
          </w:tcPr>
          <w:p w14:paraId="47995CB6"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105</w:t>
            </w:r>
          </w:p>
        </w:tc>
        <w:tc>
          <w:tcPr>
            <w:tcW w:w="2240" w:type="dxa"/>
            <w:tcBorders>
              <w:top w:val="nil"/>
              <w:left w:val="nil"/>
              <w:bottom w:val="nil"/>
              <w:right w:val="nil"/>
            </w:tcBorders>
            <w:shd w:val="clear" w:color="auto" w:fill="auto"/>
            <w:noWrap/>
            <w:vAlign w:val="bottom"/>
            <w:hideMark/>
          </w:tcPr>
          <w:p w14:paraId="618682A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20.71</w:t>
            </w:r>
          </w:p>
        </w:tc>
      </w:tr>
      <w:tr w:rsidR="00D66F86" w:rsidRPr="002729A0" w14:paraId="7EF0A9C5" w14:textId="77777777" w:rsidTr="00436DBF">
        <w:trPr>
          <w:trHeight w:val="295"/>
        </w:trPr>
        <w:tc>
          <w:tcPr>
            <w:tcW w:w="2297" w:type="dxa"/>
            <w:tcBorders>
              <w:top w:val="nil"/>
              <w:left w:val="nil"/>
              <w:bottom w:val="nil"/>
              <w:right w:val="nil"/>
            </w:tcBorders>
            <w:shd w:val="clear" w:color="auto" w:fill="auto"/>
            <w:noWrap/>
            <w:vAlign w:val="bottom"/>
            <w:hideMark/>
          </w:tcPr>
          <w:p w14:paraId="087C06CC"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191D863F"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Divorced</w:t>
            </w:r>
          </w:p>
        </w:tc>
        <w:tc>
          <w:tcPr>
            <w:tcW w:w="2108" w:type="dxa"/>
            <w:tcBorders>
              <w:top w:val="nil"/>
              <w:left w:val="nil"/>
              <w:bottom w:val="nil"/>
              <w:right w:val="nil"/>
            </w:tcBorders>
            <w:shd w:val="clear" w:color="auto" w:fill="auto"/>
            <w:noWrap/>
            <w:vAlign w:val="bottom"/>
            <w:hideMark/>
          </w:tcPr>
          <w:p w14:paraId="1CB3E157"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65</w:t>
            </w:r>
          </w:p>
        </w:tc>
        <w:tc>
          <w:tcPr>
            <w:tcW w:w="2240" w:type="dxa"/>
            <w:tcBorders>
              <w:top w:val="nil"/>
              <w:left w:val="nil"/>
              <w:bottom w:val="nil"/>
              <w:right w:val="nil"/>
            </w:tcBorders>
            <w:shd w:val="clear" w:color="auto" w:fill="auto"/>
            <w:noWrap/>
            <w:vAlign w:val="bottom"/>
            <w:hideMark/>
          </w:tcPr>
          <w:p w14:paraId="3BD8959E"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12.82</w:t>
            </w:r>
          </w:p>
        </w:tc>
      </w:tr>
      <w:tr w:rsidR="00D66F86" w:rsidRPr="002729A0" w14:paraId="2B50DB44" w14:textId="77777777" w:rsidTr="00436DBF">
        <w:trPr>
          <w:trHeight w:val="295"/>
        </w:trPr>
        <w:tc>
          <w:tcPr>
            <w:tcW w:w="2297" w:type="dxa"/>
            <w:tcBorders>
              <w:top w:val="nil"/>
              <w:left w:val="nil"/>
              <w:bottom w:val="nil"/>
              <w:right w:val="nil"/>
            </w:tcBorders>
            <w:shd w:val="clear" w:color="auto" w:fill="auto"/>
            <w:noWrap/>
            <w:vAlign w:val="bottom"/>
            <w:hideMark/>
          </w:tcPr>
          <w:p w14:paraId="71ADEB24"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3822B898"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Never married</w:t>
            </w:r>
          </w:p>
        </w:tc>
        <w:tc>
          <w:tcPr>
            <w:tcW w:w="2108" w:type="dxa"/>
            <w:tcBorders>
              <w:top w:val="nil"/>
              <w:left w:val="nil"/>
              <w:bottom w:val="nil"/>
              <w:right w:val="nil"/>
            </w:tcBorders>
            <w:shd w:val="clear" w:color="auto" w:fill="auto"/>
            <w:noWrap/>
            <w:vAlign w:val="bottom"/>
            <w:hideMark/>
          </w:tcPr>
          <w:p w14:paraId="27106414"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74</w:t>
            </w:r>
          </w:p>
        </w:tc>
        <w:tc>
          <w:tcPr>
            <w:tcW w:w="2240" w:type="dxa"/>
            <w:tcBorders>
              <w:top w:val="nil"/>
              <w:left w:val="nil"/>
              <w:bottom w:val="nil"/>
              <w:right w:val="nil"/>
            </w:tcBorders>
            <w:shd w:val="clear" w:color="auto" w:fill="auto"/>
            <w:noWrap/>
            <w:vAlign w:val="bottom"/>
            <w:hideMark/>
          </w:tcPr>
          <w:p w14:paraId="3ADC2A55"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14.6</w:t>
            </w:r>
          </w:p>
        </w:tc>
      </w:tr>
      <w:tr w:rsidR="00D66F86" w:rsidRPr="002729A0" w14:paraId="790659E8" w14:textId="77777777" w:rsidTr="00436DBF">
        <w:trPr>
          <w:trHeight w:val="295"/>
        </w:trPr>
        <w:tc>
          <w:tcPr>
            <w:tcW w:w="2297" w:type="dxa"/>
            <w:tcBorders>
              <w:top w:val="nil"/>
              <w:left w:val="nil"/>
              <w:bottom w:val="nil"/>
              <w:right w:val="nil"/>
            </w:tcBorders>
            <w:shd w:val="clear" w:color="auto" w:fill="auto"/>
            <w:noWrap/>
            <w:vAlign w:val="bottom"/>
            <w:hideMark/>
          </w:tcPr>
          <w:p w14:paraId="57F8981E"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Religion</w:t>
            </w:r>
          </w:p>
        </w:tc>
        <w:tc>
          <w:tcPr>
            <w:tcW w:w="2791" w:type="dxa"/>
            <w:tcBorders>
              <w:top w:val="nil"/>
              <w:left w:val="nil"/>
              <w:bottom w:val="nil"/>
              <w:right w:val="nil"/>
            </w:tcBorders>
            <w:shd w:val="clear" w:color="auto" w:fill="auto"/>
            <w:noWrap/>
            <w:vAlign w:val="bottom"/>
            <w:hideMark/>
          </w:tcPr>
          <w:p w14:paraId="76F09D9F"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Christian</w:t>
            </w:r>
          </w:p>
        </w:tc>
        <w:tc>
          <w:tcPr>
            <w:tcW w:w="2108" w:type="dxa"/>
            <w:tcBorders>
              <w:top w:val="nil"/>
              <w:left w:val="nil"/>
              <w:bottom w:val="nil"/>
              <w:right w:val="nil"/>
            </w:tcBorders>
            <w:shd w:val="clear" w:color="auto" w:fill="auto"/>
            <w:noWrap/>
            <w:vAlign w:val="bottom"/>
            <w:hideMark/>
          </w:tcPr>
          <w:p w14:paraId="07DBDE17"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371</w:t>
            </w:r>
          </w:p>
        </w:tc>
        <w:tc>
          <w:tcPr>
            <w:tcW w:w="2240" w:type="dxa"/>
            <w:tcBorders>
              <w:top w:val="nil"/>
              <w:left w:val="nil"/>
              <w:bottom w:val="nil"/>
              <w:right w:val="nil"/>
            </w:tcBorders>
            <w:shd w:val="clear" w:color="auto" w:fill="auto"/>
            <w:noWrap/>
            <w:vAlign w:val="bottom"/>
            <w:hideMark/>
          </w:tcPr>
          <w:p w14:paraId="18E3DF9D"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73.18</w:t>
            </w:r>
          </w:p>
        </w:tc>
      </w:tr>
      <w:tr w:rsidR="00D66F86" w:rsidRPr="002729A0" w14:paraId="420A7907" w14:textId="77777777" w:rsidTr="00436DBF">
        <w:trPr>
          <w:trHeight w:val="295"/>
        </w:trPr>
        <w:tc>
          <w:tcPr>
            <w:tcW w:w="2297" w:type="dxa"/>
            <w:tcBorders>
              <w:top w:val="nil"/>
              <w:left w:val="nil"/>
              <w:bottom w:val="nil"/>
              <w:right w:val="nil"/>
            </w:tcBorders>
            <w:shd w:val="clear" w:color="auto" w:fill="auto"/>
            <w:noWrap/>
            <w:vAlign w:val="bottom"/>
            <w:hideMark/>
          </w:tcPr>
          <w:p w14:paraId="03B40B40"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2D20545E"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Muslim</w:t>
            </w:r>
          </w:p>
        </w:tc>
        <w:tc>
          <w:tcPr>
            <w:tcW w:w="2108" w:type="dxa"/>
            <w:tcBorders>
              <w:top w:val="nil"/>
              <w:left w:val="nil"/>
              <w:bottom w:val="nil"/>
              <w:right w:val="nil"/>
            </w:tcBorders>
            <w:shd w:val="clear" w:color="auto" w:fill="auto"/>
            <w:noWrap/>
            <w:vAlign w:val="bottom"/>
            <w:hideMark/>
          </w:tcPr>
          <w:p w14:paraId="4C5163E1"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69</w:t>
            </w:r>
          </w:p>
        </w:tc>
        <w:tc>
          <w:tcPr>
            <w:tcW w:w="2240" w:type="dxa"/>
            <w:tcBorders>
              <w:top w:val="nil"/>
              <w:left w:val="nil"/>
              <w:bottom w:val="nil"/>
              <w:right w:val="nil"/>
            </w:tcBorders>
            <w:shd w:val="clear" w:color="auto" w:fill="auto"/>
            <w:noWrap/>
            <w:vAlign w:val="bottom"/>
            <w:hideMark/>
          </w:tcPr>
          <w:p w14:paraId="69717E63"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13.61</w:t>
            </w:r>
          </w:p>
        </w:tc>
      </w:tr>
      <w:tr w:rsidR="00D66F86" w:rsidRPr="002729A0" w14:paraId="38BF89B1" w14:textId="77777777" w:rsidTr="00436DBF">
        <w:trPr>
          <w:trHeight w:val="295"/>
        </w:trPr>
        <w:tc>
          <w:tcPr>
            <w:tcW w:w="2297" w:type="dxa"/>
            <w:tcBorders>
              <w:top w:val="nil"/>
              <w:left w:val="nil"/>
              <w:bottom w:val="nil"/>
              <w:right w:val="nil"/>
            </w:tcBorders>
            <w:shd w:val="clear" w:color="auto" w:fill="auto"/>
            <w:noWrap/>
            <w:vAlign w:val="bottom"/>
            <w:hideMark/>
          </w:tcPr>
          <w:p w14:paraId="26D1CBF3"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5989EAE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Hindu</w:t>
            </w:r>
          </w:p>
        </w:tc>
        <w:tc>
          <w:tcPr>
            <w:tcW w:w="2108" w:type="dxa"/>
            <w:tcBorders>
              <w:top w:val="nil"/>
              <w:left w:val="nil"/>
              <w:bottom w:val="nil"/>
              <w:right w:val="nil"/>
            </w:tcBorders>
            <w:shd w:val="clear" w:color="auto" w:fill="auto"/>
            <w:noWrap/>
            <w:vAlign w:val="bottom"/>
            <w:hideMark/>
          </w:tcPr>
          <w:p w14:paraId="1B05F158"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9</w:t>
            </w:r>
          </w:p>
        </w:tc>
        <w:tc>
          <w:tcPr>
            <w:tcW w:w="2240" w:type="dxa"/>
            <w:tcBorders>
              <w:top w:val="nil"/>
              <w:left w:val="nil"/>
              <w:bottom w:val="nil"/>
              <w:right w:val="nil"/>
            </w:tcBorders>
            <w:shd w:val="clear" w:color="auto" w:fill="auto"/>
            <w:noWrap/>
            <w:vAlign w:val="bottom"/>
            <w:hideMark/>
          </w:tcPr>
          <w:p w14:paraId="4E088ABE"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1.78</w:t>
            </w:r>
          </w:p>
        </w:tc>
      </w:tr>
      <w:tr w:rsidR="00D66F86" w:rsidRPr="002729A0" w14:paraId="2AB5D956" w14:textId="77777777" w:rsidTr="00436DBF">
        <w:trPr>
          <w:trHeight w:val="295"/>
        </w:trPr>
        <w:tc>
          <w:tcPr>
            <w:tcW w:w="2297" w:type="dxa"/>
            <w:tcBorders>
              <w:top w:val="nil"/>
              <w:left w:val="nil"/>
              <w:bottom w:val="nil"/>
              <w:right w:val="nil"/>
            </w:tcBorders>
            <w:shd w:val="clear" w:color="auto" w:fill="auto"/>
            <w:noWrap/>
            <w:vAlign w:val="bottom"/>
            <w:hideMark/>
          </w:tcPr>
          <w:p w14:paraId="27123002"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7FC874FF"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Others</w:t>
            </w:r>
          </w:p>
        </w:tc>
        <w:tc>
          <w:tcPr>
            <w:tcW w:w="2108" w:type="dxa"/>
            <w:tcBorders>
              <w:top w:val="nil"/>
              <w:left w:val="nil"/>
              <w:bottom w:val="nil"/>
              <w:right w:val="nil"/>
            </w:tcBorders>
            <w:shd w:val="clear" w:color="auto" w:fill="auto"/>
            <w:noWrap/>
            <w:vAlign w:val="bottom"/>
            <w:hideMark/>
          </w:tcPr>
          <w:p w14:paraId="483D4449"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58</w:t>
            </w:r>
          </w:p>
        </w:tc>
        <w:tc>
          <w:tcPr>
            <w:tcW w:w="2240" w:type="dxa"/>
            <w:tcBorders>
              <w:top w:val="nil"/>
              <w:left w:val="nil"/>
              <w:bottom w:val="nil"/>
              <w:right w:val="nil"/>
            </w:tcBorders>
            <w:shd w:val="clear" w:color="auto" w:fill="auto"/>
            <w:noWrap/>
            <w:vAlign w:val="bottom"/>
            <w:hideMark/>
          </w:tcPr>
          <w:p w14:paraId="717182D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11.44</w:t>
            </w:r>
          </w:p>
        </w:tc>
      </w:tr>
      <w:tr w:rsidR="00D66F86" w:rsidRPr="002729A0" w14:paraId="5280B72E" w14:textId="77777777" w:rsidTr="00436DBF">
        <w:trPr>
          <w:trHeight w:val="295"/>
        </w:trPr>
        <w:tc>
          <w:tcPr>
            <w:tcW w:w="2297" w:type="dxa"/>
            <w:tcBorders>
              <w:top w:val="nil"/>
              <w:left w:val="nil"/>
              <w:bottom w:val="nil"/>
              <w:right w:val="nil"/>
            </w:tcBorders>
            <w:shd w:val="clear" w:color="auto" w:fill="auto"/>
            <w:noWrap/>
            <w:vAlign w:val="bottom"/>
            <w:hideMark/>
          </w:tcPr>
          <w:p w14:paraId="1D5F80B3"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Education Level</w:t>
            </w:r>
          </w:p>
        </w:tc>
        <w:tc>
          <w:tcPr>
            <w:tcW w:w="2791" w:type="dxa"/>
            <w:tcBorders>
              <w:top w:val="nil"/>
              <w:left w:val="nil"/>
              <w:bottom w:val="nil"/>
              <w:right w:val="nil"/>
            </w:tcBorders>
            <w:shd w:val="clear" w:color="auto" w:fill="auto"/>
            <w:noWrap/>
            <w:vAlign w:val="bottom"/>
            <w:hideMark/>
          </w:tcPr>
          <w:p w14:paraId="73D91F4D"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Primary</w:t>
            </w:r>
          </w:p>
        </w:tc>
        <w:tc>
          <w:tcPr>
            <w:tcW w:w="2108" w:type="dxa"/>
            <w:tcBorders>
              <w:top w:val="nil"/>
              <w:left w:val="nil"/>
              <w:bottom w:val="nil"/>
              <w:right w:val="nil"/>
            </w:tcBorders>
            <w:shd w:val="clear" w:color="auto" w:fill="auto"/>
            <w:noWrap/>
            <w:vAlign w:val="bottom"/>
            <w:hideMark/>
          </w:tcPr>
          <w:p w14:paraId="6B92C9B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55</w:t>
            </w:r>
          </w:p>
        </w:tc>
        <w:tc>
          <w:tcPr>
            <w:tcW w:w="2240" w:type="dxa"/>
            <w:tcBorders>
              <w:top w:val="nil"/>
              <w:left w:val="nil"/>
              <w:bottom w:val="nil"/>
              <w:right w:val="nil"/>
            </w:tcBorders>
            <w:shd w:val="clear" w:color="auto" w:fill="auto"/>
            <w:noWrap/>
            <w:vAlign w:val="bottom"/>
            <w:hideMark/>
          </w:tcPr>
          <w:p w14:paraId="7951CF0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10.85</w:t>
            </w:r>
          </w:p>
        </w:tc>
      </w:tr>
      <w:tr w:rsidR="00D66F86" w:rsidRPr="002729A0" w14:paraId="1316AD11" w14:textId="77777777" w:rsidTr="00436DBF">
        <w:trPr>
          <w:trHeight w:val="295"/>
        </w:trPr>
        <w:tc>
          <w:tcPr>
            <w:tcW w:w="2297" w:type="dxa"/>
            <w:tcBorders>
              <w:top w:val="nil"/>
              <w:left w:val="nil"/>
              <w:bottom w:val="nil"/>
              <w:right w:val="nil"/>
            </w:tcBorders>
            <w:shd w:val="clear" w:color="auto" w:fill="auto"/>
            <w:noWrap/>
            <w:vAlign w:val="bottom"/>
            <w:hideMark/>
          </w:tcPr>
          <w:p w14:paraId="2F0045FD"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3889D26D"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Secondary</w:t>
            </w:r>
          </w:p>
        </w:tc>
        <w:tc>
          <w:tcPr>
            <w:tcW w:w="2108" w:type="dxa"/>
            <w:tcBorders>
              <w:top w:val="nil"/>
              <w:left w:val="nil"/>
              <w:bottom w:val="nil"/>
              <w:right w:val="nil"/>
            </w:tcBorders>
            <w:shd w:val="clear" w:color="auto" w:fill="auto"/>
            <w:noWrap/>
            <w:vAlign w:val="bottom"/>
            <w:hideMark/>
          </w:tcPr>
          <w:p w14:paraId="1A5A7F6F"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226</w:t>
            </w:r>
          </w:p>
        </w:tc>
        <w:tc>
          <w:tcPr>
            <w:tcW w:w="2240" w:type="dxa"/>
            <w:tcBorders>
              <w:top w:val="nil"/>
              <w:left w:val="nil"/>
              <w:bottom w:val="nil"/>
              <w:right w:val="nil"/>
            </w:tcBorders>
            <w:shd w:val="clear" w:color="auto" w:fill="auto"/>
            <w:noWrap/>
            <w:vAlign w:val="bottom"/>
            <w:hideMark/>
          </w:tcPr>
          <w:p w14:paraId="1CD78504"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44.58</w:t>
            </w:r>
          </w:p>
        </w:tc>
      </w:tr>
      <w:tr w:rsidR="00D66F86" w:rsidRPr="002729A0" w14:paraId="0BBBD473" w14:textId="77777777" w:rsidTr="00436DBF">
        <w:trPr>
          <w:trHeight w:val="295"/>
        </w:trPr>
        <w:tc>
          <w:tcPr>
            <w:tcW w:w="2297" w:type="dxa"/>
            <w:tcBorders>
              <w:top w:val="nil"/>
              <w:left w:val="nil"/>
              <w:bottom w:val="nil"/>
              <w:right w:val="nil"/>
            </w:tcBorders>
            <w:shd w:val="clear" w:color="auto" w:fill="auto"/>
            <w:noWrap/>
            <w:vAlign w:val="bottom"/>
            <w:hideMark/>
          </w:tcPr>
          <w:p w14:paraId="67FA2B02"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0350D0A9"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University</w:t>
            </w:r>
          </w:p>
        </w:tc>
        <w:tc>
          <w:tcPr>
            <w:tcW w:w="2108" w:type="dxa"/>
            <w:tcBorders>
              <w:top w:val="nil"/>
              <w:left w:val="nil"/>
              <w:bottom w:val="nil"/>
              <w:right w:val="nil"/>
            </w:tcBorders>
            <w:shd w:val="clear" w:color="auto" w:fill="auto"/>
            <w:noWrap/>
            <w:vAlign w:val="bottom"/>
            <w:hideMark/>
          </w:tcPr>
          <w:p w14:paraId="4E618A35"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190</w:t>
            </w:r>
          </w:p>
        </w:tc>
        <w:tc>
          <w:tcPr>
            <w:tcW w:w="2240" w:type="dxa"/>
            <w:tcBorders>
              <w:top w:val="nil"/>
              <w:left w:val="nil"/>
              <w:bottom w:val="nil"/>
              <w:right w:val="nil"/>
            </w:tcBorders>
            <w:shd w:val="clear" w:color="auto" w:fill="auto"/>
            <w:noWrap/>
            <w:vAlign w:val="bottom"/>
            <w:hideMark/>
          </w:tcPr>
          <w:p w14:paraId="0EFFF08C"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37.48</w:t>
            </w:r>
          </w:p>
        </w:tc>
      </w:tr>
      <w:tr w:rsidR="00D66F86" w:rsidRPr="002729A0" w14:paraId="5149730C" w14:textId="77777777" w:rsidTr="00436DBF">
        <w:trPr>
          <w:trHeight w:val="295"/>
        </w:trPr>
        <w:tc>
          <w:tcPr>
            <w:tcW w:w="2297" w:type="dxa"/>
            <w:tcBorders>
              <w:top w:val="nil"/>
              <w:left w:val="nil"/>
              <w:bottom w:val="nil"/>
              <w:right w:val="nil"/>
            </w:tcBorders>
            <w:shd w:val="clear" w:color="auto" w:fill="auto"/>
            <w:noWrap/>
            <w:vAlign w:val="bottom"/>
            <w:hideMark/>
          </w:tcPr>
          <w:p w14:paraId="3FD1EBFC"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735702D4"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Others</w:t>
            </w:r>
          </w:p>
        </w:tc>
        <w:tc>
          <w:tcPr>
            <w:tcW w:w="2108" w:type="dxa"/>
            <w:tcBorders>
              <w:top w:val="nil"/>
              <w:left w:val="nil"/>
              <w:bottom w:val="nil"/>
              <w:right w:val="nil"/>
            </w:tcBorders>
            <w:shd w:val="clear" w:color="auto" w:fill="auto"/>
            <w:noWrap/>
            <w:vAlign w:val="bottom"/>
            <w:hideMark/>
          </w:tcPr>
          <w:p w14:paraId="6C146883"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36</w:t>
            </w:r>
          </w:p>
        </w:tc>
        <w:tc>
          <w:tcPr>
            <w:tcW w:w="2240" w:type="dxa"/>
            <w:tcBorders>
              <w:top w:val="nil"/>
              <w:left w:val="nil"/>
              <w:bottom w:val="nil"/>
              <w:right w:val="nil"/>
            </w:tcBorders>
            <w:shd w:val="clear" w:color="auto" w:fill="auto"/>
            <w:noWrap/>
            <w:vAlign w:val="bottom"/>
            <w:hideMark/>
          </w:tcPr>
          <w:p w14:paraId="65FA6033"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7.1</w:t>
            </w:r>
          </w:p>
        </w:tc>
      </w:tr>
      <w:tr w:rsidR="00D66F86" w:rsidRPr="002729A0" w14:paraId="0FB97C49" w14:textId="77777777" w:rsidTr="00436DBF">
        <w:trPr>
          <w:trHeight w:val="295"/>
        </w:trPr>
        <w:tc>
          <w:tcPr>
            <w:tcW w:w="2297" w:type="dxa"/>
            <w:tcBorders>
              <w:top w:val="nil"/>
              <w:left w:val="nil"/>
              <w:bottom w:val="nil"/>
              <w:right w:val="nil"/>
            </w:tcBorders>
            <w:shd w:val="clear" w:color="auto" w:fill="auto"/>
            <w:noWrap/>
            <w:vAlign w:val="bottom"/>
            <w:hideMark/>
          </w:tcPr>
          <w:p w14:paraId="09CF6A21"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Occupation</w:t>
            </w:r>
          </w:p>
        </w:tc>
        <w:tc>
          <w:tcPr>
            <w:tcW w:w="2791" w:type="dxa"/>
            <w:tcBorders>
              <w:top w:val="nil"/>
              <w:left w:val="nil"/>
              <w:bottom w:val="nil"/>
              <w:right w:val="nil"/>
            </w:tcBorders>
            <w:shd w:val="clear" w:color="auto" w:fill="auto"/>
            <w:noWrap/>
            <w:vAlign w:val="bottom"/>
            <w:hideMark/>
          </w:tcPr>
          <w:p w14:paraId="75273480"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Self-employed</w:t>
            </w:r>
          </w:p>
        </w:tc>
        <w:tc>
          <w:tcPr>
            <w:tcW w:w="2108" w:type="dxa"/>
            <w:tcBorders>
              <w:top w:val="nil"/>
              <w:left w:val="nil"/>
              <w:bottom w:val="nil"/>
              <w:right w:val="nil"/>
            </w:tcBorders>
            <w:shd w:val="clear" w:color="auto" w:fill="auto"/>
            <w:noWrap/>
            <w:vAlign w:val="bottom"/>
            <w:hideMark/>
          </w:tcPr>
          <w:p w14:paraId="7C15FB65"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281</w:t>
            </w:r>
          </w:p>
        </w:tc>
        <w:tc>
          <w:tcPr>
            <w:tcW w:w="2240" w:type="dxa"/>
            <w:tcBorders>
              <w:top w:val="nil"/>
              <w:left w:val="nil"/>
              <w:bottom w:val="nil"/>
              <w:right w:val="nil"/>
            </w:tcBorders>
            <w:shd w:val="clear" w:color="auto" w:fill="auto"/>
            <w:noWrap/>
            <w:vAlign w:val="bottom"/>
            <w:hideMark/>
          </w:tcPr>
          <w:p w14:paraId="725A5D48"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55.42</w:t>
            </w:r>
          </w:p>
        </w:tc>
      </w:tr>
      <w:tr w:rsidR="00D66F86" w:rsidRPr="002729A0" w14:paraId="2481495D" w14:textId="77777777" w:rsidTr="00436DBF">
        <w:trPr>
          <w:trHeight w:val="295"/>
        </w:trPr>
        <w:tc>
          <w:tcPr>
            <w:tcW w:w="2297" w:type="dxa"/>
            <w:tcBorders>
              <w:top w:val="nil"/>
              <w:left w:val="nil"/>
              <w:bottom w:val="nil"/>
              <w:right w:val="nil"/>
            </w:tcBorders>
            <w:shd w:val="clear" w:color="auto" w:fill="auto"/>
            <w:noWrap/>
            <w:vAlign w:val="bottom"/>
            <w:hideMark/>
          </w:tcPr>
          <w:p w14:paraId="59E1AA00"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4143A5A8"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Formally Employed</w:t>
            </w:r>
          </w:p>
        </w:tc>
        <w:tc>
          <w:tcPr>
            <w:tcW w:w="2108" w:type="dxa"/>
            <w:tcBorders>
              <w:top w:val="nil"/>
              <w:left w:val="nil"/>
              <w:bottom w:val="nil"/>
              <w:right w:val="nil"/>
            </w:tcBorders>
            <w:shd w:val="clear" w:color="auto" w:fill="auto"/>
            <w:noWrap/>
            <w:vAlign w:val="bottom"/>
            <w:hideMark/>
          </w:tcPr>
          <w:p w14:paraId="5B36E7D6"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179</w:t>
            </w:r>
          </w:p>
        </w:tc>
        <w:tc>
          <w:tcPr>
            <w:tcW w:w="2240" w:type="dxa"/>
            <w:tcBorders>
              <w:top w:val="nil"/>
              <w:left w:val="nil"/>
              <w:bottom w:val="nil"/>
              <w:right w:val="nil"/>
            </w:tcBorders>
            <w:shd w:val="clear" w:color="auto" w:fill="auto"/>
            <w:noWrap/>
            <w:vAlign w:val="bottom"/>
            <w:hideMark/>
          </w:tcPr>
          <w:p w14:paraId="6468D35B"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35.31</w:t>
            </w:r>
          </w:p>
        </w:tc>
      </w:tr>
      <w:tr w:rsidR="00D66F86" w:rsidRPr="002729A0" w14:paraId="3355C628" w14:textId="77777777" w:rsidTr="00436DBF">
        <w:trPr>
          <w:trHeight w:val="295"/>
        </w:trPr>
        <w:tc>
          <w:tcPr>
            <w:tcW w:w="2297" w:type="dxa"/>
            <w:tcBorders>
              <w:top w:val="nil"/>
              <w:left w:val="nil"/>
              <w:bottom w:val="nil"/>
              <w:right w:val="nil"/>
            </w:tcBorders>
            <w:shd w:val="clear" w:color="auto" w:fill="auto"/>
            <w:noWrap/>
            <w:vAlign w:val="bottom"/>
            <w:hideMark/>
          </w:tcPr>
          <w:p w14:paraId="0EE83F91"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7EDB5BC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Student</w:t>
            </w:r>
          </w:p>
        </w:tc>
        <w:tc>
          <w:tcPr>
            <w:tcW w:w="2108" w:type="dxa"/>
            <w:tcBorders>
              <w:top w:val="nil"/>
              <w:left w:val="nil"/>
              <w:bottom w:val="nil"/>
              <w:right w:val="nil"/>
            </w:tcBorders>
            <w:shd w:val="clear" w:color="auto" w:fill="auto"/>
            <w:noWrap/>
            <w:vAlign w:val="bottom"/>
            <w:hideMark/>
          </w:tcPr>
          <w:p w14:paraId="405D447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23</w:t>
            </w:r>
          </w:p>
        </w:tc>
        <w:tc>
          <w:tcPr>
            <w:tcW w:w="2240" w:type="dxa"/>
            <w:tcBorders>
              <w:top w:val="nil"/>
              <w:left w:val="nil"/>
              <w:bottom w:val="nil"/>
              <w:right w:val="nil"/>
            </w:tcBorders>
            <w:shd w:val="clear" w:color="auto" w:fill="auto"/>
            <w:noWrap/>
            <w:vAlign w:val="bottom"/>
            <w:hideMark/>
          </w:tcPr>
          <w:p w14:paraId="5518CBF8"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4.54</w:t>
            </w:r>
          </w:p>
        </w:tc>
      </w:tr>
      <w:tr w:rsidR="00D66F86" w:rsidRPr="002729A0" w14:paraId="35882D3F" w14:textId="77777777" w:rsidTr="00436DBF">
        <w:trPr>
          <w:trHeight w:val="295"/>
        </w:trPr>
        <w:tc>
          <w:tcPr>
            <w:tcW w:w="2297" w:type="dxa"/>
            <w:tcBorders>
              <w:top w:val="nil"/>
              <w:left w:val="nil"/>
              <w:bottom w:val="nil"/>
              <w:right w:val="nil"/>
            </w:tcBorders>
            <w:shd w:val="clear" w:color="auto" w:fill="auto"/>
            <w:noWrap/>
            <w:vAlign w:val="bottom"/>
            <w:hideMark/>
          </w:tcPr>
          <w:p w14:paraId="7C9FB6EF"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1639D6D4"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Others</w:t>
            </w:r>
          </w:p>
        </w:tc>
        <w:tc>
          <w:tcPr>
            <w:tcW w:w="2108" w:type="dxa"/>
            <w:tcBorders>
              <w:top w:val="nil"/>
              <w:left w:val="nil"/>
              <w:bottom w:val="nil"/>
              <w:right w:val="nil"/>
            </w:tcBorders>
            <w:shd w:val="clear" w:color="auto" w:fill="auto"/>
            <w:noWrap/>
            <w:vAlign w:val="bottom"/>
            <w:hideMark/>
          </w:tcPr>
          <w:p w14:paraId="43F33AFD"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24</w:t>
            </w:r>
          </w:p>
        </w:tc>
        <w:tc>
          <w:tcPr>
            <w:tcW w:w="2240" w:type="dxa"/>
            <w:tcBorders>
              <w:top w:val="nil"/>
              <w:left w:val="nil"/>
              <w:bottom w:val="nil"/>
              <w:right w:val="nil"/>
            </w:tcBorders>
            <w:shd w:val="clear" w:color="auto" w:fill="auto"/>
            <w:noWrap/>
            <w:vAlign w:val="bottom"/>
            <w:hideMark/>
          </w:tcPr>
          <w:p w14:paraId="652AC9AF"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4.73</w:t>
            </w:r>
          </w:p>
        </w:tc>
      </w:tr>
      <w:tr w:rsidR="00D66F86" w:rsidRPr="002729A0" w14:paraId="7F610F20" w14:textId="77777777" w:rsidTr="00436DBF">
        <w:trPr>
          <w:trHeight w:val="295"/>
        </w:trPr>
        <w:tc>
          <w:tcPr>
            <w:tcW w:w="2297" w:type="dxa"/>
            <w:tcBorders>
              <w:top w:val="nil"/>
              <w:left w:val="nil"/>
              <w:bottom w:val="nil"/>
              <w:right w:val="nil"/>
            </w:tcBorders>
            <w:shd w:val="clear" w:color="auto" w:fill="auto"/>
            <w:noWrap/>
            <w:vAlign w:val="bottom"/>
            <w:hideMark/>
          </w:tcPr>
          <w:p w14:paraId="443C883A"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Residence</w:t>
            </w:r>
          </w:p>
        </w:tc>
        <w:tc>
          <w:tcPr>
            <w:tcW w:w="2791" w:type="dxa"/>
            <w:tcBorders>
              <w:top w:val="nil"/>
              <w:left w:val="nil"/>
              <w:bottom w:val="nil"/>
              <w:right w:val="nil"/>
            </w:tcBorders>
            <w:shd w:val="clear" w:color="auto" w:fill="auto"/>
            <w:noWrap/>
            <w:vAlign w:val="bottom"/>
            <w:hideMark/>
          </w:tcPr>
          <w:p w14:paraId="6142F7B4"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Rural</w:t>
            </w:r>
          </w:p>
        </w:tc>
        <w:tc>
          <w:tcPr>
            <w:tcW w:w="2108" w:type="dxa"/>
            <w:tcBorders>
              <w:top w:val="nil"/>
              <w:left w:val="nil"/>
              <w:bottom w:val="nil"/>
              <w:right w:val="nil"/>
            </w:tcBorders>
            <w:shd w:val="clear" w:color="auto" w:fill="auto"/>
            <w:noWrap/>
            <w:vAlign w:val="bottom"/>
            <w:hideMark/>
          </w:tcPr>
          <w:p w14:paraId="61259E0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405</w:t>
            </w:r>
          </w:p>
        </w:tc>
        <w:tc>
          <w:tcPr>
            <w:tcW w:w="2240" w:type="dxa"/>
            <w:tcBorders>
              <w:top w:val="nil"/>
              <w:left w:val="nil"/>
              <w:bottom w:val="nil"/>
              <w:right w:val="nil"/>
            </w:tcBorders>
            <w:shd w:val="clear" w:color="auto" w:fill="auto"/>
            <w:noWrap/>
            <w:vAlign w:val="bottom"/>
            <w:hideMark/>
          </w:tcPr>
          <w:p w14:paraId="7B2CC3D0"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79.88</w:t>
            </w:r>
          </w:p>
        </w:tc>
      </w:tr>
      <w:tr w:rsidR="00D66F86" w:rsidRPr="002729A0" w14:paraId="5AA6A3F7" w14:textId="77777777" w:rsidTr="00436DBF">
        <w:trPr>
          <w:trHeight w:val="295"/>
        </w:trPr>
        <w:tc>
          <w:tcPr>
            <w:tcW w:w="2297" w:type="dxa"/>
            <w:tcBorders>
              <w:top w:val="nil"/>
              <w:left w:val="nil"/>
              <w:bottom w:val="nil"/>
              <w:right w:val="nil"/>
            </w:tcBorders>
            <w:shd w:val="clear" w:color="auto" w:fill="auto"/>
            <w:noWrap/>
            <w:vAlign w:val="bottom"/>
            <w:hideMark/>
          </w:tcPr>
          <w:p w14:paraId="498E3589"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6FA8ACCC"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Urban</w:t>
            </w:r>
          </w:p>
        </w:tc>
        <w:tc>
          <w:tcPr>
            <w:tcW w:w="2108" w:type="dxa"/>
            <w:tcBorders>
              <w:top w:val="nil"/>
              <w:left w:val="nil"/>
              <w:bottom w:val="nil"/>
              <w:right w:val="nil"/>
            </w:tcBorders>
            <w:shd w:val="clear" w:color="auto" w:fill="auto"/>
            <w:noWrap/>
            <w:vAlign w:val="bottom"/>
            <w:hideMark/>
          </w:tcPr>
          <w:p w14:paraId="34F9FAC2"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102</w:t>
            </w:r>
          </w:p>
        </w:tc>
        <w:tc>
          <w:tcPr>
            <w:tcW w:w="2240" w:type="dxa"/>
            <w:tcBorders>
              <w:top w:val="nil"/>
              <w:left w:val="nil"/>
              <w:bottom w:val="nil"/>
              <w:right w:val="nil"/>
            </w:tcBorders>
            <w:shd w:val="clear" w:color="auto" w:fill="auto"/>
            <w:noWrap/>
            <w:vAlign w:val="bottom"/>
            <w:hideMark/>
          </w:tcPr>
          <w:p w14:paraId="7515A6A3"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20.12</w:t>
            </w:r>
          </w:p>
        </w:tc>
      </w:tr>
      <w:tr w:rsidR="00D66F86" w:rsidRPr="002729A0" w14:paraId="514DEC16" w14:textId="77777777" w:rsidTr="00436DBF">
        <w:trPr>
          <w:trHeight w:val="295"/>
        </w:trPr>
        <w:tc>
          <w:tcPr>
            <w:tcW w:w="2297" w:type="dxa"/>
            <w:tcBorders>
              <w:top w:val="nil"/>
              <w:left w:val="nil"/>
              <w:bottom w:val="nil"/>
              <w:right w:val="nil"/>
            </w:tcBorders>
            <w:shd w:val="clear" w:color="auto" w:fill="auto"/>
            <w:noWrap/>
            <w:vAlign w:val="bottom"/>
            <w:hideMark/>
          </w:tcPr>
          <w:p w14:paraId="45ED122C"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Subcounty</w:t>
            </w:r>
          </w:p>
        </w:tc>
        <w:tc>
          <w:tcPr>
            <w:tcW w:w="2791" w:type="dxa"/>
            <w:tcBorders>
              <w:top w:val="nil"/>
              <w:left w:val="nil"/>
              <w:bottom w:val="nil"/>
              <w:right w:val="nil"/>
            </w:tcBorders>
            <w:shd w:val="clear" w:color="auto" w:fill="auto"/>
            <w:noWrap/>
            <w:vAlign w:val="bottom"/>
            <w:hideMark/>
          </w:tcPr>
          <w:p w14:paraId="32DEFAD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Kisumu East</w:t>
            </w:r>
          </w:p>
        </w:tc>
        <w:tc>
          <w:tcPr>
            <w:tcW w:w="2108" w:type="dxa"/>
            <w:tcBorders>
              <w:top w:val="nil"/>
              <w:left w:val="nil"/>
              <w:bottom w:val="nil"/>
              <w:right w:val="nil"/>
            </w:tcBorders>
            <w:shd w:val="clear" w:color="auto" w:fill="auto"/>
            <w:noWrap/>
            <w:vAlign w:val="bottom"/>
            <w:hideMark/>
          </w:tcPr>
          <w:p w14:paraId="2F4A4102"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173</w:t>
            </w:r>
          </w:p>
        </w:tc>
        <w:tc>
          <w:tcPr>
            <w:tcW w:w="2240" w:type="dxa"/>
            <w:tcBorders>
              <w:top w:val="nil"/>
              <w:left w:val="nil"/>
              <w:bottom w:val="nil"/>
              <w:right w:val="nil"/>
            </w:tcBorders>
            <w:shd w:val="clear" w:color="auto" w:fill="auto"/>
            <w:noWrap/>
            <w:vAlign w:val="bottom"/>
            <w:hideMark/>
          </w:tcPr>
          <w:p w14:paraId="4EACABF6"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34.12</w:t>
            </w:r>
          </w:p>
        </w:tc>
      </w:tr>
      <w:tr w:rsidR="00D66F86" w:rsidRPr="002729A0" w14:paraId="6D6480C0" w14:textId="77777777" w:rsidTr="00436DBF">
        <w:trPr>
          <w:trHeight w:val="295"/>
        </w:trPr>
        <w:tc>
          <w:tcPr>
            <w:tcW w:w="2297" w:type="dxa"/>
            <w:tcBorders>
              <w:top w:val="nil"/>
              <w:left w:val="nil"/>
              <w:bottom w:val="nil"/>
              <w:right w:val="nil"/>
            </w:tcBorders>
            <w:shd w:val="clear" w:color="auto" w:fill="auto"/>
            <w:noWrap/>
            <w:vAlign w:val="bottom"/>
            <w:hideMark/>
          </w:tcPr>
          <w:p w14:paraId="3566DB2A"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45F2A590"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Muhoroni</w:t>
            </w:r>
          </w:p>
        </w:tc>
        <w:tc>
          <w:tcPr>
            <w:tcW w:w="2108" w:type="dxa"/>
            <w:tcBorders>
              <w:top w:val="nil"/>
              <w:left w:val="nil"/>
              <w:bottom w:val="nil"/>
              <w:right w:val="nil"/>
            </w:tcBorders>
            <w:shd w:val="clear" w:color="auto" w:fill="auto"/>
            <w:noWrap/>
            <w:vAlign w:val="bottom"/>
            <w:hideMark/>
          </w:tcPr>
          <w:p w14:paraId="08C64DD9"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104</w:t>
            </w:r>
          </w:p>
        </w:tc>
        <w:tc>
          <w:tcPr>
            <w:tcW w:w="2240" w:type="dxa"/>
            <w:tcBorders>
              <w:top w:val="nil"/>
              <w:left w:val="nil"/>
              <w:bottom w:val="nil"/>
              <w:right w:val="nil"/>
            </w:tcBorders>
            <w:shd w:val="clear" w:color="auto" w:fill="auto"/>
            <w:noWrap/>
            <w:vAlign w:val="bottom"/>
            <w:hideMark/>
          </w:tcPr>
          <w:p w14:paraId="3AA52AB7"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20.51</w:t>
            </w:r>
          </w:p>
        </w:tc>
      </w:tr>
      <w:tr w:rsidR="00D66F86" w:rsidRPr="002729A0" w14:paraId="643A4B92" w14:textId="77777777" w:rsidTr="00436DBF">
        <w:trPr>
          <w:trHeight w:val="295"/>
        </w:trPr>
        <w:tc>
          <w:tcPr>
            <w:tcW w:w="2297" w:type="dxa"/>
            <w:tcBorders>
              <w:top w:val="nil"/>
              <w:left w:val="nil"/>
              <w:bottom w:val="nil"/>
              <w:right w:val="nil"/>
            </w:tcBorders>
            <w:shd w:val="clear" w:color="auto" w:fill="auto"/>
            <w:noWrap/>
            <w:vAlign w:val="bottom"/>
            <w:hideMark/>
          </w:tcPr>
          <w:p w14:paraId="43AC3086"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tc>
        <w:tc>
          <w:tcPr>
            <w:tcW w:w="2791" w:type="dxa"/>
            <w:tcBorders>
              <w:top w:val="nil"/>
              <w:left w:val="nil"/>
              <w:bottom w:val="nil"/>
              <w:right w:val="nil"/>
            </w:tcBorders>
            <w:shd w:val="clear" w:color="auto" w:fill="auto"/>
            <w:noWrap/>
            <w:vAlign w:val="bottom"/>
            <w:hideMark/>
          </w:tcPr>
          <w:p w14:paraId="3FCE5860"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Nyakach</w:t>
            </w:r>
          </w:p>
        </w:tc>
        <w:tc>
          <w:tcPr>
            <w:tcW w:w="2108" w:type="dxa"/>
            <w:tcBorders>
              <w:top w:val="nil"/>
              <w:left w:val="nil"/>
              <w:bottom w:val="nil"/>
              <w:right w:val="nil"/>
            </w:tcBorders>
            <w:shd w:val="clear" w:color="auto" w:fill="auto"/>
            <w:noWrap/>
            <w:vAlign w:val="bottom"/>
            <w:hideMark/>
          </w:tcPr>
          <w:p w14:paraId="6A213097"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94</w:t>
            </w:r>
          </w:p>
        </w:tc>
        <w:tc>
          <w:tcPr>
            <w:tcW w:w="2240" w:type="dxa"/>
            <w:tcBorders>
              <w:top w:val="nil"/>
              <w:left w:val="nil"/>
              <w:bottom w:val="nil"/>
              <w:right w:val="nil"/>
            </w:tcBorders>
            <w:shd w:val="clear" w:color="auto" w:fill="auto"/>
            <w:noWrap/>
            <w:vAlign w:val="bottom"/>
            <w:hideMark/>
          </w:tcPr>
          <w:p w14:paraId="16520945"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18.54</w:t>
            </w:r>
          </w:p>
        </w:tc>
      </w:tr>
      <w:tr w:rsidR="00D66F86" w:rsidRPr="002729A0" w14:paraId="580FD2A5" w14:textId="77777777" w:rsidTr="00436DBF">
        <w:trPr>
          <w:trHeight w:val="295"/>
        </w:trPr>
        <w:tc>
          <w:tcPr>
            <w:tcW w:w="2297" w:type="dxa"/>
            <w:tcBorders>
              <w:top w:val="nil"/>
              <w:left w:val="nil"/>
              <w:bottom w:val="single" w:sz="4" w:space="0" w:color="auto"/>
              <w:right w:val="nil"/>
            </w:tcBorders>
            <w:shd w:val="clear" w:color="auto" w:fill="auto"/>
            <w:noWrap/>
            <w:vAlign w:val="bottom"/>
            <w:hideMark/>
          </w:tcPr>
          <w:p w14:paraId="2B720006" w14:textId="77777777" w:rsidR="00D66F86" w:rsidRPr="002729A0" w:rsidRDefault="00D66F86"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 </w:t>
            </w:r>
          </w:p>
        </w:tc>
        <w:tc>
          <w:tcPr>
            <w:tcW w:w="2791" w:type="dxa"/>
            <w:tcBorders>
              <w:top w:val="nil"/>
              <w:left w:val="nil"/>
              <w:bottom w:val="single" w:sz="4" w:space="0" w:color="auto"/>
              <w:right w:val="nil"/>
            </w:tcBorders>
            <w:shd w:val="clear" w:color="auto" w:fill="auto"/>
            <w:noWrap/>
            <w:vAlign w:val="bottom"/>
            <w:hideMark/>
          </w:tcPr>
          <w:p w14:paraId="4F77B3CE"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Nyando</w:t>
            </w:r>
          </w:p>
        </w:tc>
        <w:tc>
          <w:tcPr>
            <w:tcW w:w="2108" w:type="dxa"/>
            <w:tcBorders>
              <w:top w:val="nil"/>
              <w:left w:val="nil"/>
              <w:bottom w:val="single" w:sz="4" w:space="0" w:color="auto"/>
              <w:right w:val="nil"/>
            </w:tcBorders>
            <w:shd w:val="clear" w:color="auto" w:fill="auto"/>
            <w:noWrap/>
            <w:vAlign w:val="bottom"/>
            <w:hideMark/>
          </w:tcPr>
          <w:p w14:paraId="3E39C692"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136</w:t>
            </w:r>
          </w:p>
        </w:tc>
        <w:tc>
          <w:tcPr>
            <w:tcW w:w="2240" w:type="dxa"/>
            <w:tcBorders>
              <w:top w:val="nil"/>
              <w:left w:val="nil"/>
              <w:bottom w:val="single" w:sz="4" w:space="0" w:color="auto"/>
              <w:right w:val="nil"/>
            </w:tcBorders>
            <w:shd w:val="clear" w:color="auto" w:fill="auto"/>
            <w:noWrap/>
            <w:vAlign w:val="bottom"/>
            <w:hideMark/>
          </w:tcPr>
          <w:p w14:paraId="4983959F"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26.82</w:t>
            </w:r>
          </w:p>
        </w:tc>
      </w:tr>
    </w:tbl>
    <w:p w14:paraId="7210F4A1" w14:textId="77777777" w:rsidR="00D66F86" w:rsidRPr="002729A0" w:rsidRDefault="00D66F86" w:rsidP="002729A0">
      <w:pPr>
        <w:tabs>
          <w:tab w:val="left" w:pos="7500"/>
        </w:tabs>
        <w:spacing w:after="200" w:line="240" w:lineRule="auto"/>
        <w:jc w:val="both"/>
        <w:rPr>
          <w:rFonts w:ascii="Times New Roman" w:eastAsia="Times New Roman" w:hAnsi="Times New Roman" w:cs="Times New Roman"/>
          <w:color w:val="000000"/>
          <w:kern w:val="0"/>
          <w:lang w:val="en-GB"/>
          <w14:ligatures w14:val="none"/>
        </w:rPr>
      </w:pPr>
    </w:p>
    <w:p w14:paraId="24EA2DD4" w14:textId="3810015F" w:rsidR="00D66F86" w:rsidRPr="002729A0" w:rsidRDefault="00D66F86" w:rsidP="002729A0">
      <w:pPr>
        <w:keepNext/>
        <w:keepLines/>
        <w:spacing w:before="160" w:after="120" w:line="240" w:lineRule="auto"/>
        <w:jc w:val="both"/>
        <w:outlineLvl w:val="1"/>
        <w:rPr>
          <w:rFonts w:ascii="Times New Roman" w:eastAsia="SimSun" w:hAnsi="Times New Roman" w:cs="Times New Roman"/>
          <w:b/>
          <w:kern w:val="0"/>
          <w:lang w:val="en-GB"/>
          <w14:ligatures w14:val="none"/>
        </w:rPr>
      </w:pPr>
      <w:bookmarkStart w:id="10" w:name="_Toc177471217"/>
      <w:bookmarkStart w:id="11" w:name="_Hlk175153581"/>
      <w:r w:rsidRPr="002729A0">
        <w:rPr>
          <w:rFonts w:ascii="Times New Roman" w:eastAsia="SimSun" w:hAnsi="Times New Roman" w:cs="Times New Roman"/>
          <w:b/>
          <w:kern w:val="0"/>
          <w:lang w:val="en-GB"/>
          <w14:ligatures w14:val="none"/>
        </w:rPr>
        <w:t>Community preparedness about public health emergencies and events they perceive as of priority concern in Kisumu County</w:t>
      </w:r>
      <w:bookmarkEnd w:id="10"/>
    </w:p>
    <w:p w14:paraId="46ECF741" w14:textId="27EC8751" w:rsidR="00D66F86" w:rsidRPr="002729A0" w:rsidRDefault="00D66F86" w:rsidP="002729A0">
      <w:pPr>
        <w:keepNext/>
        <w:keepLines/>
        <w:spacing w:before="160" w:after="120" w:line="240" w:lineRule="auto"/>
        <w:jc w:val="both"/>
        <w:outlineLvl w:val="2"/>
        <w:rPr>
          <w:rFonts w:ascii="Times New Roman" w:eastAsia="SimSun" w:hAnsi="Times New Roman" w:cs="Times New Roman"/>
          <w:b/>
          <w:kern w:val="0"/>
          <w:lang w:val="en-GB"/>
          <w14:ligatures w14:val="none"/>
        </w:rPr>
      </w:pPr>
      <w:bookmarkStart w:id="12" w:name="_Toc177471218"/>
      <w:r w:rsidRPr="002729A0">
        <w:rPr>
          <w:rFonts w:ascii="Times New Roman" w:eastAsia="SimSun" w:hAnsi="Times New Roman" w:cs="Times New Roman"/>
          <w:b/>
          <w:kern w:val="0"/>
          <w:lang w:val="en-GB"/>
          <w14:ligatures w14:val="none"/>
        </w:rPr>
        <w:t>Public health emergency Preparedness</w:t>
      </w:r>
      <w:bookmarkEnd w:id="11"/>
      <w:bookmarkEnd w:id="12"/>
    </w:p>
    <w:p w14:paraId="0BD65F45" w14:textId="27A183A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bookmarkStart w:id="13" w:name="_Hlk175153562"/>
      <w:r w:rsidRPr="002729A0">
        <w:rPr>
          <w:rFonts w:ascii="Times New Roman" w:eastAsia="Times New Roman" w:hAnsi="Times New Roman" w:cs="Times New Roman"/>
          <w:color w:val="000000"/>
          <w:kern w:val="0"/>
          <w:lang w:val="en-GB"/>
          <w14:ligatures w14:val="none"/>
        </w:rPr>
        <w:t xml:space="preserve">This was measured by determining whether the respondents were prepared to the public emergency response or not and figure 1 below summarizes the frequency and percentage of preparedness to the emergency response, it shows that the distribution is almost at equilibrium though most individuals were found not to be prepared </w:t>
      </w:r>
      <w:bookmarkStart w:id="14" w:name="_Hlk173410037"/>
      <w:r w:rsidRPr="002729A0">
        <w:rPr>
          <w:rFonts w:ascii="Times New Roman" w:eastAsia="Times New Roman" w:hAnsi="Times New Roman" w:cs="Times New Roman"/>
          <w:color w:val="000000"/>
          <w:kern w:val="0"/>
          <w14:ligatures w14:val="none"/>
        </w:rPr>
        <w:t>265(52.3%)</w:t>
      </w:r>
      <w:r w:rsidRPr="002729A0">
        <w:rPr>
          <w:rFonts w:ascii="Times New Roman" w:eastAsia="Times New Roman" w:hAnsi="Times New Roman" w:cs="Times New Roman"/>
          <w:color w:val="000000"/>
          <w:kern w:val="0"/>
          <w:lang w:val="en-GB"/>
          <w14:ligatures w14:val="none"/>
        </w:rPr>
        <w:t xml:space="preserve"> to the emergency response while the prepared respondents were 242(47.7%).</w:t>
      </w:r>
    </w:p>
    <w:p w14:paraId="3A1187B3"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p>
    <w:bookmarkEnd w:id="13"/>
    <w:bookmarkEnd w:id="14"/>
    <w:p w14:paraId="4D8FA941" w14:textId="77777777" w:rsidR="00D66F86" w:rsidRPr="002729A0" w:rsidRDefault="00D66F86" w:rsidP="002729A0">
      <w:pPr>
        <w:keepNext/>
        <w:tabs>
          <w:tab w:val="left" w:pos="7500"/>
        </w:tabs>
        <w:spacing w:after="200" w:line="240" w:lineRule="auto"/>
        <w:jc w:val="both"/>
        <w:rPr>
          <w:rFonts w:ascii="Times New Roman" w:eastAsia="SimSun" w:hAnsi="Times New Roman" w:cs="Times New Roman"/>
          <w:color w:val="000000"/>
          <w:kern w:val="0"/>
          <w:lang w:val="en-GB"/>
          <w14:ligatures w14:val="none"/>
        </w:rPr>
      </w:pPr>
      <w:r w:rsidRPr="002729A0">
        <w:rPr>
          <w:rFonts w:ascii="Times New Roman" w:eastAsia="SimSun" w:hAnsi="Times New Roman" w:cs="Times New Roman"/>
          <w:noProof/>
          <w:color w:val="000000"/>
          <w:kern w:val="0"/>
          <w:lang w:val="en-GB" w:eastAsia="en-GB"/>
          <w14:ligatures w14:val="none"/>
        </w:rPr>
        <w:lastRenderedPageBreak/>
        <w:drawing>
          <wp:inline distT="0" distB="0" distL="0" distR="0" wp14:anchorId="5DFB5141" wp14:editId="0D690402">
            <wp:extent cx="4572000" cy="2743200"/>
            <wp:effectExtent l="0" t="0" r="0" b="0"/>
            <wp:docPr id="1785340726" name="Chart 1">
              <a:extLst xmlns:a="http://schemas.openxmlformats.org/drawingml/2006/main">
                <a:ext uri="{FF2B5EF4-FFF2-40B4-BE49-F238E27FC236}">
                  <a16:creationId xmlns:a16="http://schemas.microsoft.com/office/drawing/2014/main" id="{A5E0FA55-3FA4-C1A4-1EF6-F37EFBB23F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5D0A8B" w14:textId="174B3C2A" w:rsidR="00D66F86" w:rsidRPr="002729A0" w:rsidRDefault="00D66F86" w:rsidP="002729A0">
      <w:pPr>
        <w:spacing w:after="200" w:line="240" w:lineRule="auto"/>
        <w:jc w:val="both"/>
        <w:rPr>
          <w:rFonts w:ascii="Times New Roman" w:eastAsia="Times New Roman" w:hAnsi="Times New Roman" w:cs="Times New Roman"/>
          <w:b/>
          <w:bCs/>
          <w:color w:val="000000"/>
          <w:kern w:val="0"/>
          <w:lang w:val="en-GB"/>
          <w14:ligatures w14:val="none"/>
        </w:rPr>
      </w:pPr>
      <w:bookmarkStart w:id="15" w:name="_Toc177471260"/>
      <w:r w:rsidRPr="002729A0">
        <w:rPr>
          <w:rFonts w:ascii="Times New Roman" w:eastAsia="SimSun" w:hAnsi="Times New Roman" w:cs="Times New Roman"/>
          <w:b/>
          <w:bCs/>
          <w:color w:val="000000"/>
          <w:kern w:val="0"/>
          <w:lang w:val="en-GB"/>
          <w14:ligatures w14:val="none"/>
        </w:rPr>
        <w:t xml:space="preserve">Figure </w:t>
      </w:r>
      <w:r w:rsidR="002A1312" w:rsidRPr="002729A0">
        <w:rPr>
          <w:rFonts w:ascii="Times New Roman" w:eastAsia="SimSun" w:hAnsi="Times New Roman" w:cs="Times New Roman"/>
          <w:b/>
          <w:bCs/>
          <w:color w:val="000000"/>
          <w:kern w:val="0"/>
          <w:lang w:val="en-GB"/>
          <w14:ligatures w14:val="none"/>
        </w:rPr>
        <w:t xml:space="preserve">1 </w:t>
      </w:r>
      <w:r w:rsidRPr="002729A0">
        <w:rPr>
          <w:rFonts w:ascii="Times New Roman" w:eastAsia="SimSun" w:hAnsi="Times New Roman" w:cs="Times New Roman"/>
          <w:b/>
          <w:bCs/>
          <w:color w:val="000000"/>
          <w:kern w:val="0"/>
          <w:lang w:val="en-GB"/>
          <w14:ligatures w14:val="none"/>
        </w:rPr>
        <w:t>Preparedness to the Emergency Response</w:t>
      </w:r>
      <w:bookmarkEnd w:id="15"/>
    </w:p>
    <w:p w14:paraId="5B6A277F" w14:textId="77777777"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Further inquiry on community-level public health emergency preparedness revealed that the community is empowered through information given by the designated group of health care workers on matters pertaining preparedness. </w:t>
      </w:r>
    </w:p>
    <w:p w14:paraId="127A2B66" w14:textId="77777777" w:rsidR="00D66F86" w:rsidRPr="002729A0" w:rsidRDefault="00D66F86" w:rsidP="0027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SimSun" w:hAnsi="Times New Roman" w:cs="Times New Roman"/>
          <w:i/>
          <w:iCs/>
          <w:kern w:val="0"/>
          <w:lang w:val="en-GB"/>
          <w14:ligatures w14:val="none"/>
        </w:rPr>
      </w:pPr>
      <w:r w:rsidRPr="002729A0">
        <w:rPr>
          <w:rFonts w:ascii="Times New Roman" w:eastAsia="Times New Roman" w:hAnsi="Times New Roman" w:cs="Times New Roman"/>
          <w:color w:val="000000"/>
          <w:kern w:val="0"/>
          <w:lang w:val="en-GB"/>
          <w14:ligatures w14:val="none"/>
        </w:rPr>
        <w:t xml:space="preserve">             </w:t>
      </w:r>
      <w:r w:rsidRPr="002729A0">
        <w:rPr>
          <w:rFonts w:ascii="Times New Roman" w:eastAsia="SimSun" w:hAnsi="Times New Roman" w:cs="Times New Roman"/>
          <w:i/>
          <w:iCs/>
          <w:kern w:val="0"/>
          <w:lang w:val="en-GB"/>
          <w14:ligatures w14:val="none"/>
        </w:rPr>
        <w:t xml:space="preserve">As a community member, I will testify when there is a preparedness and we have the </w:t>
      </w:r>
      <w:r w:rsidRPr="002729A0">
        <w:rPr>
          <w:rFonts w:ascii="Times New Roman" w:eastAsia="SimSun" w:hAnsi="Times New Roman" w:cs="Times New Roman"/>
          <w:i/>
          <w:iCs/>
          <w:kern w:val="0"/>
          <w:lang w:val="en-GB"/>
          <w14:ligatures w14:val="none"/>
        </w:rPr>
        <w:tab/>
        <w:t xml:space="preserve">information in the community, we will be advised to go to the hospitals just in case we have </w:t>
      </w:r>
      <w:r w:rsidRPr="002729A0">
        <w:rPr>
          <w:rFonts w:ascii="Times New Roman" w:eastAsia="SimSun" w:hAnsi="Times New Roman" w:cs="Times New Roman"/>
          <w:i/>
          <w:iCs/>
          <w:kern w:val="0"/>
          <w:lang w:val="en-GB"/>
          <w14:ligatures w14:val="none"/>
        </w:rPr>
        <w:tab/>
        <w:t>maybe outbreak of waterborne disease in that area. FGD-Gita.</w:t>
      </w:r>
    </w:p>
    <w:p w14:paraId="73DFAFFC" w14:textId="77777777" w:rsidR="00D66F86" w:rsidRPr="002729A0" w:rsidRDefault="00D66F86" w:rsidP="0027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Times New Roman" w:eastAsia="SimSun" w:hAnsi="Times New Roman" w:cs="Times New Roman"/>
          <w:i/>
          <w:iCs/>
          <w:kern w:val="0"/>
          <w:lang w:val="en-GB"/>
          <w14:ligatures w14:val="none"/>
        </w:rPr>
      </w:pPr>
      <w:r w:rsidRPr="002729A0">
        <w:rPr>
          <w:rFonts w:ascii="Times New Roman" w:eastAsia="SimSun" w:hAnsi="Times New Roman" w:cs="Times New Roman"/>
          <w:i/>
          <w:iCs/>
          <w:kern w:val="0"/>
          <w:lang w:val="en-GB"/>
          <w14:ligatures w14:val="none"/>
        </w:rPr>
        <w:tab/>
        <w:t xml:space="preserve">As a CHA my work lies on educating the community on PHEP for empowerment with the </w:t>
      </w:r>
      <w:r w:rsidRPr="002729A0">
        <w:rPr>
          <w:rFonts w:ascii="Times New Roman" w:eastAsia="SimSun" w:hAnsi="Times New Roman" w:cs="Times New Roman"/>
          <w:i/>
          <w:iCs/>
          <w:kern w:val="0"/>
          <w:lang w:val="en-GB"/>
          <w14:ligatures w14:val="none"/>
        </w:rPr>
        <w:tab/>
        <w:t xml:space="preserve">right knowledge for better decision making on PHE. KII-NYP3. </w:t>
      </w:r>
    </w:p>
    <w:p w14:paraId="676F3EC5" w14:textId="77777777" w:rsidR="00D66F86" w:rsidRPr="002729A0" w:rsidRDefault="00D66F86" w:rsidP="002729A0">
      <w:pPr>
        <w:tabs>
          <w:tab w:val="left" w:pos="7500"/>
        </w:tabs>
        <w:spacing w:after="200" w:line="240" w:lineRule="auto"/>
        <w:jc w:val="both"/>
        <w:rPr>
          <w:rFonts w:ascii="Times New Roman" w:eastAsia="Times New Roman" w:hAnsi="Times New Roman" w:cs="Times New Roman"/>
          <w:color w:val="000000"/>
          <w:kern w:val="0"/>
          <w:lang w:val="en-GB"/>
          <w14:ligatures w14:val="none"/>
        </w:rPr>
        <w:sectPr w:rsidR="00D66F86" w:rsidRPr="002729A0" w:rsidSect="002729A0">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start="1"/>
          <w:cols w:space="720"/>
          <w:docGrid w:linePitch="360"/>
        </w:sectPr>
      </w:pPr>
    </w:p>
    <w:p w14:paraId="31C7FEE2" w14:textId="651EF703" w:rsidR="00D66F86" w:rsidRPr="002729A0" w:rsidRDefault="00D66F86" w:rsidP="002729A0">
      <w:pPr>
        <w:keepNext/>
        <w:keepLines/>
        <w:spacing w:before="160" w:after="120" w:line="240" w:lineRule="auto"/>
        <w:jc w:val="both"/>
        <w:outlineLvl w:val="2"/>
        <w:rPr>
          <w:rFonts w:ascii="Times New Roman" w:eastAsia="SimSun" w:hAnsi="Times New Roman" w:cs="Times New Roman"/>
          <w:b/>
          <w:kern w:val="0"/>
          <w:lang w:val="en-GB"/>
          <w14:ligatures w14:val="none"/>
        </w:rPr>
      </w:pPr>
      <w:bookmarkStart w:id="16" w:name="_Toc177471219"/>
      <w:r w:rsidRPr="002729A0">
        <w:rPr>
          <w:rFonts w:ascii="Times New Roman" w:eastAsia="SimSun" w:hAnsi="Times New Roman" w:cs="Times New Roman"/>
          <w:b/>
          <w:kern w:val="0"/>
          <w:lang w:val="en-GB"/>
          <w14:ligatures w14:val="none"/>
        </w:rPr>
        <w:lastRenderedPageBreak/>
        <w:t>Community awareness for Public Health Emergency preparedness and response</w:t>
      </w:r>
      <w:bookmarkEnd w:id="16"/>
    </w:p>
    <w:p w14:paraId="6089EC7B" w14:textId="794A73BD"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bookmarkStart w:id="17" w:name="_Hlk175153610"/>
      <w:r w:rsidRPr="002729A0">
        <w:rPr>
          <w:rFonts w:ascii="Times New Roman" w:eastAsia="Times New Roman" w:hAnsi="Times New Roman" w:cs="Times New Roman"/>
          <w:color w:val="000000"/>
          <w:kern w:val="0"/>
          <w:lang w:val="en-GB"/>
          <w14:ligatures w14:val="none"/>
        </w:rPr>
        <w:t xml:space="preserve">The </w:t>
      </w:r>
      <w:r w:rsidR="002A1312" w:rsidRPr="002729A0">
        <w:rPr>
          <w:rFonts w:ascii="Times New Roman" w:eastAsia="Times New Roman" w:hAnsi="Times New Roman" w:cs="Times New Roman"/>
          <w:color w:val="000000"/>
          <w:kern w:val="0"/>
          <w:lang w:val="en-GB"/>
          <w14:ligatures w14:val="none"/>
        </w:rPr>
        <w:t>T</w:t>
      </w:r>
      <w:r w:rsidRPr="002729A0">
        <w:rPr>
          <w:rFonts w:ascii="Times New Roman" w:eastAsia="Times New Roman" w:hAnsi="Times New Roman" w:cs="Times New Roman"/>
          <w:color w:val="000000"/>
          <w:kern w:val="0"/>
          <w:lang w:val="en-GB"/>
          <w14:ligatures w14:val="none"/>
        </w:rPr>
        <w:t xml:space="preserve">able </w:t>
      </w:r>
      <w:r w:rsidR="0077739F" w:rsidRPr="002729A0">
        <w:rPr>
          <w:rFonts w:ascii="Times New Roman" w:eastAsia="Times New Roman" w:hAnsi="Times New Roman" w:cs="Times New Roman"/>
          <w:color w:val="000000"/>
          <w:kern w:val="0"/>
          <w:lang w:val="en-GB"/>
          <w14:ligatures w14:val="none"/>
        </w:rPr>
        <w:t>2</w:t>
      </w:r>
      <w:r w:rsidRPr="002729A0">
        <w:rPr>
          <w:rFonts w:ascii="Times New Roman" w:eastAsia="Times New Roman" w:hAnsi="Times New Roman" w:cs="Times New Roman"/>
          <w:color w:val="000000"/>
          <w:kern w:val="0"/>
          <w:lang w:val="en-GB"/>
          <w14:ligatures w14:val="none"/>
        </w:rPr>
        <w:t xml:space="preserve"> shows analysis on how community awareness influences public health emergency preparedness, response capability, and engagement in Kisumu County, using binary logistic regression to assess the significance of various socio-demographic characteristics.</w:t>
      </w:r>
    </w:p>
    <w:p w14:paraId="2642165C" w14:textId="79280C06"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Firstly, awareness of public health emergencies (PHE) or disasters shows a significant influence on preparedness. Residents who </w:t>
      </w:r>
      <w:r w:rsidR="00AB5909"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aware of PHEs </w:t>
      </w:r>
      <w:r w:rsidR="00AB5909"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more likely to be prepared compared to those who </w:t>
      </w:r>
      <w:r w:rsidR="00AB5909"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not. Specifically, those who </w:t>
      </w:r>
      <w:r w:rsidR="00C807FB"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aware have an adjusted odds ratio (</w:t>
      </w:r>
      <w:proofErr w:type="spellStart"/>
      <w:r w:rsidR="00FC70A0" w:rsidRPr="002729A0">
        <w:rPr>
          <w:rFonts w:ascii="Times New Roman" w:eastAsia="Times New Roman" w:hAnsi="Times New Roman" w:cs="Times New Roman"/>
          <w:color w:val="000000"/>
          <w:kern w:val="0"/>
          <w:lang w:val="en-GB"/>
          <w14:ligatures w14:val="none"/>
        </w:rPr>
        <w:t>a</w:t>
      </w:r>
      <w:r w:rsidRPr="002729A0">
        <w:rPr>
          <w:rFonts w:ascii="Times New Roman" w:eastAsia="Times New Roman" w:hAnsi="Times New Roman" w:cs="Times New Roman"/>
          <w:color w:val="000000"/>
          <w:kern w:val="0"/>
          <w:lang w:val="en-GB"/>
          <w14:ligatures w14:val="none"/>
        </w:rPr>
        <w:t>OR</w:t>
      </w:r>
      <w:proofErr w:type="spellEnd"/>
      <w:r w:rsidRPr="002729A0">
        <w:rPr>
          <w:rFonts w:ascii="Times New Roman" w:eastAsia="Times New Roman" w:hAnsi="Times New Roman" w:cs="Times New Roman"/>
          <w:color w:val="000000"/>
          <w:kern w:val="0"/>
          <w:lang w:val="en-GB"/>
          <w14:ligatures w14:val="none"/>
        </w:rPr>
        <w:t>) of 2.23, although this result approaches but does not reach statistical significance (</w:t>
      </w:r>
      <w:r w:rsidRPr="002729A0">
        <w:rPr>
          <w:rFonts w:ascii="Times New Roman" w:eastAsia="Times New Roman" w:hAnsi="Times New Roman" w:cs="Times New Roman"/>
          <w:i/>
          <w:iCs/>
          <w:color w:val="000000"/>
          <w:kern w:val="0"/>
          <w:lang w:val="en-GB"/>
          <w14:ligatures w14:val="none"/>
        </w:rPr>
        <w:t>p</w:t>
      </w:r>
      <w:r w:rsidRPr="002729A0">
        <w:rPr>
          <w:rFonts w:ascii="Times New Roman" w:eastAsia="Times New Roman" w:hAnsi="Times New Roman" w:cs="Times New Roman"/>
          <w:color w:val="000000"/>
          <w:kern w:val="0"/>
          <w:lang w:val="en-GB"/>
          <w14:ligatures w14:val="none"/>
        </w:rPr>
        <w:t>=0.078).</w:t>
      </w:r>
    </w:p>
    <w:p w14:paraId="50607B92" w14:textId="4A4E5ED2"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Next, hearing about PHE preparedness also impacts preparedness levels. Those who have heard about PHE preparedness </w:t>
      </w:r>
      <w:r w:rsidR="00C807FB"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much more likely to be prepared, but in the adjusted model, the effect is not statistically significant (</w:t>
      </w:r>
      <w:proofErr w:type="spellStart"/>
      <w:r w:rsidR="00FB3B07" w:rsidRPr="002729A0">
        <w:rPr>
          <w:rFonts w:ascii="Times New Roman" w:eastAsia="Times New Roman" w:hAnsi="Times New Roman" w:cs="Times New Roman"/>
          <w:color w:val="000000"/>
          <w:kern w:val="0"/>
          <w:lang w:val="en-GB"/>
          <w14:ligatures w14:val="none"/>
        </w:rPr>
        <w:t>a</w:t>
      </w:r>
      <w:r w:rsidRPr="002729A0">
        <w:rPr>
          <w:rFonts w:ascii="Times New Roman" w:eastAsia="Times New Roman" w:hAnsi="Times New Roman" w:cs="Times New Roman"/>
          <w:color w:val="000000"/>
          <w:kern w:val="0"/>
          <w:lang w:val="en-GB"/>
          <w14:ligatures w14:val="none"/>
        </w:rPr>
        <w:t>OR</w:t>
      </w:r>
      <w:proofErr w:type="spellEnd"/>
      <w:r w:rsidRPr="002729A0">
        <w:rPr>
          <w:rFonts w:ascii="Times New Roman" w:eastAsia="Times New Roman" w:hAnsi="Times New Roman" w:cs="Times New Roman"/>
          <w:color w:val="000000"/>
          <w:kern w:val="0"/>
          <w:lang w:val="en-GB"/>
          <w14:ligatures w14:val="none"/>
        </w:rPr>
        <w:t xml:space="preserve">=1.29, </w:t>
      </w:r>
      <w:r w:rsidRPr="002729A0">
        <w:rPr>
          <w:rFonts w:ascii="Times New Roman" w:eastAsia="Times New Roman" w:hAnsi="Times New Roman" w:cs="Times New Roman"/>
          <w:i/>
          <w:iCs/>
          <w:color w:val="000000"/>
          <w:kern w:val="0"/>
          <w:lang w:val="en-GB"/>
          <w14:ligatures w14:val="none"/>
        </w:rPr>
        <w:t>p</w:t>
      </w:r>
      <w:r w:rsidRPr="002729A0">
        <w:rPr>
          <w:rFonts w:ascii="Times New Roman" w:eastAsia="Times New Roman" w:hAnsi="Times New Roman" w:cs="Times New Roman"/>
          <w:color w:val="000000"/>
          <w:kern w:val="0"/>
          <w:lang w:val="en-GB"/>
          <w14:ligatures w14:val="none"/>
        </w:rPr>
        <w:t>=0.612).</w:t>
      </w:r>
    </w:p>
    <w:p w14:paraId="20717A11" w14:textId="129A9C39"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xml:space="preserve">Moving to the frequency of experiencing PHE events, residents who have experienced these events more frequently show different preparedness levels compared to those with less frequent or no experiences. Notably, those who have never experienced a PHE event </w:t>
      </w:r>
      <w:r w:rsidR="00C807FB"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more likely to be prepared than those with more frequent experiences, though the adjusted odds </w:t>
      </w:r>
      <w:r w:rsidR="003C5A3D"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not significant (</w:t>
      </w:r>
      <w:proofErr w:type="spellStart"/>
      <w:r w:rsidR="00FB3B07" w:rsidRPr="002729A0">
        <w:rPr>
          <w:rFonts w:ascii="Times New Roman" w:eastAsia="Times New Roman" w:hAnsi="Times New Roman" w:cs="Times New Roman"/>
          <w:color w:val="000000"/>
          <w:kern w:val="0"/>
          <w:lang w:val="en-GB"/>
          <w14:ligatures w14:val="none"/>
        </w:rPr>
        <w:t>a</w:t>
      </w:r>
      <w:r w:rsidRPr="002729A0">
        <w:rPr>
          <w:rFonts w:ascii="Times New Roman" w:eastAsia="Times New Roman" w:hAnsi="Times New Roman" w:cs="Times New Roman"/>
          <w:color w:val="000000"/>
          <w:kern w:val="0"/>
          <w:lang w:val="en-GB"/>
          <w14:ligatures w14:val="none"/>
        </w:rPr>
        <w:t>OR</w:t>
      </w:r>
      <w:proofErr w:type="spellEnd"/>
      <w:r w:rsidRPr="002729A0">
        <w:rPr>
          <w:rFonts w:ascii="Times New Roman" w:eastAsia="Times New Roman" w:hAnsi="Times New Roman" w:cs="Times New Roman"/>
          <w:color w:val="000000"/>
          <w:kern w:val="0"/>
          <w:lang w:val="en-GB"/>
          <w14:ligatures w14:val="none"/>
        </w:rPr>
        <w:t xml:space="preserve">=3.59, </w:t>
      </w:r>
      <w:r w:rsidRPr="002729A0">
        <w:rPr>
          <w:rFonts w:ascii="Times New Roman" w:eastAsia="Times New Roman" w:hAnsi="Times New Roman" w:cs="Times New Roman"/>
          <w:i/>
          <w:iCs/>
          <w:color w:val="000000"/>
          <w:kern w:val="0"/>
          <w:lang w:val="en-GB"/>
          <w14:ligatures w14:val="none"/>
        </w:rPr>
        <w:t>p</w:t>
      </w:r>
      <w:r w:rsidRPr="002729A0">
        <w:rPr>
          <w:rFonts w:ascii="Times New Roman" w:eastAsia="Times New Roman" w:hAnsi="Times New Roman" w:cs="Times New Roman"/>
          <w:color w:val="000000"/>
          <w:kern w:val="0"/>
          <w:lang w:val="en-GB"/>
          <w14:ligatures w14:val="none"/>
        </w:rPr>
        <w:t>=0.126).</w:t>
      </w:r>
    </w:p>
    <w:p w14:paraId="3C64927A" w14:textId="2CFCBD13" w:rsidR="00D66F86" w:rsidRPr="002729A0" w:rsidRDefault="00D66F86"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Regarding knowledge of what to do in case of a PHE event, this is a critical factor</w:t>
      </w:r>
      <w:bookmarkStart w:id="18" w:name="_Hlk173409919"/>
      <w:r w:rsidRPr="002729A0">
        <w:rPr>
          <w:rFonts w:ascii="Times New Roman" w:eastAsia="Times New Roman" w:hAnsi="Times New Roman" w:cs="Times New Roman"/>
          <w:color w:val="000000"/>
          <w:kern w:val="0"/>
          <w:lang w:val="en-GB"/>
          <w14:ligatures w14:val="none"/>
        </w:rPr>
        <w:t xml:space="preserve">. Respondents who know what actions to take </w:t>
      </w:r>
      <w:r w:rsidR="003C5A3D"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significantly more likely to be prepared, with an AOR of 5.81, indicating a high level of preparedness (</w:t>
      </w:r>
      <w:r w:rsidRPr="002729A0">
        <w:rPr>
          <w:rFonts w:ascii="Times New Roman" w:eastAsia="Times New Roman" w:hAnsi="Times New Roman" w:cs="Times New Roman"/>
          <w:i/>
          <w:iCs/>
          <w:color w:val="000000"/>
          <w:kern w:val="0"/>
          <w:lang w:val="en-GB"/>
          <w14:ligatures w14:val="none"/>
        </w:rPr>
        <w:t>p</w:t>
      </w:r>
      <w:r w:rsidRPr="002729A0">
        <w:rPr>
          <w:rFonts w:ascii="Times New Roman" w:eastAsia="Times New Roman" w:hAnsi="Times New Roman" w:cs="Times New Roman"/>
          <w:color w:val="000000"/>
          <w:kern w:val="0"/>
          <w:lang w:val="en-GB"/>
          <w14:ligatures w14:val="none"/>
        </w:rPr>
        <w:t>&lt;0.001).</w:t>
      </w:r>
      <w:bookmarkEnd w:id="18"/>
    </w:p>
    <w:p w14:paraId="795423EA" w14:textId="10CA825E" w:rsidR="00D66F86" w:rsidRPr="002729A0" w:rsidRDefault="00D66F86" w:rsidP="002729A0">
      <w:pPr>
        <w:spacing w:after="0" w:line="240" w:lineRule="auto"/>
        <w:jc w:val="both"/>
        <w:rPr>
          <w:rFonts w:ascii="Times New Roman" w:eastAsia="SimSun" w:hAnsi="Times New Roman" w:cs="Times New Roman"/>
          <w:i/>
          <w:iCs/>
          <w:kern w:val="0"/>
          <w:lang w:val="en-GB"/>
          <w14:ligatures w14:val="none"/>
        </w:rPr>
      </w:pPr>
      <w:r w:rsidRPr="002729A0">
        <w:rPr>
          <w:rFonts w:ascii="Times New Roman" w:eastAsia="Times New Roman" w:hAnsi="Times New Roman" w:cs="Times New Roman"/>
          <w:color w:val="000000"/>
          <w:kern w:val="0"/>
          <w:lang w:val="en-GB"/>
          <w14:ligatures w14:val="none"/>
        </w:rPr>
        <w:t xml:space="preserve">Similarly, having a communication plan in place is a crucial determinant of preparedness. Respondents with a communication plan </w:t>
      </w:r>
      <w:r w:rsidR="003C5A3D"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substantially more likely to be prepared, with an </w:t>
      </w:r>
      <w:proofErr w:type="spellStart"/>
      <w:r w:rsidR="00FB3B07" w:rsidRPr="002729A0">
        <w:rPr>
          <w:rFonts w:ascii="Times New Roman" w:eastAsia="Times New Roman" w:hAnsi="Times New Roman" w:cs="Times New Roman"/>
          <w:color w:val="000000"/>
          <w:kern w:val="0"/>
          <w:lang w:val="en-GB"/>
          <w14:ligatures w14:val="none"/>
        </w:rPr>
        <w:t>a</w:t>
      </w:r>
      <w:r w:rsidRPr="002729A0">
        <w:rPr>
          <w:rFonts w:ascii="Times New Roman" w:eastAsia="Times New Roman" w:hAnsi="Times New Roman" w:cs="Times New Roman"/>
          <w:color w:val="000000"/>
          <w:kern w:val="0"/>
          <w:lang w:val="en-GB"/>
          <w14:ligatures w14:val="none"/>
        </w:rPr>
        <w:t>OR</w:t>
      </w:r>
      <w:proofErr w:type="spellEnd"/>
      <w:r w:rsidRPr="002729A0">
        <w:rPr>
          <w:rFonts w:ascii="Times New Roman" w:eastAsia="Times New Roman" w:hAnsi="Times New Roman" w:cs="Times New Roman"/>
          <w:color w:val="000000"/>
          <w:kern w:val="0"/>
          <w:lang w:val="en-GB"/>
          <w14:ligatures w14:val="none"/>
        </w:rPr>
        <w:t xml:space="preserve"> of 7.74 (</w:t>
      </w:r>
      <w:r w:rsidRPr="002729A0">
        <w:rPr>
          <w:rFonts w:ascii="Times New Roman" w:eastAsia="Times New Roman" w:hAnsi="Times New Roman" w:cs="Times New Roman"/>
          <w:i/>
          <w:iCs/>
          <w:color w:val="000000"/>
          <w:kern w:val="0"/>
          <w:lang w:val="en-GB"/>
          <w14:ligatures w14:val="none"/>
        </w:rPr>
        <w:t>p</w:t>
      </w:r>
      <w:r w:rsidRPr="002729A0">
        <w:rPr>
          <w:rFonts w:ascii="Times New Roman" w:eastAsia="Times New Roman" w:hAnsi="Times New Roman" w:cs="Times New Roman"/>
          <w:color w:val="000000"/>
          <w:kern w:val="0"/>
          <w:lang w:val="en-GB"/>
          <w14:ligatures w14:val="none"/>
        </w:rPr>
        <w:t xml:space="preserve">&lt;0.001). </w:t>
      </w:r>
      <w:r w:rsidRPr="002729A0">
        <w:rPr>
          <w:rFonts w:ascii="Times New Roman" w:eastAsia="Times New Roman" w:hAnsi="Times New Roman" w:cs="Times New Roman"/>
          <w:kern w:val="0"/>
          <w:lang w:val="en-GB"/>
          <w14:ligatures w14:val="none"/>
        </w:rPr>
        <w:t xml:space="preserve">Additionally, how frequently residents get information about PHE events also affects preparedness. Those who always get information </w:t>
      </w:r>
      <w:r w:rsidR="00CB74BA" w:rsidRPr="002729A0">
        <w:rPr>
          <w:rFonts w:ascii="Times New Roman" w:eastAsia="Times New Roman" w:hAnsi="Times New Roman" w:cs="Times New Roman"/>
          <w:kern w:val="0"/>
          <w:lang w:val="en-GB"/>
          <w14:ligatures w14:val="none"/>
        </w:rPr>
        <w:t>were</w:t>
      </w:r>
      <w:r w:rsidRPr="002729A0">
        <w:rPr>
          <w:rFonts w:ascii="Times New Roman" w:eastAsia="Times New Roman" w:hAnsi="Times New Roman" w:cs="Times New Roman"/>
          <w:kern w:val="0"/>
          <w:lang w:val="en-GB"/>
          <w14:ligatures w14:val="none"/>
        </w:rPr>
        <w:t xml:space="preserve"> more likely to be prepared compared to those who sometimes or never get information, although the adjusted odds for sometimes and never </w:t>
      </w:r>
      <w:r w:rsidR="00CB74BA" w:rsidRPr="002729A0">
        <w:rPr>
          <w:rFonts w:ascii="Times New Roman" w:eastAsia="Times New Roman" w:hAnsi="Times New Roman" w:cs="Times New Roman"/>
          <w:kern w:val="0"/>
          <w:lang w:val="en-GB"/>
          <w14:ligatures w14:val="none"/>
        </w:rPr>
        <w:t>were</w:t>
      </w:r>
      <w:r w:rsidRPr="002729A0">
        <w:rPr>
          <w:rFonts w:ascii="Times New Roman" w:eastAsia="Times New Roman" w:hAnsi="Times New Roman" w:cs="Times New Roman"/>
          <w:kern w:val="0"/>
          <w:lang w:val="en-GB"/>
          <w14:ligatures w14:val="none"/>
        </w:rPr>
        <w:t xml:space="preserve"> not statistically significant (</w:t>
      </w:r>
      <w:proofErr w:type="spellStart"/>
      <w:r w:rsidR="00FB3B07" w:rsidRPr="002729A0">
        <w:rPr>
          <w:rFonts w:ascii="Times New Roman" w:eastAsia="Times New Roman" w:hAnsi="Times New Roman" w:cs="Times New Roman"/>
          <w:kern w:val="0"/>
          <w:lang w:val="en-GB"/>
          <w14:ligatures w14:val="none"/>
        </w:rPr>
        <w:t>a</w:t>
      </w:r>
      <w:r w:rsidRPr="002729A0">
        <w:rPr>
          <w:rFonts w:ascii="Times New Roman" w:eastAsia="Times New Roman" w:hAnsi="Times New Roman" w:cs="Times New Roman"/>
          <w:kern w:val="0"/>
          <w:lang w:val="en-GB"/>
          <w14:ligatures w14:val="none"/>
        </w:rPr>
        <w:t>OR</w:t>
      </w:r>
      <w:proofErr w:type="spellEnd"/>
      <w:r w:rsidRPr="002729A0">
        <w:rPr>
          <w:rFonts w:ascii="Times New Roman" w:eastAsia="Times New Roman" w:hAnsi="Times New Roman" w:cs="Times New Roman"/>
          <w:kern w:val="0"/>
          <w:lang w:val="en-GB"/>
          <w14:ligatures w14:val="none"/>
        </w:rPr>
        <w:t xml:space="preserve">=0.73, </w:t>
      </w:r>
      <w:r w:rsidRPr="002729A0">
        <w:rPr>
          <w:rFonts w:ascii="Times New Roman" w:eastAsia="Times New Roman" w:hAnsi="Times New Roman" w:cs="Times New Roman"/>
          <w:i/>
          <w:iCs/>
          <w:kern w:val="0"/>
          <w:lang w:val="en-GB"/>
          <w14:ligatures w14:val="none"/>
        </w:rPr>
        <w:t>p</w:t>
      </w:r>
      <w:r w:rsidRPr="002729A0">
        <w:rPr>
          <w:rFonts w:ascii="Times New Roman" w:eastAsia="Times New Roman" w:hAnsi="Times New Roman" w:cs="Times New Roman"/>
          <w:kern w:val="0"/>
          <w:lang w:val="en-GB"/>
          <w14:ligatures w14:val="none"/>
        </w:rPr>
        <w:t xml:space="preserve">=0.43; </w:t>
      </w:r>
      <w:proofErr w:type="spellStart"/>
      <w:r w:rsidR="00FB3B07" w:rsidRPr="002729A0">
        <w:rPr>
          <w:rFonts w:ascii="Times New Roman" w:eastAsia="Times New Roman" w:hAnsi="Times New Roman" w:cs="Times New Roman"/>
          <w:kern w:val="0"/>
          <w:lang w:val="en-GB"/>
          <w14:ligatures w14:val="none"/>
        </w:rPr>
        <w:t>a</w:t>
      </w:r>
      <w:r w:rsidRPr="002729A0">
        <w:rPr>
          <w:rFonts w:ascii="Times New Roman" w:eastAsia="Times New Roman" w:hAnsi="Times New Roman" w:cs="Times New Roman"/>
          <w:kern w:val="0"/>
          <w:lang w:val="en-GB"/>
          <w14:ligatures w14:val="none"/>
        </w:rPr>
        <w:t>OR</w:t>
      </w:r>
      <w:proofErr w:type="spellEnd"/>
      <w:r w:rsidRPr="002729A0">
        <w:rPr>
          <w:rFonts w:ascii="Times New Roman" w:eastAsia="Times New Roman" w:hAnsi="Times New Roman" w:cs="Times New Roman"/>
          <w:kern w:val="0"/>
          <w:lang w:val="en-GB"/>
          <w14:ligatures w14:val="none"/>
        </w:rPr>
        <w:t xml:space="preserve">=0.74, </w:t>
      </w:r>
      <w:r w:rsidRPr="002729A0">
        <w:rPr>
          <w:rFonts w:ascii="Times New Roman" w:eastAsia="Times New Roman" w:hAnsi="Times New Roman" w:cs="Times New Roman"/>
          <w:i/>
          <w:iCs/>
          <w:kern w:val="0"/>
          <w:lang w:val="en-GB"/>
          <w14:ligatures w14:val="none"/>
        </w:rPr>
        <w:t>p</w:t>
      </w:r>
      <w:r w:rsidRPr="002729A0">
        <w:rPr>
          <w:rFonts w:ascii="Times New Roman" w:eastAsia="Times New Roman" w:hAnsi="Times New Roman" w:cs="Times New Roman"/>
          <w:kern w:val="0"/>
          <w:lang w:val="en-GB"/>
          <w14:ligatures w14:val="none"/>
        </w:rPr>
        <w:t xml:space="preserve">=0.611, respectively). </w:t>
      </w:r>
      <w:r w:rsidRPr="002729A0">
        <w:rPr>
          <w:rFonts w:ascii="Times New Roman" w:eastAsia="SimSun" w:hAnsi="Times New Roman" w:cs="Times New Roman"/>
          <w:i/>
          <w:iCs/>
          <w:kern w:val="0"/>
          <w:lang w:val="en-GB"/>
          <w14:ligatures w14:val="none"/>
        </w:rPr>
        <w:t xml:space="preserve"> </w:t>
      </w:r>
    </w:p>
    <w:p w14:paraId="43784D3D" w14:textId="51031838" w:rsidR="00A80C42" w:rsidRPr="002729A0" w:rsidRDefault="00D66F86" w:rsidP="0027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Times New Roman" w:eastAsia="Times New Roman" w:hAnsi="Times New Roman" w:cs="Times New Roman"/>
          <w:color w:val="000000"/>
          <w:kern w:val="0"/>
          <w:lang w:val="en-GB"/>
          <w14:ligatures w14:val="none"/>
        </w:rPr>
        <w:sectPr w:rsidR="00A80C42" w:rsidRPr="002729A0" w:rsidSect="002729A0">
          <w:type w:val="continuous"/>
          <w:pgSz w:w="11906" w:h="16838"/>
          <w:pgMar w:top="1440" w:right="1440" w:bottom="1440" w:left="1440" w:header="708" w:footer="708" w:gutter="0"/>
          <w:cols w:space="708"/>
          <w:docGrid w:linePitch="360"/>
        </w:sectPr>
      </w:pPr>
      <w:r w:rsidRPr="002729A0">
        <w:rPr>
          <w:rFonts w:ascii="Times New Roman" w:eastAsia="Times New Roman" w:hAnsi="Times New Roman" w:cs="Times New Roman"/>
          <w:color w:val="000000"/>
          <w:kern w:val="0"/>
          <w:lang w:val="en-GB"/>
          <w14:ligatures w14:val="none"/>
        </w:rPr>
        <w:t xml:space="preserve">Government staff checking the effects of PHE in the community is another significant factor. Communities where government staff regularly check on PHE effects </w:t>
      </w:r>
      <w:r w:rsidR="00CB74BA" w:rsidRPr="002729A0">
        <w:rPr>
          <w:rFonts w:ascii="Times New Roman" w:eastAsia="Times New Roman" w:hAnsi="Times New Roman" w:cs="Times New Roman"/>
          <w:color w:val="000000"/>
          <w:kern w:val="0"/>
          <w:lang w:val="en-GB"/>
          <w14:ligatures w14:val="none"/>
        </w:rPr>
        <w:t>wer</w:t>
      </w:r>
      <w:r w:rsidRPr="002729A0">
        <w:rPr>
          <w:rFonts w:ascii="Times New Roman" w:eastAsia="Times New Roman" w:hAnsi="Times New Roman" w:cs="Times New Roman"/>
          <w:color w:val="000000"/>
          <w:kern w:val="0"/>
          <w:lang w:val="en-GB"/>
          <w14:ligatures w14:val="none"/>
        </w:rPr>
        <w:t xml:space="preserve">e significantly more prepared, with an </w:t>
      </w:r>
      <w:proofErr w:type="spellStart"/>
      <w:r w:rsidR="00D743E1" w:rsidRPr="002729A0">
        <w:rPr>
          <w:rFonts w:ascii="Times New Roman" w:eastAsia="Times New Roman" w:hAnsi="Times New Roman" w:cs="Times New Roman"/>
          <w:color w:val="000000"/>
          <w:kern w:val="0"/>
          <w:lang w:val="en-GB"/>
          <w14:ligatures w14:val="none"/>
        </w:rPr>
        <w:t>a</w:t>
      </w:r>
      <w:r w:rsidRPr="002729A0">
        <w:rPr>
          <w:rFonts w:ascii="Times New Roman" w:eastAsia="Times New Roman" w:hAnsi="Times New Roman" w:cs="Times New Roman"/>
          <w:color w:val="000000"/>
          <w:kern w:val="0"/>
          <w:lang w:val="en-GB"/>
          <w14:ligatures w14:val="none"/>
        </w:rPr>
        <w:t>OR</w:t>
      </w:r>
      <w:proofErr w:type="spellEnd"/>
      <w:r w:rsidRPr="002729A0">
        <w:rPr>
          <w:rFonts w:ascii="Times New Roman" w:eastAsia="Times New Roman" w:hAnsi="Times New Roman" w:cs="Times New Roman"/>
          <w:color w:val="000000"/>
          <w:kern w:val="0"/>
          <w:lang w:val="en-GB"/>
          <w14:ligatures w14:val="none"/>
        </w:rPr>
        <w:t xml:space="preserve"> of 6.19 (</w:t>
      </w:r>
      <w:r w:rsidRPr="002729A0">
        <w:rPr>
          <w:rFonts w:ascii="Times New Roman" w:eastAsia="Times New Roman" w:hAnsi="Times New Roman" w:cs="Times New Roman"/>
          <w:i/>
          <w:iCs/>
          <w:color w:val="000000"/>
          <w:kern w:val="0"/>
          <w:lang w:val="en-GB"/>
          <w14:ligatures w14:val="none"/>
        </w:rPr>
        <w:t>p</w:t>
      </w:r>
      <w:r w:rsidRPr="002729A0">
        <w:rPr>
          <w:rFonts w:ascii="Times New Roman" w:eastAsia="Times New Roman" w:hAnsi="Times New Roman" w:cs="Times New Roman"/>
          <w:color w:val="000000"/>
          <w:kern w:val="0"/>
          <w:lang w:val="en-GB"/>
          <w14:ligatures w14:val="none"/>
        </w:rPr>
        <w:t>&lt;0.001)</w:t>
      </w:r>
      <w:r w:rsidRPr="002729A0">
        <w:rPr>
          <w:rFonts w:ascii="Times New Roman" w:eastAsia="SimSun" w:hAnsi="Times New Roman" w:cs="Times New Roman"/>
          <w:i/>
          <w:iCs/>
          <w:color w:val="000000"/>
          <w:kern w:val="0"/>
          <w:lang w:val="en-GB"/>
          <w14:ligatures w14:val="none"/>
        </w:rPr>
        <w:t xml:space="preserve">. </w:t>
      </w:r>
      <w:r w:rsidRPr="002729A0">
        <w:rPr>
          <w:rFonts w:ascii="Times New Roman" w:eastAsia="Times New Roman" w:hAnsi="Times New Roman" w:cs="Times New Roman"/>
          <w:color w:val="000000"/>
          <w:kern w:val="0"/>
          <w:lang w:val="en-GB"/>
          <w14:ligatures w14:val="none"/>
        </w:rPr>
        <w:t xml:space="preserve">Training on PHE response and preparedness also plays a role. Communities with more members trained on PHE response </w:t>
      </w:r>
      <w:r w:rsidR="00805B41"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better prepared, though in the adjusted model, the significance varies. For instance, those with fewer than 50 members trained serve as the reference group, and higher numbers of trained members show increased preparedness but with varying significance levels. Lastly, sources of information about PHE significantly influence preparedness. Residents who get their information from community health volunteers (CHVs) or leaders </w:t>
      </w:r>
      <w:r w:rsidR="00805B41"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less likely to be prepared compared to those who use radios or TVs, although the adjusted odds for CHVs and leaders </w:t>
      </w:r>
      <w:r w:rsidR="00805B41" w:rsidRPr="002729A0">
        <w:rPr>
          <w:rFonts w:ascii="Times New Roman" w:eastAsia="Times New Roman" w:hAnsi="Times New Roman" w:cs="Times New Roman"/>
          <w:color w:val="000000"/>
          <w:kern w:val="0"/>
          <w:lang w:val="en-GB"/>
          <w14:ligatures w14:val="none"/>
        </w:rPr>
        <w:t>were</w:t>
      </w:r>
      <w:r w:rsidRPr="002729A0">
        <w:rPr>
          <w:rFonts w:ascii="Times New Roman" w:eastAsia="Times New Roman" w:hAnsi="Times New Roman" w:cs="Times New Roman"/>
          <w:color w:val="000000"/>
          <w:kern w:val="0"/>
          <w:lang w:val="en-GB"/>
          <w14:ligatures w14:val="none"/>
        </w:rPr>
        <w:t xml:space="preserve"> not significant (</w:t>
      </w:r>
      <w:proofErr w:type="spellStart"/>
      <w:r w:rsidR="00DF2B64" w:rsidRPr="002729A0">
        <w:rPr>
          <w:rFonts w:ascii="Times New Roman" w:eastAsia="Times New Roman" w:hAnsi="Times New Roman" w:cs="Times New Roman"/>
          <w:b/>
          <w:bCs/>
          <w:color w:val="000000"/>
          <w:kern w:val="0"/>
          <w:lang w:val="en-GB"/>
          <w14:ligatures w14:val="none"/>
        </w:rPr>
        <w:t>a</w:t>
      </w:r>
      <w:r w:rsidRPr="002729A0">
        <w:rPr>
          <w:rFonts w:ascii="Times New Roman" w:eastAsia="Times New Roman" w:hAnsi="Times New Roman" w:cs="Times New Roman"/>
          <w:color w:val="000000"/>
          <w:kern w:val="0"/>
          <w:lang w:val="en-GB"/>
          <w14:ligatures w14:val="none"/>
        </w:rPr>
        <w:t>OR</w:t>
      </w:r>
      <w:proofErr w:type="spellEnd"/>
      <w:r w:rsidRPr="002729A0">
        <w:rPr>
          <w:rFonts w:ascii="Times New Roman" w:eastAsia="Times New Roman" w:hAnsi="Times New Roman" w:cs="Times New Roman"/>
          <w:color w:val="000000"/>
          <w:kern w:val="0"/>
          <w:lang w:val="en-GB"/>
          <w14:ligatures w14:val="none"/>
        </w:rPr>
        <w:t xml:space="preserve">=0.65, </w:t>
      </w:r>
      <w:r w:rsidRPr="002729A0">
        <w:rPr>
          <w:rFonts w:ascii="Times New Roman" w:eastAsia="Times New Roman" w:hAnsi="Times New Roman" w:cs="Times New Roman"/>
          <w:i/>
          <w:iCs/>
          <w:color w:val="000000"/>
          <w:kern w:val="0"/>
          <w:lang w:val="en-GB"/>
          <w14:ligatures w14:val="none"/>
        </w:rPr>
        <w:t>p</w:t>
      </w:r>
      <w:r w:rsidRPr="002729A0">
        <w:rPr>
          <w:rFonts w:ascii="Times New Roman" w:eastAsia="Times New Roman" w:hAnsi="Times New Roman" w:cs="Times New Roman"/>
          <w:color w:val="000000"/>
          <w:kern w:val="0"/>
          <w:lang w:val="en-GB"/>
          <w14:ligatures w14:val="none"/>
        </w:rPr>
        <w:t xml:space="preserve">=0.295; </w:t>
      </w:r>
      <w:proofErr w:type="spellStart"/>
      <w:r w:rsidR="00DF2B64" w:rsidRPr="002729A0">
        <w:rPr>
          <w:rFonts w:ascii="Times New Roman" w:eastAsia="Times New Roman" w:hAnsi="Times New Roman" w:cs="Times New Roman"/>
          <w:color w:val="000000"/>
          <w:kern w:val="0"/>
          <w:lang w:val="en-GB"/>
          <w14:ligatures w14:val="none"/>
        </w:rPr>
        <w:t>a</w:t>
      </w:r>
      <w:r w:rsidRPr="002729A0">
        <w:rPr>
          <w:rFonts w:ascii="Times New Roman" w:eastAsia="Times New Roman" w:hAnsi="Times New Roman" w:cs="Times New Roman"/>
          <w:color w:val="000000"/>
          <w:kern w:val="0"/>
          <w:lang w:val="en-GB"/>
          <w14:ligatures w14:val="none"/>
        </w:rPr>
        <w:t>OR</w:t>
      </w:r>
      <w:proofErr w:type="spellEnd"/>
      <w:r w:rsidRPr="002729A0">
        <w:rPr>
          <w:rFonts w:ascii="Times New Roman" w:eastAsia="Times New Roman" w:hAnsi="Times New Roman" w:cs="Times New Roman"/>
          <w:color w:val="000000"/>
          <w:kern w:val="0"/>
          <w:lang w:val="en-GB"/>
          <w14:ligatures w14:val="none"/>
        </w:rPr>
        <w:t xml:space="preserve">=0.44, </w:t>
      </w:r>
      <w:r w:rsidRPr="002729A0">
        <w:rPr>
          <w:rFonts w:ascii="Times New Roman" w:eastAsia="Times New Roman" w:hAnsi="Times New Roman" w:cs="Times New Roman"/>
          <w:i/>
          <w:iCs/>
          <w:color w:val="000000"/>
          <w:kern w:val="0"/>
          <w:lang w:val="en-GB"/>
          <w14:ligatures w14:val="none"/>
        </w:rPr>
        <w:t>p</w:t>
      </w:r>
      <w:r w:rsidRPr="002729A0">
        <w:rPr>
          <w:rFonts w:ascii="Times New Roman" w:eastAsia="Times New Roman" w:hAnsi="Times New Roman" w:cs="Times New Roman"/>
          <w:color w:val="000000"/>
          <w:kern w:val="0"/>
          <w:lang w:val="en-GB"/>
          <w14:ligatures w14:val="none"/>
        </w:rPr>
        <w:t>=0.399, respectively</w:t>
      </w:r>
    </w:p>
    <w:p w14:paraId="26249BDD" w14:textId="77777777" w:rsidR="00621032" w:rsidRPr="002729A0" w:rsidRDefault="00621032" w:rsidP="0027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Times New Roman" w:eastAsia="Times New Roman" w:hAnsi="Times New Roman" w:cs="Times New Roman"/>
          <w:color w:val="000000"/>
          <w:kern w:val="0"/>
          <w:lang w:val="en-GB"/>
          <w14:ligatures w14:val="none"/>
        </w:rPr>
      </w:pPr>
    </w:p>
    <w:p w14:paraId="491E772D" w14:textId="77777777" w:rsidR="00A80C42" w:rsidRPr="002729A0" w:rsidRDefault="00A80C42" w:rsidP="002729A0">
      <w:pPr>
        <w:keepNext/>
        <w:spacing w:after="200" w:line="240" w:lineRule="auto"/>
        <w:jc w:val="both"/>
        <w:rPr>
          <w:rFonts w:ascii="Times New Roman" w:eastAsia="SimSun" w:hAnsi="Times New Roman" w:cs="Times New Roman"/>
          <w:color w:val="000000"/>
          <w:kern w:val="0"/>
          <w:lang w:val="en-GB"/>
          <w14:ligatures w14:val="none"/>
        </w:rPr>
      </w:pPr>
      <w:bookmarkStart w:id="19" w:name="_Toc177471254"/>
      <w:r w:rsidRPr="002729A0">
        <w:rPr>
          <w:rFonts w:ascii="Times New Roman" w:eastAsia="SimSun" w:hAnsi="Times New Roman" w:cs="Times New Roman"/>
          <w:color w:val="000000"/>
          <w:kern w:val="0"/>
          <w:lang w:val="en-GB"/>
          <w14:ligatures w14:val="none"/>
        </w:rPr>
        <w:t>Table 3 Logistic Regression on Community awareness influencing Public Health Emergency preparedness, response capability and engagement in Kisumu County</w:t>
      </w:r>
      <w:bookmarkEnd w:id="19"/>
    </w:p>
    <w:tbl>
      <w:tblPr>
        <w:tblW w:w="5000" w:type="pct"/>
        <w:tblLook w:val="04A0" w:firstRow="1" w:lastRow="0" w:firstColumn="1" w:lastColumn="0" w:noHBand="0" w:noVBand="1"/>
      </w:tblPr>
      <w:tblGrid>
        <w:gridCol w:w="1006"/>
        <w:gridCol w:w="823"/>
        <w:gridCol w:w="1386"/>
        <w:gridCol w:w="1138"/>
        <w:gridCol w:w="906"/>
        <w:gridCol w:w="1279"/>
        <w:gridCol w:w="673"/>
        <w:gridCol w:w="1142"/>
        <w:gridCol w:w="673"/>
      </w:tblGrid>
      <w:tr w:rsidR="00A80C42" w:rsidRPr="002729A0" w14:paraId="709D781E" w14:textId="77777777" w:rsidTr="00C07747">
        <w:trPr>
          <w:trHeight w:val="340"/>
        </w:trPr>
        <w:tc>
          <w:tcPr>
            <w:tcW w:w="578" w:type="pct"/>
            <w:tcBorders>
              <w:top w:val="single" w:sz="4" w:space="0" w:color="auto"/>
              <w:left w:val="nil"/>
              <w:bottom w:val="single" w:sz="4" w:space="0" w:color="auto"/>
              <w:right w:val="nil"/>
            </w:tcBorders>
            <w:shd w:val="clear" w:color="auto" w:fill="auto"/>
            <w:noWrap/>
            <w:vAlign w:val="bottom"/>
            <w:hideMark/>
          </w:tcPr>
          <w:p w14:paraId="30CEDA62"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Variables</w:t>
            </w:r>
          </w:p>
        </w:tc>
        <w:tc>
          <w:tcPr>
            <w:tcW w:w="565" w:type="pct"/>
            <w:tcBorders>
              <w:top w:val="single" w:sz="4" w:space="0" w:color="auto"/>
              <w:left w:val="nil"/>
              <w:bottom w:val="single" w:sz="4" w:space="0" w:color="auto"/>
              <w:right w:val="nil"/>
            </w:tcBorders>
            <w:shd w:val="clear" w:color="auto" w:fill="auto"/>
            <w:noWrap/>
            <w:vAlign w:val="bottom"/>
            <w:hideMark/>
          </w:tcPr>
          <w:p w14:paraId="0A9C9DB3"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N (%)</w:t>
            </w:r>
          </w:p>
        </w:tc>
        <w:tc>
          <w:tcPr>
            <w:tcW w:w="565" w:type="pct"/>
            <w:tcBorders>
              <w:top w:val="single" w:sz="4" w:space="0" w:color="auto"/>
              <w:left w:val="nil"/>
              <w:bottom w:val="single" w:sz="4" w:space="0" w:color="auto"/>
              <w:right w:val="nil"/>
            </w:tcBorders>
            <w:shd w:val="clear" w:color="auto" w:fill="auto"/>
            <w:noWrap/>
            <w:vAlign w:val="bottom"/>
            <w:hideMark/>
          </w:tcPr>
          <w:p w14:paraId="355A8311"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Not Prepared n (%)</w:t>
            </w:r>
          </w:p>
        </w:tc>
        <w:tc>
          <w:tcPr>
            <w:tcW w:w="511" w:type="pct"/>
            <w:tcBorders>
              <w:top w:val="single" w:sz="4" w:space="0" w:color="auto"/>
              <w:left w:val="nil"/>
              <w:bottom w:val="single" w:sz="4" w:space="0" w:color="auto"/>
              <w:right w:val="nil"/>
            </w:tcBorders>
            <w:shd w:val="clear" w:color="auto" w:fill="auto"/>
            <w:noWrap/>
            <w:vAlign w:val="bottom"/>
            <w:hideMark/>
          </w:tcPr>
          <w:p w14:paraId="6C62EF00"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Prepared n (%)</w:t>
            </w:r>
          </w:p>
        </w:tc>
        <w:tc>
          <w:tcPr>
            <w:tcW w:w="460" w:type="pct"/>
            <w:tcBorders>
              <w:top w:val="single" w:sz="4" w:space="0" w:color="auto"/>
              <w:left w:val="nil"/>
              <w:bottom w:val="single" w:sz="4" w:space="0" w:color="auto"/>
              <w:right w:val="nil"/>
            </w:tcBorders>
            <w:shd w:val="clear" w:color="auto" w:fill="auto"/>
            <w:noWrap/>
            <w:vAlign w:val="bottom"/>
            <w:hideMark/>
          </w:tcPr>
          <w:p w14:paraId="2A77CC50"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 xml:space="preserve">Chi </w:t>
            </w:r>
            <w:r w:rsidRPr="002729A0">
              <w:rPr>
                <w:rFonts w:ascii="Times New Roman" w:eastAsia="Times New Roman" w:hAnsi="Times New Roman" w:cs="Times New Roman"/>
                <w:b/>
                <w:bCs/>
                <w:i/>
                <w:iCs/>
                <w:color w:val="000000"/>
                <w:kern w:val="0"/>
                <w:lang w:val="en-GB"/>
                <w14:ligatures w14:val="none"/>
              </w:rPr>
              <w:t>P</w:t>
            </w:r>
            <w:r w:rsidRPr="002729A0">
              <w:rPr>
                <w:rFonts w:ascii="Times New Roman" w:eastAsia="Times New Roman" w:hAnsi="Times New Roman" w:cs="Times New Roman"/>
                <w:b/>
                <w:bCs/>
                <w:color w:val="000000"/>
                <w:kern w:val="0"/>
                <w:lang w:val="en-GB"/>
                <w14:ligatures w14:val="none"/>
              </w:rPr>
              <w:t>-value</w:t>
            </w:r>
          </w:p>
        </w:tc>
        <w:tc>
          <w:tcPr>
            <w:tcW w:w="814" w:type="pct"/>
            <w:tcBorders>
              <w:top w:val="single" w:sz="4" w:space="0" w:color="auto"/>
              <w:left w:val="nil"/>
              <w:bottom w:val="single" w:sz="4" w:space="0" w:color="auto"/>
              <w:right w:val="nil"/>
            </w:tcBorders>
            <w:shd w:val="clear" w:color="auto" w:fill="auto"/>
            <w:noWrap/>
            <w:vAlign w:val="bottom"/>
            <w:hideMark/>
          </w:tcPr>
          <w:p w14:paraId="50E5CF89"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roofErr w:type="spellStart"/>
            <w:r w:rsidRPr="002729A0">
              <w:rPr>
                <w:rFonts w:ascii="Times New Roman" w:eastAsia="Times New Roman" w:hAnsi="Times New Roman" w:cs="Times New Roman"/>
                <w:b/>
                <w:bCs/>
                <w:color w:val="000000"/>
                <w:kern w:val="0"/>
                <w:lang w:val="en-GB"/>
                <w14:ligatures w14:val="none"/>
              </w:rPr>
              <w:t>cOR</w:t>
            </w:r>
            <w:proofErr w:type="spellEnd"/>
            <w:r w:rsidRPr="002729A0">
              <w:rPr>
                <w:rFonts w:ascii="Times New Roman" w:eastAsia="Times New Roman" w:hAnsi="Times New Roman" w:cs="Times New Roman"/>
                <w:b/>
                <w:bCs/>
                <w:color w:val="000000"/>
                <w:kern w:val="0"/>
                <w:lang w:val="en-GB"/>
                <w14:ligatures w14:val="none"/>
              </w:rPr>
              <w:t xml:space="preserve"> (95% CI)</w:t>
            </w:r>
          </w:p>
        </w:tc>
        <w:tc>
          <w:tcPr>
            <w:tcW w:w="441" w:type="pct"/>
            <w:tcBorders>
              <w:top w:val="single" w:sz="4" w:space="0" w:color="auto"/>
              <w:left w:val="nil"/>
              <w:bottom w:val="single" w:sz="4" w:space="0" w:color="auto"/>
              <w:right w:val="nil"/>
            </w:tcBorders>
            <w:shd w:val="clear" w:color="auto" w:fill="auto"/>
            <w:noWrap/>
            <w:vAlign w:val="bottom"/>
            <w:hideMark/>
          </w:tcPr>
          <w:p w14:paraId="1B5796A2"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i/>
                <w:iCs/>
                <w:color w:val="000000"/>
                <w:kern w:val="0"/>
                <w:lang w:val="en-GB"/>
                <w14:ligatures w14:val="none"/>
              </w:rPr>
              <w:t>p</w:t>
            </w:r>
            <w:r w:rsidRPr="002729A0">
              <w:rPr>
                <w:rFonts w:ascii="Times New Roman" w:eastAsia="Times New Roman" w:hAnsi="Times New Roman" w:cs="Times New Roman"/>
                <w:i/>
                <w:iCs/>
                <w:color w:val="000000"/>
                <w:kern w:val="0"/>
                <w:lang w:val="en-GB"/>
                <w14:ligatures w14:val="none"/>
              </w:rPr>
              <w:t>-</w:t>
            </w:r>
            <w:r w:rsidRPr="002729A0">
              <w:rPr>
                <w:rFonts w:ascii="Times New Roman" w:eastAsia="Times New Roman" w:hAnsi="Times New Roman" w:cs="Times New Roman"/>
                <w:b/>
                <w:bCs/>
                <w:color w:val="000000"/>
                <w:kern w:val="0"/>
                <w:lang w:val="en-GB"/>
                <w14:ligatures w14:val="none"/>
              </w:rPr>
              <w:t>Value</w:t>
            </w:r>
          </w:p>
        </w:tc>
        <w:tc>
          <w:tcPr>
            <w:tcW w:w="669" w:type="pct"/>
            <w:tcBorders>
              <w:top w:val="single" w:sz="4" w:space="0" w:color="auto"/>
              <w:left w:val="nil"/>
              <w:bottom w:val="single" w:sz="4" w:space="0" w:color="auto"/>
              <w:right w:val="nil"/>
            </w:tcBorders>
            <w:shd w:val="clear" w:color="auto" w:fill="auto"/>
            <w:noWrap/>
            <w:vAlign w:val="bottom"/>
            <w:hideMark/>
          </w:tcPr>
          <w:p w14:paraId="0A3A92DB"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roofErr w:type="spellStart"/>
            <w:r w:rsidRPr="002729A0">
              <w:rPr>
                <w:rFonts w:ascii="Times New Roman" w:eastAsia="Times New Roman" w:hAnsi="Times New Roman" w:cs="Times New Roman"/>
                <w:b/>
                <w:bCs/>
                <w:color w:val="000000"/>
                <w:kern w:val="0"/>
                <w:lang w:val="en-GB"/>
                <w14:ligatures w14:val="none"/>
              </w:rPr>
              <w:t>aOR</w:t>
            </w:r>
            <w:proofErr w:type="spellEnd"/>
            <w:r w:rsidRPr="002729A0">
              <w:rPr>
                <w:rFonts w:ascii="Times New Roman" w:eastAsia="Times New Roman" w:hAnsi="Times New Roman" w:cs="Times New Roman"/>
                <w:b/>
                <w:bCs/>
                <w:color w:val="000000"/>
                <w:kern w:val="0"/>
                <w:lang w:val="en-GB"/>
                <w14:ligatures w14:val="none"/>
              </w:rPr>
              <w:t xml:space="preserve"> (95% CI)</w:t>
            </w:r>
          </w:p>
        </w:tc>
        <w:tc>
          <w:tcPr>
            <w:tcW w:w="396" w:type="pct"/>
            <w:tcBorders>
              <w:top w:val="single" w:sz="4" w:space="0" w:color="auto"/>
              <w:left w:val="nil"/>
              <w:bottom w:val="single" w:sz="4" w:space="0" w:color="auto"/>
              <w:right w:val="nil"/>
            </w:tcBorders>
            <w:shd w:val="clear" w:color="auto" w:fill="auto"/>
            <w:noWrap/>
            <w:vAlign w:val="bottom"/>
            <w:hideMark/>
          </w:tcPr>
          <w:p w14:paraId="04209269"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i/>
                <w:iCs/>
                <w:color w:val="000000"/>
                <w:kern w:val="0"/>
                <w:lang w:val="en-GB"/>
                <w14:ligatures w14:val="none"/>
              </w:rPr>
              <w:t>p</w:t>
            </w:r>
            <w:r w:rsidRPr="002729A0">
              <w:rPr>
                <w:rFonts w:ascii="Times New Roman" w:eastAsia="Times New Roman" w:hAnsi="Times New Roman" w:cs="Times New Roman"/>
                <w:b/>
                <w:bCs/>
                <w:color w:val="000000"/>
                <w:kern w:val="0"/>
                <w:lang w:val="en-GB"/>
                <w14:ligatures w14:val="none"/>
              </w:rPr>
              <w:t>-Value</w:t>
            </w:r>
          </w:p>
        </w:tc>
      </w:tr>
      <w:tr w:rsidR="00A80C42" w:rsidRPr="002729A0" w14:paraId="45836653" w14:textId="77777777" w:rsidTr="00C07747">
        <w:trPr>
          <w:trHeight w:val="340"/>
        </w:trPr>
        <w:tc>
          <w:tcPr>
            <w:tcW w:w="1143" w:type="pct"/>
            <w:gridSpan w:val="2"/>
            <w:tcBorders>
              <w:top w:val="nil"/>
              <w:left w:val="nil"/>
              <w:bottom w:val="nil"/>
              <w:right w:val="nil"/>
            </w:tcBorders>
            <w:shd w:val="clear" w:color="auto" w:fill="auto"/>
            <w:noWrap/>
            <w:vAlign w:val="bottom"/>
            <w:hideMark/>
          </w:tcPr>
          <w:p w14:paraId="64161D05"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Know PHE/Disaster</w:t>
            </w:r>
          </w:p>
        </w:tc>
        <w:tc>
          <w:tcPr>
            <w:tcW w:w="565" w:type="pct"/>
            <w:tcBorders>
              <w:top w:val="nil"/>
              <w:left w:val="nil"/>
              <w:bottom w:val="nil"/>
              <w:right w:val="nil"/>
            </w:tcBorders>
            <w:shd w:val="clear" w:color="auto" w:fill="auto"/>
            <w:noWrap/>
            <w:vAlign w:val="bottom"/>
            <w:hideMark/>
          </w:tcPr>
          <w:p w14:paraId="3F64280D"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
        </w:tc>
        <w:tc>
          <w:tcPr>
            <w:tcW w:w="511" w:type="pct"/>
            <w:tcBorders>
              <w:top w:val="nil"/>
              <w:left w:val="nil"/>
              <w:bottom w:val="nil"/>
              <w:right w:val="nil"/>
            </w:tcBorders>
            <w:shd w:val="clear" w:color="auto" w:fill="auto"/>
            <w:noWrap/>
            <w:vAlign w:val="bottom"/>
            <w:hideMark/>
          </w:tcPr>
          <w:p w14:paraId="00614F6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460" w:type="pct"/>
            <w:tcBorders>
              <w:top w:val="nil"/>
              <w:left w:val="nil"/>
              <w:bottom w:val="nil"/>
              <w:right w:val="nil"/>
            </w:tcBorders>
            <w:shd w:val="clear" w:color="auto" w:fill="auto"/>
            <w:noWrap/>
            <w:vAlign w:val="bottom"/>
            <w:hideMark/>
          </w:tcPr>
          <w:p w14:paraId="302F92E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2C23B77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441" w:type="pct"/>
            <w:tcBorders>
              <w:top w:val="nil"/>
              <w:left w:val="nil"/>
              <w:bottom w:val="nil"/>
              <w:right w:val="nil"/>
            </w:tcBorders>
            <w:shd w:val="clear" w:color="auto" w:fill="auto"/>
            <w:noWrap/>
            <w:vAlign w:val="bottom"/>
            <w:hideMark/>
          </w:tcPr>
          <w:p w14:paraId="7142D2C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2B9E22F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396" w:type="pct"/>
            <w:tcBorders>
              <w:top w:val="nil"/>
              <w:left w:val="nil"/>
              <w:bottom w:val="nil"/>
              <w:right w:val="nil"/>
            </w:tcBorders>
            <w:shd w:val="clear" w:color="auto" w:fill="auto"/>
            <w:noWrap/>
            <w:vAlign w:val="bottom"/>
            <w:hideMark/>
          </w:tcPr>
          <w:p w14:paraId="6CB060E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1A96818A" w14:textId="77777777" w:rsidTr="00C07747">
        <w:trPr>
          <w:trHeight w:val="340"/>
        </w:trPr>
        <w:tc>
          <w:tcPr>
            <w:tcW w:w="578" w:type="pct"/>
            <w:tcBorders>
              <w:top w:val="nil"/>
              <w:left w:val="nil"/>
              <w:bottom w:val="nil"/>
              <w:right w:val="nil"/>
            </w:tcBorders>
            <w:shd w:val="clear" w:color="auto" w:fill="auto"/>
            <w:noWrap/>
            <w:vAlign w:val="bottom"/>
            <w:hideMark/>
          </w:tcPr>
          <w:p w14:paraId="5CF94C4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lastRenderedPageBreak/>
              <w:t>No</w:t>
            </w:r>
          </w:p>
        </w:tc>
        <w:tc>
          <w:tcPr>
            <w:tcW w:w="565" w:type="pct"/>
            <w:tcBorders>
              <w:top w:val="nil"/>
              <w:left w:val="nil"/>
              <w:bottom w:val="nil"/>
              <w:right w:val="nil"/>
            </w:tcBorders>
            <w:shd w:val="clear" w:color="auto" w:fill="auto"/>
            <w:noWrap/>
            <w:vAlign w:val="bottom"/>
            <w:hideMark/>
          </w:tcPr>
          <w:p w14:paraId="62F1111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113(22.29)</w:t>
            </w:r>
          </w:p>
        </w:tc>
        <w:tc>
          <w:tcPr>
            <w:tcW w:w="565" w:type="pct"/>
            <w:tcBorders>
              <w:top w:val="nil"/>
              <w:left w:val="nil"/>
              <w:bottom w:val="nil"/>
              <w:right w:val="nil"/>
            </w:tcBorders>
            <w:shd w:val="clear" w:color="auto" w:fill="auto"/>
            <w:noWrap/>
            <w:vAlign w:val="bottom"/>
            <w:hideMark/>
          </w:tcPr>
          <w:p w14:paraId="552AA25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94(83.19)</w:t>
            </w:r>
          </w:p>
        </w:tc>
        <w:tc>
          <w:tcPr>
            <w:tcW w:w="511" w:type="pct"/>
            <w:tcBorders>
              <w:top w:val="nil"/>
              <w:left w:val="nil"/>
              <w:bottom w:val="nil"/>
              <w:right w:val="nil"/>
            </w:tcBorders>
            <w:shd w:val="clear" w:color="auto" w:fill="auto"/>
            <w:noWrap/>
            <w:vAlign w:val="bottom"/>
            <w:hideMark/>
          </w:tcPr>
          <w:p w14:paraId="5FA383E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19(16.81)</w:t>
            </w:r>
          </w:p>
        </w:tc>
        <w:tc>
          <w:tcPr>
            <w:tcW w:w="460" w:type="pct"/>
            <w:tcBorders>
              <w:top w:val="nil"/>
              <w:left w:val="nil"/>
              <w:bottom w:val="nil"/>
              <w:right w:val="nil"/>
            </w:tcBorders>
            <w:shd w:val="clear" w:color="auto" w:fill="auto"/>
            <w:noWrap/>
            <w:vAlign w:val="bottom"/>
            <w:hideMark/>
          </w:tcPr>
          <w:p w14:paraId="1F091981"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814" w:type="pct"/>
            <w:tcBorders>
              <w:top w:val="nil"/>
              <w:left w:val="nil"/>
              <w:bottom w:val="nil"/>
              <w:right w:val="nil"/>
            </w:tcBorders>
            <w:shd w:val="clear" w:color="auto" w:fill="auto"/>
            <w:noWrap/>
            <w:vAlign w:val="bottom"/>
            <w:hideMark/>
          </w:tcPr>
          <w:p w14:paraId="3B242DC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441" w:type="pct"/>
            <w:tcBorders>
              <w:top w:val="nil"/>
              <w:left w:val="nil"/>
              <w:bottom w:val="nil"/>
              <w:right w:val="nil"/>
            </w:tcBorders>
            <w:shd w:val="clear" w:color="auto" w:fill="auto"/>
            <w:noWrap/>
            <w:vAlign w:val="bottom"/>
            <w:hideMark/>
          </w:tcPr>
          <w:p w14:paraId="75FBE7F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5BFE673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396" w:type="pct"/>
            <w:tcBorders>
              <w:top w:val="nil"/>
              <w:left w:val="nil"/>
              <w:bottom w:val="nil"/>
              <w:right w:val="nil"/>
            </w:tcBorders>
            <w:shd w:val="clear" w:color="auto" w:fill="auto"/>
            <w:noWrap/>
            <w:vAlign w:val="bottom"/>
            <w:hideMark/>
          </w:tcPr>
          <w:p w14:paraId="49CB62B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156E1185" w14:textId="77777777" w:rsidTr="00C07747">
        <w:trPr>
          <w:trHeight w:val="340"/>
        </w:trPr>
        <w:tc>
          <w:tcPr>
            <w:tcW w:w="578" w:type="pct"/>
            <w:tcBorders>
              <w:top w:val="nil"/>
              <w:left w:val="nil"/>
              <w:bottom w:val="nil"/>
              <w:right w:val="nil"/>
            </w:tcBorders>
            <w:shd w:val="clear" w:color="auto" w:fill="auto"/>
            <w:noWrap/>
            <w:vAlign w:val="bottom"/>
            <w:hideMark/>
          </w:tcPr>
          <w:p w14:paraId="1AF43F1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Yes</w:t>
            </w:r>
          </w:p>
        </w:tc>
        <w:tc>
          <w:tcPr>
            <w:tcW w:w="565" w:type="pct"/>
            <w:tcBorders>
              <w:top w:val="nil"/>
              <w:left w:val="nil"/>
              <w:bottom w:val="nil"/>
              <w:right w:val="nil"/>
            </w:tcBorders>
            <w:shd w:val="clear" w:color="auto" w:fill="auto"/>
            <w:noWrap/>
            <w:vAlign w:val="bottom"/>
            <w:hideMark/>
          </w:tcPr>
          <w:p w14:paraId="2723F79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394(77.71)</w:t>
            </w:r>
          </w:p>
        </w:tc>
        <w:tc>
          <w:tcPr>
            <w:tcW w:w="565" w:type="pct"/>
            <w:tcBorders>
              <w:top w:val="nil"/>
              <w:left w:val="nil"/>
              <w:bottom w:val="nil"/>
              <w:right w:val="nil"/>
            </w:tcBorders>
            <w:shd w:val="clear" w:color="auto" w:fill="auto"/>
            <w:noWrap/>
            <w:vAlign w:val="bottom"/>
            <w:hideMark/>
          </w:tcPr>
          <w:p w14:paraId="29DD5CB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171(43.4)</w:t>
            </w:r>
          </w:p>
        </w:tc>
        <w:tc>
          <w:tcPr>
            <w:tcW w:w="511" w:type="pct"/>
            <w:tcBorders>
              <w:top w:val="nil"/>
              <w:left w:val="nil"/>
              <w:bottom w:val="nil"/>
              <w:right w:val="nil"/>
            </w:tcBorders>
            <w:shd w:val="clear" w:color="auto" w:fill="auto"/>
            <w:noWrap/>
            <w:vAlign w:val="bottom"/>
            <w:hideMark/>
          </w:tcPr>
          <w:p w14:paraId="2C3A35D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223(56.6)</w:t>
            </w:r>
          </w:p>
        </w:tc>
        <w:tc>
          <w:tcPr>
            <w:tcW w:w="460" w:type="pct"/>
            <w:tcBorders>
              <w:top w:val="nil"/>
              <w:left w:val="nil"/>
              <w:bottom w:val="nil"/>
              <w:right w:val="nil"/>
            </w:tcBorders>
            <w:shd w:val="clear" w:color="auto" w:fill="auto"/>
            <w:noWrap/>
            <w:vAlign w:val="bottom"/>
            <w:hideMark/>
          </w:tcPr>
          <w:p w14:paraId="50313C4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0BE20CD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6.45(3.79-10.98)</w:t>
            </w:r>
          </w:p>
        </w:tc>
        <w:tc>
          <w:tcPr>
            <w:tcW w:w="441" w:type="pct"/>
            <w:tcBorders>
              <w:top w:val="nil"/>
              <w:left w:val="nil"/>
              <w:bottom w:val="nil"/>
              <w:right w:val="nil"/>
            </w:tcBorders>
            <w:shd w:val="clear" w:color="auto" w:fill="auto"/>
            <w:noWrap/>
            <w:vAlign w:val="bottom"/>
            <w:hideMark/>
          </w:tcPr>
          <w:p w14:paraId="7A146667"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7BA981B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2.23(0.91-5.47)</w:t>
            </w:r>
          </w:p>
        </w:tc>
        <w:tc>
          <w:tcPr>
            <w:tcW w:w="396" w:type="pct"/>
            <w:tcBorders>
              <w:top w:val="nil"/>
              <w:left w:val="nil"/>
              <w:bottom w:val="nil"/>
              <w:right w:val="nil"/>
            </w:tcBorders>
            <w:shd w:val="clear" w:color="auto" w:fill="auto"/>
            <w:noWrap/>
            <w:vAlign w:val="bottom"/>
            <w:hideMark/>
          </w:tcPr>
          <w:p w14:paraId="30E3277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0.078</w:t>
            </w:r>
          </w:p>
        </w:tc>
      </w:tr>
      <w:tr w:rsidR="00A80C42" w:rsidRPr="002729A0" w14:paraId="5F7A0FDD" w14:textId="77777777" w:rsidTr="00C07747">
        <w:trPr>
          <w:trHeight w:val="340"/>
        </w:trPr>
        <w:tc>
          <w:tcPr>
            <w:tcW w:w="1709" w:type="pct"/>
            <w:gridSpan w:val="3"/>
            <w:tcBorders>
              <w:top w:val="nil"/>
              <w:left w:val="nil"/>
              <w:bottom w:val="nil"/>
              <w:right w:val="nil"/>
            </w:tcBorders>
            <w:shd w:val="clear" w:color="auto" w:fill="auto"/>
            <w:noWrap/>
            <w:vAlign w:val="bottom"/>
            <w:hideMark/>
          </w:tcPr>
          <w:p w14:paraId="3AA2D683"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Heard of PHE preparedness</w:t>
            </w:r>
          </w:p>
        </w:tc>
        <w:tc>
          <w:tcPr>
            <w:tcW w:w="511" w:type="pct"/>
            <w:tcBorders>
              <w:top w:val="nil"/>
              <w:left w:val="nil"/>
              <w:bottom w:val="nil"/>
              <w:right w:val="nil"/>
            </w:tcBorders>
            <w:shd w:val="clear" w:color="auto" w:fill="auto"/>
            <w:noWrap/>
            <w:vAlign w:val="bottom"/>
            <w:hideMark/>
          </w:tcPr>
          <w:p w14:paraId="140C261A"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
        </w:tc>
        <w:tc>
          <w:tcPr>
            <w:tcW w:w="460" w:type="pct"/>
            <w:tcBorders>
              <w:top w:val="nil"/>
              <w:left w:val="nil"/>
              <w:bottom w:val="nil"/>
              <w:right w:val="nil"/>
            </w:tcBorders>
            <w:shd w:val="clear" w:color="auto" w:fill="auto"/>
            <w:noWrap/>
            <w:vAlign w:val="bottom"/>
            <w:hideMark/>
          </w:tcPr>
          <w:p w14:paraId="311E640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75EF227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441" w:type="pct"/>
            <w:tcBorders>
              <w:top w:val="nil"/>
              <w:left w:val="nil"/>
              <w:bottom w:val="nil"/>
              <w:right w:val="nil"/>
            </w:tcBorders>
            <w:shd w:val="clear" w:color="auto" w:fill="auto"/>
            <w:noWrap/>
            <w:vAlign w:val="bottom"/>
            <w:hideMark/>
          </w:tcPr>
          <w:p w14:paraId="7209766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7011667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396" w:type="pct"/>
            <w:tcBorders>
              <w:top w:val="nil"/>
              <w:left w:val="nil"/>
              <w:bottom w:val="nil"/>
              <w:right w:val="nil"/>
            </w:tcBorders>
            <w:shd w:val="clear" w:color="auto" w:fill="auto"/>
            <w:noWrap/>
            <w:vAlign w:val="bottom"/>
            <w:hideMark/>
          </w:tcPr>
          <w:p w14:paraId="669439C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4E8E321B" w14:textId="77777777" w:rsidTr="00C07747">
        <w:trPr>
          <w:trHeight w:val="340"/>
        </w:trPr>
        <w:tc>
          <w:tcPr>
            <w:tcW w:w="578" w:type="pct"/>
            <w:tcBorders>
              <w:top w:val="nil"/>
              <w:left w:val="nil"/>
              <w:bottom w:val="nil"/>
              <w:right w:val="nil"/>
            </w:tcBorders>
            <w:shd w:val="clear" w:color="auto" w:fill="auto"/>
            <w:noWrap/>
            <w:vAlign w:val="bottom"/>
            <w:hideMark/>
          </w:tcPr>
          <w:p w14:paraId="68BF796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No</w:t>
            </w:r>
          </w:p>
        </w:tc>
        <w:tc>
          <w:tcPr>
            <w:tcW w:w="565" w:type="pct"/>
            <w:tcBorders>
              <w:top w:val="nil"/>
              <w:left w:val="nil"/>
              <w:bottom w:val="nil"/>
              <w:right w:val="nil"/>
            </w:tcBorders>
            <w:shd w:val="clear" w:color="auto" w:fill="auto"/>
            <w:noWrap/>
            <w:vAlign w:val="bottom"/>
            <w:hideMark/>
          </w:tcPr>
          <w:p w14:paraId="14A2839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193(38.07)</w:t>
            </w:r>
          </w:p>
        </w:tc>
        <w:tc>
          <w:tcPr>
            <w:tcW w:w="565" w:type="pct"/>
            <w:tcBorders>
              <w:top w:val="nil"/>
              <w:left w:val="nil"/>
              <w:bottom w:val="nil"/>
              <w:right w:val="nil"/>
            </w:tcBorders>
            <w:shd w:val="clear" w:color="auto" w:fill="auto"/>
            <w:noWrap/>
            <w:vAlign w:val="bottom"/>
            <w:hideMark/>
          </w:tcPr>
          <w:p w14:paraId="399F4A1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177(91.71)</w:t>
            </w:r>
          </w:p>
        </w:tc>
        <w:tc>
          <w:tcPr>
            <w:tcW w:w="511" w:type="pct"/>
            <w:tcBorders>
              <w:top w:val="nil"/>
              <w:left w:val="nil"/>
              <w:bottom w:val="nil"/>
              <w:right w:val="nil"/>
            </w:tcBorders>
            <w:shd w:val="clear" w:color="auto" w:fill="auto"/>
            <w:noWrap/>
            <w:vAlign w:val="bottom"/>
            <w:hideMark/>
          </w:tcPr>
          <w:p w14:paraId="2EEB29F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16(8.29)</w:t>
            </w:r>
          </w:p>
        </w:tc>
        <w:tc>
          <w:tcPr>
            <w:tcW w:w="460" w:type="pct"/>
            <w:tcBorders>
              <w:top w:val="nil"/>
              <w:left w:val="nil"/>
              <w:bottom w:val="nil"/>
              <w:right w:val="nil"/>
            </w:tcBorders>
            <w:shd w:val="clear" w:color="auto" w:fill="auto"/>
            <w:noWrap/>
            <w:vAlign w:val="bottom"/>
            <w:hideMark/>
          </w:tcPr>
          <w:p w14:paraId="0EB5534E"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814" w:type="pct"/>
            <w:tcBorders>
              <w:top w:val="nil"/>
              <w:left w:val="nil"/>
              <w:bottom w:val="nil"/>
              <w:right w:val="nil"/>
            </w:tcBorders>
            <w:shd w:val="clear" w:color="auto" w:fill="auto"/>
            <w:noWrap/>
            <w:vAlign w:val="bottom"/>
            <w:hideMark/>
          </w:tcPr>
          <w:p w14:paraId="5D498CC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441" w:type="pct"/>
            <w:tcBorders>
              <w:top w:val="nil"/>
              <w:left w:val="nil"/>
              <w:bottom w:val="nil"/>
              <w:right w:val="nil"/>
            </w:tcBorders>
            <w:shd w:val="clear" w:color="auto" w:fill="auto"/>
            <w:noWrap/>
            <w:vAlign w:val="bottom"/>
            <w:hideMark/>
          </w:tcPr>
          <w:p w14:paraId="69A9DBD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3464DB5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396" w:type="pct"/>
            <w:tcBorders>
              <w:top w:val="nil"/>
              <w:left w:val="nil"/>
              <w:bottom w:val="nil"/>
              <w:right w:val="nil"/>
            </w:tcBorders>
            <w:shd w:val="clear" w:color="auto" w:fill="auto"/>
            <w:noWrap/>
            <w:vAlign w:val="bottom"/>
            <w:hideMark/>
          </w:tcPr>
          <w:p w14:paraId="1C3F96F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1EF02D7A" w14:textId="77777777" w:rsidTr="00C07747">
        <w:trPr>
          <w:trHeight w:val="340"/>
        </w:trPr>
        <w:tc>
          <w:tcPr>
            <w:tcW w:w="578" w:type="pct"/>
            <w:tcBorders>
              <w:top w:val="nil"/>
              <w:left w:val="nil"/>
              <w:bottom w:val="nil"/>
              <w:right w:val="nil"/>
            </w:tcBorders>
            <w:shd w:val="clear" w:color="auto" w:fill="auto"/>
            <w:noWrap/>
            <w:vAlign w:val="bottom"/>
            <w:hideMark/>
          </w:tcPr>
          <w:p w14:paraId="4025032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Yes</w:t>
            </w:r>
          </w:p>
        </w:tc>
        <w:tc>
          <w:tcPr>
            <w:tcW w:w="565" w:type="pct"/>
            <w:tcBorders>
              <w:top w:val="nil"/>
              <w:left w:val="nil"/>
              <w:bottom w:val="nil"/>
              <w:right w:val="nil"/>
            </w:tcBorders>
            <w:shd w:val="clear" w:color="auto" w:fill="auto"/>
            <w:noWrap/>
            <w:vAlign w:val="bottom"/>
            <w:hideMark/>
          </w:tcPr>
          <w:p w14:paraId="66F61A9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314(61.93)</w:t>
            </w:r>
          </w:p>
        </w:tc>
        <w:tc>
          <w:tcPr>
            <w:tcW w:w="565" w:type="pct"/>
            <w:tcBorders>
              <w:top w:val="nil"/>
              <w:left w:val="nil"/>
              <w:bottom w:val="nil"/>
              <w:right w:val="nil"/>
            </w:tcBorders>
            <w:shd w:val="clear" w:color="auto" w:fill="auto"/>
            <w:noWrap/>
            <w:vAlign w:val="bottom"/>
            <w:hideMark/>
          </w:tcPr>
          <w:p w14:paraId="0A66507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88(28.03)</w:t>
            </w:r>
          </w:p>
        </w:tc>
        <w:tc>
          <w:tcPr>
            <w:tcW w:w="971" w:type="pct"/>
            <w:gridSpan w:val="2"/>
            <w:tcBorders>
              <w:top w:val="nil"/>
              <w:left w:val="nil"/>
              <w:bottom w:val="nil"/>
              <w:right w:val="nil"/>
            </w:tcBorders>
            <w:shd w:val="clear" w:color="auto" w:fill="auto"/>
            <w:noWrap/>
            <w:vAlign w:val="bottom"/>
            <w:hideMark/>
          </w:tcPr>
          <w:p w14:paraId="1229E7F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226(71.97)</w:t>
            </w:r>
          </w:p>
        </w:tc>
        <w:tc>
          <w:tcPr>
            <w:tcW w:w="814" w:type="pct"/>
            <w:tcBorders>
              <w:top w:val="nil"/>
              <w:left w:val="nil"/>
              <w:bottom w:val="nil"/>
              <w:right w:val="nil"/>
            </w:tcBorders>
            <w:shd w:val="clear" w:color="auto" w:fill="auto"/>
            <w:noWrap/>
            <w:vAlign w:val="bottom"/>
            <w:hideMark/>
          </w:tcPr>
          <w:p w14:paraId="6CB5609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28.41(16.1-50.13)</w:t>
            </w:r>
          </w:p>
        </w:tc>
        <w:tc>
          <w:tcPr>
            <w:tcW w:w="441" w:type="pct"/>
            <w:tcBorders>
              <w:top w:val="nil"/>
              <w:left w:val="nil"/>
              <w:bottom w:val="nil"/>
              <w:right w:val="nil"/>
            </w:tcBorders>
            <w:shd w:val="clear" w:color="auto" w:fill="auto"/>
            <w:noWrap/>
            <w:vAlign w:val="bottom"/>
            <w:hideMark/>
          </w:tcPr>
          <w:p w14:paraId="0547B450"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2ADD15B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1.29(0.48-3.5)</w:t>
            </w:r>
          </w:p>
        </w:tc>
        <w:tc>
          <w:tcPr>
            <w:tcW w:w="396" w:type="pct"/>
            <w:tcBorders>
              <w:top w:val="nil"/>
              <w:left w:val="nil"/>
              <w:bottom w:val="nil"/>
              <w:right w:val="nil"/>
            </w:tcBorders>
            <w:shd w:val="clear" w:color="auto" w:fill="auto"/>
            <w:noWrap/>
            <w:vAlign w:val="bottom"/>
            <w:hideMark/>
          </w:tcPr>
          <w:p w14:paraId="7E97C1B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0.612</w:t>
            </w:r>
          </w:p>
        </w:tc>
      </w:tr>
      <w:tr w:rsidR="00A80C42" w:rsidRPr="002729A0" w14:paraId="1C82D3D2" w14:textId="77777777" w:rsidTr="00C07747">
        <w:trPr>
          <w:trHeight w:val="340"/>
        </w:trPr>
        <w:tc>
          <w:tcPr>
            <w:tcW w:w="2220" w:type="pct"/>
            <w:gridSpan w:val="4"/>
            <w:tcBorders>
              <w:top w:val="nil"/>
              <w:left w:val="nil"/>
              <w:bottom w:val="nil"/>
              <w:right w:val="nil"/>
            </w:tcBorders>
            <w:shd w:val="clear" w:color="auto" w:fill="auto"/>
            <w:noWrap/>
            <w:vAlign w:val="bottom"/>
            <w:hideMark/>
          </w:tcPr>
          <w:p w14:paraId="7F0D759C"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Frequency of PHE event experience</w:t>
            </w:r>
          </w:p>
        </w:tc>
        <w:tc>
          <w:tcPr>
            <w:tcW w:w="460" w:type="pct"/>
            <w:tcBorders>
              <w:top w:val="nil"/>
              <w:left w:val="nil"/>
              <w:bottom w:val="nil"/>
              <w:right w:val="nil"/>
            </w:tcBorders>
            <w:shd w:val="clear" w:color="auto" w:fill="auto"/>
            <w:noWrap/>
            <w:vAlign w:val="bottom"/>
            <w:hideMark/>
          </w:tcPr>
          <w:p w14:paraId="4265EF23"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5B93E92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441" w:type="pct"/>
            <w:tcBorders>
              <w:top w:val="nil"/>
              <w:left w:val="nil"/>
              <w:bottom w:val="nil"/>
              <w:right w:val="nil"/>
            </w:tcBorders>
            <w:shd w:val="clear" w:color="auto" w:fill="auto"/>
            <w:noWrap/>
            <w:vAlign w:val="bottom"/>
            <w:hideMark/>
          </w:tcPr>
          <w:p w14:paraId="54647C6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2E0518D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396" w:type="pct"/>
            <w:tcBorders>
              <w:top w:val="nil"/>
              <w:left w:val="nil"/>
              <w:bottom w:val="nil"/>
              <w:right w:val="nil"/>
            </w:tcBorders>
            <w:shd w:val="clear" w:color="auto" w:fill="auto"/>
            <w:noWrap/>
            <w:vAlign w:val="bottom"/>
            <w:hideMark/>
          </w:tcPr>
          <w:p w14:paraId="1497BEE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6D387B7A" w14:textId="77777777" w:rsidTr="00C07747">
        <w:trPr>
          <w:trHeight w:val="340"/>
        </w:trPr>
        <w:tc>
          <w:tcPr>
            <w:tcW w:w="578" w:type="pct"/>
            <w:tcBorders>
              <w:top w:val="nil"/>
              <w:left w:val="nil"/>
              <w:bottom w:val="nil"/>
              <w:right w:val="nil"/>
            </w:tcBorders>
            <w:shd w:val="clear" w:color="auto" w:fill="auto"/>
            <w:noWrap/>
            <w:vAlign w:val="bottom"/>
            <w:hideMark/>
          </w:tcPr>
          <w:p w14:paraId="6204F27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More frequent</w:t>
            </w:r>
          </w:p>
        </w:tc>
        <w:tc>
          <w:tcPr>
            <w:tcW w:w="565" w:type="pct"/>
            <w:tcBorders>
              <w:top w:val="nil"/>
              <w:left w:val="nil"/>
              <w:bottom w:val="nil"/>
              <w:right w:val="nil"/>
            </w:tcBorders>
            <w:shd w:val="clear" w:color="auto" w:fill="auto"/>
            <w:noWrap/>
            <w:vAlign w:val="bottom"/>
            <w:hideMark/>
          </w:tcPr>
          <w:p w14:paraId="72D6642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234(46.15)</w:t>
            </w:r>
          </w:p>
        </w:tc>
        <w:tc>
          <w:tcPr>
            <w:tcW w:w="565" w:type="pct"/>
            <w:tcBorders>
              <w:top w:val="nil"/>
              <w:left w:val="nil"/>
              <w:bottom w:val="nil"/>
              <w:right w:val="nil"/>
            </w:tcBorders>
            <w:shd w:val="clear" w:color="auto" w:fill="auto"/>
            <w:noWrap/>
            <w:vAlign w:val="bottom"/>
            <w:hideMark/>
          </w:tcPr>
          <w:p w14:paraId="25CDB48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140(59.83)</w:t>
            </w:r>
          </w:p>
        </w:tc>
        <w:tc>
          <w:tcPr>
            <w:tcW w:w="511" w:type="pct"/>
            <w:tcBorders>
              <w:top w:val="nil"/>
              <w:left w:val="nil"/>
              <w:bottom w:val="nil"/>
              <w:right w:val="nil"/>
            </w:tcBorders>
            <w:shd w:val="clear" w:color="auto" w:fill="auto"/>
            <w:noWrap/>
            <w:vAlign w:val="bottom"/>
            <w:hideMark/>
          </w:tcPr>
          <w:p w14:paraId="5F92FF3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94(40.17)</w:t>
            </w:r>
          </w:p>
        </w:tc>
        <w:tc>
          <w:tcPr>
            <w:tcW w:w="460" w:type="pct"/>
            <w:tcBorders>
              <w:top w:val="nil"/>
              <w:left w:val="nil"/>
              <w:bottom w:val="nil"/>
              <w:right w:val="nil"/>
            </w:tcBorders>
            <w:shd w:val="clear" w:color="auto" w:fill="auto"/>
            <w:noWrap/>
            <w:vAlign w:val="bottom"/>
            <w:hideMark/>
          </w:tcPr>
          <w:p w14:paraId="255519CD"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0.003</w:t>
            </w:r>
          </w:p>
        </w:tc>
        <w:tc>
          <w:tcPr>
            <w:tcW w:w="814" w:type="pct"/>
            <w:tcBorders>
              <w:top w:val="nil"/>
              <w:left w:val="nil"/>
              <w:bottom w:val="nil"/>
              <w:right w:val="nil"/>
            </w:tcBorders>
            <w:shd w:val="clear" w:color="auto" w:fill="auto"/>
            <w:noWrap/>
            <w:vAlign w:val="bottom"/>
            <w:hideMark/>
          </w:tcPr>
          <w:p w14:paraId="4CCB91E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441" w:type="pct"/>
            <w:tcBorders>
              <w:top w:val="nil"/>
              <w:left w:val="nil"/>
              <w:bottom w:val="nil"/>
              <w:right w:val="nil"/>
            </w:tcBorders>
            <w:shd w:val="clear" w:color="auto" w:fill="auto"/>
            <w:noWrap/>
            <w:vAlign w:val="bottom"/>
            <w:hideMark/>
          </w:tcPr>
          <w:p w14:paraId="38A85EB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2E46ADF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396" w:type="pct"/>
            <w:tcBorders>
              <w:top w:val="nil"/>
              <w:left w:val="nil"/>
              <w:bottom w:val="nil"/>
              <w:right w:val="nil"/>
            </w:tcBorders>
            <w:shd w:val="clear" w:color="auto" w:fill="auto"/>
            <w:noWrap/>
            <w:vAlign w:val="bottom"/>
            <w:hideMark/>
          </w:tcPr>
          <w:p w14:paraId="688C662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461EB334" w14:textId="77777777" w:rsidTr="00C07747">
        <w:trPr>
          <w:trHeight w:val="340"/>
        </w:trPr>
        <w:tc>
          <w:tcPr>
            <w:tcW w:w="578" w:type="pct"/>
            <w:tcBorders>
              <w:top w:val="nil"/>
              <w:left w:val="nil"/>
              <w:bottom w:val="nil"/>
              <w:right w:val="nil"/>
            </w:tcBorders>
            <w:shd w:val="clear" w:color="auto" w:fill="auto"/>
            <w:noWrap/>
            <w:vAlign w:val="bottom"/>
            <w:hideMark/>
          </w:tcPr>
          <w:p w14:paraId="2AE5DAD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Less frequent</w:t>
            </w:r>
          </w:p>
        </w:tc>
        <w:tc>
          <w:tcPr>
            <w:tcW w:w="565" w:type="pct"/>
            <w:tcBorders>
              <w:top w:val="nil"/>
              <w:left w:val="nil"/>
              <w:bottom w:val="nil"/>
              <w:right w:val="nil"/>
            </w:tcBorders>
            <w:shd w:val="clear" w:color="auto" w:fill="auto"/>
            <w:noWrap/>
            <w:vAlign w:val="bottom"/>
            <w:hideMark/>
          </w:tcPr>
          <w:p w14:paraId="4F08B2E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256(50.49)</w:t>
            </w:r>
          </w:p>
        </w:tc>
        <w:tc>
          <w:tcPr>
            <w:tcW w:w="565" w:type="pct"/>
            <w:tcBorders>
              <w:top w:val="nil"/>
              <w:left w:val="nil"/>
              <w:bottom w:val="nil"/>
              <w:right w:val="nil"/>
            </w:tcBorders>
            <w:shd w:val="clear" w:color="auto" w:fill="auto"/>
            <w:noWrap/>
            <w:vAlign w:val="bottom"/>
            <w:hideMark/>
          </w:tcPr>
          <w:p w14:paraId="1BC366F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120(46.88)</w:t>
            </w:r>
          </w:p>
        </w:tc>
        <w:tc>
          <w:tcPr>
            <w:tcW w:w="971" w:type="pct"/>
            <w:gridSpan w:val="2"/>
            <w:tcBorders>
              <w:top w:val="nil"/>
              <w:left w:val="nil"/>
              <w:bottom w:val="nil"/>
              <w:right w:val="nil"/>
            </w:tcBorders>
            <w:shd w:val="clear" w:color="auto" w:fill="auto"/>
            <w:noWrap/>
            <w:vAlign w:val="bottom"/>
            <w:hideMark/>
          </w:tcPr>
          <w:p w14:paraId="3251C38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136(53.13)</w:t>
            </w:r>
          </w:p>
        </w:tc>
        <w:tc>
          <w:tcPr>
            <w:tcW w:w="814" w:type="pct"/>
            <w:tcBorders>
              <w:top w:val="nil"/>
              <w:left w:val="nil"/>
              <w:bottom w:val="nil"/>
              <w:right w:val="nil"/>
            </w:tcBorders>
            <w:shd w:val="clear" w:color="auto" w:fill="auto"/>
            <w:noWrap/>
            <w:vAlign w:val="bottom"/>
            <w:hideMark/>
          </w:tcPr>
          <w:p w14:paraId="05C816C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1.69(1.18-2.42)</w:t>
            </w:r>
          </w:p>
        </w:tc>
        <w:tc>
          <w:tcPr>
            <w:tcW w:w="441" w:type="pct"/>
            <w:tcBorders>
              <w:top w:val="nil"/>
              <w:left w:val="nil"/>
              <w:bottom w:val="nil"/>
              <w:right w:val="nil"/>
            </w:tcBorders>
            <w:shd w:val="clear" w:color="auto" w:fill="auto"/>
            <w:noWrap/>
            <w:vAlign w:val="bottom"/>
            <w:hideMark/>
          </w:tcPr>
          <w:p w14:paraId="681E6AE4"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0.004</w:t>
            </w:r>
          </w:p>
        </w:tc>
        <w:tc>
          <w:tcPr>
            <w:tcW w:w="669" w:type="pct"/>
            <w:tcBorders>
              <w:top w:val="nil"/>
              <w:left w:val="nil"/>
              <w:bottom w:val="nil"/>
              <w:right w:val="nil"/>
            </w:tcBorders>
            <w:shd w:val="clear" w:color="auto" w:fill="auto"/>
            <w:noWrap/>
            <w:vAlign w:val="bottom"/>
            <w:hideMark/>
          </w:tcPr>
          <w:p w14:paraId="71F7992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1.32(0.69-2.52)</w:t>
            </w:r>
          </w:p>
        </w:tc>
        <w:tc>
          <w:tcPr>
            <w:tcW w:w="396" w:type="pct"/>
            <w:tcBorders>
              <w:top w:val="nil"/>
              <w:left w:val="nil"/>
              <w:bottom w:val="nil"/>
              <w:right w:val="nil"/>
            </w:tcBorders>
            <w:shd w:val="clear" w:color="auto" w:fill="auto"/>
            <w:noWrap/>
            <w:vAlign w:val="bottom"/>
            <w:hideMark/>
          </w:tcPr>
          <w:p w14:paraId="42BC1FDA"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0.403</w:t>
            </w:r>
          </w:p>
        </w:tc>
      </w:tr>
      <w:tr w:rsidR="00A80C42" w:rsidRPr="002729A0" w14:paraId="757A9A4A" w14:textId="77777777" w:rsidTr="00C07747">
        <w:trPr>
          <w:trHeight w:val="340"/>
        </w:trPr>
        <w:tc>
          <w:tcPr>
            <w:tcW w:w="578" w:type="pct"/>
            <w:tcBorders>
              <w:top w:val="nil"/>
              <w:left w:val="nil"/>
              <w:bottom w:val="nil"/>
              <w:right w:val="nil"/>
            </w:tcBorders>
            <w:shd w:val="clear" w:color="auto" w:fill="auto"/>
            <w:noWrap/>
            <w:vAlign w:val="bottom"/>
            <w:hideMark/>
          </w:tcPr>
          <w:p w14:paraId="22CDB6E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Never</w:t>
            </w:r>
          </w:p>
        </w:tc>
        <w:tc>
          <w:tcPr>
            <w:tcW w:w="565" w:type="pct"/>
            <w:tcBorders>
              <w:top w:val="nil"/>
              <w:left w:val="nil"/>
              <w:bottom w:val="nil"/>
              <w:right w:val="nil"/>
            </w:tcBorders>
            <w:shd w:val="clear" w:color="auto" w:fill="auto"/>
            <w:noWrap/>
            <w:vAlign w:val="bottom"/>
            <w:hideMark/>
          </w:tcPr>
          <w:p w14:paraId="48EE435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17(3.35)</w:t>
            </w:r>
          </w:p>
        </w:tc>
        <w:tc>
          <w:tcPr>
            <w:tcW w:w="565" w:type="pct"/>
            <w:tcBorders>
              <w:top w:val="nil"/>
              <w:left w:val="nil"/>
              <w:bottom w:val="nil"/>
              <w:right w:val="nil"/>
            </w:tcBorders>
            <w:shd w:val="clear" w:color="auto" w:fill="auto"/>
            <w:noWrap/>
            <w:vAlign w:val="bottom"/>
            <w:hideMark/>
          </w:tcPr>
          <w:p w14:paraId="779A136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5(29.41)</w:t>
            </w:r>
          </w:p>
        </w:tc>
        <w:tc>
          <w:tcPr>
            <w:tcW w:w="511" w:type="pct"/>
            <w:tcBorders>
              <w:top w:val="nil"/>
              <w:left w:val="nil"/>
              <w:bottom w:val="nil"/>
              <w:right w:val="nil"/>
            </w:tcBorders>
            <w:shd w:val="clear" w:color="auto" w:fill="auto"/>
            <w:noWrap/>
            <w:vAlign w:val="bottom"/>
            <w:hideMark/>
          </w:tcPr>
          <w:p w14:paraId="6CE75C7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12(70.59)</w:t>
            </w:r>
          </w:p>
        </w:tc>
        <w:tc>
          <w:tcPr>
            <w:tcW w:w="460" w:type="pct"/>
            <w:tcBorders>
              <w:top w:val="nil"/>
              <w:left w:val="nil"/>
              <w:bottom w:val="nil"/>
              <w:right w:val="nil"/>
            </w:tcBorders>
            <w:shd w:val="clear" w:color="auto" w:fill="auto"/>
            <w:noWrap/>
            <w:vAlign w:val="bottom"/>
            <w:hideMark/>
          </w:tcPr>
          <w:p w14:paraId="02D3196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7783162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3.57(1.22-10.48)</w:t>
            </w:r>
          </w:p>
        </w:tc>
        <w:tc>
          <w:tcPr>
            <w:tcW w:w="441" w:type="pct"/>
            <w:tcBorders>
              <w:top w:val="nil"/>
              <w:left w:val="nil"/>
              <w:bottom w:val="nil"/>
              <w:right w:val="nil"/>
            </w:tcBorders>
            <w:shd w:val="clear" w:color="auto" w:fill="auto"/>
            <w:noWrap/>
            <w:vAlign w:val="bottom"/>
            <w:hideMark/>
          </w:tcPr>
          <w:p w14:paraId="7AF4DE48"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0.02</w:t>
            </w:r>
          </w:p>
        </w:tc>
        <w:tc>
          <w:tcPr>
            <w:tcW w:w="669" w:type="pct"/>
            <w:tcBorders>
              <w:top w:val="nil"/>
              <w:left w:val="nil"/>
              <w:bottom w:val="nil"/>
              <w:right w:val="nil"/>
            </w:tcBorders>
            <w:shd w:val="clear" w:color="auto" w:fill="auto"/>
            <w:noWrap/>
            <w:vAlign w:val="bottom"/>
            <w:hideMark/>
          </w:tcPr>
          <w:p w14:paraId="1F006F7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3.59(0.7-18.43)</w:t>
            </w:r>
          </w:p>
        </w:tc>
        <w:tc>
          <w:tcPr>
            <w:tcW w:w="396" w:type="pct"/>
            <w:tcBorders>
              <w:top w:val="nil"/>
              <w:left w:val="nil"/>
              <w:bottom w:val="nil"/>
              <w:right w:val="nil"/>
            </w:tcBorders>
            <w:shd w:val="clear" w:color="auto" w:fill="auto"/>
            <w:noWrap/>
            <w:vAlign w:val="bottom"/>
            <w:hideMark/>
          </w:tcPr>
          <w:p w14:paraId="6EC0CCB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0.126</w:t>
            </w:r>
          </w:p>
        </w:tc>
      </w:tr>
      <w:tr w:rsidR="00A80C42" w:rsidRPr="002729A0" w14:paraId="583FBC46" w14:textId="77777777" w:rsidTr="00C07747">
        <w:trPr>
          <w:trHeight w:val="340"/>
        </w:trPr>
        <w:tc>
          <w:tcPr>
            <w:tcW w:w="2220" w:type="pct"/>
            <w:gridSpan w:val="4"/>
            <w:tcBorders>
              <w:top w:val="nil"/>
              <w:left w:val="nil"/>
              <w:bottom w:val="nil"/>
              <w:right w:val="nil"/>
            </w:tcBorders>
            <w:shd w:val="clear" w:color="auto" w:fill="auto"/>
            <w:noWrap/>
            <w:vAlign w:val="bottom"/>
            <w:hideMark/>
          </w:tcPr>
          <w:p w14:paraId="7B7DF500"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Know what to do in case of PHE event</w:t>
            </w:r>
          </w:p>
        </w:tc>
        <w:tc>
          <w:tcPr>
            <w:tcW w:w="460" w:type="pct"/>
            <w:tcBorders>
              <w:top w:val="nil"/>
              <w:left w:val="nil"/>
              <w:bottom w:val="nil"/>
              <w:right w:val="nil"/>
            </w:tcBorders>
            <w:shd w:val="clear" w:color="auto" w:fill="auto"/>
            <w:noWrap/>
            <w:vAlign w:val="bottom"/>
            <w:hideMark/>
          </w:tcPr>
          <w:p w14:paraId="2A2D0566"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1C34F26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441" w:type="pct"/>
            <w:tcBorders>
              <w:top w:val="nil"/>
              <w:left w:val="nil"/>
              <w:bottom w:val="nil"/>
              <w:right w:val="nil"/>
            </w:tcBorders>
            <w:shd w:val="clear" w:color="auto" w:fill="auto"/>
            <w:noWrap/>
            <w:vAlign w:val="bottom"/>
            <w:hideMark/>
          </w:tcPr>
          <w:p w14:paraId="3643EC7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66D2D6D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396" w:type="pct"/>
            <w:tcBorders>
              <w:top w:val="nil"/>
              <w:left w:val="nil"/>
              <w:bottom w:val="nil"/>
              <w:right w:val="nil"/>
            </w:tcBorders>
            <w:shd w:val="clear" w:color="auto" w:fill="auto"/>
            <w:noWrap/>
            <w:vAlign w:val="bottom"/>
            <w:hideMark/>
          </w:tcPr>
          <w:p w14:paraId="4189A30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079EC504" w14:textId="77777777" w:rsidTr="00C07747">
        <w:trPr>
          <w:trHeight w:val="340"/>
        </w:trPr>
        <w:tc>
          <w:tcPr>
            <w:tcW w:w="578" w:type="pct"/>
            <w:tcBorders>
              <w:top w:val="nil"/>
              <w:left w:val="nil"/>
              <w:bottom w:val="nil"/>
              <w:right w:val="nil"/>
            </w:tcBorders>
            <w:shd w:val="clear" w:color="auto" w:fill="auto"/>
            <w:noWrap/>
            <w:vAlign w:val="bottom"/>
            <w:hideMark/>
          </w:tcPr>
          <w:p w14:paraId="2026B1E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No</w:t>
            </w:r>
          </w:p>
        </w:tc>
        <w:tc>
          <w:tcPr>
            <w:tcW w:w="565" w:type="pct"/>
            <w:tcBorders>
              <w:top w:val="nil"/>
              <w:left w:val="nil"/>
              <w:bottom w:val="nil"/>
              <w:right w:val="nil"/>
            </w:tcBorders>
            <w:shd w:val="clear" w:color="auto" w:fill="auto"/>
            <w:noWrap/>
            <w:vAlign w:val="bottom"/>
            <w:hideMark/>
          </w:tcPr>
          <w:p w14:paraId="0782E68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255(50.3)</w:t>
            </w:r>
          </w:p>
        </w:tc>
        <w:tc>
          <w:tcPr>
            <w:tcW w:w="565" w:type="pct"/>
            <w:tcBorders>
              <w:top w:val="nil"/>
              <w:left w:val="nil"/>
              <w:bottom w:val="nil"/>
              <w:right w:val="nil"/>
            </w:tcBorders>
            <w:shd w:val="clear" w:color="auto" w:fill="auto"/>
            <w:noWrap/>
            <w:vAlign w:val="bottom"/>
            <w:hideMark/>
          </w:tcPr>
          <w:p w14:paraId="43D257B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224(87.84)</w:t>
            </w:r>
          </w:p>
        </w:tc>
        <w:tc>
          <w:tcPr>
            <w:tcW w:w="511" w:type="pct"/>
            <w:tcBorders>
              <w:top w:val="nil"/>
              <w:left w:val="nil"/>
              <w:bottom w:val="nil"/>
              <w:right w:val="nil"/>
            </w:tcBorders>
            <w:shd w:val="clear" w:color="auto" w:fill="auto"/>
            <w:noWrap/>
            <w:vAlign w:val="bottom"/>
            <w:hideMark/>
          </w:tcPr>
          <w:p w14:paraId="777C6B7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31(12.16)</w:t>
            </w:r>
          </w:p>
        </w:tc>
        <w:tc>
          <w:tcPr>
            <w:tcW w:w="460" w:type="pct"/>
            <w:tcBorders>
              <w:top w:val="nil"/>
              <w:left w:val="nil"/>
              <w:bottom w:val="nil"/>
              <w:right w:val="nil"/>
            </w:tcBorders>
            <w:shd w:val="clear" w:color="auto" w:fill="auto"/>
            <w:noWrap/>
            <w:vAlign w:val="bottom"/>
            <w:hideMark/>
          </w:tcPr>
          <w:p w14:paraId="7B3469FB"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814" w:type="pct"/>
            <w:tcBorders>
              <w:top w:val="nil"/>
              <w:left w:val="nil"/>
              <w:bottom w:val="nil"/>
              <w:right w:val="nil"/>
            </w:tcBorders>
            <w:shd w:val="clear" w:color="auto" w:fill="auto"/>
            <w:noWrap/>
            <w:vAlign w:val="bottom"/>
            <w:hideMark/>
          </w:tcPr>
          <w:p w14:paraId="24D2BEC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441" w:type="pct"/>
            <w:tcBorders>
              <w:top w:val="nil"/>
              <w:left w:val="nil"/>
              <w:bottom w:val="nil"/>
              <w:right w:val="nil"/>
            </w:tcBorders>
            <w:shd w:val="clear" w:color="auto" w:fill="auto"/>
            <w:noWrap/>
            <w:vAlign w:val="bottom"/>
            <w:hideMark/>
          </w:tcPr>
          <w:p w14:paraId="43EE27E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227E48BA"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396" w:type="pct"/>
            <w:tcBorders>
              <w:top w:val="nil"/>
              <w:left w:val="nil"/>
              <w:bottom w:val="nil"/>
              <w:right w:val="nil"/>
            </w:tcBorders>
            <w:shd w:val="clear" w:color="auto" w:fill="auto"/>
            <w:noWrap/>
            <w:vAlign w:val="bottom"/>
            <w:hideMark/>
          </w:tcPr>
          <w:p w14:paraId="61B8BFB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62AD7572" w14:textId="77777777" w:rsidTr="00C07747">
        <w:trPr>
          <w:trHeight w:val="340"/>
        </w:trPr>
        <w:tc>
          <w:tcPr>
            <w:tcW w:w="578" w:type="pct"/>
            <w:tcBorders>
              <w:top w:val="nil"/>
              <w:left w:val="nil"/>
              <w:bottom w:val="nil"/>
              <w:right w:val="nil"/>
            </w:tcBorders>
            <w:shd w:val="clear" w:color="auto" w:fill="auto"/>
            <w:noWrap/>
            <w:vAlign w:val="bottom"/>
            <w:hideMark/>
          </w:tcPr>
          <w:p w14:paraId="70F8EA8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Yes</w:t>
            </w:r>
          </w:p>
        </w:tc>
        <w:tc>
          <w:tcPr>
            <w:tcW w:w="565" w:type="pct"/>
            <w:tcBorders>
              <w:top w:val="nil"/>
              <w:left w:val="nil"/>
              <w:bottom w:val="nil"/>
              <w:right w:val="nil"/>
            </w:tcBorders>
            <w:shd w:val="clear" w:color="auto" w:fill="auto"/>
            <w:noWrap/>
            <w:vAlign w:val="bottom"/>
            <w:hideMark/>
          </w:tcPr>
          <w:p w14:paraId="1849AF6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252(49.7)</w:t>
            </w:r>
          </w:p>
        </w:tc>
        <w:tc>
          <w:tcPr>
            <w:tcW w:w="565" w:type="pct"/>
            <w:tcBorders>
              <w:top w:val="nil"/>
              <w:left w:val="nil"/>
              <w:bottom w:val="nil"/>
              <w:right w:val="nil"/>
            </w:tcBorders>
            <w:shd w:val="clear" w:color="auto" w:fill="auto"/>
            <w:noWrap/>
            <w:vAlign w:val="bottom"/>
            <w:hideMark/>
          </w:tcPr>
          <w:p w14:paraId="5DDB008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41(16.27)</w:t>
            </w:r>
          </w:p>
        </w:tc>
        <w:tc>
          <w:tcPr>
            <w:tcW w:w="971" w:type="pct"/>
            <w:gridSpan w:val="2"/>
            <w:tcBorders>
              <w:top w:val="nil"/>
              <w:left w:val="nil"/>
              <w:bottom w:val="nil"/>
              <w:right w:val="nil"/>
            </w:tcBorders>
            <w:shd w:val="clear" w:color="auto" w:fill="auto"/>
            <w:noWrap/>
            <w:vAlign w:val="bottom"/>
            <w:hideMark/>
          </w:tcPr>
          <w:p w14:paraId="35AFE30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211(83.73)</w:t>
            </w:r>
          </w:p>
        </w:tc>
        <w:tc>
          <w:tcPr>
            <w:tcW w:w="814" w:type="pct"/>
            <w:tcBorders>
              <w:top w:val="nil"/>
              <w:left w:val="nil"/>
              <w:bottom w:val="nil"/>
              <w:right w:val="nil"/>
            </w:tcBorders>
            <w:shd w:val="clear" w:color="auto" w:fill="auto"/>
            <w:noWrap/>
            <w:vAlign w:val="bottom"/>
            <w:hideMark/>
          </w:tcPr>
          <w:p w14:paraId="37A669C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37.19(22.49-61.49)</w:t>
            </w:r>
          </w:p>
        </w:tc>
        <w:tc>
          <w:tcPr>
            <w:tcW w:w="441" w:type="pct"/>
            <w:tcBorders>
              <w:top w:val="nil"/>
              <w:left w:val="nil"/>
              <w:bottom w:val="nil"/>
              <w:right w:val="nil"/>
            </w:tcBorders>
            <w:shd w:val="clear" w:color="auto" w:fill="auto"/>
            <w:noWrap/>
            <w:vAlign w:val="bottom"/>
            <w:hideMark/>
          </w:tcPr>
          <w:p w14:paraId="0634BB08"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2FF7DD2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5.81(2.78-12.13)</w:t>
            </w:r>
          </w:p>
        </w:tc>
        <w:tc>
          <w:tcPr>
            <w:tcW w:w="396" w:type="pct"/>
            <w:tcBorders>
              <w:top w:val="nil"/>
              <w:left w:val="nil"/>
              <w:bottom w:val="nil"/>
              <w:right w:val="nil"/>
            </w:tcBorders>
            <w:shd w:val="clear" w:color="auto" w:fill="auto"/>
            <w:noWrap/>
            <w:vAlign w:val="bottom"/>
            <w:hideMark/>
          </w:tcPr>
          <w:p w14:paraId="52ECD4D3"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r>
      <w:tr w:rsidR="00A80C42" w:rsidRPr="002729A0" w14:paraId="58D4C6F8" w14:textId="77777777" w:rsidTr="00C07747">
        <w:trPr>
          <w:trHeight w:val="340"/>
        </w:trPr>
        <w:tc>
          <w:tcPr>
            <w:tcW w:w="2220" w:type="pct"/>
            <w:gridSpan w:val="4"/>
            <w:tcBorders>
              <w:top w:val="nil"/>
              <w:left w:val="nil"/>
              <w:bottom w:val="nil"/>
              <w:right w:val="nil"/>
            </w:tcBorders>
            <w:shd w:val="clear" w:color="auto" w:fill="auto"/>
            <w:noWrap/>
            <w:vAlign w:val="bottom"/>
            <w:hideMark/>
          </w:tcPr>
          <w:p w14:paraId="337F8B9A"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Have a communication plan in place</w:t>
            </w:r>
          </w:p>
        </w:tc>
        <w:tc>
          <w:tcPr>
            <w:tcW w:w="460" w:type="pct"/>
            <w:tcBorders>
              <w:top w:val="nil"/>
              <w:left w:val="nil"/>
              <w:bottom w:val="nil"/>
              <w:right w:val="nil"/>
            </w:tcBorders>
            <w:shd w:val="clear" w:color="auto" w:fill="auto"/>
            <w:noWrap/>
            <w:vAlign w:val="bottom"/>
            <w:hideMark/>
          </w:tcPr>
          <w:p w14:paraId="3F1B7015"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1AA7A70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441" w:type="pct"/>
            <w:tcBorders>
              <w:top w:val="nil"/>
              <w:left w:val="nil"/>
              <w:bottom w:val="nil"/>
              <w:right w:val="nil"/>
            </w:tcBorders>
            <w:shd w:val="clear" w:color="auto" w:fill="auto"/>
            <w:noWrap/>
            <w:vAlign w:val="bottom"/>
            <w:hideMark/>
          </w:tcPr>
          <w:p w14:paraId="2CBE8EE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257C2C7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396" w:type="pct"/>
            <w:tcBorders>
              <w:top w:val="nil"/>
              <w:left w:val="nil"/>
              <w:bottom w:val="nil"/>
              <w:right w:val="nil"/>
            </w:tcBorders>
            <w:shd w:val="clear" w:color="auto" w:fill="auto"/>
            <w:noWrap/>
            <w:vAlign w:val="bottom"/>
            <w:hideMark/>
          </w:tcPr>
          <w:p w14:paraId="27C2020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4CE89616" w14:textId="77777777" w:rsidTr="00C07747">
        <w:trPr>
          <w:trHeight w:val="340"/>
        </w:trPr>
        <w:tc>
          <w:tcPr>
            <w:tcW w:w="578" w:type="pct"/>
            <w:tcBorders>
              <w:top w:val="nil"/>
              <w:left w:val="nil"/>
              <w:bottom w:val="nil"/>
              <w:right w:val="nil"/>
            </w:tcBorders>
            <w:shd w:val="clear" w:color="auto" w:fill="auto"/>
            <w:noWrap/>
            <w:vAlign w:val="bottom"/>
            <w:hideMark/>
          </w:tcPr>
          <w:p w14:paraId="75E1FEA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No</w:t>
            </w:r>
          </w:p>
        </w:tc>
        <w:tc>
          <w:tcPr>
            <w:tcW w:w="565" w:type="pct"/>
            <w:tcBorders>
              <w:top w:val="nil"/>
              <w:left w:val="nil"/>
              <w:bottom w:val="nil"/>
              <w:right w:val="nil"/>
            </w:tcBorders>
            <w:shd w:val="clear" w:color="auto" w:fill="auto"/>
            <w:noWrap/>
            <w:vAlign w:val="bottom"/>
            <w:hideMark/>
          </w:tcPr>
          <w:p w14:paraId="79F3D98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260(51.28)</w:t>
            </w:r>
          </w:p>
        </w:tc>
        <w:tc>
          <w:tcPr>
            <w:tcW w:w="565" w:type="pct"/>
            <w:tcBorders>
              <w:top w:val="nil"/>
              <w:left w:val="nil"/>
              <w:bottom w:val="nil"/>
              <w:right w:val="nil"/>
            </w:tcBorders>
            <w:shd w:val="clear" w:color="auto" w:fill="auto"/>
            <w:noWrap/>
            <w:vAlign w:val="bottom"/>
            <w:hideMark/>
          </w:tcPr>
          <w:p w14:paraId="1AEC45F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229(88.08)</w:t>
            </w:r>
          </w:p>
        </w:tc>
        <w:tc>
          <w:tcPr>
            <w:tcW w:w="511" w:type="pct"/>
            <w:tcBorders>
              <w:top w:val="nil"/>
              <w:left w:val="nil"/>
              <w:bottom w:val="nil"/>
              <w:right w:val="nil"/>
            </w:tcBorders>
            <w:shd w:val="clear" w:color="auto" w:fill="auto"/>
            <w:noWrap/>
            <w:vAlign w:val="bottom"/>
            <w:hideMark/>
          </w:tcPr>
          <w:p w14:paraId="7543EFC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31(11.92)</w:t>
            </w:r>
          </w:p>
        </w:tc>
        <w:tc>
          <w:tcPr>
            <w:tcW w:w="460" w:type="pct"/>
            <w:tcBorders>
              <w:top w:val="nil"/>
              <w:left w:val="nil"/>
              <w:bottom w:val="nil"/>
              <w:right w:val="nil"/>
            </w:tcBorders>
            <w:shd w:val="clear" w:color="auto" w:fill="auto"/>
            <w:noWrap/>
            <w:vAlign w:val="bottom"/>
            <w:hideMark/>
          </w:tcPr>
          <w:p w14:paraId="4A53E06B"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814" w:type="pct"/>
            <w:tcBorders>
              <w:top w:val="nil"/>
              <w:left w:val="nil"/>
              <w:bottom w:val="nil"/>
              <w:right w:val="nil"/>
            </w:tcBorders>
            <w:shd w:val="clear" w:color="auto" w:fill="auto"/>
            <w:noWrap/>
            <w:vAlign w:val="bottom"/>
            <w:hideMark/>
          </w:tcPr>
          <w:p w14:paraId="0ED54B6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441" w:type="pct"/>
            <w:tcBorders>
              <w:top w:val="nil"/>
              <w:left w:val="nil"/>
              <w:bottom w:val="nil"/>
              <w:right w:val="nil"/>
            </w:tcBorders>
            <w:shd w:val="clear" w:color="auto" w:fill="auto"/>
            <w:noWrap/>
            <w:vAlign w:val="bottom"/>
            <w:hideMark/>
          </w:tcPr>
          <w:p w14:paraId="27BA82CA"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3938471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396" w:type="pct"/>
            <w:tcBorders>
              <w:top w:val="nil"/>
              <w:left w:val="nil"/>
              <w:bottom w:val="nil"/>
              <w:right w:val="nil"/>
            </w:tcBorders>
            <w:shd w:val="clear" w:color="auto" w:fill="auto"/>
            <w:noWrap/>
            <w:vAlign w:val="bottom"/>
            <w:hideMark/>
          </w:tcPr>
          <w:p w14:paraId="3F0C10A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6A72A537" w14:textId="77777777" w:rsidTr="00C07747">
        <w:trPr>
          <w:trHeight w:val="340"/>
        </w:trPr>
        <w:tc>
          <w:tcPr>
            <w:tcW w:w="578" w:type="pct"/>
            <w:tcBorders>
              <w:top w:val="nil"/>
              <w:left w:val="nil"/>
              <w:bottom w:val="nil"/>
              <w:right w:val="nil"/>
            </w:tcBorders>
            <w:shd w:val="clear" w:color="auto" w:fill="auto"/>
            <w:noWrap/>
            <w:vAlign w:val="bottom"/>
            <w:hideMark/>
          </w:tcPr>
          <w:p w14:paraId="11D2B0A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Yes</w:t>
            </w:r>
          </w:p>
        </w:tc>
        <w:tc>
          <w:tcPr>
            <w:tcW w:w="565" w:type="pct"/>
            <w:tcBorders>
              <w:top w:val="nil"/>
              <w:left w:val="nil"/>
              <w:bottom w:val="nil"/>
              <w:right w:val="nil"/>
            </w:tcBorders>
            <w:shd w:val="clear" w:color="auto" w:fill="auto"/>
            <w:noWrap/>
            <w:vAlign w:val="bottom"/>
            <w:hideMark/>
          </w:tcPr>
          <w:p w14:paraId="5ACF7DE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247(48.72)</w:t>
            </w:r>
          </w:p>
        </w:tc>
        <w:tc>
          <w:tcPr>
            <w:tcW w:w="565" w:type="pct"/>
            <w:tcBorders>
              <w:top w:val="nil"/>
              <w:left w:val="nil"/>
              <w:bottom w:val="nil"/>
              <w:right w:val="nil"/>
            </w:tcBorders>
            <w:shd w:val="clear" w:color="auto" w:fill="auto"/>
            <w:noWrap/>
            <w:vAlign w:val="bottom"/>
            <w:hideMark/>
          </w:tcPr>
          <w:p w14:paraId="651F2B6A"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36(14.57)</w:t>
            </w:r>
          </w:p>
        </w:tc>
        <w:tc>
          <w:tcPr>
            <w:tcW w:w="971" w:type="pct"/>
            <w:gridSpan w:val="2"/>
            <w:tcBorders>
              <w:top w:val="nil"/>
              <w:left w:val="nil"/>
              <w:bottom w:val="nil"/>
              <w:right w:val="nil"/>
            </w:tcBorders>
            <w:shd w:val="clear" w:color="auto" w:fill="auto"/>
            <w:noWrap/>
            <w:vAlign w:val="bottom"/>
            <w:hideMark/>
          </w:tcPr>
          <w:p w14:paraId="77D1696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211(85.43)</w:t>
            </w:r>
          </w:p>
        </w:tc>
        <w:tc>
          <w:tcPr>
            <w:tcW w:w="814" w:type="pct"/>
            <w:tcBorders>
              <w:top w:val="nil"/>
              <w:left w:val="nil"/>
              <w:bottom w:val="nil"/>
              <w:right w:val="nil"/>
            </w:tcBorders>
            <w:shd w:val="clear" w:color="auto" w:fill="auto"/>
            <w:noWrap/>
            <w:vAlign w:val="bottom"/>
            <w:hideMark/>
          </w:tcPr>
          <w:p w14:paraId="37C69EB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43.3(25.86-72.49)</w:t>
            </w:r>
          </w:p>
        </w:tc>
        <w:tc>
          <w:tcPr>
            <w:tcW w:w="441" w:type="pct"/>
            <w:tcBorders>
              <w:top w:val="nil"/>
              <w:left w:val="nil"/>
              <w:bottom w:val="nil"/>
              <w:right w:val="nil"/>
            </w:tcBorders>
            <w:shd w:val="clear" w:color="auto" w:fill="auto"/>
            <w:noWrap/>
            <w:vAlign w:val="bottom"/>
            <w:hideMark/>
          </w:tcPr>
          <w:p w14:paraId="59C2BE59"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1F0D323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7.74(3.79-15.82)</w:t>
            </w:r>
          </w:p>
        </w:tc>
        <w:tc>
          <w:tcPr>
            <w:tcW w:w="396" w:type="pct"/>
            <w:tcBorders>
              <w:top w:val="nil"/>
              <w:left w:val="nil"/>
              <w:bottom w:val="nil"/>
              <w:right w:val="nil"/>
            </w:tcBorders>
            <w:shd w:val="clear" w:color="auto" w:fill="auto"/>
            <w:noWrap/>
            <w:vAlign w:val="bottom"/>
            <w:hideMark/>
          </w:tcPr>
          <w:p w14:paraId="584BAE82"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r>
      <w:tr w:rsidR="00A80C42" w:rsidRPr="002729A0" w14:paraId="041E92F8" w14:textId="77777777" w:rsidTr="00C07747">
        <w:trPr>
          <w:trHeight w:val="340"/>
        </w:trPr>
        <w:tc>
          <w:tcPr>
            <w:tcW w:w="2220" w:type="pct"/>
            <w:gridSpan w:val="4"/>
            <w:tcBorders>
              <w:top w:val="nil"/>
              <w:left w:val="nil"/>
              <w:bottom w:val="nil"/>
              <w:right w:val="nil"/>
            </w:tcBorders>
            <w:shd w:val="clear" w:color="auto" w:fill="auto"/>
            <w:noWrap/>
            <w:vAlign w:val="bottom"/>
            <w:hideMark/>
          </w:tcPr>
          <w:p w14:paraId="4B390FB6"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Get information about PHE events</w:t>
            </w:r>
          </w:p>
        </w:tc>
        <w:tc>
          <w:tcPr>
            <w:tcW w:w="460" w:type="pct"/>
            <w:tcBorders>
              <w:top w:val="nil"/>
              <w:left w:val="nil"/>
              <w:bottom w:val="nil"/>
              <w:right w:val="nil"/>
            </w:tcBorders>
            <w:shd w:val="clear" w:color="auto" w:fill="auto"/>
            <w:noWrap/>
            <w:vAlign w:val="bottom"/>
            <w:hideMark/>
          </w:tcPr>
          <w:p w14:paraId="671CA610"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511B91B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441" w:type="pct"/>
            <w:tcBorders>
              <w:top w:val="nil"/>
              <w:left w:val="nil"/>
              <w:bottom w:val="nil"/>
              <w:right w:val="nil"/>
            </w:tcBorders>
            <w:shd w:val="clear" w:color="auto" w:fill="auto"/>
            <w:noWrap/>
            <w:vAlign w:val="bottom"/>
            <w:hideMark/>
          </w:tcPr>
          <w:p w14:paraId="29B14A5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117E661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396" w:type="pct"/>
            <w:tcBorders>
              <w:top w:val="nil"/>
              <w:left w:val="nil"/>
              <w:bottom w:val="nil"/>
              <w:right w:val="nil"/>
            </w:tcBorders>
            <w:shd w:val="clear" w:color="auto" w:fill="auto"/>
            <w:noWrap/>
            <w:vAlign w:val="bottom"/>
            <w:hideMark/>
          </w:tcPr>
          <w:p w14:paraId="391F62D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795DBA0F" w14:textId="77777777" w:rsidTr="00C07747">
        <w:trPr>
          <w:trHeight w:val="340"/>
        </w:trPr>
        <w:tc>
          <w:tcPr>
            <w:tcW w:w="578" w:type="pct"/>
            <w:tcBorders>
              <w:top w:val="nil"/>
              <w:left w:val="nil"/>
              <w:bottom w:val="nil"/>
              <w:right w:val="nil"/>
            </w:tcBorders>
            <w:shd w:val="clear" w:color="auto" w:fill="auto"/>
            <w:noWrap/>
            <w:vAlign w:val="bottom"/>
            <w:hideMark/>
          </w:tcPr>
          <w:p w14:paraId="23F8D98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Always</w:t>
            </w:r>
          </w:p>
        </w:tc>
        <w:tc>
          <w:tcPr>
            <w:tcW w:w="565" w:type="pct"/>
            <w:tcBorders>
              <w:top w:val="nil"/>
              <w:left w:val="nil"/>
              <w:bottom w:val="nil"/>
              <w:right w:val="nil"/>
            </w:tcBorders>
            <w:shd w:val="clear" w:color="auto" w:fill="auto"/>
            <w:noWrap/>
            <w:vAlign w:val="bottom"/>
            <w:hideMark/>
          </w:tcPr>
          <w:p w14:paraId="1CBF15E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116(22.88)</w:t>
            </w:r>
          </w:p>
        </w:tc>
        <w:tc>
          <w:tcPr>
            <w:tcW w:w="565" w:type="pct"/>
            <w:tcBorders>
              <w:top w:val="nil"/>
              <w:left w:val="nil"/>
              <w:bottom w:val="nil"/>
              <w:right w:val="nil"/>
            </w:tcBorders>
            <w:shd w:val="clear" w:color="auto" w:fill="auto"/>
            <w:noWrap/>
            <w:vAlign w:val="bottom"/>
            <w:hideMark/>
          </w:tcPr>
          <w:p w14:paraId="69B7CEF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33(28.45)</w:t>
            </w:r>
          </w:p>
        </w:tc>
        <w:tc>
          <w:tcPr>
            <w:tcW w:w="511" w:type="pct"/>
            <w:tcBorders>
              <w:top w:val="nil"/>
              <w:left w:val="nil"/>
              <w:bottom w:val="nil"/>
              <w:right w:val="nil"/>
            </w:tcBorders>
            <w:shd w:val="clear" w:color="auto" w:fill="auto"/>
            <w:noWrap/>
            <w:vAlign w:val="bottom"/>
            <w:hideMark/>
          </w:tcPr>
          <w:p w14:paraId="4B8B3B8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83(71.55)</w:t>
            </w:r>
          </w:p>
        </w:tc>
        <w:tc>
          <w:tcPr>
            <w:tcW w:w="460" w:type="pct"/>
            <w:tcBorders>
              <w:top w:val="nil"/>
              <w:left w:val="nil"/>
              <w:bottom w:val="nil"/>
              <w:right w:val="nil"/>
            </w:tcBorders>
            <w:shd w:val="clear" w:color="auto" w:fill="auto"/>
            <w:noWrap/>
            <w:vAlign w:val="bottom"/>
            <w:hideMark/>
          </w:tcPr>
          <w:p w14:paraId="3777C8E4"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814" w:type="pct"/>
            <w:tcBorders>
              <w:top w:val="nil"/>
              <w:left w:val="nil"/>
              <w:bottom w:val="nil"/>
              <w:right w:val="nil"/>
            </w:tcBorders>
            <w:shd w:val="clear" w:color="auto" w:fill="auto"/>
            <w:noWrap/>
            <w:vAlign w:val="bottom"/>
            <w:hideMark/>
          </w:tcPr>
          <w:p w14:paraId="0962AFA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441" w:type="pct"/>
            <w:tcBorders>
              <w:top w:val="nil"/>
              <w:left w:val="nil"/>
              <w:bottom w:val="nil"/>
              <w:right w:val="nil"/>
            </w:tcBorders>
            <w:shd w:val="clear" w:color="auto" w:fill="auto"/>
            <w:noWrap/>
            <w:vAlign w:val="bottom"/>
            <w:hideMark/>
          </w:tcPr>
          <w:p w14:paraId="29F9E89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735DE9C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396" w:type="pct"/>
            <w:tcBorders>
              <w:top w:val="nil"/>
              <w:left w:val="nil"/>
              <w:bottom w:val="nil"/>
              <w:right w:val="nil"/>
            </w:tcBorders>
            <w:shd w:val="clear" w:color="auto" w:fill="auto"/>
            <w:noWrap/>
            <w:vAlign w:val="bottom"/>
            <w:hideMark/>
          </w:tcPr>
          <w:p w14:paraId="74DDBB0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6DAE141B" w14:textId="77777777" w:rsidTr="00C07747">
        <w:trPr>
          <w:trHeight w:val="340"/>
        </w:trPr>
        <w:tc>
          <w:tcPr>
            <w:tcW w:w="578" w:type="pct"/>
            <w:tcBorders>
              <w:top w:val="nil"/>
              <w:left w:val="nil"/>
              <w:bottom w:val="nil"/>
              <w:right w:val="nil"/>
            </w:tcBorders>
            <w:shd w:val="clear" w:color="auto" w:fill="auto"/>
            <w:noWrap/>
            <w:vAlign w:val="bottom"/>
            <w:hideMark/>
          </w:tcPr>
          <w:p w14:paraId="1BB7D7A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Sometimes</w:t>
            </w:r>
          </w:p>
        </w:tc>
        <w:tc>
          <w:tcPr>
            <w:tcW w:w="565" w:type="pct"/>
            <w:tcBorders>
              <w:top w:val="nil"/>
              <w:left w:val="nil"/>
              <w:bottom w:val="nil"/>
              <w:right w:val="nil"/>
            </w:tcBorders>
            <w:shd w:val="clear" w:color="auto" w:fill="auto"/>
            <w:noWrap/>
            <w:vAlign w:val="bottom"/>
            <w:hideMark/>
          </w:tcPr>
          <w:p w14:paraId="76D8BB1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329(64.89)</w:t>
            </w:r>
          </w:p>
        </w:tc>
        <w:tc>
          <w:tcPr>
            <w:tcW w:w="565" w:type="pct"/>
            <w:tcBorders>
              <w:top w:val="nil"/>
              <w:left w:val="nil"/>
              <w:bottom w:val="nil"/>
              <w:right w:val="nil"/>
            </w:tcBorders>
            <w:shd w:val="clear" w:color="auto" w:fill="auto"/>
            <w:noWrap/>
            <w:vAlign w:val="bottom"/>
            <w:hideMark/>
          </w:tcPr>
          <w:p w14:paraId="738D6B1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190(57.75)</w:t>
            </w:r>
          </w:p>
        </w:tc>
        <w:tc>
          <w:tcPr>
            <w:tcW w:w="971" w:type="pct"/>
            <w:gridSpan w:val="2"/>
            <w:tcBorders>
              <w:top w:val="nil"/>
              <w:left w:val="nil"/>
              <w:bottom w:val="nil"/>
              <w:right w:val="nil"/>
            </w:tcBorders>
            <w:shd w:val="clear" w:color="auto" w:fill="auto"/>
            <w:noWrap/>
            <w:vAlign w:val="bottom"/>
            <w:hideMark/>
          </w:tcPr>
          <w:p w14:paraId="1353462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139(42.25)</w:t>
            </w:r>
          </w:p>
        </w:tc>
        <w:tc>
          <w:tcPr>
            <w:tcW w:w="814" w:type="pct"/>
            <w:tcBorders>
              <w:top w:val="nil"/>
              <w:left w:val="nil"/>
              <w:bottom w:val="nil"/>
              <w:right w:val="nil"/>
            </w:tcBorders>
            <w:shd w:val="clear" w:color="auto" w:fill="auto"/>
            <w:noWrap/>
            <w:vAlign w:val="bottom"/>
            <w:hideMark/>
          </w:tcPr>
          <w:p w14:paraId="7CB6069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0.29(0.18-0.46)</w:t>
            </w:r>
          </w:p>
        </w:tc>
        <w:tc>
          <w:tcPr>
            <w:tcW w:w="441" w:type="pct"/>
            <w:tcBorders>
              <w:top w:val="nil"/>
              <w:left w:val="nil"/>
              <w:bottom w:val="nil"/>
              <w:right w:val="nil"/>
            </w:tcBorders>
            <w:shd w:val="clear" w:color="auto" w:fill="auto"/>
            <w:noWrap/>
            <w:vAlign w:val="bottom"/>
            <w:hideMark/>
          </w:tcPr>
          <w:p w14:paraId="6E272425"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6EA28B4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0.73(0.34-1.58)</w:t>
            </w:r>
          </w:p>
        </w:tc>
        <w:tc>
          <w:tcPr>
            <w:tcW w:w="396" w:type="pct"/>
            <w:tcBorders>
              <w:top w:val="nil"/>
              <w:left w:val="nil"/>
              <w:bottom w:val="nil"/>
              <w:right w:val="nil"/>
            </w:tcBorders>
            <w:shd w:val="clear" w:color="auto" w:fill="auto"/>
            <w:noWrap/>
            <w:vAlign w:val="bottom"/>
            <w:hideMark/>
          </w:tcPr>
          <w:p w14:paraId="6CC571D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0.43</w:t>
            </w:r>
          </w:p>
        </w:tc>
      </w:tr>
      <w:tr w:rsidR="00A80C42" w:rsidRPr="002729A0" w14:paraId="43BB2EB6" w14:textId="77777777" w:rsidTr="00C07747">
        <w:trPr>
          <w:trHeight w:val="340"/>
        </w:trPr>
        <w:tc>
          <w:tcPr>
            <w:tcW w:w="578" w:type="pct"/>
            <w:tcBorders>
              <w:top w:val="nil"/>
              <w:left w:val="nil"/>
              <w:bottom w:val="nil"/>
              <w:right w:val="nil"/>
            </w:tcBorders>
            <w:shd w:val="clear" w:color="auto" w:fill="auto"/>
            <w:noWrap/>
            <w:vAlign w:val="bottom"/>
            <w:hideMark/>
          </w:tcPr>
          <w:p w14:paraId="4A46548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Never</w:t>
            </w:r>
          </w:p>
        </w:tc>
        <w:tc>
          <w:tcPr>
            <w:tcW w:w="565" w:type="pct"/>
            <w:tcBorders>
              <w:top w:val="nil"/>
              <w:left w:val="nil"/>
              <w:bottom w:val="nil"/>
              <w:right w:val="nil"/>
            </w:tcBorders>
            <w:shd w:val="clear" w:color="auto" w:fill="auto"/>
            <w:noWrap/>
            <w:vAlign w:val="bottom"/>
            <w:hideMark/>
          </w:tcPr>
          <w:p w14:paraId="0724CD1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62(12.23)</w:t>
            </w:r>
          </w:p>
        </w:tc>
        <w:tc>
          <w:tcPr>
            <w:tcW w:w="565" w:type="pct"/>
            <w:tcBorders>
              <w:top w:val="nil"/>
              <w:left w:val="nil"/>
              <w:bottom w:val="nil"/>
              <w:right w:val="nil"/>
            </w:tcBorders>
            <w:shd w:val="clear" w:color="auto" w:fill="auto"/>
            <w:noWrap/>
            <w:vAlign w:val="bottom"/>
            <w:hideMark/>
          </w:tcPr>
          <w:p w14:paraId="29DC478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42(67.74)</w:t>
            </w:r>
          </w:p>
        </w:tc>
        <w:tc>
          <w:tcPr>
            <w:tcW w:w="511" w:type="pct"/>
            <w:tcBorders>
              <w:top w:val="nil"/>
              <w:left w:val="nil"/>
              <w:bottom w:val="nil"/>
              <w:right w:val="nil"/>
            </w:tcBorders>
            <w:shd w:val="clear" w:color="auto" w:fill="auto"/>
            <w:noWrap/>
            <w:vAlign w:val="bottom"/>
            <w:hideMark/>
          </w:tcPr>
          <w:p w14:paraId="02B159B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20(32.26)</w:t>
            </w:r>
          </w:p>
        </w:tc>
        <w:tc>
          <w:tcPr>
            <w:tcW w:w="460" w:type="pct"/>
            <w:tcBorders>
              <w:top w:val="nil"/>
              <w:left w:val="nil"/>
              <w:bottom w:val="nil"/>
              <w:right w:val="nil"/>
            </w:tcBorders>
            <w:shd w:val="clear" w:color="auto" w:fill="auto"/>
            <w:noWrap/>
            <w:vAlign w:val="bottom"/>
            <w:hideMark/>
          </w:tcPr>
          <w:p w14:paraId="68CBA07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66D8C18A"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0.19(0.1-0.37)</w:t>
            </w:r>
          </w:p>
        </w:tc>
        <w:tc>
          <w:tcPr>
            <w:tcW w:w="441" w:type="pct"/>
            <w:tcBorders>
              <w:top w:val="nil"/>
              <w:left w:val="nil"/>
              <w:bottom w:val="nil"/>
              <w:right w:val="nil"/>
            </w:tcBorders>
            <w:shd w:val="clear" w:color="auto" w:fill="auto"/>
            <w:noWrap/>
            <w:vAlign w:val="bottom"/>
            <w:hideMark/>
          </w:tcPr>
          <w:p w14:paraId="2485ABB8"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37196A7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0.74(0.24-2.32)</w:t>
            </w:r>
          </w:p>
        </w:tc>
        <w:tc>
          <w:tcPr>
            <w:tcW w:w="396" w:type="pct"/>
            <w:tcBorders>
              <w:top w:val="nil"/>
              <w:left w:val="nil"/>
              <w:bottom w:val="nil"/>
              <w:right w:val="nil"/>
            </w:tcBorders>
            <w:shd w:val="clear" w:color="auto" w:fill="auto"/>
            <w:noWrap/>
            <w:vAlign w:val="bottom"/>
            <w:hideMark/>
          </w:tcPr>
          <w:p w14:paraId="6517238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0.611</w:t>
            </w:r>
          </w:p>
        </w:tc>
      </w:tr>
      <w:tr w:rsidR="00A80C42" w:rsidRPr="002729A0" w14:paraId="3B0C9D0C" w14:textId="77777777" w:rsidTr="00C07747">
        <w:trPr>
          <w:trHeight w:val="340"/>
        </w:trPr>
        <w:tc>
          <w:tcPr>
            <w:tcW w:w="2680" w:type="pct"/>
            <w:gridSpan w:val="5"/>
            <w:tcBorders>
              <w:top w:val="nil"/>
              <w:left w:val="nil"/>
              <w:bottom w:val="nil"/>
              <w:right w:val="nil"/>
            </w:tcBorders>
            <w:shd w:val="clear" w:color="auto" w:fill="auto"/>
            <w:noWrap/>
            <w:vAlign w:val="bottom"/>
            <w:hideMark/>
          </w:tcPr>
          <w:p w14:paraId="7EFBE430"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Government staff check PHE effects in the community</w:t>
            </w:r>
          </w:p>
        </w:tc>
        <w:tc>
          <w:tcPr>
            <w:tcW w:w="814" w:type="pct"/>
            <w:tcBorders>
              <w:top w:val="nil"/>
              <w:left w:val="nil"/>
              <w:bottom w:val="nil"/>
              <w:right w:val="nil"/>
            </w:tcBorders>
            <w:shd w:val="clear" w:color="auto" w:fill="auto"/>
            <w:noWrap/>
            <w:vAlign w:val="bottom"/>
            <w:hideMark/>
          </w:tcPr>
          <w:p w14:paraId="206E111B"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
        </w:tc>
        <w:tc>
          <w:tcPr>
            <w:tcW w:w="441" w:type="pct"/>
            <w:tcBorders>
              <w:top w:val="nil"/>
              <w:left w:val="nil"/>
              <w:bottom w:val="nil"/>
              <w:right w:val="nil"/>
            </w:tcBorders>
            <w:shd w:val="clear" w:color="auto" w:fill="auto"/>
            <w:noWrap/>
            <w:vAlign w:val="bottom"/>
            <w:hideMark/>
          </w:tcPr>
          <w:p w14:paraId="3993027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57D257E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396" w:type="pct"/>
            <w:tcBorders>
              <w:top w:val="nil"/>
              <w:left w:val="nil"/>
              <w:bottom w:val="nil"/>
              <w:right w:val="nil"/>
            </w:tcBorders>
            <w:shd w:val="clear" w:color="auto" w:fill="auto"/>
            <w:noWrap/>
            <w:vAlign w:val="bottom"/>
            <w:hideMark/>
          </w:tcPr>
          <w:p w14:paraId="3B8366D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12BF0F37" w14:textId="77777777" w:rsidTr="00C07747">
        <w:trPr>
          <w:trHeight w:val="340"/>
        </w:trPr>
        <w:tc>
          <w:tcPr>
            <w:tcW w:w="578" w:type="pct"/>
            <w:tcBorders>
              <w:top w:val="nil"/>
              <w:left w:val="nil"/>
              <w:bottom w:val="nil"/>
              <w:right w:val="nil"/>
            </w:tcBorders>
            <w:shd w:val="clear" w:color="auto" w:fill="auto"/>
            <w:noWrap/>
            <w:vAlign w:val="bottom"/>
            <w:hideMark/>
          </w:tcPr>
          <w:p w14:paraId="6DF19A8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No</w:t>
            </w:r>
          </w:p>
        </w:tc>
        <w:tc>
          <w:tcPr>
            <w:tcW w:w="565" w:type="pct"/>
            <w:tcBorders>
              <w:top w:val="nil"/>
              <w:left w:val="nil"/>
              <w:bottom w:val="nil"/>
              <w:right w:val="nil"/>
            </w:tcBorders>
            <w:shd w:val="clear" w:color="auto" w:fill="auto"/>
            <w:noWrap/>
            <w:vAlign w:val="bottom"/>
            <w:hideMark/>
          </w:tcPr>
          <w:p w14:paraId="68C1ACE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208(41.03)</w:t>
            </w:r>
          </w:p>
        </w:tc>
        <w:tc>
          <w:tcPr>
            <w:tcW w:w="565" w:type="pct"/>
            <w:tcBorders>
              <w:top w:val="nil"/>
              <w:left w:val="nil"/>
              <w:bottom w:val="nil"/>
              <w:right w:val="nil"/>
            </w:tcBorders>
            <w:shd w:val="clear" w:color="auto" w:fill="auto"/>
            <w:noWrap/>
            <w:vAlign w:val="bottom"/>
            <w:hideMark/>
          </w:tcPr>
          <w:p w14:paraId="6912993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190(91.35)</w:t>
            </w:r>
          </w:p>
        </w:tc>
        <w:tc>
          <w:tcPr>
            <w:tcW w:w="511" w:type="pct"/>
            <w:tcBorders>
              <w:top w:val="nil"/>
              <w:left w:val="nil"/>
              <w:bottom w:val="nil"/>
              <w:right w:val="nil"/>
            </w:tcBorders>
            <w:shd w:val="clear" w:color="auto" w:fill="auto"/>
            <w:noWrap/>
            <w:vAlign w:val="bottom"/>
            <w:hideMark/>
          </w:tcPr>
          <w:p w14:paraId="098DC76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18(8.65)</w:t>
            </w:r>
          </w:p>
        </w:tc>
        <w:tc>
          <w:tcPr>
            <w:tcW w:w="460" w:type="pct"/>
            <w:tcBorders>
              <w:top w:val="nil"/>
              <w:left w:val="nil"/>
              <w:bottom w:val="nil"/>
              <w:right w:val="nil"/>
            </w:tcBorders>
            <w:shd w:val="clear" w:color="auto" w:fill="auto"/>
            <w:noWrap/>
            <w:vAlign w:val="bottom"/>
            <w:hideMark/>
          </w:tcPr>
          <w:p w14:paraId="1F267E46"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814" w:type="pct"/>
            <w:tcBorders>
              <w:top w:val="nil"/>
              <w:left w:val="nil"/>
              <w:bottom w:val="nil"/>
              <w:right w:val="nil"/>
            </w:tcBorders>
            <w:shd w:val="clear" w:color="auto" w:fill="auto"/>
            <w:noWrap/>
            <w:vAlign w:val="bottom"/>
            <w:hideMark/>
          </w:tcPr>
          <w:p w14:paraId="22C7197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441" w:type="pct"/>
            <w:tcBorders>
              <w:top w:val="nil"/>
              <w:left w:val="nil"/>
              <w:bottom w:val="nil"/>
              <w:right w:val="nil"/>
            </w:tcBorders>
            <w:shd w:val="clear" w:color="auto" w:fill="auto"/>
            <w:noWrap/>
            <w:vAlign w:val="bottom"/>
            <w:hideMark/>
          </w:tcPr>
          <w:p w14:paraId="4B28185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5C3A60A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396" w:type="pct"/>
            <w:tcBorders>
              <w:top w:val="nil"/>
              <w:left w:val="nil"/>
              <w:bottom w:val="nil"/>
              <w:right w:val="nil"/>
            </w:tcBorders>
            <w:shd w:val="clear" w:color="auto" w:fill="auto"/>
            <w:noWrap/>
            <w:vAlign w:val="bottom"/>
            <w:hideMark/>
          </w:tcPr>
          <w:p w14:paraId="4699BB9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44EB56F9" w14:textId="77777777" w:rsidTr="00C07747">
        <w:trPr>
          <w:trHeight w:val="340"/>
        </w:trPr>
        <w:tc>
          <w:tcPr>
            <w:tcW w:w="578" w:type="pct"/>
            <w:tcBorders>
              <w:top w:val="nil"/>
              <w:left w:val="nil"/>
              <w:bottom w:val="nil"/>
              <w:right w:val="nil"/>
            </w:tcBorders>
            <w:shd w:val="clear" w:color="auto" w:fill="auto"/>
            <w:noWrap/>
            <w:vAlign w:val="bottom"/>
            <w:hideMark/>
          </w:tcPr>
          <w:p w14:paraId="46B765A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Yes</w:t>
            </w:r>
          </w:p>
        </w:tc>
        <w:tc>
          <w:tcPr>
            <w:tcW w:w="565" w:type="pct"/>
            <w:tcBorders>
              <w:top w:val="nil"/>
              <w:left w:val="nil"/>
              <w:bottom w:val="nil"/>
              <w:right w:val="nil"/>
            </w:tcBorders>
            <w:shd w:val="clear" w:color="auto" w:fill="auto"/>
            <w:noWrap/>
            <w:vAlign w:val="bottom"/>
            <w:hideMark/>
          </w:tcPr>
          <w:p w14:paraId="04C3AC1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299(58.97)</w:t>
            </w:r>
          </w:p>
        </w:tc>
        <w:tc>
          <w:tcPr>
            <w:tcW w:w="565" w:type="pct"/>
            <w:tcBorders>
              <w:top w:val="nil"/>
              <w:left w:val="nil"/>
              <w:bottom w:val="nil"/>
              <w:right w:val="nil"/>
            </w:tcBorders>
            <w:shd w:val="clear" w:color="auto" w:fill="auto"/>
            <w:noWrap/>
            <w:vAlign w:val="bottom"/>
            <w:hideMark/>
          </w:tcPr>
          <w:p w14:paraId="61AE6BF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75(25.08)</w:t>
            </w:r>
          </w:p>
        </w:tc>
        <w:tc>
          <w:tcPr>
            <w:tcW w:w="971" w:type="pct"/>
            <w:gridSpan w:val="2"/>
            <w:tcBorders>
              <w:top w:val="nil"/>
              <w:left w:val="nil"/>
              <w:bottom w:val="nil"/>
              <w:right w:val="nil"/>
            </w:tcBorders>
            <w:shd w:val="clear" w:color="auto" w:fill="auto"/>
            <w:noWrap/>
            <w:vAlign w:val="bottom"/>
            <w:hideMark/>
          </w:tcPr>
          <w:p w14:paraId="7B719D2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224(74.92)</w:t>
            </w:r>
          </w:p>
        </w:tc>
        <w:tc>
          <w:tcPr>
            <w:tcW w:w="814" w:type="pct"/>
            <w:tcBorders>
              <w:top w:val="nil"/>
              <w:left w:val="nil"/>
              <w:bottom w:val="nil"/>
              <w:right w:val="nil"/>
            </w:tcBorders>
            <w:shd w:val="clear" w:color="auto" w:fill="auto"/>
            <w:noWrap/>
            <w:vAlign w:val="bottom"/>
            <w:hideMark/>
          </w:tcPr>
          <w:p w14:paraId="50A5DB1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31.53(18.2-54.62)</w:t>
            </w:r>
          </w:p>
        </w:tc>
        <w:tc>
          <w:tcPr>
            <w:tcW w:w="441" w:type="pct"/>
            <w:tcBorders>
              <w:top w:val="nil"/>
              <w:left w:val="nil"/>
              <w:bottom w:val="nil"/>
              <w:right w:val="nil"/>
            </w:tcBorders>
            <w:shd w:val="clear" w:color="auto" w:fill="auto"/>
            <w:noWrap/>
            <w:vAlign w:val="bottom"/>
            <w:hideMark/>
          </w:tcPr>
          <w:p w14:paraId="05D40FE7"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3372CA0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6.19(2.76-13.92)</w:t>
            </w:r>
          </w:p>
        </w:tc>
        <w:tc>
          <w:tcPr>
            <w:tcW w:w="396" w:type="pct"/>
            <w:tcBorders>
              <w:top w:val="nil"/>
              <w:left w:val="nil"/>
              <w:bottom w:val="nil"/>
              <w:right w:val="nil"/>
            </w:tcBorders>
            <w:shd w:val="clear" w:color="auto" w:fill="auto"/>
            <w:noWrap/>
            <w:vAlign w:val="bottom"/>
            <w:hideMark/>
          </w:tcPr>
          <w:p w14:paraId="55BCBEAA"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r>
      <w:tr w:rsidR="00A80C42" w:rsidRPr="002729A0" w14:paraId="5A0FFDCB" w14:textId="77777777" w:rsidTr="00C07747">
        <w:trPr>
          <w:trHeight w:val="340"/>
        </w:trPr>
        <w:tc>
          <w:tcPr>
            <w:tcW w:w="3494" w:type="pct"/>
            <w:gridSpan w:val="6"/>
            <w:tcBorders>
              <w:top w:val="nil"/>
              <w:left w:val="nil"/>
              <w:bottom w:val="nil"/>
              <w:right w:val="nil"/>
            </w:tcBorders>
            <w:shd w:val="clear" w:color="auto" w:fill="auto"/>
            <w:noWrap/>
            <w:vAlign w:val="bottom"/>
            <w:hideMark/>
          </w:tcPr>
          <w:p w14:paraId="137478C9"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 xml:space="preserve">No. Community Members Trained on PHE response and preparedness </w:t>
            </w:r>
          </w:p>
        </w:tc>
        <w:tc>
          <w:tcPr>
            <w:tcW w:w="441" w:type="pct"/>
            <w:tcBorders>
              <w:top w:val="nil"/>
              <w:left w:val="nil"/>
              <w:bottom w:val="nil"/>
              <w:right w:val="nil"/>
            </w:tcBorders>
            <w:shd w:val="clear" w:color="auto" w:fill="auto"/>
            <w:noWrap/>
            <w:vAlign w:val="bottom"/>
            <w:hideMark/>
          </w:tcPr>
          <w:p w14:paraId="764A60D4"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1E718C7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396" w:type="pct"/>
            <w:tcBorders>
              <w:top w:val="nil"/>
              <w:left w:val="nil"/>
              <w:bottom w:val="nil"/>
              <w:right w:val="nil"/>
            </w:tcBorders>
            <w:shd w:val="clear" w:color="auto" w:fill="auto"/>
            <w:noWrap/>
            <w:vAlign w:val="bottom"/>
            <w:hideMark/>
          </w:tcPr>
          <w:p w14:paraId="052791C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62A24D5E" w14:textId="77777777" w:rsidTr="00C07747">
        <w:trPr>
          <w:trHeight w:val="340"/>
        </w:trPr>
        <w:tc>
          <w:tcPr>
            <w:tcW w:w="578" w:type="pct"/>
            <w:tcBorders>
              <w:top w:val="nil"/>
              <w:left w:val="nil"/>
              <w:bottom w:val="nil"/>
              <w:right w:val="nil"/>
            </w:tcBorders>
            <w:shd w:val="clear" w:color="auto" w:fill="auto"/>
            <w:noWrap/>
            <w:vAlign w:val="bottom"/>
            <w:hideMark/>
          </w:tcPr>
          <w:p w14:paraId="32883CA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&lt;50</w:t>
            </w:r>
          </w:p>
        </w:tc>
        <w:tc>
          <w:tcPr>
            <w:tcW w:w="565" w:type="pct"/>
            <w:tcBorders>
              <w:top w:val="nil"/>
              <w:left w:val="nil"/>
              <w:bottom w:val="nil"/>
              <w:right w:val="nil"/>
            </w:tcBorders>
            <w:shd w:val="clear" w:color="auto" w:fill="auto"/>
            <w:noWrap/>
            <w:vAlign w:val="bottom"/>
            <w:hideMark/>
          </w:tcPr>
          <w:p w14:paraId="2F8C69DA"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216(42.6)</w:t>
            </w:r>
          </w:p>
        </w:tc>
        <w:tc>
          <w:tcPr>
            <w:tcW w:w="565" w:type="pct"/>
            <w:tcBorders>
              <w:top w:val="nil"/>
              <w:left w:val="nil"/>
              <w:bottom w:val="nil"/>
              <w:right w:val="nil"/>
            </w:tcBorders>
            <w:shd w:val="clear" w:color="auto" w:fill="auto"/>
            <w:noWrap/>
            <w:vAlign w:val="bottom"/>
            <w:hideMark/>
          </w:tcPr>
          <w:p w14:paraId="38C5A21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149(68.98)</w:t>
            </w:r>
          </w:p>
        </w:tc>
        <w:tc>
          <w:tcPr>
            <w:tcW w:w="511" w:type="pct"/>
            <w:tcBorders>
              <w:top w:val="nil"/>
              <w:left w:val="nil"/>
              <w:bottom w:val="nil"/>
              <w:right w:val="nil"/>
            </w:tcBorders>
            <w:shd w:val="clear" w:color="auto" w:fill="auto"/>
            <w:noWrap/>
            <w:vAlign w:val="bottom"/>
            <w:hideMark/>
          </w:tcPr>
          <w:p w14:paraId="10E83AA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67(31.02)</w:t>
            </w:r>
          </w:p>
        </w:tc>
        <w:tc>
          <w:tcPr>
            <w:tcW w:w="460" w:type="pct"/>
            <w:tcBorders>
              <w:top w:val="nil"/>
              <w:left w:val="nil"/>
              <w:bottom w:val="nil"/>
              <w:right w:val="nil"/>
            </w:tcBorders>
            <w:shd w:val="clear" w:color="auto" w:fill="auto"/>
            <w:noWrap/>
            <w:vAlign w:val="bottom"/>
            <w:hideMark/>
          </w:tcPr>
          <w:p w14:paraId="381EDA88"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814" w:type="pct"/>
            <w:tcBorders>
              <w:top w:val="nil"/>
              <w:left w:val="nil"/>
              <w:bottom w:val="nil"/>
              <w:right w:val="nil"/>
            </w:tcBorders>
            <w:shd w:val="clear" w:color="auto" w:fill="auto"/>
            <w:noWrap/>
            <w:vAlign w:val="bottom"/>
            <w:hideMark/>
          </w:tcPr>
          <w:p w14:paraId="12B2604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441" w:type="pct"/>
            <w:tcBorders>
              <w:top w:val="nil"/>
              <w:left w:val="nil"/>
              <w:bottom w:val="nil"/>
              <w:right w:val="nil"/>
            </w:tcBorders>
            <w:shd w:val="clear" w:color="auto" w:fill="auto"/>
            <w:noWrap/>
            <w:vAlign w:val="bottom"/>
            <w:hideMark/>
          </w:tcPr>
          <w:p w14:paraId="602491E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75FF474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396" w:type="pct"/>
            <w:tcBorders>
              <w:top w:val="nil"/>
              <w:left w:val="nil"/>
              <w:bottom w:val="nil"/>
              <w:right w:val="nil"/>
            </w:tcBorders>
            <w:shd w:val="clear" w:color="auto" w:fill="auto"/>
            <w:noWrap/>
            <w:vAlign w:val="bottom"/>
            <w:hideMark/>
          </w:tcPr>
          <w:p w14:paraId="5D5D62C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2C71EBB4" w14:textId="77777777" w:rsidTr="00C07747">
        <w:trPr>
          <w:trHeight w:val="340"/>
        </w:trPr>
        <w:tc>
          <w:tcPr>
            <w:tcW w:w="578" w:type="pct"/>
            <w:tcBorders>
              <w:top w:val="nil"/>
              <w:left w:val="nil"/>
              <w:bottom w:val="nil"/>
              <w:right w:val="nil"/>
            </w:tcBorders>
            <w:shd w:val="clear" w:color="auto" w:fill="auto"/>
            <w:noWrap/>
            <w:vAlign w:val="bottom"/>
            <w:hideMark/>
          </w:tcPr>
          <w:p w14:paraId="077F056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50-90</w:t>
            </w:r>
          </w:p>
        </w:tc>
        <w:tc>
          <w:tcPr>
            <w:tcW w:w="565" w:type="pct"/>
            <w:tcBorders>
              <w:top w:val="nil"/>
              <w:left w:val="nil"/>
              <w:bottom w:val="nil"/>
              <w:right w:val="nil"/>
            </w:tcBorders>
            <w:shd w:val="clear" w:color="auto" w:fill="auto"/>
            <w:noWrap/>
            <w:vAlign w:val="bottom"/>
            <w:hideMark/>
          </w:tcPr>
          <w:p w14:paraId="2EFE729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119(23.47)</w:t>
            </w:r>
          </w:p>
        </w:tc>
        <w:tc>
          <w:tcPr>
            <w:tcW w:w="565" w:type="pct"/>
            <w:tcBorders>
              <w:top w:val="nil"/>
              <w:left w:val="nil"/>
              <w:bottom w:val="nil"/>
              <w:right w:val="nil"/>
            </w:tcBorders>
            <w:shd w:val="clear" w:color="auto" w:fill="auto"/>
            <w:noWrap/>
            <w:vAlign w:val="bottom"/>
            <w:hideMark/>
          </w:tcPr>
          <w:p w14:paraId="727E091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52(43.7)</w:t>
            </w:r>
          </w:p>
        </w:tc>
        <w:tc>
          <w:tcPr>
            <w:tcW w:w="511" w:type="pct"/>
            <w:tcBorders>
              <w:top w:val="nil"/>
              <w:left w:val="nil"/>
              <w:bottom w:val="nil"/>
              <w:right w:val="nil"/>
            </w:tcBorders>
            <w:shd w:val="clear" w:color="auto" w:fill="auto"/>
            <w:noWrap/>
            <w:vAlign w:val="bottom"/>
            <w:hideMark/>
          </w:tcPr>
          <w:p w14:paraId="682F2D6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67(56.3)</w:t>
            </w:r>
          </w:p>
        </w:tc>
        <w:tc>
          <w:tcPr>
            <w:tcW w:w="460" w:type="pct"/>
            <w:tcBorders>
              <w:top w:val="nil"/>
              <w:left w:val="nil"/>
              <w:bottom w:val="nil"/>
              <w:right w:val="nil"/>
            </w:tcBorders>
            <w:shd w:val="clear" w:color="auto" w:fill="auto"/>
            <w:noWrap/>
            <w:vAlign w:val="bottom"/>
            <w:hideMark/>
          </w:tcPr>
          <w:p w14:paraId="74ED292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495160A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2.87(1.8-4.55)</w:t>
            </w:r>
          </w:p>
        </w:tc>
        <w:tc>
          <w:tcPr>
            <w:tcW w:w="441" w:type="pct"/>
            <w:tcBorders>
              <w:top w:val="nil"/>
              <w:left w:val="nil"/>
              <w:bottom w:val="nil"/>
              <w:right w:val="nil"/>
            </w:tcBorders>
            <w:shd w:val="clear" w:color="auto" w:fill="auto"/>
            <w:noWrap/>
            <w:vAlign w:val="bottom"/>
            <w:hideMark/>
          </w:tcPr>
          <w:p w14:paraId="51F53D88"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48466EF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1.52(0.62-3.72)</w:t>
            </w:r>
          </w:p>
        </w:tc>
        <w:tc>
          <w:tcPr>
            <w:tcW w:w="396" w:type="pct"/>
            <w:tcBorders>
              <w:top w:val="nil"/>
              <w:left w:val="nil"/>
              <w:bottom w:val="nil"/>
              <w:right w:val="nil"/>
            </w:tcBorders>
            <w:shd w:val="clear" w:color="auto" w:fill="auto"/>
            <w:noWrap/>
            <w:vAlign w:val="bottom"/>
            <w:hideMark/>
          </w:tcPr>
          <w:p w14:paraId="511BA41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0.357</w:t>
            </w:r>
          </w:p>
        </w:tc>
      </w:tr>
      <w:tr w:rsidR="00A80C42" w:rsidRPr="002729A0" w14:paraId="5D6611AC" w14:textId="77777777" w:rsidTr="00C07747">
        <w:trPr>
          <w:trHeight w:val="340"/>
        </w:trPr>
        <w:tc>
          <w:tcPr>
            <w:tcW w:w="578" w:type="pct"/>
            <w:tcBorders>
              <w:top w:val="nil"/>
              <w:left w:val="nil"/>
              <w:bottom w:val="nil"/>
              <w:right w:val="nil"/>
            </w:tcBorders>
            <w:shd w:val="clear" w:color="auto" w:fill="auto"/>
            <w:noWrap/>
            <w:vAlign w:val="bottom"/>
            <w:hideMark/>
          </w:tcPr>
          <w:p w14:paraId="296C35D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90-130</w:t>
            </w:r>
          </w:p>
        </w:tc>
        <w:tc>
          <w:tcPr>
            <w:tcW w:w="565" w:type="pct"/>
            <w:tcBorders>
              <w:top w:val="nil"/>
              <w:left w:val="nil"/>
              <w:bottom w:val="nil"/>
              <w:right w:val="nil"/>
            </w:tcBorders>
            <w:shd w:val="clear" w:color="auto" w:fill="auto"/>
            <w:noWrap/>
            <w:vAlign w:val="bottom"/>
            <w:hideMark/>
          </w:tcPr>
          <w:p w14:paraId="3759CCE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115(22.68)</w:t>
            </w:r>
          </w:p>
        </w:tc>
        <w:tc>
          <w:tcPr>
            <w:tcW w:w="565" w:type="pct"/>
            <w:tcBorders>
              <w:top w:val="nil"/>
              <w:left w:val="nil"/>
              <w:bottom w:val="nil"/>
              <w:right w:val="nil"/>
            </w:tcBorders>
            <w:shd w:val="clear" w:color="auto" w:fill="auto"/>
            <w:noWrap/>
            <w:vAlign w:val="bottom"/>
            <w:hideMark/>
          </w:tcPr>
          <w:p w14:paraId="0B1666F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49(42.61)</w:t>
            </w:r>
          </w:p>
        </w:tc>
        <w:tc>
          <w:tcPr>
            <w:tcW w:w="511" w:type="pct"/>
            <w:tcBorders>
              <w:top w:val="nil"/>
              <w:left w:val="nil"/>
              <w:bottom w:val="nil"/>
              <w:right w:val="nil"/>
            </w:tcBorders>
            <w:shd w:val="clear" w:color="auto" w:fill="auto"/>
            <w:noWrap/>
            <w:vAlign w:val="bottom"/>
            <w:hideMark/>
          </w:tcPr>
          <w:p w14:paraId="7578587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66(57.39)</w:t>
            </w:r>
          </w:p>
        </w:tc>
        <w:tc>
          <w:tcPr>
            <w:tcW w:w="460" w:type="pct"/>
            <w:tcBorders>
              <w:top w:val="nil"/>
              <w:left w:val="nil"/>
              <w:bottom w:val="nil"/>
              <w:right w:val="nil"/>
            </w:tcBorders>
            <w:shd w:val="clear" w:color="auto" w:fill="auto"/>
            <w:noWrap/>
            <w:vAlign w:val="bottom"/>
            <w:hideMark/>
          </w:tcPr>
          <w:p w14:paraId="24E76F9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5DB0553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3(1.87-4.79)</w:t>
            </w:r>
          </w:p>
        </w:tc>
        <w:tc>
          <w:tcPr>
            <w:tcW w:w="441" w:type="pct"/>
            <w:tcBorders>
              <w:top w:val="nil"/>
              <w:left w:val="nil"/>
              <w:bottom w:val="nil"/>
              <w:right w:val="nil"/>
            </w:tcBorders>
            <w:shd w:val="clear" w:color="auto" w:fill="auto"/>
            <w:noWrap/>
            <w:vAlign w:val="bottom"/>
            <w:hideMark/>
          </w:tcPr>
          <w:p w14:paraId="50C1C74B"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3507577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0.64(0.28-1.46)</w:t>
            </w:r>
          </w:p>
        </w:tc>
        <w:tc>
          <w:tcPr>
            <w:tcW w:w="396" w:type="pct"/>
            <w:tcBorders>
              <w:top w:val="nil"/>
              <w:left w:val="nil"/>
              <w:bottom w:val="nil"/>
              <w:right w:val="nil"/>
            </w:tcBorders>
            <w:shd w:val="clear" w:color="auto" w:fill="auto"/>
            <w:noWrap/>
            <w:vAlign w:val="bottom"/>
            <w:hideMark/>
          </w:tcPr>
          <w:p w14:paraId="75B28A0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0.292</w:t>
            </w:r>
          </w:p>
        </w:tc>
      </w:tr>
      <w:tr w:rsidR="00A80C42" w:rsidRPr="002729A0" w14:paraId="34F54AAD" w14:textId="77777777" w:rsidTr="00C07747">
        <w:trPr>
          <w:trHeight w:val="340"/>
        </w:trPr>
        <w:tc>
          <w:tcPr>
            <w:tcW w:w="578" w:type="pct"/>
            <w:tcBorders>
              <w:top w:val="nil"/>
              <w:left w:val="nil"/>
              <w:bottom w:val="nil"/>
              <w:right w:val="nil"/>
            </w:tcBorders>
            <w:shd w:val="clear" w:color="auto" w:fill="auto"/>
            <w:noWrap/>
            <w:vAlign w:val="bottom"/>
            <w:hideMark/>
          </w:tcPr>
          <w:p w14:paraId="2FC0D95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lastRenderedPageBreak/>
              <w:t>Above 130</w:t>
            </w:r>
          </w:p>
        </w:tc>
        <w:tc>
          <w:tcPr>
            <w:tcW w:w="565" w:type="pct"/>
            <w:tcBorders>
              <w:top w:val="nil"/>
              <w:left w:val="nil"/>
              <w:bottom w:val="nil"/>
              <w:right w:val="nil"/>
            </w:tcBorders>
            <w:shd w:val="clear" w:color="auto" w:fill="auto"/>
            <w:noWrap/>
            <w:vAlign w:val="bottom"/>
            <w:hideMark/>
          </w:tcPr>
          <w:p w14:paraId="145DA62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57(11.24)</w:t>
            </w:r>
          </w:p>
        </w:tc>
        <w:tc>
          <w:tcPr>
            <w:tcW w:w="565" w:type="pct"/>
            <w:tcBorders>
              <w:top w:val="nil"/>
              <w:left w:val="nil"/>
              <w:bottom w:val="nil"/>
              <w:right w:val="nil"/>
            </w:tcBorders>
            <w:shd w:val="clear" w:color="auto" w:fill="auto"/>
            <w:noWrap/>
            <w:vAlign w:val="bottom"/>
            <w:hideMark/>
          </w:tcPr>
          <w:p w14:paraId="67BB388C"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15(26.32)</w:t>
            </w:r>
          </w:p>
        </w:tc>
        <w:tc>
          <w:tcPr>
            <w:tcW w:w="511" w:type="pct"/>
            <w:tcBorders>
              <w:top w:val="nil"/>
              <w:left w:val="nil"/>
              <w:bottom w:val="nil"/>
              <w:right w:val="nil"/>
            </w:tcBorders>
            <w:shd w:val="clear" w:color="auto" w:fill="auto"/>
            <w:noWrap/>
            <w:vAlign w:val="bottom"/>
            <w:hideMark/>
          </w:tcPr>
          <w:p w14:paraId="147536A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42(73.68)</w:t>
            </w:r>
          </w:p>
        </w:tc>
        <w:tc>
          <w:tcPr>
            <w:tcW w:w="460" w:type="pct"/>
            <w:tcBorders>
              <w:top w:val="nil"/>
              <w:left w:val="nil"/>
              <w:bottom w:val="nil"/>
              <w:right w:val="nil"/>
            </w:tcBorders>
            <w:shd w:val="clear" w:color="auto" w:fill="auto"/>
            <w:noWrap/>
            <w:vAlign w:val="bottom"/>
            <w:hideMark/>
          </w:tcPr>
          <w:p w14:paraId="6FBEEF7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0AF6CFE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6.23(3.23-12)</w:t>
            </w:r>
          </w:p>
        </w:tc>
        <w:tc>
          <w:tcPr>
            <w:tcW w:w="441" w:type="pct"/>
            <w:tcBorders>
              <w:top w:val="nil"/>
              <w:left w:val="nil"/>
              <w:bottom w:val="nil"/>
              <w:right w:val="nil"/>
            </w:tcBorders>
            <w:shd w:val="clear" w:color="auto" w:fill="auto"/>
            <w:noWrap/>
            <w:vAlign w:val="bottom"/>
            <w:hideMark/>
          </w:tcPr>
          <w:p w14:paraId="39919E37"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226F75A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2.22(0.72-6.89)</w:t>
            </w:r>
          </w:p>
        </w:tc>
        <w:tc>
          <w:tcPr>
            <w:tcW w:w="396" w:type="pct"/>
            <w:tcBorders>
              <w:top w:val="nil"/>
              <w:left w:val="nil"/>
              <w:bottom w:val="nil"/>
              <w:right w:val="nil"/>
            </w:tcBorders>
            <w:shd w:val="clear" w:color="auto" w:fill="auto"/>
            <w:noWrap/>
            <w:vAlign w:val="bottom"/>
            <w:hideMark/>
          </w:tcPr>
          <w:p w14:paraId="2901610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0.167</w:t>
            </w:r>
          </w:p>
        </w:tc>
      </w:tr>
      <w:tr w:rsidR="00A80C42" w:rsidRPr="002729A0" w14:paraId="74364443" w14:textId="77777777" w:rsidTr="00C07747">
        <w:trPr>
          <w:trHeight w:val="340"/>
        </w:trPr>
        <w:tc>
          <w:tcPr>
            <w:tcW w:w="2220" w:type="pct"/>
            <w:gridSpan w:val="4"/>
            <w:tcBorders>
              <w:top w:val="nil"/>
              <w:left w:val="nil"/>
              <w:bottom w:val="nil"/>
              <w:right w:val="nil"/>
            </w:tcBorders>
            <w:shd w:val="clear" w:color="auto" w:fill="auto"/>
            <w:noWrap/>
            <w:vAlign w:val="bottom"/>
            <w:hideMark/>
          </w:tcPr>
          <w:p w14:paraId="413E9A9A"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Information source concerning PHE</w:t>
            </w:r>
          </w:p>
        </w:tc>
        <w:tc>
          <w:tcPr>
            <w:tcW w:w="460" w:type="pct"/>
            <w:tcBorders>
              <w:top w:val="nil"/>
              <w:left w:val="nil"/>
              <w:bottom w:val="nil"/>
              <w:right w:val="nil"/>
            </w:tcBorders>
            <w:shd w:val="clear" w:color="auto" w:fill="auto"/>
            <w:noWrap/>
            <w:vAlign w:val="bottom"/>
            <w:hideMark/>
          </w:tcPr>
          <w:p w14:paraId="19BDD1ED"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222B2B9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441" w:type="pct"/>
            <w:tcBorders>
              <w:top w:val="nil"/>
              <w:left w:val="nil"/>
              <w:bottom w:val="nil"/>
              <w:right w:val="nil"/>
            </w:tcBorders>
            <w:shd w:val="clear" w:color="auto" w:fill="auto"/>
            <w:noWrap/>
            <w:vAlign w:val="bottom"/>
            <w:hideMark/>
          </w:tcPr>
          <w:p w14:paraId="6D3520EA"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2A3CAD0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396" w:type="pct"/>
            <w:tcBorders>
              <w:top w:val="nil"/>
              <w:left w:val="nil"/>
              <w:bottom w:val="nil"/>
              <w:right w:val="nil"/>
            </w:tcBorders>
            <w:shd w:val="clear" w:color="auto" w:fill="auto"/>
            <w:noWrap/>
            <w:vAlign w:val="bottom"/>
            <w:hideMark/>
          </w:tcPr>
          <w:p w14:paraId="74C63D9A"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6AEC47F4" w14:textId="77777777" w:rsidTr="00C07747">
        <w:trPr>
          <w:trHeight w:val="340"/>
        </w:trPr>
        <w:tc>
          <w:tcPr>
            <w:tcW w:w="578" w:type="pct"/>
            <w:tcBorders>
              <w:top w:val="nil"/>
              <w:left w:val="nil"/>
              <w:bottom w:val="nil"/>
              <w:right w:val="nil"/>
            </w:tcBorders>
            <w:shd w:val="clear" w:color="auto" w:fill="auto"/>
            <w:noWrap/>
            <w:vAlign w:val="bottom"/>
            <w:hideMark/>
          </w:tcPr>
          <w:p w14:paraId="60E5C05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Radios</w:t>
            </w:r>
          </w:p>
        </w:tc>
        <w:tc>
          <w:tcPr>
            <w:tcW w:w="565" w:type="pct"/>
            <w:tcBorders>
              <w:top w:val="nil"/>
              <w:left w:val="nil"/>
              <w:bottom w:val="nil"/>
              <w:right w:val="nil"/>
            </w:tcBorders>
            <w:shd w:val="clear" w:color="auto" w:fill="auto"/>
            <w:noWrap/>
            <w:vAlign w:val="bottom"/>
            <w:hideMark/>
          </w:tcPr>
          <w:p w14:paraId="6910A92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159(31.36)</w:t>
            </w:r>
          </w:p>
        </w:tc>
        <w:tc>
          <w:tcPr>
            <w:tcW w:w="565" w:type="pct"/>
            <w:tcBorders>
              <w:top w:val="nil"/>
              <w:left w:val="nil"/>
              <w:bottom w:val="nil"/>
              <w:right w:val="nil"/>
            </w:tcBorders>
            <w:shd w:val="clear" w:color="auto" w:fill="auto"/>
            <w:noWrap/>
            <w:vAlign w:val="bottom"/>
            <w:hideMark/>
          </w:tcPr>
          <w:p w14:paraId="3F35944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68(42.77)</w:t>
            </w:r>
          </w:p>
        </w:tc>
        <w:tc>
          <w:tcPr>
            <w:tcW w:w="511" w:type="pct"/>
            <w:tcBorders>
              <w:top w:val="nil"/>
              <w:left w:val="nil"/>
              <w:bottom w:val="nil"/>
              <w:right w:val="nil"/>
            </w:tcBorders>
            <w:shd w:val="clear" w:color="auto" w:fill="auto"/>
            <w:noWrap/>
            <w:vAlign w:val="bottom"/>
            <w:hideMark/>
          </w:tcPr>
          <w:p w14:paraId="05857B1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91(57.23)</w:t>
            </w:r>
          </w:p>
        </w:tc>
        <w:tc>
          <w:tcPr>
            <w:tcW w:w="460" w:type="pct"/>
            <w:tcBorders>
              <w:top w:val="nil"/>
              <w:left w:val="nil"/>
              <w:bottom w:val="nil"/>
              <w:right w:val="nil"/>
            </w:tcBorders>
            <w:shd w:val="clear" w:color="auto" w:fill="auto"/>
            <w:noWrap/>
            <w:vAlign w:val="bottom"/>
            <w:hideMark/>
          </w:tcPr>
          <w:p w14:paraId="6CCF4C3C"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814" w:type="pct"/>
            <w:tcBorders>
              <w:top w:val="nil"/>
              <w:left w:val="nil"/>
              <w:bottom w:val="nil"/>
              <w:right w:val="nil"/>
            </w:tcBorders>
            <w:shd w:val="clear" w:color="auto" w:fill="auto"/>
            <w:noWrap/>
            <w:vAlign w:val="bottom"/>
            <w:hideMark/>
          </w:tcPr>
          <w:p w14:paraId="67AC8CCF"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441" w:type="pct"/>
            <w:tcBorders>
              <w:top w:val="nil"/>
              <w:left w:val="nil"/>
              <w:bottom w:val="nil"/>
              <w:right w:val="nil"/>
            </w:tcBorders>
            <w:shd w:val="clear" w:color="auto" w:fill="auto"/>
            <w:noWrap/>
            <w:vAlign w:val="bottom"/>
            <w:hideMark/>
          </w:tcPr>
          <w:p w14:paraId="61A2DA8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669" w:type="pct"/>
            <w:tcBorders>
              <w:top w:val="nil"/>
              <w:left w:val="nil"/>
              <w:bottom w:val="nil"/>
              <w:right w:val="nil"/>
            </w:tcBorders>
            <w:shd w:val="clear" w:color="auto" w:fill="auto"/>
            <w:noWrap/>
            <w:vAlign w:val="bottom"/>
            <w:hideMark/>
          </w:tcPr>
          <w:p w14:paraId="3FA589F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Ref</w:t>
            </w:r>
          </w:p>
        </w:tc>
        <w:tc>
          <w:tcPr>
            <w:tcW w:w="396" w:type="pct"/>
            <w:tcBorders>
              <w:top w:val="nil"/>
              <w:left w:val="nil"/>
              <w:bottom w:val="nil"/>
              <w:right w:val="nil"/>
            </w:tcBorders>
            <w:shd w:val="clear" w:color="auto" w:fill="auto"/>
            <w:noWrap/>
            <w:vAlign w:val="bottom"/>
            <w:hideMark/>
          </w:tcPr>
          <w:p w14:paraId="4CAB83C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r>
      <w:tr w:rsidR="00A80C42" w:rsidRPr="002729A0" w14:paraId="1C0388DE" w14:textId="77777777" w:rsidTr="00C07747">
        <w:trPr>
          <w:trHeight w:val="340"/>
        </w:trPr>
        <w:tc>
          <w:tcPr>
            <w:tcW w:w="578" w:type="pct"/>
            <w:tcBorders>
              <w:top w:val="nil"/>
              <w:left w:val="nil"/>
              <w:bottom w:val="nil"/>
              <w:right w:val="nil"/>
            </w:tcBorders>
            <w:shd w:val="clear" w:color="auto" w:fill="auto"/>
            <w:noWrap/>
            <w:vAlign w:val="bottom"/>
            <w:hideMark/>
          </w:tcPr>
          <w:p w14:paraId="05915ED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TVs</w:t>
            </w:r>
          </w:p>
        </w:tc>
        <w:tc>
          <w:tcPr>
            <w:tcW w:w="565" w:type="pct"/>
            <w:tcBorders>
              <w:top w:val="nil"/>
              <w:left w:val="nil"/>
              <w:bottom w:val="nil"/>
              <w:right w:val="nil"/>
            </w:tcBorders>
            <w:shd w:val="clear" w:color="auto" w:fill="auto"/>
            <w:noWrap/>
            <w:vAlign w:val="bottom"/>
            <w:hideMark/>
          </w:tcPr>
          <w:p w14:paraId="34F03A0B"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155(30.57)</w:t>
            </w:r>
          </w:p>
        </w:tc>
        <w:tc>
          <w:tcPr>
            <w:tcW w:w="565" w:type="pct"/>
            <w:tcBorders>
              <w:top w:val="nil"/>
              <w:left w:val="nil"/>
              <w:bottom w:val="nil"/>
              <w:right w:val="nil"/>
            </w:tcBorders>
            <w:shd w:val="clear" w:color="auto" w:fill="auto"/>
            <w:noWrap/>
            <w:vAlign w:val="bottom"/>
            <w:hideMark/>
          </w:tcPr>
          <w:p w14:paraId="7EEF8CF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64(41.29)</w:t>
            </w:r>
          </w:p>
        </w:tc>
        <w:tc>
          <w:tcPr>
            <w:tcW w:w="511" w:type="pct"/>
            <w:tcBorders>
              <w:top w:val="nil"/>
              <w:left w:val="nil"/>
              <w:bottom w:val="nil"/>
              <w:right w:val="nil"/>
            </w:tcBorders>
            <w:shd w:val="clear" w:color="auto" w:fill="auto"/>
            <w:noWrap/>
            <w:vAlign w:val="bottom"/>
            <w:hideMark/>
          </w:tcPr>
          <w:p w14:paraId="46FFB8D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91(58.71)</w:t>
            </w:r>
          </w:p>
        </w:tc>
        <w:tc>
          <w:tcPr>
            <w:tcW w:w="460" w:type="pct"/>
            <w:tcBorders>
              <w:top w:val="nil"/>
              <w:left w:val="nil"/>
              <w:bottom w:val="nil"/>
              <w:right w:val="nil"/>
            </w:tcBorders>
            <w:shd w:val="clear" w:color="auto" w:fill="auto"/>
            <w:noWrap/>
            <w:vAlign w:val="bottom"/>
            <w:hideMark/>
          </w:tcPr>
          <w:p w14:paraId="5B62291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5FCEC77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1.06(0.68-1.66)</w:t>
            </w:r>
          </w:p>
        </w:tc>
        <w:tc>
          <w:tcPr>
            <w:tcW w:w="441" w:type="pct"/>
            <w:tcBorders>
              <w:top w:val="nil"/>
              <w:left w:val="nil"/>
              <w:bottom w:val="nil"/>
              <w:right w:val="nil"/>
            </w:tcBorders>
            <w:shd w:val="clear" w:color="auto" w:fill="auto"/>
            <w:noWrap/>
            <w:vAlign w:val="bottom"/>
            <w:hideMark/>
          </w:tcPr>
          <w:p w14:paraId="1AC7335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0.791</w:t>
            </w:r>
          </w:p>
        </w:tc>
        <w:tc>
          <w:tcPr>
            <w:tcW w:w="669" w:type="pct"/>
            <w:tcBorders>
              <w:top w:val="nil"/>
              <w:left w:val="nil"/>
              <w:bottom w:val="nil"/>
              <w:right w:val="nil"/>
            </w:tcBorders>
            <w:shd w:val="clear" w:color="auto" w:fill="auto"/>
            <w:noWrap/>
            <w:vAlign w:val="bottom"/>
            <w:hideMark/>
          </w:tcPr>
          <w:p w14:paraId="6708736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0.98(0.44-2.19)</w:t>
            </w:r>
          </w:p>
        </w:tc>
        <w:tc>
          <w:tcPr>
            <w:tcW w:w="396" w:type="pct"/>
            <w:tcBorders>
              <w:top w:val="nil"/>
              <w:left w:val="nil"/>
              <w:bottom w:val="nil"/>
              <w:right w:val="nil"/>
            </w:tcBorders>
            <w:shd w:val="clear" w:color="auto" w:fill="auto"/>
            <w:noWrap/>
            <w:vAlign w:val="bottom"/>
            <w:hideMark/>
          </w:tcPr>
          <w:p w14:paraId="4A403379"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0.954</w:t>
            </w:r>
          </w:p>
        </w:tc>
      </w:tr>
      <w:tr w:rsidR="00A80C42" w:rsidRPr="002729A0" w14:paraId="1A335E6A" w14:textId="77777777" w:rsidTr="00C07747">
        <w:trPr>
          <w:trHeight w:val="340"/>
        </w:trPr>
        <w:tc>
          <w:tcPr>
            <w:tcW w:w="578" w:type="pct"/>
            <w:tcBorders>
              <w:top w:val="nil"/>
              <w:left w:val="nil"/>
              <w:bottom w:val="nil"/>
              <w:right w:val="nil"/>
            </w:tcBorders>
            <w:shd w:val="clear" w:color="auto" w:fill="auto"/>
            <w:noWrap/>
            <w:vAlign w:val="bottom"/>
            <w:hideMark/>
          </w:tcPr>
          <w:p w14:paraId="4EA6734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CHVs</w:t>
            </w:r>
          </w:p>
        </w:tc>
        <w:tc>
          <w:tcPr>
            <w:tcW w:w="565" w:type="pct"/>
            <w:tcBorders>
              <w:top w:val="nil"/>
              <w:left w:val="nil"/>
              <w:bottom w:val="nil"/>
              <w:right w:val="nil"/>
            </w:tcBorders>
            <w:shd w:val="clear" w:color="auto" w:fill="auto"/>
            <w:noWrap/>
            <w:vAlign w:val="bottom"/>
            <w:hideMark/>
          </w:tcPr>
          <w:p w14:paraId="62A25C30"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170(33.53)</w:t>
            </w:r>
          </w:p>
        </w:tc>
        <w:tc>
          <w:tcPr>
            <w:tcW w:w="565" w:type="pct"/>
            <w:tcBorders>
              <w:top w:val="nil"/>
              <w:left w:val="nil"/>
              <w:bottom w:val="nil"/>
              <w:right w:val="nil"/>
            </w:tcBorders>
            <w:shd w:val="clear" w:color="auto" w:fill="auto"/>
            <w:noWrap/>
            <w:vAlign w:val="bottom"/>
            <w:hideMark/>
          </w:tcPr>
          <w:p w14:paraId="09B78A0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116(68.24)</w:t>
            </w:r>
          </w:p>
        </w:tc>
        <w:tc>
          <w:tcPr>
            <w:tcW w:w="511" w:type="pct"/>
            <w:tcBorders>
              <w:top w:val="nil"/>
              <w:left w:val="nil"/>
              <w:bottom w:val="nil"/>
              <w:right w:val="nil"/>
            </w:tcBorders>
            <w:shd w:val="clear" w:color="auto" w:fill="auto"/>
            <w:noWrap/>
            <w:vAlign w:val="bottom"/>
            <w:hideMark/>
          </w:tcPr>
          <w:p w14:paraId="6136502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54(31.76)</w:t>
            </w:r>
          </w:p>
        </w:tc>
        <w:tc>
          <w:tcPr>
            <w:tcW w:w="460" w:type="pct"/>
            <w:tcBorders>
              <w:top w:val="nil"/>
              <w:left w:val="nil"/>
              <w:bottom w:val="nil"/>
              <w:right w:val="nil"/>
            </w:tcBorders>
            <w:shd w:val="clear" w:color="auto" w:fill="auto"/>
            <w:noWrap/>
            <w:vAlign w:val="bottom"/>
            <w:hideMark/>
          </w:tcPr>
          <w:p w14:paraId="7BAD0748"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tc>
        <w:tc>
          <w:tcPr>
            <w:tcW w:w="814" w:type="pct"/>
            <w:tcBorders>
              <w:top w:val="nil"/>
              <w:left w:val="nil"/>
              <w:bottom w:val="nil"/>
              <w:right w:val="nil"/>
            </w:tcBorders>
            <w:shd w:val="clear" w:color="auto" w:fill="auto"/>
            <w:noWrap/>
            <w:vAlign w:val="bottom"/>
            <w:hideMark/>
          </w:tcPr>
          <w:p w14:paraId="37FD5AAE"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0.35(0.22-0.55)</w:t>
            </w:r>
          </w:p>
        </w:tc>
        <w:tc>
          <w:tcPr>
            <w:tcW w:w="441" w:type="pct"/>
            <w:tcBorders>
              <w:top w:val="nil"/>
              <w:left w:val="nil"/>
              <w:bottom w:val="nil"/>
              <w:right w:val="nil"/>
            </w:tcBorders>
            <w:shd w:val="clear" w:color="auto" w:fill="auto"/>
            <w:noWrap/>
            <w:vAlign w:val="bottom"/>
            <w:hideMark/>
          </w:tcPr>
          <w:p w14:paraId="0D8C9311"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&lt;0.001</w:t>
            </w:r>
          </w:p>
        </w:tc>
        <w:tc>
          <w:tcPr>
            <w:tcW w:w="669" w:type="pct"/>
            <w:tcBorders>
              <w:top w:val="nil"/>
              <w:left w:val="nil"/>
              <w:bottom w:val="nil"/>
              <w:right w:val="nil"/>
            </w:tcBorders>
            <w:shd w:val="clear" w:color="auto" w:fill="auto"/>
            <w:noWrap/>
            <w:vAlign w:val="bottom"/>
            <w:hideMark/>
          </w:tcPr>
          <w:p w14:paraId="64F29C1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0.65(0.3-1.45)</w:t>
            </w:r>
          </w:p>
        </w:tc>
        <w:tc>
          <w:tcPr>
            <w:tcW w:w="396" w:type="pct"/>
            <w:tcBorders>
              <w:top w:val="nil"/>
              <w:left w:val="nil"/>
              <w:bottom w:val="nil"/>
              <w:right w:val="nil"/>
            </w:tcBorders>
            <w:shd w:val="clear" w:color="auto" w:fill="auto"/>
            <w:noWrap/>
            <w:vAlign w:val="bottom"/>
            <w:hideMark/>
          </w:tcPr>
          <w:p w14:paraId="4A5AD89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0.295</w:t>
            </w:r>
          </w:p>
        </w:tc>
      </w:tr>
      <w:tr w:rsidR="00A80C42" w:rsidRPr="002729A0" w14:paraId="390FBCB1" w14:textId="77777777" w:rsidTr="00C07747">
        <w:trPr>
          <w:trHeight w:val="340"/>
        </w:trPr>
        <w:tc>
          <w:tcPr>
            <w:tcW w:w="578" w:type="pct"/>
            <w:tcBorders>
              <w:top w:val="nil"/>
              <w:left w:val="nil"/>
              <w:bottom w:val="single" w:sz="4" w:space="0" w:color="auto"/>
              <w:right w:val="nil"/>
            </w:tcBorders>
            <w:shd w:val="clear" w:color="auto" w:fill="auto"/>
            <w:noWrap/>
            <w:vAlign w:val="bottom"/>
            <w:hideMark/>
          </w:tcPr>
          <w:p w14:paraId="3FB9C846"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Leaders</w:t>
            </w:r>
          </w:p>
        </w:tc>
        <w:tc>
          <w:tcPr>
            <w:tcW w:w="565" w:type="pct"/>
            <w:tcBorders>
              <w:top w:val="nil"/>
              <w:left w:val="nil"/>
              <w:bottom w:val="single" w:sz="4" w:space="0" w:color="auto"/>
              <w:right w:val="nil"/>
            </w:tcBorders>
            <w:shd w:val="clear" w:color="auto" w:fill="auto"/>
            <w:noWrap/>
            <w:vAlign w:val="bottom"/>
            <w:hideMark/>
          </w:tcPr>
          <w:p w14:paraId="5544EF02"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23(4.54)</w:t>
            </w:r>
          </w:p>
        </w:tc>
        <w:tc>
          <w:tcPr>
            <w:tcW w:w="565" w:type="pct"/>
            <w:tcBorders>
              <w:top w:val="nil"/>
              <w:left w:val="nil"/>
              <w:bottom w:val="single" w:sz="4" w:space="0" w:color="auto"/>
              <w:right w:val="nil"/>
            </w:tcBorders>
            <w:shd w:val="clear" w:color="auto" w:fill="auto"/>
            <w:noWrap/>
            <w:vAlign w:val="bottom"/>
            <w:hideMark/>
          </w:tcPr>
          <w:p w14:paraId="509207CD"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17(73.91)</w:t>
            </w:r>
          </w:p>
        </w:tc>
        <w:tc>
          <w:tcPr>
            <w:tcW w:w="511" w:type="pct"/>
            <w:tcBorders>
              <w:top w:val="nil"/>
              <w:left w:val="nil"/>
              <w:bottom w:val="single" w:sz="4" w:space="0" w:color="auto"/>
              <w:right w:val="nil"/>
            </w:tcBorders>
            <w:shd w:val="clear" w:color="auto" w:fill="auto"/>
            <w:noWrap/>
            <w:vAlign w:val="bottom"/>
            <w:hideMark/>
          </w:tcPr>
          <w:p w14:paraId="0D4228C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6(26.09)</w:t>
            </w:r>
          </w:p>
        </w:tc>
        <w:tc>
          <w:tcPr>
            <w:tcW w:w="460" w:type="pct"/>
            <w:tcBorders>
              <w:top w:val="nil"/>
              <w:left w:val="nil"/>
              <w:bottom w:val="single" w:sz="4" w:space="0" w:color="auto"/>
              <w:right w:val="nil"/>
            </w:tcBorders>
            <w:shd w:val="clear" w:color="auto" w:fill="auto"/>
            <w:noWrap/>
            <w:vAlign w:val="bottom"/>
            <w:hideMark/>
          </w:tcPr>
          <w:p w14:paraId="3E2323F3"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 </w:t>
            </w:r>
          </w:p>
        </w:tc>
        <w:tc>
          <w:tcPr>
            <w:tcW w:w="814" w:type="pct"/>
            <w:tcBorders>
              <w:top w:val="nil"/>
              <w:left w:val="nil"/>
              <w:bottom w:val="single" w:sz="4" w:space="0" w:color="auto"/>
              <w:right w:val="nil"/>
            </w:tcBorders>
            <w:shd w:val="clear" w:color="auto" w:fill="auto"/>
            <w:noWrap/>
            <w:vAlign w:val="bottom"/>
            <w:hideMark/>
          </w:tcPr>
          <w:p w14:paraId="6526E9F5"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0.26(0.1-0.7)</w:t>
            </w:r>
          </w:p>
        </w:tc>
        <w:tc>
          <w:tcPr>
            <w:tcW w:w="441" w:type="pct"/>
            <w:tcBorders>
              <w:top w:val="nil"/>
              <w:left w:val="nil"/>
              <w:bottom w:val="single" w:sz="4" w:space="0" w:color="auto"/>
              <w:right w:val="nil"/>
            </w:tcBorders>
            <w:shd w:val="clear" w:color="auto" w:fill="auto"/>
            <w:noWrap/>
            <w:vAlign w:val="bottom"/>
            <w:hideMark/>
          </w:tcPr>
          <w:p w14:paraId="20EA3D30" w14:textId="77777777" w:rsidR="00A80C42" w:rsidRPr="002729A0" w:rsidRDefault="00A80C42" w:rsidP="002729A0">
            <w:pPr>
              <w:spacing w:after="0" w:line="240" w:lineRule="auto"/>
              <w:jc w:val="both"/>
              <w:rPr>
                <w:rFonts w:ascii="Times New Roman" w:eastAsia="Times New Roman" w:hAnsi="Times New Roman" w:cs="Times New Roman"/>
                <w:b/>
                <w:bCs/>
                <w:color w:val="000000"/>
                <w:kern w:val="0"/>
                <w:lang w:val="en-GB"/>
                <w14:ligatures w14:val="none"/>
              </w:rPr>
            </w:pPr>
            <w:r w:rsidRPr="002729A0">
              <w:rPr>
                <w:rFonts w:ascii="Times New Roman" w:eastAsia="Times New Roman" w:hAnsi="Times New Roman" w:cs="Times New Roman"/>
                <w:b/>
                <w:bCs/>
                <w:color w:val="000000"/>
                <w:kern w:val="0"/>
                <w:lang w:val="en-GB"/>
                <w14:ligatures w14:val="none"/>
              </w:rPr>
              <w:t>0.008</w:t>
            </w:r>
          </w:p>
        </w:tc>
        <w:tc>
          <w:tcPr>
            <w:tcW w:w="669" w:type="pct"/>
            <w:tcBorders>
              <w:top w:val="nil"/>
              <w:left w:val="nil"/>
              <w:bottom w:val="single" w:sz="4" w:space="0" w:color="auto"/>
              <w:right w:val="nil"/>
            </w:tcBorders>
            <w:shd w:val="clear" w:color="auto" w:fill="auto"/>
            <w:noWrap/>
            <w:vAlign w:val="bottom"/>
            <w:hideMark/>
          </w:tcPr>
          <w:p w14:paraId="553A2477"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0.44(0.07-2.92)</w:t>
            </w:r>
          </w:p>
        </w:tc>
        <w:tc>
          <w:tcPr>
            <w:tcW w:w="396" w:type="pct"/>
            <w:tcBorders>
              <w:top w:val="nil"/>
              <w:left w:val="nil"/>
              <w:bottom w:val="single" w:sz="4" w:space="0" w:color="auto"/>
              <w:right w:val="nil"/>
            </w:tcBorders>
            <w:shd w:val="clear" w:color="auto" w:fill="auto"/>
            <w:noWrap/>
            <w:vAlign w:val="bottom"/>
            <w:hideMark/>
          </w:tcPr>
          <w:p w14:paraId="3295D4C1"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r w:rsidRPr="002729A0">
              <w:rPr>
                <w:rFonts w:ascii="Times New Roman" w:eastAsia="Times New Roman" w:hAnsi="Times New Roman" w:cs="Times New Roman"/>
                <w:color w:val="000000"/>
                <w:kern w:val="0"/>
                <w:lang w:val="en-GB"/>
                <w14:ligatures w14:val="none"/>
              </w:rPr>
              <w:t>0.399</w:t>
            </w:r>
          </w:p>
        </w:tc>
      </w:tr>
    </w:tbl>
    <w:p w14:paraId="2BC69E34" w14:textId="77777777" w:rsidR="00A80C42" w:rsidRPr="002729A0" w:rsidRDefault="00A80C42" w:rsidP="002729A0">
      <w:pPr>
        <w:spacing w:after="0" w:line="240" w:lineRule="auto"/>
        <w:jc w:val="both"/>
        <w:rPr>
          <w:rFonts w:ascii="Times New Roman" w:eastAsia="Times New Roman" w:hAnsi="Times New Roman" w:cs="Times New Roman"/>
          <w:color w:val="000000"/>
          <w:kern w:val="0"/>
          <w:lang w:val="en-GB"/>
          <w14:ligatures w14:val="none"/>
        </w:rPr>
      </w:pPr>
    </w:p>
    <w:p w14:paraId="02821B63" w14:textId="096A0617" w:rsidR="00A80C42" w:rsidRPr="002729A0" w:rsidRDefault="00A80C42" w:rsidP="002729A0">
      <w:pPr>
        <w:spacing w:line="240" w:lineRule="auto"/>
        <w:jc w:val="both"/>
        <w:rPr>
          <w:rFonts w:ascii="Times New Roman" w:eastAsia="Times New Roman" w:hAnsi="Times New Roman" w:cs="Times New Roman"/>
          <w:lang w:val="en-GB"/>
        </w:rPr>
        <w:sectPr w:rsidR="00A80C42" w:rsidRPr="002729A0" w:rsidSect="002729A0">
          <w:type w:val="continuous"/>
          <w:pgSz w:w="11906" w:h="16838"/>
          <w:pgMar w:top="1440" w:right="1440" w:bottom="1440" w:left="1440" w:header="708" w:footer="708" w:gutter="0"/>
          <w:cols w:space="708"/>
          <w:docGrid w:linePitch="360"/>
        </w:sectPr>
      </w:pPr>
    </w:p>
    <w:p w14:paraId="2BF2C0CB" w14:textId="52F36F7D" w:rsidR="00D66F86" w:rsidRPr="002729A0" w:rsidRDefault="00D66F86" w:rsidP="0027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Times New Roman" w:eastAsia="SimSun" w:hAnsi="Times New Roman" w:cs="Times New Roman"/>
          <w:i/>
          <w:iCs/>
          <w:kern w:val="0"/>
          <w:lang w:val="en-GB"/>
          <w14:ligatures w14:val="none"/>
        </w:rPr>
      </w:pPr>
    </w:p>
    <w:bookmarkEnd w:id="17"/>
    <w:p w14:paraId="134D93B0" w14:textId="77777777" w:rsidR="00D66F86" w:rsidRPr="002729A0" w:rsidRDefault="00D66F86" w:rsidP="0027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Times New Roman" w:eastAsia="SimSun" w:hAnsi="Times New Roman" w:cs="Times New Roman"/>
          <w:iCs/>
          <w:kern w:val="0"/>
          <w:lang w:val="en-GB"/>
          <w14:ligatures w14:val="none"/>
        </w:rPr>
      </w:pPr>
      <w:r w:rsidRPr="002729A0">
        <w:rPr>
          <w:rFonts w:ascii="Times New Roman" w:eastAsia="SimSun" w:hAnsi="Times New Roman" w:cs="Times New Roman"/>
          <w:iCs/>
          <w:kern w:val="0"/>
          <w:lang w:val="en-GB"/>
          <w14:ligatures w14:val="none"/>
        </w:rPr>
        <w:t>The researcher had additional data on the theme for the objective, community awareness influencing PHEP, response capability and engagement that awareness for public health emergency preparedness is through chiefs barazas, information through public health forums, religious leaders and others.</w:t>
      </w:r>
    </w:p>
    <w:p w14:paraId="04FE45EE" w14:textId="659B5979" w:rsidR="00F16FF1" w:rsidRPr="002729A0" w:rsidRDefault="00D66F86" w:rsidP="002729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jc w:val="both"/>
        <w:rPr>
          <w:rFonts w:ascii="Times New Roman" w:eastAsia="SimSun" w:hAnsi="Times New Roman" w:cs="Times New Roman"/>
          <w:i/>
          <w:iCs/>
          <w:kern w:val="0"/>
          <w:lang w:val="en-GB"/>
          <w14:ligatures w14:val="none"/>
        </w:rPr>
      </w:pPr>
      <w:r w:rsidRPr="002729A0">
        <w:rPr>
          <w:rFonts w:ascii="Times New Roman" w:eastAsia="SimSun" w:hAnsi="Times New Roman" w:cs="Times New Roman"/>
          <w:i/>
          <w:iCs/>
          <w:kern w:val="0"/>
          <w:lang w:val="en-GB"/>
          <w14:ligatures w14:val="none"/>
        </w:rPr>
        <w:t xml:space="preserve">R: </w:t>
      </w:r>
      <w:r w:rsidR="001E64A4" w:rsidRPr="002729A0">
        <w:rPr>
          <w:rFonts w:ascii="Times New Roman" w:eastAsia="SimSun" w:hAnsi="Times New Roman" w:cs="Times New Roman"/>
          <w:i/>
          <w:iCs/>
          <w:kern w:val="0"/>
          <w:lang w:val="en-GB"/>
          <w14:ligatures w14:val="none"/>
        </w:rPr>
        <w:t>T</w:t>
      </w:r>
      <w:r w:rsidRPr="002729A0">
        <w:rPr>
          <w:rFonts w:ascii="Times New Roman" w:eastAsia="SimSun" w:hAnsi="Times New Roman" w:cs="Times New Roman"/>
          <w:i/>
          <w:iCs/>
          <w:kern w:val="0"/>
          <w:lang w:val="en-GB"/>
          <w14:ligatures w14:val="none"/>
        </w:rPr>
        <w:t xml:space="preserve">hrough the chiefs barazas, village elders. Public health forums. Religious leaders also through the public health forums. </w:t>
      </w:r>
      <w:r w:rsidR="00A80C42" w:rsidRPr="002729A0">
        <w:rPr>
          <w:rFonts w:ascii="Times New Roman" w:eastAsia="SimSun" w:hAnsi="Times New Roman" w:cs="Times New Roman"/>
          <w:i/>
          <w:iCs/>
          <w:kern w:val="0"/>
          <w:lang w:val="en-GB"/>
          <w14:ligatures w14:val="none"/>
        </w:rPr>
        <w:t>And</w:t>
      </w:r>
      <w:r w:rsidRPr="002729A0">
        <w:rPr>
          <w:rFonts w:ascii="Times New Roman" w:eastAsia="SimSun" w:hAnsi="Times New Roman" w:cs="Times New Roman"/>
          <w:i/>
          <w:iCs/>
          <w:kern w:val="0"/>
          <w:lang w:val="en-GB"/>
          <w14:ligatures w14:val="none"/>
        </w:rPr>
        <w:t>, through the health promotion office. FGD- Gita Participant</w:t>
      </w:r>
      <w:r w:rsidR="009E5240" w:rsidRPr="002729A0">
        <w:rPr>
          <w:rFonts w:ascii="Times New Roman" w:eastAsia="SimSun" w:hAnsi="Times New Roman" w:cs="Times New Roman"/>
          <w:i/>
          <w:iCs/>
          <w:kern w:val="0"/>
          <w:lang w:val="en-GB"/>
          <w14:ligatures w14:val="none"/>
        </w:rPr>
        <w:t xml:space="preserve"> </w:t>
      </w:r>
      <w:r w:rsidRPr="002729A0">
        <w:rPr>
          <w:rFonts w:ascii="Times New Roman" w:eastAsia="SimSun" w:hAnsi="Times New Roman" w:cs="Times New Roman"/>
          <w:i/>
          <w:iCs/>
          <w:kern w:val="0"/>
          <w:lang w:val="en-GB"/>
          <w14:ligatures w14:val="none"/>
        </w:rPr>
        <w:t>Communication done from public health officers to CHAs then to village elders KII-KEP1.</w:t>
      </w:r>
    </w:p>
    <w:p w14:paraId="7812B0CB" w14:textId="77777777" w:rsidR="00F16FF1" w:rsidRPr="002729A0" w:rsidRDefault="00F16FF1" w:rsidP="002729A0">
      <w:pPr>
        <w:spacing w:line="240" w:lineRule="auto"/>
        <w:jc w:val="both"/>
        <w:rPr>
          <w:rFonts w:ascii="Times New Roman" w:hAnsi="Times New Roman" w:cs="Times New Roman"/>
          <w:b/>
          <w:bCs/>
        </w:rPr>
      </w:pPr>
    </w:p>
    <w:p w14:paraId="4ACC352F" w14:textId="3AB2A141" w:rsidR="00F16FF1" w:rsidRPr="002729A0" w:rsidRDefault="00F16FF1" w:rsidP="002729A0">
      <w:pPr>
        <w:spacing w:line="240" w:lineRule="auto"/>
        <w:jc w:val="both"/>
        <w:rPr>
          <w:rFonts w:ascii="Times New Roman" w:hAnsi="Times New Roman" w:cs="Times New Roman"/>
          <w:b/>
          <w:bCs/>
        </w:rPr>
      </w:pPr>
      <w:r w:rsidRPr="002729A0">
        <w:rPr>
          <w:rFonts w:ascii="Times New Roman" w:hAnsi="Times New Roman" w:cs="Times New Roman"/>
          <w:b/>
          <w:bCs/>
        </w:rPr>
        <w:t>Discussion</w:t>
      </w:r>
    </w:p>
    <w:p w14:paraId="0893B932" w14:textId="77777777" w:rsidR="00492E22" w:rsidRPr="002729A0" w:rsidRDefault="00471805" w:rsidP="002729A0">
      <w:pPr>
        <w:keepNext/>
        <w:keepLines/>
        <w:spacing w:before="160" w:after="120" w:line="240" w:lineRule="auto"/>
        <w:jc w:val="both"/>
        <w:outlineLvl w:val="1"/>
        <w:rPr>
          <w:rFonts w:ascii="Times New Roman" w:eastAsia="SimSun" w:hAnsi="Times New Roman" w:cs="Times New Roman"/>
          <w:b/>
          <w:color w:val="000000"/>
          <w:kern w:val="0"/>
          <w:shd w:val="clear" w:color="auto" w:fill="FFFFFF"/>
          <w:lang w:val="en-GB"/>
          <w14:ligatures w14:val="none"/>
        </w:rPr>
      </w:pPr>
      <w:r w:rsidRPr="002729A0">
        <w:rPr>
          <w:rFonts w:ascii="Times New Roman" w:eastAsia="SimSun" w:hAnsi="Times New Roman" w:cs="Times New Roman"/>
          <w:b/>
          <w:color w:val="000000"/>
          <w:kern w:val="0"/>
          <w:shd w:val="clear" w:color="auto" w:fill="FFFFFF"/>
          <w:lang w:val="en-GB"/>
          <w14:ligatures w14:val="none"/>
        </w:rPr>
        <w:t>Community preparedness about public health emergencies and events they perceive as of priority concern in Kisumu.</w:t>
      </w:r>
      <w:bookmarkStart w:id="20" w:name="_Toc177471228"/>
    </w:p>
    <w:p w14:paraId="16B3D88F" w14:textId="3608BEFD" w:rsidR="00471805" w:rsidRPr="002729A0" w:rsidRDefault="00471805" w:rsidP="002729A0">
      <w:pPr>
        <w:keepNext/>
        <w:keepLines/>
        <w:spacing w:before="160" w:after="120" w:line="240" w:lineRule="auto"/>
        <w:jc w:val="both"/>
        <w:outlineLvl w:val="1"/>
        <w:rPr>
          <w:rFonts w:ascii="Times New Roman" w:eastAsia="SimSun" w:hAnsi="Times New Roman" w:cs="Times New Roman"/>
          <w:b/>
          <w:color w:val="000000"/>
          <w:kern w:val="0"/>
          <w:shd w:val="clear" w:color="auto" w:fill="FFFFFF"/>
          <w:lang w:val="en-GB"/>
          <w14:ligatures w14:val="none"/>
        </w:rPr>
      </w:pPr>
      <w:r w:rsidRPr="002729A0">
        <w:rPr>
          <w:rFonts w:ascii="Times New Roman" w:eastAsia="SimSun" w:hAnsi="Times New Roman" w:cs="Times New Roman"/>
          <w:b/>
          <w:kern w:val="0"/>
          <w:lang w:val="en-GB"/>
          <w14:ligatures w14:val="none"/>
        </w:rPr>
        <w:t>Awareness</w:t>
      </w:r>
      <w:bookmarkEnd w:id="20"/>
    </w:p>
    <w:p w14:paraId="0C87ABA3" w14:textId="0DB973EF"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 xml:space="preserve">The study </w:t>
      </w:r>
      <w:r w:rsidR="00A414E6" w:rsidRPr="002729A0">
        <w:rPr>
          <w:rFonts w:ascii="Times New Roman" w:eastAsia="SimSun" w:hAnsi="Times New Roman" w:cs="Times New Roman"/>
          <w:kern w:val="0"/>
          <w:lang w:val="en-GB"/>
          <w14:ligatures w14:val="none"/>
        </w:rPr>
        <w:t>established</w:t>
      </w:r>
      <w:r w:rsidRPr="002729A0">
        <w:rPr>
          <w:rFonts w:ascii="Times New Roman" w:eastAsia="SimSun" w:hAnsi="Times New Roman" w:cs="Times New Roman"/>
          <w:kern w:val="0"/>
          <w:lang w:val="en-GB"/>
          <w14:ligatures w14:val="none"/>
        </w:rPr>
        <w:t xml:space="preserve"> that community awareness of public health emergencies (PHEs) significantly impact</w:t>
      </w:r>
      <w:r w:rsidR="00A414E6" w:rsidRPr="002729A0">
        <w:rPr>
          <w:rFonts w:ascii="Times New Roman" w:eastAsia="SimSun" w:hAnsi="Times New Roman" w:cs="Times New Roman"/>
          <w:kern w:val="0"/>
          <w:lang w:val="en-GB"/>
          <w14:ligatures w14:val="none"/>
        </w:rPr>
        <w:t>ed</w:t>
      </w:r>
      <w:r w:rsidRPr="002729A0">
        <w:rPr>
          <w:rFonts w:ascii="Times New Roman" w:eastAsia="SimSun" w:hAnsi="Times New Roman" w:cs="Times New Roman"/>
          <w:kern w:val="0"/>
          <w:lang w:val="en-GB"/>
          <w14:ligatures w14:val="none"/>
        </w:rPr>
        <w:t xml:space="preserve"> preparedness. This finding aligns with research from other regions. For instance,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&lt;EndNote&gt;&lt;Cite&gt;&lt;Author&gt;Auta&lt;/Author&gt;&lt;Year&gt;2024&lt;/Year&gt;&lt;RecNum&gt;48&lt;/RecNum&gt;&lt;DisplayText&gt;[17]&lt;/DisplayText&gt;&lt;record&gt;&lt;rec-number&gt;48&lt;/rec-number&gt;&lt;foreign-keys&gt;&lt;key app="EN" db-id="5etxzxsem0atr6e00dp5a0xva5xdw2f2tdf5" timestamp="1724324146"&gt;48&lt;/key&gt;&lt;/foreign-keys&gt;&lt;ref-type name="Journal Article"&gt;17&lt;/ref-type&gt;&lt;contributors&gt;&lt;authors&gt;&lt;author&gt;Auta, Tanko Titus&lt;/author&gt;&lt;author&gt;Nugroho, Heru Santoso Wahito&lt;/author&gt;&lt;/authors&gt;&lt;/contributors&gt;&lt;titles&gt;&lt;title&gt;Emergency Preparedness Among Health Care Workers in Federal Medical Center Keffi, Nasarawa State, Nigeria&lt;/title&gt;&lt;secondary-title&gt;Health Notions&lt;/secondary-title&gt;&lt;/titles&gt;&lt;periodical&gt;&lt;full-title&gt;Health Notions&lt;/full-title&gt;&lt;/periodical&gt;&lt;pages&gt;101-108&lt;/pages&gt;&lt;volume&gt;8&lt;/volume&gt;&lt;number&gt;5&lt;/number&gt;&lt;dates&gt;&lt;year&gt;2024&lt;/year&gt;&lt;/dates&gt;&lt;isbn&gt;2580-4936&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[17]</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demonstrated in Nigeria that awareness of health emergencies strongly predicts preparedness, with aware individuals being 2.5 times more likely to be prepared compared to those who </w:t>
      </w:r>
      <w:r w:rsidR="005D02AE" w:rsidRPr="002729A0">
        <w:rPr>
          <w:rFonts w:ascii="Times New Roman" w:eastAsia="SimSun" w:hAnsi="Times New Roman" w:cs="Times New Roman"/>
          <w:kern w:val="0"/>
          <w:lang w:val="en-GB"/>
          <w14:ligatures w14:val="none"/>
        </w:rPr>
        <w:t>were</w:t>
      </w:r>
      <w:r w:rsidRPr="002729A0">
        <w:rPr>
          <w:rFonts w:ascii="Times New Roman" w:eastAsia="SimSun" w:hAnsi="Times New Roman" w:cs="Times New Roman"/>
          <w:kern w:val="0"/>
          <w:lang w:val="en-GB"/>
          <w14:ligatures w14:val="none"/>
        </w:rPr>
        <w:t xml:space="preserve"> unaware. Similarly,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&lt;EndNote&gt;&lt;Cite&gt;&lt;Author&gt;Kamal&lt;/Author&gt;&lt;Year&gt;2021&lt;/Year&gt;&lt;RecNum&gt;49&lt;/RecNum&gt;&lt;DisplayText&gt;[18]&lt;/DisplayText&gt;&lt;record&gt;&lt;rec-number&gt;49&lt;/rec-number&gt;&lt;foreign-keys&gt;&lt;key app="EN" db-id="5etxzxsem0atr6e00dp5a0xva5xdw2f2tdf5" timestamp="1724324343"&gt;49&lt;/key&gt;&lt;/foreign-keys&gt;&lt;ref-type name="Journal Article"&gt;17&lt;/ref-type&gt;&lt;contributors&gt;&lt;authors&gt;&lt;author&gt;Kamal, ASM Maksud&lt;/author&gt;&lt;author&gt;Sifa, Shamima Ferdousi&lt;/author&gt;&lt;author&gt;Islam, SM Mahmudul&lt;/author&gt;&lt;author&gt;Rafsan, Md Asif&lt;/author&gt;&lt;author&gt;Alve, Md Imran Hossain&lt;/author&gt;&lt;author&gt;Mahmud, Tonoy&lt;/author&gt;&lt;author&gt;Hossain, Md Shakhawat&lt;/author&gt;&lt;author&gt;Rahman, Md Zillur&lt;/author&gt;&lt;/authors&gt;&lt;/contributors&gt;&lt;titles&gt;&lt;title&gt;Climate Change Vulnerability Assessment of Patuakhali Municipality in Bangladesh&lt;/title&gt;&lt;secondary-title&gt;The Dhaka University Journal of Earth and Environmental Sciences&lt;/secondary-title&gt;&lt;/titles&gt;&lt;periodical&gt;&lt;full-title&gt;The Dhaka University Journal of Earth and Environmental Sciences&lt;/full-title&gt;&lt;/periodical&gt;&lt;pages&gt;187-198&lt;/pages&gt;&lt;dates&gt;&lt;year&gt;2021&lt;/year&gt;&lt;/dates&gt;&lt;isbn&gt;2220-640X&lt;/isbn&gt;&lt;urls&gt;&lt;/urls&gt;&lt;/record&gt;&lt;/Cite&gt;&lt;/EndNote&gt;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[18]</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in Bangladesh found that awareness campaigns significantly improved community readiness for natural disasters. These findings underscore the critical role of comprehensive community awareness in enhancing preparedness for public health emergencies and mitigating their adverse impacts.</w:t>
      </w:r>
    </w:p>
    <w:p w14:paraId="4BD03CD8" w14:textId="64794C6A"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Community engagement in PHEs employs a multifaceted approach, utilizing various methods for information dissemination</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&lt;EndNote&gt;&lt;Cite&gt;&lt;Author&gt;Gilmore&lt;/Author&gt;&lt;Year&gt;2020&lt;/Year&gt;&lt;RecNum&gt;50&lt;/RecNum&gt;&lt;DisplayText&gt;[19]&lt;/DisplayText&gt;&lt;record&gt;&lt;rec-number&gt;50&lt;/rec-number&gt;&lt;foreign-keys&gt;&lt;key app="EN" db-id="5etxzxsem0atr6e00dp5a0xva5xdw2f2tdf5" timestamp="1724324559"&gt;50&lt;/key&gt;&lt;/foreign-keys&gt;&lt;ref-type name="Journal Article"&gt;17&lt;/ref-type&gt;&lt;contributors&gt;&lt;authors&gt;&lt;author&gt;Gilmore, Brynne&lt;/author&gt;&lt;author&gt;Ndejjo, Rawlance&lt;/author&gt;&lt;author&gt;Tchetchia, Adalbert&lt;/author&gt;&lt;author&gt;de Claro, Vergil&lt;/author&gt;&lt;author&gt;Mago, Elizabeth&lt;/author&gt;&lt;author&gt;Lopes, Claudia&lt;/author&gt;&lt;author&gt;Bhattacharyya, Sanghita&lt;/author&gt;&lt;/authors&gt;&lt;/contributors&gt;&lt;titles&gt;&lt;title&gt;Community engagement for COVID-19 prevention and control: a rapid evidence synthesis&lt;/title&gt;&lt;secondary-title&gt;BMJ global health&lt;/secondary-title&gt;&lt;/titles&gt;&lt;periodical&gt;&lt;full-title&gt;BMJ global health&lt;/full-title&gt;&lt;/periodical&gt;&lt;pages&gt;e003188&lt;/pages&gt;&lt;volume&gt;5&lt;/volume&gt;&lt;number&gt;10&lt;/number&gt;&lt;dates&gt;&lt;year&gt;2020&lt;/year&gt;&lt;/dates&gt;&lt;isbn&gt;2059-7908&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[19]</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These methods include community dialogues, chief barazas </w:t>
      </w:r>
      <w:r w:rsidR="00682142"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&lt;EndNote&gt;&lt;Cite&gt;&lt;Author&gt;Muchiri&lt;/Author&gt;&lt;Year&gt;2022&lt;/Year&gt;&lt;RecNum&gt;85&lt;/RecNum&gt;&lt;DisplayText&gt;[20]&lt;/DisplayText&gt;&lt;record&gt;&lt;rec-number&gt;85&lt;/rec-number&gt;&lt;foreign-keys&gt;&lt;key app="EN" db-id="vs0frvazl2v0tyexsxlvspsbf9d52p0r9zwd" timestamp="1729428356"&gt;85&lt;/key&gt;&lt;/foreign-keys&gt;&lt;ref-type name="Journal Article"&gt;17&lt;/ref-type&gt;&lt;contributors&gt;&lt;authors&gt;&lt;author&gt;Muchiri, Christine Njuhi&lt;/author&gt;&lt;author&gt;Opiyo, Romanus Otieno&lt;/author&gt;&lt;/authors&gt;&lt;/contributors&gt;&lt;titles&gt;&lt;title&gt;Community adaptation strategies in Nairobi informal settlements: Lessons from Korogocho, Nairobi-Kenya&lt;/title&gt;&lt;secondary-title&gt;Frontiers in Sustainable Cities&lt;/secondary-title&gt;&lt;/titles&gt;&lt;periodical&gt;&lt;full-title&gt;Frontiers in Sustainable Cities&lt;/full-title&gt;&lt;/periodical&gt;&lt;pages&gt;932046&lt;/pages&gt;&lt;volume&gt;4&lt;/volume&gt;&lt;dates&gt;&lt;year&gt;2022&lt;/year&gt;&lt;/dates&gt;&lt;isbn&gt;2624-9634&lt;/isbn&gt;&lt;urls&gt;&lt;/urls&gt;&lt;/record&gt;&lt;/Cite&gt;&lt;/EndNote&gt;</w:instrText>
      </w:r>
      <w:r w:rsidR="00682142"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[20]</w:t>
      </w:r>
      <w:r w:rsidR="00682142"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periodic meetings, public health advocacy, media, phone applications, community leaders, and churches. This diverse array of channels indicates that communities utilize both traditional and modern communication methods to ensure broad awareness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&lt;EndNote&gt;&lt;Cite&gt;&lt;Author&gt;Lundgren&lt;/Author&gt;&lt;Year&gt;2018&lt;/Year&gt;&lt;RecNum&gt;51&lt;/RecNum&gt;&lt;DisplayText&gt;[21]&lt;/DisplayText&gt;&lt;record&gt;&lt;rec-number&gt;51&lt;/rec-number&gt;&lt;foreign-keys&gt;&lt;key app="EN" db-id="5etxzxsem0atr6e00dp5a0xva5xdw2f2tdf5" timestamp="1724325196"&gt;51&lt;/key&gt;&lt;/foreign-keys&gt;&lt;ref-type name="Book"&gt;6&lt;/ref-type&gt;&lt;contributors&gt;&lt;authors&gt;&lt;author&gt;Lundgren, Regina E&lt;/author&gt;&lt;author&gt;McMakin, Andrea H&lt;/author&gt;&lt;/authors&gt;&lt;/contributors&gt;&lt;titles&gt;&lt;title&gt;Risk communication: A handbook for communicating environmental, safety, and health risks&lt;/title&gt;&lt;/titles&gt;&lt;dates&gt;&lt;year&gt;2018&lt;/year&gt;&lt;/dates&gt;&lt;publisher&gt;John Wiley &amp;amp; Sons&lt;/publisher&gt;&lt;isbn&gt;1119456150&lt;/isbn&gt;&lt;urls&gt;&lt;/urls&gt;&lt;/record&gt;&lt;/Cite&gt;&lt;/EndNote&gt;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[21]</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Key personnel responsible for disseminating information about PHEs include Community Health Assistants (CHAs), area chiefs, village elders, religious leaders, disease surveillance officers, public health promoters, and public health officers. These individuals </w:t>
      </w:r>
      <w:r w:rsidR="00B4342B" w:rsidRPr="002729A0">
        <w:rPr>
          <w:rFonts w:ascii="Times New Roman" w:eastAsia="SimSun" w:hAnsi="Times New Roman" w:cs="Times New Roman"/>
          <w:kern w:val="0"/>
          <w:lang w:val="en-GB"/>
          <w14:ligatures w14:val="none"/>
        </w:rPr>
        <w:t>were</w:t>
      </w:r>
      <w:r w:rsidRPr="002729A0">
        <w:rPr>
          <w:rFonts w:ascii="Times New Roman" w:eastAsia="SimSun" w:hAnsi="Times New Roman" w:cs="Times New Roman"/>
          <w:kern w:val="0"/>
          <w:lang w:val="en-GB"/>
          <w14:ligatures w14:val="none"/>
        </w:rPr>
        <w:t xml:space="preserve"> essential in educating the community and ensuring effective communication of potential health emergencies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&lt;EndNote&gt;&lt;Cite&gt;&lt;Author&gt;Lee-Geiller&lt;/Author&gt;&lt;Year&gt;2022&lt;/Year&gt;&lt;RecNum&gt;52&lt;/RecNum&gt;&lt;DisplayText&gt;[22, 23]&lt;/DisplayText&gt;&lt;record&gt;&lt;rec-number&gt;52&lt;/rec-number&gt;&lt;foreign-keys&gt;&lt;key app="EN" db-id="5etxzxsem0atr6e00dp5a0xva5xdw2f2tdf5" timestamp="1724325375"&gt;52&lt;/key&gt;&lt;/foreign-keys&gt;&lt;ref-type name="Journal Article"&gt;17&lt;/ref-type&gt;&lt;contributors&gt;&lt;authors&gt;&lt;author&gt;Lee-Geiller, Seulki&lt;/author&gt;&lt;author&gt;Lee, Taejun&lt;/author&gt;&lt;/authors&gt;&lt;/contributors&gt;&lt;titles&gt;&lt;title&gt;How does digital governance contribute to effective crisis management? A case study of Korea’s response to COVID-19&lt;/title&gt;&lt;secondary-title&gt;Public Performance &amp;amp; Management Review&lt;/secondary-title&gt;&lt;/titles&gt;&lt;periodical&gt;&lt;full-title&gt;Public Performance &amp;amp; Management Review&lt;/full-title&gt;&lt;/periodical&gt;&lt;pages&gt;860-893&lt;/pages&gt;&lt;volume&gt;45&lt;/volume&gt;&lt;number&gt;4&lt;/number&gt;&lt;dates&gt;&lt;year&gt;2022&lt;/year&gt;&lt;/dates&gt;&lt;isbn&gt;1530-9576&lt;/isbn&gt;&lt;urls&gt;&lt;/urls&gt;&lt;/record&gt;&lt;/Cite&gt;&lt;Cite&gt;&lt;Author&gt;Chengo&lt;/Author&gt;&lt;Year&gt;2022&lt;/Year&gt;&lt;RecNum&gt;53&lt;/RecNum&gt;&lt;record&gt;&lt;rec-number&gt;53&lt;/rec-number&gt;&lt;foreign-keys&gt;&lt;key app="EN" db-id="5etxzxsem0atr6e00dp5a0xva5xdw2f2tdf5" timestamp="1724325653"&gt;53&lt;/key&gt;&lt;/foreign-keys&gt;&lt;ref-type name="Journal Article"&gt;17&lt;/ref-type&gt;&lt;contributors&gt;&lt;authors&gt;&lt;author&gt;Chengo, Rehema&lt;/author&gt;&lt;author&gt;Esho, Tammary&lt;/author&gt;&lt;author&gt;Kuria, Shiphrah&lt;/author&gt;&lt;author&gt;Kimani, Samuel&lt;/author&gt;&lt;author&gt;Indalo, Dorcas&lt;/author&gt;&lt;author&gt;Kamanzi, Lilian&lt;/author&gt;&lt;author&gt;Mouhamed, Bachir&lt;/author&gt;&lt;author&gt;Wabwire, Andrew&lt;/author&gt;&lt;author&gt;Camara, Khaltoume&lt;/author&gt;&lt;author&gt;Kapsandui, Tonny&lt;/author&gt;&lt;/authors&gt;&lt;/contributors&gt;&lt;titles&gt;&lt;title&gt;A situation assessment of community health workers’ preparedness in supporting health system response to COVID-19 in Kenya, Senegal, and Uganda&lt;/title&gt;&lt;secondary-title&gt;Journal of primary care &amp;amp; community health&lt;/secondary-title&gt;&lt;/titles&gt;&lt;periodical&gt;&lt;full-title&gt;Journal of primary care &amp;amp; community health&lt;/full-title&gt;&lt;/periodical&gt;&lt;pages&gt;21501319211073415&lt;/pages&gt;&lt;volume&gt;13&lt;/volume&gt;&lt;dates&gt;&lt;year&gt;2022&lt;/year&gt;&lt;/dates&gt;&lt;isbn&gt;2150-1319&lt;/isbn&gt;&lt;urls&gt;&lt;/urls&gt;&lt;/record&gt;&lt;/Cite&gt;&lt;/EndNote&gt;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[22, 23]</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The study identified mixed responses regarding the community's ability to respond to PHEs. Some participants viewed the community as responsive and capable, while others noted </w:t>
      </w:r>
      <w:r w:rsidRPr="002729A0">
        <w:rPr>
          <w:rFonts w:ascii="Times New Roman" w:eastAsia="SimSun" w:hAnsi="Times New Roman" w:cs="Times New Roman"/>
          <w:kern w:val="0"/>
          <w:lang w:val="en-GB"/>
          <w14:ligatures w14:val="none"/>
        </w:rPr>
        <w:lastRenderedPageBreak/>
        <w:t>confusion and a lack of timely response. This variability suggests a need for enhanced coordination and training to improve community preparedness and response capacity.</w:t>
      </w:r>
    </w:p>
    <w:p w14:paraId="0EBAFFE4" w14:textId="1273983D" w:rsidR="00471805" w:rsidRPr="002729A0" w:rsidRDefault="00492E22" w:rsidP="002729A0">
      <w:pPr>
        <w:keepNext/>
        <w:keepLines/>
        <w:spacing w:before="160" w:after="120" w:line="240" w:lineRule="auto"/>
        <w:jc w:val="both"/>
        <w:outlineLvl w:val="2"/>
        <w:rPr>
          <w:rFonts w:ascii="Times New Roman" w:eastAsia="SimSun" w:hAnsi="Times New Roman" w:cs="Times New Roman"/>
          <w:b/>
          <w:kern w:val="0"/>
          <w:lang w:val="en-GB"/>
          <w14:ligatures w14:val="none"/>
        </w:rPr>
      </w:pPr>
      <w:bookmarkStart w:id="21" w:name="_Toc177471229"/>
      <w:r w:rsidRPr="002729A0">
        <w:rPr>
          <w:rFonts w:ascii="Times New Roman" w:eastAsia="SimSun" w:hAnsi="Times New Roman" w:cs="Times New Roman"/>
          <w:b/>
          <w:kern w:val="0"/>
          <w:lang w:val="en-GB"/>
          <w14:ligatures w14:val="none"/>
        </w:rPr>
        <w:t>P</w:t>
      </w:r>
      <w:r w:rsidR="00471805" w:rsidRPr="002729A0">
        <w:rPr>
          <w:rFonts w:ascii="Times New Roman" w:eastAsia="SimSun" w:hAnsi="Times New Roman" w:cs="Times New Roman"/>
          <w:b/>
          <w:kern w:val="0"/>
          <w:lang w:val="en-GB"/>
          <w14:ligatures w14:val="none"/>
        </w:rPr>
        <w:t>riority events</w:t>
      </w:r>
      <w:bookmarkEnd w:id="21"/>
    </w:p>
    <w:p w14:paraId="36F78401" w14:textId="61C06DFB"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The study identified various prevalent public health emergencies in the area, including communicable diseases such as malaria, cholera, schistosomiasis, scabies, and COVID-19. Environmental emergencies like flooding and waterborne diseases also emerged as significant concerns. Other noted issues include</w:t>
      </w:r>
      <w:r w:rsidR="0047529D" w:rsidRPr="002729A0">
        <w:rPr>
          <w:rFonts w:ascii="Times New Roman" w:eastAsia="SimSun" w:hAnsi="Times New Roman" w:cs="Times New Roman"/>
          <w:kern w:val="0"/>
          <w:lang w:val="en-GB"/>
          <w14:ligatures w14:val="none"/>
        </w:rPr>
        <w:t>d</w:t>
      </w:r>
      <w:r w:rsidRPr="002729A0">
        <w:rPr>
          <w:rFonts w:ascii="Times New Roman" w:eastAsia="SimSun" w:hAnsi="Times New Roman" w:cs="Times New Roman"/>
          <w:kern w:val="0"/>
          <w:lang w:val="en-GB"/>
          <w14:ligatures w14:val="none"/>
        </w:rPr>
        <w:t xml:space="preserve"> dog bites, anthrax, food and water safety, accidents, gender-based violence, inter-community violence, and hunger. These findings highlight the diverse and complex nature of public health challenges in the region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&lt;EndNote&gt;&lt;Cite&gt;&lt;Author&gt;Rokkas&lt;/Author&gt;&lt;Year&gt;2014&lt;/Year&gt;&lt;RecNum&gt;55&lt;/RecNum&gt;&lt;DisplayText&gt;[24, 25]&lt;/DisplayText&gt;&lt;record&gt;&lt;rec-number&gt;55&lt;/rec-number&gt;&lt;foreign-keys&gt;&lt;key app="EN" db-id="5etxzxsem0atr6e00dp5a0xva5xdw2f2tdf5" timestamp="1724326931"&gt;55&lt;/key&gt;&lt;/foreign-keys&gt;&lt;ref-type name="Journal Article"&gt;17&lt;/ref-type&gt;&lt;contributors&gt;&lt;authors&gt;&lt;author&gt;Rokkas, Philippa&lt;/author&gt;&lt;author&gt;Cornell, Victoria&lt;/author&gt;&lt;author&gt;Steenkamp, Malinda&lt;/author&gt;&lt;/authors&gt;&lt;/contributors&gt;&lt;titles&gt;&lt;title&gt;Disaster preparedness and response: Challenges for Australian public health nurses–A literature review&lt;/title&gt;&lt;secondary-title&gt;Nursing &amp;amp; health sciences&lt;/secondary-title&gt;&lt;/titles&gt;&lt;periodical&gt;&lt;full-title&gt;Nursing &amp;amp; health sciences&lt;/full-title&gt;&lt;/periodical&gt;&lt;pages&gt;60-66&lt;/pages&gt;&lt;volume&gt;16&lt;/volume&gt;&lt;number&gt;1&lt;/number&gt;&lt;dates&gt;&lt;year&gt;2014&lt;/year&gt;&lt;/dates&gt;&lt;isbn&gt;1441-0745&lt;/isbn&gt;&lt;urls&gt;&lt;/urls&gt;&lt;/record&gt;&lt;/Cite&gt;&lt;Cite&gt;&lt;Author&gt;Tabish&lt;/Author&gt;&lt;Year&gt;2015&lt;/Year&gt;&lt;RecNum&gt;56&lt;/RecNum&gt;&lt;record&gt;&lt;rec-number&gt;56&lt;/rec-number&gt;&lt;foreign-keys&gt;&lt;key app="EN" db-id="5etxzxsem0atr6e00dp5a0xva5xdw2f2tdf5" timestamp="1724327034"&gt;56&lt;/key&gt;&lt;/foreign-keys&gt;&lt;ref-type name="Journal Article"&gt;17&lt;/ref-type&gt;&lt;contributors&gt;&lt;authors&gt;&lt;author&gt;Tabish, SA&lt;/author&gt;&lt;author&gt;Syed, Nabil&lt;/author&gt;&lt;/authors&gt;&lt;/contributors&gt;&lt;titles&gt;&lt;title&gt;Disaster preparedness: current trends and future directions&lt;/title&gt;&lt;secondary-title&gt;Int J Sci Res&lt;/secondary-title&gt;&lt;/titles&gt;&lt;periodical&gt;&lt;full-title&gt;Int J Sci Res&lt;/full-title&gt;&lt;/periodical&gt;&lt;pages&gt;227-52&lt;/pages&gt;&lt;volume&gt;4&lt;/volume&gt;&lt;number&gt;6&lt;/number&gt;&lt;dates&gt;&lt;year&gt;2015&lt;/year&gt;&lt;/dates&gt;&lt;urls&gt;&lt;/urls&gt;&lt;/record&gt;&lt;/Cite&gt;&lt;/EndNote&gt;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[24, 25]</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w:t>
      </w:r>
    </w:p>
    <w:p w14:paraId="508FDA5A" w14:textId="744BBD71"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 xml:space="preserve">Interestingly, individuals who had never experienced a PHE were more likely to be prepared than those with more frequent experiences. This agrees with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&lt;EndNote&gt;&lt;Cite&gt;&lt;Author&gt;Hoffmann&lt;/Author&gt;&lt;Year&gt;2017&lt;/Year&gt;&lt;RecNum&gt;57&lt;/RecNum&gt;&lt;DisplayText&gt;[26]&lt;/DisplayText&gt;&lt;record&gt;&lt;rec-number&gt;57&lt;/rec-number&gt;&lt;foreign-keys&gt;&lt;key app="EN" db-id="5etxzxsem0atr6e00dp5a0xva5xdw2f2tdf5" timestamp="1724327891"&gt;57&lt;/key&gt;&lt;/foreign-keys&gt;&lt;ref-type name="Journal Article"&gt;17&lt;/ref-type&gt;&lt;contributors&gt;&lt;authors&gt;&lt;author&gt;Hoffmann, Roman&lt;/author&gt;&lt;author&gt;Muttarak, Raya&lt;/author&gt;&lt;/authors&gt;&lt;/contributors&gt;&lt;titles&gt;&lt;title&gt;Learn from the past, prepare for the future: Impacts of education and experience on disaster preparedness in the Philippines and Thailand&lt;/title&gt;&lt;secondary-title&gt;World Development&lt;/secondary-title&gt;&lt;/titles&gt;&lt;periodical&gt;&lt;full-title&gt;World Development&lt;/full-title&gt;&lt;/periodical&gt;&lt;pages&gt;32-51&lt;/pages&gt;&lt;volume&gt;96&lt;/volume&gt;&lt;dates&gt;&lt;year&gt;2017&lt;/year&gt;&lt;/dates&gt;&lt;isbn&gt;0305-750X&lt;/isbn&gt;&lt;urls&gt;&lt;/urls&gt;&lt;/record&gt;&lt;/Cite&gt;&lt;/EndNote&gt;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[26]</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in their study in Thailand and Philippines</w:t>
      </w:r>
      <w:r w:rsidR="009066B1" w:rsidRPr="002729A0">
        <w:rPr>
          <w:rFonts w:ascii="Times New Roman" w:eastAsia="SimSun" w:hAnsi="Times New Roman" w:cs="Times New Roman"/>
          <w:kern w:val="0"/>
          <w:lang w:val="en-GB"/>
          <w14:ligatures w14:val="none"/>
        </w:rPr>
        <w:t xml:space="preserve">. They found </w:t>
      </w:r>
      <w:r w:rsidRPr="002729A0">
        <w:rPr>
          <w:rFonts w:ascii="Times New Roman" w:eastAsia="SimSun" w:hAnsi="Times New Roman" w:cs="Times New Roman"/>
          <w:kern w:val="0"/>
          <w:lang w:val="en-GB"/>
          <w14:ligatures w14:val="none"/>
        </w:rPr>
        <w:t>that households that never experienced public health disasters in the past but got information were more prepared tha</w:t>
      </w:r>
      <w:r w:rsidR="001316FF" w:rsidRPr="002729A0">
        <w:rPr>
          <w:rFonts w:ascii="Times New Roman" w:eastAsia="SimSun" w:hAnsi="Times New Roman" w:cs="Times New Roman"/>
          <w:kern w:val="0"/>
          <w:lang w:val="en-GB"/>
          <w14:ligatures w14:val="none"/>
        </w:rPr>
        <w:t>n</w:t>
      </w:r>
      <w:r w:rsidRPr="002729A0">
        <w:rPr>
          <w:rFonts w:ascii="Times New Roman" w:eastAsia="SimSun" w:hAnsi="Times New Roman" w:cs="Times New Roman"/>
          <w:kern w:val="0"/>
          <w:lang w:val="en-GB"/>
          <w14:ligatures w14:val="none"/>
        </w:rPr>
        <w:t xml:space="preserve"> those who had experienced disasters in the past. This can be attributed to the novelty of the threat which may lead to a stronger response to warnings and educational campaigns, as these individuals have no previous experience to rely on, which may otherwise diminish the perceived urgency.</w:t>
      </w:r>
    </w:p>
    <w:p w14:paraId="39B88D2E" w14:textId="28CCCF7D"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 xml:space="preserve">Knowledge of appropriate actions during a PHE significantly enhances preparedness. This finding aligns with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&lt;EndNote&gt;&lt;Cite&gt;&lt;Author&gt;Savoia&lt;/Author&gt;&lt;Year&gt;2017&lt;/Year&gt;&lt;RecNum&gt;58&lt;/RecNum&gt;&lt;DisplayText&gt;[27]&lt;/DisplayText&gt;&lt;record&gt;&lt;rec-number&gt;58&lt;/rec-number&gt;&lt;foreign-keys&gt;&lt;key app="EN" db-id="5etxzxsem0atr6e00dp5a0xva5xdw2f2tdf5" timestamp="1724328232"&gt;58&lt;/key&gt;&lt;/foreign-keys&gt;&lt;ref-type name="Journal Article"&gt;17&lt;/ref-type&gt;&lt;contributors&gt;&lt;authors&gt;&lt;author&gt;Savoia, Elena&lt;/author&gt;&lt;author&gt;Lin, Leesa&lt;/author&gt;&lt;author&gt;Gamhewage, Gaya M&lt;/author&gt;&lt;/authors&gt;&lt;/contributors&gt;&lt;titles&gt;&lt;title&gt;A conceptual framework for the evaluation of emergency risk communications&lt;/title&gt;&lt;secondary-title&gt;American Journal of Public Health&lt;/secondary-title&gt;&lt;/titles&gt;&lt;periodical&gt;&lt;full-title&gt;American Journal of Public Health&lt;/full-title&gt;&lt;/periodical&gt;&lt;pages&gt;S208-S214&lt;/pages&gt;&lt;volume&gt;107&lt;/volume&gt;&lt;number&gt;S2&lt;/number&gt;&lt;dates&gt;&lt;year&gt;2017&lt;/year&gt;&lt;/dates&gt;&lt;isbn&gt;1541-0048&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[27]</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who demonstrated that practical knowledge and drills were crucial for improving community readiness in Italy. The high Adjusted Odds Ratio (</w:t>
      </w:r>
      <w:proofErr w:type="spellStart"/>
      <w:r w:rsidR="00B5027C" w:rsidRPr="002729A0">
        <w:rPr>
          <w:rFonts w:ascii="Times New Roman" w:eastAsia="SimSun" w:hAnsi="Times New Roman" w:cs="Times New Roman"/>
          <w:kern w:val="0"/>
          <w:lang w:val="en-GB"/>
          <w14:ligatures w14:val="none"/>
        </w:rPr>
        <w:t>a</w:t>
      </w:r>
      <w:r w:rsidRPr="002729A0">
        <w:rPr>
          <w:rFonts w:ascii="Times New Roman" w:eastAsia="SimSun" w:hAnsi="Times New Roman" w:cs="Times New Roman"/>
          <w:kern w:val="0"/>
          <w:lang w:val="en-GB"/>
          <w14:ligatures w14:val="none"/>
        </w:rPr>
        <w:t>OR</w:t>
      </w:r>
      <w:proofErr w:type="spellEnd"/>
      <w:r w:rsidRPr="002729A0">
        <w:rPr>
          <w:rFonts w:ascii="Times New Roman" w:eastAsia="SimSun" w:hAnsi="Times New Roman" w:cs="Times New Roman"/>
          <w:kern w:val="0"/>
          <w:lang w:val="en-GB"/>
          <w14:ligatures w14:val="none"/>
        </w:rPr>
        <w:t>) in our study indicates that educational interventions can significantly boost preparedness levels. My own view on this finding is, despite the fact that knowledge enhances PHE preparedness, there appeared a segregate distinction between those with knowledge due to their education levels and those who do not demonstrate good knowledge.</w:t>
      </w:r>
    </w:p>
    <w:p w14:paraId="780CF96C" w14:textId="7DE40308"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 xml:space="preserve">Having a communication plan is another critical determinant of preparedness.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&lt;EndNote&gt;&lt;Cite&gt;&lt;Author&gt;Mabuku&lt;/Author&gt;&lt;Year&gt;2018&lt;/Year&gt;&lt;RecNum&gt;60&lt;/RecNum&gt;&lt;DisplayText&gt;[28]&lt;/DisplayText&gt;&lt;record&gt;&lt;rec-number&gt;60&lt;/rec-number&gt;&lt;foreign-keys&gt;&lt;key app="EN" db-id="5etxzxsem0atr6e00dp5a0xva5xdw2f2tdf5" timestamp="1724328709"&gt;60&lt;/key&gt;&lt;/foreign-keys&gt;&lt;ref-type name="Journal Article"&gt;17&lt;/ref-type&gt;&lt;contributors&gt;&lt;authors&gt;&lt;author&gt;Mabuku, Monde Patrina&lt;/author&gt;&lt;author&gt;Senzanje, Aidan&lt;/author&gt;&lt;author&gt;Mudhara, Maxwell&lt;/author&gt;&lt;author&gt;Jewitt, Graham&lt;/author&gt;&lt;author&gt;Mulwafu, Wapulumuka&lt;/author&gt;&lt;/authors&gt;&lt;/contributors&gt;&lt;titles&gt;&lt;title&gt;Rural households’ flood preparedness and social determinants in Mwandi district of Zambia and Eastern Zambezi Region of Namibia&lt;/title&gt;&lt;secondary-title&gt;International journal of disaster risk reduction&lt;/secondary-title&gt;&lt;/titles&gt;&lt;periodical&gt;&lt;full-title&gt;International journal of disaster risk reduction&lt;/full-title&gt;&lt;/periodical&gt;&lt;pages&gt;284-297&lt;/pages&gt;&lt;volume&gt;28&lt;/volume&gt;&lt;dates&gt;&lt;year&gt;2018&lt;/year&gt;&lt;/dates&gt;&lt;isbn&gt;2212-4209&lt;/isbn&gt;&lt;urls&gt;&lt;/urls&gt;&lt;/record&gt;&lt;/Cite&gt;&lt;/EndNote&gt;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[28]</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on their study in Zambia and Namibia found that the extent to which people talk and think about a certain source disaster in the communities with established communication protocols were significantly better prepared for emergencies. Our study </w:t>
      </w:r>
      <w:r w:rsidR="002F35FA" w:rsidRPr="002729A0">
        <w:rPr>
          <w:rFonts w:ascii="Times New Roman" w:eastAsia="SimSun" w:hAnsi="Times New Roman" w:cs="Times New Roman"/>
          <w:kern w:val="0"/>
          <w:lang w:val="en-GB"/>
          <w14:ligatures w14:val="none"/>
        </w:rPr>
        <w:t>finding aligns with</w:t>
      </w:r>
      <w:r w:rsidRPr="002729A0">
        <w:rPr>
          <w:rFonts w:ascii="Times New Roman" w:eastAsia="SimSun" w:hAnsi="Times New Roman" w:cs="Times New Roman"/>
          <w:kern w:val="0"/>
          <w:lang w:val="en-GB"/>
          <w14:ligatures w14:val="none"/>
        </w:rPr>
        <w:t xml:space="preserve"> this finding.</w:t>
      </w:r>
    </w:p>
    <w:p w14:paraId="24C98AAA" w14:textId="03955307"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 xml:space="preserve">The frequency of receiving information also impacts preparedness. Our study found that consistent receipt of information improves preparedness, though the adjusted odds for sporadic or non-receipt of information were not statistically significant. This result aligns with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&lt;EndNote&gt;&lt;Cite&gt;&lt;Author&gt;Guo&lt;/Author&gt;&lt;Year&gt;2020&lt;/Year&gt;&lt;RecNum&gt;61&lt;/RecNum&gt;&lt;DisplayText&gt;[29]&lt;/DisplayText&gt;&lt;record&gt;&lt;rec-number&gt;61&lt;/rec-number&gt;&lt;foreign-keys&gt;&lt;key app="EN" db-id="5etxzxsem0atr6e00dp5a0xva5xdw2f2tdf5" timestamp="1724329212"&gt;61&lt;/key&gt;&lt;/foreign-keys&gt;&lt;ref-type name="Journal Article"&gt;17&lt;/ref-type&gt;&lt;contributors&gt;&lt;authors&gt;&lt;author&gt;Guo, Chunlan&lt;/author&gt;&lt;author&gt;Sim, Timothy&lt;/author&gt;&lt;author&gt;Ho, Hung Chak&lt;/author&gt;&lt;/authors&gt;&lt;/contributors&gt;&lt;titles&gt;&lt;title&gt;Impact of information seeking, disaster preparedness and typhoon emergency response on perceived community resilience in Hong Kong&lt;/title&gt;&lt;secondary-title&gt;International Journal of Disaster Risk Reduction&lt;/secondary-title&gt;&lt;/titles&gt;&lt;periodical&gt;&lt;full-title&gt;International journal of disaster risk reduction&lt;/full-title&gt;&lt;/periodical&gt;&lt;pages&gt;101744&lt;/pages&gt;&lt;volume&gt;50&lt;/volume&gt;&lt;dates&gt;&lt;year&gt;2020&lt;/year&gt;&lt;/dates&gt;&lt;isbn&gt;2212-4209&lt;/isbn&gt;&lt;urls&gt;&lt;/urls&gt;&lt;/record&gt;&lt;/Cite&gt;&lt;/EndNote&gt;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[29]</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study in Hong Kong, which observed a similar trend, although the impact of information frequency was more pronounced. The discrepancy in significance between consistent and sporadic information receipt may suggest that ongoing and repeated exposure to preparedness messages reinforces the importance of taking proactive measures, while infrequent messages may fail to create a lasting impression or prompt action.</w:t>
      </w:r>
    </w:p>
    <w:p w14:paraId="62D95AEC" w14:textId="2BB19D1A"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 xml:space="preserve">Regular checks by government staff </w:t>
      </w:r>
      <w:r w:rsidR="007419A2" w:rsidRPr="002729A0">
        <w:rPr>
          <w:rFonts w:ascii="Times New Roman" w:eastAsia="SimSun" w:hAnsi="Times New Roman" w:cs="Times New Roman"/>
          <w:kern w:val="0"/>
          <w:lang w:val="en-GB"/>
          <w14:ligatures w14:val="none"/>
        </w:rPr>
        <w:t>have been</w:t>
      </w:r>
      <w:r w:rsidRPr="002729A0">
        <w:rPr>
          <w:rFonts w:ascii="Times New Roman" w:eastAsia="SimSun" w:hAnsi="Times New Roman" w:cs="Times New Roman"/>
          <w:kern w:val="0"/>
          <w:lang w:val="en-GB"/>
          <w14:ligatures w14:val="none"/>
        </w:rPr>
        <w:t xml:space="preserve"> found to significantly improve preparedness, consistent with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&lt;EndNote&gt;&lt;Cite&gt;&lt;Author&gt;Kareodu&lt;/Author&gt;&lt;Year&gt;2014&lt;/Year&gt;&lt;RecNum&gt;62&lt;/RecNum&gt;&lt;DisplayText&gt;[30]&lt;/DisplayText&gt;&lt;record&gt;&lt;rec-number&gt;62&lt;/rec-number&gt;&lt;foreign-keys&gt;&lt;key app="EN" db-id="5etxzxsem0atr6e00dp5a0xva5xdw2f2tdf5" timestamp="1724329664"&gt;62&lt;/key&gt;&lt;/foreign-keys&gt;&lt;ref-type name="Thesis"&gt;32&lt;/ref-type&gt;&lt;contributors&gt;&lt;authors&gt;&lt;author&gt;Kareodu, Ronald&lt;/author&gt;&lt;/authors&gt;&lt;/contributors&gt;&lt;titles&gt;&lt;title&gt;Factors Influencing Health Workers’ Adherence to Disaster Preparedness Measures&lt;/title&gt;&lt;/titles&gt;&lt;dates&gt;&lt;year&gt;2014&lt;/year&gt;&lt;/dates&gt;&lt;publisher&gt;International Health Sciences University.&lt;/publisher&gt;&lt;urls&gt;&lt;/urls&gt;&lt;/record&gt;&lt;/Cite&gt;&lt;/EndNote&gt;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[30]</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the findings from </w:t>
      </w:r>
      <w:proofErr w:type="spellStart"/>
      <w:r w:rsidRPr="002729A0">
        <w:rPr>
          <w:rFonts w:ascii="Times New Roman" w:eastAsia="SimSun" w:hAnsi="Times New Roman" w:cs="Times New Roman"/>
          <w:kern w:val="0"/>
          <w:lang w:val="en-GB"/>
          <w14:ligatures w14:val="none"/>
        </w:rPr>
        <w:t>Kilembe</w:t>
      </w:r>
      <w:proofErr w:type="spellEnd"/>
      <w:r w:rsidRPr="002729A0">
        <w:rPr>
          <w:rFonts w:ascii="Times New Roman" w:eastAsia="SimSun" w:hAnsi="Times New Roman" w:cs="Times New Roman"/>
          <w:kern w:val="0"/>
          <w:lang w:val="en-GB"/>
          <w14:ligatures w14:val="none"/>
        </w:rPr>
        <w:t xml:space="preserve"> Mines Hospital in Kasese district revealed that active government engagement was a crucial factor in enhancing community disaster readiness, significantly contributing to higher adherence to disaster preparedness measures. Active government engagement likely ensures better resource allocation, more effective communication strategies, and greater public trust, all of which contribute to higher adherence to disaster preparedness measures. This highlights the need for continued and consistent government participation in community-level preparedness efforts to ensure that populations </w:t>
      </w:r>
      <w:r w:rsidR="00B4342B" w:rsidRPr="002729A0">
        <w:rPr>
          <w:rFonts w:ascii="Times New Roman" w:eastAsia="SimSun" w:hAnsi="Times New Roman" w:cs="Times New Roman"/>
          <w:kern w:val="0"/>
          <w:lang w:val="en-GB"/>
          <w14:ligatures w14:val="none"/>
        </w:rPr>
        <w:t>are</w:t>
      </w:r>
      <w:r w:rsidRPr="002729A0">
        <w:rPr>
          <w:rFonts w:ascii="Times New Roman" w:eastAsia="SimSun" w:hAnsi="Times New Roman" w:cs="Times New Roman"/>
          <w:kern w:val="0"/>
          <w:lang w:val="en-GB"/>
          <w14:ligatures w14:val="none"/>
        </w:rPr>
        <w:t xml:space="preserve"> both informed and motivated to take necessary precautions. </w:t>
      </w:r>
    </w:p>
    <w:p w14:paraId="4781EE4B" w14:textId="30F12868"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Training on PHE response shows varying levels of significance, but overall, a higher number of trained members tends to improve preparedness. This aligns with the study by</w:t>
      </w:r>
      <w:r w:rsidR="00EB7813" w:rsidRPr="002729A0">
        <w:rPr>
          <w:rFonts w:ascii="Times New Roman" w:eastAsia="SimSun" w:hAnsi="Times New Roman" w:cs="Times New Roman"/>
          <w:kern w:val="0"/>
          <w:lang w:val="en-GB"/>
          <w14:ligatures w14:val="none"/>
        </w:rPr>
        <w:t xml:space="preserve">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&lt;EndNote&gt;&lt;Cite&gt;&lt;Author&gt;Amini&lt;/Author&gt;&lt;Year&gt;2024&lt;/Year&gt;&lt;RecNum&gt;63&lt;/RecNum&gt;&lt;DisplayText&gt;[31]&lt;/DisplayText&gt;&lt;record&gt;&lt;rec-number&gt;63&lt;/rec-number&gt;&lt;foreign-keys&gt;&lt;key app="EN" db-id="5etxzxsem0atr6e00dp5a0xva5xdw2f2tdf5" timestamp="1724331464"&gt;63&lt;/key&gt;&lt;/foreign-keys&gt;&lt;ref-type name="Journal Article"&gt;17&lt;/ref-type&gt;&lt;contributors&gt;&lt;authors&gt;&lt;author&gt;Amini, Fereshteh&lt;/author&gt;&lt;author&gt;Hidarnia, Alireza&lt;/author&gt;&lt;author&gt;Ghofranipour, Fazlollah&lt;/author&gt;&lt;author&gt;Motlagh, Mohammad Esmaiel&lt;/author&gt;&lt;/authors&gt;&lt;/contributors&gt;&lt;titles&gt;&lt;title&gt;Examining the effectiveness of a training program on improving knowledge, functional skills, and attitude in natural disaster volunteers&lt;/title&gt;&lt;secondary-title&gt;Frontiers in public health&lt;/secondary-title&gt;&lt;/titles&gt;&lt;periodical&gt;&lt;full-title&gt;Frontiers in Public Health&lt;/full-title&gt;&lt;/periodical&gt;&lt;pages&gt;1321535&lt;/pages&gt;&lt;volume&gt;12&lt;/volume&gt;&lt;dates&gt;&lt;year&gt;2024&lt;/year&gt;&lt;/dates&gt;&lt;isbn&gt;2296-2565&lt;/isbn&gt;&lt;urls&gt;&lt;/urls&gt;&lt;/record&gt;&lt;/Cite&gt;&lt;/EndNote&gt;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[31]</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which </w:t>
      </w:r>
      <w:r w:rsidRPr="002729A0">
        <w:rPr>
          <w:rFonts w:ascii="Times New Roman" w:eastAsia="SimSun" w:hAnsi="Times New Roman" w:cs="Times New Roman"/>
          <w:kern w:val="0"/>
          <w:lang w:val="en-GB"/>
          <w14:ligatures w14:val="none"/>
        </w:rPr>
        <w:lastRenderedPageBreak/>
        <w:t>demonstrated that training programs effectively enhance skills and positively influence</w:t>
      </w:r>
      <w:r w:rsidR="00BD7B64" w:rsidRPr="002729A0">
        <w:rPr>
          <w:rFonts w:ascii="Times New Roman" w:eastAsia="SimSun" w:hAnsi="Times New Roman" w:cs="Times New Roman"/>
          <w:kern w:val="0"/>
          <w:lang w:val="en-GB"/>
          <w14:ligatures w14:val="none"/>
        </w:rPr>
        <w:t>d</w:t>
      </w:r>
      <w:r w:rsidRPr="002729A0">
        <w:rPr>
          <w:rFonts w:ascii="Times New Roman" w:eastAsia="SimSun" w:hAnsi="Times New Roman" w:cs="Times New Roman"/>
          <w:kern w:val="0"/>
          <w:lang w:val="en-GB"/>
          <w14:ligatures w14:val="none"/>
        </w:rPr>
        <w:t xml:space="preserve"> individual attitudes. These findings underscore the crucial role that training community members and response teams plays in elevating disaster preparedness levels. </w:t>
      </w:r>
    </w:p>
    <w:p w14:paraId="5E9F95ED" w14:textId="3002DAE9"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 xml:space="preserve">Finally, our study found that individuals relying on community health volunteers (CHVs) or leaders for information were less likely to be prepared compared to those using radios or TVs. This finding supports </w:t>
      </w:r>
      <w:r w:rsidRPr="002729A0">
        <w:rPr>
          <w:rFonts w:ascii="Times New Roman" w:eastAsia="SimSun" w:hAnsi="Times New Roman" w:cs="Times New Roman"/>
          <w:kern w:val="0"/>
          <w:lang w:val="en-GB"/>
          <w14:ligatures w14:val="none"/>
        </w:rPr>
        <w:fldChar w:fldCharType="begin"/>
      </w:r>
      <w:r w:rsidR="00682142" w:rsidRPr="002729A0">
        <w:rPr>
          <w:rFonts w:ascii="Times New Roman" w:eastAsia="SimSun" w:hAnsi="Times New Roman" w:cs="Times New Roman"/>
          <w:kern w:val="0"/>
          <w:lang w:val="en-GB"/>
          <w14:ligatures w14:val="none"/>
        </w:rPr>
        <w:instrText xml:space="preserve"> ADDIN EN.CITE &lt;EndNote&gt;&lt;Cite&gt;&lt;Author&gt;Osur&lt;/Author&gt;&lt;Year&gt;2021&lt;/Year&gt;&lt;RecNum&gt;64&lt;/RecNum&gt;&lt;DisplayText&gt;[32]&lt;/DisplayText&gt;&lt;record&gt;&lt;rec-number&gt;64&lt;/rec-number&gt;&lt;foreign-keys&gt;&lt;key app="EN" db-id="5etxzxsem0atr6e00dp5a0xva5xdw2f2tdf5" timestamp="1724331825"&gt;64&lt;/key&gt;&lt;/foreign-keys&gt;&lt;ref-type name="Journal Article"&gt;17&lt;/ref-type&gt;&lt;contributors&gt;&lt;authors&gt;&lt;author&gt;Osur, Joachim O&lt;/author&gt;&lt;author&gt;Muinga, Evelyne OF&lt;/author&gt;&lt;author&gt;Ireri, Edward&lt;/author&gt;&lt;author&gt;Carter, Jane&lt;/author&gt;&lt;author&gt;Kuria, Shiphrah&lt;/author&gt;&lt;author&gt;Hussein, Salim&lt;/author&gt;&lt;/authors&gt;&lt;/contributors&gt;&lt;titles&gt;&lt;title&gt;Knowledge and Readiness of Community Health Volunteers to Lead Sensitization of Communities on COVID-19 Vaccination in Kenya: A Crosssectional Study&lt;/title&gt;&lt;/titles&gt;&lt;dates&gt;&lt;year&gt;2021&lt;/year&gt;&lt;/dates&gt;&lt;urls&gt;&lt;/urls&gt;&lt;/record&gt;&lt;/Cite&gt;&lt;/EndNote&gt;</w:instrText>
      </w:r>
      <w:r w:rsidRPr="002729A0">
        <w:rPr>
          <w:rFonts w:ascii="Times New Roman" w:eastAsia="SimSun" w:hAnsi="Times New Roman" w:cs="Times New Roman"/>
          <w:kern w:val="0"/>
          <w:lang w:val="en-GB"/>
          <w14:ligatures w14:val="none"/>
        </w:rPr>
        <w:fldChar w:fldCharType="separate"/>
      </w:r>
      <w:r w:rsidR="00682142" w:rsidRPr="002729A0">
        <w:rPr>
          <w:rFonts w:ascii="Times New Roman" w:eastAsia="SimSun" w:hAnsi="Times New Roman" w:cs="Times New Roman"/>
          <w:noProof/>
          <w:kern w:val="0"/>
          <w:lang w:val="en-GB"/>
          <w14:ligatures w14:val="none"/>
        </w:rPr>
        <w:t>[32]</w:t>
      </w:r>
      <w:r w:rsidRPr="002729A0">
        <w:rPr>
          <w:rFonts w:ascii="Times New Roman" w:eastAsia="SimSun" w:hAnsi="Times New Roman" w:cs="Times New Roman"/>
          <w:kern w:val="0"/>
          <w:lang w:val="en-GB"/>
          <w14:ligatures w14:val="none"/>
        </w:rPr>
        <w:fldChar w:fldCharType="end"/>
      </w:r>
      <w:r w:rsidRPr="002729A0">
        <w:rPr>
          <w:rFonts w:ascii="Times New Roman" w:eastAsia="SimSun" w:hAnsi="Times New Roman" w:cs="Times New Roman"/>
          <w:kern w:val="0"/>
          <w:lang w:val="en-GB"/>
          <w14:ligatures w14:val="none"/>
        </w:rPr>
        <w:t xml:space="preserve"> study in Kenya, which reported that sources of information such as TV and radio were more effective in disseminating critical information during emergencies compared to interpersonal sources. This could be attributed to the broader reach and consistent messaging provided by mass media channels, which can disseminate information rapidly and uniformly. Additionally, the accessibility of TV and radio may play a role, as these mediums are often available even in areas with limited access to healthcare workers or community leaders. The discrepancy might also suggest that information from CHVs and leaders, while valuable, may lack the immediacy or perceived authority that mass media sources carry, highlighting the need for integrating mass media with community-based approaches to improve overall preparedness.</w:t>
      </w:r>
    </w:p>
    <w:p w14:paraId="2B478768" w14:textId="77777777" w:rsidR="00471805" w:rsidRPr="002729A0" w:rsidRDefault="00471805" w:rsidP="002729A0">
      <w:pPr>
        <w:spacing w:line="240" w:lineRule="auto"/>
        <w:jc w:val="both"/>
        <w:rPr>
          <w:rFonts w:ascii="Times New Roman" w:eastAsia="SimSun" w:hAnsi="Times New Roman" w:cs="Times New Roman"/>
          <w:kern w:val="0"/>
          <w:lang w:val="en-GB"/>
          <w14:ligatures w14:val="none"/>
        </w:rPr>
      </w:pPr>
      <w:r w:rsidRPr="002729A0">
        <w:rPr>
          <w:rFonts w:ascii="Times New Roman" w:eastAsia="SimSun" w:hAnsi="Times New Roman" w:cs="Times New Roman"/>
          <w:kern w:val="0"/>
          <w:lang w:val="en-GB"/>
          <w14:ligatures w14:val="none"/>
        </w:rPr>
        <w:t>Additional inquiry after brainstorming on awareness(theme) revealed that the community engaged in various forms regarding the PHEs with simplest form of conveying the information. It was noted whenever there is a concern in the community, community are aware of the channel to follow to reach the relevant offices for the response and support. These are the forms in which the community engagement is done; community dialogues, chief barazas, periodic meetings, community local persons, public health advocacy, media, through phone apps, community leaders and churches are the forms of community engagements in which awareness is created for the PHEs in the area. This can be well noted from the below narratives.</w:t>
      </w:r>
    </w:p>
    <w:p w14:paraId="143CE019" w14:textId="77777777" w:rsidR="00F16FF1" w:rsidRPr="002729A0" w:rsidRDefault="00F16FF1" w:rsidP="002729A0">
      <w:pPr>
        <w:spacing w:line="240" w:lineRule="auto"/>
        <w:jc w:val="both"/>
        <w:rPr>
          <w:rFonts w:ascii="Times New Roman" w:hAnsi="Times New Roman" w:cs="Times New Roman"/>
          <w:b/>
          <w:bCs/>
        </w:rPr>
      </w:pPr>
    </w:p>
    <w:p w14:paraId="592A677A" w14:textId="6F3FC71C" w:rsidR="00F16FF1" w:rsidRPr="002729A0" w:rsidRDefault="00F16FF1" w:rsidP="002729A0">
      <w:pPr>
        <w:spacing w:line="240" w:lineRule="auto"/>
        <w:jc w:val="both"/>
        <w:rPr>
          <w:rFonts w:ascii="Times New Roman" w:hAnsi="Times New Roman" w:cs="Times New Roman"/>
          <w:b/>
          <w:bCs/>
        </w:rPr>
      </w:pPr>
      <w:r w:rsidRPr="002729A0">
        <w:rPr>
          <w:rFonts w:ascii="Times New Roman" w:hAnsi="Times New Roman" w:cs="Times New Roman"/>
          <w:b/>
          <w:bCs/>
        </w:rPr>
        <w:t>Conclusions</w:t>
      </w:r>
    </w:p>
    <w:p w14:paraId="05510812" w14:textId="4B3B850E" w:rsidR="00B54F47" w:rsidRPr="002729A0" w:rsidRDefault="00B54F47" w:rsidP="002729A0">
      <w:pPr>
        <w:spacing w:before="100" w:beforeAutospacing="1" w:after="100" w:afterAutospacing="1" w:line="240" w:lineRule="auto"/>
        <w:jc w:val="both"/>
        <w:rPr>
          <w:rFonts w:ascii="Times New Roman" w:eastAsia="Times New Roman" w:hAnsi="Times New Roman" w:cs="Times New Roman"/>
          <w:kern w:val="0"/>
          <w:lang w:val="en-GB"/>
          <w14:ligatures w14:val="none"/>
        </w:rPr>
      </w:pPr>
      <w:r w:rsidRPr="002729A0">
        <w:rPr>
          <w:rFonts w:ascii="Times New Roman" w:eastAsia="Times New Roman" w:hAnsi="Times New Roman" w:cs="Times New Roman"/>
          <w:kern w:val="0"/>
          <w:lang w:val="en-GB"/>
          <w14:ligatures w14:val="none"/>
        </w:rPr>
        <w:t>The study provides a nuanced understanding of community preparedness for public health emergencies (PHEs)</w:t>
      </w:r>
      <w:r w:rsidR="00553B48" w:rsidRPr="002729A0">
        <w:rPr>
          <w:rFonts w:ascii="Times New Roman" w:eastAsia="Times New Roman" w:hAnsi="Times New Roman" w:cs="Times New Roman"/>
          <w:kern w:val="0"/>
          <w:lang w:val="en-GB"/>
          <w14:ligatures w14:val="none"/>
        </w:rPr>
        <w:t>.</w:t>
      </w:r>
      <w:r w:rsidRPr="002729A0">
        <w:rPr>
          <w:rFonts w:ascii="Times New Roman" w:eastAsia="Times New Roman" w:hAnsi="Times New Roman" w:cs="Times New Roman"/>
          <w:kern w:val="0"/>
          <w:lang w:val="en-GB"/>
          <w14:ligatures w14:val="none"/>
        </w:rPr>
        <w:t xml:space="preserve"> It highlights the critical importance of community engagement and the diverse channels through which information is disseminated. </w:t>
      </w:r>
      <w:bookmarkStart w:id="22" w:name="_Hlk180337191"/>
      <w:r w:rsidRPr="002729A0">
        <w:rPr>
          <w:rFonts w:ascii="Times New Roman" w:eastAsia="Times New Roman" w:hAnsi="Times New Roman" w:cs="Times New Roman"/>
          <w:kern w:val="0"/>
          <w:lang w:val="en-GB"/>
          <w14:ligatures w14:val="none"/>
        </w:rPr>
        <w:t>Key findings emphasize the role of demographic factors, including age, marital status, education level, and occupation, in influencing individual preparedness. Notably, younger, married, self-employed, and lower-educated individuals exhibited higher preparedness rates, indicating that targeted strategies are essential for engaging various demographic groups.</w:t>
      </w:r>
    </w:p>
    <w:p w14:paraId="63ADF5AD" w14:textId="25E27B8E" w:rsidR="00F16FF1" w:rsidRPr="002729A0" w:rsidRDefault="00B54F47" w:rsidP="002729A0">
      <w:pPr>
        <w:spacing w:before="100" w:beforeAutospacing="1" w:after="100" w:afterAutospacing="1" w:line="240" w:lineRule="auto"/>
        <w:jc w:val="both"/>
        <w:rPr>
          <w:rFonts w:ascii="Times New Roman" w:eastAsia="Times New Roman" w:hAnsi="Times New Roman" w:cs="Times New Roman"/>
          <w:kern w:val="0"/>
          <w:lang w:val="en-GB"/>
          <w14:ligatures w14:val="none"/>
        </w:rPr>
      </w:pPr>
      <w:r w:rsidRPr="002729A0">
        <w:rPr>
          <w:rFonts w:ascii="Times New Roman" w:eastAsia="Times New Roman" w:hAnsi="Times New Roman" w:cs="Times New Roman"/>
          <w:kern w:val="0"/>
          <w:lang w:val="en-GB"/>
          <w14:ligatures w14:val="none"/>
        </w:rPr>
        <w:t>Religious and cultural factors also play a significant role, with Christians showing higher preparedness rates than Muslims</w:t>
      </w:r>
      <w:bookmarkEnd w:id="22"/>
      <w:r w:rsidRPr="002729A0">
        <w:rPr>
          <w:rFonts w:ascii="Times New Roman" w:eastAsia="Times New Roman" w:hAnsi="Times New Roman" w:cs="Times New Roman"/>
          <w:kern w:val="0"/>
          <w:lang w:val="en-GB"/>
          <w14:ligatures w14:val="none"/>
        </w:rPr>
        <w:t>. This underscores the need for culturally sensitive and inclusive preparedness initiatives. The study identifies several prevalent public health emergencies, such as communicable diseases and environmental hazards, and underscores the need for targeted interventions to address these issues effectively.</w:t>
      </w:r>
    </w:p>
    <w:p w14:paraId="18A603C6" w14:textId="77777777" w:rsidR="00803BC0" w:rsidRPr="002729A0" w:rsidRDefault="00803BC0" w:rsidP="002729A0">
      <w:pPr>
        <w:spacing w:line="240" w:lineRule="auto"/>
        <w:jc w:val="both"/>
        <w:rPr>
          <w:rFonts w:ascii="Times New Roman" w:hAnsi="Times New Roman" w:cs="Times New Roman"/>
          <w:b/>
          <w:bCs/>
        </w:rPr>
      </w:pPr>
    </w:p>
    <w:p w14:paraId="7C49261B" w14:textId="77777777" w:rsidR="00803BC0" w:rsidRPr="002729A0" w:rsidRDefault="00803BC0" w:rsidP="002729A0">
      <w:pPr>
        <w:spacing w:line="240" w:lineRule="auto"/>
        <w:jc w:val="both"/>
        <w:rPr>
          <w:rFonts w:ascii="Times New Roman" w:hAnsi="Times New Roman" w:cs="Times New Roman"/>
          <w:b/>
          <w:bCs/>
        </w:rPr>
      </w:pPr>
    </w:p>
    <w:p w14:paraId="15ABAB08" w14:textId="4C1C5508" w:rsidR="00012CCE" w:rsidRPr="002729A0" w:rsidRDefault="00803BC0" w:rsidP="002729A0">
      <w:pPr>
        <w:spacing w:line="240" w:lineRule="auto"/>
        <w:jc w:val="both"/>
        <w:rPr>
          <w:rFonts w:ascii="Times New Roman" w:hAnsi="Times New Roman" w:cs="Times New Roman"/>
          <w:b/>
          <w:bCs/>
        </w:rPr>
      </w:pPr>
      <w:r w:rsidRPr="002729A0">
        <w:rPr>
          <w:rFonts w:ascii="Times New Roman" w:hAnsi="Times New Roman" w:cs="Times New Roman"/>
          <w:b/>
          <w:bCs/>
        </w:rPr>
        <w:t>References</w:t>
      </w:r>
    </w:p>
    <w:p w14:paraId="3B3468A2" w14:textId="77777777" w:rsidR="00682142" w:rsidRPr="002729A0" w:rsidRDefault="00012CCE" w:rsidP="002729A0">
      <w:pPr>
        <w:pStyle w:val="EndNoteBibliography"/>
        <w:spacing w:after="0"/>
        <w:ind w:left="720" w:hanging="720"/>
        <w:rPr>
          <w:rFonts w:ascii="Times New Roman" w:hAnsi="Times New Roman" w:cs="Times New Roman"/>
        </w:rPr>
      </w:pPr>
      <w:r w:rsidRPr="002729A0">
        <w:rPr>
          <w:rFonts w:ascii="Times New Roman" w:hAnsi="Times New Roman" w:cs="Times New Roman"/>
          <w:b/>
          <w:bCs/>
        </w:rPr>
        <w:fldChar w:fldCharType="begin"/>
      </w:r>
      <w:r w:rsidRPr="002729A0">
        <w:rPr>
          <w:rFonts w:ascii="Times New Roman" w:hAnsi="Times New Roman" w:cs="Times New Roman"/>
          <w:b/>
          <w:bCs/>
        </w:rPr>
        <w:instrText xml:space="preserve"> ADDIN EN.REFLIST </w:instrText>
      </w:r>
      <w:r w:rsidRPr="002729A0">
        <w:rPr>
          <w:rFonts w:ascii="Times New Roman" w:hAnsi="Times New Roman" w:cs="Times New Roman"/>
          <w:b/>
          <w:bCs/>
        </w:rPr>
        <w:fldChar w:fldCharType="separate"/>
      </w:r>
      <w:r w:rsidR="00682142" w:rsidRPr="002729A0">
        <w:rPr>
          <w:rFonts w:ascii="Times New Roman" w:hAnsi="Times New Roman" w:cs="Times New Roman"/>
        </w:rPr>
        <w:t>1.</w:t>
      </w:r>
      <w:r w:rsidR="00682142" w:rsidRPr="002729A0">
        <w:rPr>
          <w:rFonts w:ascii="Times New Roman" w:hAnsi="Times New Roman" w:cs="Times New Roman"/>
        </w:rPr>
        <w:tab/>
        <w:t xml:space="preserve">Singh, D.R., et al., </w:t>
      </w:r>
      <w:r w:rsidR="00682142" w:rsidRPr="002729A0">
        <w:rPr>
          <w:rFonts w:ascii="Times New Roman" w:hAnsi="Times New Roman" w:cs="Times New Roman"/>
          <w:i/>
        </w:rPr>
        <w:t>Impact of COVID-19 on health services utilization in Province-2 of Nepal: a qualitative study among community members and stakeholders.</w:t>
      </w:r>
      <w:r w:rsidR="00682142" w:rsidRPr="002729A0">
        <w:rPr>
          <w:rFonts w:ascii="Times New Roman" w:hAnsi="Times New Roman" w:cs="Times New Roman"/>
        </w:rPr>
        <w:t xml:space="preserve"> BMC health services research, 2021. </w:t>
      </w:r>
      <w:r w:rsidR="00682142" w:rsidRPr="002729A0">
        <w:rPr>
          <w:rFonts w:ascii="Times New Roman" w:hAnsi="Times New Roman" w:cs="Times New Roman"/>
          <w:b/>
        </w:rPr>
        <w:t>21</w:t>
      </w:r>
      <w:r w:rsidR="00682142" w:rsidRPr="002729A0">
        <w:rPr>
          <w:rFonts w:ascii="Times New Roman" w:hAnsi="Times New Roman" w:cs="Times New Roman"/>
        </w:rPr>
        <w:t>: p. 1-14.</w:t>
      </w:r>
    </w:p>
    <w:p w14:paraId="410E7D1A"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lastRenderedPageBreak/>
        <w:t>2.</w:t>
      </w:r>
      <w:r w:rsidRPr="002729A0">
        <w:rPr>
          <w:rFonts w:ascii="Times New Roman" w:hAnsi="Times New Roman" w:cs="Times New Roman"/>
        </w:rPr>
        <w:tab/>
        <w:t xml:space="preserve">Warsame, A., K. Blanchet, and F. Checchi, </w:t>
      </w:r>
      <w:r w:rsidRPr="002729A0">
        <w:rPr>
          <w:rFonts w:ascii="Times New Roman" w:hAnsi="Times New Roman" w:cs="Times New Roman"/>
          <w:i/>
        </w:rPr>
        <w:t>Towards systematic evaluation of epidemic responses during humanitarian crises: a scoping review of existing public health evaluation frameworks.</w:t>
      </w:r>
      <w:r w:rsidRPr="002729A0">
        <w:rPr>
          <w:rFonts w:ascii="Times New Roman" w:hAnsi="Times New Roman" w:cs="Times New Roman"/>
        </w:rPr>
        <w:t xml:space="preserve"> BMJ global health, 2020. </w:t>
      </w:r>
      <w:r w:rsidRPr="002729A0">
        <w:rPr>
          <w:rFonts w:ascii="Times New Roman" w:hAnsi="Times New Roman" w:cs="Times New Roman"/>
          <w:b/>
        </w:rPr>
        <w:t>5</w:t>
      </w:r>
      <w:r w:rsidRPr="002729A0">
        <w:rPr>
          <w:rFonts w:ascii="Times New Roman" w:hAnsi="Times New Roman" w:cs="Times New Roman"/>
        </w:rPr>
        <w:t>(1): p. e002109.</w:t>
      </w:r>
    </w:p>
    <w:p w14:paraId="0A2EFF66" w14:textId="77777777" w:rsidR="00682142" w:rsidRPr="002729A0" w:rsidRDefault="00682142" w:rsidP="002729A0">
      <w:pPr>
        <w:pStyle w:val="EndNoteBibliography"/>
        <w:spacing w:after="0"/>
        <w:ind w:left="720" w:hanging="720"/>
        <w:rPr>
          <w:rFonts w:ascii="Times New Roman" w:hAnsi="Times New Roman" w:cs="Times New Roman"/>
          <w:i/>
        </w:rPr>
      </w:pPr>
      <w:r w:rsidRPr="002729A0">
        <w:rPr>
          <w:rFonts w:ascii="Times New Roman" w:hAnsi="Times New Roman" w:cs="Times New Roman"/>
        </w:rPr>
        <w:t>3.</w:t>
      </w:r>
      <w:r w:rsidRPr="002729A0">
        <w:rPr>
          <w:rFonts w:ascii="Times New Roman" w:hAnsi="Times New Roman" w:cs="Times New Roman"/>
        </w:rPr>
        <w:tab/>
        <w:t xml:space="preserve">Maat, H., et al., </w:t>
      </w:r>
      <w:r w:rsidRPr="002729A0">
        <w:rPr>
          <w:rFonts w:ascii="Times New Roman" w:hAnsi="Times New Roman" w:cs="Times New Roman"/>
          <w:i/>
        </w:rPr>
        <w:t>Towards Sustainable Community-Based Systems for Infectious Disease and Disaster Response.</w:t>
      </w:r>
    </w:p>
    <w:p w14:paraId="0F1EE799"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4.</w:t>
      </w:r>
      <w:r w:rsidRPr="002729A0">
        <w:rPr>
          <w:rFonts w:ascii="Times New Roman" w:hAnsi="Times New Roman" w:cs="Times New Roman"/>
        </w:rPr>
        <w:tab/>
        <w:t xml:space="preserve">Corbin, J.H., et al., </w:t>
      </w:r>
      <w:r w:rsidRPr="002729A0">
        <w:rPr>
          <w:rFonts w:ascii="Times New Roman" w:hAnsi="Times New Roman" w:cs="Times New Roman"/>
          <w:i/>
        </w:rPr>
        <w:t>A health promotion approach to emergency management: effective community engagement strategies from five cases.</w:t>
      </w:r>
      <w:r w:rsidRPr="002729A0">
        <w:rPr>
          <w:rFonts w:ascii="Times New Roman" w:hAnsi="Times New Roman" w:cs="Times New Roman"/>
        </w:rPr>
        <w:t xml:space="preserve"> Health promotion international, 2021. </w:t>
      </w:r>
      <w:r w:rsidRPr="002729A0">
        <w:rPr>
          <w:rFonts w:ascii="Times New Roman" w:hAnsi="Times New Roman" w:cs="Times New Roman"/>
          <w:b/>
        </w:rPr>
        <w:t>36</w:t>
      </w:r>
      <w:r w:rsidRPr="002729A0">
        <w:rPr>
          <w:rFonts w:ascii="Times New Roman" w:hAnsi="Times New Roman" w:cs="Times New Roman"/>
        </w:rPr>
        <w:t>(Supplement_1): p. i24-i38.</w:t>
      </w:r>
    </w:p>
    <w:p w14:paraId="42EC7E0F"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5.</w:t>
      </w:r>
      <w:r w:rsidRPr="002729A0">
        <w:rPr>
          <w:rFonts w:ascii="Times New Roman" w:hAnsi="Times New Roman" w:cs="Times New Roman"/>
        </w:rPr>
        <w:tab/>
        <w:t xml:space="preserve">Saner, R., L. Yiu, and M. Nguyen, </w:t>
      </w:r>
      <w:r w:rsidRPr="002729A0">
        <w:rPr>
          <w:rFonts w:ascii="Times New Roman" w:hAnsi="Times New Roman" w:cs="Times New Roman"/>
          <w:i/>
        </w:rPr>
        <w:t>Monitoring the SDGs: digital and social technologies to ensure citizen participation, inclusiveness and transparency.</w:t>
      </w:r>
      <w:r w:rsidRPr="002729A0">
        <w:rPr>
          <w:rFonts w:ascii="Times New Roman" w:hAnsi="Times New Roman" w:cs="Times New Roman"/>
        </w:rPr>
        <w:t xml:space="preserve"> Development Policy Review, 2020. </w:t>
      </w:r>
      <w:r w:rsidRPr="002729A0">
        <w:rPr>
          <w:rFonts w:ascii="Times New Roman" w:hAnsi="Times New Roman" w:cs="Times New Roman"/>
          <w:b/>
        </w:rPr>
        <w:t>38</w:t>
      </w:r>
      <w:r w:rsidRPr="002729A0">
        <w:rPr>
          <w:rFonts w:ascii="Times New Roman" w:hAnsi="Times New Roman" w:cs="Times New Roman"/>
        </w:rPr>
        <w:t>(4): p. 483-500.</w:t>
      </w:r>
    </w:p>
    <w:p w14:paraId="4EBBE2F3"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6.</w:t>
      </w:r>
      <w:r w:rsidRPr="002729A0">
        <w:rPr>
          <w:rFonts w:ascii="Times New Roman" w:hAnsi="Times New Roman" w:cs="Times New Roman"/>
        </w:rPr>
        <w:tab/>
        <w:t xml:space="preserve">Canton, L.G., </w:t>
      </w:r>
      <w:r w:rsidRPr="002729A0">
        <w:rPr>
          <w:rFonts w:ascii="Times New Roman" w:hAnsi="Times New Roman" w:cs="Times New Roman"/>
          <w:i/>
        </w:rPr>
        <w:t>Emergency management: Concepts and strategies for effective programs</w:t>
      </w:r>
      <w:r w:rsidRPr="002729A0">
        <w:rPr>
          <w:rFonts w:ascii="Times New Roman" w:hAnsi="Times New Roman" w:cs="Times New Roman"/>
        </w:rPr>
        <w:t>. 2019: John Wiley &amp; Sons.</w:t>
      </w:r>
    </w:p>
    <w:p w14:paraId="720E6F53"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7.</w:t>
      </w:r>
      <w:r w:rsidRPr="002729A0">
        <w:rPr>
          <w:rFonts w:ascii="Times New Roman" w:hAnsi="Times New Roman" w:cs="Times New Roman"/>
        </w:rPr>
        <w:tab/>
        <w:t xml:space="preserve">CDC, </w:t>
      </w:r>
      <w:r w:rsidRPr="002729A0">
        <w:rPr>
          <w:rFonts w:ascii="Times New Roman" w:hAnsi="Times New Roman" w:cs="Times New Roman"/>
          <w:i/>
        </w:rPr>
        <w:t>Centers for Disease Control and Prevention. Underlying Cause of Death, 1999–2018. CDC WONDER Online Database. Atlanta, GA: Centers for Disease Control and Prevention;.</w:t>
      </w:r>
      <w:r w:rsidRPr="002729A0">
        <w:rPr>
          <w:rFonts w:ascii="Times New Roman" w:hAnsi="Times New Roman" w:cs="Times New Roman"/>
        </w:rPr>
        <w:t xml:space="preserve"> 2018.</w:t>
      </w:r>
    </w:p>
    <w:p w14:paraId="75CF33B9"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8.</w:t>
      </w:r>
      <w:r w:rsidRPr="002729A0">
        <w:rPr>
          <w:rFonts w:ascii="Times New Roman" w:hAnsi="Times New Roman" w:cs="Times New Roman"/>
        </w:rPr>
        <w:tab/>
        <w:t xml:space="preserve">Johnson, E.K., et al., </w:t>
      </w:r>
      <w:r w:rsidRPr="002729A0">
        <w:rPr>
          <w:rFonts w:ascii="Times New Roman" w:hAnsi="Times New Roman" w:cs="Times New Roman"/>
          <w:i/>
        </w:rPr>
        <w:t>State laws and nonprofit hospital community benefit spending.</w:t>
      </w:r>
      <w:r w:rsidRPr="002729A0">
        <w:rPr>
          <w:rFonts w:ascii="Times New Roman" w:hAnsi="Times New Roman" w:cs="Times New Roman"/>
        </w:rPr>
        <w:t xml:space="preserve"> Journal of Public Health Management and Practice, 2019. </w:t>
      </w:r>
      <w:r w:rsidRPr="002729A0">
        <w:rPr>
          <w:rFonts w:ascii="Times New Roman" w:hAnsi="Times New Roman" w:cs="Times New Roman"/>
          <w:b/>
        </w:rPr>
        <w:t>25</w:t>
      </w:r>
      <w:r w:rsidRPr="002729A0">
        <w:rPr>
          <w:rFonts w:ascii="Times New Roman" w:hAnsi="Times New Roman" w:cs="Times New Roman"/>
        </w:rPr>
        <w:t>(4): p. E9-E17.</w:t>
      </w:r>
    </w:p>
    <w:p w14:paraId="34EAB2CD"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9.</w:t>
      </w:r>
      <w:r w:rsidRPr="002729A0">
        <w:rPr>
          <w:rFonts w:ascii="Times New Roman" w:hAnsi="Times New Roman" w:cs="Times New Roman"/>
        </w:rPr>
        <w:tab/>
        <w:t xml:space="preserve">Karvinen, I., et al., </w:t>
      </w:r>
      <w:r w:rsidRPr="002729A0">
        <w:rPr>
          <w:rFonts w:ascii="Times New Roman" w:hAnsi="Times New Roman" w:cs="Times New Roman"/>
          <w:i/>
        </w:rPr>
        <w:t>A study of the community‑based disaster preparedness in Kenyan rural communities.</w:t>
      </w:r>
      <w:r w:rsidRPr="002729A0">
        <w:rPr>
          <w:rFonts w:ascii="Times New Roman" w:hAnsi="Times New Roman" w:cs="Times New Roman"/>
        </w:rPr>
        <w:t xml:space="preserve"> 2016.</w:t>
      </w:r>
    </w:p>
    <w:p w14:paraId="1073E44F"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10.</w:t>
      </w:r>
      <w:r w:rsidRPr="002729A0">
        <w:rPr>
          <w:rFonts w:ascii="Times New Roman" w:hAnsi="Times New Roman" w:cs="Times New Roman"/>
        </w:rPr>
        <w:tab/>
        <w:t xml:space="preserve">Organization, W.H., </w:t>
      </w:r>
      <w:r w:rsidRPr="002729A0">
        <w:rPr>
          <w:rFonts w:ascii="Times New Roman" w:hAnsi="Times New Roman" w:cs="Times New Roman"/>
          <w:i/>
        </w:rPr>
        <w:t>Everyone’s business: Whole-of-society action to manage health risks and reduce socio-economic impacts of emergencies and disasters: Operational guidance.</w:t>
      </w:r>
      <w:r w:rsidRPr="002729A0">
        <w:rPr>
          <w:rFonts w:ascii="Times New Roman" w:hAnsi="Times New Roman" w:cs="Times New Roman"/>
        </w:rPr>
        <w:t xml:space="preserve"> 2020.</w:t>
      </w:r>
    </w:p>
    <w:p w14:paraId="32457AB5"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11.</w:t>
      </w:r>
      <w:r w:rsidRPr="002729A0">
        <w:rPr>
          <w:rFonts w:ascii="Times New Roman" w:hAnsi="Times New Roman" w:cs="Times New Roman"/>
        </w:rPr>
        <w:tab/>
        <w:t xml:space="preserve">KPHEOC, </w:t>
      </w:r>
      <w:r w:rsidRPr="002729A0">
        <w:rPr>
          <w:rFonts w:ascii="Times New Roman" w:hAnsi="Times New Roman" w:cs="Times New Roman"/>
          <w:i/>
        </w:rPr>
        <w:t>Public Health Emergency Operations Center KPHEOC Handbook.</w:t>
      </w:r>
      <w:r w:rsidRPr="002729A0">
        <w:rPr>
          <w:rFonts w:ascii="Times New Roman" w:hAnsi="Times New Roman" w:cs="Times New Roman"/>
        </w:rPr>
        <w:t xml:space="preserve"> 2021: p. 116.</w:t>
      </w:r>
    </w:p>
    <w:p w14:paraId="2DB460A1" w14:textId="77777777" w:rsidR="00682142" w:rsidRPr="002729A0" w:rsidRDefault="00682142" w:rsidP="002729A0">
      <w:pPr>
        <w:pStyle w:val="EndNoteBibliography"/>
        <w:spacing w:after="0"/>
        <w:ind w:left="720" w:hanging="720"/>
        <w:rPr>
          <w:rFonts w:ascii="Times New Roman" w:hAnsi="Times New Roman" w:cs="Times New Roman"/>
          <w:b/>
        </w:rPr>
      </w:pPr>
      <w:r w:rsidRPr="002729A0">
        <w:rPr>
          <w:rFonts w:ascii="Times New Roman" w:hAnsi="Times New Roman" w:cs="Times New Roman"/>
        </w:rPr>
        <w:t>12.</w:t>
      </w:r>
      <w:r w:rsidRPr="002729A0">
        <w:rPr>
          <w:rFonts w:ascii="Times New Roman" w:hAnsi="Times New Roman" w:cs="Times New Roman"/>
        </w:rPr>
        <w:tab/>
        <w:t xml:space="preserve">KNBS, K., </w:t>
      </w:r>
      <w:r w:rsidRPr="002729A0">
        <w:rPr>
          <w:rFonts w:ascii="Times New Roman" w:hAnsi="Times New Roman" w:cs="Times New Roman"/>
          <w:i/>
        </w:rPr>
        <w:t>Kenya Population and Housing Census Volume I: Population By County and Sub-County.</w:t>
      </w:r>
      <w:r w:rsidRPr="002729A0">
        <w:rPr>
          <w:rFonts w:ascii="Times New Roman" w:hAnsi="Times New Roman" w:cs="Times New Roman"/>
        </w:rPr>
        <w:t xml:space="preserve"> 2019. </w:t>
      </w:r>
      <w:r w:rsidRPr="002729A0">
        <w:rPr>
          <w:rFonts w:ascii="Times New Roman" w:hAnsi="Times New Roman" w:cs="Times New Roman"/>
          <w:b/>
        </w:rPr>
        <w:t>Vol. 1, 2019.</w:t>
      </w:r>
    </w:p>
    <w:p w14:paraId="2123C5B3"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13.</w:t>
      </w:r>
      <w:r w:rsidRPr="002729A0">
        <w:rPr>
          <w:rFonts w:ascii="Times New Roman" w:hAnsi="Times New Roman" w:cs="Times New Roman"/>
        </w:rPr>
        <w:tab/>
        <w:t xml:space="preserve">Pandey, P. and M.M. Pandey, </w:t>
      </w:r>
      <w:r w:rsidRPr="002729A0">
        <w:rPr>
          <w:rFonts w:ascii="Times New Roman" w:hAnsi="Times New Roman" w:cs="Times New Roman"/>
          <w:i/>
        </w:rPr>
        <w:t>Research methodology tools and techniques</w:t>
      </w:r>
      <w:r w:rsidRPr="002729A0">
        <w:rPr>
          <w:rFonts w:ascii="Times New Roman" w:hAnsi="Times New Roman" w:cs="Times New Roman"/>
        </w:rPr>
        <w:t>. 2021: Bridge Center.</w:t>
      </w:r>
    </w:p>
    <w:p w14:paraId="2594E354"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14.</w:t>
      </w:r>
      <w:r w:rsidRPr="002729A0">
        <w:rPr>
          <w:rFonts w:ascii="Times New Roman" w:hAnsi="Times New Roman" w:cs="Times New Roman"/>
        </w:rPr>
        <w:tab/>
        <w:t xml:space="preserve">Mugenda, O., </w:t>
      </w:r>
      <w:r w:rsidRPr="002729A0">
        <w:rPr>
          <w:rFonts w:ascii="Times New Roman" w:hAnsi="Times New Roman" w:cs="Times New Roman"/>
          <w:i/>
        </w:rPr>
        <w:t>&amp;Mugenda A.(2003).</w:t>
      </w:r>
      <w:r w:rsidRPr="002729A0">
        <w:rPr>
          <w:rFonts w:ascii="Times New Roman" w:hAnsi="Times New Roman" w:cs="Times New Roman"/>
        </w:rPr>
        <w:t xml:space="preserve"> Research methods: quantitative and qualitative approaches, 2003: p. 3-50.</w:t>
      </w:r>
    </w:p>
    <w:p w14:paraId="014DA413"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15.</w:t>
      </w:r>
      <w:r w:rsidRPr="002729A0">
        <w:rPr>
          <w:rFonts w:ascii="Times New Roman" w:hAnsi="Times New Roman" w:cs="Times New Roman"/>
        </w:rPr>
        <w:tab/>
        <w:t xml:space="preserve">Green, J. and N. Thorogood, </w:t>
      </w:r>
      <w:r w:rsidRPr="002729A0">
        <w:rPr>
          <w:rFonts w:ascii="Times New Roman" w:hAnsi="Times New Roman" w:cs="Times New Roman"/>
          <w:i/>
        </w:rPr>
        <w:t>Qualitative methods for health research.</w:t>
      </w:r>
      <w:r w:rsidRPr="002729A0">
        <w:rPr>
          <w:rFonts w:ascii="Times New Roman" w:hAnsi="Times New Roman" w:cs="Times New Roman"/>
        </w:rPr>
        <w:t xml:space="preserve"> 2018.</w:t>
      </w:r>
    </w:p>
    <w:p w14:paraId="622B71CE"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16.</w:t>
      </w:r>
      <w:r w:rsidRPr="002729A0">
        <w:rPr>
          <w:rFonts w:ascii="Times New Roman" w:hAnsi="Times New Roman" w:cs="Times New Roman"/>
        </w:rPr>
        <w:tab/>
        <w:t xml:space="preserve">Saeed, B.Q., R. Al-Shahrabi, and O.A. Bolarinwa, </w:t>
      </w:r>
      <w:r w:rsidRPr="002729A0">
        <w:rPr>
          <w:rFonts w:ascii="Times New Roman" w:hAnsi="Times New Roman" w:cs="Times New Roman"/>
          <w:i/>
        </w:rPr>
        <w:t>Socio-demographic correlate of knowledge and practice toward COVID-19 among people living in Mosul-Iraq: A cross-sectional study.</w:t>
      </w:r>
      <w:r w:rsidRPr="002729A0">
        <w:rPr>
          <w:rFonts w:ascii="Times New Roman" w:hAnsi="Times New Roman" w:cs="Times New Roman"/>
        </w:rPr>
        <w:t xml:space="preserve"> PloS one, 2021. </w:t>
      </w:r>
      <w:r w:rsidRPr="002729A0">
        <w:rPr>
          <w:rFonts w:ascii="Times New Roman" w:hAnsi="Times New Roman" w:cs="Times New Roman"/>
          <w:b/>
        </w:rPr>
        <w:t>16</w:t>
      </w:r>
      <w:r w:rsidRPr="002729A0">
        <w:rPr>
          <w:rFonts w:ascii="Times New Roman" w:hAnsi="Times New Roman" w:cs="Times New Roman"/>
        </w:rPr>
        <w:t>(3): p. e0249310.</w:t>
      </w:r>
    </w:p>
    <w:p w14:paraId="678DB98C"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17.</w:t>
      </w:r>
      <w:r w:rsidRPr="002729A0">
        <w:rPr>
          <w:rFonts w:ascii="Times New Roman" w:hAnsi="Times New Roman" w:cs="Times New Roman"/>
        </w:rPr>
        <w:tab/>
        <w:t xml:space="preserve">Auta, T.T. and H.S.W. Nugroho, </w:t>
      </w:r>
      <w:r w:rsidRPr="002729A0">
        <w:rPr>
          <w:rFonts w:ascii="Times New Roman" w:hAnsi="Times New Roman" w:cs="Times New Roman"/>
          <w:i/>
        </w:rPr>
        <w:t>Emergency Preparedness Among Health Care Workers in Federal Medical Center Keffi, Nasarawa State, Nigeria.</w:t>
      </w:r>
      <w:r w:rsidRPr="002729A0">
        <w:rPr>
          <w:rFonts w:ascii="Times New Roman" w:hAnsi="Times New Roman" w:cs="Times New Roman"/>
        </w:rPr>
        <w:t xml:space="preserve"> Health Notions, 2024. </w:t>
      </w:r>
      <w:r w:rsidRPr="002729A0">
        <w:rPr>
          <w:rFonts w:ascii="Times New Roman" w:hAnsi="Times New Roman" w:cs="Times New Roman"/>
          <w:b/>
        </w:rPr>
        <w:t>8</w:t>
      </w:r>
      <w:r w:rsidRPr="002729A0">
        <w:rPr>
          <w:rFonts w:ascii="Times New Roman" w:hAnsi="Times New Roman" w:cs="Times New Roman"/>
        </w:rPr>
        <w:t>(5): p. 101-108.</w:t>
      </w:r>
    </w:p>
    <w:p w14:paraId="75544C36"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18.</w:t>
      </w:r>
      <w:r w:rsidRPr="002729A0">
        <w:rPr>
          <w:rFonts w:ascii="Times New Roman" w:hAnsi="Times New Roman" w:cs="Times New Roman"/>
        </w:rPr>
        <w:tab/>
        <w:t xml:space="preserve">Kamal, A.M., et al., </w:t>
      </w:r>
      <w:r w:rsidRPr="002729A0">
        <w:rPr>
          <w:rFonts w:ascii="Times New Roman" w:hAnsi="Times New Roman" w:cs="Times New Roman"/>
          <w:i/>
        </w:rPr>
        <w:t>Climate Change Vulnerability Assessment of Patuakhali Municipality in Bangladesh.</w:t>
      </w:r>
      <w:r w:rsidRPr="002729A0">
        <w:rPr>
          <w:rFonts w:ascii="Times New Roman" w:hAnsi="Times New Roman" w:cs="Times New Roman"/>
        </w:rPr>
        <w:t xml:space="preserve"> The Dhaka University Journal of Earth and Environmental Sciences, 2021: p. 187-198.</w:t>
      </w:r>
    </w:p>
    <w:p w14:paraId="32B9EED6"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19.</w:t>
      </w:r>
      <w:r w:rsidRPr="002729A0">
        <w:rPr>
          <w:rFonts w:ascii="Times New Roman" w:hAnsi="Times New Roman" w:cs="Times New Roman"/>
        </w:rPr>
        <w:tab/>
        <w:t xml:space="preserve">Gilmore, B., et al., </w:t>
      </w:r>
      <w:r w:rsidRPr="002729A0">
        <w:rPr>
          <w:rFonts w:ascii="Times New Roman" w:hAnsi="Times New Roman" w:cs="Times New Roman"/>
          <w:i/>
        </w:rPr>
        <w:t>Community engagement for COVID-19 prevention and control: a rapid evidence synthesis.</w:t>
      </w:r>
      <w:r w:rsidRPr="002729A0">
        <w:rPr>
          <w:rFonts w:ascii="Times New Roman" w:hAnsi="Times New Roman" w:cs="Times New Roman"/>
        </w:rPr>
        <w:t xml:space="preserve"> BMJ global health, 2020. </w:t>
      </w:r>
      <w:r w:rsidRPr="002729A0">
        <w:rPr>
          <w:rFonts w:ascii="Times New Roman" w:hAnsi="Times New Roman" w:cs="Times New Roman"/>
          <w:b/>
        </w:rPr>
        <w:t>5</w:t>
      </w:r>
      <w:r w:rsidRPr="002729A0">
        <w:rPr>
          <w:rFonts w:ascii="Times New Roman" w:hAnsi="Times New Roman" w:cs="Times New Roman"/>
        </w:rPr>
        <w:t>(10): p. e003188.</w:t>
      </w:r>
    </w:p>
    <w:p w14:paraId="6EAA0FEC"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20.</w:t>
      </w:r>
      <w:r w:rsidRPr="002729A0">
        <w:rPr>
          <w:rFonts w:ascii="Times New Roman" w:hAnsi="Times New Roman" w:cs="Times New Roman"/>
        </w:rPr>
        <w:tab/>
        <w:t xml:space="preserve">Muchiri, C.N. and R.O. Opiyo, </w:t>
      </w:r>
      <w:r w:rsidRPr="002729A0">
        <w:rPr>
          <w:rFonts w:ascii="Times New Roman" w:hAnsi="Times New Roman" w:cs="Times New Roman"/>
          <w:i/>
        </w:rPr>
        <w:t>Community adaptation strategies in Nairobi informal settlements: Lessons from Korogocho, Nairobi-Kenya.</w:t>
      </w:r>
      <w:r w:rsidRPr="002729A0">
        <w:rPr>
          <w:rFonts w:ascii="Times New Roman" w:hAnsi="Times New Roman" w:cs="Times New Roman"/>
        </w:rPr>
        <w:t xml:space="preserve"> Frontiers in Sustainable Cities, 2022. </w:t>
      </w:r>
      <w:r w:rsidRPr="002729A0">
        <w:rPr>
          <w:rFonts w:ascii="Times New Roman" w:hAnsi="Times New Roman" w:cs="Times New Roman"/>
          <w:b/>
        </w:rPr>
        <w:t>4</w:t>
      </w:r>
      <w:r w:rsidRPr="002729A0">
        <w:rPr>
          <w:rFonts w:ascii="Times New Roman" w:hAnsi="Times New Roman" w:cs="Times New Roman"/>
        </w:rPr>
        <w:t>: p. 932046.</w:t>
      </w:r>
    </w:p>
    <w:p w14:paraId="4B7135A0"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21.</w:t>
      </w:r>
      <w:r w:rsidRPr="002729A0">
        <w:rPr>
          <w:rFonts w:ascii="Times New Roman" w:hAnsi="Times New Roman" w:cs="Times New Roman"/>
        </w:rPr>
        <w:tab/>
        <w:t xml:space="preserve">Lundgren, R.E. and A.H. McMakin, </w:t>
      </w:r>
      <w:r w:rsidRPr="002729A0">
        <w:rPr>
          <w:rFonts w:ascii="Times New Roman" w:hAnsi="Times New Roman" w:cs="Times New Roman"/>
          <w:i/>
        </w:rPr>
        <w:t>Risk communication: A handbook for communicating environmental, safety, and health risks</w:t>
      </w:r>
      <w:r w:rsidRPr="002729A0">
        <w:rPr>
          <w:rFonts w:ascii="Times New Roman" w:hAnsi="Times New Roman" w:cs="Times New Roman"/>
        </w:rPr>
        <w:t>. 2018: John Wiley &amp; Sons.</w:t>
      </w:r>
    </w:p>
    <w:p w14:paraId="2CC57ADD"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lastRenderedPageBreak/>
        <w:t>22.</w:t>
      </w:r>
      <w:r w:rsidRPr="002729A0">
        <w:rPr>
          <w:rFonts w:ascii="Times New Roman" w:hAnsi="Times New Roman" w:cs="Times New Roman"/>
        </w:rPr>
        <w:tab/>
        <w:t xml:space="preserve">Lee-Geiller, S. and T. Lee, </w:t>
      </w:r>
      <w:r w:rsidRPr="002729A0">
        <w:rPr>
          <w:rFonts w:ascii="Times New Roman" w:hAnsi="Times New Roman" w:cs="Times New Roman"/>
          <w:i/>
        </w:rPr>
        <w:t>How does digital governance contribute to effective crisis management? A case study of Korea’s response to COVID-19.</w:t>
      </w:r>
      <w:r w:rsidRPr="002729A0">
        <w:rPr>
          <w:rFonts w:ascii="Times New Roman" w:hAnsi="Times New Roman" w:cs="Times New Roman"/>
        </w:rPr>
        <w:t xml:space="preserve"> Public Performance &amp; Management Review, 2022. </w:t>
      </w:r>
      <w:r w:rsidRPr="002729A0">
        <w:rPr>
          <w:rFonts w:ascii="Times New Roman" w:hAnsi="Times New Roman" w:cs="Times New Roman"/>
          <w:b/>
        </w:rPr>
        <w:t>45</w:t>
      </w:r>
      <w:r w:rsidRPr="002729A0">
        <w:rPr>
          <w:rFonts w:ascii="Times New Roman" w:hAnsi="Times New Roman" w:cs="Times New Roman"/>
        </w:rPr>
        <w:t>(4): p. 860-893.</w:t>
      </w:r>
    </w:p>
    <w:p w14:paraId="0B08442D"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23.</w:t>
      </w:r>
      <w:r w:rsidRPr="002729A0">
        <w:rPr>
          <w:rFonts w:ascii="Times New Roman" w:hAnsi="Times New Roman" w:cs="Times New Roman"/>
        </w:rPr>
        <w:tab/>
        <w:t xml:space="preserve">Chengo, R., et al., </w:t>
      </w:r>
      <w:r w:rsidRPr="002729A0">
        <w:rPr>
          <w:rFonts w:ascii="Times New Roman" w:hAnsi="Times New Roman" w:cs="Times New Roman"/>
          <w:i/>
        </w:rPr>
        <w:t>A situation assessment of community health workers’ preparedness in supporting health system response to COVID-19 in Kenya, Senegal, and Uganda.</w:t>
      </w:r>
      <w:r w:rsidRPr="002729A0">
        <w:rPr>
          <w:rFonts w:ascii="Times New Roman" w:hAnsi="Times New Roman" w:cs="Times New Roman"/>
        </w:rPr>
        <w:t xml:space="preserve"> Journal of primary care &amp; community health, 2022. </w:t>
      </w:r>
      <w:r w:rsidRPr="002729A0">
        <w:rPr>
          <w:rFonts w:ascii="Times New Roman" w:hAnsi="Times New Roman" w:cs="Times New Roman"/>
          <w:b/>
        </w:rPr>
        <w:t>13</w:t>
      </w:r>
      <w:r w:rsidRPr="002729A0">
        <w:rPr>
          <w:rFonts w:ascii="Times New Roman" w:hAnsi="Times New Roman" w:cs="Times New Roman"/>
        </w:rPr>
        <w:t>: p. 21501319211073415.</w:t>
      </w:r>
    </w:p>
    <w:p w14:paraId="01E97E6F"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24.</w:t>
      </w:r>
      <w:r w:rsidRPr="002729A0">
        <w:rPr>
          <w:rFonts w:ascii="Times New Roman" w:hAnsi="Times New Roman" w:cs="Times New Roman"/>
        </w:rPr>
        <w:tab/>
        <w:t xml:space="preserve">Rokkas, P., V. Cornell, and M. Steenkamp, </w:t>
      </w:r>
      <w:r w:rsidRPr="002729A0">
        <w:rPr>
          <w:rFonts w:ascii="Times New Roman" w:hAnsi="Times New Roman" w:cs="Times New Roman"/>
          <w:i/>
        </w:rPr>
        <w:t>Disaster preparedness and response: Challenges for Australian public health nurses–A literature review.</w:t>
      </w:r>
      <w:r w:rsidRPr="002729A0">
        <w:rPr>
          <w:rFonts w:ascii="Times New Roman" w:hAnsi="Times New Roman" w:cs="Times New Roman"/>
        </w:rPr>
        <w:t xml:space="preserve"> Nursing &amp; health sciences, 2014. </w:t>
      </w:r>
      <w:r w:rsidRPr="002729A0">
        <w:rPr>
          <w:rFonts w:ascii="Times New Roman" w:hAnsi="Times New Roman" w:cs="Times New Roman"/>
          <w:b/>
        </w:rPr>
        <w:t>16</w:t>
      </w:r>
      <w:r w:rsidRPr="002729A0">
        <w:rPr>
          <w:rFonts w:ascii="Times New Roman" w:hAnsi="Times New Roman" w:cs="Times New Roman"/>
        </w:rPr>
        <w:t>(1): p. 60-66.</w:t>
      </w:r>
    </w:p>
    <w:p w14:paraId="5AB0D34E"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25.</w:t>
      </w:r>
      <w:r w:rsidRPr="002729A0">
        <w:rPr>
          <w:rFonts w:ascii="Times New Roman" w:hAnsi="Times New Roman" w:cs="Times New Roman"/>
        </w:rPr>
        <w:tab/>
        <w:t xml:space="preserve">Tabish, S. and N. Syed, </w:t>
      </w:r>
      <w:r w:rsidRPr="002729A0">
        <w:rPr>
          <w:rFonts w:ascii="Times New Roman" w:hAnsi="Times New Roman" w:cs="Times New Roman"/>
          <w:i/>
        </w:rPr>
        <w:t>Disaster preparedness: current trends and future directions.</w:t>
      </w:r>
      <w:r w:rsidRPr="002729A0">
        <w:rPr>
          <w:rFonts w:ascii="Times New Roman" w:hAnsi="Times New Roman" w:cs="Times New Roman"/>
        </w:rPr>
        <w:t xml:space="preserve"> Int J Sci Res, 2015. </w:t>
      </w:r>
      <w:r w:rsidRPr="002729A0">
        <w:rPr>
          <w:rFonts w:ascii="Times New Roman" w:hAnsi="Times New Roman" w:cs="Times New Roman"/>
          <w:b/>
        </w:rPr>
        <w:t>4</w:t>
      </w:r>
      <w:r w:rsidRPr="002729A0">
        <w:rPr>
          <w:rFonts w:ascii="Times New Roman" w:hAnsi="Times New Roman" w:cs="Times New Roman"/>
        </w:rPr>
        <w:t>(6): p. 227-52.</w:t>
      </w:r>
    </w:p>
    <w:p w14:paraId="44AC01CE"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26.</w:t>
      </w:r>
      <w:r w:rsidRPr="002729A0">
        <w:rPr>
          <w:rFonts w:ascii="Times New Roman" w:hAnsi="Times New Roman" w:cs="Times New Roman"/>
        </w:rPr>
        <w:tab/>
        <w:t xml:space="preserve">Hoffmann, R. and R. Muttarak, </w:t>
      </w:r>
      <w:r w:rsidRPr="002729A0">
        <w:rPr>
          <w:rFonts w:ascii="Times New Roman" w:hAnsi="Times New Roman" w:cs="Times New Roman"/>
          <w:i/>
        </w:rPr>
        <w:t>Learn from the past, prepare for the future: Impacts of education and experience on disaster preparedness in the Philippines and Thailand.</w:t>
      </w:r>
      <w:r w:rsidRPr="002729A0">
        <w:rPr>
          <w:rFonts w:ascii="Times New Roman" w:hAnsi="Times New Roman" w:cs="Times New Roman"/>
        </w:rPr>
        <w:t xml:space="preserve"> World Development, 2017. </w:t>
      </w:r>
      <w:r w:rsidRPr="002729A0">
        <w:rPr>
          <w:rFonts w:ascii="Times New Roman" w:hAnsi="Times New Roman" w:cs="Times New Roman"/>
          <w:b/>
        </w:rPr>
        <w:t>96</w:t>
      </w:r>
      <w:r w:rsidRPr="002729A0">
        <w:rPr>
          <w:rFonts w:ascii="Times New Roman" w:hAnsi="Times New Roman" w:cs="Times New Roman"/>
        </w:rPr>
        <w:t>: p. 32-51.</w:t>
      </w:r>
    </w:p>
    <w:p w14:paraId="787D6EC8"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27.</w:t>
      </w:r>
      <w:r w:rsidRPr="002729A0">
        <w:rPr>
          <w:rFonts w:ascii="Times New Roman" w:hAnsi="Times New Roman" w:cs="Times New Roman"/>
        </w:rPr>
        <w:tab/>
        <w:t xml:space="preserve">Savoia, E., L. Lin, and G.M. Gamhewage, </w:t>
      </w:r>
      <w:r w:rsidRPr="002729A0">
        <w:rPr>
          <w:rFonts w:ascii="Times New Roman" w:hAnsi="Times New Roman" w:cs="Times New Roman"/>
          <w:i/>
        </w:rPr>
        <w:t>A conceptual framework for the evaluation of emergency risk communications.</w:t>
      </w:r>
      <w:r w:rsidRPr="002729A0">
        <w:rPr>
          <w:rFonts w:ascii="Times New Roman" w:hAnsi="Times New Roman" w:cs="Times New Roman"/>
        </w:rPr>
        <w:t xml:space="preserve"> American Journal of Public Health, 2017. </w:t>
      </w:r>
      <w:r w:rsidRPr="002729A0">
        <w:rPr>
          <w:rFonts w:ascii="Times New Roman" w:hAnsi="Times New Roman" w:cs="Times New Roman"/>
          <w:b/>
        </w:rPr>
        <w:t>107</w:t>
      </w:r>
      <w:r w:rsidRPr="002729A0">
        <w:rPr>
          <w:rFonts w:ascii="Times New Roman" w:hAnsi="Times New Roman" w:cs="Times New Roman"/>
        </w:rPr>
        <w:t>(S2): p. S208-S214.</w:t>
      </w:r>
    </w:p>
    <w:p w14:paraId="2E12FAE4"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28.</w:t>
      </w:r>
      <w:r w:rsidRPr="002729A0">
        <w:rPr>
          <w:rFonts w:ascii="Times New Roman" w:hAnsi="Times New Roman" w:cs="Times New Roman"/>
        </w:rPr>
        <w:tab/>
        <w:t xml:space="preserve">Mabuku, M.P., et al., </w:t>
      </w:r>
      <w:r w:rsidRPr="002729A0">
        <w:rPr>
          <w:rFonts w:ascii="Times New Roman" w:hAnsi="Times New Roman" w:cs="Times New Roman"/>
          <w:i/>
        </w:rPr>
        <w:t>Rural households’ flood preparedness and social determinants in Mwandi district of Zambia and Eastern Zambezi Region of Namibia.</w:t>
      </w:r>
      <w:r w:rsidRPr="002729A0">
        <w:rPr>
          <w:rFonts w:ascii="Times New Roman" w:hAnsi="Times New Roman" w:cs="Times New Roman"/>
        </w:rPr>
        <w:t xml:space="preserve"> International journal of disaster risk reduction, 2018. </w:t>
      </w:r>
      <w:r w:rsidRPr="002729A0">
        <w:rPr>
          <w:rFonts w:ascii="Times New Roman" w:hAnsi="Times New Roman" w:cs="Times New Roman"/>
          <w:b/>
        </w:rPr>
        <w:t>28</w:t>
      </w:r>
      <w:r w:rsidRPr="002729A0">
        <w:rPr>
          <w:rFonts w:ascii="Times New Roman" w:hAnsi="Times New Roman" w:cs="Times New Roman"/>
        </w:rPr>
        <w:t>: p. 284-297.</w:t>
      </w:r>
    </w:p>
    <w:p w14:paraId="3E1D77A3"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29.</w:t>
      </w:r>
      <w:r w:rsidRPr="002729A0">
        <w:rPr>
          <w:rFonts w:ascii="Times New Roman" w:hAnsi="Times New Roman" w:cs="Times New Roman"/>
        </w:rPr>
        <w:tab/>
        <w:t xml:space="preserve">Guo, C., T. Sim, and H.C. Ho, </w:t>
      </w:r>
      <w:r w:rsidRPr="002729A0">
        <w:rPr>
          <w:rFonts w:ascii="Times New Roman" w:hAnsi="Times New Roman" w:cs="Times New Roman"/>
          <w:i/>
        </w:rPr>
        <w:t>Impact of information seeking, disaster preparedness and typhoon emergency response on perceived community resilience in Hong Kong.</w:t>
      </w:r>
      <w:r w:rsidRPr="002729A0">
        <w:rPr>
          <w:rFonts w:ascii="Times New Roman" w:hAnsi="Times New Roman" w:cs="Times New Roman"/>
        </w:rPr>
        <w:t xml:space="preserve"> International Journal of Disaster Risk Reduction, 2020. </w:t>
      </w:r>
      <w:r w:rsidRPr="002729A0">
        <w:rPr>
          <w:rFonts w:ascii="Times New Roman" w:hAnsi="Times New Roman" w:cs="Times New Roman"/>
          <w:b/>
        </w:rPr>
        <w:t>50</w:t>
      </w:r>
      <w:r w:rsidRPr="002729A0">
        <w:rPr>
          <w:rFonts w:ascii="Times New Roman" w:hAnsi="Times New Roman" w:cs="Times New Roman"/>
        </w:rPr>
        <w:t>: p. 101744.</w:t>
      </w:r>
    </w:p>
    <w:p w14:paraId="5120CDBD"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30.</w:t>
      </w:r>
      <w:r w:rsidRPr="002729A0">
        <w:rPr>
          <w:rFonts w:ascii="Times New Roman" w:hAnsi="Times New Roman" w:cs="Times New Roman"/>
        </w:rPr>
        <w:tab/>
        <w:t xml:space="preserve">Kareodu, R., </w:t>
      </w:r>
      <w:r w:rsidRPr="002729A0">
        <w:rPr>
          <w:rFonts w:ascii="Times New Roman" w:hAnsi="Times New Roman" w:cs="Times New Roman"/>
          <w:i/>
        </w:rPr>
        <w:t>Factors Influencing Health Workers’ Adherence to Disaster Preparedness Measures</w:t>
      </w:r>
      <w:r w:rsidRPr="002729A0">
        <w:rPr>
          <w:rFonts w:ascii="Times New Roman" w:hAnsi="Times New Roman" w:cs="Times New Roman"/>
        </w:rPr>
        <w:t>. 2014, International Health Sciences University.</w:t>
      </w:r>
    </w:p>
    <w:p w14:paraId="249ADDF6" w14:textId="77777777" w:rsidR="00682142" w:rsidRPr="002729A0" w:rsidRDefault="00682142" w:rsidP="002729A0">
      <w:pPr>
        <w:pStyle w:val="EndNoteBibliography"/>
        <w:spacing w:after="0"/>
        <w:ind w:left="720" w:hanging="720"/>
        <w:rPr>
          <w:rFonts w:ascii="Times New Roman" w:hAnsi="Times New Roman" w:cs="Times New Roman"/>
        </w:rPr>
      </w:pPr>
      <w:r w:rsidRPr="002729A0">
        <w:rPr>
          <w:rFonts w:ascii="Times New Roman" w:hAnsi="Times New Roman" w:cs="Times New Roman"/>
        </w:rPr>
        <w:t>31.</w:t>
      </w:r>
      <w:r w:rsidRPr="002729A0">
        <w:rPr>
          <w:rFonts w:ascii="Times New Roman" w:hAnsi="Times New Roman" w:cs="Times New Roman"/>
        </w:rPr>
        <w:tab/>
        <w:t xml:space="preserve">Amini, F., et al., </w:t>
      </w:r>
      <w:r w:rsidRPr="002729A0">
        <w:rPr>
          <w:rFonts w:ascii="Times New Roman" w:hAnsi="Times New Roman" w:cs="Times New Roman"/>
          <w:i/>
        </w:rPr>
        <w:t>Examining the effectiveness of a training program on improving knowledge, functional skills, and attitude in natural disaster volunteers.</w:t>
      </w:r>
      <w:r w:rsidRPr="002729A0">
        <w:rPr>
          <w:rFonts w:ascii="Times New Roman" w:hAnsi="Times New Roman" w:cs="Times New Roman"/>
        </w:rPr>
        <w:t xml:space="preserve"> Frontiers in public health, 2024. </w:t>
      </w:r>
      <w:r w:rsidRPr="002729A0">
        <w:rPr>
          <w:rFonts w:ascii="Times New Roman" w:hAnsi="Times New Roman" w:cs="Times New Roman"/>
          <w:b/>
        </w:rPr>
        <w:t>12</w:t>
      </w:r>
      <w:r w:rsidRPr="002729A0">
        <w:rPr>
          <w:rFonts w:ascii="Times New Roman" w:hAnsi="Times New Roman" w:cs="Times New Roman"/>
        </w:rPr>
        <w:t>: p. 1321535.</w:t>
      </w:r>
    </w:p>
    <w:p w14:paraId="4BA1712A" w14:textId="77777777" w:rsidR="00682142" w:rsidRPr="002729A0" w:rsidRDefault="00682142" w:rsidP="002729A0">
      <w:pPr>
        <w:pStyle w:val="EndNoteBibliography"/>
        <w:ind w:left="720" w:hanging="720"/>
        <w:rPr>
          <w:rFonts w:ascii="Times New Roman" w:hAnsi="Times New Roman" w:cs="Times New Roman"/>
        </w:rPr>
      </w:pPr>
      <w:r w:rsidRPr="002729A0">
        <w:rPr>
          <w:rFonts w:ascii="Times New Roman" w:hAnsi="Times New Roman" w:cs="Times New Roman"/>
        </w:rPr>
        <w:t>32.</w:t>
      </w:r>
      <w:r w:rsidRPr="002729A0">
        <w:rPr>
          <w:rFonts w:ascii="Times New Roman" w:hAnsi="Times New Roman" w:cs="Times New Roman"/>
        </w:rPr>
        <w:tab/>
        <w:t xml:space="preserve">Osur, J.O., et al., </w:t>
      </w:r>
      <w:r w:rsidRPr="002729A0">
        <w:rPr>
          <w:rFonts w:ascii="Times New Roman" w:hAnsi="Times New Roman" w:cs="Times New Roman"/>
          <w:i/>
        </w:rPr>
        <w:t>Knowledge and Readiness of Community Health Volunteers to Lead Sensitization of Communities on COVID-19 Vaccination in Kenya: A Crosssectional Study.</w:t>
      </w:r>
      <w:r w:rsidRPr="002729A0">
        <w:rPr>
          <w:rFonts w:ascii="Times New Roman" w:hAnsi="Times New Roman" w:cs="Times New Roman"/>
        </w:rPr>
        <w:t xml:space="preserve"> 2021.</w:t>
      </w:r>
    </w:p>
    <w:p w14:paraId="3FF1AA03" w14:textId="57929CBD" w:rsidR="00A44344" w:rsidRPr="002729A0" w:rsidRDefault="00012CCE" w:rsidP="002729A0">
      <w:pPr>
        <w:spacing w:line="240" w:lineRule="auto"/>
        <w:jc w:val="both"/>
        <w:rPr>
          <w:rFonts w:ascii="Times New Roman" w:hAnsi="Times New Roman" w:cs="Times New Roman"/>
          <w:b/>
          <w:bCs/>
        </w:rPr>
      </w:pPr>
      <w:r w:rsidRPr="002729A0">
        <w:rPr>
          <w:rFonts w:ascii="Times New Roman" w:hAnsi="Times New Roman" w:cs="Times New Roman"/>
          <w:b/>
          <w:bCs/>
        </w:rPr>
        <w:fldChar w:fldCharType="end"/>
      </w:r>
    </w:p>
    <w:sectPr w:rsidR="00A44344" w:rsidRPr="002729A0" w:rsidSect="002729A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966DB" w14:textId="77777777" w:rsidR="00BD20A9" w:rsidRDefault="00BD20A9">
      <w:pPr>
        <w:spacing w:after="0" w:line="240" w:lineRule="auto"/>
      </w:pPr>
      <w:r>
        <w:separator/>
      </w:r>
    </w:p>
  </w:endnote>
  <w:endnote w:type="continuationSeparator" w:id="0">
    <w:p w14:paraId="6CC4FDC4" w14:textId="77777777" w:rsidR="00BD20A9" w:rsidRDefault="00BD2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F4AE9" w14:textId="77777777" w:rsidR="001D6DA0" w:rsidRDefault="001D6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028B" w14:textId="77777777" w:rsidR="001D6DA0" w:rsidRDefault="001D6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2DE8" w14:textId="77777777" w:rsidR="001D6DA0" w:rsidRDefault="001D6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FAC0A" w14:textId="77777777" w:rsidR="00BD20A9" w:rsidRDefault="00BD20A9">
      <w:pPr>
        <w:spacing w:after="0" w:line="240" w:lineRule="auto"/>
      </w:pPr>
      <w:r>
        <w:separator/>
      </w:r>
    </w:p>
  </w:footnote>
  <w:footnote w:type="continuationSeparator" w:id="0">
    <w:p w14:paraId="534259CD" w14:textId="77777777" w:rsidR="00BD20A9" w:rsidRDefault="00BD2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1583" w14:textId="315BFBD4" w:rsidR="001D6DA0" w:rsidRDefault="001D6DA0">
    <w:pPr>
      <w:pStyle w:val="Header"/>
    </w:pPr>
    <w:r>
      <w:rPr>
        <w:noProof/>
      </w:rPr>
      <w:pict w14:anchorId="40705A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48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F48742" w14:textId="75BB992D" w:rsidR="001D6DA0" w:rsidRDefault="001D6DA0">
    <w:pPr>
      <w:pStyle w:val="Header"/>
    </w:pPr>
    <w:r>
      <w:rPr>
        <w:noProof/>
      </w:rPr>
      <w:pict w14:anchorId="5682D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48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1AA6F" w14:textId="7FCF3494" w:rsidR="001D6DA0" w:rsidRDefault="001D6DA0">
    <w:pPr>
      <w:pStyle w:val="Header"/>
    </w:pPr>
    <w:r>
      <w:rPr>
        <w:noProof/>
      </w:rPr>
      <w:pict w14:anchorId="04AD1A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948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317994"/>
    <w:multiLevelType w:val="hybridMultilevel"/>
    <w:tmpl w:val="E90888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676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0frvazl2v0tyexsxlvspsbf9d52p0r9zwd&quot;&gt;My EndNote Library Orango&lt;record-ids&gt;&lt;item&gt;75&lt;/item&gt;&lt;item&gt;76&lt;/item&gt;&lt;item&gt;81&lt;/item&gt;&lt;item&gt;85&lt;/item&gt;&lt;item&gt;126&lt;/item&gt;&lt;item&gt;127&lt;/item&gt;&lt;/record-ids&gt;&lt;/item&gt;&lt;/Libraries&gt;"/>
  </w:docVars>
  <w:rsids>
    <w:rsidRoot w:val="00D252AA"/>
    <w:rsid w:val="00012CCE"/>
    <w:rsid w:val="00032922"/>
    <w:rsid w:val="00034084"/>
    <w:rsid w:val="00050734"/>
    <w:rsid w:val="000510D7"/>
    <w:rsid w:val="0007025E"/>
    <w:rsid w:val="00070561"/>
    <w:rsid w:val="000765E6"/>
    <w:rsid w:val="0009121C"/>
    <w:rsid w:val="000A79FD"/>
    <w:rsid w:val="000D3498"/>
    <w:rsid w:val="000F3F95"/>
    <w:rsid w:val="00100449"/>
    <w:rsid w:val="00110127"/>
    <w:rsid w:val="0011669B"/>
    <w:rsid w:val="001316FF"/>
    <w:rsid w:val="00132948"/>
    <w:rsid w:val="00154CD9"/>
    <w:rsid w:val="00173795"/>
    <w:rsid w:val="00176C14"/>
    <w:rsid w:val="001D228C"/>
    <w:rsid w:val="001D265A"/>
    <w:rsid w:val="001D6DA0"/>
    <w:rsid w:val="001E25B8"/>
    <w:rsid w:val="001E64A4"/>
    <w:rsid w:val="001F1505"/>
    <w:rsid w:val="00211185"/>
    <w:rsid w:val="00262FAF"/>
    <w:rsid w:val="002729A0"/>
    <w:rsid w:val="00276F3E"/>
    <w:rsid w:val="0029017E"/>
    <w:rsid w:val="002A1312"/>
    <w:rsid w:val="002D5408"/>
    <w:rsid w:val="002F35FA"/>
    <w:rsid w:val="00303F41"/>
    <w:rsid w:val="00321222"/>
    <w:rsid w:val="00352DA9"/>
    <w:rsid w:val="00387CF7"/>
    <w:rsid w:val="00394C4E"/>
    <w:rsid w:val="003C5A3D"/>
    <w:rsid w:val="003C765E"/>
    <w:rsid w:val="003E109B"/>
    <w:rsid w:val="003F0D73"/>
    <w:rsid w:val="003F4E6E"/>
    <w:rsid w:val="00410F24"/>
    <w:rsid w:val="00411901"/>
    <w:rsid w:val="00422541"/>
    <w:rsid w:val="00426633"/>
    <w:rsid w:val="004350C9"/>
    <w:rsid w:val="00436DBF"/>
    <w:rsid w:val="00437375"/>
    <w:rsid w:val="00437C9C"/>
    <w:rsid w:val="00451EF9"/>
    <w:rsid w:val="00471805"/>
    <w:rsid w:val="0047529D"/>
    <w:rsid w:val="00492E22"/>
    <w:rsid w:val="004B12B3"/>
    <w:rsid w:val="004B663B"/>
    <w:rsid w:val="004C3FF7"/>
    <w:rsid w:val="004C6179"/>
    <w:rsid w:val="004C61E7"/>
    <w:rsid w:val="004D76D4"/>
    <w:rsid w:val="004E4A74"/>
    <w:rsid w:val="005017AD"/>
    <w:rsid w:val="005415D9"/>
    <w:rsid w:val="00542D50"/>
    <w:rsid w:val="00553B48"/>
    <w:rsid w:val="005744A2"/>
    <w:rsid w:val="005B7179"/>
    <w:rsid w:val="005C68DA"/>
    <w:rsid w:val="005D02AE"/>
    <w:rsid w:val="005E3964"/>
    <w:rsid w:val="005E5BF9"/>
    <w:rsid w:val="005F3FD4"/>
    <w:rsid w:val="00604807"/>
    <w:rsid w:val="006142EA"/>
    <w:rsid w:val="00621032"/>
    <w:rsid w:val="00637B11"/>
    <w:rsid w:val="0064066E"/>
    <w:rsid w:val="00666A9A"/>
    <w:rsid w:val="00677E61"/>
    <w:rsid w:val="00682142"/>
    <w:rsid w:val="00684B1B"/>
    <w:rsid w:val="006B70E3"/>
    <w:rsid w:val="006E0A36"/>
    <w:rsid w:val="006E3B1D"/>
    <w:rsid w:val="006E50CD"/>
    <w:rsid w:val="00731B4B"/>
    <w:rsid w:val="007328C1"/>
    <w:rsid w:val="007419A2"/>
    <w:rsid w:val="00743BFD"/>
    <w:rsid w:val="007478A5"/>
    <w:rsid w:val="0076361D"/>
    <w:rsid w:val="00770B09"/>
    <w:rsid w:val="0077739F"/>
    <w:rsid w:val="007B161D"/>
    <w:rsid w:val="007B1993"/>
    <w:rsid w:val="007C6ECC"/>
    <w:rsid w:val="007E0B4B"/>
    <w:rsid w:val="007E5F13"/>
    <w:rsid w:val="007E74BD"/>
    <w:rsid w:val="007F11AB"/>
    <w:rsid w:val="007F5A0E"/>
    <w:rsid w:val="00800678"/>
    <w:rsid w:val="00803BC0"/>
    <w:rsid w:val="00805633"/>
    <w:rsid w:val="00805B41"/>
    <w:rsid w:val="00814626"/>
    <w:rsid w:val="00835A3B"/>
    <w:rsid w:val="00836DD1"/>
    <w:rsid w:val="008402B5"/>
    <w:rsid w:val="00851FEE"/>
    <w:rsid w:val="0085747B"/>
    <w:rsid w:val="008623AE"/>
    <w:rsid w:val="0089427E"/>
    <w:rsid w:val="008E0478"/>
    <w:rsid w:val="009066B1"/>
    <w:rsid w:val="00926BEB"/>
    <w:rsid w:val="0093147C"/>
    <w:rsid w:val="00932C25"/>
    <w:rsid w:val="00937CD0"/>
    <w:rsid w:val="00996B2B"/>
    <w:rsid w:val="009B4CC8"/>
    <w:rsid w:val="009C2639"/>
    <w:rsid w:val="009C7E0C"/>
    <w:rsid w:val="009E44EC"/>
    <w:rsid w:val="009E5240"/>
    <w:rsid w:val="009E7F2B"/>
    <w:rsid w:val="00A05D06"/>
    <w:rsid w:val="00A115DE"/>
    <w:rsid w:val="00A138D5"/>
    <w:rsid w:val="00A26E1A"/>
    <w:rsid w:val="00A414E6"/>
    <w:rsid w:val="00A44344"/>
    <w:rsid w:val="00A46D44"/>
    <w:rsid w:val="00A641A6"/>
    <w:rsid w:val="00A72EBF"/>
    <w:rsid w:val="00A75E0A"/>
    <w:rsid w:val="00A80C42"/>
    <w:rsid w:val="00AA0D83"/>
    <w:rsid w:val="00AA3FC3"/>
    <w:rsid w:val="00AB5909"/>
    <w:rsid w:val="00AE326B"/>
    <w:rsid w:val="00B17BB4"/>
    <w:rsid w:val="00B220C8"/>
    <w:rsid w:val="00B25B1A"/>
    <w:rsid w:val="00B31E78"/>
    <w:rsid w:val="00B4342B"/>
    <w:rsid w:val="00B5027C"/>
    <w:rsid w:val="00B54F47"/>
    <w:rsid w:val="00B572CA"/>
    <w:rsid w:val="00B574EC"/>
    <w:rsid w:val="00BA58A7"/>
    <w:rsid w:val="00BC2A89"/>
    <w:rsid w:val="00BD0BBC"/>
    <w:rsid w:val="00BD20A9"/>
    <w:rsid w:val="00BD6757"/>
    <w:rsid w:val="00BD7B64"/>
    <w:rsid w:val="00C07747"/>
    <w:rsid w:val="00C35C59"/>
    <w:rsid w:val="00C41ACB"/>
    <w:rsid w:val="00C46B5E"/>
    <w:rsid w:val="00C50017"/>
    <w:rsid w:val="00C807FB"/>
    <w:rsid w:val="00C82076"/>
    <w:rsid w:val="00C96061"/>
    <w:rsid w:val="00CA1922"/>
    <w:rsid w:val="00CA694D"/>
    <w:rsid w:val="00CB3913"/>
    <w:rsid w:val="00CB4F0A"/>
    <w:rsid w:val="00CB74BA"/>
    <w:rsid w:val="00CD085C"/>
    <w:rsid w:val="00CE7E28"/>
    <w:rsid w:val="00D01917"/>
    <w:rsid w:val="00D2142C"/>
    <w:rsid w:val="00D252AA"/>
    <w:rsid w:val="00D27F98"/>
    <w:rsid w:val="00D3520A"/>
    <w:rsid w:val="00D52439"/>
    <w:rsid w:val="00D66F86"/>
    <w:rsid w:val="00D743E1"/>
    <w:rsid w:val="00D752D5"/>
    <w:rsid w:val="00D9172C"/>
    <w:rsid w:val="00DA1BD8"/>
    <w:rsid w:val="00DB2B5C"/>
    <w:rsid w:val="00DC65FE"/>
    <w:rsid w:val="00DD7B9E"/>
    <w:rsid w:val="00DE0AA2"/>
    <w:rsid w:val="00DF2B64"/>
    <w:rsid w:val="00DF3AB3"/>
    <w:rsid w:val="00E2236F"/>
    <w:rsid w:val="00E3474E"/>
    <w:rsid w:val="00E40FCF"/>
    <w:rsid w:val="00E50F2C"/>
    <w:rsid w:val="00EA7204"/>
    <w:rsid w:val="00EB7567"/>
    <w:rsid w:val="00EB7813"/>
    <w:rsid w:val="00EC5EEE"/>
    <w:rsid w:val="00EC7F45"/>
    <w:rsid w:val="00ED1D8E"/>
    <w:rsid w:val="00ED4A96"/>
    <w:rsid w:val="00F0406E"/>
    <w:rsid w:val="00F13F12"/>
    <w:rsid w:val="00F16FF1"/>
    <w:rsid w:val="00F62100"/>
    <w:rsid w:val="00F62C1D"/>
    <w:rsid w:val="00F664A2"/>
    <w:rsid w:val="00F84DB0"/>
    <w:rsid w:val="00F85984"/>
    <w:rsid w:val="00FA4C5F"/>
    <w:rsid w:val="00FB3B07"/>
    <w:rsid w:val="00FC70A0"/>
    <w:rsid w:val="00FD3172"/>
    <w:rsid w:val="00FD7CAE"/>
    <w:rsid w:val="00FF4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AA9AF"/>
  <w15:chartTrackingRefBased/>
  <w15:docId w15:val="{DD5810C2-BA0C-469D-AFA6-347BCCBC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73"/>
    <w:pPr>
      <w:spacing w:line="360" w:lineRule="auto"/>
      <w:ind w:left="720"/>
      <w:contextualSpacing/>
      <w:jc w:val="both"/>
    </w:pPr>
    <w:rPr>
      <w:rFonts w:ascii="Times New Roman" w:eastAsia="SimSun" w:hAnsi="Times New Roman" w:cs="Times New Roman"/>
      <w:kern w:val="0"/>
      <w:szCs w:val="22"/>
      <w:lang w:val="en-GB"/>
      <w14:ligatures w14:val="none"/>
    </w:rPr>
  </w:style>
  <w:style w:type="paragraph" w:customStyle="1" w:styleId="EndNoteBibliographyTitle">
    <w:name w:val="EndNote Bibliography Title"/>
    <w:basedOn w:val="Normal"/>
    <w:link w:val="EndNoteBibliographyTitleChar"/>
    <w:rsid w:val="00012CCE"/>
    <w:pPr>
      <w:spacing w:after="0"/>
      <w:jc w:val="center"/>
    </w:pPr>
    <w:rPr>
      <w:rFonts w:ascii="Aptos" w:hAnsi="Aptos"/>
      <w:noProof/>
    </w:rPr>
  </w:style>
  <w:style w:type="character" w:customStyle="1" w:styleId="EndNoteBibliographyTitleChar">
    <w:name w:val="EndNote Bibliography Title Char"/>
    <w:basedOn w:val="DefaultParagraphFont"/>
    <w:link w:val="EndNoteBibliographyTitle"/>
    <w:rsid w:val="00012CCE"/>
    <w:rPr>
      <w:rFonts w:ascii="Aptos" w:hAnsi="Aptos"/>
      <w:noProof/>
      <w:lang w:val="en-US"/>
    </w:rPr>
  </w:style>
  <w:style w:type="paragraph" w:customStyle="1" w:styleId="EndNoteBibliography">
    <w:name w:val="EndNote Bibliography"/>
    <w:basedOn w:val="Normal"/>
    <w:link w:val="EndNoteBibliographyChar"/>
    <w:rsid w:val="00012CCE"/>
    <w:pPr>
      <w:spacing w:line="240" w:lineRule="auto"/>
      <w:jc w:val="both"/>
    </w:pPr>
    <w:rPr>
      <w:rFonts w:ascii="Aptos" w:hAnsi="Aptos"/>
      <w:noProof/>
    </w:rPr>
  </w:style>
  <w:style w:type="character" w:customStyle="1" w:styleId="EndNoteBibliographyChar">
    <w:name w:val="EndNote Bibliography Char"/>
    <w:basedOn w:val="DefaultParagraphFont"/>
    <w:link w:val="EndNoteBibliography"/>
    <w:rsid w:val="00012CCE"/>
    <w:rPr>
      <w:rFonts w:ascii="Aptos" w:hAnsi="Aptos"/>
      <w:noProof/>
      <w:lang w:val="en-US"/>
    </w:rPr>
  </w:style>
  <w:style w:type="character" w:styleId="Hyperlink">
    <w:name w:val="Hyperlink"/>
    <w:basedOn w:val="DefaultParagraphFont"/>
    <w:uiPriority w:val="99"/>
    <w:unhideWhenUsed/>
    <w:rsid w:val="00D3520A"/>
    <w:rPr>
      <w:color w:val="467886" w:themeColor="hyperlink"/>
      <w:u w:val="single"/>
    </w:rPr>
  </w:style>
  <w:style w:type="character" w:styleId="CommentReference">
    <w:name w:val="annotation reference"/>
    <w:basedOn w:val="DefaultParagraphFont"/>
    <w:uiPriority w:val="99"/>
    <w:semiHidden/>
    <w:unhideWhenUsed/>
    <w:rsid w:val="00DE0AA2"/>
    <w:rPr>
      <w:sz w:val="16"/>
      <w:szCs w:val="16"/>
    </w:rPr>
  </w:style>
  <w:style w:type="paragraph" w:styleId="CommentText">
    <w:name w:val="annotation text"/>
    <w:basedOn w:val="Normal"/>
    <w:link w:val="CommentTextChar"/>
    <w:uiPriority w:val="99"/>
    <w:semiHidden/>
    <w:unhideWhenUsed/>
    <w:rsid w:val="00DE0AA2"/>
    <w:pPr>
      <w:spacing w:line="240" w:lineRule="auto"/>
    </w:pPr>
    <w:rPr>
      <w:sz w:val="20"/>
      <w:szCs w:val="20"/>
    </w:rPr>
  </w:style>
  <w:style w:type="character" w:customStyle="1" w:styleId="CommentTextChar">
    <w:name w:val="Comment Text Char"/>
    <w:basedOn w:val="DefaultParagraphFont"/>
    <w:link w:val="CommentText"/>
    <w:uiPriority w:val="99"/>
    <w:semiHidden/>
    <w:rsid w:val="00DE0AA2"/>
    <w:rPr>
      <w:sz w:val="20"/>
      <w:szCs w:val="20"/>
    </w:rPr>
  </w:style>
  <w:style w:type="paragraph" w:styleId="CommentSubject">
    <w:name w:val="annotation subject"/>
    <w:basedOn w:val="CommentText"/>
    <w:next w:val="CommentText"/>
    <w:link w:val="CommentSubjectChar"/>
    <w:uiPriority w:val="99"/>
    <w:semiHidden/>
    <w:unhideWhenUsed/>
    <w:rsid w:val="00DE0AA2"/>
    <w:rPr>
      <w:b/>
      <w:bCs/>
    </w:rPr>
  </w:style>
  <w:style w:type="character" w:customStyle="1" w:styleId="CommentSubjectChar">
    <w:name w:val="Comment Subject Char"/>
    <w:basedOn w:val="CommentTextChar"/>
    <w:link w:val="CommentSubject"/>
    <w:uiPriority w:val="99"/>
    <w:semiHidden/>
    <w:rsid w:val="00DE0AA2"/>
    <w:rPr>
      <w:b/>
      <w:bCs/>
      <w:sz w:val="20"/>
      <w:szCs w:val="20"/>
    </w:rPr>
  </w:style>
  <w:style w:type="paragraph" w:styleId="BalloonText">
    <w:name w:val="Balloon Text"/>
    <w:basedOn w:val="Normal"/>
    <w:link w:val="BalloonTextChar"/>
    <w:uiPriority w:val="99"/>
    <w:semiHidden/>
    <w:unhideWhenUsed/>
    <w:rsid w:val="00DE0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AA2"/>
    <w:rPr>
      <w:rFonts w:ascii="Segoe UI" w:hAnsi="Segoe UI" w:cs="Segoe UI"/>
      <w:sz w:val="18"/>
      <w:szCs w:val="18"/>
    </w:rPr>
  </w:style>
  <w:style w:type="paragraph" w:styleId="Header">
    <w:name w:val="header"/>
    <w:basedOn w:val="Normal"/>
    <w:link w:val="HeaderChar"/>
    <w:uiPriority w:val="99"/>
    <w:unhideWhenUsed/>
    <w:rsid w:val="001D6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DA0"/>
  </w:style>
  <w:style w:type="paragraph" w:styleId="Footer">
    <w:name w:val="footer"/>
    <w:basedOn w:val="Normal"/>
    <w:link w:val="FooterChar"/>
    <w:uiPriority w:val="99"/>
    <w:unhideWhenUsed/>
    <w:rsid w:val="001D6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B17-4E2A-B757-C5A90CA6923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B17-4E2A-B757-C5A90CA6923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Sheet1!$I$14:$I$15</c:f>
              <c:strCache>
                <c:ptCount val="2"/>
                <c:pt idx="0">
                  <c:v>Not Prepared</c:v>
                </c:pt>
                <c:pt idx="1">
                  <c:v>Prepared</c:v>
                </c:pt>
              </c:strCache>
            </c:strRef>
          </c:cat>
          <c:val>
            <c:numRef>
              <c:f>Sheet1!$J$14:$J$15</c:f>
              <c:numCache>
                <c:formatCode>General</c:formatCode>
                <c:ptCount val="2"/>
                <c:pt idx="0">
                  <c:v>52.3</c:v>
                </c:pt>
                <c:pt idx="1">
                  <c:v>47.7</c:v>
                </c:pt>
              </c:numCache>
            </c:numRef>
          </c:val>
          <c:extLst>
            <c:ext xmlns:c16="http://schemas.microsoft.com/office/drawing/2014/chart" uri="{C3380CC4-5D6E-409C-BE32-E72D297353CC}">
              <c16:uniqueId val="{00000004-8B17-4E2A-B757-C5A90CA69238}"/>
            </c:ext>
          </c:extLst>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31A4A-76F8-49BF-97DB-8AF1770C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10605</Words>
  <Characters>60451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Wycliffe Omondi Otieno</dc:creator>
  <cp:keywords/>
  <dc:description/>
  <cp:lastModifiedBy>Editor-23</cp:lastModifiedBy>
  <cp:revision>5</cp:revision>
  <dcterms:created xsi:type="dcterms:W3CDTF">2024-11-27T20:22:00Z</dcterms:created>
  <dcterms:modified xsi:type="dcterms:W3CDTF">2024-11-29T11:20:00Z</dcterms:modified>
</cp:coreProperties>
</file>