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D122" w14:textId="23E2871B" w:rsidR="00132B5A" w:rsidRDefault="00132B5A" w:rsidP="00A10274">
      <w:pPr>
        <w:spacing w:line="480" w:lineRule="auto"/>
        <w:jc w:val="center"/>
        <w:rPr>
          <w:rFonts w:ascii="Times New Roman" w:hAnsi="Times New Roman" w:cs="Times New Roman"/>
          <w:b/>
          <w:bCs/>
          <w:sz w:val="32"/>
          <w:szCs w:val="32"/>
        </w:rPr>
      </w:pPr>
      <w:r w:rsidRPr="00132B5A">
        <w:rPr>
          <w:rFonts w:ascii="Times New Roman" w:hAnsi="Times New Roman" w:cs="Times New Roman"/>
          <w:b/>
          <w:bCs/>
          <w:sz w:val="32"/>
          <w:szCs w:val="32"/>
        </w:rPr>
        <w:t>Original Research Article</w:t>
      </w:r>
    </w:p>
    <w:p w14:paraId="0E6D5B8A" w14:textId="3E97F179" w:rsidR="00B33136" w:rsidRDefault="0008159E" w:rsidP="00A10274">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Riparian </w:t>
      </w:r>
      <w:r w:rsidR="003B1DCA">
        <w:rPr>
          <w:rFonts w:ascii="Times New Roman" w:hAnsi="Times New Roman" w:cs="Times New Roman"/>
          <w:b/>
          <w:bCs/>
          <w:sz w:val="32"/>
          <w:szCs w:val="32"/>
        </w:rPr>
        <w:t xml:space="preserve">Forest </w:t>
      </w:r>
      <w:r w:rsidR="003B1DCA" w:rsidRPr="00585277">
        <w:rPr>
          <w:rFonts w:ascii="Times New Roman" w:hAnsi="Times New Roman" w:cs="Times New Roman"/>
          <w:b/>
          <w:bCs/>
          <w:sz w:val="32"/>
          <w:szCs w:val="32"/>
        </w:rPr>
        <w:t>Composition</w:t>
      </w:r>
      <w:r w:rsidR="00EE220A">
        <w:rPr>
          <w:rFonts w:ascii="Times New Roman" w:hAnsi="Times New Roman" w:cs="Times New Roman"/>
          <w:b/>
          <w:bCs/>
          <w:sz w:val="32"/>
          <w:szCs w:val="32"/>
        </w:rPr>
        <w:t>,</w:t>
      </w:r>
      <w:r w:rsidR="003B1DCA">
        <w:rPr>
          <w:rFonts w:ascii="Times New Roman" w:hAnsi="Times New Roman" w:cs="Times New Roman"/>
          <w:b/>
          <w:bCs/>
          <w:sz w:val="32"/>
          <w:szCs w:val="32"/>
        </w:rPr>
        <w:t xml:space="preserve"> </w:t>
      </w:r>
      <w:r w:rsidR="00585277" w:rsidRPr="00585277">
        <w:rPr>
          <w:rFonts w:ascii="Times New Roman" w:hAnsi="Times New Roman" w:cs="Times New Roman"/>
          <w:b/>
          <w:bCs/>
          <w:sz w:val="32"/>
          <w:szCs w:val="32"/>
        </w:rPr>
        <w:t>Tree Diversity</w:t>
      </w:r>
      <w:r>
        <w:rPr>
          <w:rFonts w:ascii="Times New Roman" w:hAnsi="Times New Roman" w:cs="Times New Roman"/>
          <w:b/>
          <w:bCs/>
          <w:sz w:val="32"/>
          <w:szCs w:val="32"/>
        </w:rPr>
        <w:t xml:space="preserve"> </w:t>
      </w:r>
      <w:r w:rsidR="00EE220A">
        <w:rPr>
          <w:rFonts w:ascii="Times New Roman" w:hAnsi="Times New Roman" w:cs="Times New Roman"/>
          <w:b/>
          <w:bCs/>
          <w:sz w:val="32"/>
          <w:szCs w:val="32"/>
        </w:rPr>
        <w:t xml:space="preserve">and </w:t>
      </w:r>
      <w:r w:rsidR="00585277" w:rsidRPr="00585277">
        <w:rPr>
          <w:rFonts w:ascii="Times New Roman" w:hAnsi="Times New Roman" w:cs="Times New Roman"/>
          <w:b/>
          <w:bCs/>
          <w:sz w:val="32"/>
          <w:szCs w:val="32"/>
        </w:rPr>
        <w:t xml:space="preserve">its Association </w:t>
      </w:r>
      <w:r w:rsidR="00EE220A">
        <w:rPr>
          <w:rFonts w:ascii="Times New Roman" w:hAnsi="Times New Roman" w:cs="Times New Roman"/>
          <w:b/>
          <w:bCs/>
          <w:sz w:val="32"/>
          <w:szCs w:val="32"/>
        </w:rPr>
        <w:t>with</w:t>
      </w:r>
      <w:r w:rsidR="003B1DCA">
        <w:rPr>
          <w:rFonts w:ascii="Times New Roman" w:hAnsi="Times New Roman" w:cs="Times New Roman"/>
          <w:b/>
          <w:bCs/>
          <w:sz w:val="32"/>
          <w:szCs w:val="32"/>
        </w:rPr>
        <w:t xml:space="preserve"> </w:t>
      </w:r>
      <w:r w:rsidR="00585277" w:rsidRPr="00585277">
        <w:rPr>
          <w:rFonts w:ascii="Times New Roman" w:hAnsi="Times New Roman" w:cs="Times New Roman"/>
          <w:b/>
          <w:bCs/>
          <w:sz w:val="32"/>
          <w:szCs w:val="32"/>
        </w:rPr>
        <w:t>Mand River</w:t>
      </w:r>
      <w:r>
        <w:rPr>
          <w:rFonts w:ascii="Times New Roman" w:hAnsi="Times New Roman" w:cs="Times New Roman"/>
          <w:b/>
          <w:bCs/>
          <w:sz w:val="32"/>
          <w:szCs w:val="32"/>
        </w:rPr>
        <w:t>,</w:t>
      </w:r>
      <w:r w:rsidR="00585277" w:rsidRPr="00585277">
        <w:rPr>
          <w:rFonts w:ascii="Times New Roman" w:hAnsi="Times New Roman" w:cs="Times New Roman"/>
          <w:b/>
          <w:bCs/>
          <w:sz w:val="32"/>
          <w:szCs w:val="32"/>
        </w:rPr>
        <w:t xml:space="preserve"> </w:t>
      </w:r>
      <w:r w:rsidR="004314E6">
        <w:rPr>
          <w:rFonts w:ascii="Times New Roman" w:hAnsi="Times New Roman" w:cs="Times New Roman"/>
          <w:b/>
          <w:bCs/>
          <w:sz w:val="32"/>
          <w:szCs w:val="32"/>
        </w:rPr>
        <w:t>Chhattisgarh, India</w:t>
      </w:r>
    </w:p>
    <w:p w14:paraId="1C85184F" w14:textId="15B9D5E2" w:rsidR="00D81918" w:rsidRDefault="00D81918" w:rsidP="00A10274">
      <w:pPr>
        <w:spacing w:line="480" w:lineRule="auto"/>
        <w:ind w:left="540"/>
        <w:jc w:val="both"/>
        <w:rPr>
          <w:rFonts w:ascii="Times New Roman" w:hAnsi="Times New Roman" w:cs="Times New Roman"/>
          <w:lang w:val="en-IN"/>
        </w:rPr>
      </w:pPr>
    </w:p>
    <w:p w14:paraId="154EED2F" w14:textId="77777777" w:rsidR="007749A3" w:rsidRDefault="007749A3" w:rsidP="00A10274">
      <w:pPr>
        <w:spacing w:line="480" w:lineRule="auto"/>
        <w:ind w:left="540"/>
        <w:jc w:val="both"/>
        <w:rPr>
          <w:rFonts w:ascii="Times New Roman" w:hAnsi="Times New Roman" w:cs="Times New Roman"/>
          <w:lang w:val="en-IN"/>
        </w:rPr>
      </w:pPr>
    </w:p>
    <w:p w14:paraId="3CA6745D" w14:textId="77777777" w:rsidR="00A55CC3" w:rsidRPr="00A55CC3" w:rsidRDefault="00585277" w:rsidP="00A55CC3">
      <w:pPr>
        <w:spacing w:line="480" w:lineRule="auto"/>
        <w:rPr>
          <w:rFonts w:ascii="Arial" w:hAnsi="Arial" w:cs="Arial"/>
          <w:b/>
          <w:bCs/>
          <w:szCs w:val="22"/>
          <w:lang w:val="en-IN"/>
        </w:rPr>
      </w:pPr>
      <w:r w:rsidRPr="00A55CC3">
        <w:rPr>
          <w:rFonts w:ascii="Arial" w:hAnsi="Arial" w:cs="Arial"/>
          <w:b/>
          <w:bCs/>
          <w:szCs w:val="22"/>
          <w:lang w:val="en-IN"/>
        </w:rPr>
        <w:t>Abstract:</w:t>
      </w:r>
      <w:r w:rsidR="004540C3" w:rsidRPr="00A55CC3">
        <w:rPr>
          <w:rFonts w:ascii="Arial" w:hAnsi="Arial" w:cs="Arial"/>
          <w:b/>
          <w:bCs/>
          <w:szCs w:val="22"/>
          <w:lang w:val="en-IN"/>
        </w:rPr>
        <w:t xml:space="preserve"> </w:t>
      </w:r>
    </w:p>
    <w:p w14:paraId="50CFAE39" w14:textId="1E074854" w:rsidR="00A55CC3" w:rsidRPr="00A55CC3" w:rsidRDefault="004540C3" w:rsidP="00A55CC3">
      <w:pPr>
        <w:spacing w:line="480" w:lineRule="auto"/>
        <w:rPr>
          <w:rFonts w:ascii="Arial" w:hAnsi="Arial" w:cs="Arial"/>
          <w:b/>
          <w:bCs/>
          <w:szCs w:val="22"/>
        </w:rPr>
      </w:pPr>
      <w:r w:rsidRPr="00A55CC3">
        <w:rPr>
          <w:rFonts w:ascii="Arial" w:hAnsi="Arial" w:cs="Arial"/>
          <w:b/>
          <w:bCs/>
          <w:szCs w:val="22"/>
        </w:rPr>
        <w:t xml:space="preserve">This study aims to evaluate </w:t>
      </w:r>
      <w:r w:rsidR="00D14CF0" w:rsidRPr="00A55CC3">
        <w:rPr>
          <w:rFonts w:ascii="Arial" w:hAnsi="Arial" w:cs="Arial"/>
          <w:b/>
          <w:bCs/>
          <w:szCs w:val="22"/>
        </w:rPr>
        <w:t xml:space="preserve">the </w:t>
      </w:r>
      <w:r w:rsidRPr="00A55CC3">
        <w:rPr>
          <w:rFonts w:ascii="Arial" w:hAnsi="Arial" w:cs="Arial"/>
          <w:b/>
          <w:bCs/>
          <w:szCs w:val="22"/>
        </w:rPr>
        <w:t>riparian tree diversity and species composition</w:t>
      </w:r>
      <w:r w:rsidR="001B6525" w:rsidRPr="00A55CC3">
        <w:rPr>
          <w:rFonts w:ascii="Arial" w:hAnsi="Arial" w:cs="Arial"/>
          <w:b/>
          <w:bCs/>
          <w:szCs w:val="22"/>
        </w:rPr>
        <w:t xml:space="preserve"> of </w:t>
      </w:r>
      <w:r w:rsidR="00E07432" w:rsidRPr="00A55CC3">
        <w:rPr>
          <w:rFonts w:ascii="Arial" w:hAnsi="Arial" w:cs="Arial"/>
          <w:b/>
          <w:bCs/>
          <w:szCs w:val="22"/>
        </w:rPr>
        <w:t xml:space="preserve">the </w:t>
      </w:r>
      <w:r w:rsidR="001B6525" w:rsidRPr="00A55CC3">
        <w:rPr>
          <w:rFonts w:ascii="Arial" w:hAnsi="Arial" w:cs="Arial"/>
          <w:b/>
          <w:bCs/>
          <w:szCs w:val="22"/>
        </w:rPr>
        <w:t>Mand river</w:t>
      </w:r>
      <w:r w:rsidRPr="00A55CC3">
        <w:rPr>
          <w:rFonts w:ascii="Arial" w:hAnsi="Arial" w:cs="Arial"/>
          <w:b/>
          <w:bCs/>
          <w:szCs w:val="22"/>
        </w:rPr>
        <w:t xml:space="preserve">.  </w:t>
      </w:r>
      <w:r w:rsidR="001B6525" w:rsidRPr="00A55CC3">
        <w:rPr>
          <w:rFonts w:ascii="Arial" w:hAnsi="Arial" w:cs="Arial"/>
          <w:b/>
          <w:bCs/>
          <w:szCs w:val="22"/>
        </w:rPr>
        <w:t xml:space="preserve">It </w:t>
      </w:r>
      <w:r w:rsidRPr="00A55CC3">
        <w:rPr>
          <w:rFonts w:ascii="Arial" w:hAnsi="Arial" w:cs="Arial"/>
          <w:b/>
          <w:bCs/>
          <w:szCs w:val="22"/>
        </w:rPr>
        <w:t xml:space="preserve">offers insights </w:t>
      </w:r>
      <w:r w:rsidR="00E07432" w:rsidRPr="00A55CC3">
        <w:rPr>
          <w:rFonts w:ascii="Arial" w:hAnsi="Arial" w:cs="Arial"/>
          <w:b/>
          <w:bCs/>
          <w:szCs w:val="22"/>
        </w:rPr>
        <w:t>into</w:t>
      </w:r>
      <w:r w:rsidRPr="00A55CC3">
        <w:rPr>
          <w:rFonts w:ascii="Arial" w:hAnsi="Arial" w:cs="Arial"/>
          <w:b/>
          <w:bCs/>
          <w:szCs w:val="22"/>
        </w:rPr>
        <w:t xml:space="preserve"> species richness, dominance</w:t>
      </w:r>
      <w:r w:rsidR="006E128C" w:rsidRPr="00A55CC3">
        <w:rPr>
          <w:rFonts w:ascii="Arial" w:hAnsi="Arial" w:cs="Arial"/>
          <w:b/>
          <w:bCs/>
          <w:szCs w:val="22"/>
        </w:rPr>
        <w:t xml:space="preserve"> and</w:t>
      </w:r>
      <w:r w:rsidRPr="00A55CC3">
        <w:rPr>
          <w:rFonts w:ascii="Arial" w:hAnsi="Arial" w:cs="Arial"/>
          <w:b/>
          <w:bCs/>
          <w:szCs w:val="22"/>
        </w:rPr>
        <w:t xml:space="preserve"> community organization along the river by systematic vegetation surveys and statistical analysis.  </w:t>
      </w:r>
    </w:p>
    <w:p w14:paraId="3D822EB1" w14:textId="773A98DD" w:rsidR="004540C3" w:rsidRPr="00A55CC3" w:rsidRDefault="004540C3" w:rsidP="00A55CC3">
      <w:pPr>
        <w:spacing w:line="480" w:lineRule="auto"/>
        <w:rPr>
          <w:rFonts w:ascii="Arial" w:hAnsi="Arial" w:cs="Arial"/>
          <w:b/>
          <w:bCs/>
          <w:szCs w:val="22"/>
        </w:rPr>
      </w:pPr>
      <w:r w:rsidRPr="00A55CC3">
        <w:rPr>
          <w:rFonts w:ascii="Arial" w:hAnsi="Arial" w:cs="Arial"/>
          <w:b/>
          <w:bCs/>
          <w:szCs w:val="22"/>
        </w:rPr>
        <w:t>The research utilizes a systematic methodology integrating remote sensing, GIS analysis</w:t>
      </w:r>
      <w:r w:rsidR="006E128C" w:rsidRPr="00A55CC3">
        <w:rPr>
          <w:rFonts w:ascii="Arial" w:hAnsi="Arial" w:cs="Arial"/>
          <w:b/>
          <w:bCs/>
          <w:szCs w:val="22"/>
        </w:rPr>
        <w:t xml:space="preserve"> and</w:t>
      </w:r>
      <w:r w:rsidRPr="00A55CC3">
        <w:rPr>
          <w:rFonts w:ascii="Arial" w:hAnsi="Arial" w:cs="Arial"/>
          <w:b/>
          <w:bCs/>
          <w:szCs w:val="22"/>
        </w:rPr>
        <w:t xml:space="preserve"> field sampling techniques to assess tree diversity in the riparian zones of the Mand River.  Ecological indicators evaluated species diversity, including species richness, frequency, density, abundance</w:t>
      </w:r>
      <w:r w:rsidR="006E128C" w:rsidRPr="00A55CC3">
        <w:rPr>
          <w:rFonts w:ascii="Arial" w:hAnsi="Arial" w:cs="Arial"/>
          <w:b/>
          <w:bCs/>
          <w:szCs w:val="22"/>
        </w:rPr>
        <w:t xml:space="preserve"> and</w:t>
      </w:r>
      <w:r w:rsidRPr="00A55CC3">
        <w:rPr>
          <w:rFonts w:ascii="Arial" w:hAnsi="Arial" w:cs="Arial"/>
          <w:b/>
          <w:bCs/>
          <w:szCs w:val="22"/>
        </w:rPr>
        <w:t xml:space="preserve"> Importance Value Index (IVI).  The Shannon-Wiener Index (H') assessed for species richness and evenness</w:t>
      </w:r>
      <w:r w:rsidR="006E128C" w:rsidRPr="00A55CC3">
        <w:rPr>
          <w:rFonts w:ascii="Arial" w:hAnsi="Arial" w:cs="Arial"/>
          <w:b/>
          <w:bCs/>
          <w:szCs w:val="22"/>
        </w:rPr>
        <w:t xml:space="preserve"> and</w:t>
      </w:r>
      <w:r w:rsidRPr="00A55CC3">
        <w:rPr>
          <w:rFonts w:ascii="Arial" w:hAnsi="Arial" w:cs="Arial"/>
          <w:b/>
          <w:bCs/>
          <w:szCs w:val="22"/>
        </w:rPr>
        <w:t xml:space="preserve"> Simpson's Diversity Index (D) measured for species dominance and rarity.</w:t>
      </w:r>
    </w:p>
    <w:p w14:paraId="378C3B83" w14:textId="62BC9204" w:rsidR="00585277" w:rsidRPr="00A55CC3" w:rsidRDefault="004540C3" w:rsidP="00A55CC3">
      <w:pPr>
        <w:spacing w:line="480" w:lineRule="auto"/>
        <w:rPr>
          <w:rFonts w:ascii="Arial" w:hAnsi="Arial" w:cs="Arial"/>
          <w:b/>
          <w:bCs/>
          <w:szCs w:val="22"/>
          <w:lang w:val="en-IN"/>
        </w:rPr>
      </w:pPr>
      <w:r w:rsidRPr="00A55CC3">
        <w:rPr>
          <w:rFonts w:ascii="Arial" w:hAnsi="Arial" w:cs="Arial"/>
          <w:b/>
          <w:bCs/>
          <w:szCs w:val="22"/>
        </w:rPr>
        <w:t xml:space="preserve">The Importance Value Index of riparian tree species indicates that </w:t>
      </w:r>
      <w:proofErr w:type="spellStart"/>
      <w:r w:rsidRPr="00A55CC3">
        <w:rPr>
          <w:rFonts w:ascii="Arial" w:hAnsi="Arial" w:cs="Arial"/>
          <w:b/>
          <w:bCs/>
          <w:i/>
          <w:iCs/>
          <w:szCs w:val="22"/>
        </w:rPr>
        <w:t>Shorea</w:t>
      </w:r>
      <w:proofErr w:type="spellEnd"/>
      <w:r w:rsidRPr="00A55CC3">
        <w:rPr>
          <w:rFonts w:ascii="Arial" w:hAnsi="Arial" w:cs="Arial"/>
          <w:b/>
          <w:bCs/>
          <w:i/>
          <w:iCs/>
          <w:szCs w:val="22"/>
        </w:rPr>
        <w:t xml:space="preserve"> </w:t>
      </w:r>
      <w:proofErr w:type="spellStart"/>
      <w:r w:rsidRPr="00A55CC3">
        <w:rPr>
          <w:rFonts w:ascii="Arial" w:hAnsi="Arial" w:cs="Arial"/>
          <w:b/>
          <w:bCs/>
          <w:i/>
          <w:iCs/>
          <w:szCs w:val="22"/>
        </w:rPr>
        <w:t>robusta</w:t>
      </w:r>
      <w:proofErr w:type="spellEnd"/>
      <w:r w:rsidRPr="00A55CC3">
        <w:rPr>
          <w:rFonts w:ascii="Arial" w:hAnsi="Arial" w:cs="Arial"/>
          <w:b/>
          <w:bCs/>
          <w:szCs w:val="22"/>
        </w:rPr>
        <w:t xml:space="preserve"> (Sal) is the dominant species across all distance classes, consistent with the Sal-dominated forest type exists in the region.  The study indicates a progressive transition from moisture-dependent species along the riverbank (0m) to drought-resistant species in elevated regions (500m).  The 250m zone demonstrates the highest species richness, indicating that transitional zones offer ideal circumstances for the coexistence of different species.  The variety of plants in riparian forests improves ecological resilience, </w:t>
      </w:r>
      <w:r w:rsidRPr="00A55CC3">
        <w:rPr>
          <w:rFonts w:ascii="Arial" w:hAnsi="Arial" w:cs="Arial"/>
          <w:b/>
          <w:bCs/>
          <w:szCs w:val="22"/>
        </w:rPr>
        <w:lastRenderedPageBreak/>
        <w:t>hydrological stability</w:t>
      </w:r>
      <w:r w:rsidR="006E128C" w:rsidRPr="00A55CC3">
        <w:rPr>
          <w:rFonts w:ascii="Arial" w:hAnsi="Arial" w:cs="Arial"/>
          <w:b/>
          <w:bCs/>
          <w:szCs w:val="22"/>
        </w:rPr>
        <w:t xml:space="preserve"> and</w:t>
      </w:r>
      <w:r w:rsidRPr="00A55CC3">
        <w:rPr>
          <w:rFonts w:ascii="Arial" w:hAnsi="Arial" w:cs="Arial"/>
          <w:b/>
          <w:bCs/>
          <w:szCs w:val="22"/>
        </w:rPr>
        <w:t xml:space="preserve"> biodiversity preservation.  The results of this study will help design efficient conservation and management strategies for the Mand River watershed and improve our knowledge of riparian ecology in central India.</w:t>
      </w:r>
    </w:p>
    <w:p w14:paraId="19D3F3DF" w14:textId="17CFA293" w:rsidR="00585277" w:rsidRPr="00A55CC3" w:rsidRDefault="00585277" w:rsidP="00AE5FE4">
      <w:pPr>
        <w:spacing w:line="480" w:lineRule="auto"/>
        <w:jc w:val="both"/>
        <w:rPr>
          <w:rFonts w:ascii="Arial" w:hAnsi="Arial" w:cs="Arial"/>
          <w:i/>
          <w:iCs/>
          <w:sz w:val="20"/>
          <w:lang w:val="en-IN"/>
        </w:rPr>
      </w:pPr>
      <w:r w:rsidRPr="00A55CC3">
        <w:rPr>
          <w:rFonts w:ascii="Arial" w:hAnsi="Arial" w:cs="Arial"/>
          <w:i/>
          <w:iCs/>
          <w:sz w:val="20"/>
          <w:lang w:val="en-IN"/>
        </w:rPr>
        <w:t>Key Words:</w:t>
      </w:r>
      <w:r w:rsidR="00D14CF0" w:rsidRPr="00A55CC3">
        <w:rPr>
          <w:rFonts w:ascii="Arial" w:hAnsi="Arial" w:cs="Arial"/>
          <w:i/>
          <w:iCs/>
          <w:sz w:val="20"/>
          <w:lang w:val="en-IN"/>
        </w:rPr>
        <w:t xml:space="preserve"> Riparian forest, Species composition, Biodiversity conservation, Riparian ecology</w:t>
      </w:r>
    </w:p>
    <w:p w14:paraId="733F7F56" w14:textId="77777777" w:rsidR="00585277" w:rsidRPr="00A55CC3" w:rsidRDefault="00585277" w:rsidP="00A55CC3">
      <w:pPr>
        <w:pStyle w:val="NormalWeb"/>
        <w:numPr>
          <w:ilvl w:val="0"/>
          <w:numId w:val="21"/>
        </w:numPr>
        <w:spacing w:line="480" w:lineRule="auto"/>
        <w:rPr>
          <w:rFonts w:ascii="Arial" w:hAnsi="Arial" w:cs="Arial"/>
          <w:b/>
          <w:bCs/>
          <w:sz w:val="22"/>
          <w:szCs w:val="22"/>
          <w:lang w:val="en-IN"/>
        </w:rPr>
      </w:pPr>
      <w:r w:rsidRPr="00A55CC3">
        <w:rPr>
          <w:rFonts w:ascii="Arial" w:hAnsi="Arial" w:cs="Arial"/>
          <w:b/>
          <w:bCs/>
          <w:sz w:val="22"/>
          <w:szCs w:val="22"/>
          <w:lang w:val="en-IN"/>
        </w:rPr>
        <w:t xml:space="preserve">Introduction: </w:t>
      </w:r>
    </w:p>
    <w:p w14:paraId="12FE43EE" w14:textId="003DDACF"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 xml:space="preserve">Riparian environments along </w:t>
      </w:r>
      <w:r w:rsidR="003D0152" w:rsidRPr="00A55CC3">
        <w:rPr>
          <w:rFonts w:ascii="Arial" w:hAnsi="Arial" w:cs="Arial"/>
          <w:sz w:val="20"/>
          <w:szCs w:val="20"/>
          <w:lang w:val="en-IN"/>
        </w:rPr>
        <w:t>riverbanks</w:t>
      </w:r>
      <w:r w:rsidRPr="00A55CC3">
        <w:rPr>
          <w:rFonts w:ascii="Arial" w:hAnsi="Arial" w:cs="Arial"/>
          <w:sz w:val="20"/>
          <w:szCs w:val="20"/>
          <w:lang w:val="en-IN"/>
        </w:rPr>
        <w:t xml:space="preserve"> are essential for preserving ecological balance by regulating hydrological processes, avoiding soil erosion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offering habitat for various flora and fauna (</w:t>
      </w:r>
      <w:proofErr w:type="spellStart"/>
      <w:r w:rsidRPr="00A55CC3">
        <w:rPr>
          <w:rFonts w:ascii="Arial" w:hAnsi="Arial" w:cs="Arial"/>
          <w:sz w:val="20"/>
          <w:szCs w:val="20"/>
          <w:lang w:val="en-IN"/>
        </w:rPr>
        <w:t>Nagaraja</w:t>
      </w:r>
      <w:proofErr w:type="spellEnd"/>
      <w:r w:rsidRPr="00A55CC3">
        <w:rPr>
          <w:rFonts w:ascii="Arial" w:hAnsi="Arial" w:cs="Arial"/>
          <w:sz w:val="20"/>
          <w:szCs w:val="20"/>
          <w:lang w:val="en-IN"/>
        </w:rPr>
        <w:t xml:space="preserve"> et al., 2014; </w:t>
      </w:r>
      <w:proofErr w:type="spellStart"/>
      <w:r w:rsidRPr="00A55CC3">
        <w:rPr>
          <w:rFonts w:ascii="Arial" w:hAnsi="Arial" w:cs="Arial"/>
          <w:sz w:val="20"/>
          <w:szCs w:val="20"/>
          <w:lang w:val="en-IN"/>
        </w:rPr>
        <w:t>Naiman</w:t>
      </w:r>
      <w:proofErr w:type="spellEnd"/>
      <w:r w:rsidRPr="00A55CC3">
        <w:rPr>
          <w:rFonts w:ascii="Arial" w:hAnsi="Arial" w:cs="Arial"/>
          <w:sz w:val="20"/>
          <w:szCs w:val="20"/>
          <w:lang w:val="en-IN"/>
        </w:rPr>
        <w:t xml:space="preserve"> &amp; </w:t>
      </w:r>
      <w:proofErr w:type="spellStart"/>
      <w:r w:rsidRPr="00A55CC3">
        <w:rPr>
          <w:rFonts w:ascii="Arial" w:hAnsi="Arial" w:cs="Arial"/>
          <w:sz w:val="20"/>
          <w:szCs w:val="20"/>
          <w:lang w:val="en-IN"/>
        </w:rPr>
        <w:t>Décamps</w:t>
      </w:r>
      <w:proofErr w:type="spellEnd"/>
      <w:r w:rsidRPr="00A55CC3">
        <w:rPr>
          <w:rFonts w:ascii="Arial" w:hAnsi="Arial" w:cs="Arial"/>
          <w:sz w:val="20"/>
          <w:szCs w:val="20"/>
          <w:lang w:val="en-IN"/>
        </w:rPr>
        <w:t xml:space="preserve">, 1997; </w:t>
      </w:r>
      <w:proofErr w:type="spellStart"/>
      <w:r w:rsidRPr="00A55CC3">
        <w:rPr>
          <w:rFonts w:ascii="Arial" w:hAnsi="Arial" w:cs="Arial"/>
          <w:sz w:val="20"/>
          <w:szCs w:val="20"/>
          <w:lang w:val="en-IN"/>
        </w:rPr>
        <w:t>Tabacchi</w:t>
      </w:r>
      <w:proofErr w:type="spellEnd"/>
      <w:r w:rsidRPr="00A55CC3">
        <w:rPr>
          <w:rFonts w:ascii="Arial" w:hAnsi="Arial" w:cs="Arial"/>
          <w:sz w:val="20"/>
          <w:szCs w:val="20"/>
          <w:lang w:val="en-IN"/>
        </w:rPr>
        <w:t xml:space="preserve"> et al., 1998). These ecosystems are especially important in tropical and subtropical climates, where they support high biodiversity and substantially enhance ecosystem services. The composition and diversity of riparian tree species effect water quality, sediment stability</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nutrient cycling, rendering them vital for the sustainability of riverine ecosystems (Deshpande et al., 2021; Householder et al., 2024; Park et al., 2021).</w:t>
      </w:r>
    </w:p>
    <w:p w14:paraId="3F80C5DF" w14:textId="7FB5F779"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Riparian ecosystems worldwide are facing increasing pressure from climate change, deforestation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alterations in land use. Riparian forests have been significantly modified in several regions globally, including North America, Europe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Asia, due to agricultural growth, urbanization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industrial activity (Johnson et al., 2020; Riis et al., 2020). Studies indicates that the deterioration of riparian vegetation results in less biodiversity, modified hydrological patterns</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heightened susceptibility to extreme weather phenomena, including floods and droughts. Numerous nations have implemented conservation and restoration projects to mitigate these effects, prioritizing reforestation, regulated land use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policy-oriented management measures (Mubeen et al., 2021; </w:t>
      </w:r>
      <w:proofErr w:type="spellStart"/>
      <w:r w:rsidRPr="00A55CC3">
        <w:rPr>
          <w:rFonts w:ascii="Arial" w:hAnsi="Arial" w:cs="Arial"/>
          <w:sz w:val="20"/>
          <w:szCs w:val="20"/>
          <w:lang w:val="en-IN"/>
        </w:rPr>
        <w:t>Strassburg</w:t>
      </w:r>
      <w:proofErr w:type="spellEnd"/>
      <w:r w:rsidRPr="00A55CC3">
        <w:rPr>
          <w:rFonts w:ascii="Arial" w:hAnsi="Arial" w:cs="Arial"/>
          <w:sz w:val="20"/>
          <w:szCs w:val="20"/>
          <w:lang w:val="en-IN"/>
        </w:rPr>
        <w:t xml:space="preserve"> et al., 2020). Understanding these global patterns and their implications can aid in the formulation of regional conservation initiatives.</w:t>
      </w:r>
    </w:p>
    <w:p w14:paraId="4A33CFA2" w14:textId="7A358E00"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The Mand River, an important tributary of the Mahanadi River in Chhattisgarh, India, traverses a wide range of environments, encompassing forests, agricultural areas</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populated regions. The river and its adjacent riparian zones function as a crucial ecological corridor, sustaining a multitude of plant and animal species. However, escalating human-induced pressures, including deforestation, agricultural expansion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w:t>
      </w:r>
      <w:r w:rsidRPr="00A55CC3">
        <w:rPr>
          <w:rFonts w:ascii="Arial" w:hAnsi="Arial" w:cs="Arial"/>
          <w:sz w:val="20"/>
          <w:szCs w:val="20"/>
          <w:lang w:val="en-IN"/>
        </w:rPr>
        <w:lastRenderedPageBreak/>
        <w:t>infrastructure development, have resulted in habitat fragmentation and changes in riparian vegetation composition. Comprehending tree diversity, species composition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their biological relationships in riparian zones is crucial for developing conservation strategies and sustainable land-use planning.</w:t>
      </w:r>
    </w:p>
    <w:p w14:paraId="5D82C1BA" w14:textId="6FC303F6"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Although the ecological importance of riparian vegetation, extensive research on tree diversity and composition along the Mand River is still limited. This study aims to address this deficiency by evaluating riparian tree diversity, examining species composition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investigating the correlation between tree species and environmental conditions. This study </w:t>
      </w:r>
      <w:proofErr w:type="gramStart"/>
      <w:r w:rsidRPr="00A55CC3">
        <w:rPr>
          <w:rFonts w:ascii="Arial" w:hAnsi="Arial" w:cs="Arial"/>
          <w:sz w:val="20"/>
          <w:szCs w:val="20"/>
          <w:lang w:val="en-IN"/>
        </w:rPr>
        <w:t>provide</w:t>
      </w:r>
      <w:proofErr w:type="gramEnd"/>
      <w:r w:rsidRPr="00A55CC3">
        <w:rPr>
          <w:rFonts w:ascii="Arial" w:hAnsi="Arial" w:cs="Arial"/>
          <w:sz w:val="20"/>
          <w:szCs w:val="20"/>
          <w:lang w:val="en-IN"/>
        </w:rPr>
        <w:t> insights into species richness, dominance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community structure along the river through systematic vegetation surveys and statistical analysis. Furthermore, it will assess the influence of land use and environmental factors on the dynamics of riparian vegetation (Friedman et al., 2022). The results of this study will help design efficient conservation and management strategies for the Mand River watershed by advancing our knowledge of riparian ecology in central India. </w:t>
      </w:r>
    </w:p>
    <w:p w14:paraId="34992329" w14:textId="131315A5" w:rsidR="00DD11E1" w:rsidRPr="00AE5FE4" w:rsidRDefault="00DD11E1" w:rsidP="00AE5FE4">
      <w:pPr>
        <w:pStyle w:val="NormalWeb"/>
        <w:numPr>
          <w:ilvl w:val="0"/>
          <w:numId w:val="21"/>
        </w:numPr>
        <w:spacing w:line="480" w:lineRule="auto"/>
        <w:rPr>
          <w:rFonts w:ascii="Arial" w:hAnsi="Arial" w:cs="Arial"/>
          <w:b/>
          <w:bCs/>
          <w:sz w:val="22"/>
          <w:szCs w:val="22"/>
          <w:lang w:val="en-IN"/>
        </w:rPr>
      </w:pPr>
      <w:r w:rsidRPr="00AE5FE4">
        <w:rPr>
          <w:rFonts w:ascii="Arial" w:hAnsi="Arial" w:cs="Arial"/>
          <w:b/>
          <w:bCs/>
          <w:sz w:val="22"/>
          <w:szCs w:val="22"/>
          <w:lang w:val="en-IN"/>
        </w:rPr>
        <w:t>Material and Method:</w:t>
      </w:r>
    </w:p>
    <w:p w14:paraId="70574DEB" w14:textId="77777777" w:rsidR="002E32D8" w:rsidRPr="00AE5FE4" w:rsidRDefault="002E32D8" w:rsidP="00AE5FE4">
      <w:pPr>
        <w:pStyle w:val="ListParagraph"/>
        <w:keepNext/>
        <w:keepLines/>
        <w:numPr>
          <w:ilvl w:val="1"/>
          <w:numId w:val="21"/>
        </w:numPr>
        <w:spacing w:before="60" w:after="120" w:line="480" w:lineRule="auto"/>
        <w:outlineLvl w:val="1"/>
        <w:rPr>
          <w:rFonts w:ascii="Times New Roman" w:eastAsiaTheme="majorEastAsia" w:hAnsi="Times New Roman" w:cs="Times New Roman"/>
          <w:b/>
          <w:bCs/>
          <w:szCs w:val="22"/>
        </w:rPr>
      </w:pPr>
      <w:r w:rsidRPr="00AE5FE4">
        <w:rPr>
          <w:rFonts w:ascii="Times New Roman" w:eastAsiaTheme="majorEastAsia" w:hAnsi="Times New Roman" w:cs="Times New Roman"/>
          <w:b/>
          <w:bCs/>
          <w:szCs w:val="22"/>
        </w:rPr>
        <w:t>Study Area</w:t>
      </w:r>
    </w:p>
    <w:p w14:paraId="1C633A94" w14:textId="71318DBA" w:rsidR="00742FD5" w:rsidRPr="00AE5FE4" w:rsidRDefault="00742FD5" w:rsidP="00A10274">
      <w:pPr>
        <w:spacing w:line="480" w:lineRule="auto"/>
        <w:jc w:val="both"/>
        <w:rPr>
          <w:rFonts w:ascii="Arial" w:hAnsi="Arial" w:cs="Arial"/>
          <w:sz w:val="20"/>
        </w:rPr>
      </w:pPr>
      <w:r w:rsidRPr="00AE5FE4">
        <w:rPr>
          <w:rFonts w:ascii="Arial" w:hAnsi="Arial" w:cs="Arial"/>
          <w:sz w:val="20"/>
        </w:rPr>
        <w:t xml:space="preserve"> The Mand River is a significant left-bank tributary of the Mahanadi in northeastern Chhattisgarh, India, </w:t>
      </w:r>
      <w:r w:rsidR="00351C3D" w:rsidRPr="00AE5FE4">
        <w:rPr>
          <w:rFonts w:ascii="Arial" w:hAnsi="Arial" w:cs="Arial"/>
          <w:sz w:val="20"/>
        </w:rPr>
        <w:t xml:space="preserve">and the catchment area </w:t>
      </w:r>
      <w:r w:rsidRPr="00AE5FE4">
        <w:rPr>
          <w:rFonts w:ascii="Arial" w:hAnsi="Arial" w:cs="Arial"/>
          <w:sz w:val="20"/>
        </w:rPr>
        <w:t xml:space="preserve">contributing around 7.35% to the Mahanadi basin.  It lies between the latitudes of 21°42′6.27″N and 23°4′2.86″N and the longitudes of 82°50′32.31″E and 83°36′14.78″E (Fig. 1).  The </w:t>
      </w:r>
      <w:r w:rsidR="00351C3D" w:rsidRPr="00AE5FE4">
        <w:rPr>
          <w:rFonts w:ascii="Arial" w:hAnsi="Arial" w:cs="Arial"/>
          <w:sz w:val="20"/>
        </w:rPr>
        <w:t>Mand River Watershed</w:t>
      </w:r>
      <w:r w:rsidRPr="00AE5FE4">
        <w:rPr>
          <w:rFonts w:ascii="Arial" w:hAnsi="Arial" w:cs="Arial"/>
          <w:sz w:val="20"/>
        </w:rPr>
        <w:t xml:space="preserve"> has an elevation between 125 m and 1088 m above mean sea level, with a geographical expanse of 5331.44 km².  The river extends 241 kilometers through </w:t>
      </w:r>
      <w:proofErr w:type="spellStart"/>
      <w:r w:rsidRPr="00AE5FE4">
        <w:rPr>
          <w:rFonts w:ascii="Arial" w:hAnsi="Arial" w:cs="Arial"/>
          <w:sz w:val="20"/>
        </w:rPr>
        <w:t>Surguja</w:t>
      </w:r>
      <w:proofErr w:type="spellEnd"/>
      <w:r w:rsidRPr="00AE5FE4">
        <w:rPr>
          <w:rFonts w:ascii="Arial" w:hAnsi="Arial" w:cs="Arial"/>
          <w:sz w:val="20"/>
        </w:rPr>
        <w:t xml:space="preserve">, </w:t>
      </w:r>
      <w:proofErr w:type="spellStart"/>
      <w:r w:rsidRPr="00AE5FE4">
        <w:rPr>
          <w:rFonts w:ascii="Arial" w:hAnsi="Arial" w:cs="Arial"/>
          <w:sz w:val="20"/>
        </w:rPr>
        <w:t>Jashpur</w:t>
      </w:r>
      <w:proofErr w:type="spellEnd"/>
      <w:r w:rsidRPr="00AE5FE4">
        <w:rPr>
          <w:rFonts w:ascii="Arial" w:hAnsi="Arial" w:cs="Arial"/>
          <w:sz w:val="20"/>
        </w:rPr>
        <w:t xml:space="preserve">, </w:t>
      </w:r>
      <w:proofErr w:type="spellStart"/>
      <w:r w:rsidRPr="00AE5FE4">
        <w:rPr>
          <w:rFonts w:ascii="Arial" w:hAnsi="Arial" w:cs="Arial"/>
          <w:sz w:val="20"/>
        </w:rPr>
        <w:t>Raigarh</w:t>
      </w:r>
      <w:proofErr w:type="spellEnd"/>
      <w:r w:rsidRPr="00AE5FE4">
        <w:rPr>
          <w:rFonts w:ascii="Arial" w:hAnsi="Arial" w:cs="Arial"/>
          <w:sz w:val="20"/>
        </w:rPr>
        <w:t xml:space="preserve">, </w:t>
      </w:r>
      <w:proofErr w:type="spellStart"/>
      <w:r w:rsidRPr="00AE5FE4">
        <w:rPr>
          <w:rFonts w:ascii="Arial" w:hAnsi="Arial" w:cs="Arial"/>
          <w:sz w:val="20"/>
        </w:rPr>
        <w:t>Korba</w:t>
      </w:r>
      <w:proofErr w:type="spellEnd"/>
      <w:r w:rsidR="006E128C" w:rsidRPr="00AE5FE4">
        <w:rPr>
          <w:rFonts w:ascii="Arial" w:hAnsi="Arial" w:cs="Arial"/>
          <w:sz w:val="20"/>
        </w:rPr>
        <w:t xml:space="preserve"> and</w:t>
      </w:r>
      <w:r w:rsidRPr="00AE5FE4">
        <w:rPr>
          <w:rFonts w:ascii="Arial" w:hAnsi="Arial" w:cs="Arial"/>
          <w:sz w:val="20"/>
        </w:rPr>
        <w:t xml:space="preserve"> </w:t>
      </w:r>
      <w:proofErr w:type="spellStart"/>
      <w:r w:rsidRPr="00AE5FE4">
        <w:rPr>
          <w:rFonts w:ascii="Arial" w:hAnsi="Arial" w:cs="Arial"/>
          <w:sz w:val="20"/>
        </w:rPr>
        <w:t>Janjgir-Champa</w:t>
      </w:r>
      <w:proofErr w:type="spellEnd"/>
      <w:r w:rsidRPr="00AE5FE4">
        <w:rPr>
          <w:rFonts w:ascii="Arial" w:hAnsi="Arial" w:cs="Arial"/>
          <w:sz w:val="20"/>
        </w:rPr>
        <w:t xml:space="preserve">.  It merges into the Mahanadi in the eastern area of </w:t>
      </w:r>
      <w:proofErr w:type="spellStart"/>
      <w:r w:rsidRPr="00AE5FE4">
        <w:rPr>
          <w:rFonts w:ascii="Arial" w:hAnsi="Arial" w:cs="Arial"/>
          <w:sz w:val="20"/>
        </w:rPr>
        <w:t>Janjgir-Champa</w:t>
      </w:r>
      <w:proofErr w:type="spellEnd"/>
      <w:r w:rsidRPr="00AE5FE4">
        <w:rPr>
          <w:rFonts w:ascii="Arial" w:hAnsi="Arial" w:cs="Arial"/>
          <w:sz w:val="20"/>
        </w:rPr>
        <w:t xml:space="preserve"> at Chandrapur (</w:t>
      </w:r>
      <w:r w:rsidR="00675336" w:rsidRPr="00AE5FE4">
        <w:rPr>
          <w:rFonts w:ascii="Arial" w:hAnsi="Arial" w:cs="Arial"/>
          <w:sz w:val="20"/>
        </w:rPr>
        <w:t>Choudhury</w:t>
      </w:r>
      <w:r w:rsidRPr="00AE5FE4">
        <w:rPr>
          <w:rFonts w:ascii="Arial" w:hAnsi="Arial" w:cs="Arial"/>
          <w:sz w:val="20"/>
        </w:rPr>
        <w:t xml:space="preserve"> et al., 202</w:t>
      </w:r>
      <w:r w:rsidR="00675336" w:rsidRPr="00AE5FE4">
        <w:rPr>
          <w:rFonts w:ascii="Arial" w:hAnsi="Arial" w:cs="Arial"/>
          <w:sz w:val="20"/>
        </w:rPr>
        <w:t>3</w:t>
      </w:r>
      <w:r w:rsidRPr="00AE5FE4">
        <w:rPr>
          <w:rFonts w:ascii="Arial" w:hAnsi="Arial" w:cs="Arial"/>
          <w:sz w:val="20"/>
        </w:rPr>
        <w:t>).</w:t>
      </w:r>
    </w:p>
    <w:p w14:paraId="72CB26BC" w14:textId="75560C96" w:rsidR="002D3523" w:rsidRPr="00C214EE" w:rsidRDefault="00464C67" w:rsidP="00A10274">
      <w:pPr>
        <w:spacing w:line="480" w:lineRule="auto"/>
        <w:jc w:val="center"/>
        <w:rPr>
          <w:rFonts w:ascii="Times New Roman" w:hAnsi="Times New Roman" w:cs="Times New Roman"/>
          <w:sz w:val="24"/>
          <w:szCs w:val="24"/>
        </w:rPr>
      </w:pPr>
      <w:r w:rsidRPr="00464C67">
        <w:rPr>
          <w:rFonts w:ascii="Times New Roman" w:hAnsi="Times New Roman" w:cs="Times New Roman"/>
          <w:noProof/>
          <w:sz w:val="24"/>
          <w:szCs w:val="24"/>
        </w:rPr>
        <w:lastRenderedPageBreak/>
        <w:drawing>
          <wp:inline distT="0" distB="0" distL="0" distR="0" wp14:anchorId="71DCAE7C" wp14:editId="78CEE4E0">
            <wp:extent cx="3543300" cy="3334714"/>
            <wp:effectExtent l="0" t="0" r="0" b="0"/>
            <wp:docPr id="1481397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3244" cy="3344073"/>
                    </a:xfrm>
                    <a:prstGeom prst="rect">
                      <a:avLst/>
                    </a:prstGeom>
                    <a:noFill/>
                    <a:ln>
                      <a:noFill/>
                    </a:ln>
                  </pic:spPr>
                </pic:pic>
              </a:graphicData>
            </a:graphic>
          </wp:inline>
        </w:drawing>
      </w:r>
    </w:p>
    <w:p w14:paraId="4B01529B" w14:textId="25CEA12A" w:rsidR="002E32D8" w:rsidRPr="00115F96" w:rsidRDefault="002E32D8" w:rsidP="00A10274">
      <w:pPr>
        <w:pStyle w:val="ListParagraph"/>
        <w:numPr>
          <w:ilvl w:val="0"/>
          <w:numId w:val="14"/>
        </w:numPr>
        <w:spacing w:before="60" w:after="120" w:line="480" w:lineRule="auto"/>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Mand River Watershed showing District, Major villages and Town</w:t>
      </w:r>
    </w:p>
    <w:p w14:paraId="7BA52D53" w14:textId="215BD47E" w:rsidR="00742FD5" w:rsidRPr="00AE5FE4" w:rsidRDefault="00742FD5" w:rsidP="00AE5FE4">
      <w:pPr>
        <w:spacing w:line="480" w:lineRule="auto"/>
        <w:jc w:val="both"/>
        <w:rPr>
          <w:rFonts w:ascii="Arial" w:hAnsi="Arial" w:cs="Arial"/>
          <w:sz w:val="20"/>
        </w:rPr>
      </w:pPr>
      <w:r w:rsidRPr="00742FD5">
        <w:rPr>
          <w:rFonts w:ascii="Times New Roman" w:hAnsi="Times New Roman" w:cs="Times New Roman"/>
          <w:sz w:val="24"/>
          <w:szCs w:val="24"/>
        </w:rPr>
        <w:t xml:space="preserve"> </w:t>
      </w:r>
      <w:r w:rsidRPr="00AE5FE4">
        <w:rPr>
          <w:rFonts w:ascii="Arial" w:hAnsi="Arial" w:cs="Arial"/>
          <w:sz w:val="20"/>
        </w:rPr>
        <w:t xml:space="preserve">The region displays a subtropical monsoon climate characterized by three distinct seasons.  The southwest monsoon is the primary source of groundwater recharge in the study area, accounting for 85% of the annual precipitation, which averages 1192.1 mm.  The lowest temperature documented was 8.2 °C in January, but the average highest temperature was 42.5 °C in </w:t>
      </w:r>
      <w:proofErr w:type="gramStart"/>
      <w:r w:rsidRPr="00AE5FE4">
        <w:rPr>
          <w:rFonts w:ascii="Arial" w:hAnsi="Arial" w:cs="Arial"/>
          <w:sz w:val="20"/>
        </w:rPr>
        <w:t>May .</w:t>
      </w:r>
      <w:proofErr w:type="gramEnd"/>
      <w:r w:rsidRPr="00AE5FE4">
        <w:rPr>
          <w:rFonts w:ascii="Arial" w:hAnsi="Arial" w:cs="Arial"/>
          <w:sz w:val="20"/>
        </w:rPr>
        <w:t xml:space="preserve">  The watershed falls under five forest divisions: </w:t>
      </w:r>
      <w:proofErr w:type="spellStart"/>
      <w:r w:rsidRPr="00AE5FE4">
        <w:rPr>
          <w:rFonts w:ascii="Arial" w:hAnsi="Arial" w:cs="Arial"/>
          <w:sz w:val="20"/>
        </w:rPr>
        <w:t>Dharamjaygarh</w:t>
      </w:r>
      <w:proofErr w:type="spellEnd"/>
      <w:r w:rsidRPr="00AE5FE4">
        <w:rPr>
          <w:rFonts w:ascii="Arial" w:hAnsi="Arial" w:cs="Arial"/>
          <w:sz w:val="20"/>
        </w:rPr>
        <w:t xml:space="preserve">, </w:t>
      </w:r>
      <w:proofErr w:type="spellStart"/>
      <w:r w:rsidRPr="00AE5FE4">
        <w:rPr>
          <w:rFonts w:ascii="Arial" w:hAnsi="Arial" w:cs="Arial"/>
          <w:sz w:val="20"/>
        </w:rPr>
        <w:t>Jashpur</w:t>
      </w:r>
      <w:proofErr w:type="spellEnd"/>
      <w:r w:rsidRPr="00AE5FE4">
        <w:rPr>
          <w:rFonts w:ascii="Arial" w:hAnsi="Arial" w:cs="Arial"/>
          <w:sz w:val="20"/>
        </w:rPr>
        <w:t xml:space="preserve">, </w:t>
      </w:r>
      <w:proofErr w:type="spellStart"/>
      <w:r w:rsidRPr="00AE5FE4">
        <w:rPr>
          <w:rFonts w:ascii="Arial" w:hAnsi="Arial" w:cs="Arial"/>
          <w:sz w:val="20"/>
        </w:rPr>
        <w:t>Korba</w:t>
      </w:r>
      <w:proofErr w:type="spellEnd"/>
      <w:r w:rsidRPr="00AE5FE4">
        <w:rPr>
          <w:rFonts w:ascii="Arial" w:hAnsi="Arial" w:cs="Arial"/>
          <w:sz w:val="20"/>
        </w:rPr>
        <w:t xml:space="preserve">, </w:t>
      </w:r>
      <w:proofErr w:type="spellStart"/>
      <w:r w:rsidRPr="00AE5FE4">
        <w:rPr>
          <w:rFonts w:ascii="Arial" w:hAnsi="Arial" w:cs="Arial"/>
          <w:sz w:val="20"/>
        </w:rPr>
        <w:t>Raigarh</w:t>
      </w:r>
      <w:proofErr w:type="spellEnd"/>
      <w:r w:rsidR="006E128C" w:rsidRPr="00AE5FE4">
        <w:rPr>
          <w:rFonts w:ascii="Arial" w:hAnsi="Arial" w:cs="Arial"/>
          <w:sz w:val="20"/>
        </w:rPr>
        <w:t xml:space="preserve"> and</w:t>
      </w:r>
      <w:r w:rsidRPr="00AE5FE4">
        <w:rPr>
          <w:rFonts w:ascii="Arial" w:hAnsi="Arial" w:cs="Arial"/>
          <w:sz w:val="20"/>
        </w:rPr>
        <w:t xml:space="preserve"> </w:t>
      </w:r>
      <w:proofErr w:type="spellStart"/>
      <w:r w:rsidRPr="00AE5FE4">
        <w:rPr>
          <w:rFonts w:ascii="Arial" w:hAnsi="Arial" w:cs="Arial"/>
          <w:sz w:val="20"/>
        </w:rPr>
        <w:t>Surguja</w:t>
      </w:r>
      <w:proofErr w:type="spellEnd"/>
      <w:r w:rsidRPr="00AE5FE4">
        <w:rPr>
          <w:rFonts w:ascii="Arial" w:hAnsi="Arial" w:cs="Arial"/>
          <w:sz w:val="20"/>
        </w:rPr>
        <w:t>.</w:t>
      </w:r>
    </w:p>
    <w:p w14:paraId="01DCE309" w14:textId="3152D39F" w:rsidR="002E32D8" w:rsidRPr="00AE5FE4" w:rsidRDefault="00742FD5" w:rsidP="00AE5FE4">
      <w:pPr>
        <w:spacing w:line="480" w:lineRule="auto"/>
        <w:jc w:val="both"/>
        <w:rPr>
          <w:rFonts w:ascii="Arial" w:hAnsi="Arial" w:cs="Arial"/>
          <w:sz w:val="20"/>
        </w:rPr>
      </w:pPr>
      <w:r w:rsidRPr="00AE5FE4">
        <w:rPr>
          <w:rFonts w:ascii="Arial" w:hAnsi="Arial" w:cs="Arial"/>
          <w:sz w:val="20"/>
        </w:rPr>
        <w:t xml:space="preserve"> The Mand River watershed features a varied landscape of forests, agricultural lands, aquatic systems</w:t>
      </w:r>
      <w:r w:rsidR="006E128C" w:rsidRPr="00AE5FE4">
        <w:rPr>
          <w:rFonts w:ascii="Arial" w:hAnsi="Arial" w:cs="Arial"/>
          <w:sz w:val="20"/>
        </w:rPr>
        <w:t xml:space="preserve"> and</w:t>
      </w:r>
      <w:r w:rsidRPr="00AE5FE4">
        <w:rPr>
          <w:rFonts w:ascii="Arial" w:hAnsi="Arial" w:cs="Arial"/>
          <w:sz w:val="20"/>
        </w:rPr>
        <w:t xml:space="preserve"> settlements.  The watershed includes parts of many districts, mostly located in </w:t>
      </w:r>
      <w:proofErr w:type="spellStart"/>
      <w:r w:rsidRPr="00AE5FE4">
        <w:rPr>
          <w:rFonts w:ascii="Arial" w:hAnsi="Arial" w:cs="Arial"/>
          <w:sz w:val="20"/>
        </w:rPr>
        <w:t>Raigarh</w:t>
      </w:r>
      <w:proofErr w:type="spellEnd"/>
      <w:r w:rsidRPr="00AE5FE4">
        <w:rPr>
          <w:rFonts w:ascii="Arial" w:hAnsi="Arial" w:cs="Arial"/>
          <w:sz w:val="20"/>
        </w:rPr>
        <w:t xml:space="preserve"> district.  The primary land use and land cover in the river region include forest, agricultural land</w:t>
      </w:r>
      <w:r w:rsidR="006E128C" w:rsidRPr="00AE5FE4">
        <w:rPr>
          <w:rFonts w:ascii="Arial" w:hAnsi="Arial" w:cs="Arial"/>
          <w:sz w:val="20"/>
        </w:rPr>
        <w:t xml:space="preserve"> and</w:t>
      </w:r>
      <w:r w:rsidRPr="00AE5FE4">
        <w:rPr>
          <w:rFonts w:ascii="Arial" w:hAnsi="Arial" w:cs="Arial"/>
          <w:sz w:val="20"/>
        </w:rPr>
        <w:t xml:space="preserve"> barren ground.</w:t>
      </w:r>
    </w:p>
    <w:p w14:paraId="6E4688ED" w14:textId="77777777" w:rsidR="002E32D8" w:rsidRPr="00AE5FE4"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AE5FE4">
        <w:rPr>
          <w:rFonts w:ascii="Arial" w:eastAsiaTheme="majorEastAsia" w:hAnsi="Arial" w:cs="Arial"/>
          <w:b/>
          <w:bCs/>
          <w:szCs w:val="22"/>
        </w:rPr>
        <w:t>Site selection</w:t>
      </w:r>
    </w:p>
    <w:p w14:paraId="2EF504E6" w14:textId="108F3832" w:rsidR="005138B6" w:rsidRPr="00AE5FE4" w:rsidRDefault="005138B6" w:rsidP="00A10274">
      <w:pPr>
        <w:spacing w:before="60" w:after="120" w:line="480" w:lineRule="auto"/>
        <w:jc w:val="both"/>
        <w:rPr>
          <w:rFonts w:ascii="Times New Roman" w:eastAsiaTheme="minorEastAsia" w:hAnsi="Times New Roman" w:cs="Times New Roman"/>
          <w:sz w:val="20"/>
        </w:rPr>
      </w:pPr>
      <w:r w:rsidRPr="00AE5FE4">
        <w:rPr>
          <w:rFonts w:ascii="Times New Roman" w:eastAsiaTheme="minorEastAsia" w:hAnsi="Times New Roman" w:cs="Times New Roman"/>
          <w:sz w:val="20"/>
        </w:rPr>
        <w:t>The study of tree diversity in the Mand River Watershed riparian zones employs a systematic methodology that combines remote sensing, GIS analysis</w:t>
      </w:r>
      <w:r w:rsidR="006E128C" w:rsidRPr="00AE5FE4">
        <w:rPr>
          <w:rFonts w:ascii="Times New Roman" w:eastAsiaTheme="minorEastAsia" w:hAnsi="Times New Roman" w:cs="Times New Roman"/>
          <w:sz w:val="20"/>
        </w:rPr>
        <w:t xml:space="preserve"> and</w:t>
      </w:r>
      <w:r w:rsidRPr="00AE5FE4">
        <w:rPr>
          <w:rFonts w:ascii="Times New Roman" w:eastAsiaTheme="minorEastAsia" w:hAnsi="Times New Roman" w:cs="Times New Roman"/>
          <w:sz w:val="20"/>
        </w:rPr>
        <w:t xml:space="preserve"> field sampling approaches. Initially, the LULC and forest map were used to determine forest cover in the Mand River Watershed region. </w:t>
      </w:r>
      <w:bookmarkStart w:id="0" w:name="_Hlk192714087"/>
      <w:proofErr w:type="spellStart"/>
      <w:r w:rsidRPr="00AE5FE4">
        <w:rPr>
          <w:rFonts w:ascii="Times New Roman" w:eastAsiaTheme="minorEastAsia" w:hAnsi="Times New Roman" w:cs="Times New Roman"/>
          <w:sz w:val="20"/>
        </w:rPr>
        <w:t>Purwanto</w:t>
      </w:r>
      <w:bookmarkEnd w:id="0"/>
      <w:proofErr w:type="spellEnd"/>
      <w:r w:rsidRPr="00AE5FE4">
        <w:rPr>
          <w:rFonts w:ascii="Times New Roman" w:eastAsiaTheme="minorEastAsia" w:hAnsi="Times New Roman" w:cs="Times New Roman"/>
          <w:sz w:val="20"/>
        </w:rPr>
        <w:t xml:space="preserve"> and </w:t>
      </w:r>
      <w:proofErr w:type="spellStart"/>
      <w:r w:rsidRPr="00AE5FE4">
        <w:rPr>
          <w:rFonts w:ascii="Times New Roman" w:eastAsiaTheme="minorEastAsia" w:hAnsi="Times New Roman" w:cs="Times New Roman"/>
          <w:sz w:val="20"/>
        </w:rPr>
        <w:t>Andrasmoro</w:t>
      </w:r>
      <w:proofErr w:type="spellEnd"/>
      <w:r w:rsidRPr="00AE5FE4">
        <w:rPr>
          <w:rFonts w:ascii="Times New Roman" w:eastAsiaTheme="minorEastAsia" w:hAnsi="Times New Roman" w:cs="Times New Roman"/>
          <w:sz w:val="20"/>
        </w:rPr>
        <w:t xml:space="preserve"> (2021) used elevation, forest range</w:t>
      </w:r>
      <w:r w:rsidR="006E128C" w:rsidRPr="00AE5FE4">
        <w:rPr>
          <w:rFonts w:ascii="Times New Roman" w:eastAsiaTheme="minorEastAsia" w:hAnsi="Times New Roman" w:cs="Times New Roman"/>
          <w:sz w:val="20"/>
        </w:rPr>
        <w:t xml:space="preserve"> and</w:t>
      </w:r>
      <w:r w:rsidRPr="00AE5FE4">
        <w:rPr>
          <w:rFonts w:ascii="Times New Roman" w:eastAsiaTheme="minorEastAsia" w:hAnsi="Times New Roman" w:cs="Times New Roman"/>
          <w:sz w:val="20"/>
        </w:rPr>
        <w:t xml:space="preserve"> forest division data to determine the sample site for the research region.</w:t>
      </w:r>
    </w:p>
    <w:p w14:paraId="01A3D87A" w14:textId="63022F52" w:rsidR="00DF5BE6" w:rsidRPr="00AE5FE4" w:rsidRDefault="005138B6" w:rsidP="00A10274">
      <w:pPr>
        <w:spacing w:before="60" w:after="120" w:line="480" w:lineRule="auto"/>
        <w:jc w:val="both"/>
        <w:rPr>
          <w:rFonts w:ascii="Times New Roman" w:eastAsiaTheme="minorEastAsia" w:hAnsi="Times New Roman" w:cs="Times New Roman"/>
          <w:sz w:val="20"/>
        </w:rPr>
      </w:pPr>
      <w:r w:rsidRPr="00AE5FE4">
        <w:rPr>
          <w:rFonts w:ascii="Times New Roman" w:eastAsiaTheme="minorEastAsia" w:hAnsi="Times New Roman" w:cs="Times New Roman"/>
          <w:sz w:val="20"/>
        </w:rPr>
        <w:lastRenderedPageBreak/>
        <w:t xml:space="preserve">To evaluate tree diversity, </w:t>
      </w:r>
      <w:r w:rsidR="00351C3D" w:rsidRPr="00AE5FE4">
        <w:rPr>
          <w:rFonts w:ascii="Times New Roman" w:eastAsiaTheme="minorEastAsia" w:hAnsi="Times New Roman" w:cs="Times New Roman"/>
          <w:sz w:val="20"/>
        </w:rPr>
        <w:t xml:space="preserve">the forested area along the Mand river was identified. </w:t>
      </w:r>
      <w:proofErr w:type="gramStart"/>
      <w:r w:rsidR="00351C3D" w:rsidRPr="00AE5FE4">
        <w:rPr>
          <w:rFonts w:ascii="Times New Roman" w:eastAsiaTheme="minorEastAsia" w:hAnsi="Times New Roman" w:cs="Times New Roman"/>
          <w:sz w:val="20"/>
        </w:rPr>
        <w:t>The  site</w:t>
      </w:r>
      <w:proofErr w:type="gramEnd"/>
      <w:r w:rsidR="00351C3D" w:rsidRPr="00AE5FE4">
        <w:rPr>
          <w:rFonts w:ascii="Times New Roman" w:eastAsiaTheme="minorEastAsia" w:hAnsi="Times New Roman" w:cs="Times New Roman"/>
          <w:sz w:val="20"/>
        </w:rPr>
        <w:t xml:space="preserve"> was done  using random sampling method. The </w:t>
      </w:r>
      <w:r w:rsidR="006E128C" w:rsidRPr="00AE5FE4">
        <w:rPr>
          <w:rFonts w:ascii="Times New Roman" w:eastAsiaTheme="minorEastAsia" w:hAnsi="Times New Roman" w:cs="Times New Roman"/>
          <w:sz w:val="20"/>
        </w:rPr>
        <w:t>quadrat</w:t>
      </w:r>
      <w:r w:rsidRPr="00AE5FE4">
        <w:rPr>
          <w:rFonts w:ascii="Times New Roman" w:eastAsiaTheme="minorEastAsia" w:hAnsi="Times New Roman" w:cs="Times New Roman"/>
          <w:sz w:val="20"/>
        </w:rPr>
        <w:t xml:space="preserve"> sampling</w:t>
      </w:r>
      <w:r w:rsidR="00351C3D" w:rsidRPr="00AE5FE4">
        <w:rPr>
          <w:rFonts w:ascii="Times New Roman" w:eastAsiaTheme="minorEastAsia" w:hAnsi="Times New Roman" w:cs="Times New Roman"/>
          <w:sz w:val="20"/>
        </w:rPr>
        <w:t xml:space="preserve"> method was</w:t>
      </w:r>
      <w:r w:rsidRPr="00AE5FE4">
        <w:rPr>
          <w:rFonts w:ascii="Times New Roman" w:eastAsiaTheme="minorEastAsia" w:hAnsi="Times New Roman" w:cs="Times New Roman"/>
          <w:sz w:val="20"/>
        </w:rPr>
        <w:t xml:space="preserve"> used with a transect line of 500m and a 10m × 10m sample plot placed alternately every 250m along the walking path.  All transact lines begin at the edge of the river within the forest. The transact-based </w:t>
      </w:r>
      <w:r w:rsidR="006E128C" w:rsidRPr="00AE5FE4">
        <w:rPr>
          <w:rFonts w:ascii="Times New Roman" w:eastAsiaTheme="minorEastAsia" w:hAnsi="Times New Roman" w:cs="Times New Roman"/>
          <w:sz w:val="20"/>
        </w:rPr>
        <w:t>quadrat</w:t>
      </w:r>
      <w:r w:rsidRPr="00AE5FE4">
        <w:rPr>
          <w:rFonts w:ascii="Times New Roman" w:eastAsiaTheme="minorEastAsia" w:hAnsi="Times New Roman" w:cs="Times New Roman"/>
          <w:sz w:val="20"/>
        </w:rPr>
        <w:t xml:space="preserve"> sampling method effectively assesses distance-based tree diversity, </w:t>
      </w:r>
      <w:proofErr w:type="gramStart"/>
      <w:r w:rsidRPr="00AE5FE4">
        <w:rPr>
          <w:rFonts w:ascii="Times New Roman" w:eastAsiaTheme="minorEastAsia" w:hAnsi="Times New Roman" w:cs="Times New Roman"/>
          <w:sz w:val="20"/>
        </w:rPr>
        <w:t>taking into account</w:t>
      </w:r>
      <w:proofErr w:type="gramEnd"/>
      <w:r w:rsidRPr="00AE5FE4">
        <w:rPr>
          <w:rFonts w:ascii="Times New Roman" w:eastAsiaTheme="minorEastAsia" w:hAnsi="Times New Roman" w:cs="Times New Roman"/>
          <w:sz w:val="20"/>
        </w:rPr>
        <w:t xml:space="preserve"> distances from rivers and topography (Naidu et al., 2018).</w:t>
      </w:r>
    </w:p>
    <w:p w14:paraId="398C064F" w14:textId="267BB01B" w:rsidR="005C5AAF" w:rsidRPr="005C5AAF" w:rsidRDefault="00156F62" w:rsidP="00A10274">
      <w:pPr>
        <w:spacing w:before="60" w:after="120" w:line="480" w:lineRule="auto"/>
        <w:jc w:val="center"/>
        <w:rPr>
          <w:rFonts w:ascii="Times New Roman" w:hAnsi="Times New Roman" w:cs="Times New Roman"/>
          <w:sz w:val="24"/>
          <w:szCs w:val="24"/>
        </w:rPr>
      </w:pPr>
      <w:r>
        <w:rPr>
          <w:noProof/>
        </w:rPr>
        <w:drawing>
          <wp:inline distT="0" distB="0" distL="0" distR="0" wp14:anchorId="06A31CBC" wp14:editId="4F684EF0">
            <wp:extent cx="3086100" cy="3346854"/>
            <wp:effectExtent l="0" t="0" r="0" b="6350"/>
            <wp:docPr id="123482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3110" cy="3365301"/>
                    </a:xfrm>
                    <a:prstGeom prst="rect">
                      <a:avLst/>
                    </a:prstGeom>
                    <a:noFill/>
                    <a:ln>
                      <a:noFill/>
                    </a:ln>
                  </pic:spPr>
                </pic:pic>
              </a:graphicData>
            </a:graphic>
          </wp:inline>
        </w:drawing>
      </w:r>
    </w:p>
    <w:p w14:paraId="2C2F2D8B" w14:textId="702BC707" w:rsidR="002E32D8" w:rsidRPr="00115F96" w:rsidRDefault="002E32D8" w:rsidP="00A10274">
      <w:pPr>
        <w:pStyle w:val="ListParagraph"/>
        <w:numPr>
          <w:ilvl w:val="0"/>
          <w:numId w:val="14"/>
        </w:numPr>
        <w:spacing w:before="60" w:after="120" w:line="480" w:lineRule="auto"/>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Methodology for Tree Diversity study of Mand River Watershed</w:t>
      </w:r>
    </w:p>
    <w:p w14:paraId="28F2F953" w14:textId="77777777" w:rsidR="002E32D8" w:rsidRPr="00115F96"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115F96">
        <w:rPr>
          <w:rFonts w:ascii="Arial" w:eastAsiaTheme="majorEastAsia" w:hAnsi="Arial" w:cs="Arial"/>
          <w:b/>
          <w:bCs/>
          <w:szCs w:val="22"/>
        </w:rPr>
        <w:t>Data Collection</w:t>
      </w:r>
    </w:p>
    <w:p w14:paraId="2BCAFA5D" w14:textId="6650DFCD" w:rsidR="002E32D8" w:rsidRPr="00AE5FE4" w:rsidRDefault="005138B6" w:rsidP="00A10274">
      <w:pPr>
        <w:spacing w:before="60" w:after="120" w:line="480" w:lineRule="auto"/>
        <w:jc w:val="both"/>
        <w:rPr>
          <w:rFonts w:ascii="Arial" w:hAnsi="Arial" w:cs="Arial"/>
          <w:sz w:val="20"/>
        </w:rPr>
      </w:pPr>
      <w:r w:rsidRPr="00AE5FE4">
        <w:rPr>
          <w:rFonts w:ascii="Arial" w:hAnsi="Arial" w:cs="Arial"/>
          <w:sz w:val="20"/>
        </w:rPr>
        <w:t xml:space="preserve">The </w:t>
      </w:r>
      <w:r w:rsidR="006E128C" w:rsidRPr="00AE5FE4">
        <w:rPr>
          <w:rFonts w:ascii="Arial" w:hAnsi="Arial" w:cs="Arial"/>
          <w:sz w:val="20"/>
        </w:rPr>
        <w:t>quadrat</w:t>
      </w:r>
      <w:r w:rsidR="00156F62" w:rsidRPr="00AE5FE4">
        <w:rPr>
          <w:rFonts w:ascii="Arial" w:hAnsi="Arial" w:cs="Arial"/>
          <w:sz w:val="20"/>
        </w:rPr>
        <w:t>s</w:t>
      </w:r>
      <w:r w:rsidRPr="00AE5FE4">
        <w:rPr>
          <w:rFonts w:ascii="Arial" w:hAnsi="Arial" w:cs="Arial"/>
          <w:sz w:val="20"/>
        </w:rPr>
        <w:t xml:space="preserve"> were arranged to record tree species, individual counts</w:t>
      </w:r>
      <w:r w:rsidR="006E128C" w:rsidRPr="00AE5FE4">
        <w:rPr>
          <w:rFonts w:ascii="Arial" w:hAnsi="Arial" w:cs="Arial"/>
          <w:sz w:val="20"/>
        </w:rPr>
        <w:t xml:space="preserve"> and</w:t>
      </w:r>
      <w:r w:rsidRPr="00AE5FE4">
        <w:rPr>
          <w:rFonts w:ascii="Arial" w:hAnsi="Arial" w:cs="Arial"/>
          <w:sz w:val="20"/>
        </w:rPr>
        <w:t xml:space="preserve"> Diameter at Breast Height (DBH) measurements. Species with a </w:t>
      </w:r>
      <w:r w:rsidR="009D2A35" w:rsidRPr="00AE5FE4">
        <w:rPr>
          <w:rFonts w:ascii="Arial" w:hAnsi="Arial" w:cs="Arial"/>
          <w:sz w:val="20"/>
        </w:rPr>
        <w:t>Girth at Breast Height (</w:t>
      </w:r>
      <w:r w:rsidRPr="00AE5FE4">
        <w:rPr>
          <w:rFonts w:ascii="Arial" w:hAnsi="Arial" w:cs="Arial"/>
          <w:sz w:val="20"/>
        </w:rPr>
        <w:t>GBH</w:t>
      </w:r>
      <w:r w:rsidR="009D2A35" w:rsidRPr="00AE5FE4">
        <w:rPr>
          <w:rFonts w:ascii="Arial" w:hAnsi="Arial" w:cs="Arial"/>
          <w:sz w:val="20"/>
        </w:rPr>
        <w:t>)</w:t>
      </w:r>
      <w:r w:rsidRPr="00AE5FE4">
        <w:rPr>
          <w:rFonts w:ascii="Arial" w:hAnsi="Arial" w:cs="Arial"/>
          <w:sz w:val="20"/>
        </w:rPr>
        <w:t xml:space="preserve"> greater than 30 cm were classified as trees</w:t>
      </w:r>
      <w:r w:rsidR="006E128C" w:rsidRPr="00AE5FE4">
        <w:rPr>
          <w:rFonts w:ascii="Arial" w:hAnsi="Arial" w:cs="Arial"/>
          <w:sz w:val="20"/>
        </w:rPr>
        <w:t xml:space="preserve"> and</w:t>
      </w:r>
      <w:r w:rsidRPr="00AE5FE4">
        <w:rPr>
          <w:rFonts w:ascii="Arial" w:hAnsi="Arial" w:cs="Arial"/>
          <w:sz w:val="20"/>
        </w:rPr>
        <w:t xml:space="preserve"> the results were documented. Tree species were identified by an examination of the local flora and consultation with experts. The gathered</w:t>
      </w:r>
      <w:r w:rsidR="00261B42" w:rsidRPr="00AE5FE4">
        <w:rPr>
          <w:rFonts w:ascii="Arial" w:hAnsi="Arial" w:cs="Arial"/>
          <w:sz w:val="20"/>
        </w:rPr>
        <w:t xml:space="preserve"> </w:t>
      </w:r>
      <w:r w:rsidRPr="00AE5FE4">
        <w:rPr>
          <w:rFonts w:ascii="Arial" w:hAnsi="Arial" w:cs="Arial"/>
          <w:sz w:val="20"/>
        </w:rPr>
        <w:t xml:space="preserve">data was entered into Excel spreadsheets. The data analysis was done using </w:t>
      </w:r>
      <w:r w:rsidR="008324BA" w:rsidRPr="00AE5FE4">
        <w:rPr>
          <w:rFonts w:ascii="Arial" w:hAnsi="Arial" w:cs="Arial"/>
          <w:sz w:val="20"/>
        </w:rPr>
        <w:t>Excel</w:t>
      </w:r>
      <w:r w:rsidRPr="00AE5FE4">
        <w:rPr>
          <w:rFonts w:ascii="Arial" w:hAnsi="Arial" w:cs="Arial"/>
          <w:sz w:val="20"/>
        </w:rPr>
        <w:t xml:space="preserve"> and </w:t>
      </w:r>
      <w:r w:rsidR="008324BA" w:rsidRPr="00AE5FE4">
        <w:rPr>
          <w:rFonts w:ascii="Arial" w:hAnsi="Arial" w:cs="Arial"/>
          <w:sz w:val="20"/>
        </w:rPr>
        <w:t>GraphPad</w:t>
      </w:r>
      <w:r w:rsidRPr="00AE5FE4">
        <w:rPr>
          <w:rFonts w:ascii="Arial" w:hAnsi="Arial" w:cs="Arial"/>
          <w:sz w:val="20"/>
        </w:rPr>
        <w:t xml:space="preserve"> Prism. The maps and GIS analysis were done using ArcGIS 10.4 and QGIS 3.34.5. A number of ecological indicators were used to assess the structural and functional aspects of tree diversity. The metrics included species richness, which measured the total number of documented tree species, frequency (%), density, abundance</w:t>
      </w:r>
      <w:r w:rsidR="006E128C" w:rsidRPr="00AE5FE4">
        <w:rPr>
          <w:rFonts w:ascii="Arial" w:hAnsi="Arial" w:cs="Arial"/>
          <w:sz w:val="20"/>
        </w:rPr>
        <w:t xml:space="preserve"> and</w:t>
      </w:r>
      <w:r w:rsidRPr="00AE5FE4">
        <w:rPr>
          <w:rFonts w:ascii="Arial" w:hAnsi="Arial" w:cs="Arial"/>
          <w:sz w:val="20"/>
        </w:rPr>
        <w:t xml:space="preserve"> Importance Value Index. For a thorough investigation </w:t>
      </w:r>
      <w:r w:rsidRPr="00AE5FE4">
        <w:rPr>
          <w:rFonts w:ascii="Arial" w:hAnsi="Arial" w:cs="Arial"/>
          <w:sz w:val="20"/>
        </w:rPr>
        <w:lastRenderedPageBreak/>
        <w:t>of species diversity, the Shannon-Wiener Index was used to evaluate species richness and evenness, while Simpson's Diversity Index evaluated species dominance and rarity (Estimating Biodiversity, 202</w:t>
      </w:r>
      <w:r w:rsidR="009D2A35" w:rsidRPr="00AE5FE4">
        <w:rPr>
          <w:rFonts w:ascii="Arial" w:hAnsi="Arial" w:cs="Arial"/>
          <w:sz w:val="20"/>
        </w:rPr>
        <w:t>4</w:t>
      </w:r>
      <w:r w:rsidRPr="00AE5FE4">
        <w:rPr>
          <w:rFonts w:ascii="Arial" w:hAnsi="Arial" w:cs="Arial"/>
          <w:sz w:val="20"/>
        </w:rPr>
        <w:t>). The comprehensive data analysis procedure is described below</w:t>
      </w:r>
      <w:r w:rsidR="002E32D8" w:rsidRPr="00AE5FE4">
        <w:rPr>
          <w:rFonts w:ascii="Arial" w:hAnsi="Arial" w:cs="Arial"/>
          <w:sz w:val="20"/>
        </w:rPr>
        <w:t>.</w:t>
      </w:r>
    </w:p>
    <w:p w14:paraId="24F393E9" w14:textId="03E4B5D0" w:rsidR="002E32D8" w:rsidRPr="00E768BB" w:rsidRDefault="003011DE" w:rsidP="00A10274">
      <w:pPr>
        <w:spacing w:before="60" w:after="120" w:line="480" w:lineRule="auto"/>
        <w:jc w:val="center"/>
        <w:rPr>
          <w:rFonts w:ascii="Times New Roman" w:hAnsi="Times New Roman" w:cs="Times New Roman"/>
          <w:sz w:val="24"/>
          <w:szCs w:val="24"/>
        </w:rPr>
      </w:pPr>
      <w:r w:rsidRPr="003011DE">
        <w:rPr>
          <w:rFonts w:ascii="Times New Roman" w:hAnsi="Times New Roman" w:cs="Times New Roman"/>
          <w:noProof/>
          <w:sz w:val="24"/>
          <w:szCs w:val="24"/>
        </w:rPr>
        <w:drawing>
          <wp:inline distT="0" distB="0" distL="0" distR="0" wp14:anchorId="25E4283A" wp14:editId="035B9EF3">
            <wp:extent cx="2582717" cy="3740727"/>
            <wp:effectExtent l="0" t="0" r="8255" b="0"/>
            <wp:docPr id="11643210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366" cy="3759047"/>
                    </a:xfrm>
                    <a:prstGeom prst="rect">
                      <a:avLst/>
                    </a:prstGeom>
                    <a:noFill/>
                    <a:ln>
                      <a:noFill/>
                    </a:ln>
                  </pic:spPr>
                </pic:pic>
              </a:graphicData>
            </a:graphic>
          </wp:inline>
        </w:drawing>
      </w:r>
    </w:p>
    <w:p w14:paraId="2F7E1F1F" w14:textId="3E60CD02" w:rsidR="002E32D8" w:rsidRPr="00115F96" w:rsidRDefault="004C475C" w:rsidP="00A10274">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 xml:space="preserve">LULC map and </w:t>
      </w:r>
      <w:r w:rsidR="002E32D8" w:rsidRPr="00115F96">
        <w:rPr>
          <w:rFonts w:ascii="Arial" w:eastAsia="Times New Roman" w:hAnsi="Arial" w:cs="Arial"/>
          <w:b/>
          <w:bCs/>
          <w:kern w:val="0"/>
          <w:sz w:val="20"/>
          <w14:ligatures w14:val="none"/>
        </w:rPr>
        <w:t>Site selected for Tree diversity study</w:t>
      </w:r>
    </w:p>
    <w:p w14:paraId="147CBB0F" w14:textId="77777777" w:rsidR="002E32D8" w:rsidRPr="00AE5FE4"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AE5FE4">
        <w:rPr>
          <w:rFonts w:ascii="Arial" w:eastAsiaTheme="majorEastAsia" w:hAnsi="Arial" w:cs="Arial"/>
          <w:b/>
          <w:bCs/>
          <w:szCs w:val="22"/>
        </w:rPr>
        <w:t>Data analysis</w:t>
      </w:r>
    </w:p>
    <w:p w14:paraId="1020FD47" w14:textId="6E548AA5" w:rsidR="002E32D8" w:rsidRPr="00AE5FE4" w:rsidRDefault="002E32D8" w:rsidP="00A10274">
      <w:pPr>
        <w:spacing w:before="60" w:after="120" w:line="480" w:lineRule="auto"/>
        <w:jc w:val="both"/>
        <w:rPr>
          <w:rFonts w:ascii="Arial" w:hAnsi="Arial" w:cs="Arial"/>
          <w:sz w:val="20"/>
        </w:rPr>
      </w:pPr>
      <w:r w:rsidRPr="00AE5FE4">
        <w:rPr>
          <w:rFonts w:ascii="Arial" w:hAnsi="Arial" w:cs="Arial"/>
          <w:b/>
          <w:bCs/>
          <w:sz w:val="20"/>
        </w:rPr>
        <w:t>Species Richness (S)</w:t>
      </w:r>
      <w:r w:rsidRPr="00AE5FE4">
        <w:rPr>
          <w:rFonts w:ascii="Arial" w:hAnsi="Arial" w:cs="Arial"/>
          <w:sz w:val="20"/>
        </w:rPr>
        <w:t xml:space="preserve"> </w:t>
      </w:r>
      <w:r w:rsidR="005D3967" w:rsidRPr="00AE5FE4">
        <w:rPr>
          <w:rFonts w:ascii="Arial" w:hAnsi="Arial" w:cs="Arial"/>
          <w:sz w:val="20"/>
        </w:rPr>
        <w:t>is a simple count of the individual species found in a given area or sample</w:t>
      </w:r>
      <w:r w:rsidR="009D2A35" w:rsidRPr="00AE5FE4">
        <w:rPr>
          <w:rFonts w:ascii="Arial" w:hAnsi="Arial" w:cs="Arial"/>
          <w:sz w:val="20"/>
        </w:rPr>
        <w:t xml:space="preserve"> plot</w:t>
      </w:r>
      <w:r w:rsidR="005D3967" w:rsidRPr="00AE5FE4">
        <w:rPr>
          <w:rFonts w:ascii="Arial" w:hAnsi="Arial" w:cs="Arial"/>
          <w:sz w:val="20"/>
        </w:rPr>
        <w:t>. It represents species diversity in the environment without regard for abundance or dispersion (</w:t>
      </w:r>
      <w:proofErr w:type="spellStart"/>
      <w:r w:rsidR="005D3967" w:rsidRPr="00AE5FE4">
        <w:rPr>
          <w:rFonts w:ascii="Arial" w:hAnsi="Arial" w:cs="Arial"/>
          <w:sz w:val="20"/>
        </w:rPr>
        <w:t>Frosini</w:t>
      </w:r>
      <w:proofErr w:type="spellEnd"/>
      <w:r w:rsidR="005D3967" w:rsidRPr="00AE5FE4">
        <w:rPr>
          <w:rFonts w:ascii="Arial" w:hAnsi="Arial" w:cs="Arial"/>
          <w:sz w:val="20"/>
        </w:rPr>
        <w:t>, 2023).</w:t>
      </w:r>
    </w:p>
    <w:p w14:paraId="5CA14390" w14:textId="3233CEB7" w:rsidR="002E32D8" w:rsidRPr="00AE5FE4" w:rsidRDefault="002E32D8" w:rsidP="00A10274">
      <w:pPr>
        <w:spacing w:before="60" w:after="120" w:line="480" w:lineRule="auto"/>
        <w:jc w:val="both"/>
        <w:rPr>
          <w:rFonts w:ascii="Arial" w:hAnsi="Arial" w:cs="Arial"/>
          <w:sz w:val="20"/>
        </w:rPr>
      </w:pPr>
      <w:r w:rsidRPr="00AE5FE4">
        <w:rPr>
          <w:rFonts w:ascii="Arial" w:hAnsi="Arial" w:cs="Arial"/>
          <w:b/>
          <w:bCs/>
          <w:sz w:val="20"/>
        </w:rPr>
        <w:t>Frequency</w:t>
      </w:r>
      <w:r w:rsidR="00156F62" w:rsidRPr="00AE5FE4">
        <w:rPr>
          <w:rFonts w:ascii="Arial" w:hAnsi="Arial" w:cs="Arial"/>
          <w:b/>
          <w:bCs/>
          <w:sz w:val="20"/>
        </w:rPr>
        <w:t xml:space="preserve"> (F)</w:t>
      </w:r>
      <w:r w:rsidRPr="00AE5FE4">
        <w:rPr>
          <w:rFonts w:ascii="Arial" w:hAnsi="Arial" w:cs="Arial"/>
          <w:sz w:val="20"/>
        </w:rPr>
        <w:t xml:space="preserve"> </w:t>
      </w:r>
      <w:r w:rsidR="005D3967" w:rsidRPr="00AE5FE4">
        <w:rPr>
          <w:rFonts w:ascii="Arial" w:hAnsi="Arial" w:cs="Arial"/>
          <w:sz w:val="20"/>
        </w:rPr>
        <w:t>is useful in ecological research, particularly when understanding species distribution within a given area. It represents the frequency of a species within a set of sample units (plots or quadrats) in a given study area (</w:t>
      </w:r>
      <w:proofErr w:type="spellStart"/>
      <w:r w:rsidR="005D3967" w:rsidRPr="00AE5FE4">
        <w:rPr>
          <w:rFonts w:ascii="Arial" w:hAnsi="Arial" w:cs="Arial"/>
          <w:sz w:val="20"/>
        </w:rPr>
        <w:t>Frosini</w:t>
      </w:r>
      <w:proofErr w:type="spellEnd"/>
      <w:r w:rsidR="005D3967" w:rsidRPr="00AE5FE4">
        <w:rPr>
          <w:rFonts w:ascii="Arial" w:hAnsi="Arial" w:cs="Arial"/>
          <w:sz w:val="20"/>
        </w:rPr>
        <w:t>, 2023)</w:t>
      </w:r>
      <w:r w:rsidRPr="00AE5FE4">
        <w:rPr>
          <w:rFonts w:ascii="Arial" w:hAnsi="Arial" w:cs="Arial"/>
          <w:sz w:val="20"/>
        </w:rPr>
        <w:t>.</w:t>
      </w:r>
    </w:p>
    <w:p w14:paraId="31A9E30D" w14:textId="6C57B08E"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 xml:space="preserve">Frequency </m:t>
          </m:r>
          <m:d>
            <m:dPr>
              <m:ctrlPr>
                <w:rPr>
                  <w:rFonts w:ascii="Cambria Math" w:hAnsi="Cambria Math" w:cs="Arial"/>
                  <w:sz w:val="20"/>
                </w:rPr>
              </m:ctrlPr>
            </m:dPr>
            <m:e>
              <m:r>
                <m:rPr>
                  <m:sty m:val="p"/>
                </m:rPr>
                <w:rPr>
                  <w:rFonts w:ascii="Cambria Math" w:hAnsi="Cambria Math" w:cs="Arial"/>
                  <w:sz w:val="20"/>
                </w:rPr>
                <m:t>%</m:t>
              </m:r>
            </m:e>
          </m:d>
          <m:r>
            <m:rPr>
              <m:sty m:val="p"/>
            </m:rPr>
            <w:rPr>
              <w:rFonts w:ascii="Cambria Math" w:hAnsi="Cambria Math" w:cs="Arial"/>
              <w:sz w:val="20"/>
            </w:rPr>
            <m:t>=</m:t>
          </m:r>
          <m:f>
            <m:fPr>
              <m:ctrlPr>
                <w:rPr>
                  <w:rFonts w:ascii="Cambria Math" w:hAnsi="Cambria Math" w:cs="Arial"/>
                  <w:sz w:val="20"/>
                </w:rPr>
              </m:ctrlPr>
            </m:fPr>
            <m:num>
              <m:r>
                <w:rPr>
                  <w:rFonts w:ascii="Cambria Math" w:hAnsi="Cambria Math" w:cs="Arial"/>
                  <w:sz w:val="20"/>
                </w:rPr>
                <m:t xml:space="preserve">Number of quadrats in which species occured </m:t>
              </m:r>
            </m:num>
            <m:den>
              <m:r>
                <w:rPr>
                  <w:rFonts w:ascii="Cambria Math" w:hAnsi="Cambria Math" w:cs="Arial"/>
                  <w:sz w:val="20"/>
                </w:rPr>
                <m:t>Total number of quadrats studied</m:t>
              </m:r>
            </m:den>
          </m:f>
          <m:r>
            <w:rPr>
              <w:rFonts w:ascii="Cambria Math" w:hAnsi="Cambria Math" w:cs="Arial"/>
              <w:sz w:val="20"/>
            </w:rPr>
            <m:t>×100</m:t>
          </m:r>
        </m:oMath>
      </m:oMathPara>
    </w:p>
    <w:p w14:paraId="5D78273D" w14:textId="38F5305C"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lastRenderedPageBreak/>
        <w:t>Density</w:t>
      </w:r>
      <w:r w:rsidR="00156F62" w:rsidRPr="00AE5FE4">
        <w:rPr>
          <w:rFonts w:ascii="Arial" w:eastAsiaTheme="minorEastAsia" w:hAnsi="Arial" w:cs="Arial"/>
          <w:b/>
          <w:bCs/>
          <w:sz w:val="20"/>
        </w:rPr>
        <w:t xml:space="preserve"> (D)</w:t>
      </w:r>
      <w:r w:rsidRPr="00AE5FE4">
        <w:rPr>
          <w:rFonts w:ascii="Arial" w:eastAsiaTheme="minorEastAsia" w:hAnsi="Arial" w:cs="Arial"/>
          <w:sz w:val="20"/>
        </w:rPr>
        <w:t xml:space="preserve"> </w:t>
      </w:r>
      <w:r w:rsidR="005D3967" w:rsidRPr="00AE5FE4">
        <w:rPr>
          <w:rFonts w:ascii="Arial" w:eastAsiaTheme="minorEastAsia" w:hAnsi="Arial" w:cs="Arial"/>
          <w:sz w:val="20"/>
        </w:rPr>
        <w:t xml:space="preserve">is an important indicator in ecological studies because it indicates the abundance of a specific species within a given region. It displays the density of individuals of a species per unit area, providing information about the </w:t>
      </w:r>
      <w:r w:rsidR="00173325" w:rsidRPr="00AE5FE4">
        <w:rPr>
          <w:rFonts w:ascii="Arial" w:eastAsiaTheme="minorEastAsia" w:hAnsi="Arial" w:cs="Arial"/>
          <w:sz w:val="20"/>
        </w:rPr>
        <w:t>species</w:t>
      </w:r>
      <w:r w:rsidR="005D3967" w:rsidRPr="00AE5FE4">
        <w:rPr>
          <w:rFonts w:ascii="Arial" w:eastAsiaTheme="minorEastAsia" w:hAnsi="Arial" w:cs="Arial"/>
          <w:sz w:val="20"/>
        </w:rPr>
        <w:t xml:space="preserve"> abundance or rarity within a habitat</w:t>
      </w:r>
      <w:r w:rsidRPr="00AE5FE4">
        <w:rPr>
          <w:rFonts w:ascii="Arial" w:eastAsiaTheme="minorEastAsia" w:hAnsi="Arial" w:cs="Arial"/>
          <w:sz w:val="20"/>
        </w:rPr>
        <w:t>.</w:t>
      </w:r>
    </w:p>
    <w:p w14:paraId="65862DDE" w14:textId="319F443A"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Density=</m:t>
          </m:r>
          <m:f>
            <m:fPr>
              <m:ctrlPr>
                <w:rPr>
                  <w:rFonts w:ascii="Cambria Math" w:hAnsi="Cambria Math" w:cs="Arial"/>
                  <w:sz w:val="20"/>
                </w:rPr>
              </m:ctrlPr>
            </m:fPr>
            <m:num>
              <m:r>
                <w:rPr>
                  <w:rFonts w:ascii="Cambria Math" w:hAnsi="Cambria Math" w:cs="Arial"/>
                  <w:sz w:val="20"/>
                </w:rPr>
                <m:t xml:space="preserve">Number of individuals of a species in all quadrats </m:t>
              </m:r>
            </m:num>
            <m:den>
              <m:r>
                <w:rPr>
                  <w:rFonts w:ascii="Cambria Math" w:hAnsi="Cambria Math" w:cs="Arial"/>
                  <w:sz w:val="20"/>
                </w:rPr>
                <m:t>Total number of quadrats studied</m:t>
              </m:r>
            </m:den>
          </m:f>
        </m:oMath>
      </m:oMathPara>
    </w:p>
    <w:p w14:paraId="679A8E43" w14:textId="1CA72D18"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Abundance</w:t>
      </w:r>
      <w:r w:rsidRPr="00AE5FE4">
        <w:rPr>
          <w:rFonts w:ascii="Arial" w:eastAsiaTheme="minorEastAsia" w:hAnsi="Arial" w:cs="Arial"/>
          <w:sz w:val="20"/>
        </w:rPr>
        <w:t xml:space="preserve"> </w:t>
      </w:r>
      <w:r w:rsidR="00156F62" w:rsidRPr="00AE5FE4">
        <w:rPr>
          <w:rFonts w:ascii="Arial" w:eastAsiaTheme="minorEastAsia" w:hAnsi="Arial" w:cs="Arial"/>
          <w:b/>
          <w:bCs/>
          <w:sz w:val="20"/>
        </w:rPr>
        <w:t xml:space="preserve">(Ab) </w:t>
      </w:r>
      <w:r w:rsidRPr="00AE5FE4">
        <w:rPr>
          <w:rFonts w:ascii="Arial" w:eastAsiaTheme="minorEastAsia" w:hAnsi="Arial" w:cs="Arial"/>
          <w:sz w:val="20"/>
        </w:rPr>
        <w:t>in ecology denotes the quantity of individuals of a certain species within a designated sampling region. It aids in understanding the population density of a species compared to the entire sampled area (Rees, 2018).</w:t>
      </w:r>
    </w:p>
    <w:p w14:paraId="2F50A0C5" w14:textId="26D0C195"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Abundance=</m:t>
          </m:r>
          <m:f>
            <m:fPr>
              <m:ctrlPr>
                <w:rPr>
                  <w:rFonts w:ascii="Cambria Math" w:hAnsi="Cambria Math" w:cs="Arial"/>
                  <w:sz w:val="20"/>
                </w:rPr>
              </m:ctrlPr>
            </m:fPr>
            <m:num>
              <m:r>
                <w:rPr>
                  <w:rFonts w:ascii="Cambria Math" w:hAnsi="Cambria Math" w:cs="Arial"/>
                  <w:sz w:val="20"/>
                </w:rPr>
                <m:t xml:space="preserve">Total Number of individuals of a species in all quadrats </m:t>
              </m:r>
            </m:num>
            <m:den>
              <m:r>
                <w:rPr>
                  <w:rFonts w:ascii="Cambria Math" w:hAnsi="Cambria Math" w:cs="Arial"/>
                  <w:sz w:val="20"/>
                </w:rPr>
                <m:t>Total number of quadrats in which the species occurred</m:t>
              </m:r>
            </m:den>
          </m:f>
        </m:oMath>
      </m:oMathPara>
    </w:p>
    <w:p w14:paraId="433465C8" w14:textId="0F0AAF36"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Importance Value Index (IVI)</w:t>
      </w:r>
      <w:r w:rsidRPr="00AE5FE4">
        <w:rPr>
          <w:rFonts w:ascii="Arial" w:eastAsiaTheme="minorEastAsia" w:hAnsi="Arial" w:cs="Arial"/>
          <w:sz w:val="20"/>
        </w:rPr>
        <w:t xml:space="preserve"> is a comprehensive measure used in ecology to assess the overall significance of a species within a community. It combines three key parameters: Relative Frequency, Relative Density</w:t>
      </w:r>
      <w:r w:rsidR="006E128C" w:rsidRPr="00AE5FE4">
        <w:rPr>
          <w:rFonts w:ascii="Arial" w:eastAsiaTheme="minorEastAsia" w:hAnsi="Arial" w:cs="Arial"/>
          <w:sz w:val="20"/>
        </w:rPr>
        <w:t xml:space="preserve"> and</w:t>
      </w:r>
      <w:r w:rsidRPr="00AE5FE4">
        <w:rPr>
          <w:rFonts w:ascii="Arial" w:eastAsiaTheme="minorEastAsia" w:hAnsi="Arial" w:cs="Arial"/>
          <w:sz w:val="20"/>
        </w:rPr>
        <w:t xml:space="preserve"> Relative Dominance. The IVI helps determine the dominance and ecological significance of a species, making it particularly useful in forest studies. </w:t>
      </w:r>
    </w:p>
    <w:p w14:paraId="4C3176AF" w14:textId="77777777" w:rsidR="002E32D8" w:rsidRPr="00AE5FE4" w:rsidRDefault="002E32D8" w:rsidP="00A10274">
      <w:pPr>
        <w:spacing w:before="60" w:after="120" w:line="480" w:lineRule="auto"/>
        <w:jc w:val="both"/>
        <w:rPr>
          <w:rFonts w:ascii="Arial" w:hAnsi="Arial" w:cs="Arial"/>
          <w:sz w:val="20"/>
        </w:rPr>
      </w:pPr>
      <w:r w:rsidRPr="00AE5FE4">
        <w:rPr>
          <w:rFonts w:ascii="Arial" w:hAnsi="Arial" w:cs="Arial"/>
          <w:sz w:val="20"/>
        </w:rPr>
        <w:t>IVI=Relative Frequency + Relative Density + Relative Dominance</w:t>
      </w:r>
    </w:p>
    <w:p w14:paraId="723B1FDD"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Interpretation of IVI: An elevated IVI signifies that a species assumes a more dominating or ecologically significant function within the community. IVI values enable ecologists to evaluate species within a community and identify dominant or keystone species that may substantially influence ecosystem function and structure (</w:t>
      </w:r>
      <w:proofErr w:type="spellStart"/>
      <w:r w:rsidRPr="00AE5FE4">
        <w:rPr>
          <w:rFonts w:ascii="Arial" w:eastAsiaTheme="minorEastAsia" w:hAnsi="Arial" w:cs="Arial"/>
          <w:sz w:val="20"/>
        </w:rPr>
        <w:t>Gara</w:t>
      </w:r>
      <w:proofErr w:type="spellEnd"/>
      <w:r w:rsidRPr="00AE5FE4">
        <w:rPr>
          <w:rFonts w:ascii="Arial" w:eastAsiaTheme="minorEastAsia" w:hAnsi="Arial" w:cs="Arial"/>
          <w:sz w:val="20"/>
        </w:rPr>
        <w:t xml:space="preserve"> &amp; </w:t>
      </w:r>
      <w:proofErr w:type="spellStart"/>
      <w:r w:rsidRPr="00AE5FE4">
        <w:rPr>
          <w:rFonts w:ascii="Arial" w:eastAsiaTheme="minorEastAsia" w:hAnsi="Arial" w:cs="Arial"/>
          <w:sz w:val="20"/>
        </w:rPr>
        <w:t>Stapanian</w:t>
      </w:r>
      <w:proofErr w:type="spellEnd"/>
      <w:r w:rsidRPr="00AE5FE4">
        <w:rPr>
          <w:rFonts w:ascii="Arial" w:eastAsiaTheme="minorEastAsia" w:hAnsi="Arial" w:cs="Arial"/>
          <w:sz w:val="20"/>
        </w:rPr>
        <w:t>, 2014; Zhao et al., 2019).</w:t>
      </w:r>
    </w:p>
    <w:p w14:paraId="61425C64" w14:textId="754835FB"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 xml:space="preserve">Shannon-Wiener Index (H'): </w:t>
      </w:r>
      <w:r w:rsidRPr="00AE5FE4">
        <w:rPr>
          <w:rFonts w:ascii="Arial" w:eastAsiaTheme="minorEastAsia" w:hAnsi="Arial" w:cs="Arial"/>
          <w:sz w:val="20"/>
        </w:rPr>
        <w:t>It</w:t>
      </w:r>
      <w:r w:rsidR="005D3967" w:rsidRPr="00AE5FE4">
        <w:rPr>
          <w:rFonts w:ascii="Arial" w:eastAsiaTheme="minorEastAsia" w:hAnsi="Arial" w:cs="Arial"/>
          <w:sz w:val="20"/>
        </w:rPr>
        <w:t xml:space="preserve"> is widely used to assess species diversity. It </w:t>
      </w:r>
      <w:proofErr w:type="gramStart"/>
      <w:r w:rsidR="005D3967" w:rsidRPr="00AE5FE4">
        <w:rPr>
          <w:rFonts w:ascii="Arial" w:eastAsiaTheme="minorEastAsia" w:hAnsi="Arial" w:cs="Arial"/>
          <w:sz w:val="20"/>
        </w:rPr>
        <w:t>takes into account</w:t>
      </w:r>
      <w:proofErr w:type="gramEnd"/>
      <w:r w:rsidR="005D3967" w:rsidRPr="00AE5FE4">
        <w:rPr>
          <w:rFonts w:ascii="Arial" w:eastAsiaTheme="minorEastAsia" w:hAnsi="Arial" w:cs="Arial"/>
          <w:sz w:val="20"/>
        </w:rPr>
        <w:t xml:space="preserve"> species richness (the total number of species) and species evenness (the equitable distribution of individuals within each species). An elevated index value indicates higher species diversity</w:t>
      </w:r>
      <w:r w:rsidRPr="00AE5FE4">
        <w:rPr>
          <w:rFonts w:ascii="Arial" w:eastAsiaTheme="minorEastAsia" w:hAnsi="Arial" w:cs="Arial"/>
          <w:sz w:val="20"/>
        </w:rPr>
        <w:t>.</w:t>
      </w:r>
    </w:p>
    <w:p w14:paraId="49DF52F3" w14:textId="77777777" w:rsidR="002E32D8" w:rsidRPr="00AE5FE4" w:rsidRDefault="006C4D50" w:rsidP="00A10274">
      <w:pPr>
        <w:spacing w:before="60" w:after="120" w:line="480" w:lineRule="auto"/>
        <w:jc w:val="both"/>
        <w:rPr>
          <w:rFonts w:ascii="Arial" w:eastAsiaTheme="minorEastAsia" w:hAnsi="Arial" w:cs="Arial"/>
          <w:sz w:val="20"/>
        </w:rPr>
      </w:pPr>
      <m:oMathPara>
        <m:oMathParaPr>
          <m:jc m:val="center"/>
        </m:oMathParaPr>
        <m:oMath>
          <m:sSup>
            <m:sSupPr>
              <m:ctrlPr>
                <w:rPr>
                  <w:rFonts w:ascii="Cambria Math" w:eastAsiaTheme="minorEastAsia" w:hAnsi="Cambria Math" w:cs="Arial"/>
                  <w:i/>
                  <w:sz w:val="20"/>
                </w:rPr>
              </m:ctrlPr>
            </m:sSupPr>
            <m:e>
              <m:r>
                <w:rPr>
                  <w:rFonts w:ascii="Cambria Math" w:eastAsiaTheme="minorEastAsia" w:hAnsi="Cambria Math" w:cs="Arial"/>
                  <w:sz w:val="20"/>
                </w:rPr>
                <m:t>H</m:t>
              </m:r>
            </m:e>
            <m:sup>
              <m:r>
                <w:rPr>
                  <w:rFonts w:ascii="Cambria Math" w:eastAsiaTheme="minorEastAsia" w:hAnsi="Cambria Math" w:cs="Arial"/>
                  <w:sz w:val="20"/>
                </w:rPr>
                <m:t>i</m:t>
              </m:r>
            </m:sup>
          </m:sSup>
          <m:r>
            <w:rPr>
              <w:rFonts w:ascii="Cambria Math" w:eastAsiaTheme="minorEastAsia" w:hAnsi="Cambria Math" w:cs="Arial"/>
              <w:sz w:val="20"/>
            </w:rPr>
            <m:t>=-</m:t>
          </m:r>
          <m:nary>
            <m:naryPr>
              <m:chr m:val="∑"/>
              <m:limLoc m:val="undOvr"/>
              <m:ctrlPr>
                <w:rPr>
                  <w:rFonts w:ascii="Cambria Math" w:eastAsiaTheme="minorEastAsia" w:hAnsi="Cambria Math" w:cs="Arial"/>
                  <w:i/>
                  <w:sz w:val="20"/>
                </w:rPr>
              </m:ctrlPr>
            </m:naryPr>
            <m:sub>
              <m:r>
                <w:rPr>
                  <w:rFonts w:ascii="Cambria Math" w:eastAsiaTheme="minorEastAsia" w:hAnsi="Cambria Math" w:cs="Arial"/>
                  <w:sz w:val="20"/>
                </w:rPr>
                <m:t>i</m:t>
              </m:r>
              <m:r>
                <w:rPr>
                  <w:rFonts w:ascii="Cambria Math" w:eastAsiaTheme="minorEastAsia" w:hAnsi="Cambria Math" w:cs="Arial"/>
                  <w:sz w:val="20"/>
                </w:rPr>
                <m:t>=1</m:t>
              </m:r>
            </m:sub>
            <m:sup>
              <m:r>
                <w:rPr>
                  <w:rFonts w:ascii="Cambria Math" w:eastAsiaTheme="minorEastAsia" w:hAnsi="Cambria Math" w:cs="Arial"/>
                  <w:sz w:val="20"/>
                </w:rPr>
                <m:t>S</m:t>
              </m:r>
            </m:sup>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func>
                <m:funcPr>
                  <m:ctrlPr>
                    <w:rPr>
                      <w:rFonts w:ascii="Cambria Math" w:eastAsiaTheme="minorEastAsia" w:hAnsi="Cambria Math" w:cs="Arial"/>
                      <w:i/>
                      <w:sz w:val="20"/>
                    </w:rPr>
                  </m:ctrlPr>
                </m:funcPr>
                <m:fName>
                  <m:r>
                    <m:rPr>
                      <m:sty m:val="p"/>
                    </m:rPr>
                    <w:rPr>
                      <w:rFonts w:ascii="Cambria Math" w:hAnsi="Cambria Math" w:cs="Arial"/>
                      <w:sz w:val="20"/>
                    </w:rPr>
                    <m:t>ln</m:t>
                  </m:r>
                </m:fName>
                <m:e>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e>
                  </m:d>
                </m:e>
              </m:func>
            </m:e>
          </m:nary>
        </m:oMath>
      </m:oMathPara>
    </w:p>
    <w:p w14:paraId="177E2054"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Where:</w:t>
      </w:r>
    </w:p>
    <w:p w14:paraId="5CAAE725" w14:textId="77777777" w:rsidR="002E32D8" w:rsidRPr="00AE5FE4" w:rsidRDefault="002E32D8" w:rsidP="00A10274">
      <w:pPr>
        <w:spacing w:before="60" w:after="120" w:line="480" w:lineRule="auto"/>
        <w:rPr>
          <w:rFonts w:ascii="Arial" w:eastAsiaTheme="minorEastAsia" w:hAnsi="Arial" w:cs="Arial"/>
          <w:sz w:val="20"/>
        </w:rPr>
      </w:pPr>
      <w:r w:rsidRPr="00AE5FE4">
        <w:rPr>
          <w:rFonts w:ascii="Arial" w:eastAsiaTheme="minorEastAsia" w:hAnsi="Arial" w:cs="Arial"/>
          <w:sz w:val="20"/>
        </w:rPr>
        <w:t>S is the total number of species (species richness).</w:t>
      </w:r>
    </w:p>
    <w:p w14:paraId="23724BDD" w14:textId="77777777" w:rsidR="002E32D8" w:rsidRPr="00AE5FE4" w:rsidRDefault="002E32D8" w:rsidP="00A10274">
      <w:pPr>
        <w:spacing w:before="60" w:after="120" w:line="480" w:lineRule="auto"/>
        <w:rPr>
          <w:rFonts w:ascii="Arial" w:eastAsiaTheme="minorEastAsia" w:hAnsi="Arial" w:cs="Arial"/>
          <w:sz w:val="20"/>
        </w:rPr>
      </w:pPr>
      <w:r w:rsidRPr="00AE5FE4">
        <w:rPr>
          <w:rFonts w:ascii="Arial" w:eastAsiaTheme="minorEastAsia" w:hAnsi="Arial" w:cs="Arial"/>
          <w:sz w:val="20"/>
        </w:rPr>
        <w:lastRenderedPageBreak/>
        <w:t>P</w:t>
      </w:r>
      <w:r w:rsidRPr="00AE5FE4">
        <w:rPr>
          <w:rFonts w:ascii="Arial" w:eastAsiaTheme="minorEastAsia" w:hAnsi="Arial" w:cs="Arial"/>
          <w:sz w:val="20"/>
          <w:vertAlign w:val="subscript"/>
        </w:rPr>
        <w:t>i</w:t>
      </w:r>
      <w:r w:rsidRPr="00AE5FE4">
        <w:rPr>
          <w:rFonts w:ascii="Arial" w:eastAsiaTheme="minorEastAsia" w:hAnsi="Arial" w:cs="Arial"/>
          <w:sz w:val="20"/>
        </w:rPr>
        <w:t xml:space="preserve">​ is the proportion of individuals of species </w:t>
      </w:r>
      <w:proofErr w:type="spellStart"/>
      <w:r w:rsidRPr="00AE5FE4">
        <w:rPr>
          <w:rFonts w:ascii="Arial" w:eastAsiaTheme="minorEastAsia" w:hAnsi="Arial" w:cs="Arial"/>
          <w:sz w:val="20"/>
        </w:rPr>
        <w:t>i</w:t>
      </w:r>
      <w:proofErr w:type="spellEnd"/>
      <w:r w:rsidRPr="00AE5FE4">
        <w:rPr>
          <w:rFonts w:ascii="Arial" w:eastAsiaTheme="minorEastAsia" w:hAnsi="Arial" w:cs="Arial"/>
          <w:sz w:val="20"/>
        </w:rPr>
        <w:t xml:space="preserve"> relative to the total number of individuals in the sample.</w:t>
      </w:r>
    </w:p>
    <w:p w14:paraId="72D51375" w14:textId="77777777" w:rsidR="002E32D8" w:rsidRPr="00AE5FE4" w:rsidRDefault="006C4D50" w:rsidP="00A10274">
      <w:pPr>
        <w:spacing w:before="60" w:after="120" w:line="480" w:lineRule="auto"/>
        <w:rPr>
          <w:rFonts w:ascii="Arial" w:eastAsiaTheme="minorEastAsia" w:hAnsi="Arial" w:cs="Arial"/>
          <w:sz w:val="20"/>
        </w:rPr>
      </w:pPr>
      <m:oMath>
        <m:func>
          <m:funcPr>
            <m:ctrlPr>
              <w:rPr>
                <w:rFonts w:ascii="Cambria Math" w:eastAsiaTheme="minorEastAsia" w:hAnsi="Cambria Math" w:cs="Arial"/>
                <w:i/>
                <w:sz w:val="20"/>
              </w:rPr>
            </m:ctrlPr>
          </m:funcPr>
          <m:fName>
            <m:r>
              <m:rPr>
                <m:sty m:val="p"/>
              </m:rPr>
              <w:rPr>
                <w:rFonts w:ascii="Cambria Math" w:hAnsi="Cambria Math" w:cs="Arial"/>
                <w:sz w:val="20"/>
              </w:rPr>
              <m:t>ln</m:t>
            </m:r>
          </m:fName>
          <m:e>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e>
            </m:d>
          </m:e>
        </m:func>
        <m:r>
          <w:rPr>
            <w:rFonts w:ascii="Cambria Math" w:eastAsiaTheme="minorEastAsia" w:hAnsi="Cambria Math" w:cs="Arial"/>
            <w:sz w:val="20"/>
          </w:rPr>
          <m:t xml:space="preserve"> </m:t>
        </m:r>
      </m:oMath>
      <w:r w:rsidR="002E32D8" w:rsidRPr="00AE5FE4">
        <w:rPr>
          <w:rFonts w:ascii="Arial" w:eastAsiaTheme="minorEastAsia" w:hAnsi="Arial" w:cs="Arial"/>
          <w:sz w:val="20"/>
        </w:rPr>
        <w:t xml:space="preserve">is the natural logarithm of </w:t>
      </w:r>
      <w:proofErr w:type="gramStart"/>
      <w:r w:rsidR="002E32D8" w:rsidRPr="00AE5FE4">
        <w:rPr>
          <w:rFonts w:ascii="Arial" w:eastAsiaTheme="minorEastAsia" w:hAnsi="Arial" w:cs="Arial"/>
          <w:i/>
          <w:iCs/>
          <w:sz w:val="20"/>
        </w:rPr>
        <w:t>P</w:t>
      </w:r>
      <w:r w:rsidR="002E32D8" w:rsidRPr="00AE5FE4">
        <w:rPr>
          <w:rFonts w:ascii="Arial" w:eastAsiaTheme="minorEastAsia" w:hAnsi="Arial" w:cs="Arial"/>
          <w:i/>
          <w:iCs/>
          <w:sz w:val="20"/>
          <w:vertAlign w:val="subscript"/>
        </w:rPr>
        <w:t>i</w:t>
      </w:r>
      <w:r w:rsidR="002E32D8" w:rsidRPr="00AE5FE4">
        <w:rPr>
          <w:rFonts w:ascii="Arial" w:eastAsiaTheme="minorEastAsia" w:hAnsi="Arial" w:cs="Arial"/>
          <w:sz w:val="20"/>
        </w:rPr>
        <w:t>​</w:t>
      </w:r>
      <w:proofErr w:type="gramEnd"/>
    </w:p>
    <w:p w14:paraId="735855DA" w14:textId="77777777" w:rsidR="002E32D8" w:rsidRPr="00AE5FE4" w:rsidRDefault="002E32D8" w:rsidP="00A10274">
      <w:pPr>
        <w:spacing w:before="60" w:after="120" w:line="480" w:lineRule="auto"/>
        <w:rPr>
          <w:rFonts w:ascii="Arial" w:eastAsia="Times New Roman" w:hAnsi="Arial" w:cs="Arial"/>
          <w:sz w:val="20"/>
        </w:rPr>
      </w:pPr>
      <w:r w:rsidRPr="00AE5FE4">
        <w:rPr>
          <w:rFonts w:ascii="Arial" w:eastAsia="Times New Roman" w:hAnsi="Arial" w:cs="Arial"/>
          <w:b/>
          <w:bCs/>
          <w:sz w:val="20"/>
        </w:rPr>
        <w:t>Calculate Proportion of Each Species (P</w:t>
      </w:r>
      <w:r w:rsidRPr="00AE5FE4">
        <w:rPr>
          <w:rFonts w:ascii="Arial" w:eastAsia="Times New Roman" w:hAnsi="Arial" w:cs="Arial"/>
          <w:b/>
          <w:bCs/>
          <w:sz w:val="20"/>
          <w:vertAlign w:val="subscript"/>
        </w:rPr>
        <w:t>i</w:t>
      </w:r>
      <w:r w:rsidRPr="00AE5FE4">
        <w:rPr>
          <w:rFonts w:ascii="Arial" w:eastAsia="Times New Roman" w:hAnsi="Arial" w:cs="Arial"/>
          <w:b/>
          <w:bCs/>
          <w:sz w:val="20"/>
        </w:rPr>
        <w:t>)</w:t>
      </w:r>
      <w:r w:rsidRPr="00AE5FE4">
        <w:rPr>
          <w:rFonts w:ascii="Arial" w:eastAsia="Times New Roman" w:hAnsi="Arial" w:cs="Arial"/>
          <w:sz w:val="20"/>
        </w:rPr>
        <w:t>:</w:t>
      </w:r>
    </w:p>
    <w:p w14:paraId="1EE29132" w14:textId="77777777" w:rsidR="002E32D8" w:rsidRPr="00AE5FE4" w:rsidRDefault="006C4D50" w:rsidP="00A10274">
      <w:pPr>
        <w:spacing w:before="60" w:after="120" w:line="480" w:lineRule="auto"/>
        <w:rPr>
          <w:rFonts w:ascii="Arial" w:eastAsia="Times New Roman" w:hAnsi="Arial" w:cs="Arial"/>
          <w:sz w:val="20"/>
        </w:rPr>
      </w:pPr>
      <m:oMathPara>
        <m:oMath>
          <m:sSub>
            <m:sSubPr>
              <m:ctrlPr>
                <w:rPr>
                  <w:rFonts w:ascii="Cambria Math" w:eastAsia="Times New Roman" w:hAnsi="Cambria Math" w:cs="Arial"/>
                  <w:i/>
                  <w:sz w:val="20"/>
                </w:rPr>
              </m:ctrlPr>
            </m:sSubPr>
            <m:e>
              <m:r>
                <w:rPr>
                  <w:rFonts w:ascii="Cambria Math" w:eastAsia="Times New Roman" w:hAnsi="Cambria Math" w:cs="Arial"/>
                  <w:sz w:val="20"/>
                </w:rPr>
                <m:t>P</m:t>
              </m:r>
            </m:e>
            <m:sub>
              <m:r>
                <w:rPr>
                  <w:rFonts w:ascii="Cambria Math" w:eastAsia="Times New Roman" w:hAnsi="Cambria Math" w:cs="Arial"/>
                  <w:sz w:val="20"/>
                </w:rPr>
                <m:t>i</m:t>
              </m:r>
            </m:sub>
          </m:sSub>
          <m:r>
            <w:rPr>
              <w:rFonts w:ascii="Cambria Math" w:eastAsia="Times New Roman" w:hAnsi="Cambria Math" w:cs="Arial"/>
              <w:sz w:val="20"/>
            </w:rPr>
            <m:t>=</m:t>
          </m:r>
          <m:f>
            <m:fPr>
              <m:ctrlPr>
                <w:rPr>
                  <w:rFonts w:ascii="Cambria Math" w:eastAsia="Times New Roman" w:hAnsi="Cambria Math" w:cs="Arial"/>
                  <w:i/>
                  <w:sz w:val="20"/>
                </w:rPr>
              </m:ctrlPr>
            </m:fPr>
            <m:num>
              <m:r>
                <w:rPr>
                  <w:rFonts w:ascii="Cambria Math" w:eastAsia="Times New Roman" w:hAnsi="Cambria Math" w:cs="Arial"/>
                  <w:sz w:val="20"/>
                </w:rPr>
                <m:t>Number</m:t>
              </m:r>
              <m:r>
                <w:rPr>
                  <w:rFonts w:ascii="Cambria Math" w:eastAsia="Times New Roman" w:hAnsi="Cambria Math" w:cs="Arial"/>
                  <w:sz w:val="20"/>
                </w:rPr>
                <m:t> </m:t>
              </m:r>
              <m:r>
                <w:rPr>
                  <w:rFonts w:ascii="Cambria Math" w:eastAsia="Times New Roman" w:hAnsi="Cambria Math" w:cs="Arial"/>
                  <w:sz w:val="20"/>
                </w:rPr>
                <m:t>of</m:t>
              </m:r>
              <m:r>
                <w:rPr>
                  <w:rFonts w:ascii="Cambria Math" w:eastAsia="Times New Roman" w:hAnsi="Cambria Math" w:cs="Arial"/>
                  <w:sz w:val="20"/>
                </w:rPr>
                <m:t> </m:t>
              </m:r>
              <m:r>
                <w:rPr>
                  <w:rFonts w:ascii="Cambria Math" w:eastAsia="Times New Roman" w:hAnsi="Cambria Math" w:cs="Arial"/>
                  <w:sz w:val="20"/>
                </w:rPr>
                <m:t>individuals</m:t>
              </m:r>
              <m:r>
                <w:rPr>
                  <w:rFonts w:ascii="Cambria Math" w:eastAsia="Times New Roman" w:hAnsi="Cambria Math" w:cs="Arial"/>
                  <w:sz w:val="20"/>
                </w:rPr>
                <m:t> </m:t>
              </m:r>
              <m:r>
                <w:rPr>
                  <w:rFonts w:ascii="Cambria Math" w:eastAsia="Times New Roman" w:hAnsi="Cambria Math" w:cs="Arial"/>
                  <w:sz w:val="20"/>
                </w:rPr>
                <m:t>of</m:t>
              </m:r>
              <m:r>
                <w:rPr>
                  <w:rFonts w:ascii="Cambria Math" w:eastAsia="Times New Roman" w:hAnsi="Cambria Math" w:cs="Arial"/>
                  <w:sz w:val="20"/>
                </w:rPr>
                <m:t> </m:t>
              </m:r>
              <m:r>
                <w:rPr>
                  <w:rFonts w:ascii="Cambria Math" w:eastAsia="Times New Roman" w:hAnsi="Cambria Math" w:cs="Arial"/>
                  <w:sz w:val="20"/>
                </w:rPr>
                <m:t>species</m:t>
              </m:r>
              <m:r>
                <w:rPr>
                  <w:rFonts w:ascii="Cambria Math" w:eastAsia="Times New Roman" w:hAnsi="Cambria Math" w:cs="Arial"/>
                  <w:sz w:val="20"/>
                </w:rPr>
                <m:t> </m:t>
              </m:r>
              <m:r>
                <w:rPr>
                  <w:rFonts w:ascii="Cambria Math" w:eastAsia="Times New Roman" w:hAnsi="Cambria Math" w:cs="Arial"/>
                  <w:sz w:val="20"/>
                </w:rPr>
                <m:t>i</m:t>
              </m:r>
            </m:num>
            <m:den>
              <m:r>
                <w:rPr>
                  <w:rFonts w:ascii="Cambria Math" w:eastAsia="Times New Roman" w:hAnsi="Cambria Math" w:cs="Arial"/>
                  <w:sz w:val="20"/>
                </w:rPr>
                <m:t>Total</m:t>
              </m:r>
              <m:r>
                <w:rPr>
                  <w:rFonts w:ascii="Cambria Math" w:eastAsia="Times New Roman" w:hAnsi="Cambria Math" w:cs="Arial"/>
                  <w:sz w:val="20"/>
                </w:rPr>
                <m:t xml:space="preserve"> </m:t>
              </m:r>
              <m:r>
                <w:rPr>
                  <w:rFonts w:ascii="Cambria Math" w:eastAsia="Times New Roman" w:hAnsi="Cambria Math" w:cs="Arial"/>
                  <w:sz w:val="20"/>
                </w:rPr>
                <m:t>number</m:t>
              </m:r>
              <m:r>
                <w:rPr>
                  <w:rFonts w:ascii="Cambria Math" w:eastAsia="Times New Roman" w:hAnsi="Cambria Math" w:cs="Arial"/>
                  <w:sz w:val="20"/>
                </w:rPr>
                <m:t xml:space="preserve"> </m:t>
              </m:r>
              <m:r>
                <w:rPr>
                  <w:rFonts w:ascii="Cambria Math" w:eastAsia="Times New Roman" w:hAnsi="Cambria Math" w:cs="Arial"/>
                  <w:sz w:val="20"/>
                </w:rPr>
                <m:t>of</m:t>
              </m:r>
              <m:r>
                <w:rPr>
                  <w:rFonts w:ascii="Cambria Math" w:eastAsia="Times New Roman" w:hAnsi="Cambria Math" w:cs="Arial"/>
                  <w:sz w:val="20"/>
                </w:rPr>
                <m:t xml:space="preserve"> </m:t>
              </m:r>
              <m:r>
                <w:rPr>
                  <w:rFonts w:ascii="Cambria Math" w:eastAsia="Times New Roman" w:hAnsi="Cambria Math" w:cs="Arial"/>
                  <w:sz w:val="20"/>
                </w:rPr>
                <m:t>individuals</m:t>
              </m:r>
              <m:r>
                <w:rPr>
                  <w:rFonts w:ascii="Cambria Math" w:eastAsia="Times New Roman" w:hAnsi="Cambria Math" w:cs="Arial"/>
                  <w:sz w:val="20"/>
                </w:rPr>
                <m:t xml:space="preserve"> </m:t>
              </m:r>
              <m:r>
                <w:rPr>
                  <w:rFonts w:ascii="Cambria Math" w:eastAsia="Times New Roman" w:hAnsi="Cambria Math" w:cs="Arial"/>
                  <w:sz w:val="20"/>
                </w:rPr>
                <m:t>of</m:t>
              </m:r>
              <m:r>
                <w:rPr>
                  <w:rFonts w:ascii="Cambria Math" w:eastAsia="Times New Roman" w:hAnsi="Cambria Math" w:cs="Arial"/>
                  <w:sz w:val="20"/>
                </w:rPr>
                <m:t xml:space="preserve"> </m:t>
              </m:r>
              <m:r>
                <w:rPr>
                  <w:rFonts w:ascii="Cambria Math" w:eastAsia="Times New Roman" w:hAnsi="Cambria Math" w:cs="Arial"/>
                  <w:sz w:val="20"/>
                </w:rPr>
                <m:t>all</m:t>
              </m:r>
              <m:r>
                <w:rPr>
                  <w:rFonts w:ascii="Cambria Math" w:eastAsia="Times New Roman" w:hAnsi="Cambria Math" w:cs="Arial"/>
                  <w:sz w:val="20"/>
                </w:rPr>
                <m:t xml:space="preserve"> </m:t>
              </m:r>
              <m:r>
                <w:rPr>
                  <w:rFonts w:ascii="Cambria Math" w:eastAsia="Times New Roman" w:hAnsi="Cambria Math" w:cs="Arial"/>
                  <w:sz w:val="20"/>
                </w:rPr>
                <m:t>species</m:t>
              </m:r>
            </m:den>
          </m:f>
        </m:oMath>
      </m:oMathPara>
    </w:p>
    <w:p w14:paraId="74E8EE86" w14:textId="53D90FA8" w:rsidR="002E32D8" w:rsidRPr="00AE5FE4" w:rsidRDefault="002E32D8" w:rsidP="00A10274">
      <w:pPr>
        <w:spacing w:before="60" w:after="120" w:line="480" w:lineRule="auto"/>
        <w:rPr>
          <w:rFonts w:ascii="Arial" w:eastAsia="Times New Roman" w:hAnsi="Arial" w:cs="Arial"/>
          <w:kern w:val="0"/>
          <w:sz w:val="20"/>
          <w14:ligatures w14:val="none"/>
        </w:rPr>
      </w:pPr>
      <w:r w:rsidRPr="00AE5FE4">
        <w:rPr>
          <w:rFonts w:ascii="Arial" w:eastAsia="Times New Roman" w:hAnsi="Arial" w:cs="Arial"/>
          <w:kern w:val="0"/>
          <w:sz w:val="20"/>
          <w14:ligatures w14:val="none"/>
        </w:rPr>
        <w:t xml:space="preserve">H' = 0: </w:t>
      </w:r>
      <w:r w:rsidR="005D3967" w:rsidRPr="00AE5FE4">
        <w:rPr>
          <w:rFonts w:ascii="Arial" w:eastAsia="Times New Roman" w:hAnsi="Arial" w:cs="Arial"/>
          <w:kern w:val="0"/>
          <w:sz w:val="20"/>
          <w14:ligatures w14:val="none"/>
        </w:rPr>
        <w:t>indicates that there is no diversity (i.e., only one species exists). Higher H' values indicate greater species diversity, implying a larger number of species and/or a more evenly distributed population across species. This indicator is useful for comparing the diversity of different ecosystems and analyzing changes in biodiversity over time</w:t>
      </w:r>
      <w:r w:rsidRPr="00AE5FE4">
        <w:rPr>
          <w:rFonts w:ascii="Arial" w:eastAsia="Times New Roman" w:hAnsi="Arial" w:cs="Arial"/>
          <w:kern w:val="0"/>
          <w:sz w:val="20"/>
          <w14:ligatures w14:val="none"/>
        </w:rPr>
        <w:t>.</w:t>
      </w:r>
    </w:p>
    <w:p w14:paraId="27136FD6"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Simpson’s Diversity Index (D)</w:t>
      </w:r>
      <w:r w:rsidRPr="00AE5FE4">
        <w:rPr>
          <w:rFonts w:ascii="Arial" w:eastAsiaTheme="minorEastAsia" w:hAnsi="Arial" w:cs="Arial"/>
          <w:sz w:val="20"/>
        </w:rPr>
        <w:t>:</w:t>
      </w:r>
    </w:p>
    <w:p w14:paraId="2FB6209C"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This measure of species diversity reflects the likelihood that two randomly chosen individuals within a population would be from distinct species (Morris et al., 2014; </w:t>
      </w:r>
      <w:proofErr w:type="spellStart"/>
      <w:r w:rsidRPr="00AE5FE4">
        <w:rPr>
          <w:rFonts w:ascii="Arial" w:eastAsiaTheme="minorEastAsia" w:hAnsi="Arial" w:cs="Arial"/>
          <w:sz w:val="20"/>
        </w:rPr>
        <w:t>Palaghianu</w:t>
      </w:r>
      <w:proofErr w:type="spellEnd"/>
      <w:r w:rsidRPr="00AE5FE4">
        <w:rPr>
          <w:rFonts w:ascii="Arial" w:eastAsiaTheme="minorEastAsia" w:hAnsi="Arial" w:cs="Arial"/>
          <w:sz w:val="20"/>
        </w:rPr>
        <w:t xml:space="preserve">, 2016). In contrast to the Shannon-Wiener Index, which </w:t>
      </w:r>
      <w:proofErr w:type="spellStart"/>
      <w:r w:rsidRPr="00AE5FE4">
        <w:rPr>
          <w:rFonts w:ascii="Arial" w:eastAsiaTheme="minorEastAsia" w:hAnsi="Arial" w:cs="Arial"/>
          <w:sz w:val="20"/>
        </w:rPr>
        <w:t>prioritises</w:t>
      </w:r>
      <w:proofErr w:type="spellEnd"/>
      <w:r w:rsidRPr="00AE5FE4">
        <w:rPr>
          <w:rFonts w:ascii="Arial" w:eastAsiaTheme="minorEastAsia" w:hAnsi="Arial" w:cs="Arial"/>
          <w:sz w:val="20"/>
        </w:rPr>
        <w:t xml:space="preserve"> uncommon species, Simpson's Index assigns greater significance to the most prevalent species.</w:t>
      </w:r>
    </w:p>
    <w:p w14:paraId="790DDF87"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Simpson's Diversity Index (1 - D)</w:t>
      </w:r>
      <w:r w:rsidRPr="00AE5FE4">
        <w:rPr>
          <w:rFonts w:ascii="Arial" w:eastAsiaTheme="minorEastAsia" w:hAnsi="Arial" w:cs="Arial"/>
          <w:sz w:val="20"/>
        </w:rPr>
        <w:t>: A version where higher values indicate greater diversity.</w:t>
      </w:r>
    </w:p>
    <w:p w14:paraId="24453C99" w14:textId="77777777"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1. Simpson’s Index (D) Formula:</w:t>
      </w:r>
    </w:p>
    <w:p w14:paraId="0F328B7B" w14:textId="77777777" w:rsidR="002E32D8" w:rsidRPr="00AE5FE4" w:rsidRDefault="002E32D8" w:rsidP="00A10274">
      <w:pPr>
        <w:spacing w:before="60" w:after="120" w:line="480" w:lineRule="auto"/>
        <w:jc w:val="both"/>
        <w:rPr>
          <w:rFonts w:ascii="Arial" w:eastAsiaTheme="minorEastAsia" w:hAnsi="Arial" w:cs="Arial"/>
          <w:sz w:val="20"/>
        </w:rPr>
      </w:pPr>
      <m:oMathPara>
        <m:oMath>
          <m:r>
            <w:rPr>
              <w:rFonts w:ascii="Cambria Math" w:eastAsiaTheme="minorEastAsia" w:hAnsi="Cambria Math" w:cs="Arial"/>
              <w:sz w:val="20"/>
            </w:rPr>
            <m:t>D=</m:t>
          </m:r>
          <m:nary>
            <m:naryPr>
              <m:chr m:val="∑"/>
              <m:limLoc m:val="undOvr"/>
              <m:ctrlPr>
                <w:rPr>
                  <w:rFonts w:ascii="Cambria Math" w:eastAsiaTheme="minorEastAsia" w:hAnsi="Cambria Math" w:cs="Arial"/>
                  <w:i/>
                  <w:sz w:val="20"/>
                </w:rPr>
              </m:ctrlPr>
            </m:naryPr>
            <m:sub>
              <m:r>
                <w:rPr>
                  <w:rFonts w:ascii="Cambria Math" w:eastAsiaTheme="minorEastAsia" w:hAnsi="Cambria Math" w:cs="Arial"/>
                  <w:sz w:val="20"/>
                </w:rPr>
                <m:t>i=1</m:t>
              </m:r>
            </m:sub>
            <m:sup>
              <m:r>
                <w:rPr>
                  <w:rFonts w:ascii="Cambria Math" w:eastAsiaTheme="minorEastAsia" w:hAnsi="Cambria Math" w:cs="Arial"/>
                  <w:sz w:val="20"/>
                </w:rPr>
                <m:t>S</m:t>
              </m:r>
            </m:sup>
            <m:e>
              <m:sSubSup>
                <m:sSubSupPr>
                  <m:ctrlPr>
                    <w:rPr>
                      <w:rFonts w:ascii="Cambria Math" w:eastAsiaTheme="minorEastAsia" w:hAnsi="Cambria Math" w:cs="Arial"/>
                      <w:i/>
                      <w:sz w:val="20"/>
                    </w:rPr>
                  </m:ctrlPr>
                </m:sSubSupPr>
                <m:e>
                  <m:r>
                    <w:rPr>
                      <w:rFonts w:ascii="Cambria Math" w:eastAsiaTheme="minorEastAsia" w:hAnsi="Cambria Math" w:cs="Arial"/>
                      <w:sz w:val="20"/>
                    </w:rPr>
                    <m:t>P</m:t>
                  </m:r>
                </m:e>
                <m:sub>
                  <m:r>
                    <w:rPr>
                      <w:rFonts w:ascii="Cambria Math" w:eastAsiaTheme="minorEastAsia" w:hAnsi="Cambria Math" w:cs="Arial"/>
                      <w:sz w:val="20"/>
                    </w:rPr>
                    <m:t>i</m:t>
                  </m:r>
                </m:sub>
                <m:sup>
                  <m:r>
                    <w:rPr>
                      <w:rFonts w:ascii="Cambria Math" w:eastAsiaTheme="minorEastAsia" w:hAnsi="Cambria Math" w:cs="Arial"/>
                      <w:sz w:val="20"/>
                    </w:rPr>
                    <m:t>2</m:t>
                  </m:r>
                </m:sup>
              </m:sSubSup>
            </m:e>
          </m:nary>
        </m:oMath>
      </m:oMathPara>
    </w:p>
    <w:p w14:paraId="211DB59E"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Where:</w:t>
      </w:r>
    </w:p>
    <w:p w14:paraId="0BCD3044"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S is the total number of species. </w:t>
      </w:r>
    </w:p>
    <w:p w14:paraId="59C14737"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P</w:t>
      </w:r>
      <w:r w:rsidRPr="00AE5FE4">
        <w:rPr>
          <w:rFonts w:ascii="Arial" w:eastAsiaTheme="minorEastAsia" w:hAnsi="Arial" w:cs="Arial"/>
          <w:sz w:val="20"/>
          <w:vertAlign w:val="subscript"/>
        </w:rPr>
        <w:t>i</w:t>
      </w:r>
      <w:r w:rsidRPr="00AE5FE4">
        <w:rPr>
          <w:rFonts w:ascii="Arial" w:eastAsiaTheme="minorEastAsia" w:hAnsi="Arial" w:cs="Arial"/>
          <w:sz w:val="20"/>
        </w:rPr>
        <w:t xml:space="preserve"> is the proportion of individuals of species iii relative to the total number of individuals in the community.</w:t>
      </w:r>
    </w:p>
    <w:p w14:paraId="66D5F0C1" w14:textId="49BE62C1" w:rsidR="002E32D8" w:rsidRPr="00AE5FE4" w:rsidRDefault="006C4D50" w:rsidP="00A10274">
      <w:pPr>
        <w:spacing w:before="60" w:after="120" w:line="480" w:lineRule="auto"/>
        <w:jc w:val="both"/>
        <w:rPr>
          <w:rFonts w:ascii="Arial" w:eastAsiaTheme="minorEastAsia" w:hAnsi="Arial" w:cs="Arial"/>
          <w:sz w:val="20"/>
        </w:rPr>
      </w:pPr>
      <m:oMath>
        <m:sSubSup>
          <m:sSubSupPr>
            <m:ctrlPr>
              <w:rPr>
                <w:rFonts w:ascii="Cambria Math" w:eastAsiaTheme="minorEastAsia" w:hAnsi="Cambria Math" w:cs="Arial"/>
                <w:i/>
                <w:sz w:val="20"/>
              </w:rPr>
            </m:ctrlPr>
          </m:sSubSupPr>
          <m:e>
            <m:r>
              <w:rPr>
                <w:rFonts w:ascii="Cambria Math" w:eastAsiaTheme="minorEastAsia" w:hAnsi="Cambria Math" w:cs="Arial"/>
                <w:sz w:val="20"/>
              </w:rPr>
              <m:t>P</m:t>
            </m:r>
          </m:e>
          <m:sub>
            <m:r>
              <w:rPr>
                <w:rFonts w:ascii="Cambria Math" w:eastAsiaTheme="minorEastAsia" w:hAnsi="Cambria Math" w:cs="Arial"/>
                <w:sz w:val="20"/>
              </w:rPr>
              <m:t>i</m:t>
            </m:r>
          </m:sub>
          <m:sup>
            <m:r>
              <w:rPr>
                <w:rFonts w:ascii="Cambria Math" w:eastAsiaTheme="minorEastAsia" w:hAnsi="Cambria Math" w:cs="Arial"/>
                <w:sz w:val="20"/>
              </w:rPr>
              <m:t>2</m:t>
            </m:r>
          </m:sup>
        </m:sSubSup>
      </m:oMath>
      <w:r w:rsidR="002E32D8" w:rsidRPr="00AE5FE4">
        <w:rPr>
          <w:rFonts w:ascii="Arial" w:eastAsiaTheme="minorEastAsia" w:hAnsi="Arial" w:cs="Arial"/>
          <w:sz w:val="20"/>
        </w:rPr>
        <w:t>​ is the squared proportion for species iii</w:t>
      </w:r>
      <w:r w:rsidR="006E128C" w:rsidRPr="00AE5FE4">
        <w:rPr>
          <w:rFonts w:ascii="Arial" w:eastAsiaTheme="minorEastAsia" w:hAnsi="Arial" w:cs="Arial"/>
          <w:sz w:val="20"/>
        </w:rPr>
        <w:t xml:space="preserve"> and</w:t>
      </w:r>
      <w:r w:rsidR="002E32D8" w:rsidRPr="00AE5FE4">
        <w:rPr>
          <w:rFonts w:ascii="Arial" w:eastAsiaTheme="minorEastAsia" w:hAnsi="Arial" w:cs="Arial"/>
          <w:sz w:val="20"/>
        </w:rPr>
        <w:t xml:space="preserve"> the sum is taken over all species in the </w:t>
      </w:r>
      <w:proofErr w:type="gramStart"/>
      <w:r w:rsidR="002E32D8" w:rsidRPr="00AE5FE4">
        <w:rPr>
          <w:rFonts w:ascii="Arial" w:eastAsiaTheme="minorEastAsia" w:hAnsi="Arial" w:cs="Arial"/>
          <w:sz w:val="20"/>
        </w:rPr>
        <w:t>community.</w:t>
      </w:r>
      <w:proofErr w:type="gramEnd"/>
    </w:p>
    <w:p w14:paraId="38820BE8" w14:textId="77777777"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2. Simpson’s Diversity Index (1 - D) Formula:</w:t>
      </w:r>
    </w:p>
    <w:p w14:paraId="700F9D6B"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To express diversity (where higher values indicate higher diversity), the formula is: </w:t>
      </w:r>
    </w:p>
    <w:p w14:paraId="2216FF6B" w14:textId="77777777" w:rsidR="002E32D8" w:rsidRPr="00AE5FE4" w:rsidRDefault="002E32D8" w:rsidP="00A10274">
      <w:pPr>
        <w:spacing w:before="60" w:after="120" w:line="480" w:lineRule="auto"/>
        <w:jc w:val="center"/>
        <w:rPr>
          <w:rFonts w:ascii="Arial" w:eastAsiaTheme="minorEastAsia" w:hAnsi="Arial" w:cs="Arial"/>
          <w:sz w:val="20"/>
        </w:rPr>
      </w:pPr>
      <w:r w:rsidRPr="00AE5FE4">
        <w:rPr>
          <w:rFonts w:ascii="Arial" w:eastAsiaTheme="minorEastAsia" w:hAnsi="Arial" w:cs="Arial"/>
          <w:sz w:val="20"/>
        </w:rPr>
        <w:lastRenderedPageBreak/>
        <w:t>1−D</w:t>
      </w:r>
    </w:p>
    <w:p w14:paraId="40051230" w14:textId="77777777" w:rsidR="005D3967"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This version is more intuitive because higher values indicate greater diversity, ranging from 0 (no diversity) to 1 (infinite diversity).</w:t>
      </w:r>
    </w:p>
    <w:p w14:paraId="1D978565" w14:textId="77777777" w:rsidR="005D3967"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Simpson's Diversity Index is useful for comparing species diversity between communities or over time. It is especially effective at detecting dominance of one or a few species.</w:t>
      </w:r>
    </w:p>
    <w:p w14:paraId="79C0B11B" w14:textId="40D55547" w:rsidR="002E32D8"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The calculated diversity indices were analyzed using established criteria to assess the study area's tree diversity. The study looked at the floristic composition, structure</w:t>
      </w:r>
      <w:r w:rsidR="006E128C" w:rsidRPr="00AE5FE4">
        <w:rPr>
          <w:rFonts w:ascii="Arial" w:eastAsiaTheme="minorEastAsia" w:hAnsi="Arial" w:cs="Arial"/>
          <w:sz w:val="20"/>
        </w:rPr>
        <w:t xml:space="preserve"> and</w:t>
      </w:r>
      <w:r w:rsidRPr="00AE5FE4">
        <w:rPr>
          <w:rFonts w:ascii="Arial" w:eastAsiaTheme="minorEastAsia" w:hAnsi="Arial" w:cs="Arial"/>
          <w:sz w:val="20"/>
        </w:rPr>
        <w:t xml:space="preserve"> diversity of tree communities in the Mand River watershed. The findings improve understanding of tree diversity patterns and conservation status in this ecologically significant area. The data connects land use and land cover changes over time to explain the factors influencing tree diversity in this watershed (</w:t>
      </w:r>
      <w:proofErr w:type="spellStart"/>
      <w:r w:rsidRPr="00AE5FE4">
        <w:rPr>
          <w:rFonts w:ascii="Arial" w:eastAsiaTheme="minorEastAsia" w:hAnsi="Arial" w:cs="Arial"/>
          <w:sz w:val="20"/>
        </w:rPr>
        <w:t>Ruziman</w:t>
      </w:r>
      <w:proofErr w:type="spellEnd"/>
      <w:r w:rsidRPr="00AE5FE4">
        <w:rPr>
          <w:rFonts w:ascii="Arial" w:eastAsiaTheme="minorEastAsia" w:hAnsi="Arial" w:cs="Arial"/>
          <w:sz w:val="20"/>
        </w:rPr>
        <w:t xml:space="preserve"> et al., 2022)</w:t>
      </w:r>
      <w:r w:rsidR="002E32D8" w:rsidRPr="00AE5FE4">
        <w:rPr>
          <w:rFonts w:ascii="Arial" w:eastAsiaTheme="minorEastAsia" w:hAnsi="Arial" w:cs="Arial"/>
          <w:sz w:val="20"/>
        </w:rPr>
        <w:t>.</w:t>
      </w:r>
    </w:p>
    <w:p w14:paraId="10CED201" w14:textId="13CD9FEE" w:rsidR="00D57FA7" w:rsidRPr="00115F96" w:rsidRDefault="00D57FA7" w:rsidP="00AE5FE4">
      <w:pPr>
        <w:pStyle w:val="NormalWeb"/>
        <w:numPr>
          <w:ilvl w:val="0"/>
          <w:numId w:val="21"/>
        </w:numPr>
        <w:spacing w:line="480" w:lineRule="auto"/>
        <w:rPr>
          <w:rFonts w:ascii="Arial" w:hAnsi="Arial" w:cs="Arial"/>
          <w:b/>
          <w:bCs/>
          <w:sz w:val="22"/>
          <w:szCs w:val="22"/>
        </w:rPr>
      </w:pPr>
      <w:r w:rsidRPr="00115F96">
        <w:rPr>
          <w:rFonts w:ascii="Arial" w:hAnsi="Arial" w:cs="Arial"/>
          <w:b/>
          <w:bCs/>
          <w:sz w:val="22"/>
          <w:szCs w:val="22"/>
        </w:rPr>
        <w:t>Result</w:t>
      </w:r>
      <w:r w:rsidR="007F7B50" w:rsidRPr="00115F96">
        <w:rPr>
          <w:rFonts w:ascii="Arial" w:hAnsi="Arial" w:cs="Arial"/>
          <w:b/>
          <w:bCs/>
          <w:sz w:val="22"/>
          <w:szCs w:val="22"/>
        </w:rPr>
        <w:t xml:space="preserve"> and Discussion</w:t>
      </w:r>
    </w:p>
    <w:p w14:paraId="769329B2" w14:textId="52C2DCF0" w:rsidR="00060B3A" w:rsidRPr="00115F96" w:rsidRDefault="00060B3A" w:rsidP="00A10274">
      <w:pPr>
        <w:spacing w:line="480" w:lineRule="auto"/>
        <w:jc w:val="both"/>
        <w:rPr>
          <w:rFonts w:ascii="Arial" w:eastAsiaTheme="minorEastAsia" w:hAnsi="Arial" w:cs="Arial"/>
          <w:sz w:val="20"/>
        </w:rPr>
      </w:pPr>
      <w:r w:rsidRPr="00115F96">
        <w:rPr>
          <w:rFonts w:ascii="Arial" w:eastAsiaTheme="minorEastAsia" w:hAnsi="Arial" w:cs="Arial"/>
          <w:sz w:val="20"/>
        </w:rPr>
        <w:t xml:space="preserve">The Mand River Watershed has diverse forest cover, predominantly having Sal-dominated forests and mixed and bamboo-dominated forests across many density classes. In the riparian study, 42 </w:t>
      </w:r>
      <w:r w:rsidR="006E128C" w:rsidRPr="00115F96">
        <w:rPr>
          <w:rFonts w:ascii="Arial" w:eastAsiaTheme="minorEastAsia" w:hAnsi="Arial" w:cs="Arial"/>
          <w:sz w:val="20"/>
        </w:rPr>
        <w:t>quadrat</w:t>
      </w:r>
      <w:r w:rsidRPr="00115F96">
        <w:rPr>
          <w:rFonts w:ascii="Arial" w:eastAsiaTheme="minorEastAsia" w:hAnsi="Arial" w:cs="Arial"/>
          <w:sz w:val="20"/>
        </w:rPr>
        <w:t>s were laid in 14 locations to measure riparian tree diversity. Riparian forests have considerable diversity, with 63 species from 25 families, highlighting the importance of water availability on tree diversity.</w:t>
      </w:r>
    </w:p>
    <w:p w14:paraId="06B39312" w14:textId="77777777" w:rsidR="00060B3A" w:rsidRPr="00115F96" w:rsidRDefault="00060B3A" w:rsidP="00AE5FE4">
      <w:pPr>
        <w:pStyle w:val="ListParagraph"/>
        <w:numPr>
          <w:ilvl w:val="1"/>
          <w:numId w:val="21"/>
        </w:numPr>
        <w:spacing w:line="480" w:lineRule="auto"/>
        <w:jc w:val="both"/>
        <w:rPr>
          <w:rFonts w:ascii="Arial" w:eastAsiaTheme="minorEastAsia" w:hAnsi="Arial" w:cs="Arial"/>
          <w:b/>
          <w:bCs/>
          <w:szCs w:val="22"/>
        </w:rPr>
      </w:pPr>
      <w:r w:rsidRPr="00115F96">
        <w:rPr>
          <w:rFonts w:ascii="Arial" w:eastAsiaTheme="minorEastAsia" w:hAnsi="Arial" w:cs="Arial"/>
          <w:b/>
          <w:bCs/>
          <w:szCs w:val="22"/>
        </w:rPr>
        <w:t>Species Distribution</w:t>
      </w:r>
    </w:p>
    <w:p w14:paraId="321DC154" w14:textId="77771AE2" w:rsidR="00060B3A" w:rsidRPr="00F815FF" w:rsidRDefault="00060B3A" w:rsidP="00A10274">
      <w:pPr>
        <w:spacing w:line="480" w:lineRule="auto"/>
        <w:jc w:val="both"/>
        <w:rPr>
          <w:rFonts w:ascii="Arial" w:eastAsiaTheme="minorEastAsia" w:hAnsi="Arial" w:cs="Arial"/>
          <w:sz w:val="20"/>
        </w:rPr>
      </w:pPr>
      <w:r w:rsidRPr="00F815FF">
        <w:rPr>
          <w:rFonts w:ascii="Arial" w:eastAsiaTheme="minorEastAsia" w:hAnsi="Arial" w:cs="Arial"/>
          <w:sz w:val="20"/>
        </w:rPr>
        <w:t>The Fabaceae family is the most abundant at the family level, with 13 species recorded in riparian forests</w:t>
      </w:r>
      <w:r w:rsidR="0028455F" w:rsidRPr="00F815FF">
        <w:rPr>
          <w:rFonts w:ascii="Arial" w:eastAsiaTheme="minorEastAsia" w:hAnsi="Arial" w:cs="Arial"/>
          <w:sz w:val="20"/>
        </w:rPr>
        <w:t xml:space="preserve"> (Table 1)</w:t>
      </w:r>
      <w:r w:rsidRPr="00F815FF">
        <w:rPr>
          <w:rFonts w:ascii="Arial" w:eastAsiaTheme="minorEastAsia" w:hAnsi="Arial" w:cs="Arial"/>
          <w:sz w:val="20"/>
        </w:rPr>
        <w:t>. The wide distribution of Fabaceae may be due to its ecological adaptability, ability to fix nitrogen</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extensive habitat tolerance, allowing species within this family to thrive in a variety of environments (</w:t>
      </w:r>
      <w:proofErr w:type="spellStart"/>
      <w:r w:rsidRPr="00F815FF">
        <w:rPr>
          <w:rFonts w:ascii="Arial" w:eastAsiaTheme="minorEastAsia" w:hAnsi="Arial" w:cs="Arial"/>
          <w:sz w:val="20"/>
        </w:rPr>
        <w:t>Amaludin</w:t>
      </w:r>
      <w:proofErr w:type="spellEnd"/>
      <w:r w:rsidRPr="00F815FF">
        <w:rPr>
          <w:rFonts w:ascii="Arial" w:eastAsiaTheme="minorEastAsia" w:hAnsi="Arial" w:cs="Arial"/>
          <w:sz w:val="20"/>
        </w:rPr>
        <w:t xml:space="preserve"> et al., 2022; </w:t>
      </w:r>
      <w:proofErr w:type="spellStart"/>
      <w:r w:rsidRPr="00F815FF">
        <w:rPr>
          <w:rFonts w:ascii="Arial" w:eastAsiaTheme="minorEastAsia" w:hAnsi="Arial" w:cs="Arial"/>
          <w:sz w:val="20"/>
        </w:rPr>
        <w:t>Dalavi</w:t>
      </w:r>
      <w:proofErr w:type="spellEnd"/>
      <w:r w:rsidRPr="00F815FF">
        <w:rPr>
          <w:rFonts w:ascii="Arial" w:eastAsiaTheme="minorEastAsia" w:hAnsi="Arial" w:cs="Arial"/>
          <w:sz w:val="20"/>
        </w:rPr>
        <w:t xml:space="preserve"> et al., 2021). Additionally, the families </w:t>
      </w:r>
      <w:proofErr w:type="spellStart"/>
      <w:r w:rsidRPr="00F815FF">
        <w:rPr>
          <w:rFonts w:ascii="Arial" w:eastAsiaTheme="minorEastAsia" w:hAnsi="Arial" w:cs="Arial"/>
          <w:sz w:val="20"/>
        </w:rPr>
        <w:t>Combretaceae</w:t>
      </w:r>
      <w:proofErr w:type="spellEnd"/>
      <w:r w:rsidRPr="00F815FF">
        <w:rPr>
          <w:rFonts w:ascii="Arial" w:eastAsiaTheme="minorEastAsia" w:hAnsi="Arial" w:cs="Arial"/>
          <w:sz w:val="20"/>
        </w:rPr>
        <w:t xml:space="preserve"> and </w:t>
      </w:r>
      <w:proofErr w:type="spellStart"/>
      <w:r w:rsidRPr="00F815FF">
        <w:rPr>
          <w:rFonts w:ascii="Arial" w:eastAsiaTheme="minorEastAsia" w:hAnsi="Arial" w:cs="Arial"/>
          <w:sz w:val="20"/>
        </w:rPr>
        <w:t>Moraceae</w:t>
      </w:r>
      <w:proofErr w:type="spellEnd"/>
      <w:r w:rsidRPr="00F815FF">
        <w:rPr>
          <w:rFonts w:ascii="Arial" w:eastAsiaTheme="minorEastAsia" w:hAnsi="Arial" w:cs="Arial"/>
          <w:sz w:val="20"/>
        </w:rPr>
        <w:t xml:space="preserve"> each have five species. Other families, such as </w:t>
      </w:r>
      <w:proofErr w:type="spellStart"/>
      <w:r w:rsidRPr="00F815FF">
        <w:rPr>
          <w:rFonts w:ascii="Arial" w:eastAsiaTheme="minorEastAsia" w:hAnsi="Arial" w:cs="Arial"/>
          <w:sz w:val="20"/>
        </w:rPr>
        <w:t>Ebenaceae</w:t>
      </w:r>
      <w:proofErr w:type="spellEnd"/>
      <w:r w:rsidRPr="00F815FF">
        <w:rPr>
          <w:rFonts w:ascii="Arial" w:eastAsiaTheme="minorEastAsia" w:hAnsi="Arial" w:cs="Arial"/>
          <w:sz w:val="20"/>
        </w:rPr>
        <w:t xml:space="preserve">, </w:t>
      </w:r>
      <w:proofErr w:type="spellStart"/>
      <w:r w:rsidRPr="00F815FF">
        <w:rPr>
          <w:rFonts w:ascii="Arial" w:eastAsiaTheme="minorEastAsia" w:hAnsi="Arial" w:cs="Arial"/>
          <w:sz w:val="20"/>
        </w:rPr>
        <w:t>Myrtaceae</w:t>
      </w:r>
      <w:proofErr w:type="spellEnd"/>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w:t>
      </w:r>
      <w:proofErr w:type="spellStart"/>
      <w:r w:rsidRPr="00F815FF">
        <w:rPr>
          <w:rFonts w:ascii="Arial" w:eastAsiaTheme="minorEastAsia" w:hAnsi="Arial" w:cs="Arial"/>
          <w:sz w:val="20"/>
        </w:rPr>
        <w:t>Euphorbiaceae</w:t>
      </w:r>
      <w:proofErr w:type="spellEnd"/>
      <w:r w:rsidRPr="00F815FF">
        <w:rPr>
          <w:rFonts w:ascii="Arial" w:eastAsiaTheme="minorEastAsia" w:hAnsi="Arial" w:cs="Arial"/>
          <w:sz w:val="20"/>
        </w:rPr>
        <w:t xml:space="preserve">, are present in moderate quantities. In contrast, many families, like </w:t>
      </w:r>
      <w:proofErr w:type="spellStart"/>
      <w:r w:rsidRPr="00F815FF">
        <w:rPr>
          <w:rFonts w:ascii="Arial" w:eastAsiaTheme="minorEastAsia" w:hAnsi="Arial" w:cs="Arial"/>
          <w:sz w:val="20"/>
        </w:rPr>
        <w:t>Annonaceae</w:t>
      </w:r>
      <w:proofErr w:type="spellEnd"/>
      <w:r w:rsidRPr="00F815FF">
        <w:rPr>
          <w:rFonts w:ascii="Arial" w:eastAsiaTheme="minorEastAsia" w:hAnsi="Arial" w:cs="Arial"/>
          <w:sz w:val="20"/>
        </w:rPr>
        <w:t xml:space="preserve">, </w:t>
      </w:r>
      <w:proofErr w:type="spellStart"/>
      <w:r w:rsidRPr="00F815FF">
        <w:rPr>
          <w:rFonts w:ascii="Arial" w:eastAsiaTheme="minorEastAsia" w:hAnsi="Arial" w:cs="Arial"/>
          <w:sz w:val="20"/>
        </w:rPr>
        <w:t>Dipterocarpaceae</w:t>
      </w:r>
      <w:proofErr w:type="spellEnd"/>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w:t>
      </w:r>
      <w:proofErr w:type="spellStart"/>
      <w:r w:rsidRPr="00F815FF">
        <w:rPr>
          <w:rFonts w:ascii="Arial" w:eastAsiaTheme="minorEastAsia" w:hAnsi="Arial" w:cs="Arial"/>
          <w:sz w:val="20"/>
        </w:rPr>
        <w:t>Sapindaceae</w:t>
      </w:r>
      <w:proofErr w:type="spellEnd"/>
      <w:r w:rsidRPr="00F815FF">
        <w:rPr>
          <w:rFonts w:ascii="Arial" w:eastAsiaTheme="minorEastAsia" w:hAnsi="Arial" w:cs="Arial"/>
          <w:sz w:val="20"/>
        </w:rPr>
        <w:t>, are represented by only one or two species, indicating a restricted distribution for these families.</w:t>
      </w:r>
    </w:p>
    <w:p w14:paraId="1E05686C" w14:textId="69AF6DDF" w:rsidR="00FD0C6A" w:rsidRPr="00F815FF" w:rsidRDefault="00060B3A" w:rsidP="00A10274">
      <w:pPr>
        <w:spacing w:line="480" w:lineRule="auto"/>
        <w:jc w:val="both"/>
        <w:rPr>
          <w:rFonts w:ascii="Arial" w:eastAsiaTheme="minorEastAsia" w:hAnsi="Arial" w:cs="Arial"/>
          <w:sz w:val="20"/>
        </w:rPr>
      </w:pPr>
      <w:r w:rsidRPr="00F815FF">
        <w:rPr>
          <w:rFonts w:ascii="Arial" w:eastAsiaTheme="minorEastAsia" w:hAnsi="Arial" w:cs="Arial"/>
          <w:sz w:val="20"/>
        </w:rPr>
        <w:t>The distribution of families and species over various distance classes (0m, 250m</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500m) from the Mand River offers essential insights into the range and composition of riparian tree species</w:t>
      </w:r>
      <w:r w:rsidR="0028455F" w:rsidRPr="00F815FF">
        <w:rPr>
          <w:rFonts w:ascii="Arial" w:eastAsiaTheme="minorEastAsia" w:hAnsi="Arial" w:cs="Arial"/>
          <w:sz w:val="20"/>
        </w:rPr>
        <w:t xml:space="preserve"> (Fig. </w:t>
      </w:r>
      <w:r w:rsidR="004B3F89" w:rsidRPr="00F815FF">
        <w:rPr>
          <w:rFonts w:ascii="Arial" w:eastAsiaTheme="minorEastAsia" w:hAnsi="Arial" w:cs="Arial"/>
          <w:sz w:val="20"/>
        </w:rPr>
        <w:t>4</w:t>
      </w:r>
      <w:r w:rsidR="0028455F" w:rsidRPr="00F815FF">
        <w:rPr>
          <w:rFonts w:ascii="Arial" w:eastAsiaTheme="minorEastAsia" w:hAnsi="Arial" w:cs="Arial"/>
          <w:sz w:val="20"/>
        </w:rPr>
        <w:t>)</w:t>
      </w:r>
      <w:r w:rsidRPr="00F815FF">
        <w:rPr>
          <w:rFonts w:ascii="Arial" w:eastAsiaTheme="minorEastAsia" w:hAnsi="Arial" w:cs="Arial"/>
          <w:sz w:val="20"/>
        </w:rPr>
        <w:t xml:space="preserve">. In the </w:t>
      </w:r>
      <w:r w:rsidRPr="00F815FF">
        <w:rPr>
          <w:rFonts w:ascii="Arial" w:eastAsiaTheme="minorEastAsia" w:hAnsi="Arial" w:cs="Arial"/>
          <w:sz w:val="20"/>
        </w:rPr>
        <w:lastRenderedPageBreak/>
        <w:t xml:space="preserve">Immediate Riparian Zone (0m), 20 families and 43 species were documented. This area fosters a significant species diversity due to its closeness to the river, ensuring enough water supply and conducive development circumstances (Deshpande et al., 2021). Moisture-dependent plants, including </w:t>
      </w:r>
      <w:proofErr w:type="spellStart"/>
      <w:r w:rsidRPr="00F815FF">
        <w:rPr>
          <w:rFonts w:ascii="Arial" w:eastAsiaTheme="minorEastAsia" w:hAnsi="Arial" w:cs="Arial"/>
          <w:sz w:val="20"/>
        </w:rPr>
        <w:t>Syzygium</w:t>
      </w:r>
      <w:proofErr w:type="spellEnd"/>
      <w:r w:rsidRPr="00F815FF">
        <w:rPr>
          <w:rFonts w:ascii="Arial" w:eastAsiaTheme="minorEastAsia" w:hAnsi="Arial" w:cs="Arial"/>
          <w:sz w:val="20"/>
        </w:rPr>
        <w:t xml:space="preserve"> and Diospyros, are abundant in this region. The 250m zone had the highest species richness, with 49 species from 22 families. This transitional zone accommodates riparian and upland species, fostering a complex biological gradient. Moisture-loving and drought-resistant species are a blend of various ecological niches (</w:t>
      </w:r>
      <w:proofErr w:type="spellStart"/>
      <w:r w:rsidRPr="00F815FF">
        <w:rPr>
          <w:rFonts w:ascii="Arial" w:eastAsiaTheme="minorEastAsia" w:hAnsi="Arial" w:cs="Arial"/>
          <w:sz w:val="20"/>
        </w:rPr>
        <w:t>Sumarmi</w:t>
      </w:r>
      <w:proofErr w:type="spellEnd"/>
      <w:r w:rsidRPr="00F815FF">
        <w:rPr>
          <w:rFonts w:ascii="Arial" w:eastAsiaTheme="minorEastAsia" w:hAnsi="Arial" w:cs="Arial"/>
          <w:sz w:val="20"/>
        </w:rPr>
        <w:t xml:space="preserve"> et al., 2022). At 500 meters, 19 families and 34 species were documented, </w:t>
      </w:r>
      <w:r w:rsidR="004B3F89" w:rsidRPr="00F815FF">
        <w:rPr>
          <w:rFonts w:ascii="Arial" w:eastAsiaTheme="minorEastAsia" w:hAnsi="Arial" w:cs="Arial"/>
          <w:sz w:val="20"/>
        </w:rPr>
        <w:t xml:space="preserve">(fig. 4) </w:t>
      </w:r>
      <w:r w:rsidRPr="00F815FF">
        <w:rPr>
          <w:rFonts w:ascii="Arial" w:eastAsiaTheme="minorEastAsia" w:hAnsi="Arial" w:cs="Arial"/>
          <w:sz w:val="20"/>
        </w:rPr>
        <w:t xml:space="preserve">indicating the lowest species richness among the three zones. The prevalence of </w:t>
      </w:r>
      <w:proofErr w:type="spellStart"/>
      <w:r w:rsidRPr="00F815FF">
        <w:rPr>
          <w:rFonts w:ascii="Arial" w:eastAsiaTheme="minorEastAsia" w:hAnsi="Arial" w:cs="Arial"/>
          <w:i/>
          <w:iCs/>
          <w:sz w:val="20"/>
        </w:rPr>
        <w:t>Shorea</w:t>
      </w:r>
      <w:proofErr w:type="spellEnd"/>
      <w:r w:rsidRPr="00F815FF">
        <w:rPr>
          <w:rFonts w:ascii="Arial" w:eastAsiaTheme="minorEastAsia" w:hAnsi="Arial" w:cs="Arial"/>
          <w:i/>
          <w:iCs/>
          <w:sz w:val="20"/>
        </w:rPr>
        <w:t xml:space="preserve"> </w:t>
      </w:r>
      <w:proofErr w:type="spellStart"/>
      <w:r w:rsidRPr="00F815FF">
        <w:rPr>
          <w:rFonts w:ascii="Arial" w:eastAsiaTheme="minorEastAsia" w:hAnsi="Arial" w:cs="Arial"/>
          <w:i/>
          <w:iCs/>
          <w:sz w:val="20"/>
        </w:rPr>
        <w:t>robusta</w:t>
      </w:r>
      <w:proofErr w:type="spellEnd"/>
      <w:r w:rsidRPr="00F815FF">
        <w:rPr>
          <w:rFonts w:ascii="Arial" w:eastAsiaTheme="minorEastAsia" w:hAnsi="Arial" w:cs="Arial"/>
          <w:sz w:val="20"/>
        </w:rPr>
        <w:t xml:space="preserve"> and Terminalia species in this region underscores their resilience to reduced water supply and arid soils (Akash et al., 2021)</w:t>
      </w:r>
      <w:r w:rsidR="00FD0C6A" w:rsidRPr="00F815FF">
        <w:rPr>
          <w:rFonts w:ascii="Arial" w:eastAsiaTheme="minorEastAsia" w:hAnsi="Arial" w:cs="Arial"/>
          <w:sz w:val="20"/>
        </w:rPr>
        <w:t>.</w:t>
      </w:r>
    </w:p>
    <w:p w14:paraId="68757D56" w14:textId="47931F5F" w:rsidR="00060B3A" w:rsidRDefault="00060B3A" w:rsidP="00A10274">
      <w:pPr>
        <w:spacing w:line="480" w:lineRule="auto"/>
        <w:jc w:val="center"/>
        <w:rPr>
          <w:rFonts w:ascii="Times New Roman" w:eastAsiaTheme="minorEastAsia" w:hAnsi="Times New Roman" w:cs="Times New Roman"/>
          <w:sz w:val="24"/>
          <w:szCs w:val="24"/>
        </w:rPr>
      </w:pPr>
      <w:r w:rsidRPr="00060B3A">
        <w:rPr>
          <w:noProof/>
          <w:highlight w:val="yellow"/>
        </w:rPr>
        <w:drawing>
          <wp:inline distT="0" distB="0" distL="0" distR="0" wp14:anchorId="722755D4" wp14:editId="5524A4AC">
            <wp:extent cx="2734733" cy="1982728"/>
            <wp:effectExtent l="0" t="0" r="8890" b="0"/>
            <wp:docPr id="6310853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569" cy="1986959"/>
                    </a:xfrm>
                    <a:prstGeom prst="rect">
                      <a:avLst/>
                    </a:prstGeom>
                    <a:noFill/>
                    <a:ln>
                      <a:noFill/>
                    </a:ln>
                  </pic:spPr>
                </pic:pic>
              </a:graphicData>
            </a:graphic>
          </wp:inline>
        </w:drawing>
      </w:r>
    </w:p>
    <w:p w14:paraId="5117D17D" w14:textId="49FF8D76" w:rsidR="00060B3A" w:rsidRPr="009C573C" w:rsidRDefault="00060B3A" w:rsidP="009C573C">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Distribution of Family and Species in different riparian distances</w:t>
      </w:r>
    </w:p>
    <w:p w14:paraId="00A20D68" w14:textId="693A82DE" w:rsidR="00060B3A" w:rsidRPr="00FD0C6A" w:rsidRDefault="00060B3A" w:rsidP="00A10274">
      <w:pPr>
        <w:spacing w:line="480" w:lineRule="auto"/>
        <w:jc w:val="both"/>
        <w:rPr>
          <w:rFonts w:ascii="Times New Roman" w:eastAsiaTheme="minorEastAsia" w:hAnsi="Times New Roman" w:cs="Times New Roman"/>
          <w:sz w:val="24"/>
          <w:szCs w:val="24"/>
        </w:rPr>
      </w:pPr>
      <w:r w:rsidRPr="00F815FF">
        <w:rPr>
          <w:rFonts w:ascii="Arial" w:eastAsiaTheme="minorEastAsia" w:hAnsi="Arial" w:cs="Arial"/>
          <w:sz w:val="20"/>
        </w:rPr>
        <w:t>The study highlights a gradual shift from high moisture-dependent species near the river (0m) to more dry-tolerant species in upland areas (500m). The 250m zone exhibits the highest species richness, suggesting that transitional zones provide optimal conditions for diverse species coexistence. These findings are crucial for riparian forest conservation and management strategies, ensuring the preservation of biodiversity along the Mand River watershed</w:t>
      </w:r>
      <w:r w:rsidRPr="00060B3A">
        <w:rPr>
          <w:rFonts w:ascii="Times New Roman" w:eastAsiaTheme="minorEastAsia" w:hAnsi="Times New Roman" w:cs="Times New Roman"/>
          <w:sz w:val="24"/>
          <w:szCs w:val="24"/>
        </w:rPr>
        <w:t>.</w:t>
      </w:r>
    </w:p>
    <w:p w14:paraId="33B26D15" w14:textId="77777777" w:rsidR="00400C7D" w:rsidRPr="00115F96" w:rsidRDefault="00400C7D" w:rsidP="00AE5FE4">
      <w:pPr>
        <w:pStyle w:val="ListParagraph"/>
        <w:numPr>
          <w:ilvl w:val="1"/>
          <w:numId w:val="21"/>
        </w:numPr>
        <w:spacing w:line="480" w:lineRule="auto"/>
        <w:jc w:val="both"/>
        <w:rPr>
          <w:rFonts w:ascii="Arial" w:eastAsiaTheme="minorEastAsia" w:hAnsi="Arial" w:cs="Arial"/>
          <w:b/>
          <w:bCs/>
          <w:szCs w:val="22"/>
        </w:rPr>
      </w:pPr>
      <w:r w:rsidRPr="00115F96">
        <w:rPr>
          <w:rFonts w:ascii="Arial" w:eastAsiaTheme="minorEastAsia" w:hAnsi="Arial" w:cs="Arial"/>
          <w:b/>
          <w:bCs/>
          <w:szCs w:val="22"/>
        </w:rPr>
        <w:t>Diversity of Trees in Riparian Forests</w:t>
      </w:r>
    </w:p>
    <w:p w14:paraId="5F0F9C36" w14:textId="228C9392" w:rsidR="00400C7D" w:rsidRPr="00F815FF" w:rsidRDefault="00400C7D"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The dominant species, </w:t>
      </w:r>
      <w:proofErr w:type="spellStart"/>
      <w:r w:rsidRPr="00F815FF">
        <w:rPr>
          <w:rFonts w:ascii="Times New Roman" w:hAnsi="Times New Roman" w:cs="Times New Roman"/>
          <w:i/>
          <w:iCs/>
          <w:sz w:val="20"/>
        </w:rPr>
        <w:t>Shorea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robusta</w:t>
      </w:r>
      <w:proofErr w:type="spellEnd"/>
      <w:r w:rsidRPr="00F815FF">
        <w:rPr>
          <w:rFonts w:ascii="Times New Roman" w:hAnsi="Times New Roman" w:cs="Times New Roman"/>
          <w:sz w:val="20"/>
        </w:rPr>
        <w:t xml:space="preserve"> (Sal), has an Importance Value Index (IVI) of 47.01, showing its ecological significance within the forest.  The frequency (F) is 73.81%</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the density (D) is 150 stem per hectare</w:t>
      </w:r>
      <w:r w:rsidR="004B3F89" w:rsidRPr="00F815FF">
        <w:rPr>
          <w:rFonts w:ascii="Times New Roman" w:hAnsi="Times New Roman" w:cs="Times New Roman"/>
          <w:sz w:val="20"/>
        </w:rPr>
        <w:t xml:space="preserve"> (Fig. 5)</w:t>
      </w:r>
      <w:r w:rsidRPr="00F815FF">
        <w:rPr>
          <w:rFonts w:ascii="Times New Roman" w:hAnsi="Times New Roman" w:cs="Times New Roman"/>
          <w:sz w:val="20"/>
        </w:rPr>
        <w:t xml:space="preserve">.  </w:t>
      </w:r>
      <w:r w:rsidRPr="00F815FF">
        <w:rPr>
          <w:rFonts w:ascii="Times New Roman" w:hAnsi="Times New Roman" w:cs="Times New Roman"/>
          <w:i/>
          <w:iCs/>
          <w:sz w:val="20"/>
        </w:rPr>
        <w:lastRenderedPageBreak/>
        <w:t>Pterocarpus marsupium</w:t>
      </w:r>
      <w:r w:rsidRPr="00F815FF">
        <w:rPr>
          <w:rFonts w:ascii="Times New Roman" w:hAnsi="Times New Roman" w:cs="Times New Roman"/>
          <w:sz w:val="20"/>
        </w:rPr>
        <w:t xml:space="preserve"> demonstrates a significant IVI of 21.45, with a frequency of 35.71% and a density of 57.14 individuals per hectare.  This shows its substantial existence and ecological function within the riparian forest.</w:t>
      </w:r>
    </w:p>
    <w:p w14:paraId="28115167" w14:textId="1163A299" w:rsidR="008C5088" w:rsidRPr="00F815FF" w:rsidRDefault="00400C7D"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Other notable species, such </w:t>
      </w:r>
      <w:r w:rsidRPr="00F815FF">
        <w:rPr>
          <w:rFonts w:ascii="Times New Roman" w:hAnsi="Times New Roman" w:cs="Times New Roman"/>
          <w:i/>
          <w:iCs/>
          <w:sz w:val="20"/>
        </w:rPr>
        <w:t xml:space="preserve">Lagerstroemia </w:t>
      </w:r>
      <w:proofErr w:type="spellStart"/>
      <w:r w:rsidRPr="00F815FF">
        <w:rPr>
          <w:rFonts w:ascii="Times New Roman" w:hAnsi="Times New Roman" w:cs="Times New Roman"/>
          <w:i/>
          <w:iCs/>
          <w:sz w:val="20"/>
        </w:rPr>
        <w:t>parviflora</w:t>
      </w:r>
      <w:proofErr w:type="spellEnd"/>
      <w:r w:rsidRPr="00F815FF">
        <w:rPr>
          <w:rFonts w:ascii="Times New Roman" w:hAnsi="Times New Roman" w:cs="Times New Roman"/>
          <w:sz w:val="20"/>
        </w:rPr>
        <w:t xml:space="preserve"> and </w:t>
      </w:r>
      <w:r w:rsidRPr="00F815FF">
        <w:rPr>
          <w:rFonts w:ascii="Times New Roman" w:hAnsi="Times New Roman" w:cs="Times New Roman"/>
          <w:i/>
          <w:iCs/>
          <w:sz w:val="20"/>
        </w:rPr>
        <w:t xml:space="preserve">Terminalia </w:t>
      </w:r>
      <w:proofErr w:type="spellStart"/>
      <w:r w:rsidRPr="00F815FF">
        <w:rPr>
          <w:rFonts w:ascii="Times New Roman" w:hAnsi="Times New Roman" w:cs="Times New Roman"/>
          <w:i/>
          <w:iCs/>
          <w:sz w:val="20"/>
        </w:rPr>
        <w:t>elliptica</w:t>
      </w:r>
      <w:proofErr w:type="spellEnd"/>
      <w:r w:rsidRPr="00F815FF">
        <w:rPr>
          <w:rFonts w:ascii="Times New Roman" w:hAnsi="Times New Roman" w:cs="Times New Roman"/>
          <w:sz w:val="20"/>
        </w:rPr>
        <w:t xml:space="preserve">, exhibit IVI values of 16.56 and 15.93, respectively.  The contributions of these species to forest structure and function are significant, marked by high density and dominance values.  The presence of </w:t>
      </w:r>
      <w:proofErr w:type="spellStart"/>
      <w:r w:rsidRPr="00F815FF">
        <w:rPr>
          <w:rFonts w:ascii="Times New Roman" w:hAnsi="Times New Roman" w:cs="Times New Roman"/>
          <w:i/>
          <w:iCs/>
          <w:sz w:val="20"/>
        </w:rPr>
        <w:t>Syzygium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salicifolium</w:t>
      </w:r>
      <w:proofErr w:type="spellEnd"/>
      <w:r w:rsidRPr="00F815FF">
        <w:rPr>
          <w:rFonts w:ascii="Times New Roman" w:hAnsi="Times New Roman" w:cs="Times New Roman"/>
          <w:sz w:val="20"/>
        </w:rPr>
        <w:t xml:space="preserve"> (IVI 7.60), </w:t>
      </w:r>
      <w:r w:rsidRPr="00F815FF">
        <w:rPr>
          <w:rFonts w:ascii="Times New Roman" w:hAnsi="Times New Roman" w:cs="Times New Roman"/>
          <w:i/>
          <w:iCs/>
          <w:sz w:val="20"/>
        </w:rPr>
        <w:t xml:space="preserve">Diospyros </w:t>
      </w:r>
      <w:proofErr w:type="spellStart"/>
      <w:r w:rsidRPr="00F815FF">
        <w:rPr>
          <w:rFonts w:ascii="Times New Roman" w:hAnsi="Times New Roman" w:cs="Times New Roman"/>
          <w:i/>
          <w:iCs/>
          <w:sz w:val="20"/>
        </w:rPr>
        <w:t>malabarica</w:t>
      </w:r>
      <w:proofErr w:type="spellEnd"/>
      <w:r w:rsidRPr="00F815FF">
        <w:rPr>
          <w:rFonts w:ascii="Times New Roman" w:hAnsi="Times New Roman" w:cs="Times New Roman"/>
          <w:sz w:val="20"/>
        </w:rPr>
        <w:t xml:space="preserve"> (IVI 7.62)</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Syzygium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cumini</w:t>
      </w:r>
      <w:proofErr w:type="spellEnd"/>
      <w:r w:rsidRPr="00F815FF">
        <w:rPr>
          <w:rFonts w:ascii="Times New Roman" w:hAnsi="Times New Roman" w:cs="Times New Roman"/>
          <w:sz w:val="20"/>
        </w:rPr>
        <w:t xml:space="preserve"> (IVI 6.36) highlights the significant role of moisture-dependent plants in riparian habitats.  </w:t>
      </w:r>
      <w:proofErr w:type="spellStart"/>
      <w:r w:rsidRPr="00F815FF">
        <w:rPr>
          <w:rFonts w:ascii="Times New Roman" w:hAnsi="Times New Roman" w:cs="Times New Roman"/>
          <w:i/>
          <w:iCs/>
          <w:sz w:val="20"/>
        </w:rPr>
        <w:t>Madhuca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longifolia</w:t>
      </w:r>
      <w:proofErr w:type="spellEnd"/>
      <w:r w:rsidRPr="00F815FF">
        <w:rPr>
          <w:rFonts w:ascii="Times New Roman" w:hAnsi="Times New Roman" w:cs="Times New Roman"/>
          <w:sz w:val="20"/>
        </w:rPr>
        <w:t xml:space="preserve"> and </w:t>
      </w:r>
      <w:r w:rsidRPr="00F815FF">
        <w:rPr>
          <w:rFonts w:ascii="Times New Roman" w:hAnsi="Times New Roman" w:cs="Times New Roman"/>
          <w:i/>
          <w:iCs/>
          <w:sz w:val="20"/>
        </w:rPr>
        <w:t xml:space="preserve">Diospyros </w:t>
      </w:r>
      <w:proofErr w:type="spellStart"/>
      <w:r w:rsidRPr="00F815FF">
        <w:rPr>
          <w:rFonts w:ascii="Times New Roman" w:hAnsi="Times New Roman" w:cs="Times New Roman"/>
          <w:i/>
          <w:iCs/>
          <w:sz w:val="20"/>
        </w:rPr>
        <w:t>melanoxylon</w:t>
      </w:r>
      <w:proofErr w:type="spellEnd"/>
      <w:r w:rsidRPr="00F815FF">
        <w:rPr>
          <w:rFonts w:ascii="Times New Roman" w:hAnsi="Times New Roman" w:cs="Times New Roman"/>
          <w:sz w:val="20"/>
        </w:rPr>
        <w:t xml:space="preserve"> demonstrate substantial prevalence, with IVI values of 15.47 and 11.18, respectively.  </w:t>
      </w:r>
      <w:proofErr w:type="spellStart"/>
      <w:r w:rsidRPr="00F815FF">
        <w:rPr>
          <w:rFonts w:ascii="Times New Roman" w:hAnsi="Times New Roman" w:cs="Times New Roman"/>
          <w:i/>
          <w:iCs/>
          <w:sz w:val="20"/>
        </w:rPr>
        <w:t>Garuga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pinnata</w:t>
      </w:r>
      <w:proofErr w:type="spellEnd"/>
      <w:r w:rsidRPr="00F815FF">
        <w:rPr>
          <w:rFonts w:ascii="Times New Roman" w:hAnsi="Times New Roman" w:cs="Times New Roman"/>
          <w:sz w:val="20"/>
        </w:rPr>
        <w:t xml:space="preserve"> (IVI 6.80) and </w:t>
      </w:r>
      <w:proofErr w:type="spellStart"/>
      <w:r w:rsidRPr="00F815FF">
        <w:rPr>
          <w:rFonts w:ascii="Times New Roman" w:hAnsi="Times New Roman" w:cs="Times New Roman"/>
          <w:i/>
          <w:iCs/>
          <w:sz w:val="20"/>
        </w:rPr>
        <w:t>Buchanania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lanzan</w:t>
      </w:r>
      <w:proofErr w:type="spellEnd"/>
      <w:r w:rsidRPr="00F815FF">
        <w:rPr>
          <w:rFonts w:ascii="Times New Roman" w:hAnsi="Times New Roman" w:cs="Times New Roman"/>
          <w:sz w:val="20"/>
        </w:rPr>
        <w:t xml:space="preserve"> (IVI 5.42) are crucial for augmenting the morphological and functional diversity of the riparian zone.  The notable Importance Value Index (IVI) of </w:t>
      </w:r>
      <w:r w:rsidRPr="00F815FF">
        <w:rPr>
          <w:rFonts w:ascii="Times New Roman" w:hAnsi="Times New Roman" w:cs="Times New Roman"/>
          <w:i/>
          <w:iCs/>
          <w:sz w:val="20"/>
        </w:rPr>
        <w:t>Terminalia arjuna</w:t>
      </w:r>
      <w:r w:rsidRPr="00F815FF">
        <w:rPr>
          <w:rFonts w:ascii="Times New Roman" w:hAnsi="Times New Roman" w:cs="Times New Roman"/>
          <w:sz w:val="20"/>
        </w:rPr>
        <w:t xml:space="preserve"> (IVI 5.28) is particularly striking, as this plant flourishes near riverbanks.  Species including </w:t>
      </w:r>
      <w:r w:rsidRPr="00F815FF">
        <w:rPr>
          <w:rFonts w:ascii="Times New Roman" w:hAnsi="Times New Roman" w:cs="Times New Roman"/>
          <w:i/>
          <w:iCs/>
          <w:sz w:val="20"/>
        </w:rPr>
        <w:t xml:space="preserve">Aegle </w:t>
      </w:r>
      <w:proofErr w:type="spellStart"/>
      <w:r w:rsidRPr="00F815FF">
        <w:rPr>
          <w:rFonts w:ascii="Times New Roman" w:hAnsi="Times New Roman" w:cs="Times New Roman"/>
          <w:i/>
          <w:iCs/>
          <w:sz w:val="20"/>
        </w:rPr>
        <w:t>marmelos</w:t>
      </w:r>
      <w:proofErr w:type="spellEnd"/>
      <w:r w:rsidRPr="00F815FF">
        <w:rPr>
          <w:rFonts w:ascii="Times New Roman" w:hAnsi="Times New Roman" w:cs="Times New Roman"/>
          <w:sz w:val="20"/>
        </w:rPr>
        <w:t xml:space="preserve">, </w:t>
      </w:r>
      <w:r w:rsidRPr="00F815FF">
        <w:rPr>
          <w:rFonts w:ascii="Times New Roman" w:hAnsi="Times New Roman" w:cs="Times New Roman"/>
          <w:i/>
          <w:iCs/>
          <w:sz w:val="20"/>
        </w:rPr>
        <w:t xml:space="preserve">Cordia </w:t>
      </w:r>
      <w:proofErr w:type="spellStart"/>
      <w:r w:rsidRPr="00F815FF">
        <w:rPr>
          <w:rFonts w:ascii="Times New Roman" w:hAnsi="Times New Roman" w:cs="Times New Roman"/>
          <w:i/>
          <w:iCs/>
          <w:sz w:val="20"/>
        </w:rPr>
        <w:t>myxa</w:t>
      </w:r>
      <w:proofErr w:type="spellEnd"/>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r w:rsidRPr="00F815FF">
        <w:rPr>
          <w:rFonts w:ascii="Times New Roman" w:hAnsi="Times New Roman" w:cs="Times New Roman"/>
          <w:i/>
          <w:iCs/>
          <w:sz w:val="20"/>
        </w:rPr>
        <w:t xml:space="preserve">Phyllanthus </w:t>
      </w:r>
      <w:proofErr w:type="spellStart"/>
      <w:r w:rsidRPr="00F815FF">
        <w:rPr>
          <w:rFonts w:ascii="Times New Roman" w:hAnsi="Times New Roman" w:cs="Times New Roman"/>
          <w:i/>
          <w:iCs/>
          <w:sz w:val="20"/>
        </w:rPr>
        <w:t>emblica</w:t>
      </w:r>
      <w:proofErr w:type="spellEnd"/>
      <w:r w:rsidRPr="00F815FF">
        <w:rPr>
          <w:rFonts w:ascii="Times New Roman" w:hAnsi="Times New Roman" w:cs="Times New Roman"/>
          <w:sz w:val="20"/>
        </w:rPr>
        <w:t xml:space="preserve"> have low IVI values, indicating their rare occurrence in the forest habitat.  Although not the most dominant, these species are essential for enhancing total biodiversity and may inhabit certain ecological niches.  Some uncommon species, such as </w:t>
      </w:r>
      <w:proofErr w:type="spellStart"/>
      <w:r w:rsidRPr="00F815FF">
        <w:rPr>
          <w:rFonts w:ascii="Times New Roman" w:hAnsi="Times New Roman" w:cs="Times New Roman"/>
          <w:i/>
          <w:iCs/>
          <w:sz w:val="20"/>
        </w:rPr>
        <w:t>Oroxylum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indicum</w:t>
      </w:r>
      <w:proofErr w:type="spellEnd"/>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Schrebera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swietenioides</w:t>
      </w:r>
      <w:proofErr w:type="spellEnd"/>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Ziziphus</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xylopyrus</w:t>
      </w:r>
      <w:proofErr w:type="spellEnd"/>
      <w:r w:rsidRPr="00F815FF">
        <w:rPr>
          <w:rFonts w:ascii="Times New Roman" w:hAnsi="Times New Roman" w:cs="Times New Roman"/>
          <w:sz w:val="20"/>
        </w:rPr>
        <w:t>, had low IVI values, indicating a scattered distribution within the riparian habitat. The diversity present enhances ecological resilience, hydrological stability</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biodiversity conservation.</w:t>
      </w:r>
    </w:p>
    <w:p w14:paraId="7EE4A33C" w14:textId="5479C32A" w:rsidR="00202E9C" w:rsidRPr="00115F96" w:rsidRDefault="00202E9C" w:rsidP="00A10274">
      <w:pPr>
        <w:pStyle w:val="ListParagraph"/>
        <w:numPr>
          <w:ilvl w:val="0"/>
          <w:numId w:val="15"/>
        </w:numPr>
        <w:spacing w:line="480" w:lineRule="auto"/>
        <w:jc w:val="both"/>
        <w:rPr>
          <w:rFonts w:ascii="Times New Roman" w:hAnsi="Times New Roman" w:cs="Times New Roman"/>
          <w:b/>
          <w:bCs/>
          <w:sz w:val="20"/>
        </w:rPr>
      </w:pPr>
      <w:r w:rsidRPr="00115F96">
        <w:rPr>
          <w:rFonts w:ascii="Times New Roman" w:hAnsi="Times New Roman" w:cs="Times New Roman"/>
          <w:b/>
          <w:bCs/>
          <w:sz w:val="20"/>
        </w:rPr>
        <w:t xml:space="preserve">List of trees documented in the Riparian area of </w:t>
      </w:r>
      <w:r w:rsidR="00156F62" w:rsidRPr="00115F96">
        <w:rPr>
          <w:rFonts w:ascii="Times New Roman" w:hAnsi="Times New Roman" w:cs="Times New Roman"/>
          <w:b/>
          <w:bCs/>
          <w:sz w:val="20"/>
        </w:rPr>
        <w:t xml:space="preserve">the </w:t>
      </w:r>
      <w:r w:rsidRPr="00115F96">
        <w:rPr>
          <w:rFonts w:ascii="Times New Roman" w:hAnsi="Times New Roman" w:cs="Times New Roman"/>
          <w:b/>
          <w:bCs/>
          <w:sz w:val="20"/>
        </w:rPr>
        <w:t>Mand river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759"/>
        <w:gridCol w:w="1664"/>
        <w:gridCol w:w="972"/>
      </w:tblGrid>
      <w:tr w:rsidR="00750192" w:rsidRPr="00F815FF" w14:paraId="40F115A1" w14:textId="77777777" w:rsidTr="00C12D20">
        <w:trPr>
          <w:trHeight w:val="20"/>
        </w:trPr>
        <w:tc>
          <w:tcPr>
            <w:tcW w:w="1045" w:type="pct"/>
            <w:shd w:val="clear" w:color="auto" w:fill="auto"/>
            <w:hideMark/>
          </w:tcPr>
          <w:p w14:paraId="70312832"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Family</w:t>
            </w:r>
          </w:p>
        </w:tc>
        <w:tc>
          <w:tcPr>
            <w:tcW w:w="2544" w:type="pct"/>
            <w:shd w:val="clear" w:color="auto" w:fill="auto"/>
            <w:hideMark/>
          </w:tcPr>
          <w:p w14:paraId="28DFF5F5"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Tree Species</w:t>
            </w:r>
          </w:p>
        </w:tc>
        <w:tc>
          <w:tcPr>
            <w:tcW w:w="890" w:type="pct"/>
            <w:shd w:val="clear" w:color="auto" w:fill="auto"/>
            <w:hideMark/>
          </w:tcPr>
          <w:p w14:paraId="32EB9225"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Common Name</w:t>
            </w:r>
          </w:p>
        </w:tc>
        <w:tc>
          <w:tcPr>
            <w:tcW w:w="520" w:type="pct"/>
            <w:shd w:val="clear" w:color="auto" w:fill="auto"/>
            <w:hideMark/>
          </w:tcPr>
          <w:p w14:paraId="7CB82F07"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IUCN Status</w:t>
            </w:r>
          </w:p>
        </w:tc>
      </w:tr>
      <w:tr w:rsidR="00750192" w:rsidRPr="00F815FF" w14:paraId="3E0C9D74" w14:textId="77777777" w:rsidTr="00C12D20">
        <w:trPr>
          <w:trHeight w:val="20"/>
        </w:trPr>
        <w:tc>
          <w:tcPr>
            <w:tcW w:w="1045" w:type="pct"/>
            <w:vMerge w:val="restart"/>
            <w:shd w:val="clear" w:color="auto" w:fill="auto"/>
            <w:hideMark/>
          </w:tcPr>
          <w:p w14:paraId="7BD7A58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Anacardiaceae</w:t>
            </w:r>
            <w:proofErr w:type="spellEnd"/>
          </w:p>
        </w:tc>
        <w:tc>
          <w:tcPr>
            <w:tcW w:w="2544" w:type="pct"/>
            <w:shd w:val="clear" w:color="auto" w:fill="auto"/>
            <w:hideMark/>
          </w:tcPr>
          <w:p w14:paraId="1AF5A59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Buchanania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lanzan</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Spreng</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5CDEC71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Chaar</w:t>
            </w:r>
            <w:proofErr w:type="spellEnd"/>
          </w:p>
        </w:tc>
        <w:tc>
          <w:tcPr>
            <w:tcW w:w="520" w:type="pct"/>
            <w:shd w:val="clear" w:color="auto" w:fill="auto"/>
            <w:hideMark/>
          </w:tcPr>
          <w:p w14:paraId="5158283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024B0E98" w14:textId="77777777" w:rsidTr="00C12D20">
        <w:trPr>
          <w:trHeight w:val="20"/>
        </w:trPr>
        <w:tc>
          <w:tcPr>
            <w:tcW w:w="1045" w:type="pct"/>
            <w:vMerge/>
            <w:hideMark/>
          </w:tcPr>
          <w:p w14:paraId="0501373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AAF3AA7"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Lannea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coromandelica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Houtt</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Merr</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4F69E91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Gunja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Moyan</w:t>
            </w:r>
            <w:proofErr w:type="spellEnd"/>
          </w:p>
        </w:tc>
        <w:tc>
          <w:tcPr>
            <w:tcW w:w="520" w:type="pct"/>
            <w:shd w:val="clear" w:color="auto" w:fill="auto"/>
            <w:hideMark/>
          </w:tcPr>
          <w:p w14:paraId="1A63D0B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A42787F" w14:textId="77777777" w:rsidTr="00C12D20">
        <w:trPr>
          <w:trHeight w:val="20"/>
        </w:trPr>
        <w:tc>
          <w:tcPr>
            <w:tcW w:w="1045" w:type="pct"/>
            <w:vMerge/>
            <w:hideMark/>
          </w:tcPr>
          <w:p w14:paraId="147B98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4900125"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Semecarpus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anacardium</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L.f</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0388DA7C" w14:textId="5841C4DE"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Viliba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Bhelwa</w:t>
            </w:r>
            <w:proofErr w:type="spellEnd"/>
          </w:p>
        </w:tc>
        <w:tc>
          <w:tcPr>
            <w:tcW w:w="520" w:type="pct"/>
            <w:shd w:val="clear" w:color="auto" w:fill="auto"/>
            <w:hideMark/>
          </w:tcPr>
          <w:p w14:paraId="1233DA1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0AAEF63" w14:textId="77777777" w:rsidTr="00C12D20">
        <w:trPr>
          <w:trHeight w:val="20"/>
        </w:trPr>
        <w:tc>
          <w:tcPr>
            <w:tcW w:w="1045" w:type="pct"/>
            <w:shd w:val="clear" w:color="auto" w:fill="auto"/>
            <w:hideMark/>
          </w:tcPr>
          <w:p w14:paraId="13159FA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Annonaceae</w:t>
            </w:r>
            <w:proofErr w:type="spellEnd"/>
          </w:p>
        </w:tc>
        <w:tc>
          <w:tcPr>
            <w:tcW w:w="2544" w:type="pct"/>
            <w:shd w:val="clear" w:color="auto" w:fill="auto"/>
            <w:hideMark/>
          </w:tcPr>
          <w:p w14:paraId="3F9B1C71"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Miliusa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tomentosa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Roxb</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Finet</w:t>
            </w:r>
            <w:proofErr w:type="spellEnd"/>
            <w:r w:rsidRPr="00F815FF">
              <w:rPr>
                <w:rFonts w:ascii="Arial" w:eastAsia="Times New Roman" w:hAnsi="Arial" w:cs="Arial"/>
                <w:i/>
                <w:iCs/>
                <w:color w:val="000000"/>
                <w:kern w:val="0"/>
                <w:sz w:val="20"/>
                <w14:ligatures w14:val="none"/>
              </w:rPr>
              <w:t xml:space="preserve"> &amp; </w:t>
            </w:r>
            <w:proofErr w:type="spellStart"/>
            <w:r w:rsidRPr="00F815FF">
              <w:rPr>
                <w:rFonts w:ascii="Arial" w:eastAsia="Times New Roman" w:hAnsi="Arial" w:cs="Arial"/>
                <w:i/>
                <w:iCs/>
                <w:color w:val="000000"/>
                <w:kern w:val="0"/>
                <w:sz w:val="20"/>
                <w14:ligatures w14:val="none"/>
              </w:rPr>
              <w:t>Gagnep</w:t>
            </w:r>
            <w:proofErr w:type="spellEnd"/>
            <w:r w:rsidRPr="00F815FF">
              <w:rPr>
                <w:rFonts w:ascii="Arial" w:eastAsia="Times New Roman" w:hAnsi="Arial" w:cs="Arial"/>
                <w:i/>
                <w:iCs/>
                <w:color w:val="000000"/>
                <w:kern w:val="0"/>
                <w:sz w:val="20"/>
                <w14:ligatures w14:val="none"/>
              </w:rPr>
              <w:t>.</w:t>
            </w:r>
          </w:p>
        </w:tc>
        <w:tc>
          <w:tcPr>
            <w:tcW w:w="890" w:type="pct"/>
            <w:shd w:val="clear" w:color="auto" w:fill="auto"/>
            <w:hideMark/>
          </w:tcPr>
          <w:p w14:paraId="3C9EF32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Kari</w:t>
            </w:r>
          </w:p>
        </w:tc>
        <w:tc>
          <w:tcPr>
            <w:tcW w:w="520" w:type="pct"/>
            <w:shd w:val="clear" w:color="auto" w:fill="auto"/>
            <w:hideMark/>
          </w:tcPr>
          <w:p w14:paraId="0B37A4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52FE911" w14:textId="77777777" w:rsidTr="00C12D20">
        <w:trPr>
          <w:trHeight w:val="20"/>
        </w:trPr>
        <w:tc>
          <w:tcPr>
            <w:tcW w:w="1045" w:type="pct"/>
            <w:shd w:val="clear" w:color="auto" w:fill="auto"/>
            <w:hideMark/>
          </w:tcPr>
          <w:p w14:paraId="68AE9F5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Apocynaceae</w:t>
            </w:r>
            <w:proofErr w:type="spellEnd"/>
          </w:p>
        </w:tc>
        <w:tc>
          <w:tcPr>
            <w:tcW w:w="2544" w:type="pct"/>
            <w:shd w:val="clear" w:color="auto" w:fill="auto"/>
            <w:hideMark/>
          </w:tcPr>
          <w:p w14:paraId="0E24193D"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Holarrhena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pubescens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Wall. ex </w:t>
            </w:r>
            <w:proofErr w:type="spellStart"/>
            <w:proofErr w:type="gramStart"/>
            <w:r w:rsidRPr="00F815FF">
              <w:rPr>
                <w:rFonts w:ascii="Arial" w:eastAsia="Times New Roman" w:hAnsi="Arial" w:cs="Arial"/>
                <w:color w:val="333333"/>
                <w:kern w:val="0"/>
                <w:sz w:val="20"/>
                <w14:ligatures w14:val="none"/>
              </w:rPr>
              <w:t>G.Don</w:t>
            </w:r>
            <w:proofErr w:type="spellEnd"/>
            <w:proofErr w:type="gramEnd"/>
          </w:p>
        </w:tc>
        <w:tc>
          <w:tcPr>
            <w:tcW w:w="890" w:type="pct"/>
            <w:shd w:val="clear" w:color="auto" w:fill="auto"/>
            <w:hideMark/>
          </w:tcPr>
          <w:p w14:paraId="19E8EEF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Dhudhi</w:t>
            </w:r>
            <w:proofErr w:type="spellEnd"/>
            <w:r w:rsidRPr="00F815FF">
              <w:rPr>
                <w:rFonts w:ascii="Arial" w:eastAsia="Times New Roman" w:hAnsi="Arial" w:cs="Arial"/>
                <w:color w:val="000000"/>
                <w:kern w:val="0"/>
                <w:sz w:val="20"/>
                <w14:ligatures w14:val="none"/>
              </w:rPr>
              <w:t>, Korea</w:t>
            </w:r>
          </w:p>
        </w:tc>
        <w:tc>
          <w:tcPr>
            <w:tcW w:w="520" w:type="pct"/>
            <w:shd w:val="clear" w:color="auto" w:fill="auto"/>
            <w:hideMark/>
          </w:tcPr>
          <w:p w14:paraId="3B8E827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C85BB34" w14:textId="77777777" w:rsidTr="00C12D20">
        <w:trPr>
          <w:trHeight w:val="20"/>
        </w:trPr>
        <w:tc>
          <w:tcPr>
            <w:tcW w:w="1045" w:type="pct"/>
            <w:shd w:val="clear" w:color="auto" w:fill="auto"/>
            <w:hideMark/>
          </w:tcPr>
          <w:p w14:paraId="7A0D293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Bignoniaceae</w:t>
            </w:r>
          </w:p>
        </w:tc>
        <w:tc>
          <w:tcPr>
            <w:tcW w:w="2544" w:type="pct"/>
            <w:shd w:val="clear" w:color="auto" w:fill="auto"/>
            <w:hideMark/>
          </w:tcPr>
          <w:p w14:paraId="65F2D60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Oroxylum</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indicum</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r w:rsidRPr="00F815FF">
              <w:rPr>
                <w:rFonts w:ascii="Arial" w:eastAsia="Times New Roman" w:hAnsi="Arial" w:cs="Arial"/>
                <w:color w:val="333333"/>
                <w:kern w:val="0"/>
                <w:sz w:val="20"/>
                <w14:ligatures w14:val="none"/>
              </w:rPr>
              <w:t>Kurz</w:t>
            </w:r>
            <w:proofErr w:type="spellEnd"/>
          </w:p>
        </w:tc>
        <w:tc>
          <w:tcPr>
            <w:tcW w:w="890" w:type="pct"/>
            <w:shd w:val="clear" w:color="auto" w:fill="auto"/>
            <w:hideMark/>
          </w:tcPr>
          <w:p w14:paraId="3008D907" w14:textId="68AE36F3" w:rsidR="00750192" w:rsidRPr="00F815FF" w:rsidRDefault="00750192" w:rsidP="0045066B">
            <w:pPr>
              <w:spacing w:after="0" w:line="480" w:lineRule="auto"/>
              <w:rPr>
                <w:rFonts w:ascii="Arial" w:eastAsia="Times New Roman" w:hAnsi="Arial" w:cs="Arial"/>
                <w:color w:val="1F1F1F"/>
                <w:kern w:val="0"/>
                <w:sz w:val="20"/>
                <w14:ligatures w14:val="none"/>
              </w:rPr>
            </w:pPr>
            <w:r w:rsidRPr="00F815FF">
              <w:rPr>
                <w:rFonts w:ascii="Arial" w:eastAsia="Times New Roman" w:hAnsi="Arial" w:cs="Arial"/>
                <w:color w:val="1F1F1F"/>
                <w:kern w:val="0"/>
                <w:sz w:val="20"/>
                <w14:ligatures w14:val="none"/>
              </w:rPr>
              <w:t>Indian Trumpet</w:t>
            </w:r>
          </w:p>
        </w:tc>
        <w:tc>
          <w:tcPr>
            <w:tcW w:w="520" w:type="pct"/>
            <w:shd w:val="clear" w:color="auto" w:fill="auto"/>
            <w:hideMark/>
          </w:tcPr>
          <w:p w14:paraId="24625C9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68EDDA1" w14:textId="77777777" w:rsidTr="00C12D20">
        <w:trPr>
          <w:trHeight w:val="20"/>
        </w:trPr>
        <w:tc>
          <w:tcPr>
            <w:tcW w:w="1045" w:type="pct"/>
            <w:shd w:val="clear" w:color="auto" w:fill="auto"/>
            <w:hideMark/>
          </w:tcPr>
          <w:p w14:paraId="616BB140" w14:textId="749BDDB9" w:rsidR="00750192" w:rsidRPr="00F815FF" w:rsidRDefault="00E87336"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Boraginaceae</w:t>
            </w:r>
            <w:proofErr w:type="spellEnd"/>
          </w:p>
        </w:tc>
        <w:tc>
          <w:tcPr>
            <w:tcW w:w="2544" w:type="pct"/>
            <w:shd w:val="clear" w:color="auto" w:fill="auto"/>
            <w:hideMark/>
          </w:tcPr>
          <w:p w14:paraId="7B7BCBB9"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Cordia </w:t>
            </w:r>
            <w:proofErr w:type="spellStart"/>
            <w:r w:rsidRPr="00F815FF">
              <w:rPr>
                <w:rFonts w:ascii="Arial" w:eastAsia="Times New Roman" w:hAnsi="Arial" w:cs="Arial"/>
                <w:i/>
                <w:iCs/>
                <w:color w:val="000000"/>
                <w:kern w:val="0"/>
                <w:sz w:val="20"/>
                <w14:ligatures w14:val="none"/>
              </w:rPr>
              <w:t>myxa</w:t>
            </w:r>
            <w:proofErr w:type="spellEnd"/>
            <w:r w:rsidRPr="00F815FF">
              <w:rPr>
                <w:rFonts w:ascii="Arial" w:eastAsia="Times New Roman" w:hAnsi="Arial" w:cs="Arial"/>
                <w:color w:val="000000"/>
                <w:kern w:val="0"/>
                <w:sz w:val="20"/>
                <w14:ligatures w14:val="none"/>
              </w:rPr>
              <w:t xml:space="preserve"> L.</w:t>
            </w:r>
          </w:p>
        </w:tc>
        <w:tc>
          <w:tcPr>
            <w:tcW w:w="890" w:type="pct"/>
            <w:shd w:val="clear" w:color="auto" w:fill="auto"/>
            <w:hideMark/>
          </w:tcPr>
          <w:p w14:paraId="574372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Lasoda</w:t>
            </w:r>
            <w:proofErr w:type="spellEnd"/>
          </w:p>
        </w:tc>
        <w:tc>
          <w:tcPr>
            <w:tcW w:w="520" w:type="pct"/>
            <w:shd w:val="clear" w:color="auto" w:fill="auto"/>
            <w:hideMark/>
          </w:tcPr>
          <w:p w14:paraId="054FEEF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LC </w:t>
            </w:r>
          </w:p>
        </w:tc>
      </w:tr>
      <w:tr w:rsidR="00750192" w:rsidRPr="00F815FF" w14:paraId="24FD5E64" w14:textId="77777777" w:rsidTr="00C12D20">
        <w:trPr>
          <w:trHeight w:val="20"/>
        </w:trPr>
        <w:tc>
          <w:tcPr>
            <w:tcW w:w="1045" w:type="pct"/>
            <w:vMerge w:val="restart"/>
            <w:shd w:val="clear" w:color="auto" w:fill="auto"/>
            <w:hideMark/>
          </w:tcPr>
          <w:p w14:paraId="11D965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Burseraceae</w:t>
            </w:r>
          </w:p>
        </w:tc>
        <w:tc>
          <w:tcPr>
            <w:tcW w:w="2544" w:type="pct"/>
            <w:shd w:val="clear" w:color="auto" w:fill="auto"/>
            <w:hideMark/>
          </w:tcPr>
          <w:p w14:paraId="5C0EE49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Boswellia serrata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4264CE4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Salai</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Sahalia</w:t>
            </w:r>
            <w:proofErr w:type="spellEnd"/>
          </w:p>
        </w:tc>
        <w:tc>
          <w:tcPr>
            <w:tcW w:w="520" w:type="pct"/>
            <w:shd w:val="clear" w:color="auto" w:fill="auto"/>
            <w:hideMark/>
          </w:tcPr>
          <w:p w14:paraId="4BE82C6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3C25AF5D" w14:textId="77777777" w:rsidTr="00C12D20">
        <w:trPr>
          <w:trHeight w:val="20"/>
        </w:trPr>
        <w:tc>
          <w:tcPr>
            <w:tcW w:w="1045" w:type="pct"/>
            <w:vMerge/>
            <w:hideMark/>
          </w:tcPr>
          <w:p w14:paraId="271AE16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D469D76"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Garuga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pinnata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9139EA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Kekad</w:t>
            </w:r>
            <w:proofErr w:type="spellEnd"/>
          </w:p>
        </w:tc>
        <w:tc>
          <w:tcPr>
            <w:tcW w:w="520" w:type="pct"/>
            <w:shd w:val="clear" w:color="auto" w:fill="auto"/>
            <w:hideMark/>
          </w:tcPr>
          <w:p w14:paraId="4D65241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6469A09C" w14:textId="77777777" w:rsidTr="00C12D20">
        <w:trPr>
          <w:trHeight w:val="20"/>
        </w:trPr>
        <w:tc>
          <w:tcPr>
            <w:tcW w:w="1045" w:type="pct"/>
            <w:vMerge w:val="restart"/>
            <w:shd w:val="clear" w:color="auto" w:fill="auto"/>
            <w:hideMark/>
          </w:tcPr>
          <w:p w14:paraId="0CC561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Combretaceae</w:t>
            </w:r>
            <w:proofErr w:type="spellEnd"/>
          </w:p>
        </w:tc>
        <w:tc>
          <w:tcPr>
            <w:tcW w:w="2544" w:type="pct"/>
            <w:shd w:val="clear" w:color="auto" w:fill="auto"/>
            <w:hideMark/>
          </w:tcPr>
          <w:p w14:paraId="0B28D02C"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anogeissiana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Gere &amp; </w:t>
            </w:r>
            <w:proofErr w:type="spellStart"/>
            <w:r w:rsidRPr="00F815FF">
              <w:rPr>
                <w:rFonts w:ascii="Arial" w:eastAsia="Times New Roman" w:hAnsi="Arial" w:cs="Arial"/>
                <w:color w:val="333333"/>
                <w:kern w:val="0"/>
                <w:sz w:val="20"/>
                <w14:ligatures w14:val="none"/>
              </w:rPr>
              <w:t>Boatwr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37C6CE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Dhawada</w:t>
            </w:r>
            <w:proofErr w:type="spellEnd"/>
          </w:p>
        </w:tc>
        <w:tc>
          <w:tcPr>
            <w:tcW w:w="520" w:type="pct"/>
            <w:shd w:val="clear" w:color="auto" w:fill="auto"/>
            <w:hideMark/>
          </w:tcPr>
          <w:p w14:paraId="60CAF01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6679432" w14:textId="77777777" w:rsidTr="00C12D20">
        <w:trPr>
          <w:trHeight w:val="20"/>
        </w:trPr>
        <w:tc>
          <w:tcPr>
            <w:tcW w:w="1045" w:type="pct"/>
            <w:vMerge/>
            <w:hideMark/>
          </w:tcPr>
          <w:p w14:paraId="43435CF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A5300F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Terminalia arjuna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ex DC.) Wight &amp; </w:t>
            </w:r>
            <w:proofErr w:type="spellStart"/>
            <w:r w:rsidRPr="00F815FF">
              <w:rPr>
                <w:rFonts w:ascii="Arial" w:eastAsia="Times New Roman" w:hAnsi="Arial" w:cs="Arial"/>
                <w:color w:val="333333"/>
                <w:kern w:val="0"/>
                <w:sz w:val="20"/>
                <w14:ligatures w14:val="none"/>
              </w:rPr>
              <w:t>Arn</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2D59FB1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Arjun, Kahua</w:t>
            </w:r>
          </w:p>
        </w:tc>
        <w:tc>
          <w:tcPr>
            <w:tcW w:w="520" w:type="pct"/>
            <w:shd w:val="clear" w:color="auto" w:fill="auto"/>
            <w:hideMark/>
          </w:tcPr>
          <w:p w14:paraId="5857ABD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BEC2CC2" w14:textId="77777777" w:rsidTr="00C12D20">
        <w:trPr>
          <w:trHeight w:val="20"/>
        </w:trPr>
        <w:tc>
          <w:tcPr>
            <w:tcW w:w="1045" w:type="pct"/>
            <w:vMerge/>
            <w:hideMark/>
          </w:tcPr>
          <w:p w14:paraId="3EAD142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0EA519E"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bellirica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Gaertn</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0849D82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Baheda</w:t>
            </w:r>
            <w:proofErr w:type="spellEnd"/>
          </w:p>
        </w:tc>
        <w:tc>
          <w:tcPr>
            <w:tcW w:w="520" w:type="pct"/>
            <w:shd w:val="clear" w:color="auto" w:fill="auto"/>
            <w:hideMark/>
          </w:tcPr>
          <w:p w14:paraId="52943CC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DA5482E" w14:textId="77777777" w:rsidTr="00C12D20">
        <w:trPr>
          <w:trHeight w:val="20"/>
        </w:trPr>
        <w:tc>
          <w:tcPr>
            <w:tcW w:w="1045" w:type="pct"/>
            <w:vMerge/>
            <w:hideMark/>
          </w:tcPr>
          <w:p w14:paraId="4E7DC42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9D9DB9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chebula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Retz.</w:t>
            </w:r>
          </w:p>
        </w:tc>
        <w:tc>
          <w:tcPr>
            <w:tcW w:w="890" w:type="pct"/>
            <w:shd w:val="clear" w:color="auto" w:fill="auto"/>
            <w:hideMark/>
          </w:tcPr>
          <w:p w14:paraId="45C8F84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Harra</w:t>
            </w:r>
            <w:proofErr w:type="spellEnd"/>
          </w:p>
        </w:tc>
        <w:tc>
          <w:tcPr>
            <w:tcW w:w="520" w:type="pct"/>
            <w:shd w:val="clear" w:color="auto" w:fill="auto"/>
            <w:hideMark/>
          </w:tcPr>
          <w:p w14:paraId="26C1389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9AF2DD1" w14:textId="77777777" w:rsidTr="00C12D20">
        <w:trPr>
          <w:trHeight w:val="20"/>
        </w:trPr>
        <w:tc>
          <w:tcPr>
            <w:tcW w:w="1045" w:type="pct"/>
            <w:vMerge/>
            <w:hideMark/>
          </w:tcPr>
          <w:p w14:paraId="28CEFD8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7E1F93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elliptica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Willd</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2321A7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Saja</w:t>
            </w:r>
            <w:proofErr w:type="spellEnd"/>
          </w:p>
        </w:tc>
        <w:tc>
          <w:tcPr>
            <w:tcW w:w="520" w:type="pct"/>
            <w:shd w:val="clear" w:color="auto" w:fill="auto"/>
            <w:hideMark/>
          </w:tcPr>
          <w:p w14:paraId="7303891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8DD7117" w14:textId="77777777" w:rsidTr="00C12D20">
        <w:trPr>
          <w:trHeight w:val="20"/>
        </w:trPr>
        <w:tc>
          <w:tcPr>
            <w:tcW w:w="1045" w:type="pct"/>
            <w:shd w:val="clear" w:color="auto" w:fill="auto"/>
            <w:hideMark/>
          </w:tcPr>
          <w:p w14:paraId="007D8B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Cornaceae</w:t>
            </w:r>
            <w:proofErr w:type="spellEnd"/>
          </w:p>
        </w:tc>
        <w:tc>
          <w:tcPr>
            <w:tcW w:w="2544" w:type="pct"/>
            <w:shd w:val="clear" w:color="auto" w:fill="auto"/>
            <w:hideMark/>
          </w:tcPr>
          <w:p w14:paraId="6B5DD93C" w14:textId="77777777" w:rsidR="00750192" w:rsidRPr="00F815FF" w:rsidRDefault="00750192" w:rsidP="0045066B">
            <w:pPr>
              <w:spacing w:after="0" w:line="480" w:lineRule="auto"/>
              <w:rPr>
                <w:rFonts w:ascii="Arial" w:eastAsia="Times New Roman" w:hAnsi="Arial" w:cs="Arial"/>
                <w:i/>
                <w:iCs/>
                <w:color w:val="000000"/>
                <w:kern w:val="0"/>
                <w:sz w:val="20"/>
                <w:lang w:val="de-DE"/>
                <w14:ligatures w14:val="none"/>
              </w:rPr>
            </w:pPr>
            <w:r w:rsidRPr="00F815FF">
              <w:rPr>
                <w:rFonts w:ascii="Arial" w:eastAsia="Times New Roman" w:hAnsi="Arial" w:cs="Arial"/>
                <w:i/>
                <w:iCs/>
                <w:color w:val="000000"/>
                <w:kern w:val="0"/>
                <w:sz w:val="20"/>
                <w:lang w:val="de-DE"/>
                <w14:ligatures w14:val="none"/>
              </w:rPr>
              <w:t>Alangium salvifolium </w:t>
            </w:r>
            <w:r w:rsidRPr="00F815FF">
              <w:rPr>
                <w:rFonts w:ascii="Arial" w:eastAsia="Times New Roman" w:hAnsi="Arial" w:cs="Arial"/>
                <w:color w:val="000000"/>
                <w:kern w:val="0"/>
                <w:sz w:val="20"/>
                <w:lang w:val="de-DE"/>
                <w14:ligatures w14:val="none"/>
              </w:rPr>
              <w:t>(Linn.f.) Wang.</w:t>
            </w:r>
          </w:p>
        </w:tc>
        <w:tc>
          <w:tcPr>
            <w:tcW w:w="890" w:type="pct"/>
            <w:shd w:val="clear" w:color="auto" w:fill="auto"/>
            <w:hideMark/>
          </w:tcPr>
          <w:p w14:paraId="0A63B8E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Akol</w:t>
            </w:r>
            <w:proofErr w:type="spellEnd"/>
          </w:p>
        </w:tc>
        <w:tc>
          <w:tcPr>
            <w:tcW w:w="520" w:type="pct"/>
            <w:shd w:val="clear" w:color="auto" w:fill="auto"/>
            <w:hideMark/>
          </w:tcPr>
          <w:p w14:paraId="3801D1E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89C68D7" w14:textId="77777777" w:rsidTr="00C12D20">
        <w:trPr>
          <w:trHeight w:val="20"/>
        </w:trPr>
        <w:tc>
          <w:tcPr>
            <w:tcW w:w="1045" w:type="pct"/>
            <w:shd w:val="clear" w:color="auto" w:fill="auto"/>
            <w:hideMark/>
          </w:tcPr>
          <w:p w14:paraId="22485CB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Depterocarpaceae</w:t>
            </w:r>
            <w:proofErr w:type="spellEnd"/>
          </w:p>
        </w:tc>
        <w:tc>
          <w:tcPr>
            <w:tcW w:w="2544" w:type="pct"/>
            <w:shd w:val="clear" w:color="auto" w:fill="auto"/>
            <w:hideMark/>
          </w:tcPr>
          <w:p w14:paraId="4D19BEC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Shorea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robusta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C.</w:t>
            </w:r>
            <w:proofErr w:type="gramStart"/>
            <w:r w:rsidRPr="00F815FF">
              <w:rPr>
                <w:rFonts w:ascii="Arial" w:eastAsia="Times New Roman" w:hAnsi="Arial" w:cs="Arial"/>
                <w:color w:val="333333"/>
                <w:kern w:val="0"/>
                <w:sz w:val="20"/>
                <w14:ligatures w14:val="none"/>
              </w:rPr>
              <w:t>F.Gaertn</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6FB7EFF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Sal</w:t>
            </w:r>
          </w:p>
        </w:tc>
        <w:tc>
          <w:tcPr>
            <w:tcW w:w="520" w:type="pct"/>
            <w:shd w:val="clear" w:color="auto" w:fill="auto"/>
            <w:hideMark/>
          </w:tcPr>
          <w:p w14:paraId="600FC8E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0916892" w14:textId="77777777" w:rsidTr="00C12D20">
        <w:trPr>
          <w:trHeight w:val="20"/>
        </w:trPr>
        <w:tc>
          <w:tcPr>
            <w:tcW w:w="1045" w:type="pct"/>
            <w:vMerge w:val="restart"/>
            <w:shd w:val="clear" w:color="auto" w:fill="auto"/>
            <w:hideMark/>
          </w:tcPr>
          <w:p w14:paraId="036EEF2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Ebenaceae</w:t>
            </w:r>
            <w:proofErr w:type="spellEnd"/>
          </w:p>
        </w:tc>
        <w:tc>
          <w:tcPr>
            <w:tcW w:w="2544" w:type="pct"/>
            <w:shd w:val="clear" w:color="auto" w:fill="auto"/>
            <w:hideMark/>
          </w:tcPr>
          <w:p w14:paraId="51D965FC"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Diospyros </w:t>
            </w:r>
            <w:proofErr w:type="spellStart"/>
            <w:r w:rsidRPr="00F815FF">
              <w:rPr>
                <w:rFonts w:ascii="Arial" w:eastAsia="Times New Roman" w:hAnsi="Arial" w:cs="Arial"/>
                <w:i/>
                <w:iCs/>
                <w:color w:val="262626"/>
                <w:kern w:val="0"/>
                <w:sz w:val="20"/>
                <w14:ligatures w14:val="none"/>
              </w:rPr>
              <w:t>malabarica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Desr</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Kostel</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1C2A64F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Makar </w:t>
            </w:r>
            <w:proofErr w:type="spellStart"/>
            <w:r w:rsidRPr="00F815FF">
              <w:rPr>
                <w:rFonts w:ascii="Arial" w:eastAsia="Times New Roman" w:hAnsi="Arial" w:cs="Arial"/>
                <w:color w:val="000000"/>
                <w:kern w:val="0"/>
                <w:sz w:val="20"/>
                <w14:ligatures w14:val="none"/>
              </w:rPr>
              <w:t>tendu</w:t>
            </w:r>
            <w:proofErr w:type="spellEnd"/>
          </w:p>
        </w:tc>
        <w:tc>
          <w:tcPr>
            <w:tcW w:w="520" w:type="pct"/>
            <w:shd w:val="clear" w:color="auto" w:fill="auto"/>
            <w:hideMark/>
          </w:tcPr>
          <w:p w14:paraId="4292B0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6A41CE1D" w14:textId="77777777" w:rsidTr="00C12D20">
        <w:trPr>
          <w:trHeight w:val="20"/>
        </w:trPr>
        <w:tc>
          <w:tcPr>
            <w:tcW w:w="1045" w:type="pct"/>
            <w:vMerge/>
            <w:hideMark/>
          </w:tcPr>
          <w:p w14:paraId="35655C9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C9DE580"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Diospyros </w:t>
            </w:r>
            <w:proofErr w:type="spellStart"/>
            <w:r w:rsidRPr="00F815FF">
              <w:rPr>
                <w:rFonts w:ascii="Arial" w:eastAsia="Times New Roman" w:hAnsi="Arial" w:cs="Arial"/>
                <w:i/>
                <w:iCs/>
                <w:color w:val="000000"/>
                <w:kern w:val="0"/>
                <w:sz w:val="20"/>
                <w14:ligatures w14:val="none"/>
              </w:rPr>
              <w:t>melanoxylon</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07A0E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Tendu</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kendu</w:t>
            </w:r>
            <w:proofErr w:type="spellEnd"/>
          </w:p>
        </w:tc>
        <w:tc>
          <w:tcPr>
            <w:tcW w:w="520" w:type="pct"/>
            <w:shd w:val="clear" w:color="auto" w:fill="auto"/>
            <w:hideMark/>
          </w:tcPr>
          <w:p w14:paraId="396EC9D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3289FF3" w14:textId="77777777" w:rsidTr="00C12D20">
        <w:trPr>
          <w:trHeight w:val="20"/>
        </w:trPr>
        <w:tc>
          <w:tcPr>
            <w:tcW w:w="1045" w:type="pct"/>
            <w:vMerge/>
            <w:hideMark/>
          </w:tcPr>
          <w:p w14:paraId="798D114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3DD2D28"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Diospyros </w:t>
            </w:r>
            <w:proofErr w:type="spellStart"/>
            <w:r w:rsidRPr="00F815FF">
              <w:rPr>
                <w:rFonts w:ascii="Arial" w:eastAsia="Times New Roman" w:hAnsi="Arial" w:cs="Arial"/>
                <w:i/>
                <w:iCs/>
                <w:color w:val="262626"/>
                <w:kern w:val="0"/>
                <w:sz w:val="20"/>
                <w14:ligatures w14:val="none"/>
              </w:rPr>
              <w:t>montana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471A395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Basendu</w:t>
            </w:r>
            <w:proofErr w:type="spellEnd"/>
          </w:p>
        </w:tc>
        <w:tc>
          <w:tcPr>
            <w:tcW w:w="520" w:type="pct"/>
            <w:shd w:val="clear" w:color="auto" w:fill="auto"/>
            <w:hideMark/>
          </w:tcPr>
          <w:p w14:paraId="59E14BD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9908275" w14:textId="77777777" w:rsidTr="00C12D20">
        <w:trPr>
          <w:trHeight w:val="20"/>
        </w:trPr>
        <w:tc>
          <w:tcPr>
            <w:tcW w:w="1045" w:type="pct"/>
            <w:shd w:val="clear" w:color="auto" w:fill="auto"/>
            <w:hideMark/>
          </w:tcPr>
          <w:p w14:paraId="388D035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Euphorbiaceae</w:t>
            </w:r>
            <w:proofErr w:type="spellEnd"/>
          </w:p>
        </w:tc>
        <w:tc>
          <w:tcPr>
            <w:tcW w:w="2544" w:type="pct"/>
            <w:shd w:val="clear" w:color="auto" w:fill="auto"/>
            <w:hideMark/>
          </w:tcPr>
          <w:p w14:paraId="14C7220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Croton </w:t>
            </w:r>
            <w:proofErr w:type="spellStart"/>
            <w:r w:rsidRPr="00F815FF">
              <w:rPr>
                <w:rFonts w:ascii="Arial" w:eastAsia="Times New Roman" w:hAnsi="Arial" w:cs="Arial"/>
                <w:i/>
                <w:iCs/>
                <w:color w:val="000000"/>
                <w:kern w:val="0"/>
                <w:sz w:val="20"/>
                <w14:ligatures w14:val="none"/>
              </w:rPr>
              <w:t>persimilis</w:t>
            </w:r>
            <w:proofErr w:type="spellEnd"/>
            <w:r w:rsidRPr="00F815FF">
              <w:rPr>
                <w:rFonts w:ascii="Arial" w:eastAsia="Times New Roman" w:hAnsi="Arial" w:cs="Arial"/>
                <w:color w:val="000000"/>
                <w:kern w:val="0"/>
                <w:sz w:val="20"/>
                <w14:ligatures w14:val="none"/>
              </w:rPr>
              <w:t> </w:t>
            </w:r>
            <w:proofErr w:type="spellStart"/>
            <w:r w:rsidRPr="00F815FF">
              <w:rPr>
                <w:rFonts w:ascii="Arial" w:eastAsia="Times New Roman" w:hAnsi="Arial" w:cs="Arial"/>
                <w:color w:val="000000"/>
                <w:kern w:val="0"/>
                <w:sz w:val="20"/>
                <w14:ligatures w14:val="none"/>
              </w:rPr>
              <w:t>Müll.Arg</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36719AE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Chucka</w:t>
            </w:r>
            <w:proofErr w:type="spellEnd"/>
          </w:p>
        </w:tc>
        <w:tc>
          <w:tcPr>
            <w:tcW w:w="520" w:type="pct"/>
            <w:shd w:val="clear" w:color="auto" w:fill="auto"/>
            <w:hideMark/>
          </w:tcPr>
          <w:p w14:paraId="00AA1FB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E52CE03" w14:textId="77777777" w:rsidTr="00C12D20">
        <w:trPr>
          <w:trHeight w:val="20"/>
        </w:trPr>
        <w:tc>
          <w:tcPr>
            <w:tcW w:w="1045" w:type="pct"/>
            <w:vMerge w:val="restart"/>
            <w:shd w:val="clear" w:color="auto" w:fill="auto"/>
            <w:hideMark/>
          </w:tcPr>
          <w:p w14:paraId="57E99274" w14:textId="75825619" w:rsidR="00750192" w:rsidRPr="00F815FF" w:rsidRDefault="007D3F8E"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Fabaceae</w:t>
            </w:r>
          </w:p>
        </w:tc>
        <w:tc>
          <w:tcPr>
            <w:tcW w:w="2544" w:type="pct"/>
            <w:shd w:val="clear" w:color="auto" w:fill="auto"/>
            <w:hideMark/>
          </w:tcPr>
          <w:p w14:paraId="36A44A37"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Albizia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lebbeck</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r w:rsidRPr="00F815FF">
              <w:rPr>
                <w:rFonts w:ascii="Arial" w:eastAsia="Times New Roman" w:hAnsi="Arial" w:cs="Arial"/>
                <w:color w:val="333333"/>
                <w:kern w:val="0"/>
                <w:sz w:val="20"/>
                <w14:ligatures w14:val="none"/>
              </w:rPr>
              <w:t>Benth</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57BFE8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Kala </w:t>
            </w:r>
            <w:proofErr w:type="spellStart"/>
            <w:r w:rsidRPr="00F815FF">
              <w:rPr>
                <w:rFonts w:ascii="Arial" w:eastAsia="Times New Roman" w:hAnsi="Arial" w:cs="Arial"/>
                <w:color w:val="000000"/>
                <w:kern w:val="0"/>
                <w:sz w:val="20"/>
                <w14:ligatures w14:val="none"/>
              </w:rPr>
              <w:t>sirus</w:t>
            </w:r>
            <w:proofErr w:type="spellEnd"/>
          </w:p>
        </w:tc>
        <w:tc>
          <w:tcPr>
            <w:tcW w:w="520" w:type="pct"/>
            <w:shd w:val="clear" w:color="auto" w:fill="auto"/>
            <w:hideMark/>
          </w:tcPr>
          <w:p w14:paraId="7324300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1F0419C" w14:textId="77777777" w:rsidTr="00C12D20">
        <w:trPr>
          <w:trHeight w:val="20"/>
        </w:trPr>
        <w:tc>
          <w:tcPr>
            <w:tcW w:w="1045" w:type="pct"/>
            <w:vMerge/>
            <w:hideMark/>
          </w:tcPr>
          <w:p w14:paraId="59B62AB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C91C8AF"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Albizia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procera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Benth</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3FCCB45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White </w:t>
            </w:r>
            <w:proofErr w:type="spellStart"/>
            <w:r w:rsidRPr="00F815FF">
              <w:rPr>
                <w:rFonts w:ascii="Arial" w:eastAsia="Times New Roman" w:hAnsi="Arial" w:cs="Arial"/>
                <w:color w:val="000000"/>
                <w:kern w:val="0"/>
                <w:sz w:val="20"/>
                <w14:ligatures w14:val="none"/>
              </w:rPr>
              <w:t>Siris</w:t>
            </w:r>
            <w:proofErr w:type="spellEnd"/>
          </w:p>
        </w:tc>
        <w:tc>
          <w:tcPr>
            <w:tcW w:w="520" w:type="pct"/>
            <w:shd w:val="clear" w:color="auto" w:fill="auto"/>
            <w:hideMark/>
          </w:tcPr>
          <w:p w14:paraId="7C2C136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FC8A272" w14:textId="77777777" w:rsidTr="00C12D20">
        <w:trPr>
          <w:trHeight w:val="20"/>
        </w:trPr>
        <w:tc>
          <w:tcPr>
            <w:tcW w:w="1045" w:type="pct"/>
            <w:vMerge/>
            <w:hideMark/>
          </w:tcPr>
          <w:p w14:paraId="3911E1B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E0C7CAB"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Bauhinia </w:t>
            </w:r>
            <w:proofErr w:type="spellStart"/>
            <w:r w:rsidRPr="00F815FF">
              <w:rPr>
                <w:rFonts w:ascii="Arial" w:eastAsia="Times New Roman" w:hAnsi="Arial" w:cs="Arial"/>
                <w:i/>
                <w:iCs/>
                <w:color w:val="000000"/>
                <w:kern w:val="0"/>
                <w:sz w:val="20"/>
                <w14:ligatures w14:val="none"/>
              </w:rPr>
              <w:t>variegata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4017BAD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Kachnar</w:t>
            </w:r>
            <w:proofErr w:type="spellEnd"/>
          </w:p>
        </w:tc>
        <w:tc>
          <w:tcPr>
            <w:tcW w:w="520" w:type="pct"/>
            <w:shd w:val="clear" w:color="auto" w:fill="auto"/>
            <w:hideMark/>
          </w:tcPr>
          <w:p w14:paraId="64F03FB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E4B9A2B" w14:textId="77777777" w:rsidTr="00C12D20">
        <w:trPr>
          <w:trHeight w:val="20"/>
        </w:trPr>
        <w:tc>
          <w:tcPr>
            <w:tcW w:w="1045" w:type="pct"/>
            <w:vMerge/>
            <w:hideMark/>
          </w:tcPr>
          <w:p w14:paraId="7F0CE93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D5CFD37"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Butea </w:t>
            </w:r>
            <w:proofErr w:type="spellStart"/>
            <w:r w:rsidRPr="00F815FF">
              <w:rPr>
                <w:rFonts w:ascii="Arial" w:eastAsia="Times New Roman" w:hAnsi="Arial" w:cs="Arial"/>
                <w:i/>
                <w:iCs/>
                <w:color w:val="262626"/>
                <w:kern w:val="0"/>
                <w:sz w:val="20"/>
                <w14:ligatures w14:val="none"/>
              </w:rPr>
              <w:t>monosperma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(Lam.) </w:t>
            </w:r>
            <w:proofErr w:type="spellStart"/>
            <w:r w:rsidRPr="00F815FF">
              <w:rPr>
                <w:rFonts w:ascii="Arial" w:eastAsia="Times New Roman" w:hAnsi="Arial" w:cs="Arial"/>
                <w:color w:val="333333"/>
                <w:kern w:val="0"/>
                <w:sz w:val="20"/>
                <w14:ligatures w14:val="none"/>
              </w:rPr>
              <w:t>Kuntze</w:t>
            </w:r>
            <w:proofErr w:type="spellEnd"/>
          </w:p>
        </w:tc>
        <w:tc>
          <w:tcPr>
            <w:tcW w:w="890" w:type="pct"/>
            <w:shd w:val="clear" w:color="auto" w:fill="auto"/>
            <w:hideMark/>
          </w:tcPr>
          <w:p w14:paraId="636AED0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Palas</w:t>
            </w:r>
            <w:proofErr w:type="spellEnd"/>
          </w:p>
        </w:tc>
        <w:tc>
          <w:tcPr>
            <w:tcW w:w="520" w:type="pct"/>
            <w:shd w:val="clear" w:color="auto" w:fill="auto"/>
            <w:hideMark/>
          </w:tcPr>
          <w:p w14:paraId="6284089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6566514" w14:textId="77777777" w:rsidTr="00C12D20">
        <w:trPr>
          <w:trHeight w:val="20"/>
        </w:trPr>
        <w:tc>
          <w:tcPr>
            <w:tcW w:w="1045" w:type="pct"/>
            <w:vMerge/>
            <w:hideMark/>
          </w:tcPr>
          <w:p w14:paraId="35665EB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34CF03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Cassia fistula </w:t>
            </w:r>
            <w:r w:rsidRPr="00F815FF">
              <w:rPr>
                <w:rFonts w:ascii="Arial" w:eastAsia="Times New Roman" w:hAnsi="Arial" w:cs="Arial"/>
                <w:color w:val="000000"/>
                <w:kern w:val="0"/>
                <w:sz w:val="20"/>
                <w14:ligatures w14:val="none"/>
              </w:rPr>
              <w:t>L.</w:t>
            </w:r>
          </w:p>
        </w:tc>
        <w:tc>
          <w:tcPr>
            <w:tcW w:w="890" w:type="pct"/>
            <w:shd w:val="clear" w:color="auto" w:fill="auto"/>
            <w:hideMark/>
          </w:tcPr>
          <w:p w14:paraId="29A773D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Amaltash</w:t>
            </w:r>
            <w:proofErr w:type="spellEnd"/>
          </w:p>
        </w:tc>
        <w:tc>
          <w:tcPr>
            <w:tcW w:w="520" w:type="pct"/>
            <w:shd w:val="clear" w:color="auto" w:fill="auto"/>
            <w:hideMark/>
          </w:tcPr>
          <w:p w14:paraId="5788CE1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1845926" w14:textId="77777777" w:rsidTr="00C12D20">
        <w:trPr>
          <w:trHeight w:val="20"/>
        </w:trPr>
        <w:tc>
          <w:tcPr>
            <w:tcW w:w="1045" w:type="pct"/>
            <w:vMerge/>
            <w:hideMark/>
          </w:tcPr>
          <w:p w14:paraId="2B70704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38F4C1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Dalbergia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lanceolaria</w:t>
            </w:r>
            <w:proofErr w:type="spellEnd"/>
            <w:r w:rsidRPr="00F815FF">
              <w:rPr>
                <w:rFonts w:ascii="Arial" w:eastAsia="Times New Roman" w:hAnsi="Arial" w:cs="Arial"/>
                <w:color w:val="262626"/>
                <w:kern w:val="0"/>
                <w:sz w:val="20"/>
                <w14:ligatures w14:val="none"/>
              </w:rPr>
              <w:t> subsp. </w:t>
            </w:r>
            <w:proofErr w:type="spellStart"/>
            <w:r w:rsidRPr="00F815FF">
              <w:rPr>
                <w:rFonts w:ascii="Arial" w:eastAsia="Times New Roman" w:hAnsi="Arial" w:cs="Arial"/>
                <w:i/>
                <w:iCs/>
                <w:color w:val="262626"/>
                <w:kern w:val="0"/>
                <w:sz w:val="20"/>
                <w14:ligatures w14:val="none"/>
              </w:rPr>
              <w:t>paniculata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Thoth.</w:t>
            </w:r>
          </w:p>
        </w:tc>
        <w:tc>
          <w:tcPr>
            <w:tcW w:w="890" w:type="pct"/>
            <w:shd w:val="clear" w:color="auto" w:fill="auto"/>
            <w:hideMark/>
          </w:tcPr>
          <w:p w14:paraId="7B6736C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Dhobin</w:t>
            </w:r>
            <w:proofErr w:type="spellEnd"/>
          </w:p>
        </w:tc>
        <w:tc>
          <w:tcPr>
            <w:tcW w:w="520" w:type="pct"/>
            <w:shd w:val="clear" w:color="auto" w:fill="auto"/>
            <w:hideMark/>
          </w:tcPr>
          <w:p w14:paraId="48E3AD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599F0B9" w14:textId="77777777" w:rsidTr="00C12D20">
        <w:trPr>
          <w:trHeight w:val="20"/>
        </w:trPr>
        <w:tc>
          <w:tcPr>
            <w:tcW w:w="1045" w:type="pct"/>
            <w:vMerge/>
            <w:hideMark/>
          </w:tcPr>
          <w:p w14:paraId="2D5CE9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0761C5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Dalbergia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latifolia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E2A8E8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Siris</w:t>
            </w:r>
            <w:proofErr w:type="spellEnd"/>
          </w:p>
        </w:tc>
        <w:tc>
          <w:tcPr>
            <w:tcW w:w="520" w:type="pct"/>
            <w:shd w:val="clear" w:color="auto" w:fill="auto"/>
            <w:hideMark/>
          </w:tcPr>
          <w:p w14:paraId="74CD5DF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69FCD60A" w14:textId="77777777" w:rsidTr="00C12D20">
        <w:trPr>
          <w:trHeight w:val="20"/>
        </w:trPr>
        <w:tc>
          <w:tcPr>
            <w:tcW w:w="1045" w:type="pct"/>
            <w:vMerge/>
            <w:hideMark/>
          </w:tcPr>
          <w:p w14:paraId="7DB49A9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49B3AD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Ougeinia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oojeinensis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Hochr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222E30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Tinsa</w:t>
            </w:r>
            <w:proofErr w:type="spellEnd"/>
          </w:p>
        </w:tc>
        <w:tc>
          <w:tcPr>
            <w:tcW w:w="520" w:type="pct"/>
            <w:shd w:val="clear" w:color="auto" w:fill="auto"/>
            <w:hideMark/>
          </w:tcPr>
          <w:p w14:paraId="6427E8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39539B7" w14:textId="77777777" w:rsidTr="00C12D20">
        <w:trPr>
          <w:trHeight w:val="20"/>
        </w:trPr>
        <w:tc>
          <w:tcPr>
            <w:tcW w:w="1045" w:type="pct"/>
            <w:vMerge/>
            <w:hideMark/>
          </w:tcPr>
          <w:p w14:paraId="23AC2FC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FB0A4BB"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Phanera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roxburghiana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(Voigt) </w:t>
            </w:r>
            <w:proofErr w:type="spellStart"/>
            <w:r w:rsidRPr="00F815FF">
              <w:rPr>
                <w:rFonts w:ascii="Arial" w:eastAsia="Times New Roman" w:hAnsi="Arial" w:cs="Arial"/>
                <w:color w:val="333333"/>
                <w:kern w:val="0"/>
                <w:sz w:val="20"/>
                <w14:ligatures w14:val="none"/>
              </w:rPr>
              <w:t>Bandyop</w:t>
            </w:r>
            <w:proofErr w:type="spellEnd"/>
            <w:r w:rsidRPr="00F815FF">
              <w:rPr>
                <w:rFonts w:ascii="Arial" w:eastAsia="Times New Roman" w:hAnsi="Arial" w:cs="Arial"/>
                <w:color w:val="333333"/>
                <w:kern w:val="0"/>
                <w:sz w:val="20"/>
                <w14:ligatures w14:val="none"/>
              </w:rPr>
              <w:t xml:space="preserve">., Anand Kumar &amp; </w:t>
            </w:r>
            <w:proofErr w:type="spellStart"/>
            <w:r w:rsidRPr="00F815FF">
              <w:rPr>
                <w:rFonts w:ascii="Arial" w:eastAsia="Times New Roman" w:hAnsi="Arial" w:cs="Arial"/>
                <w:color w:val="333333"/>
                <w:kern w:val="0"/>
                <w:sz w:val="20"/>
                <w14:ligatures w14:val="none"/>
              </w:rPr>
              <w:t>Chakrab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56AC547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Thhaur</w:t>
            </w:r>
            <w:proofErr w:type="spellEnd"/>
          </w:p>
        </w:tc>
        <w:tc>
          <w:tcPr>
            <w:tcW w:w="520" w:type="pct"/>
            <w:shd w:val="clear" w:color="auto" w:fill="auto"/>
            <w:hideMark/>
          </w:tcPr>
          <w:p w14:paraId="6475BB0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2A74F787" w14:textId="77777777" w:rsidTr="00C12D20">
        <w:trPr>
          <w:trHeight w:val="20"/>
        </w:trPr>
        <w:tc>
          <w:tcPr>
            <w:tcW w:w="1045" w:type="pct"/>
            <w:vMerge/>
            <w:hideMark/>
          </w:tcPr>
          <w:p w14:paraId="5ED3D51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FA34C6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Piliostigma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malabaricum</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Benth</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36B7760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Amta</w:t>
            </w:r>
            <w:proofErr w:type="spellEnd"/>
          </w:p>
        </w:tc>
        <w:tc>
          <w:tcPr>
            <w:tcW w:w="520" w:type="pct"/>
            <w:shd w:val="clear" w:color="auto" w:fill="auto"/>
            <w:hideMark/>
          </w:tcPr>
          <w:p w14:paraId="64584C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20C6224" w14:textId="77777777" w:rsidTr="00C12D20">
        <w:trPr>
          <w:trHeight w:val="20"/>
        </w:trPr>
        <w:tc>
          <w:tcPr>
            <w:tcW w:w="1045" w:type="pct"/>
            <w:vMerge/>
            <w:hideMark/>
          </w:tcPr>
          <w:p w14:paraId="6448B4A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44871B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Pongamia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pinnata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 Pierre</w:t>
            </w:r>
          </w:p>
        </w:tc>
        <w:tc>
          <w:tcPr>
            <w:tcW w:w="890" w:type="pct"/>
            <w:shd w:val="clear" w:color="auto" w:fill="auto"/>
            <w:hideMark/>
          </w:tcPr>
          <w:p w14:paraId="7A3F790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karanj</w:t>
            </w:r>
            <w:proofErr w:type="spellEnd"/>
          </w:p>
        </w:tc>
        <w:tc>
          <w:tcPr>
            <w:tcW w:w="520" w:type="pct"/>
            <w:shd w:val="clear" w:color="auto" w:fill="auto"/>
            <w:hideMark/>
          </w:tcPr>
          <w:p w14:paraId="029891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A6E2A34" w14:textId="77777777" w:rsidTr="00C12D20">
        <w:trPr>
          <w:trHeight w:val="20"/>
        </w:trPr>
        <w:tc>
          <w:tcPr>
            <w:tcW w:w="1045" w:type="pct"/>
            <w:vMerge/>
            <w:hideMark/>
          </w:tcPr>
          <w:p w14:paraId="201DC7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16896F5"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Pterocarpus marsupium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1473F8D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Bija</w:t>
            </w:r>
            <w:proofErr w:type="spellEnd"/>
          </w:p>
        </w:tc>
        <w:tc>
          <w:tcPr>
            <w:tcW w:w="520" w:type="pct"/>
            <w:shd w:val="clear" w:color="auto" w:fill="auto"/>
            <w:hideMark/>
          </w:tcPr>
          <w:p w14:paraId="3A34109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4C6227F2" w14:textId="77777777" w:rsidTr="00C12D20">
        <w:trPr>
          <w:trHeight w:val="20"/>
        </w:trPr>
        <w:tc>
          <w:tcPr>
            <w:tcW w:w="1045" w:type="pct"/>
            <w:vMerge/>
            <w:hideMark/>
          </w:tcPr>
          <w:p w14:paraId="6F55FE8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1137C8E"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Tamarindus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indica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w:t>
            </w:r>
          </w:p>
        </w:tc>
        <w:tc>
          <w:tcPr>
            <w:tcW w:w="890" w:type="pct"/>
            <w:shd w:val="clear" w:color="auto" w:fill="auto"/>
            <w:hideMark/>
          </w:tcPr>
          <w:p w14:paraId="739E2DD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Imli</w:t>
            </w:r>
            <w:proofErr w:type="spellEnd"/>
          </w:p>
        </w:tc>
        <w:tc>
          <w:tcPr>
            <w:tcW w:w="520" w:type="pct"/>
            <w:shd w:val="clear" w:color="auto" w:fill="auto"/>
            <w:hideMark/>
          </w:tcPr>
          <w:p w14:paraId="7F892BC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64E2BF8" w14:textId="77777777" w:rsidTr="00C12D20">
        <w:trPr>
          <w:trHeight w:val="20"/>
        </w:trPr>
        <w:tc>
          <w:tcPr>
            <w:tcW w:w="1045" w:type="pct"/>
            <w:vMerge w:val="restart"/>
            <w:shd w:val="clear" w:color="auto" w:fill="auto"/>
            <w:hideMark/>
          </w:tcPr>
          <w:p w14:paraId="6CA34C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lastRenderedPageBreak/>
              <w:t>Lamiaceae</w:t>
            </w:r>
            <w:proofErr w:type="spellEnd"/>
          </w:p>
        </w:tc>
        <w:tc>
          <w:tcPr>
            <w:tcW w:w="2544" w:type="pct"/>
            <w:shd w:val="clear" w:color="auto" w:fill="auto"/>
            <w:hideMark/>
          </w:tcPr>
          <w:p w14:paraId="4FA9601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Gmelina </w:t>
            </w:r>
            <w:proofErr w:type="spellStart"/>
            <w:r w:rsidRPr="00F815FF">
              <w:rPr>
                <w:rFonts w:ascii="Arial" w:eastAsia="Times New Roman" w:hAnsi="Arial" w:cs="Arial"/>
                <w:i/>
                <w:iCs/>
                <w:color w:val="000000"/>
                <w:kern w:val="0"/>
                <w:sz w:val="20"/>
                <w14:ligatures w14:val="none"/>
              </w:rPr>
              <w:t>arborea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ex Sm.</w:t>
            </w:r>
          </w:p>
        </w:tc>
        <w:tc>
          <w:tcPr>
            <w:tcW w:w="890" w:type="pct"/>
            <w:shd w:val="clear" w:color="auto" w:fill="auto"/>
            <w:hideMark/>
          </w:tcPr>
          <w:p w14:paraId="2FD85CC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Khamer</w:t>
            </w:r>
            <w:proofErr w:type="spellEnd"/>
          </w:p>
        </w:tc>
        <w:tc>
          <w:tcPr>
            <w:tcW w:w="520" w:type="pct"/>
            <w:shd w:val="clear" w:color="auto" w:fill="auto"/>
            <w:hideMark/>
          </w:tcPr>
          <w:p w14:paraId="14BA334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6ED2D28" w14:textId="77777777" w:rsidTr="00C12D20">
        <w:trPr>
          <w:trHeight w:val="20"/>
        </w:trPr>
        <w:tc>
          <w:tcPr>
            <w:tcW w:w="1045" w:type="pct"/>
            <w:vMerge/>
            <w:hideMark/>
          </w:tcPr>
          <w:p w14:paraId="3FF9A8A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7C6F2A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Tectona</w:t>
            </w:r>
            <w:proofErr w:type="spellEnd"/>
            <w:r w:rsidRPr="00F815FF">
              <w:rPr>
                <w:rFonts w:ascii="Arial" w:eastAsia="Times New Roman" w:hAnsi="Arial" w:cs="Arial"/>
                <w:i/>
                <w:iCs/>
                <w:color w:val="000000"/>
                <w:kern w:val="0"/>
                <w:sz w:val="20"/>
                <w14:ligatures w14:val="none"/>
              </w:rPr>
              <w:t xml:space="preserve"> </w:t>
            </w:r>
            <w:proofErr w:type="spellStart"/>
            <w:proofErr w:type="gramStart"/>
            <w:r w:rsidRPr="00F815FF">
              <w:rPr>
                <w:rFonts w:ascii="Arial" w:eastAsia="Times New Roman" w:hAnsi="Arial" w:cs="Arial"/>
                <w:i/>
                <w:iCs/>
                <w:color w:val="000000"/>
                <w:kern w:val="0"/>
                <w:sz w:val="20"/>
                <w14:ligatures w14:val="none"/>
              </w:rPr>
              <w:t>grandis</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L.f</w:t>
            </w:r>
            <w:proofErr w:type="spellEnd"/>
            <w:r w:rsidRPr="00F815FF">
              <w:rPr>
                <w:rFonts w:ascii="Arial" w:eastAsia="Times New Roman" w:hAnsi="Arial" w:cs="Arial"/>
                <w:color w:val="000000"/>
                <w:kern w:val="0"/>
                <w:sz w:val="20"/>
                <w14:ligatures w14:val="none"/>
              </w:rPr>
              <w:t>.</w:t>
            </w:r>
            <w:proofErr w:type="gramEnd"/>
          </w:p>
        </w:tc>
        <w:tc>
          <w:tcPr>
            <w:tcW w:w="890" w:type="pct"/>
            <w:shd w:val="clear" w:color="auto" w:fill="auto"/>
            <w:hideMark/>
          </w:tcPr>
          <w:p w14:paraId="56585D37" w14:textId="7E7F03FB"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Saguan</w:t>
            </w:r>
            <w:proofErr w:type="spellEnd"/>
          </w:p>
        </w:tc>
        <w:tc>
          <w:tcPr>
            <w:tcW w:w="520" w:type="pct"/>
            <w:shd w:val="clear" w:color="auto" w:fill="auto"/>
            <w:hideMark/>
          </w:tcPr>
          <w:p w14:paraId="00D06CD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EN</w:t>
            </w:r>
          </w:p>
        </w:tc>
      </w:tr>
      <w:tr w:rsidR="00750192" w:rsidRPr="00F815FF" w14:paraId="378E0877" w14:textId="77777777" w:rsidTr="00C12D20">
        <w:trPr>
          <w:trHeight w:val="20"/>
        </w:trPr>
        <w:tc>
          <w:tcPr>
            <w:tcW w:w="1045" w:type="pct"/>
            <w:shd w:val="clear" w:color="auto" w:fill="auto"/>
            <w:hideMark/>
          </w:tcPr>
          <w:p w14:paraId="63EA2D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Lythraceae</w:t>
            </w:r>
            <w:proofErr w:type="spellEnd"/>
          </w:p>
        </w:tc>
        <w:tc>
          <w:tcPr>
            <w:tcW w:w="2544" w:type="pct"/>
            <w:shd w:val="clear" w:color="auto" w:fill="auto"/>
            <w:hideMark/>
          </w:tcPr>
          <w:p w14:paraId="29D9ADA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Lagerstroemia </w:t>
            </w:r>
            <w:proofErr w:type="spellStart"/>
            <w:r w:rsidRPr="00F815FF">
              <w:rPr>
                <w:rFonts w:ascii="Arial" w:eastAsia="Times New Roman" w:hAnsi="Arial" w:cs="Arial"/>
                <w:i/>
                <w:iCs/>
                <w:color w:val="000000"/>
                <w:kern w:val="0"/>
                <w:sz w:val="20"/>
                <w14:ligatures w14:val="none"/>
              </w:rPr>
              <w:t>parviflora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1EE6E995" w14:textId="08CC7195"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Senha</w:t>
            </w:r>
            <w:proofErr w:type="spellEnd"/>
          </w:p>
        </w:tc>
        <w:tc>
          <w:tcPr>
            <w:tcW w:w="520" w:type="pct"/>
            <w:shd w:val="clear" w:color="auto" w:fill="auto"/>
            <w:hideMark/>
          </w:tcPr>
          <w:p w14:paraId="427257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07671AC" w14:textId="77777777" w:rsidTr="00C12D20">
        <w:trPr>
          <w:trHeight w:val="20"/>
        </w:trPr>
        <w:tc>
          <w:tcPr>
            <w:tcW w:w="1045" w:type="pct"/>
            <w:vMerge w:val="restart"/>
            <w:shd w:val="clear" w:color="auto" w:fill="auto"/>
            <w:hideMark/>
          </w:tcPr>
          <w:p w14:paraId="5EE77ED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Malvaceae</w:t>
            </w:r>
            <w:proofErr w:type="spellEnd"/>
          </w:p>
        </w:tc>
        <w:tc>
          <w:tcPr>
            <w:tcW w:w="2544" w:type="pct"/>
            <w:shd w:val="clear" w:color="auto" w:fill="auto"/>
            <w:hideMark/>
          </w:tcPr>
          <w:p w14:paraId="71FAE8FB"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Bombax ceiba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w:t>
            </w:r>
          </w:p>
        </w:tc>
        <w:tc>
          <w:tcPr>
            <w:tcW w:w="890" w:type="pct"/>
            <w:shd w:val="clear" w:color="auto" w:fill="auto"/>
            <w:hideMark/>
          </w:tcPr>
          <w:p w14:paraId="41C8D9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Semal</w:t>
            </w:r>
            <w:proofErr w:type="spellEnd"/>
          </w:p>
        </w:tc>
        <w:tc>
          <w:tcPr>
            <w:tcW w:w="520" w:type="pct"/>
            <w:shd w:val="clear" w:color="auto" w:fill="auto"/>
            <w:hideMark/>
          </w:tcPr>
          <w:p w14:paraId="0784E5F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9685112" w14:textId="77777777" w:rsidTr="00C12D20">
        <w:trPr>
          <w:trHeight w:val="20"/>
        </w:trPr>
        <w:tc>
          <w:tcPr>
            <w:tcW w:w="1045" w:type="pct"/>
            <w:vMerge/>
            <w:hideMark/>
          </w:tcPr>
          <w:p w14:paraId="2AF3978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E08A075"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Sterculia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urens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0C008BD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Kulu</w:t>
            </w:r>
            <w:proofErr w:type="spellEnd"/>
          </w:p>
        </w:tc>
        <w:tc>
          <w:tcPr>
            <w:tcW w:w="520" w:type="pct"/>
            <w:shd w:val="clear" w:color="auto" w:fill="auto"/>
            <w:hideMark/>
          </w:tcPr>
          <w:p w14:paraId="4F0C641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594AA2D" w14:textId="77777777" w:rsidTr="00C12D20">
        <w:trPr>
          <w:trHeight w:val="20"/>
        </w:trPr>
        <w:tc>
          <w:tcPr>
            <w:tcW w:w="1045" w:type="pct"/>
            <w:vMerge w:val="restart"/>
            <w:shd w:val="clear" w:color="auto" w:fill="auto"/>
            <w:hideMark/>
          </w:tcPr>
          <w:p w14:paraId="21FAF8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Moraceae</w:t>
            </w:r>
            <w:proofErr w:type="spellEnd"/>
          </w:p>
        </w:tc>
        <w:tc>
          <w:tcPr>
            <w:tcW w:w="2544" w:type="pct"/>
            <w:shd w:val="clear" w:color="auto" w:fill="auto"/>
            <w:hideMark/>
          </w:tcPr>
          <w:p w14:paraId="34187198"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Ficus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amplissima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Sm.</w:t>
            </w:r>
          </w:p>
        </w:tc>
        <w:tc>
          <w:tcPr>
            <w:tcW w:w="890" w:type="pct"/>
            <w:shd w:val="clear" w:color="auto" w:fill="auto"/>
            <w:hideMark/>
          </w:tcPr>
          <w:p w14:paraId="28CA967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Pimpri</w:t>
            </w:r>
          </w:p>
        </w:tc>
        <w:tc>
          <w:tcPr>
            <w:tcW w:w="520" w:type="pct"/>
            <w:shd w:val="clear" w:color="auto" w:fill="auto"/>
            <w:hideMark/>
          </w:tcPr>
          <w:p w14:paraId="7704FE1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ADF5FE5" w14:textId="77777777" w:rsidTr="00C12D20">
        <w:trPr>
          <w:trHeight w:val="20"/>
        </w:trPr>
        <w:tc>
          <w:tcPr>
            <w:tcW w:w="1045" w:type="pct"/>
            <w:vMerge/>
            <w:hideMark/>
          </w:tcPr>
          <w:p w14:paraId="0351308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CBF7D03"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Ficus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benghalensis</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392BD1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Bargad</w:t>
            </w:r>
            <w:proofErr w:type="spellEnd"/>
          </w:p>
        </w:tc>
        <w:tc>
          <w:tcPr>
            <w:tcW w:w="520" w:type="pct"/>
            <w:shd w:val="clear" w:color="auto" w:fill="auto"/>
            <w:hideMark/>
          </w:tcPr>
          <w:p w14:paraId="0D26F70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668379B" w14:textId="77777777" w:rsidTr="00C12D20">
        <w:trPr>
          <w:trHeight w:val="20"/>
        </w:trPr>
        <w:tc>
          <w:tcPr>
            <w:tcW w:w="1045" w:type="pct"/>
            <w:vMerge/>
            <w:hideMark/>
          </w:tcPr>
          <w:p w14:paraId="566EAF4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F481861"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Ficus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hispida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L.f</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3BDC214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Katgoolar</w:t>
            </w:r>
            <w:proofErr w:type="spellEnd"/>
          </w:p>
        </w:tc>
        <w:tc>
          <w:tcPr>
            <w:tcW w:w="520" w:type="pct"/>
            <w:shd w:val="clear" w:color="auto" w:fill="auto"/>
            <w:hideMark/>
          </w:tcPr>
          <w:p w14:paraId="2E69A83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3115847" w14:textId="77777777" w:rsidTr="00C12D20">
        <w:trPr>
          <w:trHeight w:val="20"/>
        </w:trPr>
        <w:tc>
          <w:tcPr>
            <w:tcW w:w="1045" w:type="pct"/>
            <w:vMerge/>
            <w:hideMark/>
          </w:tcPr>
          <w:p w14:paraId="0729EA1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E05167E"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Ficus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racemosa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543CBFD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Dumar</w:t>
            </w:r>
            <w:proofErr w:type="spellEnd"/>
          </w:p>
        </w:tc>
        <w:tc>
          <w:tcPr>
            <w:tcW w:w="520" w:type="pct"/>
            <w:shd w:val="clear" w:color="auto" w:fill="auto"/>
            <w:hideMark/>
          </w:tcPr>
          <w:p w14:paraId="1C8846D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003192C" w14:textId="77777777" w:rsidTr="00C12D20">
        <w:trPr>
          <w:trHeight w:val="20"/>
        </w:trPr>
        <w:tc>
          <w:tcPr>
            <w:tcW w:w="1045" w:type="pct"/>
            <w:vMerge/>
            <w:hideMark/>
          </w:tcPr>
          <w:p w14:paraId="3B7476E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E02775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Ficus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religiosa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3FA88B3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Pipal</w:t>
            </w:r>
            <w:proofErr w:type="spellEnd"/>
          </w:p>
        </w:tc>
        <w:tc>
          <w:tcPr>
            <w:tcW w:w="520" w:type="pct"/>
            <w:shd w:val="clear" w:color="auto" w:fill="auto"/>
            <w:hideMark/>
          </w:tcPr>
          <w:p w14:paraId="2BB092F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37C9214" w14:textId="77777777" w:rsidTr="00C12D20">
        <w:trPr>
          <w:trHeight w:val="20"/>
        </w:trPr>
        <w:tc>
          <w:tcPr>
            <w:tcW w:w="1045" w:type="pct"/>
            <w:vMerge/>
            <w:hideMark/>
          </w:tcPr>
          <w:p w14:paraId="01E9881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716FC1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Ficus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semicordata</w:t>
            </w:r>
            <w:proofErr w:type="spellEnd"/>
            <w:r w:rsidRPr="00F815FF">
              <w:rPr>
                <w:rFonts w:ascii="Arial" w:eastAsia="Times New Roman" w:hAnsi="Arial" w:cs="Arial"/>
                <w:color w:val="262626"/>
                <w:kern w:val="0"/>
                <w:sz w:val="20"/>
                <w14:ligatures w14:val="none"/>
              </w:rPr>
              <w:t> </w:t>
            </w:r>
            <w:proofErr w:type="gramStart"/>
            <w:r w:rsidRPr="00F815FF">
              <w:rPr>
                <w:rFonts w:ascii="Arial" w:eastAsia="Times New Roman" w:hAnsi="Arial" w:cs="Arial"/>
                <w:color w:val="333333"/>
                <w:kern w:val="0"/>
                <w:sz w:val="20"/>
                <w14:ligatures w14:val="none"/>
              </w:rPr>
              <w:t>Buch.-</w:t>
            </w:r>
            <w:proofErr w:type="gramEnd"/>
            <w:r w:rsidRPr="00F815FF">
              <w:rPr>
                <w:rFonts w:ascii="Arial" w:eastAsia="Times New Roman" w:hAnsi="Arial" w:cs="Arial"/>
                <w:color w:val="333333"/>
                <w:kern w:val="0"/>
                <w:sz w:val="20"/>
                <w14:ligatures w14:val="none"/>
              </w:rPr>
              <w:t>Ham. ex Sm.</w:t>
            </w:r>
          </w:p>
        </w:tc>
        <w:tc>
          <w:tcPr>
            <w:tcW w:w="890" w:type="pct"/>
            <w:shd w:val="clear" w:color="auto" w:fill="auto"/>
            <w:hideMark/>
          </w:tcPr>
          <w:p w14:paraId="47D337A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Bauhin</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Doomar</w:t>
            </w:r>
            <w:proofErr w:type="spellEnd"/>
          </w:p>
        </w:tc>
        <w:tc>
          <w:tcPr>
            <w:tcW w:w="520" w:type="pct"/>
            <w:shd w:val="clear" w:color="auto" w:fill="auto"/>
            <w:hideMark/>
          </w:tcPr>
          <w:p w14:paraId="253DEB6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14D392C" w14:textId="77777777" w:rsidTr="00C12D20">
        <w:trPr>
          <w:trHeight w:val="20"/>
        </w:trPr>
        <w:tc>
          <w:tcPr>
            <w:tcW w:w="1045" w:type="pct"/>
            <w:vMerge w:val="restart"/>
            <w:shd w:val="clear" w:color="auto" w:fill="auto"/>
            <w:hideMark/>
          </w:tcPr>
          <w:p w14:paraId="6CFCE3E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Myrtaceae</w:t>
            </w:r>
            <w:proofErr w:type="spellEnd"/>
          </w:p>
        </w:tc>
        <w:tc>
          <w:tcPr>
            <w:tcW w:w="2544" w:type="pct"/>
            <w:shd w:val="clear" w:color="auto" w:fill="auto"/>
            <w:hideMark/>
          </w:tcPr>
          <w:p w14:paraId="3CC0F30F"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Careya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arborea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513958F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Kumbhi</w:t>
            </w:r>
            <w:proofErr w:type="spellEnd"/>
          </w:p>
        </w:tc>
        <w:tc>
          <w:tcPr>
            <w:tcW w:w="520" w:type="pct"/>
            <w:shd w:val="clear" w:color="auto" w:fill="auto"/>
            <w:hideMark/>
          </w:tcPr>
          <w:p w14:paraId="0A393F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2D8024C" w14:textId="77777777" w:rsidTr="00C12D20">
        <w:trPr>
          <w:trHeight w:val="20"/>
        </w:trPr>
        <w:tc>
          <w:tcPr>
            <w:tcW w:w="1045" w:type="pct"/>
            <w:vMerge/>
            <w:hideMark/>
          </w:tcPr>
          <w:p w14:paraId="1A973EF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756D4A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Syzygium</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cumini</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r w:rsidRPr="00F815FF">
              <w:rPr>
                <w:rFonts w:ascii="Arial" w:eastAsia="Times New Roman" w:hAnsi="Arial" w:cs="Arial"/>
                <w:color w:val="333333"/>
                <w:kern w:val="0"/>
                <w:sz w:val="20"/>
                <w14:ligatures w14:val="none"/>
              </w:rPr>
              <w:t>Skeels</w:t>
            </w:r>
            <w:proofErr w:type="spellEnd"/>
          </w:p>
        </w:tc>
        <w:tc>
          <w:tcPr>
            <w:tcW w:w="890" w:type="pct"/>
            <w:shd w:val="clear" w:color="auto" w:fill="auto"/>
            <w:hideMark/>
          </w:tcPr>
          <w:p w14:paraId="192A00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Jamun</w:t>
            </w:r>
          </w:p>
        </w:tc>
        <w:tc>
          <w:tcPr>
            <w:tcW w:w="520" w:type="pct"/>
            <w:shd w:val="clear" w:color="auto" w:fill="auto"/>
            <w:hideMark/>
          </w:tcPr>
          <w:p w14:paraId="0888CAC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BC79F69" w14:textId="77777777" w:rsidTr="00C12D20">
        <w:trPr>
          <w:trHeight w:val="20"/>
        </w:trPr>
        <w:tc>
          <w:tcPr>
            <w:tcW w:w="1045" w:type="pct"/>
            <w:vMerge/>
            <w:hideMark/>
          </w:tcPr>
          <w:p w14:paraId="33DCD47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9CF64D9"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syzygium</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salicifolium</w:t>
            </w:r>
            <w:proofErr w:type="spellEnd"/>
            <w:r w:rsidRPr="00F815FF">
              <w:rPr>
                <w:rFonts w:ascii="Arial" w:eastAsia="Times New Roman" w:hAnsi="Arial" w:cs="Arial"/>
                <w:color w:val="000000"/>
                <w:kern w:val="0"/>
                <w:sz w:val="20"/>
                <w14:ligatures w14:val="none"/>
              </w:rPr>
              <w:t xml:space="preserve"> </w:t>
            </w:r>
            <w:proofErr w:type="spellStart"/>
            <w:proofErr w:type="gramStart"/>
            <w:r w:rsidRPr="00F815FF">
              <w:rPr>
                <w:rFonts w:ascii="Arial" w:eastAsia="Times New Roman" w:hAnsi="Arial" w:cs="Arial"/>
                <w:color w:val="000000"/>
                <w:kern w:val="0"/>
                <w:sz w:val="20"/>
                <w14:ligatures w14:val="none"/>
              </w:rPr>
              <w:t>J.Graham</w:t>
            </w:r>
            <w:proofErr w:type="spellEnd"/>
            <w:proofErr w:type="gramEnd"/>
          </w:p>
        </w:tc>
        <w:tc>
          <w:tcPr>
            <w:tcW w:w="890" w:type="pct"/>
            <w:shd w:val="clear" w:color="auto" w:fill="auto"/>
            <w:hideMark/>
          </w:tcPr>
          <w:p w14:paraId="645CA93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Kath-jamun</w:t>
            </w:r>
          </w:p>
        </w:tc>
        <w:tc>
          <w:tcPr>
            <w:tcW w:w="520" w:type="pct"/>
            <w:shd w:val="clear" w:color="auto" w:fill="auto"/>
            <w:hideMark/>
          </w:tcPr>
          <w:p w14:paraId="7631B3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51D4BD0" w14:textId="77777777" w:rsidTr="00C12D20">
        <w:trPr>
          <w:trHeight w:val="20"/>
        </w:trPr>
        <w:tc>
          <w:tcPr>
            <w:tcW w:w="1045" w:type="pct"/>
            <w:shd w:val="clear" w:color="auto" w:fill="auto"/>
            <w:hideMark/>
          </w:tcPr>
          <w:p w14:paraId="643B60C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Oleaceae</w:t>
            </w:r>
          </w:p>
        </w:tc>
        <w:tc>
          <w:tcPr>
            <w:tcW w:w="2544" w:type="pct"/>
            <w:shd w:val="clear" w:color="auto" w:fill="auto"/>
            <w:hideMark/>
          </w:tcPr>
          <w:p w14:paraId="54FC7FD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Schrebera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swietenioides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75C15B3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Mokha</w:t>
            </w:r>
            <w:proofErr w:type="spellEnd"/>
          </w:p>
        </w:tc>
        <w:tc>
          <w:tcPr>
            <w:tcW w:w="520" w:type="pct"/>
            <w:shd w:val="clear" w:color="auto" w:fill="auto"/>
            <w:hideMark/>
          </w:tcPr>
          <w:p w14:paraId="47B9271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830532E" w14:textId="77777777" w:rsidTr="00C12D20">
        <w:trPr>
          <w:trHeight w:val="20"/>
        </w:trPr>
        <w:tc>
          <w:tcPr>
            <w:tcW w:w="1045" w:type="pct"/>
            <w:vMerge w:val="restart"/>
            <w:shd w:val="clear" w:color="auto" w:fill="auto"/>
            <w:hideMark/>
          </w:tcPr>
          <w:p w14:paraId="6FF235B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Phyllanthaceae</w:t>
            </w:r>
            <w:proofErr w:type="spellEnd"/>
          </w:p>
        </w:tc>
        <w:tc>
          <w:tcPr>
            <w:tcW w:w="2544" w:type="pct"/>
            <w:shd w:val="clear" w:color="auto" w:fill="auto"/>
            <w:hideMark/>
          </w:tcPr>
          <w:p w14:paraId="3A038E7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Bridelia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retusa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proofErr w:type="gramStart"/>
            <w:r w:rsidRPr="00F815FF">
              <w:rPr>
                <w:rFonts w:ascii="Arial" w:eastAsia="Times New Roman" w:hAnsi="Arial" w:cs="Arial"/>
                <w:color w:val="333333"/>
                <w:kern w:val="0"/>
                <w:sz w:val="20"/>
                <w14:ligatures w14:val="none"/>
              </w:rPr>
              <w:t>A.Juss</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357C3A53" w14:textId="262E11C2"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Kassi</w:t>
            </w:r>
            <w:proofErr w:type="spellEnd"/>
            <w:r w:rsidRPr="00F815FF">
              <w:rPr>
                <w:rFonts w:ascii="Arial" w:eastAsia="Times New Roman" w:hAnsi="Arial" w:cs="Arial"/>
                <w:color w:val="000000"/>
                <w:kern w:val="0"/>
                <w:sz w:val="20"/>
                <w14:ligatures w14:val="none"/>
              </w:rPr>
              <w:t>, Khaja</w:t>
            </w:r>
          </w:p>
        </w:tc>
        <w:tc>
          <w:tcPr>
            <w:tcW w:w="520" w:type="pct"/>
            <w:shd w:val="clear" w:color="auto" w:fill="auto"/>
            <w:hideMark/>
          </w:tcPr>
          <w:p w14:paraId="306B873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7130228" w14:textId="77777777" w:rsidTr="00C12D20">
        <w:trPr>
          <w:trHeight w:val="20"/>
        </w:trPr>
        <w:tc>
          <w:tcPr>
            <w:tcW w:w="1045" w:type="pct"/>
            <w:vMerge/>
            <w:hideMark/>
          </w:tcPr>
          <w:p w14:paraId="60F3D6A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57E1DA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Phyllanthus </w:t>
            </w:r>
            <w:proofErr w:type="spellStart"/>
            <w:r w:rsidRPr="00F815FF">
              <w:rPr>
                <w:rFonts w:ascii="Arial" w:eastAsia="Times New Roman" w:hAnsi="Arial" w:cs="Arial"/>
                <w:i/>
                <w:iCs/>
                <w:color w:val="000000"/>
                <w:kern w:val="0"/>
                <w:sz w:val="20"/>
                <w14:ligatures w14:val="none"/>
              </w:rPr>
              <w:t>emblica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L.</w:t>
            </w:r>
          </w:p>
        </w:tc>
        <w:tc>
          <w:tcPr>
            <w:tcW w:w="890" w:type="pct"/>
            <w:shd w:val="clear" w:color="auto" w:fill="auto"/>
            <w:hideMark/>
          </w:tcPr>
          <w:p w14:paraId="524391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Aamla</w:t>
            </w:r>
            <w:proofErr w:type="spellEnd"/>
          </w:p>
        </w:tc>
        <w:tc>
          <w:tcPr>
            <w:tcW w:w="520" w:type="pct"/>
            <w:shd w:val="clear" w:color="auto" w:fill="auto"/>
            <w:hideMark/>
          </w:tcPr>
          <w:p w14:paraId="71E7076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09FF480" w14:textId="77777777" w:rsidTr="00C12D20">
        <w:trPr>
          <w:trHeight w:val="20"/>
        </w:trPr>
        <w:tc>
          <w:tcPr>
            <w:tcW w:w="1045" w:type="pct"/>
            <w:vMerge w:val="restart"/>
            <w:shd w:val="clear" w:color="auto" w:fill="auto"/>
            <w:hideMark/>
          </w:tcPr>
          <w:p w14:paraId="3F46A45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Rhamnaceae</w:t>
            </w:r>
            <w:proofErr w:type="spellEnd"/>
          </w:p>
        </w:tc>
        <w:tc>
          <w:tcPr>
            <w:tcW w:w="2544" w:type="pct"/>
            <w:shd w:val="clear" w:color="auto" w:fill="auto"/>
            <w:hideMark/>
          </w:tcPr>
          <w:p w14:paraId="141BF926"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Ziziphus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mauritiana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Lam.</w:t>
            </w:r>
          </w:p>
        </w:tc>
        <w:tc>
          <w:tcPr>
            <w:tcW w:w="890" w:type="pct"/>
            <w:shd w:val="clear" w:color="auto" w:fill="auto"/>
            <w:hideMark/>
          </w:tcPr>
          <w:p w14:paraId="1031E23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Ber</w:t>
            </w:r>
          </w:p>
        </w:tc>
        <w:tc>
          <w:tcPr>
            <w:tcW w:w="520" w:type="pct"/>
            <w:shd w:val="clear" w:color="auto" w:fill="auto"/>
            <w:hideMark/>
          </w:tcPr>
          <w:p w14:paraId="47FFEFD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82B61DD" w14:textId="77777777" w:rsidTr="00C12D20">
        <w:trPr>
          <w:trHeight w:val="20"/>
        </w:trPr>
        <w:tc>
          <w:tcPr>
            <w:tcW w:w="1045" w:type="pct"/>
            <w:vMerge/>
            <w:hideMark/>
          </w:tcPr>
          <w:p w14:paraId="5373A89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7179DB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Ziziphus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xylopyrus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(Retz.) </w:t>
            </w:r>
            <w:proofErr w:type="spellStart"/>
            <w:r w:rsidRPr="00F815FF">
              <w:rPr>
                <w:rFonts w:ascii="Arial" w:eastAsia="Times New Roman" w:hAnsi="Arial" w:cs="Arial"/>
                <w:color w:val="333333"/>
                <w:kern w:val="0"/>
                <w:sz w:val="20"/>
                <w14:ligatures w14:val="none"/>
              </w:rPr>
              <w:t>Willd</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000B69A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Ghatbor</w:t>
            </w:r>
            <w:proofErr w:type="spellEnd"/>
          </w:p>
        </w:tc>
        <w:tc>
          <w:tcPr>
            <w:tcW w:w="520" w:type="pct"/>
            <w:shd w:val="clear" w:color="auto" w:fill="auto"/>
            <w:hideMark/>
          </w:tcPr>
          <w:p w14:paraId="5F10F2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62FFB2C" w14:textId="77777777" w:rsidTr="00C12D20">
        <w:trPr>
          <w:trHeight w:val="20"/>
        </w:trPr>
        <w:tc>
          <w:tcPr>
            <w:tcW w:w="1045" w:type="pct"/>
            <w:vMerge w:val="restart"/>
            <w:shd w:val="clear" w:color="auto" w:fill="auto"/>
            <w:hideMark/>
          </w:tcPr>
          <w:p w14:paraId="23562D7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Rubiaceae</w:t>
            </w:r>
            <w:proofErr w:type="spellEnd"/>
          </w:p>
        </w:tc>
        <w:tc>
          <w:tcPr>
            <w:tcW w:w="2544" w:type="pct"/>
            <w:shd w:val="clear" w:color="auto" w:fill="auto"/>
            <w:hideMark/>
          </w:tcPr>
          <w:p w14:paraId="3C1BAB7D"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Adina </w:t>
            </w:r>
            <w:proofErr w:type="spellStart"/>
            <w:r w:rsidRPr="00F815FF">
              <w:rPr>
                <w:rFonts w:ascii="Arial" w:eastAsia="Times New Roman" w:hAnsi="Arial" w:cs="Arial"/>
                <w:i/>
                <w:iCs/>
                <w:color w:val="000000"/>
                <w:kern w:val="0"/>
                <w:sz w:val="20"/>
                <w14:ligatures w14:val="none"/>
              </w:rPr>
              <w:t>cordifolia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Brandis</w:t>
            </w:r>
          </w:p>
        </w:tc>
        <w:tc>
          <w:tcPr>
            <w:tcW w:w="890" w:type="pct"/>
            <w:shd w:val="clear" w:color="auto" w:fill="auto"/>
            <w:hideMark/>
          </w:tcPr>
          <w:p w14:paraId="0C8EB22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Haldu</w:t>
            </w:r>
            <w:proofErr w:type="spellEnd"/>
          </w:p>
        </w:tc>
        <w:tc>
          <w:tcPr>
            <w:tcW w:w="520" w:type="pct"/>
            <w:shd w:val="clear" w:color="auto" w:fill="auto"/>
            <w:hideMark/>
          </w:tcPr>
          <w:p w14:paraId="38FFBE3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D87FA9D" w14:textId="77777777" w:rsidTr="00C12D20">
        <w:trPr>
          <w:trHeight w:val="20"/>
        </w:trPr>
        <w:tc>
          <w:tcPr>
            <w:tcW w:w="1045" w:type="pct"/>
            <w:vMerge/>
            <w:hideMark/>
          </w:tcPr>
          <w:p w14:paraId="39C3A89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22882E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Gardenia </w:t>
            </w:r>
            <w:proofErr w:type="spellStart"/>
            <w:r w:rsidRPr="00F815FF">
              <w:rPr>
                <w:rFonts w:ascii="Arial" w:eastAsia="Times New Roman" w:hAnsi="Arial" w:cs="Arial"/>
                <w:i/>
                <w:iCs/>
                <w:color w:val="262626"/>
                <w:kern w:val="0"/>
                <w:sz w:val="20"/>
                <w14:ligatures w14:val="none"/>
              </w:rPr>
              <w:t>latifolia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Aiton</w:t>
            </w:r>
            <w:proofErr w:type="spellEnd"/>
          </w:p>
        </w:tc>
        <w:tc>
          <w:tcPr>
            <w:tcW w:w="890" w:type="pct"/>
            <w:shd w:val="clear" w:color="auto" w:fill="auto"/>
            <w:hideMark/>
          </w:tcPr>
          <w:p w14:paraId="07319E2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Papda</w:t>
            </w:r>
            <w:proofErr w:type="spellEnd"/>
          </w:p>
        </w:tc>
        <w:tc>
          <w:tcPr>
            <w:tcW w:w="520" w:type="pct"/>
            <w:shd w:val="clear" w:color="auto" w:fill="auto"/>
            <w:hideMark/>
          </w:tcPr>
          <w:p w14:paraId="7BF6FE5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9C1BA0F" w14:textId="77777777" w:rsidTr="00C12D20">
        <w:trPr>
          <w:trHeight w:val="20"/>
        </w:trPr>
        <w:tc>
          <w:tcPr>
            <w:tcW w:w="1045" w:type="pct"/>
            <w:vMerge/>
            <w:hideMark/>
          </w:tcPr>
          <w:p w14:paraId="74A63D1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8817B76"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Gardenia </w:t>
            </w:r>
            <w:proofErr w:type="spellStart"/>
            <w:r w:rsidRPr="00F815FF">
              <w:rPr>
                <w:rFonts w:ascii="Arial" w:eastAsia="Times New Roman" w:hAnsi="Arial" w:cs="Arial"/>
                <w:i/>
                <w:iCs/>
                <w:color w:val="262626"/>
                <w:kern w:val="0"/>
                <w:sz w:val="20"/>
                <w14:ligatures w14:val="none"/>
              </w:rPr>
              <w:t>resinifera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Roth</w:t>
            </w:r>
          </w:p>
        </w:tc>
        <w:tc>
          <w:tcPr>
            <w:tcW w:w="890" w:type="pct"/>
            <w:shd w:val="clear" w:color="auto" w:fill="auto"/>
            <w:hideMark/>
          </w:tcPr>
          <w:p w14:paraId="0A6A200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Dekamali</w:t>
            </w:r>
            <w:proofErr w:type="spellEnd"/>
          </w:p>
        </w:tc>
        <w:tc>
          <w:tcPr>
            <w:tcW w:w="520" w:type="pct"/>
            <w:shd w:val="clear" w:color="auto" w:fill="auto"/>
            <w:hideMark/>
          </w:tcPr>
          <w:p w14:paraId="687B358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024A420" w14:textId="77777777" w:rsidTr="00C12D20">
        <w:trPr>
          <w:trHeight w:val="20"/>
        </w:trPr>
        <w:tc>
          <w:tcPr>
            <w:tcW w:w="1045" w:type="pct"/>
            <w:vMerge/>
            <w:hideMark/>
          </w:tcPr>
          <w:p w14:paraId="780BC3D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665DD2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Mitragyna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parvifolia</w:t>
            </w:r>
            <w:proofErr w:type="spellEnd"/>
            <w:r w:rsidRPr="00F815FF">
              <w:rPr>
                <w:rFonts w:ascii="Arial" w:eastAsia="Times New Roman" w:hAnsi="Arial" w:cs="Arial"/>
                <w:color w:val="262626"/>
                <w:kern w:val="0"/>
                <w:sz w:val="20"/>
                <w14:ligatures w14:val="none"/>
              </w:rPr>
              <w:t> var. </w:t>
            </w:r>
            <w:proofErr w:type="spellStart"/>
            <w:r w:rsidRPr="00F815FF">
              <w:rPr>
                <w:rFonts w:ascii="Arial" w:eastAsia="Times New Roman" w:hAnsi="Arial" w:cs="Arial"/>
                <w:i/>
                <w:iCs/>
                <w:color w:val="262626"/>
                <w:kern w:val="0"/>
                <w:sz w:val="20"/>
                <w14:ligatures w14:val="none"/>
              </w:rPr>
              <w:t>parvifolia</w:t>
            </w:r>
            <w:proofErr w:type="spellEnd"/>
          </w:p>
        </w:tc>
        <w:tc>
          <w:tcPr>
            <w:tcW w:w="890" w:type="pct"/>
            <w:shd w:val="clear" w:color="auto" w:fill="auto"/>
            <w:hideMark/>
          </w:tcPr>
          <w:p w14:paraId="3CE1584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Mundi</w:t>
            </w:r>
          </w:p>
        </w:tc>
        <w:tc>
          <w:tcPr>
            <w:tcW w:w="520" w:type="pct"/>
            <w:shd w:val="clear" w:color="auto" w:fill="auto"/>
            <w:hideMark/>
          </w:tcPr>
          <w:p w14:paraId="2CA990C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600ECB5" w14:textId="77777777" w:rsidTr="00C12D20">
        <w:trPr>
          <w:trHeight w:val="20"/>
        </w:trPr>
        <w:tc>
          <w:tcPr>
            <w:tcW w:w="1045" w:type="pct"/>
            <w:vMerge w:val="restart"/>
            <w:shd w:val="clear" w:color="auto" w:fill="auto"/>
            <w:hideMark/>
          </w:tcPr>
          <w:p w14:paraId="18B9141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Rutaceae</w:t>
            </w:r>
            <w:proofErr w:type="spellEnd"/>
          </w:p>
        </w:tc>
        <w:tc>
          <w:tcPr>
            <w:tcW w:w="2544" w:type="pct"/>
            <w:shd w:val="clear" w:color="auto" w:fill="auto"/>
            <w:hideMark/>
          </w:tcPr>
          <w:p w14:paraId="0F43FC7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Aegle </w:t>
            </w:r>
            <w:proofErr w:type="spellStart"/>
            <w:r w:rsidRPr="00F815FF">
              <w:rPr>
                <w:rFonts w:ascii="Arial" w:eastAsia="Times New Roman" w:hAnsi="Arial" w:cs="Arial"/>
                <w:i/>
                <w:iCs/>
                <w:color w:val="262626"/>
                <w:kern w:val="0"/>
                <w:sz w:val="20"/>
                <w14:ligatures w14:val="none"/>
              </w:rPr>
              <w:t>marmelos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r w:rsidRPr="00F815FF">
              <w:rPr>
                <w:rFonts w:ascii="Arial" w:eastAsia="Times New Roman" w:hAnsi="Arial" w:cs="Arial"/>
                <w:color w:val="333333"/>
                <w:kern w:val="0"/>
                <w:sz w:val="20"/>
                <w14:ligatures w14:val="none"/>
              </w:rPr>
              <w:t>Corrêa</w:t>
            </w:r>
            <w:proofErr w:type="spellEnd"/>
          </w:p>
        </w:tc>
        <w:tc>
          <w:tcPr>
            <w:tcW w:w="890" w:type="pct"/>
            <w:shd w:val="clear" w:color="auto" w:fill="auto"/>
            <w:hideMark/>
          </w:tcPr>
          <w:p w14:paraId="3E382D3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Bel</w:t>
            </w:r>
          </w:p>
        </w:tc>
        <w:tc>
          <w:tcPr>
            <w:tcW w:w="520" w:type="pct"/>
            <w:shd w:val="clear" w:color="auto" w:fill="auto"/>
            <w:hideMark/>
          </w:tcPr>
          <w:p w14:paraId="15C51D4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076E98A1" w14:textId="77777777" w:rsidTr="00C12D20">
        <w:trPr>
          <w:trHeight w:val="20"/>
        </w:trPr>
        <w:tc>
          <w:tcPr>
            <w:tcW w:w="1045" w:type="pct"/>
            <w:vMerge/>
            <w:hideMark/>
          </w:tcPr>
          <w:p w14:paraId="2C85B3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03B3DE7"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Chloroxylon</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swietenia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DC</w:t>
            </w:r>
            <w:r w:rsidRPr="00F815FF">
              <w:rPr>
                <w:rFonts w:ascii="Arial" w:eastAsia="Times New Roman" w:hAnsi="Arial" w:cs="Arial"/>
                <w:i/>
                <w:iCs/>
                <w:color w:val="000000"/>
                <w:kern w:val="0"/>
                <w:sz w:val="20"/>
                <w14:ligatures w14:val="none"/>
              </w:rPr>
              <w:t>.</w:t>
            </w:r>
          </w:p>
        </w:tc>
        <w:tc>
          <w:tcPr>
            <w:tcW w:w="890" w:type="pct"/>
            <w:shd w:val="clear" w:color="auto" w:fill="auto"/>
            <w:hideMark/>
          </w:tcPr>
          <w:p w14:paraId="1BC2869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Bhirra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Bhirha</w:t>
            </w:r>
            <w:proofErr w:type="spellEnd"/>
          </w:p>
        </w:tc>
        <w:tc>
          <w:tcPr>
            <w:tcW w:w="520" w:type="pct"/>
            <w:shd w:val="clear" w:color="auto" w:fill="auto"/>
            <w:hideMark/>
          </w:tcPr>
          <w:p w14:paraId="3713A3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14CA417D" w14:textId="77777777" w:rsidTr="00C12D20">
        <w:trPr>
          <w:trHeight w:val="20"/>
        </w:trPr>
        <w:tc>
          <w:tcPr>
            <w:tcW w:w="1045" w:type="pct"/>
            <w:vMerge w:val="restart"/>
            <w:shd w:val="clear" w:color="auto" w:fill="auto"/>
            <w:hideMark/>
          </w:tcPr>
          <w:p w14:paraId="38E1FF4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Salicaceae</w:t>
            </w:r>
          </w:p>
        </w:tc>
        <w:tc>
          <w:tcPr>
            <w:tcW w:w="2544" w:type="pct"/>
            <w:shd w:val="clear" w:color="auto" w:fill="auto"/>
            <w:hideMark/>
          </w:tcPr>
          <w:p w14:paraId="510C0A4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Casearia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graveolens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Dalzell</w:t>
            </w:r>
          </w:p>
        </w:tc>
        <w:tc>
          <w:tcPr>
            <w:tcW w:w="890" w:type="pct"/>
            <w:shd w:val="clear" w:color="auto" w:fill="auto"/>
            <w:hideMark/>
          </w:tcPr>
          <w:p w14:paraId="55F26549" w14:textId="3623124B"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Chili</w:t>
            </w:r>
          </w:p>
        </w:tc>
        <w:tc>
          <w:tcPr>
            <w:tcW w:w="520" w:type="pct"/>
            <w:shd w:val="clear" w:color="auto" w:fill="auto"/>
            <w:hideMark/>
          </w:tcPr>
          <w:p w14:paraId="45E246F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BC66460" w14:textId="77777777" w:rsidTr="00C12D20">
        <w:trPr>
          <w:trHeight w:val="20"/>
        </w:trPr>
        <w:tc>
          <w:tcPr>
            <w:tcW w:w="1045" w:type="pct"/>
            <w:vMerge/>
            <w:hideMark/>
          </w:tcPr>
          <w:p w14:paraId="2E3F094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35339A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Flacourtia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indica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Burm.f</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Merr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6AD7FEE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Kakai</w:t>
            </w:r>
            <w:proofErr w:type="spellEnd"/>
          </w:p>
        </w:tc>
        <w:tc>
          <w:tcPr>
            <w:tcW w:w="520" w:type="pct"/>
            <w:shd w:val="clear" w:color="auto" w:fill="auto"/>
            <w:hideMark/>
          </w:tcPr>
          <w:p w14:paraId="0D77E62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56AC322" w14:textId="77777777" w:rsidTr="00C12D20">
        <w:trPr>
          <w:trHeight w:val="20"/>
        </w:trPr>
        <w:tc>
          <w:tcPr>
            <w:tcW w:w="1045" w:type="pct"/>
            <w:shd w:val="clear" w:color="auto" w:fill="auto"/>
            <w:hideMark/>
          </w:tcPr>
          <w:p w14:paraId="1505A5C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lastRenderedPageBreak/>
              <w:t>Sapindaceae</w:t>
            </w:r>
            <w:proofErr w:type="spellEnd"/>
          </w:p>
        </w:tc>
        <w:tc>
          <w:tcPr>
            <w:tcW w:w="2544" w:type="pct"/>
            <w:shd w:val="clear" w:color="auto" w:fill="auto"/>
            <w:hideMark/>
          </w:tcPr>
          <w:p w14:paraId="14B549D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Schleichera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oleosa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Lour</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Oken</w:t>
            </w:r>
            <w:proofErr w:type="spellEnd"/>
          </w:p>
        </w:tc>
        <w:tc>
          <w:tcPr>
            <w:tcW w:w="890" w:type="pct"/>
            <w:shd w:val="clear" w:color="auto" w:fill="auto"/>
            <w:hideMark/>
          </w:tcPr>
          <w:p w14:paraId="09DD82D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Kusum</w:t>
            </w:r>
          </w:p>
        </w:tc>
        <w:tc>
          <w:tcPr>
            <w:tcW w:w="520" w:type="pct"/>
            <w:shd w:val="clear" w:color="auto" w:fill="auto"/>
            <w:hideMark/>
          </w:tcPr>
          <w:p w14:paraId="68057BC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26D64F5" w14:textId="77777777" w:rsidTr="00C12D20">
        <w:trPr>
          <w:trHeight w:val="20"/>
        </w:trPr>
        <w:tc>
          <w:tcPr>
            <w:tcW w:w="1045" w:type="pct"/>
            <w:vMerge w:val="restart"/>
            <w:shd w:val="clear" w:color="auto" w:fill="auto"/>
            <w:hideMark/>
          </w:tcPr>
          <w:p w14:paraId="5BCCC58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Sapotaceae</w:t>
            </w:r>
            <w:proofErr w:type="spellEnd"/>
          </w:p>
        </w:tc>
        <w:tc>
          <w:tcPr>
            <w:tcW w:w="2544" w:type="pct"/>
            <w:shd w:val="clear" w:color="auto" w:fill="auto"/>
            <w:hideMark/>
          </w:tcPr>
          <w:p w14:paraId="59C254C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Madhuca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longifolia</w:t>
            </w:r>
            <w:proofErr w:type="spellEnd"/>
            <w:r w:rsidRPr="00F815FF">
              <w:rPr>
                <w:rFonts w:ascii="Arial" w:eastAsia="Times New Roman" w:hAnsi="Arial" w:cs="Arial"/>
                <w:color w:val="262626"/>
                <w:kern w:val="0"/>
                <w:sz w:val="20"/>
                <w14:ligatures w14:val="none"/>
              </w:rPr>
              <w:t> var. </w:t>
            </w:r>
            <w:proofErr w:type="spellStart"/>
            <w:r w:rsidRPr="00F815FF">
              <w:rPr>
                <w:rFonts w:ascii="Arial" w:eastAsia="Times New Roman" w:hAnsi="Arial" w:cs="Arial"/>
                <w:i/>
                <w:iCs/>
                <w:color w:val="262626"/>
                <w:kern w:val="0"/>
                <w:sz w:val="20"/>
                <w14:ligatures w14:val="none"/>
              </w:rPr>
              <w:t>latifolia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proofErr w:type="gramStart"/>
            <w:r w:rsidRPr="00F815FF">
              <w:rPr>
                <w:rFonts w:ascii="Arial" w:eastAsia="Times New Roman" w:hAnsi="Arial" w:cs="Arial"/>
                <w:color w:val="333333"/>
                <w:kern w:val="0"/>
                <w:sz w:val="20"/>
                <w14:ligatures w14:val="none"/>
              </w:rPr>
              <w:t>A.Chev</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0F3C6CB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Mahua</w:t>
            </w:r>
          </w:p>
        </w:tc>
        <w:tc>
          <w:tcPr>
            <w:tcW w:w="520" w:type="pct"/>
            <w:shd w:val="clear" w:color="auto" w:fill="auto"/>
            <w:hideMark/>
          </w:tcPr>
          <w:p w14:paraId="094E0DA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E18A9E3" w14:textId="77777777" w:rsidTr="00C12D20">
        <w:trPr>
          <w:trHeight w:val="20"/>
        </w:trPr>
        <w:tc>
          <w:tcPr>
            <w:tcW w:w="1045" w:type="pct"/>
            <w:vMerge/>
            <w:hideMark/>
          </w:tcPr>
          <w:p w14:paraId="09C6B67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752B43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Mimusops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elengi</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2AD7A82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Bakula</w:t>
            </w:r>
            <w:proofErr w:type="spellEnd"/>
          </w:p>
        </w:tc>
        <w:tc>
          <w:tcPr>
            <w:tcW w:w="520" w:type="pct"/>
            <w:shd w:val="clear" w:color="auto" w:fill="auto"/>
            <w:hideMark/>
          </w:tcPr>
          <w:p w14:paraId="61DF49A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bl>
    <w:p w14:paraId="6A706789" w14:textId="2CF8BBC7" w:rsidR="00750192" w:rsidRPr="00F815FF" w:rsidRDefault="00156F62" w:rsidP="00A10274">
      <w:pPr>
        <w:spacing w:line="480" w:lineRule="auto"/>
        <w:jc w:val="both"/>
        <w:rPr>
          <w:rFonts w:ascii="Arial" w:hAnsi="Arial" w:cs="Arial"/>
          <w:sz w:val="20"/>
        </w:rPr>
      </w:pPr>
      <w:r w:rsidRPr="00F815FF">
        <w:rPr>
          <w:rFonts w:ascii="Arial" w:hAnsi="Arial" w:cs="Arial"/>
          <w:b/>
          <w:bCs/>
          <w:sz w:val="20"/>
        </w:rPr>
        <w:t>Notes:</w:t>
      </w:r>
      <w:r w:rsidRPr="00F815FF">
        <w:rPr>
          <w:rFonts w:ascii="Arial" w:hAnsi="Arial" w:cs="Arial"/>
          <w:sz w:val="20"/>
        </w:rPr>
        <w:t xml:space="preserve"> </w:t>
      </w:r>
      <w:r w:rsidR="008324BA" w:rsidRPr="00F815FF">
        <w:rPr>
          <w:rFonts w:ascii="Arial" w:hAnsi="Arial" w:cs="Arial"/>
          <w:sz w:val="20"/>
        </w:rPr>
        <w:t>VU – Vulnerable; LC – Least Concern; NT – Near Threatened; NE – Not Evaluated; EN – Endangered</w:t>
      </w:r>
    </w:p>
    <w:p w14:paraId="04E4E3F0" w14:textId="6FFCAF83" w:rsidR="002467C8" w:rsidRPr="009C573C" w:rsidRDefault="002467C8" w:rsidP="00AE5FE4">
      <w:pPr>
        <w:pStyle w:val="ListParagraph"/>
        <w:numPr>
          <w:ilvl w:val="1"/>
          <w:numId w:val="21"/>
        </w:numPr>
        <w:spacing w:line="480" w:lineRule="auto"/>
        <w:jc w:val="both"/>
        <w:rPr>
          <w:rFonts w:ascii="Arial" w:eastAsiaTheme="minorEastAsia" w:hAnsi="Arial" w:cs="Arial"/>
          <w:b/>
          <w:bCs/>
          <w:szCs w:val="22"/>
        </w:rPr>
      </w:pPr>
      <w:r w:rsidRPr="009C573C">
        <w:rPr>
          <w:rFonts w:ascii="Arial" w:eastAsiaTheme="minorEastAsia" w:hAnsi="Arial" w:cs="Arial"/>
          <w:b/>
          <w:bCs/>
          <w:szCs w:val="22"/>
        </w:rPr>
        <w:t>Analysis of Species Composition Across Varying Distances</w:t>
      </w:r>
    </w:p>
    <w:p w14:paraId="5C09319F" w14:textId="4809CD30" w:rsidR="002467C8" w:rsidRPr="009C573C" w:rsidRDefault="002467C8" w:rsidP="009C573C">
      <w:pPr>
        <w:pStyle w:val="ListParagraph"/>
        <w:numPr>
          <w:ilvl w:val="2"/>
          <w:numId w:val="29"/>
        </w:numPr>
        <w:spacing w:line="480" w:lineRule="auto"/>
        <w:jc w:val="both"/>
        <w:rPr>
          <w:rFonts w:ascii="Arial" w:hAnsi="Arial" w:cs="Arial"/>
          <w:b/>
          <w:bCs/>
          <w:sz w:val="20"/>
          <w:u w:val="single"/>
        </w:rPr>
      </w:pPr>
      <w:r w:rsidRPr="009C573C">
        <w:rPr>
          <w:rFonts w:ascii="Arial" w:hAnsi="Arial" w:cs="Arial"/>
          <w:b/>
          <w:bCs/>
          <w:i/>
          <w:iCs/>
          <w:szCs w:val="22"/>
        </w:rPr>
        <w:t xml:space="preserve"> </w:t>
      </w:r>
      <w:r w:rsidRPr="009C573C">
        <w:rPr>
          <w:rFonts w:ascii="Arial" w:eastAsiaTheme="minorEastAsia" w:hAnsi="Arial" w:cs="Arial"/>
          <w:b/>
          <w:bCs/>
          <w:sz w:val="20"/>
          <w:u w:val="single"/>
        </w:rPr>
        <w:t>Importance Value Index (IVI) of Riparian Tree Species</w:t>
      </w:r>
    </w:p>
    <w:p w14:paraId="67C18CE2" w14:textId="04D17269"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At the bank of the river zone of 0m,</w:t>
      </w:r>
      <w:r w:rsidR="004B3F89" w:rsidRPr="00F815FF">
        <w:rPr>
          <w:rFonts w:ascii="Arial" w:hAnsi="Arial" w:cs="Arial"/>
          <w:sz w:val="20"/>
        </w:rPr>
        <w:t xml:space="preserv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was the dominant </w:t>
      </w:r>
      <w:r w:rsidR="004B3F89" w:rsidRPr="00F815FF">
        <w:rPr>
          <w:rFonts w:ascii="Arial" w:hAnsi="Arial" w:cs="Arial"/>
          <w:sz w:val="20"/>
        </w:rPr>
        <w:t>species (Fig. 5)</w:t>
      </w:r>
      <w:r w:rsidRPr="00F815FF">
        <w:rPr>
          <w:rFonts w:ascii="Arial" w:hAnsi="Arial" w:cs="Arial"/>
          <w:sz w:val="20"/>
        </w:rPr>
        <w:t xml:space="preserve">, with a highest IVI of 21.42.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followed with an IVI of 15.22, </w:t>
      </w:r>
      <w:r w:rsidRPr="00F815FF">
        <w:rPr>
          <w:rFonts w:ascii="Arial" w:hAnsi="Arial" w:cs="Arial"/>
          <w:i/>
          <w:iCs/>
          <w:sz w:val="20"/>
        </w:rPr>
        <w:t>Terminalia arjuna</w:t>
      </w:r>
      <w:r w:rsidRPr="00F815FF">
        <w:rPr>
          <w:rFonts w:ascii="Arial" w:hAnsi="Arial" w:cs="Arial"/>
          <w:sz w:val="20"/>
        </w:rPr>
        <w:t xml:space="preserve"> at 9.42</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Bombax ceiba</w:t>
      </w:r>
      <w:r w:rsidRPr="00F815FF">
        <w:rPr>
          <w:rFonts w:ascii="Arial" w:hAnsi="Arial" w:cs="Arial"/>
          <w:sz w:val="20"/>
        </w:rPr>
        <w:t xml:space="preserve"> with an IVI of 7.68.  These species are mostly trees that grow in wet habitats, demonstrating significant adaptations to moist soil conditions and flooding events.  The presence of </w:t>
      </w:r>
      <w:proofErr w:type="spellStart"/>
      <w:r w:rsidRPr="00F815FF">
        <w:rPr>
          <w:rFonts w:ascii="Arial" w:hAnsi="Arial" w:cs="Arial"/>
          <w:sz w:val="20"/>
        </w:rPr>
        <w:t>Ficus</w:t>
      </w:r>
      <w:proofErr w:type="spellEnd"/>
      <w:r w:rsidRPr="00F815FF">
        <w:rPr>
          <w:rFonts w:ascii="Arial" w:hAnsi="Arial" w:cs="Arial"/>
          <w:sz w:val="20"/>
        </w:rPr>
        <w:t xml:space="preserve"> species such as </w:t>
      </w:r>
      <w:proofErr w:type="spellStart"/>
      <w:r w:rsidRPr="00F815FF">
        <w:rPr>
          <w:rFonts w:ascii="Arial" w:hAnsi="Arial" w:cs="Arial"/>
          <w:i/>
          <w:iCs/>
          <w:sz w:val="20"/>
        </w:rPr>
        <w:t>Ficus</w:t>
      </w:r>
      <w:proofErr w:type="spellEnd"/>
      <w:r w:rsidRPr="00F815FF">
        <w:rPr>
          <w:rFonts w:ascii="Arial" w:hAnsi="Arial" w:cs="Arial"/>
          <w:i/>
          <w:iCs/>
          <w:sz w:val="20"/>
        </w:rPr>
        <w:t xml:space="preserve"> </w:t>
      </w:r>
      <w:proofErr w:type="spellStart"/>
      <w:r w:rsidRPr="00F815FF">
        <w:rPr>
          <w:rFonts w:ascii="Arial" w:hAnsi="Arial" w:cs="Arial"/>
          <w:i/>
          <w:iCs/>
          <w:sz w:val="20"/>
        </w:rPr>
        <w:t>racemosa</w:t>
      </w:r>
      <w:proofErr w:type="spellEnd"/>
      <w:r w:rsidRPr="00F815FF">
        <w:rPr>
          <w:rFonts w:ascii="Arial" w:hAnsi="Arial" w:cs="Arial"/>
          <w:sz w:val="20"/>
        </w:rPr>
        <w:t xml:space="preserve"> and </w:t>
      </w:r>
      <w:proofErr w:type="spellStart"/>
      <w:r w:rsidRPr="00F815FF">
        <w:rPr>
          <w:rFonts w:ascii="Arial" w:hAnsi="Arial" w:cs="Arial"/>
          <w:i/>
          <w:iCs/>
          <w:sz w:val="20"/>
        </w:rPr>
        <w:t>Ficus</w:t>
      </w:r>
      <w:proofErr w:type="spellEnd"/>
      <w:r w:rsidRPr="00F815FF">
        <w:rPr>
          <w:rFonts w:ascii="Arial" w:hAnsi="Arial" w:cs="Arial"/>
          <w:i/>
          <w:iCs/>
          <w:sz w:val="20"/>
        </w:rPr>
        <w:t xml:space="preserve"> </w:t>
      </w:r>
      <w:proofErr w:type="spellStart"/>
      <w:r w:rsidRPr="00F815FF">
        <w:rPr>
          <w:rFonts w:ascii="Arial" w:hAnsi="Arial" w:cs="Arial"/>
          <w:i/>
          <w:iCs/>
          <w:sz w:val="20"/>
        </w:rPr>
        <w:t>hispida</w:t>
      </w:r>
      <w:proofErr w:type="spellEnd"/>
      <w:r w:rsidRPr="00F815FF">
        <w:rPr>
          <w:rFonts w:ascii="Arial" w:hAnsi="Arial" w:cs="Arial"/>
          <w:sz w:val="20"/>
        </w:rPr>
        <w:t xml:space="preserve"> highlights their ecological importance in maintaining riparian are</w:t>
      </w:r>
      <w:r w:rsidR="00470269" w:rsidRPr="00F815FF">
        <w:rPr>
          <w:rFonts w:ascii="Arial" w:hAnsi="Arial" w:cs="Arial"/>
          <w:sz w:val="20"/>
        </w:rPr>
        <w:t>a</w:t>
      </w:r>
      <w:r w:rsidRPr="00F815FF">
        <w:rPr>
          <w:rFonts w:ascii="Arial" w:hAnsi="Arial" w:cs="Arial"/>
          <w:sz w:val="20"/>
        </w:rPr>
        <w:t>.  The abundance of moisture-dependent species at 0m signifies that this region is important for riverbanks, maintaining water</w:t>
      </w:r>
      <w:r w:rsidR="006E128C" w:rsidRPr="00F815FF">
        <w:rPr>
          <w:rFonts w:ascii="Arial" w:hAnsi="Arial" w:cs="Arial"/>
          <w:sz w:val="20"/>
        </w:rPr>
        <w:t xml:space="preserve"> and</w:t>
      </w:r>
      <w:r w:rsidRPr="00F815FF">
        <w:rPr>
          <w:rFonts w:ascii="Arial" w:hAnsi="Arial" w:cs="Arial"/>
          <w:sz w:val="20"/>
        </w:rPr>
        <w:t xml:space="preserve"> preserving biodiversity.</w:t>
      </w:r>
    </w:p>
    <w:p w14:paraId="07469811" w14:textId="04BE02D8"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Tree composition changes at 250 m to combine dryland and riparian species.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is the dominant species, exhibiting an IVI of 30.04, indicating a transition from a riparian habitat to a more varied forest type.  Other significant species are </w:t>
      </w:r>
      <w:r w:rsidRPr="00F815FF">
        <w:rPr>
          <w:rFonts w:ascii="Arial" w:hAnsi="Arial" w:cs="Arial"/>
          <w:i/>
          <w:iCs/>
          <w:sz w:val="20"/>
        </w:rPr>
        <w:t>Pterocarpus marsupium</w:t>
      </w:r>
      <w:r w:rsidRPr="00F815FF">
        <w:rPr>
          <w:rFonts w:ascii="Arial" w:hAnsi="Arial" w:cs="Arial"/>
          <w:sz w:val="20"/>
        </w:rPr>
        <w:t xml:space="preserve"> (IVI 11.89), </w:t>
      </w:r>
      <w:r w:rsidRPr="00F815FF">
        <w:rPr>
          <w:rFonts w:ascii="Arial" w:hAnsi="Arial" w:cs="Arial"/>
          <w:i/>
          <w:iCs/>
          <w:sz w:val="20"/>
        </w:rPr>
        <w:t xml:space="preserve">Lagerstroemia </w:t>
      </w:r>
      <w:proofErr w:type="spellStart"/>
      <w:r w:rsidRPr="00F815FF">
        <w:rPr>
          <w:rFonts w:ascii="Arial" w:hAnsi="Arial" w:cs="Arial"/>
          <w:i/>
          <w:iCs/>
          <w:sz w:val="20"/>
        </w:rPr>
        <w:t>parviflora</w:t>
      </w:r>
      <w:proofErr w:type="spellEnd"/>
      <w:r w:rsidRPr="00F815FF">
        <w:rPr>
          <w:rFonts w:ascii="Arial" w:hAnsi="Arial" w:cs="Arial"/>
          <w:sz w:val="20"/>
        </w:rPr>
        <w:t xml:space="preserve"> (IVI 13.16)</w:t>
      </w:r>
      <w:r w:rsidR="006E128C" w:rsidRPr="00F815FF">
        <w:rPr>
          <w:rFonts w:ascii="Arial" w:hAnsi="Arial" w:cs="Arial"/>
          <w:sz w:val="20"/>
        </w:rPr>
        <w:t xml:space="preserve"> and</w:t>
      </w:r>
      <w:r w:rsidRPr="00F815FF">
        <w:rPr>
          <w:rFonts w:ascii="Arial" w:hAnsi="Arial" w:cs="Arial"/>
          <w:sz w:val="20"/>
        </w:rPr>
        <w:t xml:space="preserve"> </w:t>
      </w:r>
      <w:proofErr w:type="spellStart"/>
      <w:r w:rsidRPr="00F815FF">
        <w:rPr>
          <w:rFonts w:ascii="Arial" w:hAnsi="Arial" w:cs="Arial"/>
          <w:i/>
          <w:iCs/>
          <w:sz w:val="20"/>
        </w:rPr>
        <w:t>Madhuca</w:t>
      </w:r>
      <w:proofErr w:type="spellEnd"/>
      <w:r w:rsidRPr="00F815FF">
        <w:rPr>
          <w:rFonts w:ascii="Arial" w:hAnsi="Arial" w:cs="Arial"/>
          <w:i/>
          <w:iCs/>
          <w:sz w:val="20"/>
        </w:rPr>
        <w:t xml:space="preserve"> </w:t>
      </w:r>
      <w:proofErr w:type="spellStart"/>
      <w:r w:rsidRPr="00F815FF">
        <w:rPr>
          <w:rFonts w:ascii="Arial" w:hAnsi="Arial" w:cs="Arial"/>
          <w:i/>
          <w:iCs/>
          <w:sz w:val="20"/>
        </w:rPr>
        <w:t>longifolia</w:t>
      </w:r>
      <w:proofErr w:type="spellEnd"/>
      <w:r w:rsidRPr="00F815FF">
        <w:rPr>
          <w:rFonts w:ascii="Arial" w:hAnsi="Arial" w:cs="Arial"/>
          <w:sz w:val="20"/>
        </w:rPr>
        <w:t xml:space="preserve"> (IVI 11.17).    The noted decline in </w:t>
      </w:r>
      <w:proofErr w:type="spellStart"/>
      <w:r w:rsidRPr="00F815FF">
        <w:rPr>
          <w:rFonts w:ascii="Arial" w:hAnsi="Arial" w:cs="Arial"/>
          <w:sz w:val="20"/>
        </w:rPr>
        <w:t>Syzygium</w:t>
      </w:r>
      <w:proofErr w:type="spellEnd"/>
      <w:r w:rsidRPr="00F815FF">
        <w:rPr>
          <w:rFonts w:ascii="Arial" w:hAnsi="Arial" w:cs="Arial"/>
          <w:sz w:val="20"/>
        </w:rPr>
        <w:t xml:space="preserve"> species and </w:t>
      </w:r>
      <w:r w:rsidRPr="00F815FF">
        <w:rPr>
          <w:rFonts w:ascii="Arial" w:hAnsi="Arial" w:cs="Arial"/>
          <w:i/>
          <w:iCs/>
          <w:sz w:val="20"/>
        </w:rPr>
        <w:t>Terminalia arjuna</w:t>
      </w:r>
      <w:r w:rsidRPr="00F815FF">
        <w:rPr>
          <w:rFonts w:ascii="Arial" w:hAnsi="Arial" w:cs="Arial"/>
          <w:sz w:val="20"/>
        </w:rPr>
        <w:t xml:space="preserve"> at this distance suggests water-dependent plants often declining because of the distances from the river.</w:t>
      </w:r>
    </w:p>
    <w:p w14:paraId="3A446F1C" w14:textId="28B7607C"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shows considerable dominance with an IVI of 37.79, underscoring the transition to a Sal-dominated dryland forest.  Notable species at this distance include </w:t>
      </w:r>
      <w:r w:rsidRPr="00F815FF">
        <w:rPr>
          <w:rFonts w:ascii="Arial" w:hAnsi="Arial" w:cs="Arial"/>
          <w:i/>
          <w:iCs/>
          <w:sz w:val="20"/>
        </w:rPr>
        <w:t>Pterocarpus marsupium</w:t>
      </w:r>
      <w:r w:rsidRPr="00F815FF">
        <w:rPr>
          <w:rFonts w:ascii="Arial" w:hAnsi="Arial" w:cs="Arial"/>
          <w:sz w:val="20"/>
        </w:rPr>
        <w:t xml:space="preserve"> (IVI 17.91), </w:t>
      </w:r>
      <w:r w:rsidRPr="00F815FF">
        <w:rPr>
          <w:rFonts w:ascii="Arial" w:hAnsi="Arial" w:cs="Arial"/>
          <w:i/>
          <w:iCs/>
          <w:sz w:val="20"/>
        </w:rPr>
        <w:t xml:space="preserve">Terminalia </w:t>
      </w:r>
      <w:proofErr w:type="spellStart"/>
      <w:r w:rsidRPr="00F815FF">
        <w:rPr>
          <w:rFonts w:ascii="Arial" w:hAnsi="Arial" w:cs="Arial"/>
          <w:i/>
          <w:iCs/>
          <w:sz w:val="20"/>
        </w:rPr>
        <w:t>elliptica</w:t>
      </w:r>
      <w:proofErr w:type="spellEnd"/>
      <w:r w:rsidRPr="00F815FF">
        <w:rPr>
          <w:rFonts w:ascii="Arial" w:hAnsi="Arial" w:cs="Arial"/>
          <w:sz w:val="20"/>
        </w:rPr>
        <w:t xml:space="preserve"> (IVI 20.22)</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 xml:space="preserve">Lagerstroemia </w:t>
      </w:r>
      <w:proofErr w:type="spellStart"/>
      <w:r w:rsidRPr="00F815FF">
        <w:rPr>
          <w:rFonts w:ascii="Arial" w:hAnsi="Arial" w:cs="Arial"/>
          <w:i/>
          <w:iCs/>
          <w:sz w:val="20"/>
        </w:rPr>
        <w:t>parviflora</w:t>
      </w:r>
      <w:proofErr w:type="spellEnd"/>
      <w:r w:rsidRPr="00F815FF">
        <w:rPr>
          <w:rFonts w:ascii="Arial" w:hAnsi="Arial" w:cs="Arial"/>
          <w:sz w:val="20"/>
        </w:rPr>
        <w:t xml:space="preserve"> (IVI 17.23).  The decline of moisture-dependent species such as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cumini</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signifies that the influence of riparian trees significantly decreases beyond 250 meters.</w:t>
      </w:r>
    </w:p>
    <w:p w14:paraId="304E4295" w14:textId="7E6465EA" w:rsidR="009C71F7" w:rsidRDefault="009C71F7" w:rsidP="00A10274">
      <w:pPr>
        <w:spacing w:line="480" w:lineRule="auto"/>
        <w:jc w:val="center"/>
        <w:rPr>
          <w:rFonts w:ascii="Times New Roman" w:hAnsi="Times New Roman" w:cs="Times New Roman"/>
          <w:sz w:val="24"/>
          <w:szCs w:val="24"/>
        </w:rPr>
      </w:pPr>
      <w:r w:rsidRPr="00770A52">
        <w:rPr>
          <w:rFonts w:ascii="Times New Roman" w:hAnsi="Times New Roman" w:cs="Times New Roman"/>
          <w:b/>
          <w:bCs/>
          <w:i/>
          <w:iCs/>
          <w:noProof/>
          <w:sz w:val="24"/>
          <w:szCs w:val="24"/>
        </w:rPr>
        <w:lastRenderedPageBreak/>
        <w:drawing>
          <wp:inline distT="0" distB="0" distL="0" distR="0" wp14:anchorId="6CA6BEFC" wp14:editId="189CDF06">
            <wp:extent cx="3791282" cy="2861733"/>
            <wp:effectExtent l="0" t="0" r="0" b="0"/>
            <wp:docPr id="154130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5291" cy="2872308"/>
                    </a:xfrm>
                    <a:prstGeom prst="rect">
                      <a:avLst/>
                    </a:prstGeom>
                    <a:noFill/>
                    <a:ln>
                      <a:noFill/>
                    </a:ln>
                  </pic:spPr>
                </pic:pic>
              </a:graphicData>
            </a:graphic>
          </wp:inline>
        </w:drawing>
      </w:r>
    </w:p>
    <w:p w14:paraId="6A0478C5" w14:textId="0389984C" w:rsidR="009C71F7" w:rsidRPr="009C573C" w:rsidRDefault="009C71F7" w:rsidP="009C573C">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IVI value of top 10 species of riparian area of Mand river</w:t>
      </w:r>
    </w:p>
    <w:p w14:paraId="58D5532A" w14:textId="190A74AD"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(Sal) is the dominant species across all distance classes, with a highest IVI of 47.01.  This dominance aligns with the Sal-dominated forest type observed throughout the region.  The gradual rise in IVI of </w:t>
      </w:r>
      <w:r w:rsidRPr="00F815FF">
        <w:rPr>
          <w:rFonts w:ascii="Arial" w:hAnsi="Arial" w:cs="Arial"/>
          <w:i/>
          <w:iCs/>
          <w:sz w:val="20"/>
        </w:rPr>
        <w:t xml:space="preserve">S. </w:t>
      </w:r>
      <w:proofErr w:type="spellStart"/>
      <w:r w:rsidRPr="00F815FF">
        <w:rPr>
          <w:rFonts w:ascii="Arial" w:hAnsi="Arial" w:cs="Arial"/>
          <w:i/>
          <w:iCs/>
          <w:sz w:val="20"/>
        </w:rPr>
        <w:t>robusta</w:t>
      </w:r>
      <w:proofErr w:type="spellEnd"/>
      <w:r w:rsidRPr="00F815FF">
        <w:rPr>
          <w:rFonts w:ascii="Arial" w:hAnsi="Arial" w:cs="Arial"/>
          <w:sz w:val="20"/>
        </w:rPr>
        <w:t xml:space="preserve"> from 0m to 500m shows its dominance in slightly elevated areas, rather the adjacent riparian zone.  The </w:t>
      </w:r>
      <w:r w:rsidRPr="00F815FF">
        <w:rPr>
          <w:rFonts w:ascii="Arial" w:hAnsi="Arial" w:cs="Arial"/>
          <w:i/>
          <w:iCs/>
          <w:sz w:val="20"/>
        </w:rPr>
        <w:t xml:space="preserve">S. </w:t>
      </w:r>
      <w:proofErr w:type="spellStart"/>
      <w:r w:rsidRPr="00F815FF">
        <w:rPr>
          <w:rFonts w:ascii="Arial" w:hAnsi="Arial" w:cs="Arial"/>
          <w:i/>
          <w:iCs/>
          <w:sz w:val="20"/>
        </w:rPr>
        <w:t>salicifolium</w:t>
      </w:r>
      <w:proofErr w:type="spellEnd"/>
      <w:r w:rsidRPr="00F815FF">
        <w:rPr>
          <w:rFonts w:ascii="Arial" w:hAnsi="Arial" w:cs="Arial"/>
          <w:sz w:val="20"/>
        </w:rPr>
        <w:t xml:space="preserve">, which documented at 0m, absent entirely beyond the adjacent riparian zone, reflecting </w:t>
      </w:r>
      <w:proofErr w:type="gramStart"/>
      <w:r w:rsidRPr="00F815FF">
        <w:rPr>
          <w:rFonts w:ascii="Arial" w:hAnsi="Arial" w:cs="Arial"/>
          <w:sz w:val="20"/>
        </w:rPr>
        <w:t>its</w:t>
      </w:r>
      <w:proofErr w:type="gramEnd"/>
      <w:r w:rsidRPr="00F815FF">
        <w:rPr>
          <w:rFonts w:ascii="Arial" w:hAnsi="Arial" w:cs="Arial"/>
          <w:sz w:val="20"/>
        </w:rPr>
        <w:t xml:space="preserve"> depend on higher moisture supply.  Species such as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having a relatively high IVI at 0m, notice a decrease in abundance with increasing distance from the river.  This regional distribution shows the influence of water availability on the formation of tree communities. The species richness in these forests is likely affected by increased soil moisture, nutrient availability</w:t>
      </w:r>
      <w:r w:rsidR="006E128C" w:rsidRPr="00F815FF">
        <w:rPr>
          <w:rFonts w:ascii="Arial" w:hAnsi="Arial" w:cs="Arial"/>
          <w:sz w:val="20"/>
        </w:rPr>
        <w:t xml:space="preserve"> and</w:t>
      </w:r>
      <w:r w:rsidRPr="00F815FF">
        <w:rPr>
          <w:rFonts w:ascii="Arial" w:hAnsi="Arial" w:cs="Arial"/>
          <w:sz w:val="20"/>
        </w:rPr>
        <w:t xml:space="preserve"> disturbance patterns, such as seasonal flooding, which create dynamic ecological conditions that favor particular tree species (</w:t>
      </w:r>
      <w:proofErr w:type="spellStart"/>
      <w:r w:rsidRPr="00F815FF">
        <w:rPr>
          <w:rFonts w:ascii="Arial" w:hAnsi="Arial" w:cs="Arial"/>
          <w:sz w:val="20"/>
        </w:rPr>
        <w:t>Hasnat</w:t>
      </w:r>
      <w:proofErr w:type="spellEnd"/>
      <w:r w:rsidRPr="00F815FF">
        <w:rPr>
          <w:rFonts w:ascii="Arial" w:hAnsi="Arial" w:cs="Arial"/>
          <w:sz w:val="20"/>
        </w:rPr>
        <w:t xml:space="preserve"> &amp; Hossain, 2019; </w:t>
      </w:r>
      <w:proofErr w:type="spellStart"/>
      <w:r w:rsidRPr="00F815FF">
        <w:rPr>
          <w:rFonts w:ascii="Arial" w:hAnsi="Arial" w:cs="Arial"/>
          <w:sz w:val="20"/>
        </w:rPr>
        <w:t>Razak</w:t>
      </w:r>
      <w:proofErr w:type="spellEnd"/>
      <w:r w:rsidRPr="00F815FF">
        <w:rPr>
          <w:rFonts w:ascii="Arial" w:hAnsi="Arial" w:cs="Arial"/>
          <w:sz w:val="20"/>
        </w:rPr>
        <w:t xml:space="preserve"> et al., 2019).  </w:t>
      </w:r>
    </w:p>
    <w:p w14:paraId="625F616F" w14:textId="20B7B662" w:rsidR="0032585D" w:rsidRPr="009C573C" w:rsidRDefault="0032585D"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Frequency of Riparian Tree Species</w:t>
      </w:r>
    </w:p>
    <w:p w14:paraId="63B5B5FC" w14:textId="7CDCE5CC"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the river bank (0m),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(64.29%) has the highest frequency</w:t>
      </w:r>
      <w:r w:rsidR="004B3F89" w:rsidRPr="00F815FF">
        <w:rPr>
          <w:rFonts w:ascii="Arial" w:hAnsi="Arial" w:cs="Arial"/>
          <w:sz w:val="20"/>
        </w:rPr>
        <w:t xml:space="preserve"> (Fig. 6)</w:t>
      </w:r>
      <w:r w:rsidRPr="00F815FF">
        <w:rPr>
          <w:rFonts w:ascii="Arial" w:hAnsi="Arial" w:cs="Arial"/>
          <w:sz w:val="20"/>
        </w:rPr>
        <w:t xml:space="preserve">, followed by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(50%), having strong association with riparian zones.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(35.71%), </w:t>
      </w:r>
      <w:r w:rsidRPr="00F815FF">
        <w:rPr>
          <w:rFonts w:ascii="Arial" w:hAnsi="Arial" w:cs="Arial"/>
          <w:i/>
          <w:iCs/>
          <w:sz w:val="20"/>
        </w:rPr>
        <w:t>Bombax ceiba</w:t>
      </w:r>
      <w:r w:rsidRPr="00F815FF">
        <w:rPr>
          <w:rFonts w:ascii="Arial" w:hAnsi="Arial" w:cs="Arial"/>
          <w:sz w:val="20"/>
        </w:rPr>
        <w:t xml:space="preserve"> (28.57%)</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Cassia fistula</w:t>
      </w:r>
      <w:r w:rsidRPr="00F815FF">
        <w:rPr>
          <w:rFonts w:ascii="Arial" w:hAnsi="Arial" w:cs="Arial"/>
          <w:sz w:val="20"/>
        </w:rPr>
        <w:t xml:space="preserve"> (14.29%) have moderate frequency, indicating adaptation to </w:t>
      </w:r>
      <w:r w:rsidRPr="00F815FF">
        <w:rPr>
          <w:rFonts w:ascii="Arial" w:hAnsi="Arial" w:cs="Arial"/>
          <w:sz w:val="20"/>
        </w:rPr>
        <w:lastRenderedPageBreak/>
        <w:t xml:space="preserve">both humid and transitional environments. </w:t>
      </w:r>
      <w:r w:rsidRPr="00F815FF">
        <w:rPr>
          <w:rFonts w:ascii="Arial" w:hAnsi="Arial" w:cs="Arial"/>
          <w:i/>
          <w:iCs/>
          <w:sz w:val="20"/>
        </w:rPr>
        <w:t>Terminalia arjuna</w:t>
      </w:r>
      <w:r w:rsidRPr="00F815FF">
        <w:rPr>
          <w:rFonts w:ascii="Arial" w:hAnsi="Arial" w:cs="Arial"/>
          <w:sz w:val="20"/>
        </w:rPr>
        <w:t xml:space="preserve"> (28.57%) and </w:t>
      </w:r>
      <w:r w:rsidRPr="00F815FF">
        <w:rPr>
          <w:rFonts w:ascii="Arial" w:hAnsi="Arial" w:cs="Arial"/>
          <w:i/>
          <w:iCs/>
          <w:sz w:val="20"/>
        </w:rPr>
        <w:t xml:space="preserve">Bauhinia </w:t>
      </w:r>
      <w:proofErr w:type="spellStart"/>
      <w:r w:rsidRPr="00F815FF">
        <w:rPr>
          <w:rFonts w:ascii="Arial" w:hAnsi="Arial" w:cs="Arial"/>
          <w:i/>
          <w:iCs/>
          <w:sz w:val="20"/>
        </w:rPr>
        <w:t>vahlii</w:t>
      </w:r>
      <w:proofErr w:type="spellEnd"/>
      <w:r w:rsidRPr="00F815FF">
        <w:rPr>
          <w:rFonts w:ascii="Arial" w:hAnsi="Arial" w:cs="Arial"/>
          <w:sz w:val="20"/>
        </w:rPr>
        <w:t xml:space="preserve"> (28.57%) show notable frequency.</w:t>
      </w:r>
    </w:p>
    <w:p w14:paraId="7D7D1216" w14:textId="3DB97155"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250m,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appears as the dominant species. Pterocarpus marsupium (42.86%), </w:t>
      </w:r>
      <w:r w:rsidRPr="00F815FF">
        <w:rPr>
          <w:rFonts w:ascii="Arial" w:hAnsi="Arial" w:cs="Arial"/>
          <w:i/>
          <w:iCs/>
          <w:sz w:val="20"/>
        </w:rPr>
        <w:t xml:space="preserve">Lagerstroemia </w:t>
      </w:r>
      <w:proofErr w:type="spellStart"/>
      <w:r w:rsidRPr="00F815FF">
        <w:rPr>
          <w:rFonts w:ascii="Arial" w:hAnsi="Arial" w:cs="Arial"/>
          <w:i/>
          <w:iCs/>
          <w:sz w:val="20"/>
        </w:rPr>
        <w:t>parviflora</w:t>
      </w:r>
      <w:proofErr w:type="spellEnd"/>
      <w:r w:rsidRPr="00F815FF">
        <w:rPr>
          <w:rFonts w:ascii="Arial" w:hAnsi="Arial" w:cs="Arial"/>
          <w:sz w:val="20"/>
        </w:rPr>
        <w:t xml:space="preserve"> (42.86%)</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 xml:space="preserve">Terminalia </w:t>
      </w:r>
      <w:proofErr w:type="spellStart"/>
      <w:r w:rsidRPr="00F815FF">
        <w:rPr>
          <w:rFonts w:ascii="Arial" w:hAnsi="Arial" w:cs="Arial"/>
          <w:i/>
          <w:iCs/>
          <w:sz w:val="20"/>
        </w:rPr>
        <w:t>elliptica</w:t>
      </w:r>
      <w:proofErr w:type="spellEnd"/>
      <w:r w:rsidRPr="00F815FF">
        <w:rPr>
          <w:rFonts w:ascii="Arial" w:hAnsi="Arial" w:cs="Arial"/>
          <w:sz w:val="20"/>
        </w:rPr>
        <w:t xml:space="preserve"> (42.86%) demonstrate high capacity to transitional environments. </w:t>
      </w:r>
      <w:r w:rsidRPr="00F815FF">
        <w:rPr>
          <w:rFonts w:ascii="Arial" w:hAnsi="Arial" w:cs="Arial"/>
          <w:i/>
          <w:iCs/>
          <w:sz w:val="20"/>
        </w:rPr>
        <w:t xml:space="preserve">Diospyros </w:t>
      </w:r>
      <w:proofErr w:type="spellStart"/>
      <w:r w:rsidRPr="00F815FF">
        <w:rPr>
          <w:rFonts w:ascii="Arial" w:hAnsi="Arial" w:cs="Arial"/>
          <w:i/>
          <w:iCs/>
          <w:sz w:val="20"/>
        </w:rPr>
        <w:t>montana</w:t>
      </w:r>
      <w:proofErr w:type="spellEnd"/>
      <w:r w:rsidRPr="00F815FF">
        <w:rPr>
          <w:rFonts w:ascii="Arial" w:hAnsi="Arial" w:cs="Arial"/>
          <w:sz w:val="20"/>
        </w:rPr>
        <w:t xml:space="preserve"> (35.71%) and </w:t>
      </w:r>
      <w:proofErr w:type="spellStart"/>
      <w:r w:rsidRPr="00F815FF">
        <w:rPr>
          <w:rFonts w:ascii="Arial" w:hAnsi="Arial" w:cs="Arial"/>
          <w:i/>
          <w:iCs/>
          <w:sz w:val="20"/>
        </w:rPr>
        <w:t>Madhuca</w:t>
      </w:r>
      <w:proofErr w:type="spellEnd"/>
      <w:r w:rsidRPr="00F815FF">
        <w:rPr>
          <w:rFonts w:ascii="Arial" w:hAnsi="Arial" w:cs="Arial"/>
          <w:i/>
          <w:iCs/>
          <w:sz w:val="20"/>
        </w:rPr>
        <w:t xml:space="preserve"> </w:t>
      </w:r>
      <w:proofErr w:type="spellStart"/>
      <w:r w:rsidRPr="00F815FF">
        <w:rPr>
          <w:rFonts w:ascii="Arial" w:hAnsi="Arial" w:cs="Arial"/>
          <w:i/>
          <w:iCs/>
          <w:sz w:val="20"/>
        </w:rPr>
        <w:t>longifolia</w:t>
      </w:r>
      <w:proofErr w:type="spellEnd"/>
      <w:r w:rsidRPr="00F815FF">
        <w:rPr>
          <w:rFonts w:ascii="Arial" w:hAnsi="Arial" w:cs="Arial"/>
          <w:sz w:val="20"/>
        </w:rPr>
        <w:t xml:space="preserve"> (42.86%) persist under moderate moisture situations, yet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xml:space="preserve"> is absent, underscoring its affinity for near riparian zones.</w:t>
      </w:r>
    </w:p>
    <w:p w14:paraId="276326E0" w14:textId="09FFB650"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is the dominant species, in stable soil conditions. </w:t>
      </w:r>
      <w:r w:rsidRPr="00F815FF">
        <w:rPr>
          <w:rFonts w:ascii="Arial" w:hAnsi="Arial" w:cs="Arial"/>
          <w:i/>
          <w:iCs/>
          <w:sz w:val="20"/>
        </w:rPr>
        <w:t xml:space="preserve">T. </w:t>
      </w:r>
      <w:proofErr w:type="spellStart"/>
      <w:r w:rsidRPr="00F815FF">
        <w:rPr>
          <w:rFonts w:ascii="Arial" w:hAnsi="Arial" w:cs="Arial"/>
          <w:i/>
          <w:iCs/>
          <w:sz w:val="20"/>
        </w:rPr>
        <w:t>elliptica</w:t>
      </w:r>
      <w:proofErr w:type="spellEnd"/>
      <w:r w:rsidRPr="00F815FF">
        <w:rPr>
          <w:rFonts w:ascii="Arial" w:hAnsi="Arial" w:cs="Arial"/>
          <w:sz w:val="20"/>
        </w:rPr>
        <w:t xml:space="preserve"> (57.14%), </w:t>
      </w:r>
      <w:r w:rsidRPr="00F815FF">
        <w:rPr>
          <w:rFonts w:ascii="Arial" w:hAnsi="Arial" w:cs="Arial"/>
          <w:i/>
          <w:iCs/>
          <w:sz w:val="20"/>
        </w:rPr>
        <w:t>P. marsupium</w:t>
      </w:r>
      <w:r w:rsidRPr="00F815FF">
        <w:rPr>
          <w:rFonts w:ascii="Arial" w:hAnsi="Arial" w:cs="Arial"/>
          <w:sz w:val="20"/>
        </w:rPr>
        <w:t xml:space="preserve"> (50.00%)</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 xml:space="preserve">L. </w:t>
      </w:r>
      <w:proofErr w:type="spellStart"/>
      <w:r w:rsidRPr="00F815FF">
        <w:rPr>
          <w:rFonts w:ascii="Arial" w:hAnsi="Arial" w:cs="Arial"/>
          <w:i/>
          <w:iCs/>
          <w:sz w:val="20"/>
        </w:rPr>
        <w:t>parviflora</w:t>
      </w:r>
      <w:proofErr w:type="spellEnd"/>
      <w:r w:rsidRPr="00F815FF">
        <w:rPr>
          <w:rFonts w:ascii="Arial" w:hAnsi="Arial" w:cs="Arial"/>
          <w:sz w:val="20"/>
        </w:rPr>
        <w:t xml:space="preserve"> (57.14%) consistently exhibit elevated frequencies</w:t>
      </w:r>
      <w:r w:rsidR="004B3F89" w:rsidRPr="00F815FF">
        <w:rPr>
          <w:rFonts w:ascii="Arial" w:hAnsi="Arial" w:cs="Arial"/>
          <w:sz w:val="20"/>
        </w:rPr>
        <w:t xml:space="preserve"> (Fig. 6)</w:t>
      </w:r>
      <w:r w:rsidRPr="00F815FF">
        <w:rPr>
          <w:rFonts w:ascii="Arial" w:hAnsi="Arial" w:cs="Arial"/>
          <w:sz w:val="20"/>
        </w:rPr>
        <w:t xml:space="preserve">. Species like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(7.14%) and </w:t>
      </w:r>
      <w:r w:rsidRPr="00F815FF">
        <w:rPr>
          <w:rFonts w:ascii="Arial" w:hAnsi="Arial" w:cs="Arial"/>
          <w:i/>
          <w:iCs/>
          <w:sz w:val="20"/>
        </w:rPr>
        <w:t xml:space="preserve">Butea </w:t>
      </w:r>
      <w:proofErr w:type="spellStart"/>
      <w:r w:rsidRPr="00F815FF">
        <w:rPr>
          <w:rFonts w:ascii="Arial" w:hAnsi="Arial" w:cs="Arial"/>
          <w:i/>
          <w:iCs/>
          <w:sz w:val="20"/>
        </w:rPr>
        <w:t>monosperma</w:t>
      </w:r>
      <w:proofErr w:type="spellEnd"/>
      <w:r w:rsidRPr="00F815FF">
        <w:rPr>
          <w:rFonts w:ascii="Arial" w:hAnsi="Arial" w:cs="Arial"/>
          <w:sz w:val="20"/>
        </w:rPr>
        <w:t xml:space="preserve"> (7.14%) </w:t>
      </w:r>
      <w:r w:rsidR="004B3F89" w:rsidRPr="00F815FF">
        <w:rPr>
          <w:rFonts w:ascii="Arial" w:hAnsi="Arial" w:cs="Arial"/>
          <w:sz w:val="20"/>
        </w:rPr>
        <w:t>have</w:t>
      </w:r>
      <w:r w:rsidRPr="00F815FF">
        <w:rPr>
          <w:rFonts w:ascii="Arial" w:hAnsi="Arial" w:cs="Arial"/>
          <w:sz w:val="20"/>
        </w:rPr>
        <w:t xml:space="preserve"> lowe</w:t>
      </w:r>
      <w:r w:rsidR="00B643D3" w:rsidRPr="00F815FF">
        <w:rPr>
          <w:rFonts w:ascii="Arial" w:hAnsi="Arial" w:cs="Arial"/>
          <w:sz w:val="20"/>
        </w:rPr>
        <w:t>r</w:t>
      </w:r>
      <w:r w:rsidRPr="00F815FF">
        <w:rPr>
          <w:rFonts w:ascii="Arial" w:hAnsi="Arial" w:cs="Arial"/>
          <w:sz w:val="20"/>
        </w:rPr>
        <w:t xml:space="preserve"> frequency.</w:t>
      </w:r>
    </w:p>
    <w:p w14:paraId="06D33161" w14:textId="77777777" w:rsidR="009C71F7" w:rsidRDefault="009C71F7" w:rsidP="00A10274">
      <w:pPr>
        <w:spacing w:line="480" w:lineRule="auto"/>
        <w:jc w:val="center"/>
        <w:rPr>
          <w:rFonts w:ascii="Times New Roman" w:hAnsi="Times New Roman" w:cs="Times New Roman"/>
          <w:b/>
          <w:bCs/>
          <w:i/>
          <w:iCs/>
          <w:sz w:val="24"/>
          <w:szCs w:val="24"/>
        </w:rPr>
      </w:pPr>
      <w:r w:rsidRPr="00770A52">
        <w:rPr>
          <w:rFonts w:ascii="Times New Roman" w:hAnsi="Times New Roman" w:cs="Times New Roman"/>
          <w:b/>
          <w:bCs/>
          <w:i/>
          <w:iCs/>
          <w:noProof/>
          <w:sz w:val="24"/>
          <w:szCs w:val="24"/>
        </w:rPr>
        <w:drawing>
          <wp:inline distT="0" distB="0" distL="0" distR="0" wp14:anchorId="55639E1C" wp14:editId="221EF4AA">
            <wp:extent cx="3632200" cy="2679281"/>
            <wp:effectExtent l="0" t="0" r="6350" b="6985"/>
            <wp:docPr id="235643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0024" cy="2685052"/>
                    </a:xfrm>
                    <a:prstGeom prst="rect">
                      <a:avLst/>
                    </a:prstGeom>
                    <a:noFill/>
                    <a:ln>
                      <a:noFill/>
                    </a:ln>
                  </pic:spPr>
                </pic:pic>
              </a:graphicData>
            </a:graphic>
          </wp:inline>
        </w:drawing>
      </w:r>
    </w:p>
    <w:p w14:paraId="0D0B5547" w14:textId="124EDC21" w:rsidR="009C71F7" w:rsidRPr="009C573C" w:rsidRDefault="009C71F7" w:rsidP="009C573C">
      <w:pPr>
        <w:pStyle w:val="ListParagraph"/>
        <w:numPr>
          <w:ilvl w:val="0"/>
          <w:numId w:val="14"/>
        </w:numPr>
        <w:spacing w:before="60" w:after="120" w:line="480" w:lineRule="auto"/>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 xml:space="preserve">Frequency of top 10 species of riparian area of </w:t>
      </w:r>
      <w:r w:rsidR="004C475C" w:rsidRPr="009C573C">
        <w:rPr>
          <w:rFonts w:ascii="Arial" w:eastAsia="Times New Roman" w:hAnsi="Arial" w:cs="Arial"/>
          <w:b/>
          <w:bCs/>
          <w:kern w:val="0"/>
          <w:sz w:val="20"/>
          <w14:ligatures w14:val="none"/>
        </w:rPr>
        <w:t>M</w:t>
      </w:r>
      <w:r w:rsidRPr="009C573C">
        <w:rPr>
          <w:rFonts w:ascii="Arial" w:eastAsia="Times New Roman" w:hAnsi="Arial" w:cs="Arial"/>
          <w:b/>
          <w:bCs/>
          <w:kern w:val="0"/>
          <w:sz w:val="20"/>
          <w14:ligatures w14:val="none"/>
        </w:rPr>
        <w:t>and river</w:t>
      </w:r>
    </w:p>
    <w:p w14:paraId="55878982" w14:textId="13FAEA37" w:rsidR="0032585D" w:rsidRPr="00F815FF" w:rsidRDefault="0032585D" w:rsidP="00A10274">
      <w:pPr>
        <w:spacing w:line="480" w:lineRule="auto"/>
        <w:jc w:val="both"/>
        <w:rPr>
          <w:rFonts w:ascii="Arial" w:hAnsi="Arial" w:cs="Arial"/>
          <w:sz w:val="20"/>
        </w:rPr>
      </w:pP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(73.81%) is the most frequent species over all distances, indicating its wide adaptability. Additional species exhibiting elevated overall frequencies are </w:t>
      </w:r>
      <w:r w:rsidRPr="00F815FF">
        <w:rPr>
          <w:rFonts w:ascii="Arial" w:hAnsi="Arial" w:cs="Arial"/>
          <w:i/>
          <w:iCs/>
          <w:sz w:val="20"/>
        </w:rPr>
        <w:t xml:space="preserve">T. </w:t>
      </w:r>
      <w:proofErr w:type="spellStart"/>
      <w:r w:rsidRPr="00F815FF">
        <w:rPr>
          <w:rFonts w:ascii="Arial" w:hAnsi="Arial" w:cs="Arial"/>
          <w:i/>
          <w:iCs/>
          <w:sz w:val="20"/>
        </w:rPr>
        <w:t>elliptica</w:t>
      </w:r>
      <w:proofErr w:type="spellEnd"/>
      <w:r w:rsidRPr="00F815FF">
        <w:rPr>
          <w:rFonts w:ascii="Arial" w:hAnsi="Arial" w:cs="Arial"/>
          <w:sz w:val="20"/>
        </w:rPr>
        <w:t xml:space="preserve"> (35.71%), </w:t>
      </w:r>
      <w:r w:rsidRPr="00F815FF">
        <w:rPr>
          <w:rFonts w:ascii="Arial" w:hAnsi="Arial" w:cs="Arial"/>
          <w:i/>
          <w:iCs/>
          <w:sz w:val="20"/>
        </w:rPr>
        <w:t>P. marsupium</w:t>
      </w:r>
      <w:r w:rsidRPr="00F815FF">
        <w:rPr>
          <w:rFonts w:ascii="Arial" w:hAnsi="Arial" w:cs="Arial"/>
          <w:sz w:val="20"/>
        </w:rPr>
        <w:t xml:space="preserve"> (35.71%)</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 xml:space="preserve">L. </w:t>
      </w:r>
      <w:proofErr w:type="spellStart"/>
      <w:r w:rsidRPr="00F815FF">
        <w:rPr>
          <w:rFonts w:ascii="Arial" w:hAnsi="Arial" w:cs="Arial"/>
          <w:i/>
          <w:iCs/>
          <w:sz w:val="20"/>
        </w:rPr>
        <w:t>parviflora</w:t>
      </w:r>
      <w:proofErr w:type="spellEnd"/>
      <w:r w:rsidRPr="00F815FF">
        <w:rPr>
          <w:rFonts w:ascii="Arial" w:hAnsi="Arial" w:cs="Arial"/>
          <w:sz w:val="20"/>
        </w:rPr>
        <w:t xml:space="preserve"> (35.71%), shows their resilience to varying moisture conditions.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xml:space="preserve"> (30.95%) and </w:t>
      </w:r>
      <w:r w:rsidRPr="00F815FF">
        <w:rPr>
          <w:rFonts w:ascii="Arial" w:hAnsi="Arial" w:cs="Arial"/>
          <w:i/>
          <w:iCs/>
          <w:sz w:val="20"/>
        </w:rPr>
        <w:t xml:space="preserve">M. </w:t>
      </w:r>
      <w:proofErr w:type="spellStart"/>
      <w:r w:rsidRPr="00F815FF">
        <w:rPr>
          <w:rFonts w:ascii="Arial" w:hAnsi="Arial" w:cs="Arial"/>
          <w:i/>
          <w:iCs/>
          <w:sz w:val="20"/>
        </w:rPr>
        <w:t>longifolia</w:t>
      </w:r>
      <w:proofErr w:type="spellEnd"/>
      <w:r w:rsidRPr="00F815FF">
        <w:rPr>
          <w:rFonts w:ascii="Arial" w:hAnsi="Arial" w:cs="Arial"/>
          <w:sz w:val="20"/>
        </w:rPr>
        <w:t xml:space="preserve"> (30.95%) are prevalent in riparian and transitional zones but decrease with increasing distance from the river.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(21.43%), prevalent at 0m, rapidly reduces at increasing distances.</w:t>
      </w:r>
    </w:p>
    <w:p w14:paraId="6C74D335" w14:textId="5221EDF2" w:rsidR="002467C8" w:rsidRPr="00F815FF" w:rsidRDefault="0032585D" w:rsidP="00A10274">
      <w:pPr>
        <w:spacing w:line="480" w:lineRule="auto"/>
        <w:jc w:val="both"/>
        <w:rPr>
          <w:rFonts w:ascii="Arial" w:hAnsi="Arial" w:cs="Arial"/>
          <w:sz w:val="20"/>
        </w:rPr>
      </w:pPr>
      <w:r w:rsidRPr="00F815FF">
        <w:rPr>
          <w:rFonts w:ascii="Arial" w:hAnsi="Arial" w:cs="Arial"/>
          <w:sz w:val="20"/>
        </w:rPr>
        <w:lastRenderedPageBreak/>
        <w:t>The frequency analysis reveals a distinct shift from moisture-dependent species at 0m to drought-resistant species at 500m</w:t>
      </w:r>
      <w:r w:rsidR="004B3F89" w:rsidRPr="00F815FF">
        <w:rPr>
          <w:rFonts w:ascii="Arial" w:hAnsi="Arial" w:cs="Arial"/>
          <w:sz w:val="20"/>
        </w:rPr>
        <w:t xml:space="preserve"> (Fig. 6)</w:t>
      </w: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is dominant at all distances, whereas species such as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are restricted to riparian zones. </w:t>
      </w:r>
    </w:p>
    <w:p w14:paraId="06403DBC" w14:textId="506D946B" w:rsidR="005E6089" w:rsidRPr="009C573C" w:rsidRDefault="005E6089"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Abundance of Riparian Tree Species</w:t>
      </w:r>
    </w:p>
    <w:p w14:paraId="698D10F0" w14:textId="4BF9A1DA"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The abundance, measure as the number of individuals per hectare, offers insights on species dominance and distribution patterns within the study area.  The variation in species abundance at several distances from the river (0m, 250m, 500m) demonstrate the tree adaptation to moisture availability and surroundings</w:t>
      </w:r>
      <w:r w:rsidR="004B3F89" w:rsidRPr="00F815FF">
        <w:rPr>
          <w:rFonts w:ascii="Arial" w:hAnsi="Arial" w:cs="Arial"/>
          <w:sz w:val="20"/>
        </w:rPr>
        <w:t xml:space="preserve"> (Fig. 7)</w:t>
      </w:r>
      <w:r w:rsidRPr="00F815FF">
        <w:rPr>
          <w:rFonts w:ascii="Arial" w:hAnsi="Arial" w:cs="Arial"/>
          <w:sz w:val="20"/>
        </w:rPr>
        <w:t>.</w:t>
      </w:r>
    </w:p>
    <w:p w14:paraId="63CFB781" w14:textId="30554673"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0m,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(64.29 individuals/ha) demonstrates the highest abundance</w:t>
      </w:r>
      <w:r w:rsidR="00D728D1" w:rsidRPr="00F815FF">
        <w:rPr>
          <w:rFonts w:ascii="Arial" w:hAnsi="Arial" w:cs="Arial"/>
          <w:sz w:val="20"/>
        </w:rPr>
        <w:t xml:space="preserve"> (Fig. 7)</w:t>
      </w:r>
      <w:r w:rsidRPr="00F815FF">
        <w:rPr>
          <w:rFonts w:ascii="Arial" w:hAnsi="Arial" w:cs="Arial"/>
          <w:sz w:val="20"/>
        </w:rPr>
        <w:t xml:space="preserve">, indicating its affinity for moist environments and prevalence in the adjacent riparian zone.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(50.00 individuals/ha) has a notable abundance.  Other species, like </w:t>
      </w:r>
      <w:r w:rsidRPr="00F815FF">
        <w:rPr>
          <w:rFonts w:ascii="Arial" w:hAnsi="Arial" w:cs="Arial"/>
          <w:i/>
          <w:iCs/>
          <w:sz w:val="20"/>
        </w:rPr>
        <w:t>Bombax ceiba</w:t>
      </w:r>
      <w:r w:rsidRPr="00F815FF">
        <w:rPr>
          <w:rFonts w:ascii="Arial" w:hAnsi="Arial" w:cs="Arial"/>
          <w:sz w:val="20"/>
        </w:rPr>
        <w:t xml:space="preserve"> (28.57 individuals/ha), </w:t>
      </w:r>
      <w:r w:rsidRPr="00F815FF">
        <w:rPr>
          <w:rFonts w:ascii="Arial" w:hAnsi="Arial" w:cs="Arial"/>
          <w:i/>
          <w:iCs/>
          <w:sz w:val="20"/>
        </w:rPr>
        <w:t xml:space="preserve">Bauhinia </w:t>
      </w:r>
      <w:proofErr w:type="spellStart"/>
      <w:r w:rsidRPr="00F815FF">
        <w:rPr>
          <w:rFonts w:ascii="Arial" w:hAnsi="Arial" w:cs="Arial"/>
          <w:i/>
          <w:iCs/>
          <w:sz w:val="20"/>
        </w:rPr>
        <w:t>vahlii</w:t>
      </w:r>
      <w:proofErr w:type="spellEnd"/>
      <w:r w:rsidRPr="00F815FF">
        <w:rPr>
          <w:rFonts w:ascii="Arial" w:hAnsi="Arial" w:cs="Arial"/>
          <w:sz w:val="20"/>
        </w:rPr>
        <w:t xml:space="preserve"> (28.57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Cassia fistula</w:t>
      </w:r>
      <w:r w:rsidRPr="00F815FF">
        <w:rPr>
          <w:rFonts w:ascii="Arial" w:hAnsi="Arial" w:cs="Arial"/>
          <w:sz w:val="20"/>
        </w:rPr>
        <w:t xml:space="preserve"> (14.29 individuals/ha), showed intermediate abundance.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(35.71 individuals/ha), although a prominent species overall, has comparatively lower abundance in the riparian zone than </w:t>
      </w:r>
      <w:proofErr w:type="spellStart"/>
      <w:r w:rsidRPr="00F815FF">
        <w:rPr>
          <w:rFonts w:ascii="Arial" w:hAnsi="Arial" w:cs="Arial"/>
          <w:sz w:val="20"/>
        </w:rPr>
        <w:t>Syzygium</w:t>
      </w:r>
      <w:proofErr w:type="spellEnd"/>
      <w:r w:rsidRPr="00F815FF">
        <w:rPr>
          <w:rFonts w:ascii="Arial" w:hAnsi="Arial" w:cs="Arial"/>
          <w:sz w:val="20"/>
        </w:rPr>
        <w:t xml:space="preserve"> and Diospyros species.</w:t>
      </w:r>
    </w:p>
    <w:p w14:paraId="32BFB46B" w14:textId="07EBB869"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250m,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individuals/ha) is the dominant species, indicating its growing dominance as moisture reliance diminishes.  </w:t>
      </w:r>
      <w:r w:rsidRPr="00F815FF">
        <w:rPr>
          <w:rFonts w:ascii="Arial" w:hAnsi="Arial" w:cs="Arial"/>
          <w:i/>
          <w:iCs/>
          <w:sz w:val="20"/>
        </w:rPr>
        <w:t>Pterocarpus marsupium</w:t>
      </w:r>
      <w:r w:rsidRPr="00F815FF">
        <w:rPr>
          <w:rFonts w:ascii="Arial" w:hAnsi="Arial" w:cs="Arial"/>
          <w:sz w:val="20"/>
        </w:rPr>
        <w:t xml:space="preserve"> (42.86 individuals/ha), </w:t>
      </w:r>
      <w:r w:rsidRPr="00F815FF">
        <w:rPr>
          <w:rFonts w:ascii="Arial" w:hAnsi="Arial" w:cs="Arial"/>
          <w:i/>
          <w:iCs/>
          <w:sz w:val="20"/>
        </w:rPr>
        <w:t xml:space="preserve">Lagerstroemia </w:t>
      </w:r>
      <w:proofErr w:type="spellStart"/>
      <w:r w:rsidRPr="00F815FF">
        <w:rPr>
          <w:rFonts w:ascii="Arial" w:hAnsi="Arial" w:cs="Arial"/>
          <w:i/>
          <w:iCs/>
          <w:sz w:val="20"/>
        </w:rPr>
        <w:t>parviflora</w:t>
      </w:r>
      <w:proofErr w:type="spellEnd"/>
      <w:r w:rsidRPr="00F815FF">
        <w:rPr>
          <w:rFonts w:ascii="Arial" w:hAnsi="Arial" w:cs="Arial"/>
          <w:sz w:val="20"/>
        </w:rPr>
        <w:t xml:space="preserve"> (42.86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 xml:space="preserve">Terminalia </w:t>
      </w:r>
      <w:proofErr w:type="spellStart"/>
      <w:r w:rsidRPr="00F815FF">
        <w:rPr>
          <w:rFonts w:ascii="Arial" w:hAnsi="Arial" w:cs="Arial"/>
          <w:i/>
          <w:iCs/>
          <w:sz w:val="20"/>
        </w:rPr>
        <w:t>elliptica</w:t>
      </w:r>
      <w:proofErr w:type="spellEnd"/>
      <w:r w:rsidRPr="00F815FF">
        <w:rPr>
          <w:rFonts w:ascii="Arial" w:hAnsi="Arial" w:cs="Arial"/>
          <w:sz w:val="20"/>
        </w:rPr>
        <w:t xml:space="preserve"> (42.86 individuals/ha) show significant abundance. </w:t>
      </w:r>
    </w:p>
    <w:p w14:paraId="40697784" w14:textId="77777777" w:rsidR="009C71F7" w:rsidRPr="00F815FF" w:rsidRDefault="009C71F7" w:rsidP="00A10274">
      <w:pPr>
        <w:spacing w:line="480" w:lineRule="auto"/>
        <w:jc w:val="center"/>
        <w:rPr>
          <w:rFonts w:ascii="Arial" w:hAnsi="Arial" w:cs="Arial"/>
          <w:b/>
          <w:bCs/>
          <w:i/>
          <w:iCs/>
          <w:sz w:val="20"/>
        </w:rPr>
      </w:pPr>
      <w:r w:rsidRPr="00F815FF">
        <w:rPr>
          <w:rFonts w:ascii="Arial" w:hAnsi="Arial" w:cs="Arial"/>
          <w:b/>
          <w:bCs/>
          <w:i/>
          <w:iCs/>
          <w:noProof/>
          <w:sz w:val="20"/>
        </w:rPr>
        <w:lastRenderedPageBreak/>
        <w:drawing>
          <wp:inline distT="0" distB="0" distL="0" distR="0" wp14:anchorId="06F12549" wp14:editId="7424D0B0">
            <wp:extent cx="3804125" cy="2861733"/>
            <wp:effectExtent l="0" t="0" r="6350" b="0"/>
            <wp:docPr id="1026341973" name="Picture 2" descr="A graph showing different species of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41973" name="Picture 2" descr="A graph showing different species of tre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3603" cy="2868863"/>
                    </a:xfrm>
                    <a:prstGeom prst="rect">
                      <a:avLst/>
                    </a:prstGeom>
                    <a:noFill/>
                    <a:ln>
                      <a:noFill/>
                    </a:ln>
                  </pic:spPr>
                </pic:pic>
              </a:graphicData>
            </a:graphic>
          </wp:inline>
        </w:drawing>
      </w:r>
    </w:p>
    <w:p w14:paraId="3FE7F331" w14:textId="43FFB04D" w:rsidR="009C71F7" w:rsidRPr="009C573C" w:rsidRDefault="009C71F7" w:rsidP="009C573C">
      <w:pPr>
        <w:pStyle w:val="ListParagraph"/>
        <w:numPr>
          <w:ilvl w:val="0"/>
          <w:numId w:val="14"/>
        </w:numPr>
        <w:spacing w:before="60" w:after="120" w:line="480" w:lineRule="auto"/>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Abundance of top 10 species in the study area</w:t>
      </w:r>
    </w:p>
    <w:p w14:paraId="7F793D91" w14:textId="343D4C2B"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individuals/ha) persists in its </w:t>
      </w:r>
      <w:r w:rsidR="006778CD" w:rsidRPr="00F815FF">
        <w:rPr>
          <w:rFonts w:ascii="Arial" w:hAnsi="Arial" w:cs="Arial"/>
          <w:sz w:val="20"/>
        </w:rPr>
        <w:t>dominance</w:t>
      </w:r>
      <w:r w:rsidRPr="00F815FF">
        <w:rPr>
          <w:rFonts w:ascii="Arial" w:hAnsi="Arial" w:cs="Arial"/>
          <w:sz w:val="20"/>
        </w:rPr>
        <w:t xml:space="preserve">, sustaining considerable abundance in arid circumstances.  </w:t>
      </w:r>
      <w:r w:rsidRPr="00F815FF">
        <w:rPr>
          <w:rFonts w:ascii="Arial" w:hAnsi="Arial" w:cs="Arial"/>
          <w:i/>
          <w:iCs/>
          <w:sz w:val="20"/>
        </w:rPr>
        <w:t>Pterocarpus marsupium</w:t>
      </w:r>
      <w:r w:rsidRPr="00F815FF">
        <w:rPr>
          <w:rFonts w:ascii="Arial" w:hAnsi="Arial" w:cs="Arial"/>
          <w:sz w:val="20"/>
        </w:rPr>
        <w:t xml:space="preserve"> (50.00 individuals/ha), </w:t>
      </w:r>
      <w:r w:rsidRPr="00F815FF">
        <w:rPr>
          <w:rFonts w:ascii="Arial" w:hAnsi="Arial" w:cs="Arial"/>
          <w:i/>
          <w:iCs/>
          <w:sz w:val="20"/>
        </w:rPr>
        <w:t xml:space="preserve">Terminalia </w:t>
      </w:r>
      <w:proofErr w:type="spellStart"/>
      <w:r w:rsidRPr="00F815FF">
        <w:rPr>
          <w:rFonts w:ascii="Arial" w:hAnsi="Arial" w:cs="Arial"/>
          <w:i/>
          <w:iCs/>
          <w:sz w:val="20"/>
        </w:rPr>
        <w:t>elliptica</w:t>
      </w:r>
      <w:proofErr w:type="spellEnd"/>
      <w:r w:rsidRPr="00F815FF">
        <w:rPr>
          <w:rFonts w:ascii="Arial" w:hAnsi="Arial" w:cs="Arial"/>
          <w:sz w:val="20"/>
        </w:rPr>
        <w:t xml:space="preserve"> (57.14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 xml:space="preserve">Lagerstroemia </w:t>
      </w:r>
      <w:proofErr w:type="spellStart"/>
      <w:r w:rsidRPr="00F815FF">
        <w:rPr>
          <w:rFonts w:ascii="Arial" w:hAnsi="Arial" w:cs="Arial"/>
          <w:i/>
          <w:iCs/>
          <w:sz w:val="20"/>
        </w:rPr>
        <w:t>parviflora</w:t>
      </w:r>
      <w:proofErr w:type="spellEnd"/>
      <w:r w:rsidRPr="00F815FF">
        <w:rPr>
          <w:rFonts w:ascii="Arial" w:hAnsi="Arial" w:cs="Arial"/>
          <w:sz w:val="20"/>
        </w:rPr>
        <w:t xml:space="preserve"> (57.14 individuals/ha) are prevalent.  Other species, like </w:t>
      </w:r>
      <w:r w:rsidRPr="00F815FF">
        <w:rPr>
          <w:rFonts w:ascii="Arial" w:hAnsi="Arial" w:cs="Arial"/>
          <w:i/>
          <w:iCs/>
          <w:sz w:val="20"/>
        </w:rPr>
        <w:t xml:space="preserve">Diospyros </w:t>
      </w:r>
      <w:proofErr w:type="spellStart"/>
      <w:r w:rsidRPr="00F815FF">
        <w:rPr>
          <w:rFonts w:ascii="Arial" w:hAnsi="Arial" w:cs="Arial"/>
          <w:i/>
          <w:iCs/>
          <w:sz w:val="20"/>
        </w:rPr>
        <w:t>montana</w:t>
      </w:r>
      <w:proofErr w:type="spellEnd"/>
      <w:r w:rsidRPr="00F815FF">
        <w:rPr>
          <w:rFonts w:ascii="Arial" w:hAnsi="Arial" w:cs="Arial"/>
          <w:sz w:val="20"/>
        </w:rPr>
        <w:t xml:space="preserve"> (28.57 individuals/ha) and </w:t>
      </w:r>
      <w:proofErr w:type="spellStart"/>
      <w:r w:rsidRPr="00F815FF">
        <w:rPr>
          <w:rFonts w:ascii="Arial" w:hAnsi="Arial" w:cs="Arial"/>
          <w:i/>
          <w:iCs/>
          <w:sz w:val="20"/>
        </w:rPr>
        <w:t>Madhuca</w:t>
      </w:r>
      <w:proofErr w:type="spellEnd"/>
      <w:r w:rsidRPr="00F815FF">
        <w:rPr>
          <w:rFonts w:ascii="Arial" w:hAnsi="Arial" w:cs="Arial"/>
          <w:i/>
          <w:iCs/>
          <w:sz w:val="20"/>
        </w:rPr>
        <w:t xml:space="preserve"> </w:t>
      </w:r>
      <w:proofErr w:type="spellStart"/>
      <w:r w:rsidRPr="00F815FF">
        <w:rPr>
          <w:rFonts w:ascii="Arial" w:hAnsi="Arial" w:cs="Arial"/>
          <w:i/>
          <w:iCs/>
          <w:sz w:val="20"/>
        </w:rPr>
        <w:t>longifolia</w:t>
      </w:r>
      <w:proofErr w:type="spellEnd"/>
      <w:r w:rsidRPr="00F815FF">
        <w:rPr>
          <w:rFonts w:ascii="Arial" w:hAnsi="Arial" w:cs="Arial"/>
          <w:sz w:val="20"/>
        </w:rPr>
        <w:t xml:space="preserve"> (35.71 individuals/ha), exhibit intermediate abundance.</w:t>
      </w:r>
    </w:p>
    <w:p w14:paraId="61769875" w14:textId="3150C649" w:rsidR="002467C8" w:rsidRPr="00F815FF" w:rsidRDefault="005E6089" w:rsidP="00A10274">
      <w:pPr>
        <w:spacing w:line="480" w:lineRule="auto"/>
        <w:jc w:val="both"/>
        <w:rPr>
          <w:rFonts w:ascii="Arial" w:hAnsi="Arial" w:cs="Arial"/>
          <w:sz w:val="20"/>
        </w:rPr>
      </w:pP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(73.81 individuals/ha) is the abundant species at all distance</w:t>
      </w:r>
      <w:r w:rsidR="00D728D1" w:rsidRPr="00F815FF">
        <w:rPr>
          <w:rFonts w:ascii="Arial" w:hAnsi="Arial" w:cs="Arial"/>
          <w:sz w:val="20"/>
        </w:rPr>
        <w:t xml:space="preserve"> class</w:t>
      </w:r>
      <w:r w:rsidRPr="00F815FF">
        <w:rPr>
          <w:rFonts w:ascii="Arial" w:hAnsi="Arial" w:cs="Arial"/>
          <w:sz w:val="20"/>
        </w:rPr>
        <w:t xml:space="preserv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i/>
          <w:iCs/>
          <w:sz w:val="20"/>
        </w:rPr>
        <w:t xml:space="preserve"> </w:t>
      </w:r>
      <w:r w:rsidRPr="00F815FF">
        <w:rPr>
          <w:rFonts w:ascii="Arial" w:hAnsi="Arial" w:cs="Arial"/>
          <w:sz w:val="20"/>
        </w:rPr>
        <w:t xml:space="preserve">(21.43 individuals/ha) is very prevalent adjacent to the river but is entirely absent beyond the local riparian zone. The abundance distribution indicates a progressive transition from moisture-dependent species (e.g.,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to drier upland-adapted species (e.g.,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and </w:t>
      </w:r>
      <w:r w:rsidRPr="00F815FF">
        <w:rPr>
          <w:rFonts w:ascii="Arial" w:hAnsi="Arial" w:cs="Arial"/>
          <w:i/>
          <w:iCs/>
          <w:sz w:val="20"/>
        </w:rPr>
        <w:t xml:space="preserve">Terminalia </w:t>
      </w:r>
      <w:proofErr w:type="spellStart"/>
      <w:r w:rsidRPr="00F815FF">
        <w:rPr>
          <w:rFonts w:ascii="Arial" w:hAnsi="Arial" w:cs="Arial"/>
          <w:i/>
          <w:iCs/>
          <w:sz w:val="20"/>
        </w:rPr>
        <w:t>elliptica</w:t>
      </w:r>
      <w:proofErr w:type="spellEnd"/>
      <w:r w:rsidRPr="00F815FF">
        <w:rPr>
          <w:rFonts w:ascii="Arial" w:hAnsi="Arial" w:cs="Arial"/>
          <w:sz w:val="20"/>
        </w:rPr>
        <w:t xml:space="preserve">) with increasing distance from the river. </w:t>
      </w:r>
    </w:p>
    <w:p w14:paraId="44897D98" w14:textId="33327584" w:rsidR="004B70FF" w:rsidRPr="009C573C" w:rsidRDefault="004B70FF"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Shannon-Wiener Index of Riparian Tree Species</w:t>
      </w:r>
    </w:p>
    <w:p w14:paraId="69A4185F" w14:textId="444F1045" w:rsidR="004B70FF" w:rsidRPr="00F815FF" w:rsidRDefault="004B70FF" w:rsidP="00A10274">
      <w:pPr>
        <w:spacing w:line="480" w:lineRule="auto"/>
        <w:jc w:val="both"/>
        <w:rPr>
          <w:rFonts w:ascii="Times New Roman" w:hAnsi="Times New Roman" w:cs="Times New Roman"/>
          <w:sz w:val="20"/>
        </w:rPr>
      </w:pPr>
      <w:r w:rsidRPr="004B70FF">
        <w:rPr>
          <w:rFonts w:ascii="Times New Roman" w:hAnsi="Times New Roman" w:cs="Times New Roman"/>
          <w:sz w:val="24"/>
          <w:szCs w:val="24"/>
        </w:rPr>
        <w:t xml:space="preserve"> </w:t>
      </w:r>
      <w:r w:rsidRPr="00F815FF">
        <w:rPr>
          <w:rFonts w:ascii="Times New Roman" w:hAnsi="Times New Roman" w:cs="Times New Roman"/>
          <w:sz w:val="20"/>
        </w:rPr>
        <w:t xml:space="preserve">The Shannon-Wiener Index (H') at different distances from the river inside the riparian forest show a clear gradient in species diversity. In totality the riparian forest has highest diversity (H' = 3.5560), </w:t>
      </w:r>
      <w:r w:rsidR="00B643D3" w:rsidRPr="00F815FF">
        <w:rPr>
          <w:rFonts w:ascii="Times New Roman" w:hAnsi="Times New Roman" w:cs="Times New Roman"/>
          <w:sz w:val="20"/>
        </w:rPr>
        <w:t>whereas</w:t>
      </w:r>
      <w:r w:rsidRPr="00F815FF">
        <w:rPr>
          <w:rFonts w:ascii="Times New Roman" w:hAnsi="Times New Roman" w:cs="Times New Roman"/>
          <w:sz w:val="20"/>
        </w:rPr>
        <w:t xml:space="preserve"> lesser diversity an</w:t>
      </w:r>
      <w:r w:rsidR="00B643D3" w:rsidRPr="00F815FF">
        <w:rPr>
          <w:rFonts w:ascii="Times New Roman" w:hAnsi="Times New Roman" w:cs="Times New Roman"/>
          <w:sz w:val="20"/>
        </w:rPr>
        <w:t xml:space="preserve"> </w:t>
      </w:r>
      <w:r w:rsidRPr="00F815FF">
        <w:rPr>
          <w:rFonts w:ascii="Times New Roman" w:hAnsi="Times New Roman" w:cs="Times New Roman"/>
          <w:sz w:val="20"/>
        </w:rPr>
        <w:t xml:space="preserve">0m (H' = 3.4950) and 250m (H' = 3.3665) was observed.  there is a significant reduction in diversity at 500m from the river (H' = 2.9040), indicating a decrease in both species richness and evenness as the distance from the river </w:t>
      </w:r>
      <w:r w:rsidRPr="00F815FF">
        <w:rPr>
          <w:rFonts w:ascii="Times New Roman" w:hAnsi="Times New Roman" w:cs="Times New Roman"/>
          <w:sz w:val="20"/>
        </w:rPr>
        <w:lastRenderedPageBreak/>
        <w:t>increases.  The pattern that has been observed suggests that closer from the river increases tree diversity, may be due to moisture availability</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microhabitat differences that support </w:t>
      </w:r>
      <w:proofErr w:type="spellStart"/>
      <w:proofErr w:type="gramStart"/>
      <w:r w:rsidRPr="00F815FF">
        <w:rPr>
          <w:rFonts w:ascii="Times New Roman" w:hAnsi="Times New Roman" w:cs="Times New Roman"/>
          <w:sz w:val="20"/>
        </w:rPr>
        <w:t>an</w:t>
      </w:r>
      <w:proofErr w:type="spellEnd"/>
      <w:r w:rsidR="00B643D3" w:rsidRPr="00F815FF">
        <w:rPr>
          <w:rFonts w:ascii="Times New Roman" w:hAnsi="Times New Roman" w:cs="Times New Roman"/>
          <w:sz w:val="20"/>
        </w:rPr>
        <w:t xml:space="preserve"> </w:t>
      </w:r>
      <w:r w:rsidRPr="00F815FF">
        <w:rPr>
          <w:rFonts w:ascii="Times New Roman" w:hAnsi="Times New Roman" w:cs="Times New Roman"/>
          <w:sz w:val="20"/>
        </w:rPr>
        <w:t>more</w:t>
      </w:r>
      <w:proofErr w:type="gramEnd"/>
      <w:r w:rsidRPr="00F815FF">
        <w:rPr>
          <w:rFonts w:ascii="Times New Roman" w:hAnsi="Times New Roman" w:cs="Times New Roman"/>
          <w:sz w:val="20"/>
        </w:rPr>
        <w:t xml:space="preserve"> number of species (Mubi, 2012; Pereira et al., 2012).  </w:t>
      </w:r>
    </w:p>
    <w:p w14:paraId="5747D16C" w14:textId="383D48F1" w:rsidR="004B70FF" w:rsidRPr="004B70FF" w:rsidRDefault="004B70FF" w:rsidP="009C573C">
      <w:pPr>
        <w:pStyle w:val="ListParagraph"/>
        <w:numPr>
          <w:ilvl w:val="2"/>
          <w:numId w:val="29"/>
        </w:numPr>
        <w:spacing w:line="480" w:lineRule="auto"/>
        <w:rPr>
          <w:rFonts w:ascii="Times New Roman" w:hAnsi="Times New Roman" w:cs="Times New Roman"/>
          <w:b/>
          <w:bCs/>
          <w:i/>
          <w:iCs/>
          <w:sz w:val="24"/>
          <w:szCs w:val="24"/>
        </w:rPr>
      </w:pPr>
      <w:r w:rsidRPr="004B70FF">
        <w:rPr>
          <w:rFonts w:ascii="Times New Roman" w:hAnsi="Times New Roman" w:cs="Times New Roman"/>
          <w:sz w:val="24"/>
          <w:szCs w:val="24"/>
        </w:rPr>
        <w:t xml:space="preserve"> </w:t>
      </w:r>
      <w:r w:rsidRPr="009C573C">
        <w:rPr>
          <w:rFonts w:ascii="Arial" w:eastAsiaTheme="minorEastAsia" w:hAnsi="Arial" w:cs="Arial"/>
          <w:b/>
          <w:bCs/>
          <w:sz w:val="20"/>
          <w:u w:val="single"/>
        </w:rPr>
        <w:t>Simpson's Index of Riparian Tree Species</w:t>
      </w:r>
    </w:p>
    <w:p w14:paraId="7939FF10" w14:textId="77777777" w:rsidR="004B70FF" w:rsidRPr="00F815FF" w:rsidRDefault="004B70FF"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The Simpson's Index (D), a measure of species dominance, has an inverse relation with Shannon-Wiener values (Pertiwi et al., 2019).  The highest dominance, shown by the lowest diversity, is observed at Riparian 500m (D = 0.0921).  In contrast, Riparian 0m has the lowest Simpson’s Index (D = 0.0413), signifying a more equitable distribution of species near the river, with no single species dominance.</w:t>
      </w:r>
    </w:p>
    <w:p w14:paraId="45E3568B" w14:textId="42D140E7" w:rsidR="009C71F7" w:rsidRPr="00F815FF" w:rsidRDefault="009C71F7" w:rsidP="00F815FF">
      <w:pPr>
        <w:pStyle w:val="ListParagraph"/>
        <w:numPr>
          <w:ilvl w:val="0"/>
          <w:numId w:val="21"/>
        </w:numPr>
        <w:spacing w:line="480" w:lineRule="auto"/>
        <w:jc w:val="both"/>
        <w:rPr>
          <w:rFonts w:ascii="Times New Roman" w:hAnsi="Times New Roman" w:cs="Times New Roman"/>
          <w:b/>
          <w:bCs/>
          <w:sz w:val="28"/>
          <w:szCs w:val="28"/>
        </w:rPr>
      </w:pPr>
      <w:r w:rsidRPr="00F815FF">
        <w:rPr>
          <w:rFonts w:ascii="Times New Roman" w:hAnsi="Times New Roman" w:cs="Times New Roman"/>
          <w:b/>
          <w:bCs/>
          <w:sz w:val="28"/>
          <w:szCs w:val="28"/>
        </w:rPr>
        <w:t>Conclusion</w:t>
      </w:r>
    </w:p>
    <w:p w14:paraId="67E4F455" w14:textId="51B9F752" w:rsidR="009C71F7" w:rsidRPr="00F815FF" w:rsidRDefault="009C71F7" w:rsidP="00A10274">
      <w:pPr>
        <w:spacing w:line="480" w:lineRule="auto"/>
        <w:jc w:val="both"/>
        <w:rPr>
          <w:rFonts w:ascii="Arial" w:hAnsi="Arial" w:cs="Arial"/>
          <w:sz w:val="20"/>
        </w:rPr>
      </w:pPr>
      <w:r w:rsidRPr="00F815FF">
        <w:rPr>
          <w:rFonts w:ascii="Arial" w:hAnsi="Arial" w:cs="Arial"/>
          <w:sz w:val="20"/>
        </w:rPr>
        <w:t>The observed pattern in diversity indices shows a significant relationship between water availability and tree species richness in riparian environments.  The diversity adjacent to the river (0m) is likely attributable to favorable growth circumstances, including enough moisture, sporadic nutrient influx</w:t>
      </w:r>
      <w:r w:rsidR="006E128C" w:rsidRPr="00F815FF">
        <w:rPr>
          <w:rFonts w:ascii="Arial" w:hAnsi="Arial" w:cs="Arial"/>
          <w:sz w:val="20"/>
        </w:rPr>
        <w:t xml:space="preserve"> and</w:t>
      </w:r>
      <w:r w:rsidRPr="00F815FF">
        <w:rPr>
          <w:rFonts w:ascii="Arial" w:hAnsi="Arial" w:cs="Arial"/>
          <w:sz w:val="20"/>
        </w:rPr>
        <w:t xml:space="preserve"> reduced competition from species suited to the forest (</w:t>
      </w:r>
      <w:proofErr w:type="spellStart"/>
      <w:r w:rsidRPr="00F815FF">
        <w:rPr>
          <w:rFonts w:ascii="Arial" w:hAnsi="Arial" w:cs="Arial"/>
          <w:sz w:val="20"/>
        </w:rPr>
        <w:t>Pielech</w:t>
      </w:r>
      <w:proofErr w:type="spellEnd"/>
      <w:r w:rsidRPr="00F815FF">
        <w:rPr>
          <w:rFonts w:ascii="Arial" w:hAnsi="Arial" w:cs="Arial"/>
          <w:sz w:val="20"/>
        </w:rPr>
        <w:t xml:space="preserve">, 2021; </w:t>
      </w:r>
      <w:proofErr w:type="spellStart"/>
      <w:r w:rsidRPr="00F815FF">
        <w:rPr>
          <w:rFonts w:ascii="Arial" w:hAnsi="Arial" w:cs="Arial"/>
          <w:sz w:val="20"/>
        </w:rPr>
        <w:t>Sumarmi</w:t>
      </w:r>
      <w:proofErr w:type="spellEnd"/>
      <w:r w:rsidRPr="00F815FF">
        <w:rPr>
          <w:rFonts w:ascii="Arial" w:hAnsi="Arial" w:cs="Arial"/>
          <w:sz w:val="20"/>
        </w:rPr>
        <w:t xml:space="preserve"> et al., 2022).  The riparian zone provides an ecological niche that supports both water-loving and generalist tree species, resulting in higher Shannon-Wiener values and lower Simpson dominance (Mubi, 2012). The influence of riparian zones decreases with increasing distance, reducing species diversity and a higher dominance of a limited number of well-adapted species (</w:t>
      </w:r>
      <w:proofErr w:type="spellStart"/>
      <w:r w:rsidRPr="00F815FF">
        <w:rPr>
          <w:rFonts w:ascii="Arial" w:hAnsi="Arial" w:cs="Arial"/>
          <w:sz w:val="20"/>
        </w:rPr>
        <w:t>Koskey</w:t>
      </w:r>
      <w:proofErr w:type="spellEnd"/>
      <w:r w:rsidRPr="00F815FF">
        <w:rPr>
          <w:rFonts w:ascii="Arial" w:hAnsi="Arial" w:cs="Arial"/>
          <w:sz w:val="20"/>
        </w:rPr>
        <w:t xml:space="preserve"> et al., 2021; Pertiwi et al., 2019). </w:t>
      </w:r>
    </w:p>
    <w:p w14:paraId="530A5C62" w14:textId="6C21ABD1" w:rsidR="009C71F7" w:rsidRPr="00F815FF" w:rsidRDefault="009C71F7" w:rsidP="00A10274">
      <w:pPr>
        <w:spacing w:line="480" w:lineRule="auto"/>
        <w:jc w:val="both"/>
        <w:rPr>
          <w:rFonts w:ascii="Arial" w:hAnsi="Arial" w:cs="Arial"/>
          <w:sz w:val="20"/>
        </w:rPr>
      </w:pPr>
      <w:r w:rsidRPr="00F815FF">
        <w:rPr>
          <w:rFonts w:ascii="Arial" w:hAnsi="Arial" w:cs="Arial"/>
          <w:sz w:val="20"/>
        </w:rPr>
        <w:t>Protecting the 0m and 250m riparian zones is essential for biodiversity conservation, water quality management</w:t>
      </w:r>
      <w:r w:rsidR="006E128C" w:rsidRPr="00F815FF">
        <w:rPr>
          <w:rFonts w:ascii="Arial" w:hAnsi="Arial" w:cs="Arial"/>
          <w:sz w:val="20"/>
        </w:rPr>
        <w:t xml:space="preserve"> and</w:t>
      </w:r>
      <w:r w:rsidRPr="00F815FF">
        <w:rPr>
          <w:rFonts w:ascii="Arial" w:hAnsi="Arial" w:cs="Arial"/>
          <w:sz w:val="20"/>
        </w:rPr>
        <w:t xml:space="preserve"> climate resilience improvement. The riparian forest has a transparent ecological gradient marked by a shift in species composition from moisture-dependent to drought-tolerant communities as distance from the water source increases.   Protecting hydrological integrity and minimizing anthropogenic disruptions are crucial for maintaining the ecological balance of this dynamic environment.</w:t>
      </w:r>
    </w:p>
    <w:p w14:paraId="182C16BF" w14:textId="77777777" w:rsidR="006778CD" w:rsidRPr="009C573C" w:rsidRDefault="006778CD" w:rsidP="00A10274">
      <w:pPr>
        <w:pStyle w:val="NormalWeb"/>
        <w:spacing w:line="480" w:lineRule="auto"/>
        <w:rPr>
          <w:rFonts w:ascii="Arial" w:hAnsi="Arial" w:cs="Arial"/>
          <w:b/>
          <w:bCs/>
          <w:sz w:val="22"/>
          <w:szCs w:val="22"/>
          <w:lang w:val="de-DE"/>
        </w:rPr>
      </w:pPr>
      <w:r w:rsidRPr="009C573C">
        <w:rPr>
          <w:rFonts w:ascii="Arial" w:hAnsi="Arial" w:cs="Arial"/>
          <w:b/>
          <w:bCs/>
          <w:sz w:val="22"/>
          <w:szCs w:val="22"/>
          <w:lang w:val="de-DE"/>
        </w:rPr>
        <w:t>References:</w:t>
      </w:r>
    </w:p>
    <w:p w14:paraId="4125AB6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lang w:val="de-DE"/>
        </w:rPr>
        <w:t xml:space="preserve">Akash, A., Z̲ākir, M., Bithel, N., &amp; Bhandari, B. S. (2021). </w:t>
      </w:r>
      <w:r w:rsidRPr="009C573C">
        <w:rPr>
          <w:rFonts w:ascii="Arial" w:hAnsi="Arial" w:cs="Arial"/>
          <w:sz w:val="20"/>
          <w:szCs w:val="20"/>
        </w:rPr>
        <w:t>Species Diversity, Soil Nutrients Dynamics and Regeneration Status of Sal (</w:t>
      </w:r>
      <w:proofErr w:type="spellStart"/>
      <w:r w:rsidRPr="009C573C">
        <w:rPr>
          <w:rFonts w:ascii="Arial" w:hAnsi="Arial" w:cs="Arial"/>
          <w:i/>
          <w:iCs/>
          <w:sz w:val="20"/>
          <w:szCs w:val="20"/>
        </w:rPr>
        <w:t>Shorea</w:t>
      </w:r>
      <w:proofErr w:type="spellEnd"/>
      <w:r w:rsidRPr="009C573C">
        <w:rPr>
          <w:rFonts w:ascii="Arial" w:hAnsi="Arial" w:cs="Arial"/>
          <w:i/>
          <w:iCs/>
          <w:sz w:val="20"/>
          <w:szCs w:val="20"/>
        </w:rPr>
        <w:t xml:space="preserve"> </w:t>
      </w:r>
      <w:proofErr w:type="spellStart"/>
      <w:r w:rsidRPr="009C573C">
        <w:rPr>
          <w:rFonts w:ascii="Arial" w:hAnsi="Arial" w:cs="Arial"/>
          <w:i/>
          <w:iCs/>
          <w:sz w:val="20"/>
          <w:szCs w:val="20"/>
        </w:rPr>
        <w:t>robusta</w:t>
      </w:r>
      <w:proofErr w:type="spellEnd"/>
      <w:r w:rsidRPr="009C573C">
        <w:rPr>
          <w:rFonts w:ascii="Arial" w:hAnsi="Arial" w:cs="Arial"/>
          <w:sz w:val="20"/>
          <w:szCs w:val="20"/>
        </w:rPr>
        <w:t xml:space="preserve">) Forests in Western Himalayan Region of India. In Nature </w:t>
      </w:r>
      <w:r w:rsidRPr="009C573C">
        <w:rPr>
          <w:rFonts w:ascii="Arial" w:hAnsi="Arial" w:cs="Arial"/>
          <w:sz w:val="20"/>
          <w:szCs w:val="20"/>
        </w:rPr>
        <w:lastRenderedPageBreak/>
        <w:t>Environment and Pollution Technology (Vol. 20, Issue 3). https://doi.org/10.46488/nept.2021.v20i03.008</w:t>
      </w:r>
    </w:p>
    <w:p w14:paraId="5D2DC9D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lang w:val="de-DE"/>
        </w:rPr>
        <w:t xml:space="preserve">Amaludin, N. A., Zulkafli, N. N. M., Zu, S. A. A., Zamri, N. A. Z., Majid, N. A. A., Daliman, S., Nor, A. N. M., &amp; Zakaria, R. (2022). </w:t>
      </w:r>
      <w:r w:rsidRPr="009C573C">
        <w:rPr>
          <w:rFonts w:ascii="Arial" w:hAnsi="Arial" w:cs="Arial"/>
          <w:sz w:val="20"/>
          <w:szCs w:val="20"/>
        </w:rPr>
        <w:t xml:space="preserve">Analysis of riparian vegetation of a recreation site in </w:t>
      </w:r>
      <w:proofErr w:type="spellStart"/>
      <w:r w:rsidRPr="009C573C">
        <w:rPr>
          <w:rFonts w:ascii="Arial" w:hAnsi="Arial" w:cs="Arial"/>
          <w:sz w:val="20"/>
          <w:szCs w:val="20"/>
        </w:rPr>
        <w:t>Jeli</w:t>
      </w:r>
      <w:proofErr w:type="spellEnd"/>
      <w:r w:rsidRPr="009C573C">
        <w:rPr>
          <w:rFonts w:ascii="Arial" w:hAnsi="Arial" w:cs="Arial"/>
          <w:sz w:val="20"/>
          <w:szCs w:val="20"/>
        </w:rPr>
        <w:t>, Kelantan. In IOP Conference Series Earth and Environmental Science (Vol. 1053, Issue 1, p. 12007). IOP Publishing. https://doi.org/10.1088/1755-1315/1053/1/012007</w:t>
      </w:r>
      <w:bookmarkStart w:id="1" w:name="_GoBack"/>
      <w:bookmarkEnd w:id="1"/>
    </w:p>
    <w:p w14:paraId="40A5852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Choudhury, S. R., Singh, A. K., </w:t>
      </w:r>
      <w:proofErr w:type="spellStart"/>
      <w:r w:rsidRPr="009C573C">
        <w:rPr>
          <w:rFonts w:ascii="Arial" w:hAnsi="Arial" w:cs="Arial"/>
          <w:sz w:val="20"/>
          <w:szCs w:val="20"/>
        </w:rPr>
        <w:t>Mahato</w:t>
      </w:r>
      <w:proofErr w:type="spellEnd"/>
      <w:r w:rsidRPr="009C573C">
        <w:rPr>
          <w:rFonts w:ascii="Arial" w:hAnsi="Arial" w:cs="Arial"/>
          <w:sz w:val="20"/>
          <w:szCs w:val="20"/>
        </w:rPr>
        <w:t xml:space="preserve">, A., Anand, A., &amp; </w:t>
      </w:r>
      <w:proofErr w:type="spellStart"/>
      <w:r w:rsidRPr="009C573C">
        <w:rPr>
          <w:rFonts w:ascii="Arial" w:hAnsi="Arial" w:cs="Arial"/>
          <w:sz w:val="20"/>
          <w:szCs w:val="20"/>
        </w:rPr>
        <w:t>Chandrakar</w:t>
      </w:r>
      <w:proofErr w:type="spellEnd"/>
      <w:r w:rsidRPr="009C573C">
        <w:rPr>
          <w:rFonts w:ascii="Arial" w:hAnsi="Arial" w:cs="Arial"/>
          <w:sz w:val="20"/>
          <w:szCs w:val="20"/>
        </w:rPr>
        <w:t>, A. K. (2023). A comprehensive review of the Mahanadi River Basin in Chhattisgarh, India. Ecology, Environment &amp; Conservation, 29(4), 147–157.</w:t>
      </w:r>
    </w:p>
    <w:p w14:paraId="28F27559"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Dalavi</w:t>
      </w:r>
      <w:proofErr w:type="spellEnd"/>
      <w:r w:rsidRPr="009C573C">
        <w:rPr>
          <w:rFonts w:ascii="Arial" w:hAnsi="Arial" w:cs="Arial"/>
          <w:sz w:val="20"/>
          <w:szCs w:val="20"/>
        </w:rPr>
        <w:t xml:space="preserve">, J. V., </w:t>
      </w:r>
      <w:proofErr w:type="spellStart"/>
      <w:r w:rsidRPr="009C573C">
        <w:rPr>
          <w:rFonts w:ascii="Arial" w:hAnsi="Arial" w:cs="Arial"/>
          <w:sz w:val="20"/>
          <w:szCs w:val="20"/>
        </w:rPr>
        <w:t>Pujar</w:t>
      </w:r>
      <w:proofErr w:type="spellEnd"/>
      <w:r w:rsidRPr="009C573C">
        <w:rPr>
          <w:rFonts w:ascii="Arial" w:hAnsi="Arial" w:cs="Arial"/>
          <w:sz w:val="20"/>
          <w:szCs w:val="20"/>
        </w:rPr>
        <w:t>, R., Kambale, S. S., Jadhav-Rathod, V., &amp; Yadav, S. R. (2021). Legumes (Angiosperms: Fabaceae) of Bagalkot District, Karnataka, India. In Journal of Threatened Taxa (Vol. 13, Issue 5, p. 18283). Wildlife Information Liaison Development Society. https://doi.org/10.11609/jott.6394.13.5.18283-18296</w:t>
      </w:r>
    </w:p>
    <w:p w14:paraId="788CB00B"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Deshpande, S., </w:t>
      </w:r>
      <w:proofErr w:type="spellStart"/>
      <w:r w:rsidRPr="009C573C">
        <w:rPr>
          <w:rFonts w:ascii="Arial" w:hAnsi="Arial" w:cs="Arial"/>
          <w:sz w:val="20"/>
          <w:szCs w:val="20"/>
        </w:rPr>
        <w:t>Amritkar</w:t>
      </w:r>
      <w:proofErr w:type="spellEnd"/>
      <w:r w:rsidRPr="009C573C">
        <w:rPr>
          <w:rFonts w:ascii="Arial" w:hAnsi="Arial" w:cs="Arial"/>
          <w:sz w:val="20"/>
          <w:szCs w:val="20"/>
        </w:rPr>
        <w:t xml:space="preserve">, K., &amp; Kulkarni, S. (2021). Documentation of Riparian Biodiversity of an Urban River Stretch - A Citizen’s Initiative. In Journal of Ecological Society (Issue 1). </w:t>
      </w:r>
      <w:proofErr w:type="spellStart"/>
      <w:r w:rsidRPr="009C573C">
        <w:rPr>
          <w:rFonts w:ascii="Arial" w:hAnsi="Arial" w:cs="Arial"/>
          <w:sz w:val="20"/>
          <w:szCs w:val="20"/>
        </w:rPr>
        <w:t>ScienceOpen</w:t>
      </w:r>
      <w:proofErr w:type="spellEnd"/>
      <w:r w:rsidRPr="009C573C">
        <w:rPr>
          <w:rFonts w:ascii="Arial" w:hAnsi="Arial" w:cs="Arial"/>
          <w:sz w:val="20"/>
          <w:szCs w:val="20"/>
        </w:rPr>
        <w:t>. https://doi.org/10.54081/jes.027/05</w:t>
      </w:r>
    </w:p>
    <w:p w14:paraId="484A9899"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Estimating Biodiversity. (2024). </w:t>
      </w:r>
      <w:hyperlink r:id="rId15" w:history="1">
        <w:r w:rsidRPr="009C573C">
          <w:rPr>
            <w:rStyle w:val="Hyperlink"/>
            <w:rFonts w:ascii="Arial" w:eastAsia="Times New Roman" w:hAnsi="Arial" w:cs="Arial"/>
            <w:spacing w:val="2"/>
            <w:kern w:val="0"/>
            <w:sz w:val="20"/>
            <w14:ligatures w14:val="none"/>
          </w:rPr>
          <w:t>https://www.webpages.uidaho.edu/veg_measure/modules/lessons/module%209(composition&amp;diversity)/9_3_Estimating%20Biodiversity.htm</w:t>
        </w:r>
      </w:hyperlink>
    </w:p>
    <w:p w14:paraId="70CCF02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Friedman, J. M., </w:t>
      </w:r>
      <w:proofErr w:type="spellStart"/>
      <w:r w:rsidRPr="009C573C">
        <w:rPr>
          <w:rFonts w:ascii="Arial" w:hAnsi="Arial" w:cs="Arial"/>
          <w:sz w:val="20"/>
          <w:szCs w:val="20"/>
        </w:rPr>
        <w:t>Eurich</w:t>
      </w:r>
      <w:proofErr w:type="spellEnd"/>
      <w:r w:rsidRPr="009C573C">
        <w:rPr>
          <w:rFonts w:ascii="Arial" w:hAnsi="Arial" w:cs="Arial"/>
          <w:sz w:val="20"/>
          <w:szCs w:val="20"/>
        </w:rPr>
        <w:t xml:space="preserve">, A. M., </w:t>
      </w:r>
      <w:proofErr w:type="spellStart"/>
      <w:r w:rsidRPr="009C573C">
        <w:rPr>
          <w:rFonts w:ascii="Arial" w:hAnsi="Arial" w:cs="Arial"/>
          <w:sz w:val="20"/>
          <w:szCs w:val="20"/>
        </w:rPr>
        <w:t>Auble</w:t>
      </w:r>
      <w:proofErr w:type="spellEnd"/>
      <w:r w:rsidRPr="009C573C">
        <w:rPr>
          <w:rFonts w:ascii="Arial" w:hAnsi="Arial" w:cs="Arial"/>
          <w:sz w:val="20"/>
          <w:szCs w:val="20"/>
        </w:rPr>
        <w:t xml:space="preserve">, G. T., Scott, M. L., </w:t>
      </w:r>
      <w:proofErr w:type="spellStart"/>
      <w:r w:rsidRPr="009C573C">
        <w:rPr>
          <w:rFonts w:ascii="Arial" w:hAnsi="Arial" w:cs="Arial"/>
          <w:sz w:val="20"/>
          <w:szCs w:val="20"/>
        </w:rPr>
        <w:t>Shafroth</w:t>
      </w:r>
      <w:proofErr w:type="spellEnd"/>
      <w:r w:rsidRPr="009C573C">
        <w:rPr>
          <w:rFonts w:ascii="Arial" w:hAnsi="Arial" w:cs="Arial"/>
          <w:sz w:val="20"/>
          <w:szCs w:val="20"/>
        </w:rPr>
        <w:t>, P. B., &amp; Gibson, P. P. (2022). Response of riparian vegetation to short</w:t>
      </w:r>
      <w:r w:rsidRPr="009C573C">
        <w:rPr>
          <w:rFonts w:ascii="Cambria Math" w:hAnsi="Cambria Math" w:cs="Cambria Math"/>
          <w:sz w:val="20"/>
          <w:szCs w:val="20"/>
        </w:rPr>
        <w:t>‐</w:t>
      </w:r>
      <w:r w:rsidRPr="009C573C">
        <w:rPr>
          <w:rFonts w:ascii="Arial" w:hAnsi="Arial" w:cs="Arial"/>
          <w:sz w:val="20"/>
          <w:szCs w:val="20"/>
        </w:rPr>
        <w:t xml:space="preserve"> and long</w:t>
      </w:r>
      <w:r w:rsidRPr="009C573C">
        <w:rPr>
          <w:rFonts w:ascii="Cambria Math" w:hAnsi="Cambria Math" w:cs="Cambria Math"/>
          <w:sz w:val="20"/>
          <w:szCs w:val="20"/>
        </w:rPr>
        <w:t>‐</w:t>
      </w:r>
      <w:r w:rsidRPr="009C573C">
        <w:rPr>
          <w:rFonts w:ascii="Arial" w:hAnsi="Arial" w:cs="Arial"/>
          <w:sz w:val="20"/>
          <w:szCs w:val="20"/>
        </w:rPr>
        <w:t>term hydrologic variation. In Ecological Applications (Vol. 32, Issue 8). Wiley. https://doi.org/10.1002/eap.2689</w:t>
      </w:r>
    </w:p>
    <w:p w14:paraId="01253E4B"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lastRenderedPageBreak/>
        <w:t>Frosini</w:t>
      </w:r>
      <w:proofErr w:type="spellEnd"/>
      <w:r w:rsidRPr="009C573C">
        <w:rPr>
          <w:rFonts w:ascii="Arial" w:eastAsia="Times New Roman" w:hAnsi="Arial" w:cs="Arial"/>
          <w:color w:val="18181B"/>
          <w:spacing w:val="2"/>
          <w:kern w:val="0"/>
          <w:sz w:val="20"/>
          <w14:ligatures w14:val="none"/>
        </w:rPr>
        <w:t>, B. V. (2023). DESCRIPTIVE MEASURES OF ECOLOGICAL DIVERSITY. https://www.semanticscholar.org/paper/DESCRIPTIVE-MEASURES-OF-ECOLOGICAL-DIVERSITY-Frosini/9189b5e0c74f313b87b8ff73a108fc6578a09baa</w:t>
      </w:r>
    </w:p>
    <w:p w14:paraId="0CD3732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García, M., &amp; </w:t>
      </w:r>
      <w:proofErr w:type="spellStart"/>
      <w:r w:rsidRPr="009C573C">
        <w:rPr>
          <w:rFonts w:ascii="Arial" w:hAnsi="Arial" w:cs="Arial"/>
          <w:sz w:val="20"/>
          <w:szCs w:val="20"/>
        </w:rPr>
        <w:t>Jáuregui</w:t>
      </w:r>
      <w:proofErr w:type="spellEnd"/>
      <w:r w:rsidRPr="009C573C">
        <w:rPr>
          <w:rFonts w:ascii="Arial" w:hAnsi="Arial" w:cs="Arial"/>
          <w:sz w:val="20"/>
          <w:szCs w:val="20"/>
        </w:rPr>
        <w:t xml:space="preserve">, D. (2020). Morphoanatomical Characteristics in Riparian Vegetation and Its Adaptative Value. In </w:t>
      </w:r>
      <w:proofErr w:type="spellStart"/>
      <w:r w:rsidRPr="009C573C">
        <w:rPr>
          <w:rFonts w:ascii="Arial" w:hAnsi="Arial" w:cs="Arial"/>
          <w:sz w:val="20"/>
          <w:szCs w:val="20"/>
        </w:rPr>
        <w:t>IntechOpen</w:t>
      </w:r>
      <w:proofErr w:type="spellEnd"/>
      <w:r w:rsidRPr="009C573C">
        <w:rPr>
          <w:rFonts w:ascii="Arial" w:hAnsi="Arial" w:cs="Arial"/>
          <w:sz w:val="20"/>
          <w:szCs w:val="20"/>
        </w:rPr>
        <w:t xml:space="preserve"> eBooks. </w:t>
      </w:r>
      <w:proofErr w:type="spellStart"/>
      <w:r w:rsidRPr="009C573C">
        <w:rPr>
          <w:rFonts w:ascii="Arial" w:hAnsi="Arial" w:cs="Arial"/>
          <w:sz w:val="20"/>
          <w:szCs w:val="20"/>
        </w:rPr>
        <w:t>IntechOpen</w:t>
      </w:r>
      <w:proofErr w:type="spellEnd"/>
      <w:r w:rsidRPr="009C573C">
        <w:rPr>
          <w:rFonts w:ascii="Arial" w:hAnsi="Arial" w:cs="Arial"/>
          <w:sz w:val="20"/>
          <w:szCs w:val="20"/>
        </w:rPr>
        <w:t>. https://doi.org/10.5772/intechopen.94933</w:t>
      </w:r>
    </w:p>
    <w:p w14:paraId="26F46F17"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Hasnat</w:t>
      </w:r>
      <w:proofErr w:type="spellEnd"/>
      <w:r w:rsidRPr="009C573C">
        <w:rPr>
          <w:rFonts w:ascii="Arial" w:hAnsi="Arial" w:cs="Arial"/>
          <w:sz w:val="20"/>
          <w:szCs w:val="20"/>
        </w:rPr>
        <w:t>, G. N. T., &amp; Hossain, M. K. (2019). Global Overview of Tropical Dry Forests. In Practice, progress and proficiency in sustainability (p. 1). IGI Global. https://doi.org/10.4018/978-1-7998-0014-9.ch001</w:t>
      </w:r>
    </w:p>
    <w:p w14:paraId="0A5689E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Householder, J. E., Wittmann, F., </w:t>
      </w:r>
      <w:proofErr w:type="spellStart"/>
      <w:r w:rsidRPr="009C573C">
        <w:rPr>
          <w:rFonts w:ascii="Arial" w:hAnsi="Arial" w:cs="Arial"/>
          <w:sz w:val="20"/>
          <w:szCs w:val="20"/>
        </w:rPr>
        <w:t>Schöngart</w:t>
      </w:r>
      <w:proofErr w:type="spellEnd"/>
      <w:r w:rsidRPr="009C573C">
        <w:rPr>
          <w:rFonts w:ascii="Arial" w:hAnsi="Arial" w:cs="Arial"/>
          <w:sz w:val="20"/>
          <w:szCs w:val="20"/>
        </w:rPr>
        <w:t xml:space="preserve">, J., Piedade, M. T. F., Junk, W. J., </w:t>
      </w:r>
      <w:proofErr w:type="spellStart"/>
      <w:r w:rsidRPr="009C573C">
        <w:rPr>
          <w:rFonts w:ascii="Arial" w:hAnsi="Arial" w:cs="Arial"/>
          <w:sz w:val="20"/>
          <w:szCs w:val="20"/>
        </w:rPr>
        <w:t>Latrubesse</w:t>
      </w:r>
      <w:proofErr w:type="spellEnd"/>
      <w:r w:rsidRPr="009C573C">
        <w:rPr>
          <w:rFonts w:ascii="Arial" w:hAnsi="Arial" w:cs="Arial"/>
          <w:sz w:val="20"/>
          <w:szCs w:val="20"/>
        </w:rPr>
        <w:t xml:space="preserve">, E. M., Quaresma, A. C., </w:t>
      </w:r>
      <w:proofErr w:type="spellStart"/>
      <w:r w:rsidRPr="009C573C">
        <w:rPr>
          <w:rFonts w:ascii="Arial" w:hAnsi="Arial" w:cs="Arial"/>
          <w:sz w:val="20"/>
          <w:szCs w:val="20"/>
        </w:rPr>
        <w:t>Demarchi</w:t>
      </w:r>
      <w:proofErr w:type="spellEnd"/>
      <w:r w:rsidRPr="009C573C">
        <w:rPr>
          <w:rFonts w:ascii="Arial" w:hAnsi="Arial" w:cs="Arial"/>
          <w:sz w:val="20"/>
          <w:szCs w:val="20"/>
        </w:rPr>
        <w:t xml:space="preserve">, L. O., Lobo, G., Aguiar, D. P. P. de, Assis, R. L., Lopes, A., Parolin, P., Amaral, I. L. do, </w:t>
      </w:r>
      <w:proofErr w:type="spellStart"/>
      <w:r w:rsidRPr="009C573C">
        <w:rPr>
          <w:rFonts w:ascii="Arial" w:hAnsi="Arial" w:cs="Arial"/>
          <w:sz w:val="20"/>
          <w:szCs w:val="20"/>
        </w:rPr>
        <w:t>Coêlho</w:t>
      </w:r>
      <w:proofErr w:type="spellEnd"/>
      <w:r w:rsidRPr="009C573C">
        <w:rPr>
          <w:rFonts w:ascii="Arial" w:hAnsi="Arial" w:cs="Arial"/>
          <w:sz w:val="20"/>
          <w:szCs w:val="20"/>
        </w:rPr>
        <w:t xml:space="preserve">, L. de S., Matos, F. D. de A., Filho, D. de A. L., </w:t>
      </w:r>
      <w:proofErr w:type="spellStart"/>
      <w:r w:rsidRPr="009C573C">
        <w:rPr>
          <w:rFonts w:ascii="Arial" w:hAnsi="Arial" w:cs="Arial"/>
          <w:sz w:val="20"/>
          <w:szCs w:val="20"/>
        </w:rPr>
        <w:t>Salomão</w:t>
      </w:r>
      <w:proofErr w:type="spellEnd"/>
      <w:r w:rsidRPr="009C573C">
        <w:rPr>
          <w:rFonts w:ascii="Arial" w:hAnsi="Arial" w:cs="Arial"/>
          <w:sz w:val="20"/>
          <w:szCs w:val="20"/>
        </w:rPr>
        <w:t xml:space="preserve">, R. P., Castilho, C. V., … </w:t>
      </w:r>
      <w:proofErr w:type="spellStart"/>
      <w:r w:rsidRPr="009C573C">
        <w:rPr>
          <w:rFonts w:ascii="Arial" w:hAnsi="Arial" w:cs="Arial"/>
          <w:sz w:val="20"/>
          <w:szCs w:val="20"/>
        </w:rPr>
        <w:t>Damasco</w:t>
      </w:r>
      <w:proofErr w:type="spellEnd"/>
      <w:r w:rsidRPr="009C573C">
        <w:rPr>
          <w:rFonts w:ascii="Arial" w:hAnsi="Arial" w:cs="Arial"/>
          <w:sz w:val="20"/>
          <w:szCs w:val="20"/>
        </w:rPr>
        <w:t>, G. (2024). One sixth of Amazonian tree diversity is dependent on river floodplains. In Nature Ecology &amp; Evolution (Vol. 8, Issue 5, p. 901). Nature Portfolio. https://doi.org/10.1038/s41559-024-02364-1</w:t>
      </w:r>
    </w:p>
    <w:p w14:paraId="34F447A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Johnson, L. R., Trammell, T. L. E., Bishop, T. J., Barth, J., </w:t>
      </w:r>
      <w:proofErr w:type="spellStart"/>
      <w:r w:rsidRPr="009C573C">
        <w:rPr>
          <w:rFonts w:ascii="Arial" w:hAnsi="Arial" w:cs="Arial"/>
          <w:sz w:val="20"/>
          <w:szCs w:val="20"/>
        </w:rPr>
        <w:t>Drzyzga</w:t>
      </w:r>
      <w:proofErr w:type="spellEnd"/>
      <w:r w:rsidRPr="009C573C">
        <w:rPr>
          <w:rFonts w:ascii="Arial" w:hAnsi="Arial" w:cs="Arial"/>
          <w:sz w:val="20"/>
          <w:szCs w:val="20"/>
        </w:rPr>
        <w:t>, S. A., &amp; Jantz, C. A. (2020). Squeezed from All Sides: Urbanization, Invasive Species and Climate Change Threaten Riparian Forest Buffers. In Sustainability (Vol. 12, Issue 4, p. 1448). Multidisciplinary Digital Publishing Institute. https://doi.org/10.3390/su12041448</w:t>
      </w:r>
    </w:p>
    <w:p w14:paraId="1A6CC73E"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Koskey</w:t>
      </w:r>
      <w:proofErr w:type="spellEnd"/>
      <w:r w:rsidRPr="009C573C">
        <w:rPr>
          <w:rFonts w:ascii="Arial" w:hAnsi="Arial" w:cs="Arial"/>
          <w:sz w:val="20"/>
          <w:szCs w:val="20"/>
        </w:rPr>
        <w:t xml:space="preserve">, J. C., </w:t>
      </w:r>
      <w:proofErr w:type="spellStart"/>
      <w:r w:rsidRPr="009C573C">
        <w:rPr>
          <w:rFonts w:ascii="Arial" w:hAnsi="Arial" w:cs="Arial"/>
          <w:sz w:val="20"/>
          <w:szCs w:val="20"/>
        </w:rPr>
        <w:t>M’Erimba</w:t>
      </w:r>
      <w:proofErr w:type="spellEnd"/>
      <w:r w:rsidRPr="009C573C">
        <w:rPr>
          <w:rFonts w:ascii="Arial" w:hAnsi="Arial" w:cs="Arial"/>
          <w:sz w:val="20"/>
          <w:szCs w:val="20"/>
        </w:rPr>
        <w:t xml:space="preserve">, C., &amp; </w:t>
      </w:r>
      <w:proofErr w:type="spellStart"/>
      <w:r w:rsidRPr="009C573C">
        <w:rPr>
          <w:rFonts w:ascii="Arial" w:hAnsi="Arial" w:cs="Arial"/>
          <w:sz w:val="20"/>
          <w:szCs w:val="20"/>
        </w:rPr>
        <w:t>Ogendi</w:t>
      </w:r>
      <w:proofErr w:type="spellEnd"/>
      <w:r w:rsidRPr="009C573C">
        <w:rPr>
          <w:rFonts w:ascii="Arial" w:hAnsi="Arial" w:cs="Arial"/>
          <w:sz w:val="20"/>
          <w:szCs w:val="20"/>
        </w:rPr>
        <w:t xml:space="preserve">, G. M. (2021). Effects of Land Use on the Riparian Vegetation along the </w:t>
      </w:r>
      <w:proofErr w:type="spellStart"/>
      <w:r w:rsidRPr="009C573C">
        <w:rPr>
          <w:rFonts w:ascii="Arial" w:hAnsi="Arial" w:cs="Arial"/>
          <w:sz w:val="20"/>
          <w:szCs w:val="20"/>
        </w:rPr>
        <w:t>Njoro</w:t>
      </w:r>
      <w:proofErr w:type="spellEnd"/>
      <w:r w:rsidRPr="009C573C">
        <w:rPr>
          <w:rFonts w:ascii="Arial" w:hAnsi="Arial" w:cs="Arial"/>
          <w:sz w:val="20"/>
          <w:szCs w:val="20"/>
        </w:rPr>
        <w:t xml:space="preserve"> and </w:t>
      </w:r>
      <w:proofErr w:type="spellStart"/>
      <w:r w:rsidRPr="009C573C">
        <w:rPr>
          <w:rFonts w:ascii="Arial" w:hAnsi="Arial" w:cs="Arial"/>
          <w:sz w:val="20"/>
          <w:szCs w:val="20"/>
        </w:rPr>
        <w:t>Kamweti</w:t>
      </w:r>
      <w:proofErr w:type="spellEnd"/>
      <w:r w:rsidRPr="009C573C">
        <w:rPr>
          <w:rFonts w:ascii="Arial" w:hAnsi="Arial" w:cs="Arial"/>
          <w:sz w:val="20"/>
          <w:szCs w:val="20"/>
        </w:rPr>
        <w:t xml:space="preserve"> Rivers, Kenya. In Open Journal of Ecology (Vol. 11, Issue 11, p. 807). Scientific Research Publishing. https://doi.org/10.4236/oje.2021.1111049</w:t>
      </w:r>
    </w:p>
    <w:p w14:paraId="5A2445E3"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Mubeen, A., </w:t>
      </w:r>
      <w:proofErr w:type="spellStart"/>
      <w:r w:rsidRPr="009C573C">
        <w:rPr>
          <w:rFonts w:ascii="Arial" w:hAnsi="Arial" w:cs="Arial"/>
          <w:sz w:val="20"/>
          <w:szCs w:val="20"/>
        </w:rPr>
        <w:t>Ruangpan</w:t>
      </w:r>
      <w:proofErr w:type="spellEnd"/>
      <w:r w:rsidRPr="009C573C">
        <w:rPr>
          <w:rFonts w:ascii="Arial" w:hAnsi="Arial" w:cs="Arial"/>
          <w:sz w:val="20"/>
          <w:szCs w:val="20"/>
        </w:rPr>
        <w:t xml:space="preserve">, L., </w:t>
      </w:r>
      <w:proofErr w:type="spellStart"/>
      <w:r w:rsidRPr="009C573C">
        <w:rPr>
          <w:rFonts w:ascii="Arial" w:hAnsi="Arial" w:cs="Arial"/>
          <w:sz w:val="20"/>
          <w:szCs w:val="20"/>
        </w:rPr>
        <w:t>Vojinović</w:t>
      </w:r>
      <w:proofErr w:type="spellEnd"/>
      <w:r w:rsidRPr="009C573C">
        <w:rPr>
          <w:rFonts w:ascii="Arial" w:hAnsi="Arial" w:cs="Arial"/>
          <w:sz w:val="20"/>
          <w:szCs w:val="20"/>
        </w:rPr>
        <w:t xml:space="preserve">, Z., Sánchez, A., &amp; </w:t>
      </w:r>
      <w:proofErr w:type="spellStart"/>
      <w:r w:rsidRPr="009C573C">
        <w:rPr>
          <w:rFonts w:ascii="Arial" w:hAnsi="Arial" w:cs="Arial"/>
          <w:sz w:val="20"/>
          <w:szCs w:val="20"/>
        </w:rPr>
        <w:t>Plavšić</w:t>
      </w:r>
      <w:proofErr w:type="spellEnd"/>
      <w:r w:rsidRPr="009C573C">
        <w:rPr>
          <w:rFonts w:ascii="Arial" w:hAnsi="Arial" w:cs="Arial"/>
          <w:sz w:val="20"/>
          <w:szCs w:val="20"/>
        </w:rPr>
        <w:t xml:space="preserve">, J. (2021). Planning and Suitability Assessment of Large-scale Nature-based Solutions for Flood-risk Reduction. In Water Resources Management (Vol. 35, Issue 10, p. 3063). Springer </w:t>
      </w:r>
      <w:proofErr w:type="spellStart"/>
      <w:r w:rsidRPr="009C573C">
        <w:rPr>
          <w:rFonts w:ascii="Arial" w:hAnsi="Arial" w:cs="Arial"/>
          <w:sz w:val="20"/>
          <w:szCs w:val="20"/>
        </w:rPr>
        <w:t>Science+Business</w:t>
      </w:r>
      <w:proofErr w:type="spellEnd"/>
      <w:r w:rsidRPr="009C573C">
        <w:rPr>
          <w:rFonts w:ascii="Arial" w:hAnsi="Arial" w:cs="Arial"/>
          <w:sz w:val="20"/>
          <w:szCs w:val="20"/>
        </w:rPr>
        <w:t xml:space="preserve"> Media. https://doi.org/10.1007/s11269-021-02848-w</w:t>
      </w:r>
    </w:p>
    <w:p w14:paraId="3C9A0C0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lastRenderedPageBreak/>
        <w:t xml:space="preserve">Mubi, A. (2012). Species </w:t>
      </w:r>
      <w:proofErr w:type="spellStart"/>
      <w:r w:rsidRPr="009C573C">
        <w:rPr>
          <w:rFonts w:ascii="Arial" w:hAnsi="Arial" w:cs="Arial"/>
          <w:sz w:val="20"/>
          <w:szCs w:val="20"/>
        </w:rPr>
        <w:t>Distrbution</w:t>
      </w:r>
      <w:proofErr w:type="spellEnd"/>
      <w:r w:rsidRPr="009C573C">
        <w:rPr>
          <w:rFonts w:ascii="Arial" w:hAnsi="Arial" w:cs="Arial"/>
          <w:sz w:val="20"/>
          <w:szCs w:val="20"/>
        </w:rPr>
        <w:t xml:space="preserve"> within Riparian </w:t>
      </w:r>
      <w:proofErr w:type="spellStart"/>
      <w:r w:rsidRPr="009C573C">
        <w:rPr>
          <w:rFonts w:ascii="Arial" w:hAnsi="Arial" w:cs="Arial"/>
          <w:sz w:val="20"/>
          <w:szCs w:val="20"/>
        </w:rPr>
        <w:t>Landcape</w:t>
      </w:r>
      <w:proofErr w:type="spellEnd"/>
      <w:r w:rsidRPr="009C573C">
        <w:rPr>
          <w:rFonts w:ascii="Arial" w:hAnsi="Arial" w:cs="Arial"/>
          <w:sz w:val="20"/>
          <w:szCs w:val="20"/>
        </w:rPr>
        <w:t xml:space="preserve"> along Mayo Kam of </w:t>
      </w:r>
      <w:proofErr w:type="spellStart"/>
      <w:r w:rsidRPr="009C573C">
        <w:rPr>
          <w:rFonts w:ascii="Arial" w:hAnsi="Arial" w:cs="Arial"/>
          <w:sz w:val="20"/>
          <w:szCs w:val="20"/>
        </w:rPr>
        <w:t>Gashaka</w:t>
      </w:r>
      <w:proofErr w:type="spellEnd"/>
      <w:r w:rsidRPr="009C573C">
        <w:rPr>
          <w:rFonts w:ascii="Arial" w:hAnsi="Arial" w:cs="Arial"/>
          <w:sz w:val="20"/>
          <w:szCs w:val="20"/>
        </w:rPr>
        <w:t xml:space="preserve"> Taraba State, Nigeria. In Ethiopian Journal of Environmental Studies and Management (Vol. 5, Issue 1). African Journals </w:t>
      </w:r>
      <w:proofErr w:type="spellStart"/>
      <w:r w:rsidRPr="009C573C">
        <w:rPr>
          <w:rFonts w:ascii="Arial" w:hAnsi="Arial" w:cs="Arial"/>
          <w:sz w:val="20"/>
          <w:szCs w:val="20"/>
        </w:rPr>
        <w:t>OnLine</w:t>
      </w:r>
      <w:proofErr w:type="spellEnd"/>
      <w:r w:rsidRPr="009C573C">
        <w:rPr>
          <w:rFonts w:ascii="Arial" w:hAnsi="Arial" w:cs="Arial"/>
          <w:sz w:val="20"/>
          <w:szCs w:val="20"/>
        </w:rPr>
        <w:t>. https://doi.org/10.4314/ejesm.v5i1.6</w:t>
      </w:r>
    </w:p>
    <w:p w14:paraId="7CCCB372"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Nagaraja</w:t>
      </w:r>
      <w:proofErr w:type="spellEnd"/>
      <w:r w:rsidRPr="009C573C">
        <w:rPr>
          <w:rFonts w:ascii="Arial" w:hAnsi="Arial" w:cs="Arial"/>
          <w:sz w:val="20"/>
          <w:szCs w:val="20"/>
        </w:rPr>
        <w:t xml:space="preserve">, B. C., Sunil, C. N., &amp; </w:t>
      </w:r>
      <w:proofErr w:type="spellStart"/>
      <w:r w:rsidRPr="009C573C">
        <w:rPr>
          <w:rFonts w:ascii="Arial" w:hAnsi="Arial" w:cs="Arial"/>
          <w:sz w:val="20"/>
          <w:szCs w:val="20"/>
        </w:rPr>
        <w:t>Somashekar</w:t>
      </w:r>
      <w:proofErr w:type="spellEnd"/>
      <w:r w:rsidRPr="009C573C">
        <w:rPr>
          <w:rFonts w:ascii="Arial" w:hAnsi="Arial" w:cs="Arial"/>
          <w:sz w:val="20"/>
          <w:szCs w:val="20"/>
        </w:rPr>
        <w:t xml:space="preserve">, R. (2014). Protection of Riparian Habitats to Conserve Keystone Species with Reference to Terminalia arjuna – A Case Study from South India. In </w:t>
      </w:r>
      <w:proofErr w:type="spellStart"/>
      <w:r w:rsidRPr="009C573C">
        <w:rPr>
          <w:rFonts w:ascii="Arial" w:hAnsi="Arial" w:cs="Arial"/>
          <w:sz w:val="20"/>
          <w:szCs w:val="20"/>
        </w:rPr>
        <w:t>InTech</w:t>
      </w:r>
      <w:proofErr w:type="spellEnd"/>
      <w:r w:rsidRPr="009C573C">
        <w:rPr>
          <w:rFonts w:ascii="Arial" w:hAnsi="Arial" w:cs="Arial"/>
          <w:sz w:val="20"/>
          <w:szCs w:val="20"/>
        </w:rPr>
        <w:t xml:space="preserve"> eBooks. https://doi.org/10.5772/58355</w:t>
      </w:r>
    </w:p>
    <w:p w14:paraId="540D181F"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Naidu, M. T., PREMAVANI, D., </w:t>
      </w:r>
      <w:proofErr w:type="spellStart"/>
      <w:r w:rsidRPr="009C573C">
        <w:rPr>
          <w:rFonts w:ascii="Arial" w:eastAsia="Times New Roman" w:hAnsi="Arial" w:cs="Arial"/>
          <w:color w:val="18181B"/>
          <w:spacing w:val="2"/>
          <w:kern w:val="0"/>
          <w:sz w:val="20"/>
          <w14:ligatures w14:val="none"/>
        </w:rPr>
        <w:t>Suthari</w:t>
      </w:r>
      <w:proofErr w:type="spellEnd"/>
      <w:r w:rsidRPr="009C573C">
        <w:rPr>
          <w:rFonts w:ascii="Arial" w:eastAsia="Times New Roman" w:hAnsi="Arial" w:cs="Arial"/>
          <w:color w:val="18181B"/>
          <w:spacing w:val="2"/>
          <w:kern w:val="0"/>
          <w:sz w:val="20"/>
          <w14:ligatures w14:val="none"/>
        </w:rPr>
        <w:t>, S., &amp; Venkaiah, M. (2018). Assessment of tree diversity in tropical deciduous forests of Northcentral Eastern Ghats, India. In Geology Ecology and Landscapes (Vol. 2, Issue 3, p. 216). Taylor &amp; Francis. https://doi.org/10.1080/24749508.2018.1452479</w:t>
      </w:r>
    </w:p>
    <w:p w14:paraId="156332E8"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Naiman</w:t>
      </w:r>
      <w:proofErr w:type="spellEnd"/>
      <w:r w:rsidRPr="009C573C">
        <w:rPr>
          <w:rFonts w:ascii="Arial" w:hAnsi="Arial" w:cs="Arial"/>
          <w:sz w:val="20"/>
          <w:szCs w:val="20"/>
        </w:rPr>
        <w:t xml:space="preserve">, R. J., &amp; </w:t>
      </w:r>
      <w:proofErr w:type="spellStart"/>
      <w:r w:rsidRPr="009C573C">
        <w:rPr>
          <w:rFonts w:ascii="Arial" w:hAnsi="Arial" w:cs="Arial"/>
          <w:sz w:val="20"/>
          <w:szCs w:val="20"/>
        </w:rPr>
        <w:t>Décamps</w:t>
      </w:r>
      <w:proofErr w:type="spellEnd"/>
      <w:r w:rsidRPr="009C573C">
        <w:rPr>
          <w:rFonts w:ascii="Arial" w:hAnsi="Arial" w:cs="Arial"/>
          <w:sz w:val="20"/>
          <w:szCs w:val="20"/>
        </w:rPr>
        <w:t>, H. (1997). The Ecology of Interfaces: Riparian Zones. In Annual Review of Ecology and Systematics (Vol. 28, Issue 1, p. 621). Annual Reviews. https://doi.org/10.1146/annurev.ecolsys.28.1.621</w:t>
      </w:r>
    </w:p>
    <w:p w14:paraId="19A4B95D"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Park, S.-R., Kim, S., &amp; Lee, S. (2021). Evaluating the Relationships between Riparian Land Cover Characteristics and Biological Integrity of Streams Using Random Forest Algorithms. In International Journal of Environmental Research and Public Health (Vol. 18, Issue 6, p. 3182). Multidisciplinary Digital Publishing Institute. https://doi.org/10.3390/ijerph18063182</w:t>
      </w:r>
    </w:p>
    <w:p w14:paraId="5F67D869"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Pereira, I. M., Botelho, S. A., Machado, E. L. M., &amp; Silveira, C. J. A. (2012). Tree species occurring on </w:t>
      </w:r>
      <w:proofErr w:type="spellStart"/>
      <w:r w:rsidRPr="009C573C">
        <w:rPr>
          <w:rFonts w:ascii="Arial" w:hAnsi="Arial" w:cs="Arial"/>
          <w:sz w:val="20"/>
          <w:szCs w:val="20"/>
        </w:rPr>
        <w:t>ariparian</w:t>
      </w:r>
      <w:proofErr w:type="spellEnd"/>
      <w:r w:rsidRPr="009C573C">
        <w:rPr>
          <w:rFonts w:ascii="Arial" w:hAnsi="Arial" w:cs="Arial"/>
          <w:sz w:val="20"/>
          <w:szCs w:val="20"/>
        </w:rPr>
        <w:t xml:space="preserve"> slope and correlations with soil variables in the upper Grande River, Minas Gerais, Brazil. In </w:t>
      </w:r>
      <w:proofErr w:type="spellStart"/>
      <w:r w:rsidRPr="009C573C">
        <w:rPr>
          <w:rFonts w:ascii="Arial" w:hAnsi="Arial" w:cs="Arial"/>
          <w:sz w:val="20"/>
          <w:szCs w:val="20"/>
        </w:rPr>
        <w:t>Ciência</w:t>
      </w:r>
      <w:proofErr w:type="spellEnd"/>
      <w:r w:rsidRPr="009C573C">
        <w:rPr>
          <w:rFonts w:ascii="Arial" w:hAnsi="Arial" w:cs="Arial"/>
          <w:sz w:val="20"/>
          <w:szCs w:val="20"/>
        </w:rPr>
        <w:t xml:space="preserve"> Rural (Vol. 42, Issue 12, p. 2192). </w:t>
      </w:r>
      <w:proofErr w:type="spellStart"/>
      <w:r w:rsidRPr="009C573C">
        <w:rPr>
          <w:rFonts w:ascii="Arial" w:hAnsi="Arial" w:cs="Arial"/>
          <w:sz w:val="20"/>
          <w:szCs w:val="20"/>
        </w:rPr>
        <w:t>Universidade</w:t>
      </w:r>
      <w:proofErr w:type="spellEnd"/>
      <w:r w:rsidRPr="009C573C">
        <w:rPr>
          <w:rFonts w:ascii="Arial" w:hAnsi="Arial" w:cs="Arial"/>
          <w:sz w:val="20"/>
          <w:szCs w:val="20"/>
        </w:rPr>
        <w:t xml:space="preserve"> Federal de Santa Maria. https://doi.org/10.1590/s0103-84782012005000092</w:t>
      </w:r>
    </w:p>
    <w:p w14:paraId="2DE613C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Pertiwi, N., </w:t>
      </w:r>
      <w:proofErr w:type="spellStart"/>
      <w:r w:rsidRPr="009C573C">
        <w:rPr>
          <w:rFonts w:ascii="Arial" w:hAnsi="Arial" w:cs="Arial"/>
          <w:sz w:val="20"/>
          <w:szCs w:val="20"/>
        </w:rPr>
        <w:t>Taufieq</w:t>
      </w:r>
      <w:proofErr w:type="spellEnd"/>
      <w:r w:rsidRPr="009C573C">
        <w:rPr>
          <w:rFonts w:ascii="Arial" w:hAnsi="Arial" w:cs="Arial"/>
          <w:sz w:val="20"/>
          <w:szCs w:val="20"/>
        </w:rPr>
        <w:t xml:space="preserve">, N. A. S., &amp; </w:t>
      </w:r>
      <w:proofErr w:type="spellStart"/>
      <w:r w:rsidRPr="009C573C">
        <w:rPr>
          <w:rFonts w:ascii="Arial" w:hAnsi="Arial" w:cs="Arial"/>
          <w:sz w:val="20"/>
          <w:szCs w:val="20"/>
        </w:rPr>
        <w:t>Hiola</w:t>
      </w:r>
      <w:proofErr w:type="spellEnd"/>
      <w:r w:rsidRPr="009C573C">
        <w:rPr>
          <w:rFonts w:ascii="Arial" w:hAnsi="Arial" w:cs="Arial"/>
          <w:sz w:val="20"/>
          <w:szCs w:val="20"/>
        </w:rPr>
        <w:t xml:space="preserve">, St. F. (2019). The Diversity of Riparian Trees Vegetation at Around </w:t>
      </w:r>
      <w:proofErr w:type="gramStart"/>
      <w:r w:rsidRPr="009C573C">
        <w:rPr>
          <w:rFonts w:ascii="Arial" w:hAnsi="Arial" w:cs="Arial"/>
          <w:sz w:val="20"/>
          <w:szCs w:val="20"/>
        </w:rPr>
        <w:t>The</w:t>
      </w:r>
      <w:proofErr w:type="gramEnd"/>
      <w:r w:rsidRPr="009C573C">
        <w:rPr>
          <w:rFonts w:ascii="Arial" w:hAnsi="Arial" w:cs="Arial"/>
          <w:sz w:val="20"/>
          <w:szCs w:val="20"/>
        </w:rPr>
        <w:t xml:space="preserve"> </w:t>
      </w:r>
      <w:proofErr w:type="spellStart"/>
      <w:r w:rsidRPr="009C573C">
        <w:rPr>
          <w:rFonts w:ascii="Arial" w:hAnsi="Arial" w:cs="Arial"/>
          <w:sz w:val="20"/>
          <w:szCs w:val="20"/>
        </w:rPr>
        <w:t>Lawo</w:t>
      </w:r>
      <w:proofErr w:type="spellEnd"/>
      <w:r w:rsidRPr="009C573C">
        <w:rPr>
          <w:rFonts w:ascii="Arial" w:hAnsi="Arial" w:cs="Arial"/>
          <w:sz w:val="20"/>
          <w:szCs w:val="20"/>
        </w:rPr>
        <w:t xml:space="preserve"> River, South Sulawesi, Indonesia. In Journal of Physics Conference Series (Vol. 1244, Issue 1, p. 12008). IOP Publishing. https://doi.org/10.1088/1742-6596/1244/1/012008</w:t>
      </w:r>
    </w:p>
    <w:p w14:paraId="6E90A442"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lastRenderedPageBreak/>
        <w:t>Pielech</w:t>
      </w:r>
      <w:proofErr w:type="spellEnd"/>
      <w:r w:rsidRPr="009C573C">
        <w:rPr>
          <w:rFonts w:ascii="Arial" w:hAnsi="Arial" w:cs="Arial"/>
          <w:sz w:val="20"/>
          <w:szCs w:val="20"/>
        </w:rPr>
        <w:t>, R. (2021). Plant species richness in riparian forests: Comparison to other forest ecosystems, longitudinal patterns, role of rare species and topographic factors. In Forest Ecology and Management (Vol. 496, p. 119400). Elsevier BV. https://doi.org/10.1016/j.foreco.2021.119400</w:t>
      </w:r>
    </w:p>
    <w:p w14:paraId="3DFA6D51"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t>Purwanto</w:t>
      </w:r>
      <w:proofErr w:type="spellEnd"/>
      <w:r w:rsidRPr="009C573C">
        <w:rPr>
          <w:rFonts w:ascii="Arial" w:eastAsia="Times New Roman" w:hAnsi="Arial" w:cs="Arial"/>
          <w:color w:val="18181B"/>
          <w:spacing w:val="2"/>
          <w:kern w:val="0"/>
          <w:sz w:val="20"/>
          <w14:ligatures w14:val="none"/>
        </w:rPr>
        <w:t xml:space="preserve">, A., &amp; </w:t>
      </w:r>
      <w:proofErr w:type="spellStart"/>
      <w:r w:rsidRPr="009C573C">
        <w:rPr>
          <w:rFonts w:ascii="Arial" w:eastAsia="Times New Roman" w:hAnsi="Arial" w:cs="Arial"/>
          <w:color w:val="18181B"/>
          <w:spacing w:val="2"/>
          <w:kern w:val="0"/>
          <w:sz w:val="20"/>
          <w14:ligatures w14:val="none"/>
        </w:rPr>
        <w:t>Andrasmoro</w:t>
      </w:r>
      <w:proofErr w:type="spellEnd"/>
      <w:r w:rsidRPr="009C573C">
        <w:rPr>
          <w:rFonts w:ascii="Arial" w:eastAsia="Times New Roman" w:hAnsi="Arial" w:cs="Arial"/>
          <w:color w:val="18181B"/>
          <w:spacing w:val="2"/>
          <w:kern w:val="0"/>
          <w:sz w:val="20"/>
          <w14:ligatures w14:val="none"/>
        </w:rPr>
        <w:t xml:space="preserve">, D. (2021). The Utilization of Remote Sensing and Geographic Information Systems for Monitoring Damage of The </w:t>
      </w:r>
      <w:proofErr w:type="spellStart"/>
      <w:r w:rsidRPr="009C573C">
        <w:rPr>
          <w:rFonts w:ascii="Arial" w:eastAsia="Times New Roman" w:hAnsi="Arial" w:cs="Arial"/>
          <w:color w:val="18181B"/>
          <w:spacing w:val="2"/>
          <w:kern w:val="0"/>
          <w:sz w:val="20"/>
          <w14:ligatures w14:val="none"/>
        </w:rPr>
        <w:t>Mandor</w:t>
      </w:r>
      <w:proofErr w:type="spellEnd"/>
      <w:r w:rsidRPr="009C573C">
        <w:rPr>
          <w:rFonts w:ascii="Arial" w:eastAsia="Times New Roman" w:hAnsi="Arial" w:cs="Arial"/>
          <w:color w:val="18181B"/>
          <w:spacing w:val="2"/>
          <w:kern w:val="0"/>
          <w:sz w:val="20"/>
          <w14:ligatures w14:val="none"/>
        </w:rPr>
        <w:t xml:space="preserve"> Natural Reserves in West Kalimantan Province. In </w:t>
      </w:r>
      <w:proofErr w:type="spellStart"/>
      <w:r w:rsidRPr="009C573C">
        <w:rPr>
          <w:rFonts w:ascii="Arial" w:eastAsia="Times New Roman" w:hAnsi="Arial" w:cs="Arial"/>
          <w:color w:val="18181B"/>
          <w:spacing w:val="2"/>
          <w:kern w:val="0"/>
          <w:sz w:val="20"/>
          <w14:ligatures w14:val="none"/>
        </w:rPr>
        <w:t>GeoEco</w:t>
      </w:r>
      <w:proofErr w:type="spellEnd"/>
      <w:r w:rsidRPr="009C573C">
        <w:rPr>
          <w:rFonts w:ascii="Arial" w:eastAsia="Times New Roman" w:hAnsi="Arial" w:cs="Arial"/>
          <w:color w:val="18181B"/>
          <w:spacing w:val="2"/>
          <w:kern w:val="0"/>
          <w:sz w:val="20"/>
          <w14:ligatures w14:val="none"/>
        </w:rPr>
        <w:t xml:space="preserve"> (Vol. 7, Issue 2, p. 145). https://doi.org/10.20961/ge.v7i2.44837</w:t>
      </w:r>
    </w:p>
    <w:p w14:paraId="4B408149"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Razak</w:t>
      </w:r>
      <w:proofErr w:type="spellEnd"/>
      <w:r w:rsidRPr="009C573C">
        <w:rPr>
          <w:rFonts w:ascii="Arial" w:hAnsi="Arial" w:cs="Arial"/>
          <w:sz w:val="20"/>
          <w:szCs w:val="20"/>
        </w:rPr>
        <w:t xml:space="preserve">, M. A. A., </w:t>
      </w:r>
      <w:proofErr w:type="spellStart"/>
      <w:r w:rsidRPr="009C573C">
        <w:rPr>
          <w:rFonts w:ascii="Arial" w:hAnsi="Arial" w:cs="Arial"/>
          <w:sz w:val="20"/>
          <w:szCs w:val="20"/>
        </w:rPr>
        <w:t>Mergoum</w:t>
      </w:r>
      <w:proofErr w:type="spellEnd"/>
      <w:r w:rsidRPr="009C573C">
        <w:rPr>
          <w:rFonts w:ascii="Arial" w:hAnsi="Arial" w:cs="Arial"/>
          <w:sz w:val="20"/>
          <w:szCs w:val="20"/>
        </w:rPr>
        <w:t xml:space="preserve">, M., </w:t>
      </w:r>
      <w:proofErr w:type="spellStart"/>
      <w:r w:rsidRPr="009C573C">
        <w:rPr>
          <w:rFonts w:ascii="Arial" w:hAnsi="Arial" w:cs="Arial"/>
          <w:sz w:val="20"/>
          <w:szCs w:val="20"/>
        </w:rPr>
        <w:t>Alona</w:t>
      </w:r>
      <w:proofErr w:type="spellEnd"/>
      <w:r w:rsidRPr="009C573C">
        <w:rPr>
          <w:rFonts w:ascii="Arial" w:hAnsi="Arial" w:cs="Arial"/>
          <w:sz w:val="20"/>
          <w:szCs w:val="20"/>
        </w:rPr>
        <w:t xml:space="preserve">, C. L., Omar, H., &amp; </w:t>
      </w:r>
      <w:proofErr w:type="spellStart"/>
      <w:r w:rsidRPr="009C573C">
        <w:rPr>
          <w:rFonts w:ascii="Arial" w:hAnsi="Arial" w:cs="Arial"/>
          <w:sz w:val="20"/>
          <w:szCs w:val="20"/>
        </w:rPr>
        <w:t>Misman</w:t>
      </w:r>
      <w:proofErr w:type="spellEnd"/>
      <w:r w:rsidRPr="009C573C">
        <w:rPr>
          <w:rFonts w:ascii="Arial" w:hAnsi="Arial" w:cs="Arial"/>
          <w:sz w:val="20"/>
          <w:szCs w:val="20"/>
        </w:rPr>
        <w:t xml:space="preserve">, M. A. (2019). Tree Species Richness, Diversity and Distribution at Sungai </w:t>
      </w:r>
      <w:proofErr w:type="spellStart"/>
      <w:r w:rsidRPr="009C573C">
        <w:rPr>
          <w:rFonts w:ascii="Arial" w:hAnsi="Arial" w:cs="Arial"/>
          <w:sz w:val="20"/>
          <w:szCs w:val="20"/>
        </w:rPr>
        <w:t>Menyala</w:t>
      </w:r>
      <w:proofErr w:type="spellEnd"/>
      <w:r w:rsidRPr="009C573C">
        <w:rPr>
          <w:rFonts w:ascii="Arial" w:hAnsi="Arial" w:cs="Arial"/>
          <w:sz w:val="20"/>
          <w:szCs w:val="20"/>
        </w:rPr>
        <w:t xml:space="preserve"> Forest Reserve, Negeri Sembilan. In IOP Conference Series Earth and Environmental Science (Vol. 269, Issue 1, p. 12003). IOP Publishing. https://doi.org/10.1088/1755-1315/269/1/012003</w:t>
      </w:r>
    </w:p>
    <w:p w14:paraId="04ACA497"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Riis, T., Kelly</w:t>
      </w:r>
      <w:r w:rsidRPr="009C573C">
        <w:rPr>
          <w:rFonts w:ascii="Cambria Math" w:hAnsi="Cambria Math" w:cs="Cambria Math"/>
          <w:sz w:val="20"/>
          <w:szCs w:val="20"/>
        </w:rPr>
        <w:t>‐</w:t>
      </w:r>
      <w:r w:rsidRPr="009C573C">
        <w:rPr>
          <w:rFonts w:ascii="Arial" w:hAnsi="Arial" w:cs="Arial"/>
          <w:sz w:val="20"/>
          <w:szCs w:val="20"/>
        </w:rPr>
        <w:t xml:space="preserve">Quinn, M., Aguiar, F. C., </w:t>
      </w:r>
      <w:proofErr w:type="spellStart"/>
      <w:r w:rsidRPr="009C573C">
        <w:rPr>
          <w:rFonts w:ascii="Arial" w:hAnsi="Arial" w:cs="Arial"/>
          <w:sz w:val="20"/>
          <w:szCs w:val="20"/>
        </w:rPr>
        <w:t>Manolaki</w:t>
      </w:r>
      <w:proofErr w:type="spellEnd"/>
      <w:r w:rsidRPr="009C573C">
        <w:rPr>
          <w:rFonts w:ascii="Arial" w:hAnsi="Arial" w:cs="Arial"/>
          <w:sz w:val="20"/>
          <w:szCs w:val="20"/>
        </w:rPr>
        <w:t xml:space="preserve">, P., Bruno, D., </w:t>
      </w:r>
      <w:proofErr w:type="spellStart"/>
      <w:r w:rsidRPr="009C573C">
        <w:rPr>
          <w:rFonts w:ascii="Arial" w:hAnsi="Arial" w:cs="Arial"/>
          <w:sz w:val="20"/>
          <w:szCs w:val="20"/>
        </w:rPr>
        <w:t>Bejarano</w:t>
      </w:r>
      <w:proofErr w:type="spellEnd"/>
      <w:r w:rsidRPr="009C573C">
        <w:rPr>
          <w:rFonts w:ascii="Arial" w:hAnsi="Arial" w:cs="Arial"/>
          <w:sz w:val="20"/>
          <w:szCs w:val="20"/>
        </w:rPr>
        <w:t xml:space="preserve">, M. D., </w:t>
      </w:r>
      <w:proofErr w:type="spellStart"/>
      <w:r w:rsidRPr="009C573C">
        <w:rPr>
          <w:rFonts w:ascii="Arial" w:hAnsi="Arial" w:cs="Arial"/>
          <w:sz w:val="20"/>
          <w:szCs w:val="20"/>
        </w:rPr>
        <w:t>Clerici</w:t>
      </w:r>
      <w:proofErr w:type="spellEnd"/>
      <w:r w:rsidRPr="009C573C">
        <w:rPr>
          <w:rFonts w:ascii="Arial" w:hAnsi="Arial" w:cs="Arial"/>
          <w:sz w:val="20"/>
          <w:szCs w:val="20"/>
        </w:rPr>
        <w:t xml:space="preserve">, N., Fernandes, M. R., Franco, J. C., Pettit, N. E., </w:t>
      </w:r>
      <w:proofErr w:type="spellStart"/>
      <w:r w:rsidRPr="009C573C">
        <w:rPr>
          <w:rFonts w:ascii="Arial" w:hAnsi="Arial" w:cs="Arial"/>
          <w:sz w:val="20"/>
          <w:szCs w:val="20"/>
        </w:rPr>
        <w:t>Portela</w:t>
      </w:r>
      <w:proofErr w:type="spellEnd"/>
      <w:r w:rsidRPr="009C573C">
        <w:rPr>
          <w:rFonts w:ascii="Arial" w:hAnsi="Arial" w:cs="Arial"/>
          <w:sz w:val="20"/>
          <w:szCs w:val="20"/>
        </w:rPr>
        <w:t xml:space="preserve">, A. P., </w:t>
      </w:r>
      <w:proofErr w:type="spellStart"/>
      <w:r w:rsidRPr="009C573C">
        <w:rPr>
          <w:rFonts w:ascii="Arial" w:hAnsi="Arial" w:cs="Arial"/>
          <w:sz w:val="20"/>
          <w:szCs w:val="20"/>
        </w:rPr>
        <w:t>Tammeorg</w:t>
      </w:r>
      <w:proofErr w:type="spellEnd"/>
      <w:r w:rsidRPr="009C573C">
        <w:rPr>
          <w:rFonts w:ascii="Arial" w:hAnsi="Arial" w:cs="Arial"/>
          <w:sz w:val="20"/>
          <w:szCs w:val="20"/>
        </w:rPr>
        <w:t xml:space="preserve">, O., </w:t>
      </w:r>
      <w:proofErr w:type="spellStart"/>
      <w:r w:rsidRPr="009C573C">
        <w:rPr>
          <w:rFonts w:ascii="Arial" w:hAnsi="Arial" w:cs="Arial"/>
          <w:sz w:val="20"/>
          <w:szCs w:val="20"/>
        </w:rPr>
        <w:t>Tammeorg</w:t>
      </w:r>
      <w:proofErr w:type="spellEnd"/>
      <w:r w:rsidRPr="009C573C">
        <w:rPr>
          <w:rFonts w:ascii="Arial" w:hAnsi="Arial" w:cs="Arial"/>
          <w:sz w:val="20"/>
          <w:szCs w:val="20"/>
        </w:rPr>
        <w:t>, P., Rodríguez</w:t>
      </w:r>
      <w:r w:rsidRPr="009C573C">
        <w:rPr>
          <w:rFonts w:ascii="Cambria Math" w:hAnsi="Cambria Math" w:cs="Cambria Math"/>
          <w:sz w:val="20"/>
          <w:szCs w:val="20"/>
        </w:rPr>
        <w:t>‐</w:t>
      </w:r>
      <w:r w:rsidRPr="009C573C">
        <w:rPr>
          <w:rFonts w:ascii="Arial" w:hAnsi="Arial" w:cs="Arial"/>
          <w:sz w:val="20"/>
          <w:szCs w:val="20"/>
        </w:rPr>
        <w:t xml:space="preserve">González, P. M., &amp; Dufour, S. (2020). Global Overview of Ecosystem Services Provided by Riparian Vegetation. In </w:t>
      </w:r>
      <w:proofErr w:type="spellStart"/>
      <w:r w:rsidRPr="009C573C">
        <w:rPr>
          <w:rFonts w:ascii="Arial" w:hAnsi="Arial" w:cs="Arial"/>
          <w:sz w:val="20"/>
          <w:szCs w:val="20"/>
        </w:rPr>
        <w:t>BioScience</w:t>
      </w:r>
      <w:proofErr w:type="spellEnd"/>
      <w:r w:rsidRPr="009C573C">
        <w:rPr>
          <w:rFonts w:ascii="Arial" w:hAnsi="Arial" w:cs="Arial"/>
          <w:sz w:val="20"/>
          <w:szCs w:val="20"/>
        </w:rPr>
        <w:t xml:space="preserve"> (Vol. 70, Issue 6, p. 501). Oxford University Press. https://doi.org/10.1093/biosci/biaa041</w:t>
      </w:r>
    </w:p>
    <w:p w14:paraId="6E32EAE0"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t>Ruziman</w:t>
      </w:r>
      <w:proofErr w:type="spellEnd"/>
      <w:r w:rsidRPr="009C573C">
        <w:rPr>
          <w:rFonts w:ascii="Arial" w:eastAsia="Times New Roman" w:hAnsi="Arial" w:cs="Arial"/>
          <w:color w:val="18181B"/>
          <w:spacing w:val="2"/>
          <w:kern w:val="0"/>
          <w:sz w:val="20"/>
          <w14:ligatures w14:val="none"/>
        </w:rPr>
        <w:t xml:space="preserve">, H. H., Ismail, A., </w:t>
      </w:r>
      <w:proofErr w:type="spellStart"/>
      <w:r w:rsidRPr="009C573C">
        <w:rPr>
          <w:rFonts w:ascii="Arial" w:eastAsia="Times New Roman" w:hAnsi="Arial" w:cs="Arial"/>
          <w:color w:val="18181B"/>
          <w:spacing w:val="2"/>
          <w:kern w:val="0"/>
          <w:sz w:val="20"/>
          <w14:ligatures w14:val="none"/>
        </w:rPr>
        <w:t>Radzun</w:t>
      </w:r>
      <w:proofErr w:type="spellEnd"/>
      <w:r w:rsidRPr="009C573C">
        <w:rPr>
          <w:rFonts w:ascii="Arial" w:eastAsia="Times New Roman" w:hAnsi="Arial" w:cs="Arial"/>
          <w:color w:val="18181B"/>
          <w:spacing w:val="2"/>
          <w:kern w:val="0"/>
          <w:sz w:val="20"/>
          <w14:ligatures w14:val="none"/>
        </w:rPr>
        <w:t xml:space="preserve">, K. A., Ishak, N. S., </w:t>
      </w:r>
      <w:proofErr w:type="spellStart"/>
      <w:r w:rsidRPr="009C573C">
        <w:rPr>
          <w:rFonts w:ascii="Arial" w:eastAsia="Times New Roman" w:hAnsi="Arial" w:cs="Arial"/>
          <w:color w:val="18181B"/>
          <w:spacing w:val="2"/>
          <w:kern w:val="0"/>
          <w:sz w:val="20"/>
          <w14:ligatures w14:val="none"/>
        </w:rPr>
        <w:t>Zohari</w:t>
      </w:r>
      <w:proofErr w:type="spellEnd"/>
      <w:r w:rsidRPr="009C573C">
        <w:rPr>
          <w:rFonts w:ascii="Arial" w:eastAsia="Times New Roman" w:hAnsi="Arial" w:cs="Arial"/>
          <w:color w:val="18181B"/>
          <w:spacing w:val="2"/>
          <w:kern w:val="0"/>
          <w:sz w:val="20"/>
          <w14:ligatures w14:val="none"/>
        </w:rPr>
        <w:t xml:space="preserve">, A. F., </w:t>
      </w:r>
      <w:proofErr w:type="spellStart"/>
      <w:r w:rsidRPr="009C573C">
        <w:rPr>
          <w:rFonts w:ascii="Arial" w:eastAsia="Times New Roman" w:hAnsi="Arial" w:cs="Arial"/>
          <w:color w:val="18181B"/>
          <w:spacing w:val="2"/>
          <w:kern w:val="0"/>
          <w:sz w:val="20"/>
          <w14:ligatures w14:val="none"/>
        </w:rPr>
        <w:t>Kusin</w:t>
      </w:r>
      <w:proofErr w:type="spellEnd"/>
      <w:r w:rsidRPr="009C573C">
        <w:rPr>
          <w:rFonts w:ascii="Arial" w:eastAsia="Times New Roman" w:hAnsi="Arial" w:cs="Arial"/>
          <w:color w:val="18181B"/>
          <w:spacing w:val="2"/>
          <w:kern w:val="0"/>
          <w:sz w:val="20"/>
          <w14:ligatures w14:val="none"/>
        </w:rPr>
        <w:t xml:space="preserve">, M., &amp; </w:t>
      </w:r>
      <w:proofErr w:type="spellStart"/>
      <w:r w:rsidRPr="009C573C">
        <w:rPr>
          <w:rFonts w:ascii="Arial" w:eastAsia="Times New Roman" w:hAnsi="Arial" w:cs="Arial"/>
          <w:color w:val="18181B"/>
          <w:spacing w:val="2"/>
          <w:kern w:val="0"/>
          <w:sz w:val="20"/>
          <w14:ligatures w14:val="none"/>
        </w:rPr>
        <w:t>Pardi</w:t>
      </w:r>
      <w:proofErr w:type="spellEnd"/>
      <w:r w:rsidRPr="009C573C">
        <w:rPr>
          <w:rFonts w:ascii="Arial" w:eastAsia="Times New Roman" w:hAnsi="Arial" w:cs="Arial"/>
          <w:color w:val="18181B"/>
          <w:spacing w:val="2"/>
          <w:kern w:val="0"/>
          <w:sz w:val="20"/>
          <w14:ligatures w14:val="none"/>
        </w:rPr>
        <w:t xml:space="preserve">, F. (2022). Tree Species Diversity and Conservation Status of </w:t>
      </w:r>
      <w:proofErr w:type="spellStart"/>
      <w:r w:rsidRPr="009C573C">
        <w:rPr>
          <w:rFonts w:ascii="Arial" w:eastAsia="Times New Roman" w:hAnsi="Arial" w:cs="Arial"/>
          <w:color w:val="18181B"/>
          <w:spacing w:val="2"/>
          <w:kern w:val="0"/>
          <w:sz w:val="20"/>
          <w14:ligatures w14:val="none"/>
        </w:rPr>
        <w:t>Keniam</w:t>
      </w:r>
      <w:proofErr w:type="spellEnd"/>
      <w:r w:rsidRPr="009C573C">
        <w:rPr>
          <w:rFonts w:ascii="Arial" w:eastAsia="Times New Roman" w:hAnsi="Arial" w:cs="Arial"/>
          <w:color w:val="18181B"/>
          <w:spacing w:val="2"/>
          <w:kern w:val="0"/>
          <w:sz w:val="20"/>
          <w14:ligatures w14:val="none"/>
        </w:rPr>
        <w:t xml:space="preserve"> Forest, Taman Negara, Pahang. In IOP Conference Series Earth and Environmental Science (Vol. 1019, Issue 1, p. 12014). IOP Publishing. https://doi.org/10.1088/1755-1315/1019/1/012014</w:t>
      </w:r>
    </w:p>
    <w:p w14:paraId="32699228"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Strassburg</w:t>
      </w:r>
      <w:proofErr w:type="spellEnd"/>
      <w:r w:rsidRPr="009C573C">
        <w:rPr>
          <w:rFonts w:ascii="Arial" w:hAnsi="Arial" w:cs="Arial"/>
          <w:sz w:val="20"/>
          <w:szCs w:val="20"/>
        </w:rPr>
        <w:t xml:space="preserve">, B. B. N., </w:t>
      </w:r>
      <w:proofErr w:type="spellStart"/>
      <w:r w:rsidRPr="009C573C">
        <w:rPr>
          <w:rFonts w:ascii="Arial" w:hAnsi="Arial" w:cs="Arial"/>
          <w:sz w:val="20"/>
          <w:szCs w:val="20"/>
        </w:rPr>
        <w:t>Iribarrem</w:t>
      </w:r>
      <w:proofErr w:type="spellEnd"/>
      <w:r w:rsidRPr="009C573C">
        <w:rPr>
          <w:rFonts w:ascii="Arial" w:hAnsi="Arial" w:cs="Arial"/>
          <w:sz w:val="20"/>
          <w:szCs w:val="20"/>
        </w:rPr>
        <w:t xml:space="preserve">, Á., Beyer, H. L., Cordeiro, C. L., </w:t>
      </w:r>
      <w:proofErr w:type="spellStart"/>
      <w:r w:rsidRPr="009C573C">
        <w:rPr>
          <w:rFonts w:ascii="Arial" w:hAnsi="Arial" w:cs="Arial"/>
          <w:sz w:val="20"/>
          <w:szCs w:val="20"/>
        </w:rPr>
        <w:t>Crouzeilles</w:t>
      </w:r>
      <w:proofErr w:type="spellEnd"/>
      <w:r w:rsidRPr="009C573C">
        <w:rPr>
          <w:rFonts w:ascii="Arial" w:hAnsi="Arial" w:cs="Arial"/>
          <w:sz w:val="20"/>
          <w:szCs w:val="20"/>
        </w:rPr>
        <w:t xml:space="preserve">, R., </w:t>
      </w:r>
      <w:proofErr w:type="spellStart"/>
      <w:r w:rsidRPr="009C573C">
        <w:rPr>
          <w:rFonts w:ascii="Arial" w:hAnsi="Arial" w:cs="Arial"/>
          <w:sz w:val="20"/>
          <w:szCs w:val="20"/>
        </w:rPr>
        <w:t>Jakovac</w:t>
      </w:r>
      <w:proofErr w:type="spellEnd"/>
      <w:r w:rsidRPr="009C573C">
        <w:rPr>
          <w:rFonts w:ascii="Arial" w:hAnsi="Arial" w:cs="Arial"/>
          <w:sz w:val="20"/>
          <w:szCs w:val="20"/>
        </w:rPr>
        <w:t xml:space="preserve">, C. C., </w:t>
      </w:r>
      <w:proofErr w:type="spellStart"/>
      <w:r w:rsidRPr="009C573C">
        <w:rPr>
          <w:rFonts w:ascii="Arial" w:hAnsi="Arial" w:cs="Arial"/>
          <w:sz w:val="20"/>
          <w:szCs w:val="20"/>
        </w:rPr>
        <w:t>Junqueira</w:t>
      </w:r>
      <w:proofErr w:type="spellEnd"/>
      <w:r w:rsidRPr="009C573C">
        <w:rPr>
          <w:rFonts w:ascii="Arial" w:hAnsi="Arial" w:cs="Arial"/>
          <w:sz w:val="20"/>
          <w:szCs w:val="20"/>
        </w:rPr>
        <w:t xml:space="preserve">, A. B., </w:t>
      </w:r>
      <w:proofErr w:type="spellStart"/>
      <w:r w:rsidRPr="009C573C">
        <w:rPr>
          <w:rFonts w:ascii="Arial" w:hAnsi="Arial" w:cs="Arial"/>
          <w:sz w:val="20"/>
          <w:szCs w:val="20"/>
        </w:rPr>
        <w:t>Lacerda</w:t>
      </w:r>
      <w:proofErr w:type="spellEnd"/>
      <w:r w:rsidRPr="009C573C">
        <w:rPr>
          <w:rFonts w:ascii="Arial" w:hAnsi="Arial" w:cs="Arial"/>
          <w:sz w:val="20"/>
          <w:szCs w:val="20"/>
        </w:rPr>
        <w:t xml:space="preserve">, E., </w:t>
      </w:r>
      <w:proofErr w:type="spellStart"/>
      <w:r w:rsidRPr="009C573C">
        <w:rPr>
          <w:rFonts w:ascii="Arial" w:hAnsi="Arial" w:cs="Arial"/>
          <w:sz w:val="20"/>
          <w:szCs w:val="20"/>
        </w:rPr>
        <w:t>Latawiec</w:t>
      </w:r>
      <w:proofErr w:type="spellEnd"/>
      <w:r w:rsidRPr="009C573C">
        <w:rPr>
          <w:rFonts w:ascii="Arial" w:hAnsi="Arial" w:cs="Arial"/>
          <w:sz w:val="20"/>
          <w:szCs w:val="20"/>
        </w:rPr>
        <w:t xml:space="preserve">, A. E., </w:t>
      </w:r>
      <w:proofErr w:type="spellStart"/>
      <w:r w:rsidRPr="009C573C">
        <w:rPr>
          <w:rFonts w:ascii="Arial" w:hAnsi="Arial" w:cs="Arial"/>
          <w:sz w:val="20"/>
          <w:szCs w:val="20"/>
        </w:rPr>
        <w:t>Balmford</w:t>
      </w:r>
      <w:proofErr w:type="spellEnd"/>
      <w:r w:rsidRPr="009C573C">
        <w:rPr>
          <w:rFonts w:ascii="Arial" w:hAnsi="Arial" w:cs="Arial"/>
          <w:sz w:val="20"/>
          <w:szCs w:val="20"/>
        </w:rPr>
        <w:t xml:space="preserve">, A., Brooks, T. M., Butchart, S. H. M., </w:t>
      </w:r>
      <w:proofErr w:type="spellStart"/>
      <w:r w:rsidRPr="009C573C">
        <w:rPr>
          <w:rFonts w:ascii="Arial" w:hAnsi="Arial" w:cs="Arial"/>
          <w:sz w:val="20"/>
          <w:szCs w:val="20"/>
        </w:rPr>
        <w:t>Chazdon</w:t>
      </w:r>
      <w:proofErr w:type="spellEnd"/>
      <w:r w:rsidRPr="009C573C">
        <w:rPr>
          <w:rFonts w:ascii="Arial" w:hAnsi="Arial" w:cs="Arial"/>
          <w:sz w:val="20"/>
          <w:szCs w:val="20"/>
        </w:rPr>
        <w:t xml:space="preserve">, R. L., </w:t>
      </w:r>
      <w:proofErr w:type="spellStart"/>
      <w:r w:rsidRPr="009C573C">
        <w:rPr>
          <w:rFonts w:ascii="Arial" w:hAnsi="Arial" w:cs="Arial"/>
          <w:sz w:val="20"/>
          <w:szCs w:val="20"/>
        </w:rPr>
        <w:t>Erb</w:t>
      </w:r>
      <w:proofErr w:type="spellEnd"/>
      <w:r w:rsidRPr="009C573C">
        <w:rPr>
          <w:rFonts w:ascii="Arial" w:hAnsi="Arial" w:cs="Arial"/>
          <w:sz w:val="20"/>
          <w:szCs w:val="20"/>
        </w:rPr>
        <w:t xml:space="preserve">, K., </w:t>
      </w:r>
      <w:proofErr w:type="spellStart"/>
      <w:r w:rsidRPr="009C573C">
        <w:rPr>
          <w:rFonts w:ascii="Arial" w:hAnsi="Arial" w:cs="Arial"/>
          <w:sz w:val="20"/>
          <w:szCs w:val="20"/>
        </w:rPr>
        <w:t>Brancalion</w:t>
      </w:r>
      <w:proofErr w:type="spellEnd"/>
      <w:r w:rsidRPr="009C573C">
        <w:rPr>
          <w:rFonts w:ascii="Arial" w:hAnsi="Arial" w:cs="Arial"/>
          <w:sz w:val="20"/>
          <w:szCs w:val="20"/>
        </w:rPr>
        <w:t xml:space="preserve">, P. H. S., Buchanan, G. M., Cooper, D., </w:t>
      </w:r>
      <w:proofErr w:type="spellStart"/>
      <w:r w:rsidRPr="009C573C">
        <w:rPr>
          <w:rFonts w:ascii="Arial" w:hAnsi="Arial" w:cs="Arial"/>
          <w:sz w:val="20"/>
          <w:szCs w:val="20"/>
        </w:rPr>
        <w:t>Dı́az</w:t>
      </w:r>
      <w:proofErr w:type="spellEnd"/>
      <w:r w:rsidRPr="009C573C">
        <w:rPr>
          <w:rFonts w:ascii="Arial" w:hAnsi="Arial" w:cs="Arial"/>
          <w:sz w:val="20"/>
          <w:szCs w:val="20"/>
        </w:rPr>
        <w:t>, S., Donald, P. F., … Visconti, P. (2020). Global priority areas for ecosystem restoration. In Nature (Vol. 586, Issue 7831, p. 724). Nature Portfolio. https://doi.org/10.1038/s41586-020-2784-9</w:t>
      </w:r>
    </w:p>
    <w:p w14:paraId="1718C8E6"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lastRenderedPageBreak/>
        <w:t>Sumarmi</w:t>
      </w:r>
      <w:proofErr w:type="spellEnd"/>
      <w:r w:rsidRPr="009C573C">
        <w:rPr>
          <w:rFonts w:ascii="Arial" w:hAnsi="Arial" w:cs="Arial"/>
          <w:sz w:val="20"/>
          <w:szCs w:val="20"/>
        </w:rPr>
        <w:t xml:space="preserve">, S., </w:t>
      </w:r>
      <w:proofErr w:type="spellStart"/>
      <w:r w:rsidRPr="009C573C">
        <w:rPr>
          <w:rFonts w:ascii="Arial" w:hAnsi="Arial" w:cs="Arial"/>
          <w:sz w:val="20"/>
          <w:szCs w:val="20"/>
        </w:rPr>
        <w:t>Pakarti</w:t>
      </w:r>
      <w:proofErr w:type="spellEnd"/>
      <w:r w:rsidRPr="009C573C">
        <w:rPr>
          <w:rFonts w:ascii="Arial" w:hAnsi="Arial" w:cs="Arial"/>
          <w:sz w:val="20"/>
          <w:szCs w:val="20"/>
        </w:rPr>
        <w:t xml:space="preserve">, T. I., </w:t>
      </w:r>
      <w:proofErr w:type="spellStart"/>
      <w:r w:rsidRPr="009C573C">
        <w:rPr>
          <w:rFonts w:ascii="Arial" w:hAnsi="Arial" w:cs="Arial"/>
          <w:sz w:val="20"/>
          <w:szCs w:val="20"/>
        </w:rPr>
        <w:t>Destari</w:t>
      </w:r>
      <w:proofErr w:type="spellEnd"/>
      <w:r w:rsidRPr="009C573C">
        <w:rPr>
          <w:rFonts w:ascii="Arial" w:hAnsi="Arial" w:cs="Arial"/>
          <w:sz w:val="20"/>
          <w:szCs w:val="20"/>
        </w:rPr>
        <w:t xml:space="preserve">, L. F. P., </w:t>
      </w:r>
      <w:proofErr w:type="spellStart"/>
      <w:r w:rsidRPr="009C573C">
        <w:rPr>
          <w:rFonts w:ascii="Arial" w:hAnsi="Arial" w:cs="Arial"/>
          <w:sz w:val="20"/>
          <w:szCs w:val="20"/>
        </w:rPr>
        <w:t>Aini</w:t>
      </w:r>
      <w:proofErr w:type="spellEnd"/>
      <w:r w:rsidRPr="009C573C">
        <w:rPr>
          <w:rFonts w:ascii="Arial" w:hAnsi="Arial" w:cs="Arial"/>
          <w:sz w:val="20"/>
          <w:szCs w:val="20"/>
        </w:rPr>
        <w:t xml:space="preserve">, N., &amp; </w:t>
      </w:r>
      <w:proofErr w:type="spellStart"/>
      <w:r w:rsidRPr="009C573C">
        <w:rPr>
          <w:rFonts w:ascii="Arial" w:hAnsi="Arial" w:cs="Arial"/>
          <w:sz w:val="20"/>
          <w:szCs w:val="20"/>
        </w:rPr>
        <w:t>Tanjung</w:t>
      </w:r>
      <w:proofErr w:type="spellEnd"/>
      <w:r w:rsidRPr="009C573C">
        <w:rPr>
          <w:rFonts w:ascii="Arial" w:hAnsi="Arial" w:cs="Arial"/>
          <w:sz w:val="20"/>
          <w:szCs w:val="20"/>
        </w:rPr>
        <w:t xml:space="preserve">, A. (2022). Preservation of Vegetation Diversity to Maintain the Riparian Ecosystem of the </w:t>
      </w:r>
      <w:proofErr w:type="spellStart"/>
      <w:r w:rsidRPr="009C573C">
        <w:rPr>
          <w:rFonts w:ascii="Arial" w:hAnsi="Arial" w:cs="Arial"/>
          <w:sz w:val="20"/>
          <w:szCs w:val="20"/>
        </w:rPr>
        <w:t>Sampean</w:t>
      </w:r>
      <w:proofErr w:type="spellEnd"/>
      <w:r w:rsidRPr="009C573C">
        <w:rPr>
          <w:rFonts w:ascii="Arial" w:hAnsi="Arial" w:cs="Arial"/>
          <w:sz w:val="20"/>
          <w:szCs w:val="20"/>
        </w:rPr>
        <w:t xml:space="preserve"> Watershed. In </w:t>
      </w:r>
      <w:proofErr w:type="spellStart"/>
      <w:r w:rsidRPr="009C573C">
        <w:rPr>
          <w:rFonts w:ascii="Arial" w:hAnsi="Arial" w:cs="Arial"/>
          <w:sz w:val="20"/>
          <w:szCs w:val="20"/>
        </w:rPr>
        <w:t>KnE</w:t>
      </w:r>
      <w:proofErr w:type="spellEnd"/>
      <w:r w:rsidRPr="009C573C">
        <w:rPr>
          <w:rFonts w:ascii="Arial" w:hAnsi="Arial" w:cs="Arial"/>
          <w:sz w:val="20"/>
          <w:szCs w:val="20"/>
        </w:rPr>
        <w:t xml:space="preserve"> Social Sciences. Knowledge E. https://doi.org/10.18502/kss.v7i16.12168</w:t>
      </w:r>
    </w:p>
    <w:p w14:paraId="2CDFD428"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Tabacchi</w:t>
      </w:r>
      <w:proofErr w:type="spellEnd"/>
      <w:r w:rsidRPr="009C573C">
        <w:rPr>
          <w:rFonts w:ascii="Arial" w:hAnsi="Arial" w:cs="Arial"/>
          <w:sz w:val="20"/>
          <w:szCs w:val="20"/>
        </w:rPr>
        <w:t xml:space="preserve">, É., </w:t>
      </w:r>
      <w:proofErr w:type="spellStart"/>
      <w:r w:rsidRPr="009C573C">
        <w:rPr>
          <w:rFonts w:ascii="Arial" w:hAnsi="Arial" w:cs="Arial"/>
          <w:sz w:val="20"/>
          <w:szCs w:val="20"/>
        </w:rPr>
        <w:t>Correll</w:t>
      </w:r>
      <w:proofErr w:type="spellEnd"/>
      <w:r w:rsidRPr="009C573C">
        <w:rPr>
          <w:rFonts w:ascii="Arial" w:hAnsi="Arial" w:cs="Arial"/>
          <w:sz w:val="20"/>
          <w:szCs w:val="20"/>
        </w:rPr>
        <w:t xml:space="preserve">, D. L., Hauer, R. J., Pinay, G., </w:t>
      </w:r>
      <w:proofErr w:type="spellStart"/>
      <w:r w:rsidRPr="009C573C">
        <w:rPr>
          <w:rFonts w:ascii="Arial" w:hAnsi="Arial" w:cs="Arial"/>
          <w:sz w:val="20"/>
          <w:szCs w:val="20"/>
        </w:rPr>
        <w:t>Planty</w:t>
      </w:r>
      <w:r w:rsidRPr="009C573C">
        <w:rPr>
          <w:rFonts w:ascii="Cambria Math" w:hAnsi="Cambria Math" w:cs="Cambria Math"/>
          <w:sz w:val="20"/>
          <w:szCs w:val="20"/>
        </w:rPr>
        <w:t>‐</w:t>
      </w:r>
      <w:r w:rsidRPr="009C573C">
        <w:rPr>
          <w:rFonts w:ascii="Arial" w:hAnsi="Arial" w:cs="Arial"/>
          <w:sz w:val="20"/>
          <w:szCs w:val="20"/>
        </w:rPr>
        <w:t>Tabacchi</w:t>
      </w:r>
      <w:proofErr w:type="spellEnd"/>
      <w:r w:rsidRPr="009C573C">
        <w:rPr>
          <w:rFonts w:ascii="Arial" w:hAnsi="Arial" w:cs="Arial"/>
          <w:sz w:val="20"/>
          <w:szCs w:val="20"/>
        </w:rPr>
        <w:t xml:space="preserve">, A., &amp; </w:t>
      </w:r>
      <w:proofErr w:type="spellStart"/>
      <w:r w:rsidRPr="009C573C">
        <w:rPr>
          <w:rFonts w:ascii="Arial" w:hAnsi="Arial" w:cs="Arial"/>
          <w:sz w:val="20"/>
          <w:szCs w:val="20"/>
        </w:rPr>
        <w:t>Wissmar</w:t>
      </w:r>
      <w:proofErr w:type="spellEnd"/>
      <w:r w:rsidRPr="009C573C">
        <w:rPr>
          <w:rFonts w:ascii="Arial" w:hAnsi="Arial" w:cs="Arial"/>
          <w:sz w:val="20"/>
          <w:szCs w:val="20"/>
        </w:rPr>
        <w:t xml:space="preserve">, R. C. (1998). Development, maintenance and role of riparian vegetation in the river landscape. In Freshwater Biology (Vol. 40, Issue 3, p. 497). Wiley. </w:t>
      </w:r>
      <w:hyperlink r:id="rId16" w:history="1">
        <w:r w:rsidRPr="009C573C">
          <w:rPr>
            <w:rStyle w:val="Hyperlink"/>
            <w:rFonts w:ascii="Arial" w:hAnsi="Arial" w:cs="Arial"/>
            <w:sz w:val="20"/>
            <w:szCs w:val="20"/>
          </w:rPr>
          <w:t>https://doi.org/10.1046/j.1365-2427.1998.00381.x</w:t>
        </w:r>
      </w:hyperlink>
    </w:p>
    <w:sectPr w:rsidR="00261B42" w:rsidRPr="009C573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D7CEE" w14:textId="77777777" w:rsidR="006C4D50" w:rsidRDefault="006C4D50">
      <w:pPr>
        <w:spacing w:after="0" w:line="240" w:lineRule="auto"/>
      </w:pPr>
      <w:r>
        <w:separator/>
      </w:r>
    </w:p>
  </w:endnote>
  <w:endnote w:type="continuationSeparator" w:id="0">
    <w:p w14:paraId="17F841C7" w14:textId="77777777" w:rsidR="006C4D50" w:rsidRDefault="006C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868C" w14:textId="77777777" w:rsidR="007749A3" w:rsidRDefault="00774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98365"/>
      <w:docPartObj>
        <w:docPartGallery w:val="Page Numbers (Bottom of Page)"/>
        <w:docPartUnique/>
      </w:docPartObj>
    </w:sdtPr>
    <w:sdtEndPr/>
    <w:sdtContent>
      <w:p w14:paraId="6F233458" w14:textId="77777777" w:rsidR="001D0AFC" w:rsidRPr="008C0FD3" w:rsidRDefault="006C4D50">
        <w:pPr>
          <w:pStyle w:val="Footer"/>
          <w:jc w:val="center"/>
        </w:pPr>
        <w:r w:rsidRPr="008C0FD3">
          <w:fldChar w:fldCharType="begin"/>
        </w:r>
        <w:r w:rsidRPr="008C0FD3">
          <w:instrText xml:space="preserve"> PAGE   \* MERGEFORMAT </w:instrText>
        </w:r>
        <w:r w:rsidRPr="008C0FD3">
          <w:fldChar w:fldCharType="separate"/>
        </w:r>
        <w:r w:rsidRPr="008C0FD3">
          <w:t>2</w:t>
        </w:r>
        <w:r w:rsidRPr="008C0FD3">
          <w:fldChar w:fldCharType="end"/>
        </w:r>
      </w:p>
    </w:sdtContent>
  </w:sdt>
  <w:p w14:paraId="349BF90C" w14:textId="77777777" w:rsidR="001D0AFC" w:rsidRPr="008C0FD3" w:rsidRDefault="001D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24BF" w14:textId="77777777" w:rsidR="007749A3" w:rsidRDefault="0077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FE684" w14:textId="77777777" w:rsidR="006C4D50" w:rsidRDefault="006C4D50">
      <w:pPr>
        <w:spacing w:after="0" w:line="240" w:lineRule="auto"/>
      </w:pPr>
      <w:r>
        <w:separator/>
      </w:r>
    </w:p>
  </w:footnote>
  <w:footnote w:type="continuationSeparator" w:id="0">
    <w:p w14:paraId="63EAFF9B" w14:textId="77777777" w:rsidR="006C4D50" w:rsidRDefault="006C4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96D2" w14:textId="236477C3" w:rsidR="007749A3" w:rsidRDefault="007749A3">
    <w:pPr>
      <w:pStyle w:val="Header"/>
    </w:pPr>
    <w:r>
      <w:rPr>
        <w:noProof/>
      </w:rPr>
      <w:pict w14:anchorId="26BF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495F" w14:textId="66D2FCA9" w:rsidR="007749A3" w:rsidRDefault="007749A3">
    <w:pPr>
      <w:pStyle w:val="Header"/>
    </w:pPr>
    <w:r>
      <w:rPr>
        <w:noProof/>
      </w:rPr>
      <w:pict w14:anchorId="640D2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561C" w14:textId="768CBE40" w:rsidR="007749A3" w:rsidRDefault="007749A3">
    <w:pPr>
      <w:pStyle w:val="Header"/>
    </w:pPr>
    <w:r>
      <w:rPr>
        <w:noProof/>
      </w:rPr>
      <w:pict w14:anchorId="7B75F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41E"/>
    <w:multiLevelType w:val="hybridMultilevel"/>
    <w:tmpl w:val="C366917C"/>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743"/>
    <w:multiLevelType w:val="hybridMultilevel"/>
    <w:tmpl w:val="3EC8F0E0"/>
    <w:lvl w:ilvl="0" w:tplc="21F41532">
      <w:start w:val="1"/>
      <w:numFmt w:val="decimal"/>
      <w:lvlText w:val="Fig. 3.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EDE"/>
    <w:multiLevelType w:val="hybridMultilevel"/>
    <w:tmpl w:val="A034819E"/>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452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84407"/>
    <w:multiLevelType w:val="hybridMultilevel"/>
    <w:tmpl w:val="0E0C674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AE265C"/>
    <w:multiLevelType w:val="multilevel"/>
    <w:tmpl w:val="8C32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C7A80"/>
    <w:multiLevelType w:val="hybridMultilevel"/>
    <w:tmpl w:val="8F0E7A7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217D2"/>
    <w:multiLevelType w:val="multilevel"/>
    <w:tmpl w:val="DD965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785AA8"/>
    <w:multiLevelType w:val="hybridMultilevel"/>
    <w:tmpl w:val="757EFC58"/>
    <w:lvl w:ilvl="0" w:tplc="EA6CE352">
      <w:start w:val="1"/>
      <w:numFmt w:val="decimal"/>
      <w:lvlText w:val="Table %1."/>
      <w:lvlJc w:val="left"/>
      <w:pPr>
        <w:ind w:left="72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45A2B"/>
    <w:multiLevelType w:val="multilevel"/>
    <w:tmpl w:val="0409001F"/>
    <w:numStyleLink w:val="Style1"/>
  </w:abstractNum>
  <w:abstractNum w:abstractNumId="10" w15:restartNumberingAfterBreak="0">
    <w:nsid w:val="520D01BC"/>
    <w:multiLevelType w:val="multilevel"/>
    <w:tmpl w:val="EF4E03D6"/>
    <w:lvl w:ilvl="0">
      <w:start w:val="3"/>
      <w:numFmt w:val="decimal"/>
      <w:lvlText w:val="%1."/>
      <w:lvlJc w:val="left"/>
      <w:pPr>
        <w:ind w:left="432" w:hanging="432"/>
      </w:pPr>
      <w:rPr>
        <w:rFonts w:ascii="Times New Roman" w:hAnsi="Times New Roman" w:hint="default"/>
        <w:b/>
        <w:color w:val="000000" w:themeColor="text1"/>
        <w:sz w:val="32"/>
        <w:u w:val="single"/>
      </w:rPr>
    </w:lvl>
    <w:lvl w:ilvl="1">
      <w:start w:val="1"/>
      <w:numFmt w:val="decimal"/>
      <w:lvlText w:val="%1.%2."/>
      <w:lvlJc w:val="left"/>
      <w:pPr>
        <w:ind w:left="576" w:hanging="576"/>
      </w:pPr>
      <w:rPr>
        <w:rFonts w:ascii="Times New Roman" w:eastAsia="Times New Roman" w:hAnsi="Times New Roman" w:cs="Times New Roman" w:hint="default"/>
        <w:b/>
        <w:color w:val="000000" w:themeColor="text1"/>
        <w:sz w:val="28"/>
        <w:szCs w:val="28"/>
      </w:rPr>
    </w:lvl>
    <w:lvl w:ilvl="2">
      <w:start w:val="1"/>
      <w:numFmt w:val="decimal"/>
      <w:suff w:val="space"/>
      <w:lvlText w:val="%1.%2.%3."/>
      <w:lvlJc w:val="left"/>
      <w:pPr>
        <w:ind w:left="720" w:hanging="720"/>
      </w:pPr>
      <w:rPr>
        <w:rFonts w:ascii="Times New Roman" w:hAnsi="Times New Roman" w:hint="default"/>
        <w:b/>
        <w:sz w:val="24"/>
      </w:rPr>
    </w:lvl>
    <w:lvl w:ilvl="3">
      <w:start w:val="1"/>
      <w:numFmt w:val="decimal"/>
      <w:suff w:val="space"/>
      <w:lvlText w:val="%1.%2.%3.%4."/>
      <w:lvlJc w:val="left"/>
      <w:pPr>
        <w:ind w:left="864" w:hanging="864"/>
      </w:pPr>
      <w:rPr>
        <w:rFonts w:ascii="Times New Roman" w:hAnsi="Times New Roman" w:hint="default"/>
        <w:b/>
        <w:i/>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9612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FA0F91"/>
    <w:multiLevelType w:val="hybridMultilevel"/>
    <w:tmpl w:val="A054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A0800"/>
    <w:multiLevelType w:val="hybridMultilevel"/>
    <w:tmpl w:val="4E986C1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434C5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D62B6"/>
    <w:multiLevelType w:val="hybridMultilevel"/>
    <w:tmpl w:val="8AFE9F48"/>
    <w:lvl w:ilvl="0" w:tplc="DD8CF29A">
      <w:start w:val="1"/>
      <w:numFmt w:val="decimal"/>
      <w:suff w:val="space"/>
      <w:lvlText w:val="Fig. %1."/>
      <w:lvlJc w:val="left"/>
      <w:pPr>
        <w:ind w:left="1440" w:hanging="360"/>
      </w:pPr>
      <w:rPr>
        <w:rFonts w:ascii="Arial" w:hAnsi="Arial" w:hint="default"/>
        <w:b/>
        <w:i w:val="0"/>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200ACF"/>
    <w:multiLevelType w:val="multilevel"/>
    <w:tmpl w:val="DD965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3A7DC4"/>
    <w:multiLevelType w:val="hybridMultilevel"/>
    <w:tmpl w:val="5B5C3942"/>
    <w:lvl w:ilvl="0" w:tplc="6234F480">
      <w:start w:val="1"/>
      <w:numFmt w:val="decimal"/>
      <w:lvlText w:val="Table 3.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4395C"/>
    <w:multiLevelType w:val="hybridMultilevel"/>
    <w:tmpl w:val="EA1CE36E"/>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A3C31"/>
    <w:multiLevelType w:val="hybridMultilevel"/>
    <w:tmpl w:val="35AEBD3C"/>
    <w:lvl w:ilvl="0" w:tplc="A3021FEA">
      <w:start w:val="1"/>
      <w:numFmt w:val="decimal"/>
      <w:lvlText w:val="Fig. 3. %1."/>
      <w:lvlJc w:val="left"/>
      <w:pPr>
        <w:ind w:left="1368" w:hanging="1008"/>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A40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B9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10"/>
    <w:lvlOverride w:ilvl="0">
      <w:lvl w:ilvl="0">
        <w:start w:val="3"/>
        <w:numFmt w:val="decimal"/>
        <w:lvlText w:val="%1."/>
        <w:lvlJc w:val="left"/>
        <w:pPr>
          <w:ind w:left="432" w:hanging="432"/>
        </w:pPr>
        <w:rPr>
          <w:rFonts w:ascii="Times New Roman" w:hAnsi="Times New Roman" w:hint="default"/>
          <w:b/>
          <w:color w:val="000000" w:themeColor="text1"/>
          <w:sz w:val="32"/>
          <w:u w:val="single"/>
        </w:rPr>
      </w:lvl>
    </w:lvlOverride>
    <w:lvlOverride w:ilvl="1">
      <w:lvl w:ilvl="1">
        <w:start w:val="1"/>
        <w:numFmt w:val="decimal"/>
        <w:lvlText w:val="%1.%2."/>
        <w:lvlJc w:val="left"/>
        <w:pPr>
          <w:ind w:left="576" w:hanging="576"/>
        </w:pPr>
        <w:rPr>
          <w:rFonts w:ascii="Times New Roman" w:eastAsia="Times New Roman" w:hAnsi="Times New Roman" w:cs="Times New Roman" w:hint="default"/>
          <w:b/>
          <w:color w:val="000000" w:themeColor="text1"/>
          <w:sz w:val="28"/>
          <w:szCs w:val="28"/>
        </w:rPr>
      </w:lvl>
    </w:lvlOverride>
    <w:lvlOverride w:ilvl="2">
      <w:lvl w:ilvl="2">
        <w:start w:val="1"/>
        <w:numFmt w:val="decimal"/>
        <w:suff w:val="space"/>
        <w:lvlText w:val="%1.%2.%3."/>
        <w:lvlJc w:val="left"/>
        <w:pPr>
          <w:ind w:left="720" w:hanging="720"/>
        </w:pPr>
        <w:rPr>
          <w:rFonts w:ascii="Times New Roman" w:hAnsi="Times New Roman" w:hint="default"/>
          <w:b/>
          <w:sz w:val="24"/>
        </w:rPr>
      </w:lvl>
    </w:lvlOverride>
    <w:lvlOverride w:ilvl="3">
      <w:lvl w:ilvl="3">
        <w:start w:val="1"/>
        <w:numFmt w:val="decimal"/>
        <w:lvlText w:val="%1.%2.%3.%4."/>
        <w:lvlJc w:val="left"/>
        <w:pPr>
          <w:ind w:left="864" w:hanging="864"/>
        </w:pPr>
        <w:rPr>
          <w:rFonts w:ascii="Times New Roman" w:hAnsi="Times New Roman" w:hint="default"/>
          <w:b/>
          <w:i/>
          <w:sz w:val="24"/>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9"/>
    <w:lvlOverride w:ilvl="0">
      <w:lvl w:ilvl="0" w:tplc="A3021FEA">
        <w:start w:val="1"/>
        <w:numFmt w:val="decimal"/>
        <w:lvlText w:val="Table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
  </w:num>
  <w:num w:numId="10">
    <w:abstractNumId w:val="17"/>
  </w:num>
  <w:num w:numId="11">
    <w:abstractNumId w:val="0"/>
  </w:num>
  <w:num w:numId="12">
    <w:abstractNumId w:val="18"/>
  </w:num>
  <w:num w:numId="13">
    <w:abstractNumId w:val="2"/>
  </w:num>
  <w:num w:numId="14">
    <w:abstractNumId w:val="15"/>
  </w:num>
  <w:num w:numId="15">
    <w:abstractNumId w:val="8"/>
  </w:num>
  <w:num w:numId="16">
    <w:abstractNumId w:val="12"/>
  </w:num>
  <w:num w:numId="17">
    <w:abstractNumId w:val="4"/>
  </w:num>
  <w:num w:numId="18">
    <w:abstractNumId w:val="6"/>
  </w:num>
  <w:num w:numId="19">
    <w:abstractNumId w:val="13"/>
  </w:num>
  <w:num w:numId="20">
    <w:abstractNumId w:val="5"/>
  </w:num>
  <w:num w:numId="21">
    <w:abstractNumId w:val="16"/>
  </w:num>
  <w:num w:numId="22">
    <w:abstractNumId w:val="3"/>
  </w:num>
  <w:num w:numId="23">
    <w:abstractNumId w:val="11"/>
  </w:num>
  <w:num w:numId="24">
    <w:abstractNumId w:val="20"/>
  </w:num>
  <w:num w:numId="25">
    <w:abstractNumId w:val="21"/>
  </w:num>
  <w:num w:numId="26">
    <w:abstractNumId w:val="14"/>
  </w:num>
  <w:num w:numId="27">
    <w:abstractNumId w:val="9"/>
  </w:num>
  <w:num w:numId="28">
    <w:abstractNumId w:val="7"/>
  </w:num>
  <w:num w:numId="2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ascii="Arial" w:hAnsi="Arial" w:cstheme="majorBidi" w:hint="default"/>
          <w:b/>
          <w:bCs w:val="0"/>
          <w:i w:val="0"/>
          <w:iCs w:val="0"/>
          <w:color w:val="auto"/>
          <w:sz w:val="20"/>
          <w:szCs w:val="20"/>
          <w:u w:val="thick"/>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77"/>
    <w:rsid w:val="00055718"/>
    <w:rsid w:val="00056BEE"/>
    <w:rsid w:val="00060B3A"/>
    <w:rsid w:val="0008159E"/>
    <w:rsid w:val="000C2F09"/>
    <w:rsid w:val="000D68E2"/>
    <w:rsid w:val="000E7CB8"/>
    <w:rsid w:val="00115F96"/>
    <w:rsid w:val="00132B5A"/>
    <w:rsid w:val="00134A89"/>
    <w:rsid w:val="00144907"/>
    <w:rsid w:val="00156F62"/>
    <w:rsid w:val="00171A00"/>
    <w:rsid w:val="00173325"/>
    <w:rsid w:val="00187AF0"/>
    <w:rsid w:val="001A697C"/>
    <w:rsid w:val="001B6525"/>
    <w:rsid w:val="001D0AFC"/>
    <w:rsid w:val="001D6A0A"/>
    <w:rsid w:val="001F7773"/>
    <w:rsid w:val="00202E9C"/>
    <w:rsid w:val="00203E95"/>
    <w:rsid w:val="002312B6"/>
    <w:rsid w:val="002467C8"/>
    <w:rsid w:val="00261702"/>
    <w:rsid w:val="00261B42"/>
    <w:rsid w:val="0028438C"/>
    <w:rsid w:val="0028455F"/>
    <w:rsid w:val="00286B54"/>
    <w:rsid w:val="002C27D7"/>
    <w:rsid w:val="002D3523"/>
    <w:rsid w:val="002E32D8"/>
    <w:rsid w:val="0030092A"/>
    <w:rsid w:val="003011DE"/>
    <w:rsid w:val="0032585D"/>
    <w:rsid w:val="003402BA"/>
    <w:rsid w:val="00351C3D"/>
    <w:rsid w:val="00363F00"/>
    <w:rsid w:val="003865FE"/>
    <w:rsid w:val="003B1DCA"/>
    <w:rsid w:val="003D0152"/>
    <w:rsid w:val="00400C7D"/>
    <w:rsid w:val="00404BCD"/>
    <w:rsid w:val="004314E6"/>
    <w:rsid w:val="0045066B"/>
    <w:rsid w:val="004540C3"/>
    <w:rsid w:val="00464C67"/>
    <w:rsid w:val="00470269"/>
    <w:rsid w:val="00482A66"/>
    <w:rsid w:val="004B3F89"/>
    <w:rsid w:val="004B70FF"/>
    <w:rsid w:val="004C475C"/>
    <w:rsid w:val="004D65A8"/>
    <w:rsid w:val="004F5D39"/>
    <w:rsid w:val="005138B6"/>
    <w:rsid w:val="00556618"/>
    <w:rsid w:val="00582D4D"/>
    <w:rsid w:val="00585277"/>
    <w:rsid w:val="005916F7"/>
    <w:rsid w:val="005971D9"/>
    <w:rsid w:val="005C5AAF"/>
    <w:rsid w:val="005D3967"/>
    <w:rsid w:val="005E6089"/>
    <w:rsid w:val="00603B1E"/>
    <w:rsid w:val="00623B41"/>
    <w:rsid w:val="00625B5F"/>
    <w:rsid w:val="006725DC"/>
    <w:rsid w:val="00675336"/>
    <w:rsid w:val="006778CD"/>
    <w:rsid w:val="00677930"/>
    <w:rsid w:val="00677F2F"/>
    <w:rsid w:val="006C4D50"/>
    <w:rsid w:val="006E128C"/>
    <w:rsid w:val="006E6A91"/>
    <w:rsid w:val="0073120D"/>
    <w:rsid w:val="00732B3B"/>
    <w:rsid w:val="00742FD5"/>
    <w:rsid w:val="00750192"/>
    <w:rsid w:val="00770A52"/>
    <w:rsid w:val="007749A3"/>
    <w:rsid w:val="00785A41"/>
    <w:rsid w:val="007D3F8E"/>
    <w:rsid w:val="007F7B50"/>
    <w:rsid w:val="008324BA"/>
    <w:rsid w:val="00851BF6"/>
    <w:rsid w:val="00853CFB"/>
    <w:rsid w:val="00863354"/>
    <w:rsid w:val="00883006"/>
    <w:rsid w:val="0089273D"/>
    <w:rsid w:val="008B2ADE"/>
    <w:rsid w:val="008C5088"/>
    <w:rsid w:val="008F5138"/>
    <w:rsid w:val="009350C5"/>
    <w:rsid w:val="0094590C"/>
    <w:rsid w:val="009978C0"/>
    <w:rsid w:val="009C573C"/>
    <w:rsid w:val="009C71F7"/>
    <w:rsid w:val="009D1667"/>
    <w:rsid w:val="009D2A35"/>
    <w:rsid w:val="00A03066"/>
    <w:rsid w:val="00A10274"/>
    <w:rsid w:val="00A30E9E"/>
    <w:rsid w:val="00A3207D"/>
    <w:rsid w:val="00A431C1"/>
    <w:rsid w:val="00A55CC3"/>
    <w:rsid w:val="00A721D5"/>
    <w:rsid w:val="00AE5FE4"/>
    <w:rsid w:val="00B12610"/>
    <w:rsid w:val="00B33136"/>
    <w:rsid w:val="00B643D3"/>
    <w:rsid w:val="00B73F7B"/>
    <w:rsid w:val="00BD4634"/>
    <w:rsid w:val="00C11098"/>
    <w:rsid w:val="00C12D20"/>
    <w:rsid w:val="00C93DC1"/>
    <w:rsid w:val="00CB1690"/>
    <w:rsid w:val="00CD7328"/>
    <w:rsid w:val="00D043FC"/>
    <w:rsid w:val="00D14CF0"/>
    <w:rsid w:val="00D57A31"/>
    <w:rsid w:val="00D57FA7"/>
    <w:rsid w:val="00D728D1"/>
    <w:rsid w:val="00D81918"/>
    <w:rsid w:val="00DC387B"/>
    <w:rsid w:val="00DD11E1"/>
    <w:rsid w:val="00DF5BE6"/>
    <w:rsid w:val="00E07432"/>
    <w:rsid w:val="00E3352C"/>
    <w:rsid w:val="00E70547"/>
    <w:rsid w:val="00E7085B"/>
    <w:rsid w:val="00E87336"/>
    <w:rsid w:val="00EA09C5"/>
    <w:rsid w:val="00EB28D4"/>
    <w:rsid w:val="00EE220A"/>
    <w:rsid w:val="00EF689C"/>
    <w:rsid w:val="00F122FA"/>
    <w:rsid w:val="00F24247"/>
    <w:rsid w:val="00F6147F"/>
    <w:rsid w:val="00F728F7"/>
    <w:rsid w:val="00F815FF"/>
    <w:rsid w:val="00FD0C6A"/>
    <w:rsid w:val="00FF43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A9DB41"/>
  <w15:chartTrackingRefBased/>
  <w15:docId w15:val="{82824523-3DBA-490C-BC0E-02243308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8527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58527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8527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85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7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58527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8527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85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277"/>
    <w:rPr>
      <w:rFonts w:eastAsiaTheme="majorEastAsia" w:cstheme="majorBidi"/>
      <w:color w:val="272727" w:themeColor="text1" w:themeTint="D8"/>
    </w:rPr>
  </w:style>
  <w:style w:type="paragraph" w:styleId="Title">
    <w:name w:val="Title"/>
    <w:basedOn w:val="Normal"/>
    <w:next w:val="Normal"/>
    <w:link w:val="TitleChar"/>
    <w:uiPriority w:val="10"/>
    <w:qFormat/>
    <w:rsid w:val="0058527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8527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8527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8527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85277"/>
    <w:pPr>
      <w:spacing w:before="160"/>
      <w:jc w:val="center"/>
    </w:pPr>
    <w:rPr>
      <w:i/>
      <w:iCs/>
      <w:color w:val="404040" w:themeColor="text1" w:themeTint="BF"/>
    </w:rPr>
  </w:style>
  <w:style w:type="character" w:customStyle="1" w:styleId="QuoteChar">
    <w:name w:val="Quote Char"/>
    <w:basedOn w:val="DefaultParagraphFont"/>
    <w:link w:val="Quote"/>
    <w:uiPriority w:val="29"/>
    <w:rsid w:val="00585277"/>
    <w:rPr>
      <w:rFonts w:cs="Mangal"/>
      <w:i/>
      <w:iCs/>
      <w:color w:val="404040" w:themeColor="text1" w:themeTint="BF"/>
    </w:rPr>
  </w:style>
  <w:style w:type="paragraph" w:styleId="ListParagraph">
    <w:name w:val="List Paragraph"/>
    <w:basedOn w:val="Normal"/>
    <w:uiPriority w:val="34"/>
    <w:qFormat/>
    <w:rsid w:val="00585277"/>
    <w:pPr>
      <w:ind w:left="720"/>
      <w:contextualSpacing/>
    </w:pPr>
  </w:style>
  <w:style w:type="character" w:styleId="IntenseEmphasis">
    <w:name w:val="Intense Emphasis"/>
    <w:basedOn w:val="DefaultParagraphFont"/>
    <w:uiPriority w:val="21"/>
    <w:qFormat/>
    <w:rsid w:val="00585277"/>
    <w:rPr>
      <w:i/>
      <w:iCs/>
      <w:color w:val="0F4761" w:themeColor="accent1" w:themeShade="BF"/>
    </w:rPr>
  </w:style>
  <w:style w:type="paragraph" w:styleId="IntenseQuote">
    <w:name w:val="Intense Quote"/>
    <w:basedOn w:val="Normal"/>
    <w:next w:val="Normal"/>
    <w:link w:val="IntenseQuoteChar"/>
    <w:uiPriority w:val="30"/>
    <w:qFormat/>
    <w:rsid w:val="00585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277"/>
    <w:rPr>
      <w:rFonts w:cs="Mangal"/>
      <w:i/>
      <w:iCs/>
      <w:color w:val="0F4761" w:themeColor="accent1" w:themeShade="BF"/>
    </w:rPr>
  </w:style>
  <w:style w:type="character" w:styleId="IntenseReference">
    <w:name w:val="Intense Reference"/>
    <w:basedOn w:val="DefaultParagraphFont"/>
    <w:uiPriority w:val="32"/>
    <w:qFormat/>
    <w:rsid w:val="00585277"/>
    <w:rPr>
      <w:b/>
      <w:bCs/>
      <w:smallCaps/>
      <w:color w:val="0F4761" w:themeColor="accent1" w:themeShade="BF"/>
      <w:spacing w:val="5"/>
    </w:rPr>
  </w:style>
  <w:style w:type="character" w:styleId="Hyperlink">
    <w:name w:val="Hyperlink"/>
    <w:basedOn w:val="DefaultParagraphFont"/>
    <w:uiPriority w:val="99"/>
    <w:unhideWhenUsed/>
    <w:rsid w:val="00585277"/>
    <w:rPr>
      <w:color w:val="467886" w:themeColor="hyperlink"/>
      <w:u w:val="single"/>
    </w:rPr>
  </w:style>
  <w:style w:type="paragraph" w:styleId="NormalWeb">
    <w:name w:val="Normal (Web)"/>
    <w:basedOn w:val="Normal"/>
    <w:uiPriority w:val="99"/>
    <w:unhideWhenUsed/>
    <w:rsid w:val="00585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C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C50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8C5088"/>
    <w:rPr>
      <w:color w:val="96607D"/>
      <w:u w:val="single"/>
    </w:rPr>
  </w:style>
  <w:style w:type="paragraph" w:customStyle="1" w:styleId="msonormal0">
    <w:name w:val="msonormal"/>
    <w:basedOn w:val="Normal"/>
    <w:rsid w:val="008C5088"/>
    <w:pP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5">
    <w:name w:val="xl65"/>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IN"/>
      <w14:ligatures w14:val="none"/>
    </w:rPr>
  </w:style>
  <w:style w:type="paragraph" w:customStyle="1" w:styleId="xl66">
    <w:name w:val="xl66"/>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7">
    <w:name w:val="xl67"/>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8">
    <w:name w:val="xl68"/>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9">
    <w:name w:val="xl69"/>
    <w:basedOn w:val="Normal"/>
    <w:rsid w:val="008C5088"/>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70">
    <w:name w:val="xl70"/>
    <w:basedOn w:val="Normal"/>
    <w:rsid w:val="008C5088"/>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71">
    <w:name w:val="xl71"/>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8"/>
      <w:szCs w:val="18"/>
      <w:lang w:val="en-IN"/>
      <w14:ligatures w14:val="none"/>
    </w:rPr>
  </w:style>
  <w:style w:type="paragraph" w:customStyle="1" w:styleId="xl72">
    <w:name w:val="xl72"/>
    <w:basedOn w:val="Normal"/>
    <w:rsid w:val="008C5088"/>
    <w:pPr>
      <w:spacing w:before="100" w:beforeAutospacing="1" w:after="100" w:afterAutospacing="1" w:line="240" w:lineRule="auto"/>
    </w:pPr>
    <w:rPr>
      <w:rFonts w:ascii="Times New Roman" w:eastAsia="Times New Roman" w:hAnsi="Times New Roman" w:cs="Times New Roman"/>
      <w:i/>
      <w:iCs/>
      <w:kern w:val="0"/>
      <w:sz w:val="24"/>
      <w:szCs w:val="24"/>
      <w:lang w:val="en-IN"/>
      <w14:ligatures w14:val="none"/>
    </w:rPr>
  </w:style>
  <w:style w:type="paragraph" w:styleId="Header">
    <w:name w:val="header"/>
    <w:basedOn w:val="Normal"/>
    <w:link w:val="HeaderChar"/>
    <w:uiPriority w:val="99"/>
    <w:unhideWhenUsed/>
    <w:rsid w:val="008C5088"/>
    <w:pPr>
      <w:tabs>
        <w:tab w:val="center" w:pos="4680"/>
        <w:tab w:val="right" w:pos="9360"/>
      </w:tabs>
      <w:spacing w:after="0" w:line="240" w:lineRule="auto"/>
    </w:pPr>
    <w:rPr>
      <w:rFonts w:cstheme="minorBidi"/>
      <w:lang w:val="en-IN"/>
    </w:rPr>
  </w:style>
  <w:style w:type="character" w:customStyle="1" w:styleId="HeaderChar">
    <w:name w:val="Header Char"/>
    <w:basedOn w:val="DefaultParagraphFont"/>
    <w:link w:val="Header"/>
    <w:uiPriority w:val="99"/>
    <w:rsid w:val="008C5088"/>
    <w:rPr>
      <w:lang w:val="en-IN"/>
    </w:rPr>
  </w:style>
  <w:style w:type="paragraph" w:styleId="Footer">
    <w:name w:val="footer"/>
    <w:basedOn w:val="Normal"/>
    <w:link w:val="FooterChar"/>
    <w:uiPriority w:val="99"/>
    <w:unhideWhenUsed/>
    <w:rsid w:val="008C5088"/>
    <w:pPr>
      <w:tabs>
        <w:tab w:val="center" w:pos="4680"/>
        <w:tab w:val="right" w:pos="9360"/>
      </w:tabs>
      <w:spacing w:after="0" w:line="240" w:lineRule="auto"/>
    </w:pPr>
    <w:rPr>
      <w:rFonts w:cstheme="minorBidi"/>
      <w:lang w:val="en-IN"/>
    </w:rPr>
  </w:style>
  <w:style w:type="character" w:customStyle="1" w:styleId="FooterChar">
    <w:name w:val="Footer Char"/>
    <w:basedOn w:val="DefaultParagraphFont"/>
    <w:link w:val="Footer"/>
    <w:uiPriority w:val="99"/>
    <w:rsid w:val="008C5088"/>
    <w:rPr>
      <w:lang w:val="en-IN"/>
    </w:rPr>
  </w:style>
  <w:style w:type="paragraph" w:customStyle="1" w:styleId="xl64">
    <w:name w:val="xl64"/>
    <w:basedOn w:val="Normal"/>
    <w:rsid w:val="003402BA"/>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778CD"/>
    <w:rPr>
      <w:color w:val="605E5C"/>
      <w:shd w:val="clear" w:color="auto" w:fill="E1DFDD"/>
    </w:rPr>
  </w:style>
  <w:style w:type="numbering" w:customStyle="1" w:styleId="Style1">
    <w:name w:val="Style1"/>
    <w:uiPriority w:val="99"/>
    <w:rsid w:val="00AE5FE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4474">
      <w:bodyDiv w:val="1"/>
      <w:marLeft w:val="0"/>
      <w:marRight w:val="0"/>
      <w:marTop w:val="0"/>
      <w:marBottom w:val="0"/>
      <w:divBdr>
        <w:top w:val="none" w:sz="0" w:space="0" w:color="auto"/>
        <w:left w:val="none" w:sz="0" w:space="0" w:color="auto"/>
        <w:bottom w:val="none" w:sz="0" w:space="0" w:color="auto"/>
        <w:right w:val="none" w:sz="0" w:space="0" w:color="auto"/>
      </w:divBdr>
    </w:div>
    <w:div w:id="77791888">
      <w:bodyDiv w:val="1"/>
      <w:marLeft w:val="0"/>
      <w:marRight w:val="0"/>
      <w:marTop w:val="0"/>
      <w:marBottom w:val="0"/>
      <w:divBdr>
        <w:top w:val="none" w:sz="0" w:space="0" w:color="auto"/>
        <w:left w:val="none" w:sz="0" w:space="0" w:color="auto"/>
        <w:bottom w:val="none" w:sz="0" w:space="0" w:color="auto"/>
        <w:right w:val="none" w:sz="0" w:space="0" w:color="auto"/>
      </w:divBdr>
    </w:div>
    <w:div w:id="383676124">
      <w:bodyDiv w:val="1"/>
      <w:marLeft w:val="0"/>
      <w:marRight w:val="0"/>
      <w:marTop w:val="0"/>
      <w:marBottom w:val="0"/>
      <w:divBdr>
        <w:top w:val="none" w:sz="0" w:space="0" w:color="auto"/>
        <w:left w:val="none" w:sz="0" w:space="0" w:color="auto"/>
        <w:bottom w:val="none" w:sz="0" w:space="0" w:color="auto"/>
        <w:right w:val="none" w:sz="0" w:space="0" w:color="auto"/>
      </w:divBdr>
    </w:div>
    <w:div w:id="408314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007">
          <w:marLeft w:val="0"/>
          <w:marRight w:val="0"/>
          <w:marTop w:val="0"/>
          <w:marBottom w:val="0"/>
          <w:divBdr>
            <w:top w:val="none" w:sz="0" w:space="0" w:color="auto"/>
            <w:left w:val="none" w:sz="0" w:space="0" w:color="auto"/>
            <w:bottom w:val="none" w:sz="0" w:space="0" w:color="auto"/>
            <w:right w:val="none" w:sz="0" w:space="0" w:color="auto"/>
          </w:divBdr>
          <w:divsChild>
            <w:div w:id="15279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1163">
      <w:bodyDiv w:val="1"/>
      <w:marLeft w:val="0"/>
      <w:marRight w:val="0"/>
      <w:marTop w:val="0"/>
      <w:marBottom w:val="0"/>
      <w:divBdr>
        <w:top w:val="none" w:sz="0" w:space="0" w:color="auto"/>
        <w:left w:val="none" w:sz="0" w:space="0" w:color="auto"/>
        <w:bottom w:val="none" w:sz="0" w:space="0" w:color="auto"/>
        <w:right w:val="none" w:sz="0" w:space="0" w:color="auto"/>
      </w:divBdr>
    </w:div>
    <w:div w:id="635381157">
      <w:bodyDiv w:val="1"/>
      <w:marLeft w:val="0"/>
      <w:marRight w:val="0"/>
      <w:marTop w:val="0"/>
      <w:marBottom w:val="0"/>
      <w:divBdr>
        <w:top w:val="none" w:sz="0" w:space="0" w:color="auto"/>
        <w:left w:val="none" w:sz="0" w:space="0" w:color="auto"/>
        <w:bottom w:val="none" w:sz="0" w:space="0" w:color="auto"/>
        <w:right w:val="none" w:sz="0" w:space="0" w:color="auto"/>
      </w:divBdr>
    </w:div>
    <w:div w:id="745222396">
      <w:bodyDiv w:val="1"/>
      <w:marLeft w:val="0"/>
      <w:marRight w:val="0"/>
      <w:marTop w:val="0"/>
      <w:marBottom w:val="0"/>
      <w:divBdr>
        <w:top w:val="none" w:sz="0" w:space="0" w:color="auto"/>
        <w:left w:val="none" w:sz="0" w:space="0" w:color="auto"/>
        <w:bottom w:val="none" w:sz="0" w:space="0" w:color="auto"/>
        <w:right w:val="none" w:sz="0" w:space="0" w:color="auto"/>
      </w:divBdr>
    </w:div>
    <w:div w:id="890771664">
      <w:bodyDiv w:val="1"/>
      <w:marLeft w:val="0"/>
      <w:marRight w:val="0"/>
      <w:marTop w:val="0"/>
      <w:marBottom w:val="0"/>
      <w:divBdr>
        <w:top w:val="none" w:sz="0" w:space="0" w:color="auto"/>
        <w:left w:val="none" w:sz="0" w:space="0" w:color="auto"/>
        <w:bottom w:val="none" w:sz="0" w:space="0" w:color="auto"/>
        <w:right w:val="none" w:sz="0" w:space="0" w:color="auto"/>
      </w:divBdr>
    </w:div>
    <w:div w:id="920065544">
      <w:bodyDiv w:val="1"/>
      <w:marLeft w:val="0"/>
      <w:marRight w:val="0"/>
      <w:marTop w:val="0"/>
      <w:marBottom w:val="0"/>
      <w:divBdr>
        <w:top w:val="none" w:sz="0" w:space="0" w:color="auto"/>
        <w:left w:val="none" w:sz="0" w:space="0" w:color="auto"/>
        <w:bottom w:val="none" w:sz="0" w:space="0" w:color="auto"/>
        <w:right w:val="none" w:sz="0" w:space="0" w:color="auto"/>
      </w:divBdr>
    </w:div>
    <w:div w:id="1014307506">
      <w:bodyDiv w:val="1"/>
      <w:marLeft w:val="0"/>
      <w:marRight w:val="0"/>
      <w:marTop w:val="0"/>
      <w:marBottom w:val="0"/>
      <w:divBdr>
        <w:top w:val="none" w:sz="0" w:space="0" w:color="auto"/>
        <w:left w:val="none" w:sz="0" w:space="0" w:color="auto"/>
        <w:bottom w:val="none" w:sz="0" w:space="0" w:color="auto"/>
        <w:right w:val="none" w:sz="0" w:space="0" w:color="auto"/>
      </w:divBdr>
    </w:div>
    <w:div w:id="1116488693">
      <w:bodyDiv w:val="1"/>
      <w:marLeft w:val="0"/>
      <w:marRight w:val="0"/>
      <w:marTop w:val="0"/>
      <w:marBottom w:val="0"/>
      <w:divBdr>
        <w:top w:val="none" w:sz="0" w:space="0" w:color="auto"/>
        <w:left w:val="none" w:sz="0" w:space="0" w:color="auto"/>
        <w:bottom w:val="none" w:sz="0" w:space="0" w:color="auto"/>
        <w:right w:val="none" w:sz="0" w:space="0" w:color="auto"/>
      </w:divBdr>
    </w:div>
    <w:div w:id="1180316471">
      <w:bodyDiv w:val="1"/>
      <w:marLeft w:val="0"/>
      <w:marRight w:val="0"/>
      <w:marTop w:val="0"/>
      <w:marBottom w:val="0"/>
      <w:divBdr>
        <w:top w:val="none" w:sz="0" w:space="0" w:color="auto"/>
        <w:left w:val="none" w:sz="0" w:space="0" w:color="auto"/>
        <w:bottom w:val="none" w:sz="0" w:space="0" w:color="auto"/>
        <w:right w:val="none" w:sz="0" w:space="0" w:color="auto"/>
      </w:divBdr>
    </w:div>
    <w:div w:id="1237059717">
      <w:bodyDiv w:val="1"/>
      <w:marLeft w:val="0"/>
      <w:marRight w:val="0"/>
      <w:marTop w:val="0"/>
      <w:marBottom w:val="0"/>
      <w:divBdr>
        <w:top w:val="none" w:sz="0" w:space="0" w:color="auto"/>
        <w:left w:val="none" w:sz="0" w:space="0" w:color="auto"/>
        <w:bottom w:val="none" w:sz="0" w:space="0" w:color="auto"/>
        <w:right w:val="none" w:sz="0" w:space="0" w:color="auto"/>
      </w:divBdr>
    </w:div>
    <w:div w:id="1240092118">
      <w:bodyDiv w:val="1"/>
      <w:marLeft w:val="0"/>
      <w:marRight w:val="0"/>
      <w:marTop w:val="0"/>
      <w:marBottom w:val="0"/>
      <w:divBdr>
        <w:top w:val="none" w:sz="0" w:space="0" w:color="auto"/>
        <w:left w:val="none" w:sz="0" w:space="0" w:color="auto"/>
        <w:bottom w:val="none" w:sz="0" w:space="0" w:color="auto"/>
        <w:right w:val="none" w:sz="0" w:space="0" w:color="auto"/>
      </w:divBdr>
    </w:div>
    <w:div w:id="1310867502">
      <w:bodyDiv w:val="1"/>
      <w:marLeft w:val="0"/>
      <w:marRight w:val="0"/>
      <w:marTop w:val="0"/>
      <w:marBottom w:val="0"/>
      <w:divBdr>
        <w:top w:val="none" w:sz="0" w:space="0" w:color="auto"/>
        <w:left w:val="none" w:sz="0" w:space="0" w:color="auto"/>
        <w:bottom w:val="none" w:sz="0" w:space="0" w:color="auto"/>
        <w:right w:val="none" w:sz="0" w:space="0" w:color="auto"/>
      </w:divBdr>
    </w:div>
    <w:div w:id="1396397131">
      <w:bodyDiv w:val="1"/>
      <w:marLeft w:val="0"/>
      <w:marRight w:val="0"/>
      <w:marTop w:val="0"/>
      <w:marBottom w:val="0"/>
      <w:divBdr>
        <w:top w:val="none" w:sz="0" w:space="0" w:color="auto"/>
        <w:left w:val="none" w:sz="0" w:space="0" w:color="auto"/>
        <w:bottom w:val="none" w:sz="0" w:space="0" w:color="auto"/>
        <w:right w:val="none" w:sz="0" w:space="0" w:color="auto"/>
      </w:divBdr>
    </w:div>
    <w:div w:id="1400590658">
      <w:bodyDiv w:val="1"/>
      <w:marLeft w:val="0"/>
      <w:marRight w:val="0"/>
      <w:marTop w:val="0"/>
      <w:marBottom w:val="0"/>
      <w:divBdr>
        <w:top w:val="none" w:sz="0" w:space="0" w:color="auto"/>
        <w:left w:val="none" w:sz="0" w:space="0" w:color="auto"/>
        <w:bottom w:val="none" w:sz="0" w:space="0" w:color="auto"/>
        <w:right w:val="none" w:sz="0" w:space="0" w:color="auto"/>
      </w:divBdr>
    </w:div>
    <w:div w:id="1471511912">
      <w:bodyDiv w:val="1"/>
      <w:marLeft w:val="0"/>
      <w:marRight w:val="0"/>
      <w:marTop w:val="0"/>
      <w:marBottom w:val="0"/>
      <w:divBdr>
        <w:top w:val="none" w:sz="0" w:space="0" w:color="auto"/>
        <w:left w:val="none" w:sz="0" w:space="0" w:color="auto"/>
        <w:bottom w:val="none" w:sz="0" w:space="0" w:color="auto"/>
        <w:right w:val="none" w:sz="0" w:space="0" w:color="auto"/>
      </w:divBdr>
    </w:div>
    <w:div w:id="1472017477">
      <w:bodyDiv w:val="1"/>
      <w:marLeft w:val="0"/>
      <w:marRight w:val="0"/>
      <w:marTop w:val="0"/>
      <w:marBottom w:val="0"/>
      <w:divBdr>
        <w:top w:val="none" w:sz="0" w:space="0" w:color="auto"/>
        <w:left w:val="none" w:sz="0" w:space="0" w:color="auto"/>
        <w:bottom w:val="none" w:sz="0" w:space="0" w:color="auto"/>
        <w:right w:val="none" w:sz="0" w:space="0" w:color="auto"/>
      </w:divBdr>
    </w:div>
    <w:div w:id="1492714645">
      <w:bodyDiv w:val="1"/>
      <w:marLeft w:val="0"/>
      <w:marRight w:val="0"/>
      <w:marTop w:val="0"/>
      <w:marBottom w:val="0"/>
      <w:divBdr>
        <w:top w:val="none" w:sz="0" w:space="0" w:color="auto"/>
        <w:left w:val="none" w:sz="0" w:space="0" w:color="auto"/>
        <w:bottom w:val="none" w:sz="0" w:space="0" w:color="auto"/>
        <w:right w:val="none" w:sz="0" w:space="0" w:color="auto"/>
      </w:divBdr>
    </w:div>
    <w:div w:id="1881165572">
      <w:bodyDiv w:val="1"/>
      <w:marLeft w:val="0"/>
      <w:marRight w:val="0"/>
      <w:marTop w:val="0"/>
      <w:marBottom w:val="0"/>
      <w:divBdr>
        <w:top w:val="none" w:sz="0" w:space="0" w:color="auto"/>
        <w:left w:val="none" w:sz="0" w:space="0" w:color="auto"/>
        <w:bottom w:val="none" w:sz="0" w:space="0" w:color="auto"/>
        <w:right w:val="none" w:sz="0" w:space="0" w:color="auto"/>
      </w:divBdr>
    </w:div>
    <w:div w:id="1890609924">
      <w:bodyDiv w:val="1"/>
      <w:marLeft w:val="0"/>
      <w:marRight w:val="0"/>
      <w:marTop w:val="0"/>
      <w:marBottom w:val="0"/>
      <w:divBdr>
        <w:top w:val="none" w:sz="0" w:space="0" w:color="auto"/>
        <w:left w:val="none" w:sz="0" w:space="0" w:color="auto"/>
        <w:bottom w:val="none" w:sz="0" w:space="0" w:color="auto"/>
        <w:right w:val="none" w:sz="0" w:space="0" w:color="auto"/>
      </w:divBdr>
    </w:div>
    <w:div w:id="1893884194">
      <w:bodyDiv w:val="1"/>
      <w:marLeft w:val="0"/>
      <w:marRight w:val="0"/>
      <w:marTop w:val="0"/>
      <w:marBottom w:val="0"/>
      <w:divBdr>
        <w:top w:val="none" w:sz="0" w:space="0" w:color="auto"/>
        <w:left w:val="none" w:sz="0" w:space="0" w:color="auto"/>
        <w:bottom w:val="none" w:sz="0" w:space="0" w:color="auto"/>
        <w:right w:val="none" w:sz="0" w:space="0" w:color="auto"/>
      </w:divBdr>
    </w:div>
    <w:div w:id="1971865084">
      <w:bodyDiv w:val="1"/>
      <w:marLeft w:val="0"/>
      <w:marRight w:val="0"/>
      <w:marTop w:val="0"/>
      <w:marBottom w:val="0"/>
      <w:divBdr>
        <w:top w:val="none" w:sz="0" w:space="0" w:color="auto"/>
        <w:left w:val="none" w:sz="0" w:space="0" w:color="auto"/>
        <w:bottom w:val="none" w:sz="0" w:space="0" w:color="auto"/>
        <w:right w:val="none" w:sz="0" w:space="0" w:color="auto"/>
      </w:divBdr>
    </w:div>
    <w:div w:id="2038921515">
      <w:bodyDiv w:val="1"/>
      <w:marLeft w:val="0"/>
      <w:marRight w:val="0"/>
      <w:marTop w:val="0"/>
      <w:marBottom w:val="0"/>
      <w:divBdr>
        <w:top w:val="none" w:sz="0" w:space="0" w:color="auto"/>
        <w:left w:val="none" w:sz="0" w:space="0" w:color="auto"/>
        <w:bottom w:val="none" w:sz="0" w:space="0" w:color="auto"/>
        <w:right w:val="none" w:sz="0" w:space="0" w:color="auto"/>
      </w:divBdr>
      <w:divsChild>
        <w:div w:id="968971103">
          <w:marLeft w:val="0"/>
          <w:marRight w:val="0"/>
          <w:marTop w:val="0"/>
          <w:marBottom w:val="0"/>
          <w:divBdr>
            <w:top w:val="none" w:sz="0" w:space="0" w:color="auto"/>
            <w:left w:val="none" w:sz="0" w:space="0" w:color="auto"/>
            <w:bottom w:val="none" w:sz="0" w:space="0" w:color="auto"/>
            <w:right w:val="none" w:sz="0" w:space="0" w:color="auto"/>
          </w:divBdr>
          <w:divsChild>
            <w:div w:id="11113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46/j.1365-2427.1998.00381.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bpages.uidaho.edu/veg_measure/modules/lessons/module%209(composition&amp;diversity)/9_3_Estimating%20Biodiversity.ht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E3EC-5502-46CA-B464-B0A61A51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6017</Words>
  <Characters>34301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srchoudhury</dc:creator>
  <cp:keywords/>
  <dc:description/>
  <cp:lastModifiedBy>SDI 1084</cp:lastModifiedBy>
  <cp:revision>10</cp:revision>
  <cp:lastPrinted>2025-03-12T05:34:00Z</cp:lastPrinted>
  <dcterms:created xsi:type="dcterms:W3CDTF">2025-03-13T05:19:00Z</dcterms:created>
  <dcterms:modified xsi:type="dcterms:W3CDTF">2025-03-13T11:51:00Z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9c1e0175-228c-44a6-abca-1ecd5acb2b32</vt:lpwstr>
  </property>
</Properties>
</file>