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F9A917D" w14:textId="77777777" w:rsidR="001F48CA" w:rsidRDefault="00000000">
      <w:pPr>
        <w:spacing w:line="360" w:lineRule="auto"/>
        <w:jc w:val="center"/>
        <w:rPr>
          <w:rFonts w:ascii="Times New Roman" w:hAnsi="Times New Roman"/>
          <w:b/>
          <w:bCs/>
          <w:sz w:val="24"/>
          <w:szCs w:val="24"/>
        </w:rPr>
      </w:pPr>
      <w:r>
        <w:rPr>
          <w:rFonts w:ascii="Times New Roman" w:hAnsi="Times New Roman"/>
          <w:b/>
          <w:bCs/>
          <w:sz w:val="24"/>
          <w:szCs w:val="24"/>
        </w:rPr>
        <w:t>OWNERSHIP STRUCTURE AND FINANCIAL REPORTING QUALITY OF LISTED CONSUMERS GOODS COMPANIES IN NIGERIA</w:t>
      </w:r>
    </w:p>
    <w:p w14:paraId="08F2841A" w14:textId="77777777" w:rsidR="00C1723F" w:rsidRDefault="00C1723F">
      <w:pPr>
        <w:spacing w:line="360" w:lineRule="auto"/>
        <w:jc w:val="center"/>
        <w:rPr>
          <w:rFonts w:ascii="Times New Roman" w:hAnsi="Times New Roman"/>
          <w:b/>
          <w:bCs/>
          <w:sz w:val="24"/>
          <w:szCs w:val="24"/>
        </w:rPr>
      </w:pPr>
    </w:p>
    <w:p w14:paraId="47339A0E" w14:textId="30F89B40" w:rsidR="001F48CA" w:rsidRDefault="00000000" w:rsidP="003F1EF4">
      <w:pPr>
        <w:spacing w:line="360" w:lineRule="auto"/>
        <w:jc w:val="center"/>
        <w:rPr>
          <w:rFonts w:ascii="Times New Roman" w:hAnsi="Times New Roman"/>
          <w:b/>
          <w:bCs/>
          <w:sz w:val="24"/>
          <w:szCs w:val="24"/>
        </w:rPr>
      </w:pPr>
      <w:r>
        <w:rPr>
          <w:rFonts w:ascii="Times New Roman" w:hAnsi="Times New Roman"/>
          <w:b/>
          <w:bCs/>
          <w:sz w:val="24"/>
          <w:szCs w:val="24"/>
        </w:rPr>
        <w:t xml:space="preserve"> </w:t>
      </w:r>
    </w:p>
    <w:p w14:paraId="7CB13391" w14:textId="77777777" w:rsidR="001F48CA" w:rsidRDefault="001F48CA">
      <w:pPr>
        <w:spacing w:line="360" w:lineRule="auto"/>
        <w:jc w:val="center"/>
        <w:rPr>
          <w:rFonts w:ascii="Times New Roman" w:hAnsi="Times New Roman"/>
          <w:b/>
          <w:bCs/>
          <w:sz w:val="24"/>
          <w:szCs w:val="24"/>
        </w:rPr>
      </w:pPr>
    </w:p>
    <w:p w14:paraId="35144C85" w14:textId="77777777" w:rsidR="001F48CA" w:rsidRDefault="00000000">
      <w:pPr>
        <w:spacing w:line="360" w:lineRule="auto"/>
        <w:jc w:val="center"/>
        <w:rPr>
          <w:rFonts w:ascii="Times New Roman" w:hAnsi="Times New Roman"/>
          <w:b/>
          <w:bCs/>
          <w:sz w:val="24"/>
          <w:szCs w:val="24"/>
        </w:rPr>
      </w:pPr>
      <w:r>
        <w:rPr>
          <w:rFonts w:ascii="Times New Roman" w:hAnsi="Times New Roman"/>
          <w:b/>
          <w:bCs/>
          <w:sz w:val="24"/>
          <w:szCs w:val="24"/>
        </w:rPr>
        <w:t xml:space="preserve"> </w:t>
      </w:r>
    </w:p>
    <w:p w14:paraId="66C8541E" w14:textId="77777777" w:rsidR="001F48CA" w:rsidRDefault="00000000">
      <w:pPr>
        <w:spacing w:line="360" w:lineRule="auto"/>
        <w:jc w:val="center"/>
        <w:rPr>
          <w:rFonts w:ascii="Times New Roman" w:hAnsi="Times New Roman"/>
          <w:b/>
          <w:bCs/>
          <w:i/>
          <w:iCs/>
          <w:sz w:val="24"/>
          <w:szCs w:val="24"/>
        </w:rPr>
      </w:pPr>
      <w:r>
        <w:rPr>
          <w:rFonts w:ascii="Times New Roman" w:hAnsi="Times New Roman"/>
          <w:b/>
          <w:bCs/>
          <w:i/>
          <w:iCs/>
          <w:sz w:val="24"/>
          <w:szCs w:val="24"/>
        </w:rPr>
        <w:t>ABSTRACT</w:t>
      </w:r>
    </w:p>
    <w:p w14:paraId="2E4FFFE1" w14:textId="77777777" w:rsidR="001F48CA" w:rsidRDefault="00000000">
      <w:pPr>
        <w:spacing w:line="360" w:lineRule="auto"/>
        <w:jc w:val="both"/>
        <w:rPr>
          <w:rFonts w:ascii="Times New Roman" w:hAnsi="Times New Roman"/>
          <w:i/>
          <w:iCs/>
          <w:sz w:val="24"/>
          <w:szCs w:val="24"/>
        </w:rPr>
      </w:pPr>
      <w:r>
        <w:rPr>
          <w:rFonts w:ascii="Times New Roman" w:hAnsi="Times New Roman"/>
          <w:i/>
          <w:iCs/>
          <w:sz w:val="24"/>
          <w:szCs w:val="24"/>
        </w:rPr>
        <w:t>This study examines the impact of ownership structure on financial reporting quality in Nigeria’s listed consumer goods companies. It focuses on managerial ownership, institutional ownership, and ownership concentration. Using an ex-post facto and correlational design, the study analyses secondary data sourced from annual reports of 15 out of 20 consumer goods companies in Nigeria over a ten-year period (2012-2021). The Modified Jones model is applied to assess financial reporting quality through discretionary accruals. Data was analysed using panel regression. The results show that managerial and institutional ownership have negative but non-significant effects on reporting quality, while ownership concentration has a positive, though also non-significant, effect. The study concludes that while managerial and institutional ownership do not significantly affect reporting quality, ownership concentration shows a potential positive influence. It recommends optimising managerial ownership, leveraging institutional investors' monitoring role, and strengthening governance for firms with high ownership concentration to improve financial reporting quality.</w:t>
      </w:r>
    </w:p>
    <w:p w14:paraId="4E1833AD" w14:textId="77777777" w:rsidR="001F48CA" w:rsidRDefault="00000000">
      <w:pPr>
        <w:spacing w:line="240" w:lineRule="auto"/>
        <w:jc w:val="both"/>
        <w:rPr>
          <w:rFonts w:ascii="Times New Roman" w:hAnsi="Times New Roman"/>
          <w:sz w:val="24"/>
          <w:szCs w:val="24"/>
        </w:rPr>
      </w:pPr>
      <w:r>
        <w:rPr>
          <w:rFonts w:ascii="Times New Roman" w:hAnsi="Times New Roman"/>
          <w:b/>
          <w:bCs/>
          <w:i/>
          <w:iCs/>
          <w:sz w:val="24"/>
          <w:szCs w:val="24"/>
        </w:rPr>
        <w:t>Key words:</w:t>
      </w:r>
      <w:r>
        <w:rPr>
          <w:rFonts w:ascii="Times New Roman" w:hAnsi="Times New Roman"/>
          <w:i/>
          <w:iCs/>
          <w:sz w:val="24"/>
          <w:szCs w:val="24"/>
        </w:rPr>
        <w:t xml:space="preserve"> </w:t>
      </w:r>
      <w:r>
        <w:rPr>
          <w:rFonts w:ascii="Times New Roman" w:hAnsi="Times New Roman"/>
          <w:sz w:val="24"/>
          <w:szCs w:val="24"/>
        </w:rPr>
        <w:t xml:space="preserve">ownership structure, managerial </w:t>
      </w:r>
      <w:proofErr w:type="spellStart"/>
      <w:proofErr w:type="gramStart"/>
      <w:r>
        <w:rPr>
          <w:rFonts w:ascii="Times New Roman" w:hAnsi="Times New Roman"/>
          <w:sz w:val="24"/>
          <w:szCs w:val="24"/>
        </w:rPr>
        <w:t>ownership,institutional</w:t>
      </w:r>
      <w:proofErr w:type="spellEnd"/>
      <w:proofErr w:type="gramEnd"/>
      <w:r>
        <w:rPr>
          <w:rFonts w:ascii="Times New Roman" w:hAnsi="Times New Roman"/>
          <w:sz w:val="24"/>
          <w:szCs w:val="24"/>
        </w:rPr>
        <w:t xml:space="preserve"> </w:t>
      </w:r>
      <w:proofErr w:type="spellStart"/>
      <w:r>
        <w:rPr>
          <w:rFonts w:ascii="Times New Roman" w:hAnsi="Times New Roman"/>
          <w:sz w:val="24"/>
          <w:szCs w:val="24"/>
        </w:rPr>
        <w:t>ownership,ownership</w:t>
      </w:r>
      <w:proofErr w:type="spellEnd"/>
      <w:r>
        <w:rPr>
          <w:rFonts w:ascii="Times New Roman" w:hAnsi="Times New Roman"/>
          <w:sz w:val="24"/>
          <w:szCs w:val="24"/>
        </w:rPr>
        <w:t xml:space="preserve"> </w:t>
      </w:r>
      <w:proofErr w:type="spellStart"/>
      <w:r>
        <w:rPr>
          <w:rFonts w:ascii="Times New Roman" w:hAnsi="Times New Roman"/>
          <w:sz w:val="24"/>
          <w:szCs w:val="24"/>
        </w:rPr>
        <w:t>concentration,financial</w:t>
      </w:r>
      <w:proofErr w:type="spellEnd"/>
      <w:r>
        <w:rPr>
          <w:rFonts w:ascii="Times New Roman" w:hAnsi="Times New Roman"/>
          <w:sz w:val="24"/>
          <w:szCs w:val="24"/>
        </w:rPr>
        <w:t xml:space="preserve"> reporting quality,</w:t>
      </w:r>
    </w:p>
    <w:p w14:paraId="0BF12B78" w14:textId="77777777" w:rsidR="001F48CA" w:rsidRDefault="001F48CA">
      <w:pPr>
        <w:spacing w:line="360" w:lineRule="auto"/>
        <w:jc w:val="center"/>
        <w:rPr>
          <w:rFonts w:ascii="Times New Roman" w:hAnsi="Times New Roman"/>
          <w:b/>
          <w:bCs/>
          <w:sz w:val="24"/>
          <w:szCs w:val="24"/>
        </w:rPr>
      </w:pPr>
    </w:p>
    <w:p w14:paraId="3E1D58EF" w14:textId="77777777" w:rsidR="001F48CA" w:rsidRDefault="001F48CA">
      <w:pPr>
        <w:spacing w:line="360" w:lineRule="auto"/>
        <w:jc w:val="center"/>
        <w:rPr>
          <w:rFonts w:ascii="Times New Roman" w:hAnsi="Times New Roman"/>
          <w:b/>
          <w:bCs/>
          <w:sz w:val="24"/>
          <w:szCs w:val="24"/>
        </w:rPr>
      </w:pPr>
    </w:p>
    <w:p w14:paraId="06E9A776" w14:textId="77777777" w:rsidR="001F48CA" w:rsidRDefault="001F48CA">
      <w:pPr>
        <w:spacing w:line="360" w:lineRule="auto"/>
        <w:jc w:val="both"/>
        <w:rPr>
          <w:rFonts w:ascii="Times New Roman" w:hAnsi="Times New Roman"/>
          <w:b/>
          <w:bCs/>
          <w:sz w:val="24"/>
          <w:szCs w:val="24"/>
        </w:rPr>
      </w:pPr>
    </w:p>
    <w:p w14:paraId="4CCA1D27"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INTRODUCTION</w:t>
      </w:r>
    </w:p>
    <w:p w14:paraId="00CD3F5B"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Financial reporting is vital for corporate governance, providing stakeholders with insights into a company's financial health and supporting informed decision-making (</w:t>
      </w:r>
      <w:proofErr w:type="spellStart"/>
      <w:r>
        <w:rPr>
          <w:rFonts w:ascii="Times New Roman" w:hAnsi="Times New Roman"/>
          <w:sz w:val="24"/>
          <w:szCs w:val="24"/>
        </w:rPr>
        <w:t>Ezelibe</w:t>
      </w:r>
      <w:proofErr w:type="spellEnd"/>
      <w:r>
        <w:rPr>
          <w:rFonts w:ascii="Times New Roman" w:hAnsi="Times New Roman"/>
          <w:sz w:val="24"/>
          <w:szCs w:val="24"/>
        </w:rPr>
        <w:t xml:space="preserve">, Nwosu, &amp; </w:t>
      </w:r>
      <w:proofErr w:type="spellStart"/>
      <w:r>
        <w:rPr>
          <w:rFonts w:ascii="Times New Roman" w:hAnsi="Times New Roman"/>
          <w:sz w:val="24"/>
          <w:szCs w:val="24"/>
        </w:rPr>
        <w:t>Orazulike</w:t>
      </w:r>
      <w:proofErr w:type="spellEnd"/>
      <w:r>
        <w:rPr>
          <w:rFonts w:ascii="Times New Roman" w:hAnsi="Times New Roman"/>
          <w:sz w:val="24"/>
          <w:szCs w:val="24"/>
        </w:rPr>
        <w:t xml:space="preserve">, 2017). However, corporate scandals, such as those involving Cadbury Nigeria Plc. (2006), </w:t>
      </w:r>
      <w:proofErr w:type="spellStart"/>
      <w:r>
        <w:rPr>
          <w:rFonts w:ascii="Times New Roman" w:hAnsi="Times New Roman"/>
          <w:sz w:val="24"/>
          <w:szCs w:val="24"/>
        </w:rPr>
        <w:t>Afribank</w:t>
      </w:r>
      <w:proofErr w:type="spellEnd"/>
      <w:r>
        <w:rPr>
          <w:rFonts w:ascii="Times New Roman" w:hAnsi="Times New Roman"/>
          <w:sz w:val="24"/>
          <w:szCs w:val="24"/>
        </w:rPr>
        <w:t xml:space="preserve"> Nigeria Plc. (2009), and Intercontinental Bank Plc. (2009), have raised </w:t>
      </w:r>
      <w:r>
        <w:rPr>
          <w:rFonts w:ascii="Times New Roman" w:hAnsi="Times New Roman"/>
          <w:sz w:val="24"/>
          <w:szCs w:val="24"/>
        </w:rPr>
        <w:lastRenderedPageBreak/>
        <w:t>concerns about financial report reliability, driving research into factors influencing financial reporting quality (FRQ), including ownership structure, accounting standards, and disclosure practices. The demand for reliable financial reporting is global, as it influences investment decisions and market efficiency. Investors and other stakeholders rely on financial information to evaluate performance, make decisions, and ensure stability. Ownership structure, a key component of corporate governance, significantly impacts FRQ (Han 2004). This includes managerial, institutional, and concentrated ownership, each affecting financial reporting differently. Managerial ownership aligns management with shareholders, shaping risk-taking and performance (Fama &amp; Jensen, 1983). Institutional ownership, such as holdings by mutual funds, enhances governance practices (Grier &amp; Zychowicz, 1994). Similarly, ownership concentration influences voting power distribution, governance, and disclosures (</w:t>
      </w:r>
      <w:proofErr w:type="spellStart"/>
      <w:r>
        <w:rPr>
          <w:rFonts w:ascii="Times New Roman" w:hAnsi="Times New Roman"/>
          <w:sz w:val="24"/>
          <w:szCs w:val="24"/>
        </w:rPr>
        <w:t>Sahut</w:t>
      </w:r>
      <w:proofErr w:type="spellEnd"/>
      <w:r>
        <w:rPr>
          <w:rFonts w:ascii="Times New Roman" w:hAnsi="Times New Roman"/>
          <w:sz w:val="24"/>
          <w:szCs w:val="24"/>
        </w:rPr>
        <w:t xml:space="preserve"> &amp; Gharbi, 2010).</w:t>
      </w:r>
    </w:p>
    <w:p w14:paraId="5D0445E5"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Financial scandals, such as those of WorldCom and Enron, have eroded confidence in financial reporting (Agrawal &amp; Chadha, 2005), emphasizing the need for robust governance and reporting integrity (Al-</w:t>
      </w:r>
      <w:proofErr w:type="spellStart"/>
      <w:r>
        <w:rPr>
          <w:rFonts w:ascii="Times New Roman" w:hAnsi="Times New Roman"/>
          <w:sz w:val="24"/>
          <w:szCs w:val="24"/>
        </w:rPr>
        <w:t>Dhamari</w:t>
      </w:r>
      <w:proofErr w:type="spellEnd"/>
      <w:r>
        <w:rPr>
          <w:rFonts w:ascii="Times New Roman" w:hAnsi="Times New Roman"/>
          <w:sz w:val="24"/>
          <w:szCs w:val="24"/>
        </w:rPr>
        <w:t xml:space="preserve"> &amp; Ku Ismail, 2013). While strategies like governance reforms and improved audit quality have been proposed (Hamza, Zainal, &amp; Wan, 2019), gaps remain in understanding the influence of ownership structure on FRQ, particularly in Nigeria's listed consumer goods firms. Existing studies primarily focus on other sectors, such as banking and chemicals (Farouk &amp; Shehu, 2013; Shehu &amp; Jibril, 2012; Adebiyi &amp; </w:t>
      </w:r>
      <w:proofErr w:type="spellStart"/>
      <w:r>
        <w:rPr>
          <w:rFonts w:ascii="Times New Roman" w:hAnsi="Times New Roman"/>
          <w:sz w:val="24"/>
          <w:szCs w:val="24"/>
        </w:rPr>
        <w:t>Olowookere</w:t>
      </w:r>
      <w:proofErr w:type="spellEnd"/>
      <w:r>
        <w:rPr>
          <w:rFonts w:ascii="Times New Roman" w:hAnsi="Times New Roman"/>
          <w:sz w:val="24"/>
          <w:szCs w:val="24"/>
        </w:rPr>
        <w:t>, 2016). Limited attention has been given to consumer goods companies, despite their economic significance and unique ownership structures, which include managerial control, institutional investments, and concentrated ownership. This study aims to fill this gap by exploring how these ownership dynamics affect FRQ in the sector.</w:t>
      </w:r>
    </w:p>
    <w:p w14:paraId="07FA591C"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This paper seeks to evaluate the impact of ownership structure on FRQ in listed consumer goods companies in Nigeria, with specific objectives to: </w:t>
      </w:r>
      <w:proofErr w:type="spellStart"/>
      <w:r>
        <w:rPr>
          <w:rFonts w:ascii="Times New Roman" w:hAnsi="Times New Roman"/>
          <w:sz w:val="24"/>
          <w:szCs w:val="24"/>
        </w:rPr>
        <w:t>i</w:t>
      </w:r>
      <w:proofErr w:type="spellEnd"/>
      <w:r>
        <w:rPr>
          <w:rFonts w:ascii="Times New Roman" w:hAnsi="Times New Roman"/>
          <w:sz w:val="24"/>
          <w:szCs w:val="24"/>
        </w:rPr>
        <w:t xml:space="preserve">. Examine the influence of managerial ownership on FRQ. ii. </w:t>
      </w:r>
      <w:proofErr w:type="spellStart"/>
      <w:r>
        <w:rPr>
          <w:rFonts w:ascii="Times New Roman" w:hAnsi="Times New Roman"/>
          <w:sz w:val="24"/>
          <w:szCs w:val="24"/>
        </w:rPr>
        <w:t>Analyze</w:t>
      </w:r>
      <w:proofErr w:type="spellEnd"/>
      <w:r>
        <w:rPr>
          <w:rFonts w:ascii="Times New Roman" w:hAnsi="Times New Roman"/>
          <w:sz w:val="24"/>
          <w:szCs w:val="24"/>
        </w:rPr>
        <w:t xml:space="preserve"> the effect of institutional ownership on FRQ. iii. Assess the impact of ownership concentration on FRQ.</w:t>
      </w:r>
    </w:p>
    <w:p w14:paraId="2A3929DE"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The study tests the following null hypotheses: H01: Managerial ownership does not significantly affect FRQ in listed consumer goods companies in Nigeria. H02: Institutional ownership does not significantly affect FRQ in listed consumer goods companies in Nigeria. H03: Ownership concentration does not significantly affect FRQ in listed consumer goods companies in Nigeria.</w:t>
      </w:r>
    </w:p>
    <w:p w14:paraId="6E07E0F1"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lastRenderedPageBreak/>
        <w:t>The rest of this paper is organised as follows: Section 2 provides a thorough examination of relevant literature, focusing on the ideas of Managerial Ownership, Institutional Ownership, Ownership Concentration and financial reporting quality. Section 3 describes the research methodology, including data collecting and analysis procedures. Section 4 describes the findings, analysis, and examines the consequences of these findings. Finally, Section 5 concludes the study by presenting a summary of the key findings, discussing the limitations of the research, drawing conclusions, and offering recommendations for future studies.</w:t>
      </w:r>
    </w:p>
    <w:p w14:paraId="3F4D7FB4"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2. LITERATURE REVIEW</w:t>
      </w:r>
    </w:p>
    <w:p w14:paraId="1B28E380" w14:textId="77777777" w:rsidR="001F48CA" w:rsidRDefault="00000000">
      <w:pPr>
        <w:spacing w:line="360" w:lineRule="auto"/>
        <w:jc w:val="both"/>
      </w:pPr>
      <w:r>
        <w:rPr>
          <w:rFonts w:ascii="Times New Roman" w:hAnsi="Times New Roman"/>
          <w:b/>
          <w:bCs/>
          <w:sz w:val="24"/>
          <w:szCs w:val="24"/>
        </w:rPr>
        <w:t>2:1 Ownership Structure</w:t>
      </w:r>
      <w:r>
        <w:rPr>
          <w:rFonts w:ascii="Times New Roman" w:hAnsi="Times New Roman"/>
          <w:sz w:val="24"/>
          <w:szCs w:val="24"/>
        </w:rPr>
        <w:t xml:space="preserve">: </w:t>
      </w:r>
    </w:p>
    <w:p w14:paraId="0AAC6771"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Ownership structure encompasses the shareholding of key stakeholders, including institutional, managerial, and concentrated ownership (López-</w:t>
      </w:r>
      <w:proofErr w:type="spellStart"/>
      <w:r>
        <w:rPr>
          <w:rFonts w:ascii="Times New Roman" w:hAnsi="Times New Roman"/>
          <w:sz w:val="24"/>
          <w:szCs w:val="24"/>
        </w:rPr>
        <w:t>Iturriag</w:t>
      </w:r>
      <w:proofErr w:type="spellEnd"/>
      <w:r>
        <w:rPr>
          <w:rFonts w:ascii="Times New Roman" w:hAnsi="Times New Roman"/>
          <w:sz w:val="24"/>
          <w:szCs w:val="24"/>
        </w:rPr>
        <w:t xml:space="preserve"> &amp; Rodríguez-Sanz, 2012; Anwar, 2019). It reflects equity distribution, linking voting power and capital investment, and shapes corporate decisions and performance (Jensen &amp; Meckling, 1976). Diverse ownership patterns may create conflicts of interest, requiring a deeper understanding of their implications (Hui &amp; Khine, 2016).</w:t>
      </w:r>
    </w:p>
    <w:p w14:paraId="13090789"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In essence, ownership structure influences corporate governance, managerial alignment, and efficiency. This study focuses on managerial, institutional, and concentrated ownership as key drivers of financial reporting quality in listed companies.</w:t>
      </w:r>
    </w:p>
    <w:p w14:paraId="5C72D00F"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2.1.1 Managerial Ownership</w:t>
      </w:r>
    </w:p>
    <w:p w14:paraId="3BA4BF9E"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Managerial ownership aligns managers' interests with shareholders, promoting value-maximizing decisions and improved performance (Jensen &amp; Meckling, 1976; Fama &amp; Jensen, 1983). However, excessive ownership may lead to entrenchment, with managers prioritizing personal interests over shareholder value, as seen in empire building and risk aversion (Berle &amp; Means, 1932). The optimal level of managerial ownership varies by industry, with high ownership benefiting some sectors but potentially hindering innovation and adaptability in dynamic industries like technology (Morck &amp; Steier, 2005). Its effectiveness also depends on complementary governance mechanisms, such as board independence and transparency (Jaggi, 2009). External factors, including economic conditions, can influence its impact. During downturns, high managerial ownership may amplify risk aversion, limiting long-term value creation (</w:t>
      </w:r>
      <w:proofErr w:type="spellStart"/>
      <w:r>
        <w:rPr>
          <w:rFonts w:ascii="Times New Roman" w:hAnsi="Times New Roman"/>
          <w:sz w:val="24"/>
          <w:szCs w:val="24"/>
        </w:rPr>
        <w:t>Hermalin</w:t>
      </w:r>
      <w:proofErr w:type="spellEnd"/>
      <w:r>
        <w:rPr>
          <w:rFonts w:ascii="Times New Roman" w:hAnsi="Times New Roman"/>
          <w:sz w:val="24"/>
          <w:szCs w:val="24"/>
        </w:rPr>
        <w:t xml:space="preserve"> &amp; Weisbach, 1991). While managerial ownership can enhance governance, </w:t>
      </w:r>
      <w:r>
        <w:rPr>
          <w:rFonts w:ascii="Times New Roman" w:hAnsi="Times New Roman"/>
          <w:sz w:val="24"/>
          <w:szCs w:val="24"/>
        </w:rPr>
        <w:lastRenderedPageBreak/>
        <w:t>its effectiveness relies on context and robust governance frameworks to balance risks and benefits.</w:t>
      </w:r>
    </w:p>
    <w:p w14:paraId="3A57E704"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2.1.2 Institutional Ownership</w:t>
      </w:r>
    </w:p>
    <w:p w14:paraId="59465D64"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Institutional ownership plays a key role in firm value, governance, and financial reporting quality. Scholars like </w:t>
      </w:r>
      <w:proofErr w:type="spellStart"/>
      <w:r>
        <w:rPr>
          <w:rFonts w:ascii="Times New Roman" w:hAnsi="Times New Roman"/>
          <w:sz w:val="24"/>
          <w:szCs w:val="24"/>
        </w:rPr>
        <w:t>Sahut</w:t>
      </w:r>
      <w:proofErr w:type="spellEnd"/>
      <w:r>
        <w:rPr>
          <w:rFonts w:ascii="Times New Roman" w:hAnsi="Times New Roman"/>
          <w:sz w:val="24"/>
          <w:szCs w:val="24"/>
        </w:rPr>
        <w:t xml:space="preserve"> and Gharbi (2010) and </w:t>
      </w:r>
      <w:proofErr w:type="spellStart"/>
      <w:r>
        <w:rPr>
          <w:rFonts w:ascii="Times New Roman" w:hAnsi="Times New Roman"/>
          <w:sz w:val="24"/>
          <w:szCs w:val="24"/>
        </w:rPr>
        <w:t>Oyedokun</w:t>
      </w:r>
      <w:proofErr w:type="spellEnd"/>
      <w:r>
        <w:rPr>
          <w:rFonts w:ascii="Times New Roman" w:hAnsi="Times New Roman"/>
          <w:sz w:val="24"/>
          <w:szCs w:val="24"/>
        </w:rPr>
        <w:t xml:space="preserve"> et al. (2020) highlight its positive effects, particularly in Nigeria's consumer goods sector. Institutional investors, driven by fiduciary responsibilities, engage with firms to ensure accurate valuation and risk assessment, promoting transparency and accountability (Shah et al., 2011).</w:t>
      </w:r>
    </w:p>
    <w:p w14:paraId="7B79B677"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However, the effectiveness of institutional ownership varies by industry, governance frameworks, and factors such as board composition and regulatory environments. While it enhances financial reporting by aligning management actions with shareholder interests, its impact depends on investment strategies and engagement levels.</w:t>
      </w:r>
    </w:p>
    <w:p w14:paraId="0759FE14"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Despite complexities, institutional ownership remains vital in improving financial transparency and governance. Continued research is essential to understand its nuanced effects on corporate performance and reporting practices.</w:t>
      </w:r>
    </w:p>
    <w:p w14:paraId="2274E8B5"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2.1.3 Ownership Concentration</w:t>
      </w:r>
    </w:p>
    <w:p w14:paraId="7A103E5E"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Ownership concentration significantly influences corporate </w:t>
      </w:r>
      <w:proofErr w:type="spellStart"/>
      <w:r>
        <w:rPr>
          <w:rFonts w:ascii="Times New Roman" w:hAnsi="Times New Roman"/>
          <w:sz w:val="24"/>
          <w:szCs w:val="24"/>
        </w:rPr>
        <w:t>behavior</w:t>
      </w:r>
      <w:proofErr w:type="spellEnd"/>
      <w:r>
        <w:rPr>
          <w:rFonts w:ascii="Times New Roman" w:hAnsi="Times New Roman"/>
          <w:sz w:val="24"/>
          <w:szCs w:val="24"/>
        </w:rPr>
        <w:t xml:space="preserve">, governance, and financial reporting quality. </w:t>
      </w:r>
      <w:proofErr w:type="spellStart"/>
      <w:r>
        <w:rPr>
          <w:rFonts w:ascii="Times New Roman" w:hAnsi="Times New Roman"/>
          <w:sz w:val="24"/>
          <w:szCs w:val="24"/>
        </w:rPr>
        <w:t>Sahut</w:t>
      </w:r>
      <w:proofErr w:type="spellEnd"/>
      <w:r>
        <w:rPr>
          <w:rFonts w:ascii="Times New Roman" w:hAnsi="Times New Roman"/>
          <w:sz w:val="24"/>
          <w:szCs w:val="24"/>
        </w:rPr>
        <w:t xml:space="preserve"> and Gharbi (2010) emphasize its role in shaping strategies and disclosures, while López-</w:t>
      </w:r>
      <w:proofErr w:type="spellStart"/>
      <w:r>
        <w:rPr>
          <w:rFonts w:ascii="Times New Roman" w:hAnsi="Times New Roman"/>
          <w:sz w:val="24"/>
          <w:szCs w:val="24"/>
        </w:rPr>
        <w:t>Iturriag</w:t>
      </w:r>
      <w:proofErr w:type="spellEnd"/>
      <w:r>
        <w:rPr>
          <w:rFonts w:ascii="Times New Roman" w:hAnsi="Times New Roman"/>
          <w:sz w:val="24"/>
          <w:szCs w:val="24"/>
        </w:rPr>
        <w:t xml:space="preserve"> and Rodríguez-Sanz (2012) highlight its multifaceted and context-dependent nature. High ownership concentration enhances monitoring and aligns managerial actions with shareholder interests, promoting transparency and better reporting practices (</w:t>
      </w:r>
      <w:proofErr w:type="spellStart"/>
      <w:r>
        <w:rPr>
          <w:rFonts w:ascii="Times New Roman" w:hAnsi="Times New Roman"/>
          <w:sz w:val="24"/>
          <w:szCs w:val="24"/>
        </w:rPr>
        <w:t>Elyasiani</w:t>
      </w:r>
      <w:proofErr w:type="spellEnd"/>
      <w:r>
        <w:rPr>
          <w:rFonts w:ascii="Times New Roman" w:hAnsi="Times New Roman"/>
          <w:sz w:val="24"/>
          <w:szCs w:val="24"/>
        </w:rPr>
        <w:t xml:space="preserve"> et al 2010). However, excessive concentration can lead to entrenchment and undue influence by dominant shareholders, resulting in agency conflicts and suboptimal outcomes. The impact of ownership concentration varies by industry and governance context, requiring a balance between its monitoring benefits and potential challenges (López-</w:t>
      </w:r>
      <w:proofErr w:type="spellStart"/>
      <w:r>
        <w:rPr>
          <w:rFonts w:ascii="Times New Roman" w:hAnsi="Times New Roman"/>
          <w:sz w:val="24"/>
          <w:szCs w:val="24"/>
        </w:rPr>
        <w:t>Iturriag</w:t>
      </w:r>
      <w:proofErr w:type="spellEnd"/>
      <w:r>
        <w:rPr>
          <w:rFonts w:ascii="Times New Roman" w:hAnsi="Times New Roman"/>
          <w:sz w:val="24"/>
          <w:szCs w:val="24"/>
        </w:rPr>
        <w:t xml:space="preserve"> &amp; Rodríguez-Sanz, 2012). Understanding these dynamics is crucial for evaluating its effects on financial reporting quality and corporate performance.</w:t>
      </w:r>
    </w:p>
    <w:p w14:paraId="5C359B73"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2.2 Financial reporting Quality</w:t>
      </w:r>
    </w:p>
    <w:p w14:paraId="0F997BFF"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Financial reporting quality is vital to corporate governance, emphasizing precision, transparency, and relevance of information (Naser, 1993). It shapes stakeholders' decisions, </w:t>
      </w:r>
      <w:r>
        <w:rPr>
          <w:rFonts w:ascii="Times New Roman" w:hAnsi="Times New Roman"/>
          <w:sz w:val="24"/>
          <w:szCs w:val="24"/>
        </w:rPr>
        <w:lastRenderedPageBreak/>
        <w:t>builds investor confidence, and signals a firm’s commitment to ethical standards, enhancing trust and reputation (Alipour &amp; Amjadi, 2011).</w:t>
      </w:r>
    </w:p>
    <w:p w14:paraId="0E36AAB9"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Discretionary accruals, reflecting managerial judgment in accounting adjustments, are key to evaluating financial reporting quality (Dechow et al., 1995). They reveal managerial influence on reported performance and potential earnings management. Measuring discretionary accruals offers insights into the nature and extent of such influence.</w:t>
      </w:r>
    </w:p>
    <w:p w14:paraId="624040D0"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High discretionary accruals may indicate aggressive earnings management, while lower levels suggest a conservative approach. This highlights the interplay between ownership structure and financial reporting quality, emphasising the need to analyse ownership patterns as drivers of transparency and trust.</w:t>
      </w:r>
    </w:p>
    <w:p w14:paraId="560361F3"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2.3 Theoretical Framework</w:t>
      </w:r>
    </w:p>
    <w:p w14:paraId="5AD180D1"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Theoretical frameworks play a crucial role in understanding the complex dynamics between ownership structure and firm behaviour. Three prominent theoretical perspectives that shed light on these dynamics are agency theory, alignment effect theory, and entrenchment effect theory.</w:t>
      </w:r>
    </w:p>
    <w:p w14:paraId="3247AE17"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Agency Theory</w:t>
      </w:r>
    </w:p>
    <w:p w14:paraId="02EE6BDF"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Agency theory, introduced by Jensen and Meckling (1976), explores the principal-agent relationship between shareholders and managers, highlighting conflicts of interest due to divergent goals. While it emphasizes monitoring to mitigate these conflicts, critics argue it oversimplifies ownership structure dynamics (Dumitru-Nicusor 2015).</w:t>
      </w:r>
    </w:p>
    <w:p w14:paraId="0FACF061"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For example, while managerial ownership aims to align managers' and shareholders' interests, excessive levels can lead to entrenchment and risk aversion, limiting innovation and long-term value (Fama &amp; Jensen, 1983). Thus, while agency theory provides a foundation for understanding ownership incentives, its practical application requires context-specific considerations.</w:t>
      </w:r>
    </w:p>
    <w:p w14:paraId="788E6CB7"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Alignment Effect Theory</w:t>
      </w:r>
    </w:p>
    <w:p w14:paraId="0AED9129"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The alignment effect theory, as proposed by Bebchuk (1999), emphasizes the role of ownership structure in aligning the interests of stakeholders toward value maximization. While this theory highlights the positive impact of managerial ownership on reducing agency conflicts and promoting accountability, it has also faced criticism for overlooking the potential downsides of </w:t>
      </w:r>
      <w:r>
        <w:rPr>
          <w:rFonts w:ascii="Times New Roman" w:hAnsi="Times New Roman"/>
          <w:sz w:val="24"/>
          <w:szCs w:val="24"/>
        </w:rPr>
        <w:lastRenderedPageBreak/>
        <w:t>concentrated ownership. Research by Wang, Kun &amp; Shailer, Greg. 2015 suggests that concentrated ownership, if not accompanied by effective governance mechanisms, can lead to expropriation of minority shareholders' interests by controlling shareholders. This raises concerns about the alignment effect theory's assumption that managerial ownership inherently leads to value-maximizing decisions. Moreover, the theory may not fully account for the complexities of decision-making in firms with diverse ownership structures and stakeholder interests.</w:t>
      </w:r>
    </w:p>
    <w:p w14:paraId="56E67BEE"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Entrenchment Effect Theory</w:t>
      </w:r>
    </w:p>
    <w:p w14:paraId="632D2F7A"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The entrenchment effect theory, articulated by Morck et al. (1988), offers a critical perspective on the potential drawbacks of excessive managerial ownership. While ownership concentration can align incentives and enhance monitoring, it also carries the risk of managerial entrenchment and self-serving behaviours. This theory underscores the importance of maintaining a balance in ownership concentration to prevent agency problems. However, some scholars argue that the entrenchment effect theory may overlook the positive aspects of managerial ownership, such as long-term commitment and alignment with shareholder interests (</w:t>
      </w:r>
      <w:proofErr w:type="spellStart"/>
      <w:r>
        <w:rPr>
          <w:rFonts w:ascii="Times New Roman" w:hAnsi="Times New Roman"/>
          <w:sz w:val="24"/>
          <w:szCs w:val="24"/>
        </w:rPr>
        <w:t>Hermalin</w:t>
      </w:r>
      <w:proofErr w:type="spellEnd"/>
      <w:r>
        <w:rPr>
          <w:rFonts w:ascii="Times New Roman" w:hAnsi="Times New Roman"/>
          <w:sz w:val="24"/>
          <w:szCs w:val="24"/>
        </w:rPr>
        <w:t xml:space="preserve"> &amp; Weisbach, 1998). Additionally, empirical studies by Yermack (1996) suggest that moderate levels of managerial ownership can have a positive impact on firm performance, challenging the notion that excessive ownership necessarily leads to entrenchment and value destruction.</w:t>
      </w:r>
    </w:p>
    <w:p w14:paraId="5783493D"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In conclusion, while these theoretical frameworks provide valuable insights into ownership structure's impact on firm behaviour and governance, they also require critical examination and consideration of contextual factors, governance mechanisms, and empirical evidence to draw robust conclusions about the relationship between ownership structure and firm outcomes.</w:t>
      </w:r>
    </w:p>
    <w:p w14:paraId="629D94E8"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2.4 Empirical Review</w:t>
      </w:r>
    </w:p>
    <w:p w14:paraId="526669C3"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Several studies have explored the relationship between ownership structure and financial reporting quality, shedding light on the influence of different types of ownership and corporate governance mechanisms across various countries.</w:t>
      </w:r>
    </w:p>
    <w:p w14:paraId="3DF443BE" w14:textId="77777777" w:rsidR="001F48CA" w:rsidRDefault="001F48CA">
      <w:pPr>
        <w:spacing w:line="360" w:lineRule="auto"/>
        <w:jc w:val="both"/>
        <w:rPr>
          <w:rFonts w:ascii="Times New Roman" w:hAnsi="Times New Roman"/>
          <w:sz w:val="24"/>
          <w:szCs w:val="24"/>
        </w:rPr>
      </w:pPr>
    </w:p>
    <w:p w14:paraId="5ED7AB0F" w14:textId="77777777" w:rsidR="001F48CA" w:rsidRDefault="00000000">
      <w:pPr>
        <w:spacing w:line="360" w:lineRule="auto"/>
        <w:jc w:val="both"/>
      </w:pPr>
      <w:r>
        <w:rPr>
          <w:rFonts w:ascii="Times New Roman" w:hAnsi="Times New Roman"/>
          <w:sz w:val="24"/>
          <w:szCs w:val="24"/>
        </w:rPr>
        <w:t xml:space="preserve">Chau and Gray (2002) examined the impact of managerial ownership on financial reporting quality in Australian firms, finding a positive relationship between higher managerial ownership and greater transparency, indicating more accurate and informative financial reporting. Similarly, Hamza et al. (2019) conducted a study in Jordanian firms, which found </w:t>
      </w:r>
      <w:r>
        <w:rPr>
          <w:rFonts w:ascii="Times New Roman" w:hAnsi="Times New Roman"/>
          <w:sz w:val="24"/>
          <w:szCs w:val="24"/>
        </w:rPr>
        <w:lastRenderedPageBreak/>
        <w:t>that managerial ownership significantly improved financial reporting quality by reducing earnings management practices.</w:t>
      </w:r>
      <w:r>
        <w:t xml:space="preserve"> </w:t>
      </w:r>
      <w:r>
        <w:rPr>
          <w:rFonts w:ascii="Times New Roman" w:hAnsi="Times New Roman"/>
          <w:sz w:val="24"/>
          <w:szCs w:val="24"/>
        </w:rPr>
        <w:t xml:space="preserve">Yang et al. (2008) find that moderate executive ownership reduces earnings management, while director and </w:t>
      </w:r>
      <w:proofErr w:type="spellStart"/>
      <w:r>
        <w:rPr>
          <w:rFonts w:ascii="Times New Roman" w:hAnsi="Times New Roman"/>
          <w:sz w:val="24"/>
          <w:szCs w:val="24"/>
        </w:rPr>
        <w:t>blockholder</w:t>
      </w:r>
      <w:proofErr w:type="spellEnd"/>
      <w:r>
        <w:rPr>
          <w:rFonts w:ascii="Times New Roman" w:hAnsi="Times New Roman"/>
          <w:sz w:val="24"/>
          <w:szCs w:val="24"/>
        </w:rPr>
        <w:t xml:space="preserve"> ownership increase it, raising concerns for financial reporting quality.</w:t>
      </w:r>
    </w:p>
    <w:p w14:paraId="12CA52E4"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In contrast, Jaggi and Leung (2007) explored the effectiveness of audit committees in controlling earnings management in Hong Kong firms, noting that their effectiveness diminished in firms with family-dominated boards. Liu and Lu (2007) further explored this theme in China, showing that stronger corporate governance resulted in lower earnings management, especially when there were agency conflicts between controlling and minority shareholders.</w:t>
      </w:r>
    </w:p>
    <w:p w14:paraId="76DAB2A4"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The relationship between institutional ownership and financial reporting quality has also been widely studied, particularly in emerging economies. Ahmed &amp; Samir &amp; </w:t>
      </w:r>
      <w:proofErr w:type="spellStart"/>
      <w:r>
        <w:rPr>
          <w:rFonts w:ascii="Times New Roman" w:hAnsi="Times New Roman"/>
          <w:sz w:val="24"/>
          <w:szCs w:val="24"/>
        </w:rPr>
        <w:t>Abdelmoneim</w:t>
      </w:r>
      <w:proofErr w:type="spellEnd"/>
      <w:r>
        <w:rPr>
          <w:rFonts w:ascii="Times New Roman" w:hAnsi="Times New Roman"/>
          <w:sz w:val="24"/>
          <w:szCs w:val="24"/>
        </w:rPr>
        <w:t xml:space="preserve">. (2021) examined the influence of institutional ownership on the value relevance of Accounting Information (AI) in Egyptian non-financial firms, result shows that Accounting </w:t>
      </w:r>
      <w:proofErr w:type="gramStart"/>
      <w:r>
        <w:rPr>
          <w:rFonts w:ascii="Times New Roman" w:hAnsi="Times New Roman"/>
          <w:sz w:val="24"/>
          <w:szCs w:val="24"/>
        </w:rPr>
        <w:t>information  reported</w:t>
      </w:r>
      <w:proofErr w:type="gramEnd"/>
      <w:r>
        <w:rPr>
          <w:rFonts w:ascii="Times New Roman" w:hAnsi="Times New Roman"/>
          <w:sz w:val="24"/>
          <w:szCs w:val="24"/>
        </w:rPr>
        <w:t xml:space="preserve"> by these companies is value-relevant, and institutional ownership significantly influences its value relevant.</w:t>
      </w:r>
    </w:p>
    <w:p w14:paraId="3F043829"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 Chen et al. (2011) reached similar conclusions in China, emphasizing that institutional ownership led to lower earnings management and enhanced transparency, but with variations based on the level of institutional investor activism.</w:t>
      </w:r>
    </w:p>
    <w:p w14:paraId="1FEB5D08"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Chan et al. (2014) and Park and Shin (2018) focused on the role of institutional investors in enhancing financial reporting quality, with both studies revealing that institutional ownership, particularly mutual funds in China and Korea, was associated with improved transparency and reduced earnings management. Similarly, Huang et al. (2017) and </w:t>
      </w:r>
      <w:proofErr w:type="spellStart"/>
      <w:r>
        <w:rPr>
          <w:rFonts w:ascii="Times New Roman" w:hAnsi="Times New Roman"/>
          <w:sz w:val="24"/>
          <w:szCs w:val="24"/>
        </w:rPr>
        <w:t>Gopikumar</w:t>
      </w:r>
      <w:proofErr w:type="spellEnd"/>
      <w:r>
        <w:rPr>
          <w:rFonts w:ascii="Times New Roman" w:hAnsi="Times New Roman"/>
          <w:sz w:val="24"/>
          <w:szCs w:val="24"/>
        </w:rPr>
        <w:t xml:space="preserve"> et al. (2022) found that institutional ownership was positively correlated with earnings quality, although the level of concentration varied the relationship.</w:t>
      </w:r>
    </w:p>
    <w:p w14:paraId="235CB11B"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Ownership concentration has also been linked to financial reporting quality. </w:t>
      </w:r>
      <w:proofErr w:type="spellStart"/>
      <w:r>
        <w:rPr>
          <w:rFonts w:ascii="Times New Roman" w:hAnsi="Times New Roman"/>
          <w:sz w:val="24"/>
          <w:szCs w:val="24"/>
        </w:rPr>
        <w:t>Aharony</w:t>
      </w:r>
      <w:proofErr w:type="spellEnd"/>
      <w:r>
        <w:rPr>
          <w:rFonts w:ascii="Times New Roman" w:hAnsi="Times New Roman"/>
          <w:sz w:val="24"/>
          <w:szCs w:val="24"/>
        </w:rPr>
        <w:t xml:space="preserve"> et al. (2010) and Chen et al. (2014) found that concentrated ownership, particularly with controlling shareholders, improved transparency and earnings quality. However, they noted potential risks of managerial entrenchment and reduced external monitoring. Tessema et al. (2018) also found that higher ownership concentration in Korean firms improved transparency but could lead to conflicts of interest.</w:t>
      </w:r>
    </w:p>
    <w:p w14:paraId="3603314D"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lastRenderedPageBreak/>
        <w:t>Rafique et al. (2015) highlighted the complexity of ownership structure and financial reporting quality in multiple countries, noting that while higher ownership concentration often correlates with lower financial reporting quality, individual and group ownership structures can also influence earnings management practices. This complexity was further demonstrated by Arthur et al. (2019), who uncovered a non-linear relationship between national financial reporting quality and ownership structure across different countries, suggesting that ownership concentration can either improve or hinder financial reporting quality depending on the context.</w:t>
      </w:r>
    </w:p>
    <w:p w14:paraId="33871E4E"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In China, the impact of ownership concentration was studied by Ahmed and Ahmed (2022), who found a positive association with firm performance, particularly after the stock split reform. However, state ownership was found to have a negative impact on financial performance. Pandey and Sahu (2022) also explored the effects of ownership concentration in India, revealing that while it worsened horizontal agency problems, it did not necessarily enhance financial performance, advocating for stricter external regulations to protect minority shareholders.</w:t>
      </w:r>
    </w:p>
    <w:p w14:paraId="61A26D2D"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Huang and Xue (2016) focused on share pledges in China, revealing that concentrated ownership could lead to earnings manipulation, especially when major shareholders had vested interests, underscoring the importance of understanding regulatory changes in shaping financial reporting practices.</w:t>
      </w:r>
    </w:p>
    <w:p w14:paraId="2F434532"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These studies collectively highlight the dynamic interplay between ownership structure, governance mechanisms, and financial reporting quality, showing that the effects of ownership concentration, managerial ownership, and institutional investors vary across different regulatory environments and corporate settings.</w:t>
      </w:r>
    </w:p>
    <w:p w14:paraId="42C24D94"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3.0 METHODOLOGY</w:t>
      </w:r>
    </w:p>
    <w:p w14:paraId="33270C5F"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3.1 Research Design</w:t>
      </w:r>
    </w:p>
    <w:p w14:paraId="7C1257AC"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The study adopts an ex-post facto research design, utilizing pre-collected quantitative secondary data, which allows for analysing the impact of ownership structure on financial reporting quality without direct manipulation. A correlational design is used to explore relationships between variables, without implying causation, enhancing our understanding of ownership's influence on financial reporting.</w:t>
      </w:r>
    </w:p>
    <w:p w14:paraId="66BA6668"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The population includes 20 consumer goods companies listed on the Nigerian Exchange Group (NGX) as of December 31, 2021. A purposive sample of 15 companies (75% of the sector) is </w:t>
      </w:r>
      <w:r>
        <w:rPr>
          <w:rFonts w:ascii="Times New Roman" w:hAnsi="Times New Roman"/>
          <w:sz w:val="24"/>
          <w:szCs w:val="24"/>
        </w:rPr>
        <w:lastRenderedPageBreak/>
        <w:t>selected, covering 2012-2021, with 150 firm-year observations. Secondary data from annual reports are used, extracting ownership data from the Directors' report and financial reporting quality variables from the statements of comprehensive income, financial position, and notes to the accounts.</w:t>
      </w:r>
    </w:p>
    <w:p w14:paraId="17F7869D"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3.2   Model Specification</w:t>
      </w:r>
    </w:p>
    <w:p w14:paraId="0DF3FEEB"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The econometric model adopted in this study is stated below:</w:t>
      </w:r>
    </w:p>
    <w:p w14:paraId="64873497" w14:textId="77777777" w:rsidR="001F48CA" w:rsidRDefault="00000000">
      <w:pPr>
        <w:spacing w:line="360" w:lineRule="auto"/>
        <w:jc w:val="both"/>
        <w:rPr>
          <w:rFonts w:ascii="Times New Roman" w:hAnsi="Times New Roman"/>
          <w:sz w:val="24"/>
          <w:szCs w:val="24"/>
        </w:rPr>
      </w:pPr>
      <w:proofErr w:type="spellStart"/>
      <w:r>
        <w:rPr>
          <w:rFonts w:ascii="Times New Roman" w:hAnsi="Times New Roman"/>
          <w:sz w:val="24"/>
          <w:szCs w:val="24"/>
        </w:rPr>
        <w:t>DACCRit</w:t>
      </w:r>
      <w:proofErr w:type="spellEnd"/>
      <w:r>
        <w:rPr>
          <w:rFonts w:ascii="Times New Roman" w:hAnsi="Times New Roman"/>
          <w:sz w:val="24"/>
          <w:szCs w:val="24"/>
        </w:rPr>
        <w:t xml:space="preserve"> = β0 +β1MGROS</w:t>
      </w:r>
      <w:r>
        <w:rPr>
          <w:rFonts w:ascii="Times New Roman" w:hAnsi="Times New Roman"/>
          <w:sz w:val="24"/>
          <w:szCs w:val="24"/>
          <w:vertAlign w:val="subscript"/>
        </w:rPr>
        <w:t>it</w:t>
      </w:r>
      <w:r>
        <w:rPr>
          <w:rFonts w:ascii="Times New Roman" w:hAnsi="Times New Roman"/>
          <w:sz w:val="24"/>
          <w:szCs w:val="24"/>
        </w:rPr>
        <w:t>+β2INST</w:t>
      </w:r>
      <w:r>
        <w:rPr>
          <w:rFonts w:ascii="Times New Roman" w:hAnsi="Times New Roman"/>
          <w:sz w:val="24"/>
          <w:szCs w:val="24"/>
          <w:vertAlign w:val="subscript"/>
        </w:rPr>
        <w:t>it</w:t>
      </w:r>
      <w:r>
        <w:rPr>
          <w:rFonts w:ascii="Times New Roman" w:hAnsi="Times New Roman"/>
          <w:sz w:val="24"/>
          <w:szCs w:val="24"/>
        </w:rPr>
        <w:t>+ β3OWNCONS</w:t>
      </w:r>
      <w:r>
        <w:rPr>
          <w:rFonts w:ascii="Times New Roman" w:hAnsi="Times New Roman"/>
          <w:sz w:val="24"/>
          <w:szCs w:val="24"/>
          <w:vertAlign w:val="subscript"/>
        </w:rPr>
        <w:t>it</w:t>
      </w:r>
      <w:r>
        <w:rPr>
          <w:rFonts w:ascii="Times New Roman" w:hAnsi="Times New Roman"/>
          <w:sz w:val="24"/>
          <w:szCs w:val="24"/>
        </w:rPr>
        <w:t xml:space="preserve"> + β5SIZEit + β6LEV</w:t>
      </w:r>
      <w:r>
        <w:rPr>
          <w:rFonts w:ascii="Times New Roman" w:hAnsi="Times New Roman"/>
          <w:sz w:val="24"/>
          <w:szCs w:val="24"/>
          <w:vertAlign w:val="subscript"/>
        </w:rPr>
        <w:t>it</w:t>
      </w:r>
      <w:r>
        <w:rPr>
          <w:rFonts w:ascii="Times New Roman" w:hAnsi="Times New Roman"/>
          <w:sz w:val="24"/>
          <w:szCs w:val="24"/>
        </w:rPr>
        <w:t xml:space="preserve"> + </w:t>
      </w:r>
      <w:proofErr w:type="spellStart"/>
      <w:r>
        <w:rPr>
          <w:rFonts w:ascii="Times New Roman" w:hAnsi="Times New Roman"/>
          <w:sz w:val="28"/>
          <w:szCs w:val="28"/>
        </w:rPr>
        <w:t>ε</w:t>
      </w:r>
      <w:r>
        <w:rPr>
          <w:rFonts w:ascii="Times New Roman" w:hAnsi="Times New Roman"/>
          <w:sz w:val="24"/>
          <w:szCs w:val="24"/>
          <w:vertAlign w:val="subscript"/>
        </w:rPr>
        <w:t>it</w:t>
      </w:r>
      <w:proofErr w:type="spellEnd"/>
      <w:r>
        <w:rPr>
          <w:rFonts w:ascii="Times New Roman" w:hAnsi="Times New Roman"/>
          <w:sz w:val="24"/>
          <w:szCs w:val="24"/>
          <w:vertAlign w:val="subscript"/>
        </w:rPr>
        <w:t xml:space="preserve"> </w:t>
      </w:r>
      <w:r>
        <w:rPr>
          <w:rFonts w:ascii="Times New Roman" w:hAnsi="Times New Roman"/>
          <w:sz w:val="24"/>
          <w:szCs w:val="24"/>
        </w:rPr>
        <w:t xml:space="preserve">    </w:t>
      </w:r>
    </w:p>
    <w:p w14:paraId="31F9800A"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where:</w:t>
      </w:r>
    </w:p>
    <w:p w14:paraId="4BB1CAC9" w14:textId="77777777" w:rsidR="001F48CA" w:rsidRDefault="00000000">
      <w:pPr>
        <w:spacing w:line="360" w:lineRule="auto"/>
        <w:jc w:val="both"/>
        <w:rPr>
          <w:rFonts w:ascii="Times New Roman" w:hAnsi="Times New Roman"/>
          <w:sz w:val="24"/>
          <w:szCs w:val="24"/>
        </w:rPr>
      </w:pPr>
      <w:proofErr w:type="spellStart"/>
      <w:r>
        <w:rPr>
          <w:rFonts w:ascii="Times New Roman" w:hAnsi="Times New Roman"/>
          <w:sz w:val="24"/>
          <w:szCs w:val="24"/>
        </w:rPr>
        <w:t>DACCR</w:t>
      </w:r>
      <w:r>
        <w:rPr>
          <w:rFonts w:ascii="Times New Roman" w:hAnsi="Times New Roman"/>
          <w:sz w:val="24"/>
          <w:szCs w:val="24"/>
          <w:vertAlign w:val="subscript"/>
        </w:rPr>
        <w:t>it</w:t>
      </w:r>
      <w:proofErr w:type="spellEnd"/>
      <w:r>
        <w:rPr>
          <w:rFonts w:ascii="Times New Roman" w:hAnsi="Times New Roman"/>
          <w:sz w:val="24"/>
          <w:szCs w:val="24"/>
        </w:rPr>
        <w:t xml:space="preserve"> = discretionary accruals (</w:t>
      </w:r>
      <w:proofErr w:type="spellStart"/>
      <w:r>
        <w:rPr>
          <w:rFonts w:ascii="Times New Roman" w:hAnsi="Times New Roman"/>
          <w:sz w:val="24"/>
          <w:szCs w:val="24"/>
        </w:rPr>
        <w:t>i.e</w:t>
      </w:r>
      <w:proofErr w:type="spellEnd"/>
      <w:r>
        <w:rPr>
          <w:rFonts w:ascii="Times New Roman" w:hAnsi="Times New Roman"/>
          <w:sz w:val="24"/>
          <w:szCs w:val="24"/>
        </w:rPr>
        <w:t xml:space="preserve"> Financial Reporting Quality)</w:t>
      </w:r>
    </w:p>
    <w:p w14:paraId="7EBD61F9" w14:textId="77777777" w:rsidR="001F48CA" w:rsidRDefault="00000000">
      <w:pPr>
        <w:spacing w:line="360" w:lineRule="auto"/>
        <w:jc w:val="both"/>
        <w:rPr>
          <w:rFonts w:ascii="Times New Roman" w:hAnsi="Times New Roman"/>
          <w:sz w:val="24"/>
          <w:szCs w:val="24"/>
        </w:rPr>
      </w:pPr>
      <w:proofErr w:type="spellStart"/>
      <w:r>
        <w:rPr>
          <w:rFonts w:ascii="Times New Roman" w:hAnsi="Times New Roman"/>
          <w:sz w:val="24"/>
          <w:szCs w:val="24"/>
        </w:rPr>
        <w:t>MGROS</w:t>
      </w:r>
      <w:r>
        <w:rPr>
          <w:rFonts w:ascii="Times New Roman" w:hAnsi="Times New Roman"/>
          <w:sz w:val="24"/>
          <w:szCs w:val="24"/>
          <w:vertAlign w:val="subscript"/>
        </w:rPr>
        <w:t>it</w:t>
      </w:r>
      <w:proofErr w:type="spellEnd"/>
      <w:r>
        <w:rPr>
          <w:rFonts w:ascii="Times New Roman" w:hAnsi="Times New Roman"/>
          <w:sz w:val="24"/>
          <w:szCs w:val="24"/>
        </w:rPr>
        <w:t xml:space="preserve"> = managerial ownership,</w:t>
      </w:r>
    </w:p>
    <w:p w14:paraId="42648F4F" w14:textId="77777777" w:rsidR="001F48CA" w:rsidRDefault="00000000">
      <w:pPr>
        <w:spacing w:line="360" w:lineRule="auto"/>
        <w:jc w:val="both"/>
        <w:rPr>
          <w:rFonts w:ascii="Times New Roman" w:hAnsi="Times New Roman"/>
          <w:sz w:val="24"/>
          <w:szCs w:val="24"/>
        </w:rPr>
      </w:pPr>
      <w:proofErr w:type="spellStart"/>
      <w:r>
        <w:rPr>
          <w:rFonts w:ascii="Times New Roman" w:hAnsi="Times New Roman"/>
          <w:sz w:val="24"/>
          <w:szCs w:val="24"/>
        </w:rPr>
        <w:t>INST</w:t>
      </w:r>
      <w:r>
        <w:rPr>
          <w:rFonts w:ascii="Times New Roman" w:hAnsi="Times New Roman"/>
          <w:sz w:val="24"/>
          <w:szCs w:val="24"/>
          <w:vertAlign w:val="subscript"/>
        </w:rPr>
        <w:t>it</w:t>
      </w:r>
      <w:proofErr w:type="spellEnd"/>
      <w:r>
        <w:rPr>
          <w:rFonts w:ascii="Times New Roman" w:hAnsi="Times New Roman"/>
          <w:sz w:val="24"/>
          <w:szCs w:val="24"/>
        </w:rPr>
        <w:t xml:space="preserve"> = institutional ownership</w:t>
      </w:r>
    </w:p>
    <w:p w14:paraId="26DA9B4C" w14:textId="77777777" w:rsidR="001F48CA" w:rsidRDefault="00000000">
      <w:pPr>
        <w:spacing w:line="360" w:lineRule="auto"/>
        <w:jc w:val="both"/>
        <w:rPr>
          <w:rFonts w:ascii="Times New Roman" w:hAnsi="Times New Roman"/>
          <w:sz w:val="24"/>
          <w:szCs w:val="24"/>
        </w:rPr>
      </w:pPr>
      <w:proofErr w:type="spellStart"/>
      <w:r>
        <w:rPr>
          <w:rFonts w:ascii="Times New Roman" w:hAnsi="Times New Roman"/>
          <w:sz w:val="24"/>
          <w:szCs w:val="24"/>
        </w:rPr>
        <w:t>OWNCONS</w:t>
      </w:r>
      <w:r>
        <w:rPr>
          <w:rFonts w:ascii="Times New Roman" w:hAnsi="Times New Roman"/>
          <w:sz w:val="24"/>
          <w:szCs w:val="24"/>
          <w:vertAlign w:val="subscript"/>
        </w:rPr>
        <w:t>it</w:t>
      </w:r>
      <w:proofErr w:type="spellEnd"/>
      <w:r>
        <w:rPr>
          <w:rFonts w:ascii="Times New Roman" w:hAnsi="Times New Roman"/>
          <w:sz w:val="24"/>
          <w:szCs w:val="24"/>
        </w:rPr>
        <w:t xml:space="preserve"> = Ownership concentration, </w:t>
      </w:r>
    </w:p>
    <w:p w14:paraId="2B848508" w14:textId="77777777" w:rsidR="001F48CA" w:rsidRDefault="00000000">
      <w:pPr>
        <w:spacing w:line="360" w:lineRule="auto"/>
        <w:jc w:val="both"/>
        <w:rPr>
          <w:rFonts w:ascii="Times New Roman" w:hAnsi="Times New Roman"/>
          <w:sz w:val="24"/>
          <w:szCs w:val="24"/>
        </w:rPr>
      </w:pPr>
      <w:proofErr w:type="spellStart"/>
      <w:r>
        <w:rPr>
          <w:rFonts w:ascii="Times New Roman" w:hAnsi="Times New Roman"/>
          <w:sz w:val="24"/>
          <w:szCs w:val="24"/>
        </w:rPr>
        <w:t>SIZE</w:t>
      </w:r>
      <w:r>
        <w:rPr>
          <w:rFonts w:ascii="Times New Roman" w:hAnsi="Times New Roman"/>
          <w:sz w:val="24"/>
          <w:szCs w:val="24"/>
          <w:vertAlign w:val="subscript"/>
        </w:rPr>
        <w:t>it</w:t>
      </w:r>
      <w:proofErr w:type="spellEnd"/>
      <w:r>
        <w:rPr>
          <w:rFonts w:ascii="Times New Roman" w:hAnsi="Times New Roman"/>
          <w:sz w:val="24"/>
          <w:szCs w:val="24"/>
        </w:rPr>
        <w:t xml:space="preserve"> = Firms Size,</w:t>
      </w:r>
    </w:p>
    <w:p w14:paraId="15F05641" w14:textId="77777777" w:rsidR="001F48CA" w:rsidRDefault="00000000">
      <w:pPr>
        <w:spacing w:line="360" w:lineRule="auto"/>
        <w:jc w:val="both"/>
        <w:rPr>
          <w:rFonts w:ascii="Times New Roman" w:hAnsi="Times New Roman"/>
          <w:sz w:val="24"/>
          <w:szCs w:val="24"/>
        </w:rPr>
      </w:pPr>
      <w:proofErr w:type="spellStart"/>
      <w:r>
        <w:rPr>
          <w:rFonts w:ascii="Times New Roman" w:hAnsi="Times New Roman"/>
          <w:sz w:val="24"/>
          <w:szCs w:val="24"/>
        </w:rPr>
        <w:t>LEV</w:t>
      </w:r>
      <w:r>
        <w:rPr>
          <w:rFonts w:ascii="Times New Roman" w:hAnsi="Times New Roman"/>
          <w:sz w:val="24"/>
          <w:szCs w:val="24"/>
          <w:vertAlign w:val="subscript"/>
        </w:rPr>
        <w:t>it</w:t>
      </w:r>
      <w:proofErr w:type="spellEnd"/>
      <w:r>
        <w:rPr>
          <w:rFonts w:ascii="Times New Roman" w:hAnsi="Times New Roman"/>
          <w:sz w:val="24"/>
          <w:szCs w:val="24"/>
        </w:rPr>
        <w:t xml:space="preserve"> = Firms Financial Leverage,</w:t>
      </w:r>
    </w:p>
    <w:p w14:paraId="4029C6FE"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βo = Intercept,</w:t>
      </w:r>
    </w:p>
    <w:p w14:paraId="1DC3CDC6"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β1- β6 = Coefficient and</w:t>
      </w:r>
    </w:p>
    <w:p w14:paraId="7BB9F40D" w14:textId="77777777" w:rsidR="001F48CA" w:rsidRDefault="00000000">
      <w:pPr>
        <w:spacing w:line="360" w:lineRule="auto"/>
        <w:jc w:val="both"/>
        <w:rPr>
          <w:rFonts w:ascii="Times New Roman" w:hAnsi="Times New Roman"/>
          <w:sz w:val="24"/>
          <w:szCs w:val="24"/>
        </w:rPr>
      </w:pPr>
      <w:proofErr w:type="spellStart"/>
      <w:r>
        <w:rPr>
          <w:rFonts w:ascii="Times New Roman" w:hAnsi="Times New Roman"/>
          <w:sz w:val="28"/>
          <w:szCs w:val="28"/>
        </w:rPr>
        <w:t>ε</w:t>
      </w:r>
      <w:r>
        <w:rPr>
          <w:rFonts w:ascii="Times New Roman" w:hAnsi="Times New Roman"/>
          <w:sz w:val="24"/>
          <w:szCs w:val="24"/>
          <w:vertAlign w:val="subscript"/>
        </w:rPr>
        <w:t>it</w:t>
      </w:r>
      <w:proofErr w:type="spellEnd"/>
      <w:r>
        <w:rPr>
          <w:rFonts w:ascii="Times New Roman" w:hAnsi="Times New Roman"/>
          <w:sz w:val="24"/>
          <w:szCs w:val="24"/>
        </w:rPr>
        <w:t xml:space="preserve"> = Error term.   </w:t>
      </w:r>
    </w:p>
    <w:p w14:paraId="27D48FBC" w14:textId="77777777" w:rsidR="001F48CA" w:rsidRDefault="00000000">
      <w:pPr>
        <w:suppressAutoHyphens w:val="0"/>
        <w:spacing w:after="200" w:line="360" w:lineRule="auto"/>
        <w:jc w:val="both"/>
        <w:textAlignment w:val="auto"/>
        <w:rPr>
          <w:rFonts w:ascii="Times New Roman" w:hAnsi="Times New Roman"/>
          <w:b/>
          <w:sz w:val="24"/>
          <w:szCs w:val="24"/>
        </w:rPr>
      </w:pPr>
      <w:r>
        <w:rPr>
          <w:rFonts w:ascii="Times New Roman" w:hAnsi="Times New Roman"/>
          <w:b/>
          <w:sz w:val="24"/>
          <w:szCs w:val="24"/>
        </w:rPr>
        <w:t>3.3</w:t>
      </w:r>
      <w:r>
        <w:rPr>
          <w:rFonts w:ascii="Times New Roman" w:hAnsi="Times New Roman"/>
          <w:b/>
          <w:sz w:val="24"/>
          <w:szCs w:val="24"/>
        </w:rPr>
        <w:tab/>
        <w:t>Control variables</w:t>
      </w:r>
    </w:p>
    <w:p w14:paraId="209AE043" w14:textId="280157DB" w:rsidR="001F48CA" w:rsidRDefault="00000000">
      <w:pPr>
        <w:suppressAutoHyphens w:val="0"/>
        <w:spacing w:after="200" w:line="360" w:lineRule="auto"/>
        <w:jc w:val="both"/>
        <w:textAlignment w:val="auto"/>
        <w:rPr>
          <w:rFonts w:ascii="Times New Roman" w:hAnsi="Times New Roman"/>
          <w:sz w:val="24"/>
          <w:szCs w:val="24"/>
        </w:rPr>
      </w:pPr>
      <w:r>
        <w:rPr>
          <w:rFonts w:ascii="Times New Roman" w:hAnsi="Times New Roman"/>
          <w:sz w:val="24"/>
          <w:szCs w:val="24"/>
        </w:rPr>
        <w:t>Two control variables are used in this study. They are firm size and financial leverage. Their measurements are also presented in Table 1</w:t>
      </w:r>
    </w:p>
    <w:p w14:paraId="709A3052" w14:textId="0C5E6248" w:rsidR="001F48CA" w:rsidRDefault="00000000">
      <w:pPr>
        <w:suppressAutoHyphens w:val="0"/>
        <w:spacing w:after="0" w:line="360" w:lineRule="auto"/>
        <w:ind w:firstLine="720"/>
        <w:jc w:val="both"/>
        <w:textAlignment w:val="auto"/>
      </w:pPr>
      <w:r>
        <w:rPr>
          <w:rFonts w:ascii="Times New Roman" w:hAnsi="Times New Roman"/>
          <w:b/>
          <w:sz w:val="24"/>
          <w:szCs w:val="24"/>
        </w:rPr>
        <w:t xml:space="preserve">Table 1: Variable Definition and Measurement </w:t>
      </w:r>
    </w:p>
    <w:tbl>
      <w:tblPr>
        <w:tblW w:w="9270" w:type="dxa"/>
        <w:tblInd w:w="100" w:type="dxa"/>
        <w:tblCellMar>
          <w:left w:w="10" w:type="dxa"/>
          <w:right w:w="10" w:type="dxa"/>
        </w:tblCellMar>
        <w:tblLook w:val="04A0" w:firstRow="1" w:lastRow="0" w:firstColumn="1" w:lastColumn="0" w:noHBand="0" w:noVBand="1"/>
      </w:tblPr>
      <w:tblGrid>
        <w:gridCol w:w="2872"/>
        <w:gridCol w:w="1628"/>
        <w:gridCol w:w="4770"/>
      </w:tblGrid>
      <w:tr w:rsidR="001F48CA" w14:paraId="1E3BF35D" w14:textId="77777777">
        <w:trPr>
          <w:trHeight w:val="440"/>
        </w:trPr>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63CACA7" w14:textId="77777777" w:rsidR="001F48CA" w:rsidRDefault="00000000">
            <w:pPr>
              <w:suppressAutoHyphens w:val="0"/>
              <w:spacing w:after="0" w:line="360" w:lineRule="auto"/>
              <w:jc w:val="both"/>
              <w:textAlignment w:val="auto"/>
              <w:rPr>
                <w:rFonts w:ascii="Times New Roman" w:hAnsi="Times New Roman"/>
                <w:sz w:val="24"/>
                <w:szCs w:val="24"/>
              </w:rPr>
            </w:pPr>
            <w:r>
              <w:rPr>
                <w:rFonts w:ascii="Times New Roman" w:hAnsi="Times New Roman"/>
                <w:sz w:val="24"/>
                <w:szCs w:val="24"/>
              </w:rPr>
              <w:t>Variable</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40B86E0A" w14:textId="77777777" w:rsidR="001F48CA" w:rsidRDefault="00000000">
            <w:pPr>
              <w:suppressAutoHyphens w:val="0"/>
              <w:spacing w:after="200" w:line="360" w:lineRule="auto"/>
              <w:jc w:val="both"/>
              <w:textAlignment w:val="auto"/>
              <w:rPr>
                <w:rFonts w:ascii="Times New Roman" w:hAnsi="Times New Roman"/>
                <w:sz w:val="24"/>
                <w:szCs w:val="24"/>
              </w:rPr>
            </w:pPr>
            <w:r>
              <w:rPr>
                <w:rFonts w:ascii="Times New Roman" w:hAnsi="Times New Roman"/>
                <w:sz w:val="24"/>
                <w:szCs w:val="24"/>
              </w:rPr>
              <w:t>Type of Variable</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E625AA2" w14:textId="77777777" w:rsidR="001F48CA" w:rsidRDefault="00000000">
            <w:pPr>
              <w:suppressAutoHyphens w:val="0"/>
              <w:spacing w:after="200" w:line="360" w:lineRule="auto"/>
              <w:jc w:val="both"/>
              <w:textAlignment w:val="auto"/>
              <w:rPr>
                <w:rFonts w:ascii="Times New Roman" w:hAnsi="Times New Roman"/>
                <w:sz w:val="24"/>
                <w:szCs w:val="24"/>
              </w:rPr>
            </w:pPr>
            <w:r>
              <w:rPr>
                <w:rFonts w:ascii="Times New Roman" w:hAnsi="Times New Roman"/>
                <w:sz w:val="24"/>
                <w:szCs w:val="24"/>
              </w:rPr>
              <w:t>Measurement</w:t>
            </w:r>
          </w:p>
        </w:tc>
      </w:tr>
      <w:tr w:rsidR="001F48CA" w14:paraId="201D9D3B" w14:textId="77777777">
        <w:trPr>
          <w:trHeight w:val="440"/>
        </w:trPr>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7CF3E9A8" w14:textId="77777777" w:rsidR="001F48CA" w:rsidRDefault="00000000">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Financial Reporting Quality</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457DF0C" w14:textId="77777777" w:rsidR="001F48CA" w:rsidRDefault="00000000">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 xml:space="preserve">Independent </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A14A381" w14:textId="77777777" w:rsidR="001F48CA" w:rsidRDefault="00000000">
            <w:pPr>
              <w:suppressAutoHyphens w:val="0"/>
              <w:spacing w:after="20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 xml:space="preserve">Modified Jones model. </w:t>
            </w:r>
          </w:p>
          <w:p w14:paraId="74D16506" w14:textId="77777777" w:rsidR="001F48CA" w:rsidRDefault="00000000">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 xml:space="preserve">The Modified Jones Model is a preferred method for evaluating financial reporting quality due to </w:t>
            </w:r>
            <w:r>
              <w:rPr>
                <w:rFonts w:ascii="Times New Roman" w:hAnsi="Times New Roman"/>
                <w:sz w:val="24"/>
                <w:szCs w:val="24"/>
              </w:rPr>
              <w:lastRenderedPageBreak/>
              <w:t>its accruals-based approach, contextual factors, economic activity controls, and empirical support.</w:t>
            </w:r>
          </w:p>
        </w:tc>
      </w:tr>
      <w:tr w:rsidR="001F48CA" w14:paraId="15F342B1" w14:textId="77777777">
        <w:trPr>
          <w:trHeight w:val="612"/>
        </w:trPr>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B259243" w14:textId="77777777" w:rsidR="001F48CA" w:rsidRDefault="00000000">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lastRenderedPageBreak/>
              <w:t>Managerial Ownership</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B68E629" w14:textId="77777777" w:rsidR="001F48CA" w:rsidRDefault="00000000">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Independent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2529A38" w14:textId="77777777" w:rsidR="001F48CA" w:rsidRDefault="00000000">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 of Total Shares held by Directors (</w:t>
            </w:r>
            <w:proofErr w:type="spellStart"/>
            <w:r>
              <w:rPr>
                <w:rFonts w:ascii="Times New Roman" w:hAnsi="Times New Roman"/>
                <w:sz w:val="24"/>
                <w:szCs w:val="24"/>
              </w:rPr>
              <w:t>Karathanssis</w:t>
            </w:r>
            <w:proofErr w:type="spellEnd"/>
            <w:r>
              <w:rPr>
                <w:rFonts w:ascii="Times New Roman" w:hAnsi="Times New Roman"/>
                <w:sz w:val="24"/>
                <w:szCs w:val="24"/>
              </w:rPr>
              <w:t xml:space="preserve"> &amp; Drakos, 2004)</w:t>
            </w:r>
          </w:p>
        </w:tc>
      </w:tr>
      <w:tr w:rsidR="001F48CA" w14:paraId="4ED15A36" w14:textId="77777777">
        <w:trPr>
          <w:trHeight w:val="440"/>
        </w:trPr>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0524CCE" w14:textId="77777777" w:rsidR="001F48CA" w:rsidRDefault="00000000">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Institutional Ownership</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0593FC5" w14:textId="77777777" w:rsidR="001F48CA" w:rsidRDefault="00000000">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Independent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AF0469A" w14:textId="77777777" w:rsidR="001F48CA" w:rsidRDefault="00000000">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 of Total Shares held by Institutions (Koh, 2007)</w:t>
            </w:r>
          </w:p>
        </w:tc>
      </w:tr>
      <w:tr w:rsidR="001F48CA" w14:paraId="5F9C720C" w14:textId="77777777">
        <w:trPr>
          <w:trHeight w:val="440"/>
        </w:trPr>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07EA268" w14:textId="77777777" w:rsidR="001F48CA" w:rsidRDefault="00000000">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Ownership concentration</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52952FD" w14:textId="77777777" w:rsidR="001F48CA" w:rsidRDefault="00000000">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Independent</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D617A45" w14:textId="77777777" w:rsidR="001F48CA" w:rsidRDefault="00000000">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 of those that have up to 5% or more in the total shares in issue (SEC, 2011)</w:t>
            </w:r>
          </w:p>
        </w:tc>
      </w:tr>
      <w:tr w:rsidR="001F48CA" w14:paraId="65693C14" w14:textId="77777777">
        <w:trPr>
          <w:trHeight w:val="440"/>
        </w:trPr>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0FD00D0E" w14:textId="77777777" w:rsidR="001F48CA" w:rsidRDefault="00000000">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Firms size</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3B918BA2" w14:textId="77777777" w:rsidR="001F48CA" w:rsidRDefault="00000000">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Control</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59A68C82" w14:textId="77777777" w:rsidR="001F48CA" w:rsidRDefault="00000000">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Natural logarithm of total assets (</w:t>
            </w:r>
            <w:proofErr w:type="spellStart"/>
            <w:r>
              <w:rPr>
                <w:rFonts w:ascii="Times New Roman" w:hAnsi="Times New Roman"/>
                <w:sz w:val="24"/>
                <w:szCs w:val="24"/>
              </w:rPr>
              <w:t>Roodposhti</w:t>
            </w:r>
            <w:proofErr w:type="spellEnd"/>
            <w:r>
              <w:rPr>
                <w:rFonts w:ascii="Times New Roman" w:hAnsi="Times New Roman"/>
                <w:sz w:val="24"/>
                <w:szCs w:val="24"/>
              </w:rPr>
              <w:t xml:space="preserve"> &amp; Chashmis,2011)</w:t>
            </w:r>
          </w:p>
        </w:tc>
      </w:tr>
      <w:tr w:rsidR="001F48CA" w14:paraId="4EEEDFD2" w14:textId="77777777">
        <w:trPr>
          <w:trHeight w:val="440"/>
        </w:trPr>
        <w:tc>
          <w:tcPr>
            <w:tcW w:w="2872"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1132B7D7" w14:textId="77777777" w:rsidR="001F48CA" w:rsidRDefault="00000000">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Firms financial leverage</w:t>
            </w:r>
          </w:p>
        </w:tc>
        <w:tc>
          <w:tcPr>
            <w:tcW w:w="1628"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61C36E26" w14:textId="77777777" w:rsidR="001F48CA" w:rsidRDefault="00000000">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Control</w:t>
            </w:r>
          </w:p>
        </w:tc>
        <w:tc>
          <w:tcPr>
            <w:tcW w:w="4770" w:type="dxa"/>
            <w:tcBorders>
              <w:top w:val="single" w:sz="4" w:space="0" w:color="000000"/>
              <w:left w:val="single" w:sz="4" w:space="0" w:color="000000"/>
              <w:bottom w:val="single" w:sz="4" w:space="0" w:color="000000"/>
              <w:right w:val="single" w:sz="4" w:space="0" w:color="000000"/>
            </w:tcBorders>
            <w:shd w:val="clear" w:color="auto" w:fill="auto"/>
            <w:tcMar>
              <w:top w:w="0" w:type="dxa"/>
              <w:left w:w="10" w:type="dxa"/>
              <w:bottom w:w="0" w:type="dxa"/>
              <w:right w:w="10" w:type="dxa"/>
            </w:tcMar>
          </w:tcPr>
          <w:p w14:paraId="216586BE" w14:textId="77777777" w:rsidR="001F48CA" w:rsidRDefault="00000000">
            <w:pPr>
              <w:suppressAutoHyphens w:val="0"/>
              <w:spacing w:after="200" w:line="360" w:lineRule="auto"/>
              <w:textAlignment w:val="auto"/>
              <w:rPr>
                <w:rFonts w:ascii="Times New Roman" w:hAnsi="Times New Roman"/>
                <w:sz w:val="24"/>
                <w:szCs w:val="24"/>
              </w:rPr>
            </w:pPr>
            <w:r>
              <w:rPr>
                <w:rFonts w:ascii="Times New Roman" w:hAnsi="Times New Roman"/>
                <w:sz w:val="24"/>
                <w:szCs w:val="24"/>
              </w:rPr>
              <w:t>Ratio of total liabilities to total assets (Kamran &amp; Attaullah, 2014)</w:t>
            </w:r>
          </w:p>
        </w:tc>
      </w:tr>
    </w:tbl>
    <w:p w14:paraId="3D0D48FD" w14:textId="77777777" w:rsidR="001F48CA" w:rsidRDefault="00000000">
      <w:pPr>
        <w:suppressAutoHyphens w:val="0"/>
        <w:spacing w:after="200" w:line="360" w:lineRule="auto"/>
        <w:textAlignment w:val="auto"/>
      </w:pPr>
      <w:r>
        <w:rPr>
          <w:rFonts w:ascii="Times New Roman" w:hAnsi="Times New Roman"/>
          <w:sz w:val="24"/>
          <w:szCs w:val="24"/>
        </w:rPr>
        <w:t xml:space="preserve">         </w:t>
      </w:r>
      <w:r>
        <w:rPr>
          <w:rFonts w:ascii="Times New Roman" w:hAnsi="Times New Roman"/>
          <w:b/>
          <w:sz w:val="24"/>
          <w:szCs w:val="24"/>
        </w:rPr>
        <w:t>Source: Author’s Compilation</w:t>
      </w:r>
    </w:p>
    <w:p w14:paraId="41B5F99C"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 xml:space="preserve">3.3 Method of data analysis </w:t>
      </w:r>
    </w:p>
    <w:p w14:paraId="7D35BE7E"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Panel regression analysis is employed to examine ownership structure's effect on financial reporting quality. This method is chosen for its ability to handle time and cross-sectional data, providing more robust results by reducing the degree of freedom problem and multicollinearity, while capturing firm-specific effects. The Hausman specification test determines whether fixed or random effects are appropriate. The T-test and F-test assess individual and overall statistical significance, and the goodness of fit is evaluated using the coefficient of determination (R²). Preliminary tests, including descriptive statistics, normality, correlation analysis, variance inflation, and heteroscedasticity tests, are conducted. All analyses are performed at a 5% significance level using STATA 13 software.</w:t>
      </w:r>
    </w:p>
    <w:p w14:paraId="11D9EC66"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4.0 Data Analysis</w:t>
      </w:r>
    </w:p>
    <w:p w14:paraId="704ECC02"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4.1 Descriptive Statistics</w:t>
      </w:r>
    </w:p>
    <w:p w14:paraId="19F56975"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Descriptive statistics provide key features of the data such as minimum and maximum values, mean, median, standard deviation, skewness, kurtosis, and Jacque-Bera statistics with </w:t>
      </w:r>
      <w:r>
        <w:rPr>
          <w:rFonts w:ascii="Times New Roman" w:hAnsi="Times New Roman"/>
          <w:sz w:val="24"/>
          <w:szCs w:val="24"/>
        </w:rPr>
        <w:lastRenderedPageBreak/>
        <w:t>associated probabilities. These statistics offer insights into the distribution and characteristics of the variables used in the analysis.</w:t>
      </w:r>
    </w:p>
    <w:p w14:paraId="76DB6360" w14:textId="707CE15C" w:rsidR="001F48CA" w:rsidRDefault="00000000">
      <w:pPr>
        <w:spacing w:line="360" w:lineRule="auto"/>
        <w:jc w:val="both"/>
        <w:rPr>
          <w:rFonts w:ascii="Times New Roman" w:hAnsi="Times New Roman"/>
          <w:b/>
          <w:sz w:val="24"/>
          <w:szCs w:val="24"/>
        </w:rPr>
      </w:pPr>
      <w:r>
        <w:rPr>
          <w:rFonts w:ascii="Times New Roman" w:hAnsi="Times New Roman"/>
          <w:b/>
          <w:sz w:val="24"/>
          <w:szCs w:val="24"/>
        </w:rPr>
        <w:t xml:space="preserve">Table </w:t>
      </w:r>
      <w:r w:rsidR="00A01C6A">
        <w:rPr>
          <w:rFonts w:ascii="Times New Roman" w:hAnsi="Times New Roman"/>
          <w:b/>
          <w:sz w:val="24"/>
          <w:szCs w:val="24"/>
        </w:rPr>
        <w:t>2</w:t>
      </w:r>
      <w:r>
        <w:rPr>
          <w:rFonts w:ascii="Times New Roman" w:hAnsi="Times New Roman"/>
          <w:b/>
          <w:sz w:val="24"/>
          <w:szCs w:val="24"/>
        </w:rPr>
        <w:t>: Descriptive Statistics Result</w:t>
      </w:r>
    </w:p>
    <w:tbl>
      <w:tblPr>
        <w:tblW w:w="9338" w:type="dxa"/>
        <w:tblInd w:w="30" w:type="dxa"/>
        <w:tblLayout w:type="fixed"/>
        <w:tblCellMar>
          <w:left w:w="10" w:type="dxa"/>
          <w:right w:w="10" w:type="dxa"/>
        </w:tblCellMar>
        <w:tblLook w:val="04A0" w:firstRow="1" w:lastRow="0" w:firstColumn="1" w:lastColumn="0" w:noHBand="0" w:noVBand="1"/>
      </w:tblPr>
      <w:tblGrid>
        <w:gridCol w:w="1487"/>
        <w:gridCol w:w="1309"/>
        <w:gridCol w:w="1308"/>
        <w:gridCol w:w="1309"/>
        <w:gridCol w:w="1308"/>
        <w:gridCol w:w="1309"/>
        <w:gridCol w:w="1308"/>
      </w:tblGrid>
      <w:tr w:rsidR="001F48CA" w14:paraId="65DFC41E" w14:textId="77777777">
        <w:trPr>
          <w:trHeight w:val="432"/>
        </w:trPr>
        <w:tc>
          <w:tcPr>
            <w:tcW w:w="1487" w:type="dxa"/>
            <w:tcBorders>
              <w:top w:val="single" w:sz="4" w:space="0" w:color="000000"/>
              <w:bottom w:val="single" w:sz="4" w:space="0" w:color="000000"/>
            </w:tcBorders>
            <w:shd w:val="clear" w:color="auto" w:fill="auto"/>
            <w:tcMar>
              <w:top w:w="0" w:type="dxa"/>
              <w:left w:w="0" w:type="dxa"/>
              <w:bottom w:w="0" w:type="dxa"/>
              <w:right w:w="0" w:type="dxa"/>
            </w:tcMar>
            <w:vAlign w:val="bottom"/>
          </w:tcPr>
          <w:p w14:paraId="59804AB7"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Measure</w:t>
            </w:r>
          </w:p>
        </w:tc>
        <w:tc>
          <w:tcPr>
            <w:tcW w:w="1309" w:type="dxa"/>
            <w:tcBorders>
              <w:top w:val="single" w:sz="4" w:space="0" w:color="000000"/>
              <w:bottom w:val="single" w:sz="4" w:space="0" w:color="000000"/>
            </w:tcBorders>
            <w:shd w:val="clear" w:color="auto" w:fill="auto"/>
            <w:tcMar>
              <w:top w:w="0" w:type="dxa"/>
              <w:left w:w="0" w:type="dxa"/>
              <w:bottom w:w="0" w:type="dxa"/>
              <w:right w:w="0" w:type="dxa"/>
            </w:tcMar>
            <w:vAlign w:val="bottom"/>
          </w:tcPr>
          <w:p w14:paraId="29BF3D9A"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DACCR</w:t>
            </w:r>
          </w:p>
        </w:tc>
        <w:tc>
          <w:tcPr>
            <w:tcW w:w="1308" w:type="dxa"/>
            <w:tcBorders>
              <w:top w:val="single" w:sz="4" w:space="0" w:color="000000"/>
              <w:bottom w:val="single" w:sz="4" w:space="0" w:color="000000"/>
            </w:tcBorders>
            <w:shd w:val="clear" w:color="auto" w:fill="auto"/>
            <w:tcMar>
              <w:top w:w="0" w:type="dxa"/>
              <w:left w:w="0" w:type="dxa"/>
              <w:bottom w:w="0" w:type="dxa"/>
              <w:right w:w="0" w:type="dxa"/>
            </w:tcMar>
            <w:vAlign w:val="bottom"/>
          </w:tcPr>
          <w:p w14:paraId="28AAFEBC"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MGROS</w:t>
            </w:r>
          </w:p>
        </w:tc>
        <w:tc>
          <w:tcPr>
            <w:tcW w:w="1309" w:type="dxa"/>
            <w:tcBorders>
              <w:top w:val="single" w:sz="4" w:space="0" w:color="000000"/>
              <w:bottom w:val="single" w:sz="4" w:space="0" w:color="000000"/>
            </w:tcBorders>
            <w:shd w:val="clear" w:color="auto" w:fill="auto"/>
            <w:tcMar>
              <w:top w:w="0" w:type="dxa"/>
              <w:left w:w="0" w:type="dxa"/>
              <w:bottom w:w="0" w:type="dxa"/>
              <w:right w:w="0" w:type="dxa"/>
            </w:tcMar>
            <w:vAlign w:val="bottom"/>
          </w:tcPr>
          <w:p w14:paraId="42FB3835"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INST</w:t>
            </w:r>
          </w:p>
        </w:tc>
        <w:tc>
          <w:tcPr>
            <w:tcW w:w="1308" w:type="dxa"/>
            <w:tcBorders>
              <w:top w:val="single" w:sz="4" w:space="0" w:color="000000"/>
              <w:bottom w:val="single" w:sz="4" w:space="0" w:color="000000"/>
            </w:tcBorders>
            <w:shd w:val="clear" w:color="auto" w:fill="auto"/>
            <w:tcMar>
              <w:top w:w="0" w:type="dxa"/>
              <w:left w:w="0" w:type="dxa"/>
              <w:bottom w:w="0" w:type="dxa"/>
              <w:right w:w="0" w:type="dxa"/>
            </w:tcMar>
            <w:vAlign w:val="bottom"/>
          </w:tcPr>
          <w:p w14:paraId="3AA80ECA"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OWNCONS</w:t>
            </w:r>
          </w:p>
        </w:tc>
        <w:tc>
          <w:tcPr>
            <w:tcW w:w="1309" w:type="dxa"/>
            <w:tcBorders>
              <w:top w:val="single" w:sz="4" w:space="0" w:color="000000"/>
              <w:bottom w:val="single" w:sz="4" w:space="0" w:color="000000"/>
            </w:tcBorders>
            <w:shd w:val="clear" w:color="auto" w:fill="auto"/>
            <w:tcMar>
              <w:top w:w="0" w:type="dxa"/>
              <w:left w:w="0" w:type="dxa"/>
              <w:bottom w:w="0" w:type="dxa"/>
              <w:right w:w="0" w:type="dxa"/>
            </w:tcMar>
            <w:vAlign w:val="bottom"/>
          </w:tcPr>
          <w:p w14:paraId="5C4C2470"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SIZE</w:t>
            </w:r>
          </w:p>
        </w:tc>
        <w:tc>
          <w:tcPr>
            <w:tcW w:w="1308" w:type="dxa"/>
            <w:tcBorders>
              <w:top w:val="single" w:sz="4" w:space="0" w:color="000000"/>
              <w:bottom w:val="single" w:sz="4" w:space="0" w:color="000000"/>
            </w:tcBorders>
            <w:shd w:val="clear" w:color="auto" w:fill="auto"/>
            <w:tcMar>
              <w:top w:w="0" w:type="dxa"/>
              <w:left w:w="0" w:type="dxa"/>
              <w:bottom w:w="0" w:type="dxa"/>
              <w:right w:w="0" w:type="dxa"/>
            </w:tcMar>
            <w:vAlign w:val="bottom"/>
          </w:tcPr>
          <w:p w14:paraId="701EBA58"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LEV</w:t>
            </w:r>
          </w:p>
        </w:tc>
      </w:tr>
      <w:tr w:rsidR="001F48CA" w14:paraId="4260904B" w14:textId="77777777">
        <w:trPr>
          <w:trHeight w:val="432"/>
        </w:trPr>
        <w:tc>
          <w:tcPr>
            <w:tcW w:w="1487" w:type="dxa"/>
            <w:tcBorders>
              <w:top w:val="single" w:sz="4" w:space="0" w:color="000000"/>
            </w:tcBorders>
            <w:shd w:val="clear" w:color="auto" w:fill="auto"/>
            <w:tcMar>
              <w:top w:w="0" w:type="dxa"/>
              <w:left w:w="0" w:type="dxa"/>
              <w:bottom w:w="0" w:type="dxa"/>
              <w:right w:w="0" w:type="dxa"/>
            </w:tcMar>
            <w:vAlign w:val="bottom"/>
          </w:tcPr>
          <w:p w14:paraId="5473A05E"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Mean</w:t>
            </w:r>
          </w:p>
        </w:tc>
        <w:tc>
          <w:tcPr>
            <w:tcW w:w="1309" w:type="dxa"/>
            <w:tcBorders>
              <w:top w:val="single" w:sz="4" w:space="0" w:color="000000"/>
            </w:tcBorders>
            <w:shd w:val="clear" w:color="auto" w:fill="auto"/>
            <w:tcMar>
              <w:top w:w="0" w:type="dxa"/>
              <w:left w:w="0" w:type="dxa"/>
              <w:bottom w:w="0" w:type="dxa"/>
              <w:right w:w="0" w:type="dxa"/>
            </w:tcMar>
            <w:vAlign w:val="bottom"/>
          </w:tcPr>
          <w:p w14:paraId="72DC1E72"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0.7695</w:t>
            </w:r>
          </w:p>
        </w:tc>
        <w:tc>
          <w:tcPr>
            <w:tcW w:w="1308" w:type="dxa"/>
            <w:tcBorders>
              <w:top w:val="single" w:sz="4" w:space="0" w:color="000000"/>
            </w:tcBorders>
            <w:shd w:val="clear" w:color="auto" w:fill="auto"/>
            <w:tcMar>
              <w:top w:w="0" w:type="dxa"/>
              <w:left w:w="0" w:type="dxa"/>
              <w:bottom w:w="0" w:type="dxa"/>
              <w:right w:w="0" w:type="dxa"/>
            </w:tcMar>
            <w:vAlign w:val="bottom"/>
          </w:tcPr>
          <w:p w14:paraId="0188F5A0"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0.0754</w:t>
            </w:r>
          </w:p>
        </w:tc>
        <w:tc>
          <w:tcPr>
            <w:tcW w:w="1309" w:type="dxa"/>
            <w:tcBorders>
              <w:top w:val="single" w:sz="4" w:space="0" w:color="000000"/>
            </w:tcBorders>
            <w:shd w:val="clear" w:color="auto" w:fill="auto"/>
            <w:tcMar>
              <w:top w:w="0" w:type="dxa"/>
              <w:left w:w="0" w:type="dxa"/>
              <w:bottom w:w="0" w:type="dxa"/>
              <w:right w:w="0" w:type="dxa"/>
            </w:tcMar>
            <w:vAlign w:val="bottom"/>
          </w:tcPr>
          <w:p w14:paraId="7E43B87D"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0.3456</w:t>
            </w:r>
          </w:p>
        </w:tc>
        <w:tc>
          <w:tcPr>
            <w:tcW w:w="1308" w:type="dxa"/>
            <w:tcBorders>
              <w:top w:val="single" w:sz="4" w:space="0" w:color="000000"/>
            </w:tcBorders>
            <w:shd w:val="clear" w:color="auto" w:fill="auto"/>
            <w:tcMar>
              <w:top w:w="0" w:type="dxa"/>
              <w:left w:w="0" w:type="dxa"/>
              <w:bottom w:w="0" w:type="dxa"/>
              <w:right w:w="0" w:type="dxa"/>
            </w:tcMar>
            <w:vAlign w:val="bottom"/>
          </w:tcPr>
          <w:p w14:paraId="07098A8D"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0.5171</w:t>
            </w:r>
          </w:p>
        </w:tc>
        <w:tc>
          <w:tcPr>
            <w:tcW w:w="1309" w:type="dxa"/>
            <w:tcBorders>
              <w:top w:val="single" w:sz="4" w:space="0" w:color="000000"/>
            </w:tcBorders>
            <w:shd w:val="clear" w:color="auto" w:fill="auto"/>
            <w:tcMar>
              <w:top w:w="0" w:type="dxa"/>
              <w:left w:w="0" w:type="dxa"/>
              <w:bottom w:w="0" w:type="dxa"/>
              <w:right w:w="0" w:type="dxa"/>
            </w:tcMar>
            <w:vAlign w:val="bottom"/>
          </w:tcPr>
          <w:p w14:paraId="1414FAE6"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166,028,577</w:t>
            </w:r>
          </w:p>
        </w:tc>
        <w:tc>
          <w:tcPr>
            <w:tcW w:w="1308" w:type="dxa"/>
            <w:tcBorders>
              <w:top w:val="single" w:sz="4" w:space="0" w:color="000000"/>
            </w:tcBorders>
            <w:shd w:val="clear" w:color="auto" w:fill="auto"/>
            <w:tcMar>
              <w:top w:w="0" w:type="dxa"/>
              <w:left w:w="0" w:type="dxa"/>
              <w:bottom w:w="0" w:type="dxa"/>
              <w:right w:w="0" w:type="dxa"/>
            </w:tcMar>
            <w:vAlign w:val="bottom"/>
          </w:tcPr>
          <w:p w14:paraId="03E9FB76"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0.5482</w:t>
            </w:r>
          </w:p>
        </w:tc>
      </w:tr>
      <w:tr w:rsidR="001F48CA" w14:paraId="01EBDB9A" w14:textId="77777777">
        <w:trPr>
          <w:trHeight w:val="432"/>
        </w:trPr>
        <w:tc>
          <w:tcPr>
            <w:tcW w:w="1487" w:type="dxa"/>
            <w:shd w:val="clear" w:color="auto" w:fill="auto"/>
            <w:tcMar>
              <w:top w:w="0" w:type="dxa"/>
              <w:left w:w="0" w:type="dxa"/>
              <w:bottom w:w="0" w:type="dxa"/>
              <w:right w:w="0" w:type="dxa"/>
            </w:tcMar>
            <w:vAlign w:val="bottom"/>
          </w:tcPr>
          <w:p w14:paraId="0D8C7074"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Median</w:t>
            </w:r>
          </w:p>
        </w:tc>
        <w:tc>
          <w:tcPr>
            <w:tcW w:w="1309" w:type="dxa"/>
            <w:shd w:val="clear" w:color="auto" w:fill="auto"/>
            <w:tcMar>
              <w:top w:w="0" w:type="dxa"/>
              <w:left w:w="0" w:type="dxa"/>
              <w:bottom w:w="0" w:type="dxa"/>
              <w:right w:w="0" w:type="dxa"/>
            </w:tcMar>
            <w:vAlign w:val="bottom"/>
          </w:tcPr>
          <w:p w14:paraId="5FC2D87F"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0.7490</w:t>
            </w:r>
          </w:p>
        </w:tc>
        <w:tc>
          <w:tcPr>
            <w:tcW w:w="1308" w:type="dxa"/>
            <w:shd w:val="clear" w:color="auto" w:fill="auto"/>
            <w:tcMar>
              <w:top w:w="0" w:type="dxa"/>
              <w:left w:w="0" w:type="dxa"/>
              <w:bottom w:w="0" w:type="dxa"/>
              <w:right w:w="0" w:type="dxa"/>
            </w:tcMar>
            <w:vAlign w:val="bottom"/>
          </w:tcPr>
          <w:p w14:paraId="50F86F7B"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0.0554</w:t>
            </w:r>
          </w:p>
        </w:tc>
        <w:tc>
          <w:tcPr>
            <w:tcW w:w="1309" w:type="dxa"/>
            <w:shd w:val="clear" w:color="auto" w:fill="auto"/>
            <w:tcMar>
              <w:top w:w="0" w:type="dxa"/>
              <w:left w:w="0" w:type="dxa"/>
              <w:bottom w:w="0" w:type="dxa"/>
              <w:right w:w="0" w:type="dxa"/>
            </w:tcMar>
            <w:vAlign w:val="bottom"/>
          </w:tcPr>
          <w:p w14:paraId="65D99860"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0.4949</w:t>
            </w:r>
          </w:p>
        </w:tc>
        <w:tc>
          <w:tcPr>
            <w:tcW w:w="1308" w:type="dxa"/>
            <w:shd w:val="clear" w:color="auto" w:fill="auto"/>
            <w:tcMar>
              <w:top w:w="0" w:type="dxa"/>
              <w:left w:w="0" w:type="dxa"/>
              <w:bottom w:w="0" w:type="dxa"/>
              <w:right w:w="0" w:type="dxa"/>
            </w:tcMar>
            <w:vAlign w:val="bottom"/>
          </w:tcPr>
          <w:p w14:paraId="67B77AC8"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0.6412</w:t>
            </w:r>
          </w:p>
        </w:tc>
        <w:tc>
          <w:tcPr>
            <w:tcW w:w="1309" w:type="dxa"/>
            <w:shd w:val="clear" w:color="auto" w:fill="auto"/>
            <w:tcMar>
              <w:top w:w="0" w:type="dxa"/>
              <w:left w:w="0" w:type="dxa"/>
              <w:bottom w:w="0" w:type="dxa"/>
              <w:right w:w="0" w:type="dxa"/>
            </w:tcMar>
            <w:vAlign w:val="bottom"/>
          </w:tcPr>
          <w:p w14:paraId="04EE37AE"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 106,366,698</w:t>
            </w:r>
          </w:p>
        </w:tc>
        <w:tc>
          <w:tcPr>
            <w:tcW w:w="1308" w:type="dxa"/>
            <w:shd w:val="clear" w:color="auto" w:fill="auto"/>
            <w:tcMar>
              <w:top w:w="0" w:type="dxa"/>
              <w:left w:w="0" w:type="dxa"/>
              <w:bottom w:w="0" w:type="dxa"/>
              <w:right w:w="0" w:type="dxa"/>
            </w:tcMar>
            <w:vAlign w:val="bottom"/>
          </w:tcPr>
          <w:p w14:paraId="41DACCB4"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0.5576</w:t>
            </w:r>
          </w:p>
        </w:tc>
      </w:tr>
      <w:tr w:rsidR="001F48CA" w14:paraId="69580DC6" w14:textId="77777777">
        <w:trPr>
          <w:trHeight w:val="432"/>
        </w:trPr>
        <w:tc>
          <w:tcPr>
            <w:tcW w:w="1487" w:type="dxa"/>
            <w:shd w:val="clear" w:color="auto" w:fill="auto"/>
            <w:tcMar>
              <w:top w:w="0" w:type="dxa"/>
              <w:left w:w="0" w:type="dxa"/>
              <w:bottom w:w="0" w:type="dxa"/>
              <w:right w:w="0" w:type="dxa"/>
            </w:tcMar>
            <w:vAlign w:val="bottom"/>
          </w:tcPr>
          <w:p w14:paraId="50545DFD"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Minimum</w:t>
            </w:r>
          </w:p>
        </w:tc>
        <w:tc>
          <w:tcPr>
            <w:tcW w:w="1309" w:type="dxa"/>
            <w:shd w:val="clear" w:color="auto" w:fill="auto"/>
            <w:tcMar>
              <w:top w:w="0" w:type="dxa"/>
              <w:left w:w="0" w:type="dxa"/>
              <w:bottom w:w="0" w:type="dxa"/>
              <w:right w:w="0" w:type="dxa"/>
            </w:tcMar>
            <w:vAlign w:val="bottom"/>
          </w:tcPr>
          <w:p w14:paraId="4FA691D9"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0.6778</w:t>
            </w:r>
          </w:p>
        </w:tc>
        <w:tc>
          <w:tcPr>
            <w:tcW w:w="1308" w:type="dxa"/>
            <w:shd w:val="clear" w:color="auto" w:fill="auto"/>
            <w:tcMar>
              <w:top w:w="0" w:type="dxa"/>
              <w:left w:w="0" w:type="dxa"/>
              <w:bottom w:w="0" w:type="dxa"/>
              <w:right w:w="0" w:type="dxa"/>
            </w:tcMar>
            <w:vAlign w:val="bottom"/>
          </w:tcPr>
          <w:p w14:paraId="443601A1"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0.0003</w:t>
            </w:r>
          </w:p>
        </w:tc>
        <w:tc>
          <w:tcPr>
            <w:tcW w:w="1309" w:type="dxa"/>
            <w:shd w:val="clear" w:color="auto" w:fill="auto"/>
            <w:tcMar>
              <w:top w:w="0" w:type="dxa"/>
              <w:left w:w="0" w:type="dxa"/>
              <w:bottom w:w="0" w:type="dxa"/>
              <w:right w:w="0" w:type="dxa"/>
            </w:tcMar>
            <w:vAlign w:val="bottom"/>
          </w:tcPr>
          <w:p w14:paraId="66E9687C"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0.0294</w:t>
            </w:r>
          </w:p>
        </w:tc>
        <w:tc>
          <w:tcPr>
            <w:tcW w:w="1308" w:type="dxa"/>
            <w:shd w:val="clear" w:color="auto" w:fill="auto"/>
            <w:tcMar>
              <w:top w:w="0" w:type="dxa"/>
              <w:left w:w="0" w:type="dxa"/>
              <w:bottom w:w="0" w:type="dxa"/>
              <w:right w:w="0" w:type="dxa"/>
            </w:tcMar>
            <w:vAlign w:val="bottom"/>
          </w:tcPr>
          <w:p w14:paraId="235A4593"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0.0010</w:t>
            </w:r>
          </w:p>
        </w:tc>
        <w:tc>
          <w:tcPr>
            <w:tcW w:w="1309" w:type="dxa"/>
            <w:shd w:val="clear" w:color="auto" w:fill="auto"/>
            <w:tcMar>
              <w:top w:w="0" w:type="dxa"/>
              <w:left w:w="0" w:type="dxa"/>
              <w:bottom w:w="0" w:type="dxa"/>
              <w:right w:w="0" w:type="dxa"/>
            </w:tcMar>
            <w:vAlign w:val="bottom"/>
          </w:tcPr>
          <w:p w14:paraId="592BDACA"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1,794,749</w:t>
            </w:r>
          </w:p>
        </w:tc>
        <w:tc>
          <w:tcPr>
            <w:tcW w:w="1308" w:type="dxa"/>
            <w:shd w:val="clear" w:color="auto" w:fill="auto"/>
            <w:tcMar>
              <w:top w:w="0" w:type="dxa"/>
              <w:left w:w="0" w:type="dxa"/>
              <w:bottom w:w="0" w:type="dxa"/>
              <w:right w:w="0" w:type="dxa"/>
            </w:tcMar>
            <w:vAlign w:val="bottom"/>
          </w:tcPr>
          <w:p w14:paraId="02754EAE"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0.0569</w:t>
            </w:r>
          </w:p>
        </w:tc>
      </w:tr>
      <w:tr w:rsidR="001F48CA" w14:paraId="41EB5FBE" w14:textId="77777777">
        <w:trPr>
          <w:trHeight w:val="432"/>
        </w:trPr>
        <w:tc>
          <w:tcPr>
            <w:tcW w:w="1487" w:type="dxa"/>
            <w:shd w:val="clear" w:color="auto" w:fill="auto"/>
            <w:tcMar>
              <w:top w:w="0" w:type="dxa"/>
              <w:left w:w="0" w:type="dxa"/>
              <w:bottom w:w="0" w:type="dxa"/>
              <w:right w:w="0" w:type="dxa"/>
            </w:tcMar>
            <w:vAlign w:val="bottom"/>
          </w:tcPr>
          <w:p w14:paraId="72155758"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Maximum</w:t>
            </w:r>
          </w:p>
        </w:tc>
        <w:tc>
          <w:tcPr>
            <w:tcW w:w="1309" w:type="dxa"/>
            <w:shd w:val="clear" w:color="auto" w:fill="auto"/>
            <w:tcMar>
              <w:top w:w="0" w:type="dxa"/>
              <w:left w:w="0" w:type="dxa"/>
              <w:bottom w:w="0" w:type="dxa"/>
              <w:right w:w="0" w:type="dxa"/>
            </w:tcMar>
            <w:vAlign w:val="bottom"/>
          </w:tcPr>
          <w:p w14:paraId="37C4C9D3"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3.1920</w:t>
            </w:r>
          </w:p>
        </w:tc>
        <w:tc>
          <w:tcPr>
            <w:tcW w:w="1308" w:type="dxa"/>
            <w:shd w:val="clear" w:color="auto" w:fill="auto"/>
            <w:tcMar>
              <w:top w:w="0" w:type="dxa"/>
              <w:left w:w="0" w:type="dxa"/>
              <w:bottom w:w="0" w:type="dxa"/>
              <w:right w:w="0" w:type="dxa"/>
            </w:tcMar>
            <w:vAlign w:val="bottom"/>
          </w:tcPr>
          <w:p w14:paraId="137F6B10"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0.2628</w:t>
            </w:r>
          </w:p>
        </w:tc>
        <w:tc>
          <w:tcPr>
            <w:tcW w:w="1309" w:type="dxa"/>
            <w:shd w:val="clear" w:color="auto" w:fill="auto"/>
            <w:tcMar>
              <w:top w:w="0" w:type="dxa"/>
              <w:left w:w="0" w:type="dxa"/>
              <w:bottom w:w="0" w:type="dxa"/>
              <w:right w:w="0" w:type="dxa"/>
            </w:tcMar>
            <w:vAlign w:val="bottom"/>
          </w:tcPr>
          <w:p w14:paraId="1A3AFC43"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0.7497</w:t>
            </w:r>
          </w:p>
        </w:tc>
        <w:tc>
          <w:tcPr>
            <w:tcW w:w="1308" w:type="dxa"/>
            <w:shd w:val="clear" w:color="auto" w:fill="auto"/>
            <w:tcMar>
              <w:top w:w="0" w:type="dxa"/>
              <w:left w:w="0" w:type="dxa"/>
              <w:bottom w:w="0" w:type="dxa"/>
              <w:right w:w="0" w:type="dxa"/>
            </w:tcMar>
            <w:vAlign w:val="bottom"/>
          </w:tcPr>
          <w:p w14:paraId="63EC59B3"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0.9893</w:t>
            </w:r>
          </w:p>
        </w:tc>
        <w:tc>
          <w:tcPr>
            <w:tcW w:w="1309" w:type="dxa"/>
            <w:shd w:val="clear" w:color="auto" w:fill="auto"/>
            <w:tcMar>
              <w:top w:w="0" w:type="dxa"/>
              <w:left w:w="0" w:type="dxa"/>
              <w:bottom w:w="0" w:type="dxa"/>
              <w:right w:w="0" w:type="dxa"/>
            </w:tcMar>
            <w:vAlign w:val="bottom"/>
          </w:tcPr>
          <w:p w14:paraId="7D3A0D2D"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825,689,552</w:t>
            </w:r>
          </w:p>
        </w:tc>
        <w:tc>
          <w:tcPr>
            <w:tcW w:w="1308" w:type="dxa"/>
            <w:shd w:val="clear" w:color="auto" w:fill="auto"/>
            <w:tcMar>
              <w:top w:w="0" w:type="dxa"/>
              <w:left w:w="0" w:type="dxa"/>
              <w:bottom w:w="0" w:type="dxa"/>
              <w:right w:w="0" w:type="dxa"/>
            </w:tcMar>
            <w:vAlign w:val="bottom"/>
          </w:tcPr>
          <w:p w14:paraId="37187FCB"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0.9796</w:t>
            </w:r>
          </w:p>
        </w:tc>
      </w:tr>
      <w:tr w:rsidR="001F48CA" w14:paraId="17107FE6" w14:textId="77777777">
        <w:trPr>
          <w:trHeight w:val="432"/>
        </w:trPr>
        <w:tc>
          <w:tcPr>
            <w:tcW w:w="1487" w:type="dxa"/>
            <w:tcBorders>
              <w:bottom w:val="single" w:sz="4" w:space="0" w:color="000000"/>
            </w:tcBorders>
            <w:shd w:val="clear" w:color="auto" w:fill="auto"/>
            <w:tcMar>
              <w:top w:w="0" w:type="dxa"/>
              <w:left w:w="0" w:type="dxa"/>
              <w:bottom w:w="0" w:type="dxa"/>
              <w:right w:w="0" w:type="dxa"/>
            </w:tcMar>
            <w:vAlign w:val="bottom"/>
          </w:tcPr>
          <w:p w14:paraId="7DC4E36C"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Std. Dev.</w:t>
            </w:r>
          </w:p>
        </w:tc>
        <w:tc>
          <w:tcPr>
            <w:tcW w:w="1309" w:type="dxa"/>
            <w:tcBorders>
              <w:bottom w:val="single" w:sz="4" w:space="0" w:color="000000"/>
            </w:tcBorders>
            <w:shd w:val="clear" w:color="auto" w:fill="auto"/>
            <w:tcMar>
              <w:top w:w="0" w:type="dxa"/>
              <w:left w:w="0" w:type="dxa"/>
              <w:bottom w:w="0" w:type="dxa"/>
              <w:right w:w="0" w:type="dxa"/>
            </w:tcMar>
            <w:vAlign w:val="bottom"/>
          </w:tcPr>
          <w:p w14:paraId="0555998E"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0.7269</w:t>
            </w:r>
          </w:p>
        </w:tc>
        <w:tc>
          <w:tcPr>
            <w:tcW w:w="1308" w:type="dxa"/>
            <w:tcBorders>
              <w:bottom w:val="single" w:sz="4" w:space="0" w:color="000000"/>
            </w:tcBorders>
            <w:shd w:val="clear" w:color="auto" w:fill="auto"/>
            <w:tcMar>
              <w:top w:w="0" w:type="dxa"/>
              <w:left w:w="0" w:type="dxa"/>
              <w:bottom w:w="0" w:type="dxa"/>
              <w:right w:w="0" w:type="dxa"/>
            </w:tcMar>
            <w:vAlign w:val="bottom"/>
          </w:tcPr>
          <w:p w14:paraId="3FF07EAE"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0.0721</w:t>
            </w:r>
          </w:p>
        </w:tc>
        <w:tc>
          <w:tcPr>
            <w:tcW w:w="1309" w:type="dxa"/>
            <w:tcBorders>
              <w:bottom w:val="single" w:sz="4" w:space="0" w:color="000000"/>
            </w:tcBorders>
            <w:shd w:val="clear" w:color="auto" w:fill="auto"/>
            <w:tcMar>
              <w:top w:w="0" w:type="dxa"/>
              <w:left w:w="0" w:type="dxa"/>
              <w:bottom w:w="0" w:type="dxa"/>
              <w:right w:w="0" w:type="dxa"/>
            </w:tcMar>
            <w:vAlign w:val="bottom"/>
          </w:tcPr>
          <w:p w14:paraId="0838A57E"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0.2739</w:t>
            </w:r>
          </w:p>
        </w:tc>
        <w:tc>
          <w:tcPr>
            <w:tcW w:w="1308" w:type="dxa"/>
            <w:tcBorders>
              <w:bottom w:val="single" w:sz="4" w:space="0" w:color="000000"/>
            </w:tcBorders>
            <w:shd w:val="clear" w:color="auto" w:fill="auto"/>
            <w:tcMar>
              <w:top w:w="0" w:type="dxa"/>
              <w:left w:w="0" w:type="dxa"/>
              <w:bottom w:w="0" w:type="dxa"/>
              <w:right w:w="0" w:type="dxa"/>
            </w:tcMar>
            <w:vAlign w:val="bottom"/>
          </w:tcPr>
          <w:p w14:paraId="003182CF"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0.3142</w:t>
            </w:r>
          </w:p>
        </w:tc>
        <w:tc>
          <w:tcPr>
            <w:tcW w:w="1309" w:type="dxa"/>
            <w:tcBorders>
              <w:bottom w:val="single" w:sz="4" w:space="0" w:color="000000"/>
            </w:tcBorders>
            <w:shd w:val="clear" w:color="auto" w:fill="auto"/>
            <w:tcMar>
              <w:top w:w="0" w:type="dxa"/>
              <w:left w:w="0" w:type="dxa"/>
              <w:bottom w:w="0" w:type="dxa"/>
              <w:right w:w="0" w:type="dxa"/>
            </w:tcMar>
            <w:vAlign w:val="bottom"/>
          </w:tcPr>
          <w:p w14:paraId="0673DCE0"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181,236,704</w:t>
            </w:r>
          </w:p>
        </w:tc>
        <w:tc>
          <w:tcPr>
            <w:tcW w:w="1308" w:type="dxa"/>
            <w:tcBorders>
              <w:bottom w:val="single" w:sz="4" w:space="0" w:color="000000"/>
            </w:tcBorders>
            <w:shd w:val="clear" w:color="auto" w:fill="auto"/>
            <w:tcMar>
              <w:top w:w="0" w:type="dxa"/>
              <w:left w:w="0" w:type="dxa"/>
              <w:bottom w:w="0" w:type="dxa"/>
              <w:right w:w="0" w:type="dxa"/>
            </w:tcMar>
            <w:vAlign w:val="bottom"/>
          </w:tcPr>
          <w:p w14:paraId="25ED2E28"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0.1603</w:t>
            </w:r>
          </w:p>
        </w:tc>
      </w:tr>
    </w:tbl>
    <w:p w14:paraId="6F075329"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Researcher’s computation 2023 </w:t>
      </w:r>
    </w:p>
    <w:p w14:paraId="070E41B9" w14:textId="4DE5BC38"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It is observed from Table </w:t>
      </w:r>
      <w:r w:rsidR="00A01C6A">
        <w:rPr>
          <w:rFonts w:ascii="Times New Roman" w:hAnsi="Times New Roman"/>
          <w:sz w:val="24"/>
          <w:szCs w:val="24"/>
        </w:rPr>
        <w:t>2</w:t>
      </w:r>
      <w:r>
        <w:rPr>
          <w:rFonts w:ascii="Times New Roman" w:hAnsi="Times New Roman"/>
          <w:sz w:val="24"/>
          <w:szCs w:val="24"/>
        </w:rPr>
        <w:t xml:space="preserve"> financial reporting quality (DACCR) has a mean value of   0.7695 while it has minimum and maximum values of   0.6778 and 3.1920 respectively. The standard deviation has a value of   0.7269 indicating that DACCR is clustered around the mean. Since the mean (0.7695) is relatively greater than the median (0.7490), DACCR is slightly skewed to the right. </w:t>
      </w:r>
    </w:p>
    <w:p w14:paraId="48FC0EC7"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The result further revealed managerial ownership (MGROS) has a mean value </w:t>
      </w:r>
      <w:proofErr w:type="gramStart"/>
      <w:r>
        <w:rPr>
          <w:rFonts w:ascii="Times New Roman" w:hAnsi="Times New Roman"/>
          <w:sz w:val="24"/>
          <w:szCs w:val="24"/>
        </w:rPr>
        <w:t>of  0.0754</w:t>
      </w:r>
      <w:proofErr w:type="gramEnd"/>
      <w:r>
        <w:rPr>
          <w:rFonts w:ascii="Times New Roman" w:hAnsi="Times New Roman"/>
          <w:sz w:val="24"/>
          <w:szCs w:val="24"/>
        </w:rPr>
        <w:t xml:space="preserve">, while it has minimum and maximum values of   0.0003 and 0.2628   respectively. The standard deviation has a value of 0.0721, which implies that it is clustered around the mean. Since the mean (0.0721) is greater than the median (0.0554, it indicates that MGROS is skewed to the right. </w:t>
      </w:r>
    </w:p>
    <w:p w14:paraId="08CFC775"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Institutional ownership (INST) has a mean value of    0.3456 while it has minimum and maximum values of   0.0294 and 0.7497 respectively.  It implies that at average firms under review have a maximum of 74.97% ownership. The standard deviation reported relatively small value of   0.2739 shows that INST is slightly dispersed away from the mean. Since the mean is less r than the median (0.4949, it indicates that INST is slightly skewed to the left. </w:t>
      </w:r>
    </w:p>
    <w:p w14:paraId="26237AD8"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Ownership concentration (OWNCONS) has a mean value of 0.5171 while it has minimum and maximum values of   0.00100 and 0.9893 respectively. The standard deviation reported a value of 0.3142 meaning that OWNCONS is not clustered around the mean. Since the mean (0.5171) </w:t>
      </w:r>
      <w:r>
        <w:rPr>
          <w:rFonts w:ascii="Times New Roman" w:hAnsi="Times New Roman"/>
          <w:sz w:val="24"/>
          <w:szCs w:val="24"/>
        </w:rPr>
        <w:lastRenderedPageBreak/>
        <w:t xml:space="preserve">is relatively lesser than the median (0.6413), it implies that the variable is slightly skewed to the left. </w:t>
      </w:r>
    </w:p>
    <w:p w14:paraId="3A2C71CF"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Firm size (SIZE) has a mean value of N166,028,576, while it has minimum and maximum values of   1,794,749 and 825,689,552 respectively. The standard deviation reported relatively small values N181,236,704 shows that SIZE is not clustered around the mean. The mean of N166,028,576 is greater than the median value of N106,366,698. This implies that SIZE is slightly skewed to the right.</w:t>
      </w:r>
    </w:p>
    <w:p w14:paraId="5616D4A9"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Leverage (LEV) has a mean value of 0.5482, while it has minimum and maximum values of   0.0569 and 0.9796 respectively.  The standard deviation reported relatively small values 0.1603 shows that LEV is not clustered around the mean. The mean value of 0.5482, relatively less than the median, 0.5576 which indicates that data are slightly skewed to the left.</w:t>
      </w:r>
    </w:p>
    <w:p w14:paraId="44E935A8"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 xml:space="preserve">4.2 Diagnostic Tests </w:t>
      </w:r>
    </w:p>
    <w:p w14:paraId="41BC34D7"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Prior to execution of regression analysis, it is of paramount importance to check whether the regression assumptions are fulfilled. The basic diagnostic tests required in running a regression analysis include normality, multicollinearity and heteroskedasticity test. These tests re carried out in the following subsections.</w:t>
      </w:r>
    </w:p>
    <w:p w14:paraId="6C43E888"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4.2.1</w:t>
      </w:r>
      <w:r>
        <w:rPr>
          <w:rFonts w:ascii="Times New Roman" w:hAnsi="Times New Roman"/>
          <w:b/>
          <w:bCs/>
          <w:sz w:val="24"/>
          <w:szCs w:val="24"/>
        </w:rPr>
        <w:tab/>
        <w:t>Normality Test</w:t>
      </w:r>
    </w:p>
    <w:p w14:paraId="043C8DBD" w14:textId="2120C1C7"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Two tests are conducted to confirm data normality, namely Skewness and Kurtosis tests.  Appendix II pressures the detail of the results which are extracted and presented in Table </w:t>
      </w:r>
      <w:r w:rsidR="00A01C6A">
        <w:rPr>
          <w:rFonts w:ascii="Times New Roman" w:hAnsi="Times New Roman"/>
          <w:sz w:val="24"/>
          <w:szCs w:val="24"/>
        </w:rPr>
        <w:t>3</w:t>
      </w:r>
      <w:r>
        <w:rPr>
          <w:rFonts w:ascii="Times New Roman" w:hAnsi="Times New Roman"/>
          <w:sz w:val="24"/>
          <w:szCs w:val="24"/>
        </w:rPr>
        <w:t xml:space="preserve"> below.</w:t>
      </w:r>
    </w:p>
    <w:p w14:paraId="22164788" w14:textId="5D544356" w:rsidR="001F48CA" w:rsidRDefault="00000000">
      <w:pPr>
        <w:spacing w:line="360" w:lineRule="auto"/>
        <w:jc w:val="both"/>
        <w:rPr>
          <w:rFonts w:ascii="Times New Roman" w:hAnsi="Times New Roman"/>
          <w:sz w:val="24"/>
          <w:szCs w:val="24"/>
        </w:rPr>
      </w:pPr>
      <w:r>
        <w:rPr>
          <w:rFonts w:ascii="Times New Roman" w:hAnsi="Times New Roman"/>
          <w:sz w:val="24"/>
          <w:szCs w:val="24"/>
        </w:rPr>
        <w:t>As can be observed from the result in Table</w:t>
      </w:r>
      <w:proofErr w:type="gramStart"/>
      <w:r w:rsidR="00A01C6A">
        <w:rPr>
          <w:rFonts w:ascii="Times New Roman" w:hAnsi="Times New Roman"/>
          <w:sz w:val="24"/>
          <w:szCs w:val="24"/>
        </w:rPr>
        <w:t xml:space="preserve">3 </w:t>
      </w:r>
      <w:r>
        <w:rPr>
          <w:rFonts w:ascii="Times New Roman" w:hAnsi="Times New Roman"/>
          <w:sz w:val="24"/>
          <w:szCs w:val="24"/>
        </w:rPr>
        <w:t xml:space="preserve"> the</w:t>
      </w:r>
      <w:proofErr w:type="gramEnd"/>
      <w:r>
        <w:rPr>
          <w:rFonts w:ascii="Times New Roman" w:hAnsi="Times New Roman"/>
          <w:sz w:val="24"/>
          <w:szCs w:val="24"/>
        </w:rPr>
        <w:t xml:space="preserve"> Skewness for MGROS and SIZE, and all the Kurtosis values fall outside the threshold of between -1 and +1, indicating that not all the study variables are normally distributed. Log transformation has been undertaken to normalize the variables that are not normally distributed.</w:t>
      </w:r>
    </w:p>
    <w:p w14:paraId="4BC2E4E7" w14:textId="42DD0FD9" w:rsidR="001F48CA" w:rsidRDefault="00000000">
      <w:pPr>
        <w:tabs>
          <w:tab w:val="left" w:pos="990"/>
        </w:tabs>
        <w:suppressAutoHyphens w:val="0"/>
        <w:autoSpaceDE w:val="0"/>
        <w:spacing w:after="0" w:line="360" w:lineRule="auto"/>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Table </w:t>
      </w:r>
      <w:r w:rsidR="00A01C6A">
        <w:rPr>
          <w:rFonts w:ascii="Times New Roman" w:eastAsia="Times New Roman" w:hAnsi="Times New Roman"/>
          <w:b/>
          <w:sz w:val="24"/>
          <w:szCs w:val="24"/>
        </w:rPr>
        <w:t>3</w:t>
      </w:r>
      <w:r>
        <w:rPr>
          <w:rFonts w:ascii="Times New Roman" w:eastAsia="Times New Roman" w:hAnsi="Times New Roman"/>
          <w:b/>
          <w:sz w:val="24"/>
          <w:szCs w:val="24"/>
        </w:rPr>
        <w:t>: Skewness and Kurtosis Results</w:t>
      </w:r>
    </w:p>
    <w:tbl>
      <w:tblPr>
        <w:tblW w:w="7480" w:type="dxa"/>
        <w:tblCellMar>
          <w:left w:w="10" w:type="dxa"/>
          <w:right w:w="10" w:type="dxa"/>
        </w:tblCellMar>
        <w:tblLook w:val="04A0" w:firstRow="1" w:lastRow="0" w:firstColumn="1" w:lastColumn="0" w:noHBand="0" w:noVBand="1"/>
      </w:tblPr>
      <w:tblGrid>
        <w:gridCol w:w="1870"/>
        <w:gridCol w:w="1870"/>
        <w:gridCol w:w="1870"/>
        <w:gridCol w:w="1870"/>
      </w:tblGrid>
      <w:tr w:rsidR="001F48CA" w14:paraId="1D8EBF77" w14:textId="77777777">
        <w:tc>
          <w:tcPr>
            <w:tcW w:w="1870" w:type="dxa"/>
            <w:tcBorders>
              <w:top w:val="single" w:sz="4" w:space="0" w:color="000000"/>
              <w:bottom w:val="single" w:sz="4" w:space="0" w:color="000000"/>
            </w:tcBorders>
            <w:shd w:val="clear" w:color="auto" w:fill="auto"/>
            <w:tcMar>
              <w:top w:w="0" w:type="dxa"/>
              <w:left w:w="108" w:type="dxa"/>
              <w:bottom w:w="0" w:type="dxa"/>
              <w:right w:w="108" w:type="dxa"/>
            </w:tcMar>
          </w:tcPr>
          <w:p w14:paraId="0ED44A1D" w14:textId="77777777" w:rsidR="001F48CA" w:rsidRDefault="00000000">
            <w:pPr>
              <w:tabs>
                <w:tab w:val="left" w:pos="990"/>
              </w:tabs>
              <w:suppressAutoHyphens w:val="0"/>
              <w:autoSpaceDE w:val="0"/>
              <w:spacing w:after="0" w:line="360" w:lineRule="auto"/>
              <w:textAlignment w:val="auto"/>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Variables</w:t>
            </w:r>
          </w:p>
        </w:tc>
        <w:tc>
          <w:tcPr>
            <w:tcW w:w="1870" w:type="dxa"/>
            <w:tcBorders>
              <w:top w:val="single" w:sz="4" w:space="0" w:color="000000"/>
              <w:bottom w:val="single" w:sz="4" w:space="0" w:color="000000"/>
            </w:tcBorders>
            <w:shd w:val="clear" w:color="auto" w:fill="auto"/>
            <w:tcMar>
              <w:top w:w="0" w:type="dxa"/>
              <w:left w:w="108" w:type="dxa"/>
              <w:bottom w:w="0" w:type="dxa"/>
              <w:right w:w="108" w:type="dxa"/>
            </w:tcMar>
          </w:tcPr>
          <w:p w14:paraId="012BE5FF" w14:textId="77777777" w:rsidR="001F48CA" w:rsidRDefault="00000000">
            <w:pPr>
              <w:tabs>
                <w:tab w:val="left" w:pos="990"/>
              </w:tabs>
              <w:suppressAutoHyphens w:val="0"/>
              <w:autoSpaceDE w:val="0"/>
              <w:spacing w:after="0" w:line="360" w:lineRule="auto"/>
              <w:jc w:val="center"/>
              <w:textAlignment w:val="auto"/>
              <w:rPr>
                <w:rFonts w:ascii="Times New Roman" w:eastAsia="Times New Roman" w:hAnsi="Times New Roman"/>
                <w:b/>
                <w:kern w:val="0"/>
                <w:sz w:val="24"/>
                <w:szCs w:val="24"/>
                <w:lang w:val="en-US"/>
              </w:rPr>
            </w:pPr>
            <w:proofErr w:type="spellStart"/>
            <w:r>
              <w:rPr>
                <w:rFonts w:ascii="Times New Roman" w:eastAsia="Times New Roman" w:hAnsi="Times New Roman"/>
                <w:b/>
                <w:kern w:val="0"/>
                <w:sz w:val="24"/>
                <w:szCs w:val="24"/>
                <w:lang w:val="en-US"/>
              </w:rPr>
              <w:t>Obs</w:t>
            </w:r>
            <w:proofErr w:type="spellEnd"/>
          </w:p>
        </w:tc>
        <w:tc>
          <w:tcPr>
            <w:tcW w:w="1870" w:type="dxa"/>
            <w:tcBorders>
              <w:top w:val="single" w:sz="4" w:space="0" w:color="000000"/>
              <w:bottom w:val="single" w:sz="4" w:space="0" w:color="000000"/>
            </w:tcBorders>
            <w:shd w:val="clear" w:color="auto" w:fill="auto"/>
            <w:tcMar>
              <w:top w:w="0" w:type="dxa"/>
              <w:left w:w="108" w:type="dxa"/>
              <w:bottom w:w="0" w:type="dxa"/>
              <w:right w:w="108" w:type="dxa"/>
            </w:tcMar>
          </w:tcPr>
          <w:p w14:paraId="0C23289A" w14:textId="77777777" w:rsidR="001F48CA" w:rsidRDefault="00000000">
            <w:pPr>
              <w:tabs>
                <w:tab w:val="left" w:pos="990"/>
              </w:tabs>
              <w:suppressAutoHyphens w:val="0"/>
              <w:autoSpaceDE w:val="0"/>
              <w:spacing w:after="0" w:line="360" w:lineRule="auto"/>
              <w:textAlignment w:val="auto"/>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Skewness</w:t>
            </w:r>
          </w:p>
        </w:tc>
        <w:tc>
          <w:tcPr>
            <w:tcW w:w="1870" w:type="dxa"/>
            <w:tcBorders>
              <w:top w:val="single" w:sz="4" w:space="0" w:color="000000"/>
              <w:bottom w:val="single" w:sz="4" w:space="0" w:color="000000"/>
            </w:tcBorders>
            <w:shd w:val="clear" w:color="auto" w:fill="auto"/>
            <w:tcMar>
              <w:top w:w="0" w:type="dxa"/>
              <w:left w:w="108" w:type="dxa"/>
              <w:bottom w:w="0" w:type="dxa"/>
              <w:right w:w="108" w:type="dxa"/>
            </w:tcMar>
          </w:tcPr>
          <w:p w14:paraId="3BD961EE" w14:textId="77777777" w:rsidR="001F48CA" w:rsidRDefault="00000000">
            <w:pPr>
              <w:tabs>
                <w:tab w:val="left" w:pos="990"/>
              </w:tabs>
              <w:suppressAutoHyphens w:val="0"/>
              <w:autoSpaceDE w:val="0"/>
              <w:spacing w:after="0" w:line="360" w:lineRule="auto"/>
              <w:textAlignment w:val="auto"/>
              <w:rPr>
                <w:rFonts w:ascii="Times New Roman" w:eastAsia="Times New Roman" w:hAnsi="Times New Roman"/>
                <w:b/>
                <w:kern w:val="0"/>
                <w:sz w:val="24"/>
                <w:szCs w:val="24"/>
                <w:lang w:val="en-US"/>
              </w:rPr>
            </w:pPr>
            <w:r>
              <w:rPr>
                <w:rFonts w:ascii="Times New Roman" w:eastAsia="Times New Roman" w:hAnsi="Times New Roman"/>
                <w:b/>
                <w:kern w:val="0"/>
                <w:sz w:val="24"/>
                <w:szCs w:val="24"/>
                <w:lang w:val="en-US"/>
              </w:rPr>
              <w:t>Kurtosis</w:t>
            </w:r>
          </w:p>
        </w:tc>
      </w:tr>
      <w:tr w:rsidR="001F48CA" w14:paraId="155679C5" w14:textId="77777777">
        <w:tc>
          <w:tcPr>
            <w:tcW w:w="1870" w:type="dxa"/>
            <w:tcBorders>
              <w:top w:val="single" w:sz="4" w:space="0" w:color="000000"/>
            </w:tcBorders>
            <w:shd w:val="clear" w:color="auto" w:fill="auto"/>
            <w:tcMar>
              <w:top w:w="0" w:type="dxa"/>
              <w:left w:w="108" w:type="dxa"/>
              <w:bottom w:w="0" w:type="dxa"/>
              <w:right w:w="108" w:type="dxa"/>
            </w:tcMar>
          </w:tcPr>
          <w:p w14:paraId="08540BDB" w14:textId="77777777" w:rsidR="001F48CA" w:rsidRDefault="00000000">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DACCR</w:t>
            </w:r>
          </w:p>
        </w:tc>
        <w:tc>
          <w:tcPr>
            <w:tcW w:w="1870" w:type="dxa"/>
            <w:tcBorders>
              <w:top w:val="single" w:sz="4" w:space="0" w:color="000000"/>
            </w:tcBorders>
            <w:shd w:val="clear" w:color="auto" w:fill="auto"/>
            <w:tcMar>
              <w:top w:w="0" w:type="dxa"/>
              <w:left w:w="108" w:type="dxa"/>
              <w:bottom w:w="0" w:type="dxa"/>
              <w:right w:w="108" w:type="dxa"/>
            </w:tcMar>
          </w:tcPr>
          <w:p w14:paraId="1B5778F3" w14:textId="77777777" w:rsidR="001F48CA" w:rsidRDefault="00000000">
            <w:pPr>
              <w:tabs>
                <w:tab w:val="left" w:pos="990"/>
              </w:tabs>
              <w:suppressAutoHyphens w:val="0"/>
              <w:autoSpaceDE w:val="0"/>
              <w:spacing w:after="0" w:line="360" w:lineRule="auto"/>
              <w:jc w:val="center"/>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150</w:t>
            </w:r>
          </w:p>
        </w:tc>
        <w:tc>
          <w:tcPr>
            <w:tcW w:w="1870" w:type="dxa"/>
            <w:tcBorders>
              <w:top w:val="single" w:sz="4" w:space="0" w:color="000000"/>
            </w:tcBorders>
            <w:shd w:val="clear" w:color="auto" w:fill="auto"/>
            <w:tcMar>
              <w:top w:w="0" w:type="dxa"/>
              <w:left w:w="108" w:type="dxa"/>
              <w:bottom w:w="0" w:type="dxa"/>
              <w:right w:w="108" w:type="dxa"/>
            </w:tcMar>
          </w:tcPr>
          <w:p w14:paraId="05C7B216" w14:textId="77777777" w:rsidR="001F48CA" w:rsidRDefault="00000000">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0.8660</w:t>
            </w:r>
          </w:p>
        </w:tc>
        <w:tc>
          <w:tcPr>
            <w:tcW w:w="1870" w:type="dxa"/>
            <w:tcBorders>
              <w:top w:val="single" w:sz="4" w:space="0" w:color="000000"/>
            </w:tcBorders>
            <w:shd w:val="clear" w:color="auto" w:fill="auto"/>
            <w:tcMar>
              <w:top w:w="0" w:type="dxa"/>
              <w:left w:w="108" w:type="dxa"/>
              <w:bottom w:w="0" w:type="dxa"/>
              <w:right w:w="108" w:type="dxa"/>
            </w:tcMar>
          </w:tcPr>
          <w:p w14:paraId="5907A51F" w14:textId="77777777" w:rsidR="001F48CA" w:rsidRDefault="00000000">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1.9390</w:t>
            </w:r>
          </w:p>
        </w:tc>
      </w:tr>
      <w:tr w:rsidR="001F48CA" w14:paraId="5FE88C01" w14:textId="77777777">
        <w:tc>
          <w:tcPr>
            <w:tcW w:w="1870" w:type="dxa"/>
            <w:shd w:val="clear" w:color="auto" w:fill="auto"/>
            <w:tcMar>
              <w:top w:w="0" w:type="dxa"/>
              <w:left w:w="108" w:type="dxa"/>
              <w:bottom w:w="0" w:type="dxa"/>
              <w:right w:w="108" w:type="dxa"/>
            </w:tcMar>
          </w:tcPr>
          <w:p w14:paraId="318A366F" w14:textId="77777777" w:rsidR="001F48CA" w:rsidRDefault="00000000">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MGROS</w:t>
            </w:r>
          </w:p>
        </w:tc>
        <w:tc>
          <w:tcPr>
            <w:tcW w:w="1870" w:type="dxa"/>
            <w:shd w:val="clear" w:color="auto" w:fill="auto"/>
            <w:tcMar>
              <w:top w:w="0" w:type="dxa"/>
              <w:left w:w="108" w:type="dxa"/>
              <w:bottom w:w="0" w:type="dxa"/>
              <w:right w:w="108" w:type="dxa"/>
            </w:tcMar>
          </w:tcPr>
          <w:p w14:paraId="1E571F30" w14:textId="77777777" w:rsidR="001F48CA" w:rsidRDefault="00000000">
            <w:pPr>
              <w:tabs>
                <w:tab w:val="left" w:pos="990"/>
              </w:tabs>
              <w:suppressAutoHyphens w:val="0"/>
              <w:autoSpaceDE w:val="0"/>
              <w:spacing w:after="0" w:line="360" w:lineRule="auto"/>
              <w:jc w:val="center"/>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150</w:t>
            </w:r>
          </w:p>
        </w:tc>
        <w:tc>
          <w:tcPr>
            <w:tcW w:w="1870" w:type="dxa"/>
            <w:shd w:val="clear" w:color="auto" w:fill="auto"/>
            <w:tcMar>
              <w:top w:w="0" w:type="dxa"/>
              <w:left w:w="108" w:type="dxa"/>
              <w:bottom w:w="0" w:type="dxa"/>
              <w:right w:w="108" w:type="dxa"/>
            </w:tcMar>
          </w:tcPr>
          <w:p w14:paraId="0F542645" w14:textId="77777777" w:rsidR="001F48CA" w:rsidRDefault="00000000">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1.4220</w:t>
            </w:r>
          </w:p>
        </w:tc>
        <w:tc>
          <w:tcPr>
            <w:tcW w:w="1870" w:type="dxa"/>
            <w:shd w:val="clear" w:color="auto" w:fill="auto"/>
            <w:tcMar>
              <w:top w:w="0" w:type="dxa"/>
              <w:left w:w="108" w:type="dxa"/>
              <w:bottom w:w="0" w:type="dxa"/>
              <w:right w:w="108" w:type="dxa"/>
            </w:tcMar>
          </w:tcPr>
          <w:p w14:paraId="2A4CD087" w14:textId="77777777" w:rsidR="001F48CA" w:rsidRDefault="00000000">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1.5437</w:t>
            </w:r>
          </w:p>
        </w:tc>
      </w:tr>
      <w:tr w:rsidR="001F48CA" w14:paraId="7E16372E" w14:textId="77777777">
        <w:tc>
          <w:tcPr>
            <w:tcW w:w="1870" w:type="dxa"/>
            <w:shd w:val="clear" w:color="auto" w:fill="auto"/>
            <w:tcMar>
              <w:top w:w="0" w:type="dxa"/>
              <w:left w:w="108" w:type="dxa"/>
              <w:bottom w:w="0" w:type="dxa"/>
              <w:right w:w="108" w:type="dxa"/>
            </w:tcMar>
          </w:tcPr>
          <w:p w14:paraId="774FEEB5" w14:textId="77777777" w:rsidR="001F48CA" w:rsidRDefault="00000000">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INST</w:t>
            </w:r>
          </w:p>
        </w:tc>
        <w:tc>
          <w:tcPr>
            <w:tcW w:w="1870" w:type="dxa"/>
            <w:shd w:val="clear" w:color="auto" w:fill="auto"/>
            <w:tcMar>
              <w:top w:w="0" w:type="dxa"/>
              <w:left w:w="108" w:type="dxa"/>
              <w:bottom w:w="0" w:type="dxa"/>
              <w:right w:w="108" w:type="dxa"/>
            </w:tcMar>
          </w:tcPr>
          <w:p w14:paraId="5085889E" w14:textId="77777777" w:rsidR="001F48CA" w:rsidRDefault="00000000">
            <w:pPr>
              <w:tabs>
                <w:tab w:val="left" w:pos="990"/>
              </w:tabs>
              <w:suppressAutoHyphens w:val="0"/>
              <w:autoSpaceDE w:val="0"/>
              <w:spacing w:after="0" w:line="360" w:lineRule="auto"/>
              <w:jc w:val="center"/>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150</w:t>
            </w:r>
          </w:p>
        </w:tc>
        <w:tc>
          <w:tcPr>
            <w:tcW w:w="1870" w:type="dxa"/>
            <w:shd w:val="clear" w:color="auto" w:fill="auto"/>
            <w:tcMar>
              <w:top w:w="0" w:type="dxa"/>
              <w:left w:w="108" w:type="dxa"/>
              <w:bottom w:w="0" w:type="dxa"/>
              <w:right w:w="108" w:type="dxa"/>
            </w:tcMar>
          </w:tcPr>
          <w:p w14:paraId="2DD700C6" w14:textId="77777777" w:rsidR="001F48CA" w:rsidRDefault="00000000">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0.0522</w:t>
            </w:r>
          </w:p>
        </w:tc>
        <w:tc>
          <w:tcPr>
            <w:tcW w:w="1870" w:type="dxa"/>
            <w:shd w:val="clear" w:color="auto" w:fill="auto"/>
            <w:tcMar>
              <w:top w:w="0" w:type="dxa"/>
              <w:left w:w="108" w:type="dxa"/>
              <w:bottom w:w="0" w:type="dxa"/>
              <w:right w:w="108" w:type="dxa"/>
            </w:tcMar>
          </w:tcPr>
          <w:p w14:paraId="2C456A92" w14:textId="77777777" w:rsidR="001F48CA" w:rsidRDefault="00000000">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-1.7917</w:t>
            </w:r>
          </w:p>
        </w:tc>
      </w:tr>
      <w:tr w:rsidR="001F48CA" w14:paraId="76D250E5" w14:textId="77777777">
        <w:tc>
          <w:tcPr>
            <w:tcW w:w="1870" w:type="dxa"/>
            <w:shd w:val="clear" w:color="auto" w:fill="auto"/>
            <w:tcMar>
              <w:top w:w="0" w:type="dxa"/>
              <w:left w:w="108" w:type="dxa"/>
              <w:bottom w:w="0" w:type="dxa"/>
              <w:right w:w="108" w:type="dxa"/>
            </w:tcMar>
          </w:tcPr>
          <w:p w14:paraId="354FDF3D" w14:textId="77777777" w:rsidR="001F48CA" w:rsidRDefault="00000000">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OWNCONS</w:t>
            </w:r>
          </w:p>
        </w:tc>
        <w:tc>
          <w:tcPr>
            <w:tcW w:w="1870" w:type="dxa"/>
            <w:shd w:val="clear" w:color="auto" w:fill="auto"/>
            <w:tcMar>
              <w:top w:w="0" w:type="dxa"/>
              <w:left w:w="108" w:type="dxa"/>
              <w:bottom w:w="0" w:type="dxa"/>
              <w:right w:w="108" w:type="dxa"/>
            </w:tcMar>
          </w:tcPr>
          <w:p w14:paraId="543406FE" w14:textId="77777777" w:rsidR="001F48CA" w:rsidRDefault="00000000">
            <w:pPr>
              <w:tabs>
                <w:tab w:val="left" w:pos="990"/>
              </w:tabs>
              <w:suppressAutoHyphens w:val="0"/>
              <w:autoSpaceDE w:val="0"/>
              <w:spacing w:after="0" w:line="360" w:lineRule="auto"/>
              <w:jc w:val="center"/>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150</w:t>
            </w:r>
          </w:p>
        </w:tc>
        <w:tc>
          <w:tcPr>
            <w:tcW w:w="1870" w:type="dxa"/>
            <w:shd w:val="clear" w:color="auto" w:fill="auto"/>
            <w:tcMar>
              <w:top w:w="0" w:type="dxa"/>
              <w:left w:w="108" w:type="dxa"/>
              <w:bottom w:w="0" w:type="dxa"/>
              <w:right w:w="108" w:type="dxa"/>
            </w:tcMar>
          </w:tcPr>
          <w:p w14:paraId="6AFD2453" w14:textId="77777777" w:rsidR="001F48CA" w:rsidRDefault="00000000">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-0.2461</w:t>
            </w:r>
          </w:p>
        </w:tc>
        <w:tc>
          <w:tcPr>
            <w:tcW w:w="1870" w:type="dxa"/>
            <w:shd w:val="clear" w:color="auto" w:fill="auto"/>
            <w:tcMar>
              <w:top w:w="0" w:type="dxa"/>
              <w:left w:w="108" w:type="dxa"/>
              <w:bottom w:w="0" w:type="dxa"/>
              <w:right w:w="108" w:type="dxa"/>
            </w:tcMar>
          </w:tcPr>
          <w:p w14:paraId="0C676D21" w14:textId="77777777" w:rsidR="001F48CA" w:rsidRDefault="00000000">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-1.4625</w:t>
            </w:r>
          </w:p>
        </w:tc>
      </w:tr>
      <w:tr w:rsidR="001F48CA" w14:paraId="704BE20C" w14:textId="77777777">
        <w:tc>
          <w:tcPr>
            <w:tcW w:w="1870" w:type="dxa"/>
            <w:shd w:val="clear" w:color="auto" w:fill="auto"/>
            <w:tcMar>
              <w:top w:w="0" w:type="dxa"/>
              <w:left w:w="108" w:type="dxa"/>
              <w:bottom w:w="0" w:type="dxa"/>
              <w:right w:w="108" w:type="dxa"/>
            </w:tcMar>
          </w:tcPr>
          <w:p w14:paraId="7D764D16" w14:textId="77777777" w:rsidR="001F48CA" w:rsidRDefault="00000000">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lastRenderedPageBreak/>
              <w:t>SIZE</w:t>
            </w:r>
          </w:p>
        </w:tc>
        <w:tc>
          <w:tcPr>
            <w:tcW w:w="1870" w:type="dxa"/>
            <w:shd w:val="clear" w:color="auto" w:fill="auto"/>
            <w:tcMar>
              <w:top w:w="0" w:type="dxa"/>
              <w:left w:w="108" w:type="dxa"/>
              <w:bottom w:w="0" w:type="dxa"/>
              <w:right w:w="108" w:type="dxa"/>
            </w:tcMar>
          </w:tcPr>
          <w:p w14:paraId="3E783469" w14:textId="77777777" w:rsidR="001F48CA" w:rsidRDefault="00000000">
            <w:pPr>
              <w:tabs>
                <w:tab w:val="left" w:pos="990"/>
              </w:tabs>
              <w:suppressAutoHyphens w:val="0"/>
              <w:autoSpaceDE w:val="0"/>
              <w:spacing w:after="0" w:line="360" w:lineRule="auto"/>
              <w:jc w:val="center"/>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150</w:t>
            </w:r>
          </w:p>
        </w:tc>
        <w:tc>
          <w:tcPr>
            <w:tcW w:w="1870" w:type="dxa"/>
            <w:shd w:val="clear" w:color="auto" w:fill="auto"/>
            <w:tcMar>
              <w:top w:w="0" w:type="dxa"/>
              <w:left w:w="108" w:type="dxa"/>
              <w:bottom w:w="0" w:type="dxa"/>
              <w:right w:w="108" w:type="dxa"/>
            </w:tcMar>
          </w:tcPr>
          <w:p w14:paraId="247F7DE2" w14:textId="77777777" w:rsidR="001F48CA" w:rsidRDefault="00000000">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1.56</w:t>
            </w:r>
          </w:p>
        </w:tc>
        <w:tc>
          <w:tcPr>
            <w:tcW w:w="1870" w:type="dxa"/>
            <w:shd w:val="clear" w:color="auto" w:fill="auto"/>
            <w:tcMar>
              <w:top w:w="0" w:type="dxa"/>
              <w:left w:w="108" w:type="dxa"/>
              <w:bottom w:w="0" w:type="dxa"/>
              <w:right w:w="108" w:type="dxa"/>
            </w:tcMar>
          </w:tcPr>
          <w:p w14:paraId="4A0D037E" w14:textId="77777777" w:rsidR="001F48CA" w:rsidRDefault="00000000">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2.26</w:t>
            </w:r>
          </w:p>
        </w:tc>
      </w:tr>
      <w:tr w:rsidR="001F48CA" w14:paraId="483ED2D2" w14:textId="77777777">
        <w:tc>
          <w:tcPr>
            <w:tcW w:w="1870" w:type="dxa"/>
            <w:tcBorders>
              <w:bottom w:val="single" w:sz="4" w:space="0" w:color="000000"/>
            </w:tcBorders>
            <w:shd w:val="clear" w:color="auto" w:fill="auto"/>
            <w:tcMar>
              <w:top w:w="0" w:type="dxa"/>
              <w:left w:w="108" w:type="dxa"/>
              <w:bottom w:w="0" w:type="dxa"/>
              <w:right w:w="108" w:type="dxa"/>
            </w:tcMar>
          </w:tcPr>
          <w:p w14:paraId="2A2BC811" w14:textId="77777777" w:rsidR="001F48CA" w:rsidRDefault="00000000">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LEV</w:t>
            </w:r>
          </w:p>
        </w:tc>
        <w:tc>
          <w:tcPr>
            <w:tcW w:w="1870" w:type="dxa"/>
            <w:tcBorders>
              <w:bottom w:val="single" w:sz="4" w:space="0" w:color="000000"/>
            </w:tcBorders>
            <w:shd w:val="clear" w:color="auto" w:fill="auto"/>
            <w:tcMar>
              <w:top w:w="0" w:type="dxa"/>
              <w:left w:w="108" w:type="dxa"/>
              <w:bottom w:w="0" w:type="dxa"/>
              <w:right w:w="108" w:type="dxa"/>
            </w:tcMar>
          </w:tcPr>
          <w:p w14:paraId="6CA7089E" w14:textId="77777777" w:rsidR="001F48CA" w:rsidRDefault="00000000">
            <w:pPr>
              <w:tabs>
                <w:tab w:val="left" w:pos="990"/>
              </w:tabs>
              <w:suppressAutoHyphens w:val="0"/>
              <w:autoSpaceDE w:val="0"/>
              <w:spacing w:after="0" w:line="360" w:lineRule="auto"/>
              <w:jc w:val="center"/>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150</w:t>
            </w:r>
          </w:p>
        </w:tc>
        <w:tc>
          <w:tcPr>
            <w:tcW w:w="1870" w:type="dxa"/>
            <w:tcBorders>
              <w:bottom w:val="single" w:sz="4" w:space="0" w:color="000000"/>
            </w:tcBorders>
            <w:shd w:val="clear" w:color="auto" w:fill="auto"/>
            <w:tcMar>
              <w:top w:w="0" w:type="dxa"/>
              <w:left w:w="108" w:type="dxa"/>
              <w:bottom w:w="0" w:type="dxa"/>
              <w:right w:w="108" w:type="dxa"/>
            </w:tcMar>
          </w:tcPr>
          <w:p w14:paraId="5F028A6F" w14:textId="77777777" w:rsidR="001F48CA" w:rsidRDefault="00000000">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-0.1926</w:t>
            </w:r>
          </w:p>
        </w:tc>
        <w:tc>
          <w:tcPr>
            <w:tcW w:w="1870" w:type="dxa"/>
            <w:tcBorders>
              <w:bottom w:val="single" w:sz="4" w:space="0" w:color="000000"/>
            </w:tcBorders>
            <w:shd w:val="clear" w:color="auto" w:fill="auto"/>
            <w:tcMar>
              <w:top w:w="0" w:type="dxa"/>
              <w:left w:w="108" w:type="dxa"/>
              <w:bottom w:w="0" w:type="dxa"/>
              <w:right w:w="108" w:type="dxa"/>
            </w:tcMar>
          </w:tcPr>
          <w:p w14:paraId="7F85BA08" w14:textId="77777777" w:rsidR="001F48CA" w:rsidRDefault="00000000">
            <w:pPr>
              <w:tabs>
                <w:tab w:val="left" w:pos="990"/>
              </w:tabs>
              <w:suppressAutoHyphens w:val="0"/>
              <w:autoSpaceDE w:val="0"/>
              <w:spacing w:after="0" w:line="360" w:lineRule="auto"/>
              <w:textAlignment w:val="auto"/>
              <w:rPr>
                <w:rFonts w:ascii="Times New Roman" w:eastAsia="Times New Roman" w:hAnsi="Times New Roman"/>
                <w:kern w:val="0"/>
                <w:sz w:val="24"/>
                <w:szCs w:val="24"/>
                <w:lang w:val="en-US"/>
              </w:rPr>
            </w:pPr>
            <w:r>
              <w:rPr>
                <w:rFonts w:ascii="Times New Roman" w:eastAsia="Times New Roman" w:hAnsi="Times New Roman"/>
                <w:kern w:val="0"/>
                <w:sz w:val="24"/>
                <w:szCs w:val="24"/>
                <w:lang w:val="en-US"/>
              </w:rPr>
              <w:t>0.6304</w:t>
            </w:r>
          </w:p>
        </w:tc>
      </w:tr>
    </w:tbl>
    <w:p w14:paraId="2D2A9D54" w14:textId="77777777" w:rsidR="001F48CA" w:rsidRDefault="00000000">
      <w:pPr>
        <w:suppressAutoHyphens w:val="0"/>
        <w:spacing w:after="200" w:line="360" w:lineRule="auto"/>
        <w:textAlignment w:val="auto"/>
      </w:pPr>
      <w:r>
        <w:rPr>
          <w:rFonts w:ascii="Times New Roman" w:hAnsi="Times New Roman"/>
          <w:b/>
          <w:sz w:val="24"/>
          <w:szCs w:val="24"/>
        </w:rPr>
        <w:t xml:space="preserve">Source: </w:t>
      </w:r>
      <w:r>
        <w:rPr>
          <w:rFonts w:ascii="Times New Roman" w:eastAsia="Times New Roman" w:hAnsi="Times New Roman"/>
          <w:bCs/>
          <w:sz w:val="24"/>
          <w:szCs w:val="24"/>
        </w:rPr>
        <w:t xml:space="preserve">Computer </w:t>
      </w:r>
      <w:r>
        <w:rPr>
          <w:rFonts w:ascii="Times New Roman" w:eastAsia="Times New Roman" w:hAnsi="Times New Roman"/>
          <w:sz w:val="24"/>
          <w:szCs w:val="24"/>
        </w:rPr>
        <w:t>Output (Stata 13.0)</w:t>
      </w:r>
    </w:p>
    <w:p w14:paraId="56E26D97"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4.2.2</w:t>
      </w:r>
      <w:r>
        <w:rPr>
          <w:rFonts w:ascii="Times New Roman" w:hAnsi="Times New Roman"/>
          <w:b/>
          <w:bCs/>
          <w:sz w:val="24"/>
          <w:szCs w:val="24"/>
        </w:rPr>
        <w:tab/>
        <w:t>Multicollinearity Test</w:t>
      </w:r>
    </w:p>
    <w:p w14:paraId="47931E09"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Two tests are conducted to establish the presence or absence of multicollinearity among the independent variables. These include the correlation matrix and variance inflation factor and tolerance levels.</w:t>
      </w:r>
    </w:p>
    <w:p w14:paraId="71F4137C"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a)</w:t>
      </w:r>
      <w:r>
        <w:rPr>
          <w:rFonts w:ascii="Times New Roman" w:hAnsi="Times New Roman"/>
          <w:b/>
          <w:bCs/>
          <w:sz w:val="24"/>
          <w:szCs w:val="24"/>
        </w:rPr>
        <w:tab/>
        <w:t>Correlation matrix</w:t>
      </w:r>
    </w:p>
    <w:p w14:paraId="3B9C828B" w14:textId="1A9E4C24" w:rsidR="001F48CA" w:rsidRDefault="00000000">
      <w:pPr>
        <w:spacing w:line="360" w:lineRule="auto"/>
        <w:jc w:val="both"/>
        <w:rPr>
          <w:rFonts w:ascii="Times New Roman" w:hAnsi="Times New Roman"/>
          <w:sz w:val="24"/>
          <w:szCs w:val="24"/>
        </w:rPr>
      </w:pPr>
      <w:r>
        <w:rPr>
          <w:rFonts w:ascii="Times New Roman" w:hAnsi="Times New Roman"/>
          <w:sz w:val="24"/>
          <w:szCs w:val="24"/>
        </w:rPr>
        <w:t>In examining the level of association or correlation between the independent variables of the study, the Pearson correlations matrix is adopted as presented in Table 4. The result of the Pearson correlation analysis indicates that the highest correlation coefficient between the independent variables is -0.3889 for MGROS and OWNCONS.  Judging from the result of the correlation matrix, there is no indication of multicollinearity between the independent variables of the study as the highest correlation coefficient between the variables is below the threshold of 0.7 as suggested by Pallant (2005).</w:t>
      </w:r>
    </w:p>
    <w:p w14:paraId="7E48EA21" w14:textId="1D33C903" w:rsidR="001F48CA" w:rsidRDefault="00000000">
      <w:pPr>
        <w:suppressAutoHyphens w:val="0"/>
        <w:spacing w:after="200" w:line="360" w:lineRule="auto"/>
        <w:textAlignment w:val="auto"/>
        <w:rPr>
          <w:rFonts w:ascii="Times New Roman" w:hAnsi="Times New Roman"/>
          <w:b/>
          <w:sz w:val="24"/>
          <w:szCs w:val="24"/>
        </w:rPr>
      </w:pPr>
      <w:r>
        <w:rPr>
          <w:rFonts w:ascii="Times New Roman" w:hAnsi="Times New Roman"/>
          <w:b/>
          <w:sz w:val="24"/>
          <w:szCs w:val="24"/>
        </w:rPr>
        <w:t>Table 4: Results of Pearson Correlation (N=150)</w:t>
      </w:r>
    </w:p>
    <w:tbl>
      <w:tblPr>
        <w:tblW w:w="7190" w:type="dxa"/>
        <w:tblCellMar>
          <w:left w:w="10" w:type="dxa"/>
          <w:right w:w="10" w:type="dxa"/>
        </w:tblCellMar>
        <w:tblLook w:val="04A0" w:firstRow="1" w:lastRow="0" w:firstColumn="1" w:lastColumn="0" w:noHBand="0" w:noVBand="1"/>
      </w:tblPr>
      <w:tblGrid>
        <w:gridCol w:w="1430"/>
        <w:gridCol w:w="1350"/>
        <w:gridCol w:w="1440"/>
        <w:gridCol w:w="1530"/>
        <w:gridCol w:w="1440"/>
      </w:tblGrid>
      <w:tr w:rsidR="001F48CA" w14:paraId="11994B18" w14:textId="77777777">
        <w:tc>
          <w:tcPr>
            <w:tcW w:w="1430" w:type="dxa"/>
            <w:tcBorders>
              <w:top w:val="single" w:sz="4" w:space="0" w:color="000000"/>
              <w:bottom w:val="single" w:sz="4" w:space="0" w:color="000000"/>
            </w:tcBorders>
            <w:shd w:val="clear" w:color="auto" w:fill="auto"/>
            <w:tcMar>
              <w:top w:w="0" w:type="dxa"/>
              <w:left w:w="108" w:type="dxa"/>
              <w:bottom w:w="0" w:type="dxa"/>
              <w:right w:w="108" w:type="dxa"/>
            </w:tcMar>
          </w:tcPr>
          <w:p w14:paraId="4E4AF9CF" w14:textId="77777777" w:rsidR="001F48CA" w:rsidRDefault="00000000">
            <w:pPr>
              <w:suppressAutoHyphens w:val="0"/>
              <w:spacing w:after="0" w:line="360" w:lineRule="auto"/>
              <w:textAlignment w:val="auto"/>
              <w:rPr>
                <w:rFonts w:ascii="Times New Roman" w:hAnsi="Times New Roman"/>
                <w:b/>
                <w:kern w:val="0"/>
                <w:sz w:val="24"/>
                <w:szCs w:val="24"/>
              </w:rPr>
            </w:pPr>
            <w:r>
              <w:rPr>
                <w:rFonts w:ascii="Times New Roman" w:hAnsi="Times New Roman"/>
                <w:b/>
                <w:kern w:val="0"/>
                <w:sz w:val="24"/>
                <w:szCs w:val="24"/>
              </w:rPr>
              <w:t>Variable</w:t>
            </w:r>
          </w:p>
        </w:tc>
        <w:tc>
          <w:tcPr>
            <w:tcW w:w="1350" w:type="dxa"/>
            <w:tcBorders>
              <w:top w:val="single" w:sz="4" w:space="0" w:color="000000"/>
              <w:bottom w:val="single" w:sz="4" w:space="0" w:color="000000"/>
            </w:tcBorders>
            <w:shd w:val="clear" w:color="auto" w:fill="auto"/>
            <w:tcMar>
              <w:top w:w="0" w:type="dxa"/>
              <w:left w:w="108" w:type="dxa"/>
              <w:bottom w:w="0" w:type="dxa"/>
              <w:right w:w="108" w:type="dxa"/>
            </w:tcMar>
          </w:tcPr>
          <w:p w14:paraId="2D5E63ED" w14:textId="77777777" w:rsidR="001F48CA" w:rsidRDefault="00000000">
            <w:pPr>
              <w:suppressAutoHyphens w:val="0"/>
              <w:spacing w:after="0" w:line="360" w:lineRule="auto"/>
              <w:textAlignment w:val="auto"/>
              <w:rPr>
                <w:rFonts w:ascii="Times New Roman" w:hAnsi="Times New Roman"/>
                <w:b/>
                <w:kern w:val="0"/>
                <w:sz w:val="24"/>
                <w:szCs w:val="24"/>
              </w:rPr>
            </w:pPr>
            <w:r>
              <w:rPr>
                <w:rFonts w:ascii="Times New Roman" w:hAnsi="Times New Roman"/>
                <w:b/>
                <w:kern w:val="0"/>
                <w:sz w:val="24"/>
                <w:szCs w:val="24"/>
              </w:rPr>
              <w:t>MGROS</w:t>
            </w:r>
          </w:p>
        </w:tc>
        <w:tc>
          <w:tcPr>
            <w:tcW w:w="1440" w:type="dxa"/>
            <w:tcBorders>
              <w:top w:val="single" w:sz="4" w:space="0" w:color="000000"/>
              <w:bottom w:val="single" w:sz="4" w:space="0" w:color="000000"/>
            </w:tcBorders>
            <w:shd w:val="clear" w:color="auto" w:fill="auto"/>
            <w:tcMar>
              <w:top w:w="0" w:type="dxa"/>
              <w:left w:w="108" w:type="dxa"/>
              <w:bottom w:w="0" w:type="dxa"/>
              <w:right w:w="108" w:type="dxa"/>
            </w:tcMar>
          </w:tcPr>
          <w:p w14:paraId="192C39E4" w14:textId="77777777" w:rsidR="001F48CA" w:rsidRDefault="00000000">
            <w:pPr>
              <w:suppressAutoHyphens w:val="0"/>
              <w:spacing w:after="0" w:line="360" w:lineRule="auto"/>
              <w:textAlignment w:val="auto"/>
              <w:rPr>
                <w:rFonts w:ascii="Times New Roman" w:hAnsi="Times New Roman"/>
                <w:b/>
                <w:kern w:val="0"/>
                <w:sz w:val="24"/>
                <w:szCs w:val="24"/>
              </w:rPr>
            </w:pPr>
            <w:r>
              <w:rPr>
                <w:rFonts w:ascii="Times New Roman" w:hAnsi="Times New Roman"/>
                <w:b/>
                <w:kern w:val="0"/>
                <w:sz w:val="24"/>
                <w:szCs w:val="24"/>
              </w:rPr>
              <w:t>INST</w:t>
            </w:r>
          </w:p>
        </w:tc>
        <w:tc>
          <w:tcPr>
            <w:tcW w:w="1530" w:type="dxa"/>
            <w:tcBorders>
              <w:top w:val="single" w:sz="4" w:space="0" w:color="000000"/>
              <w:bottom w:val="single" w:sz="4" w:space="0" w:color="000000"/>
            </w:tcBorders>
            <w:shd w:val="clear" w:color="auto" w:fill="auto"/>
            <w:tcMar>
              <w:top w:w="0" w:type="dxa"/>
              <w:left w:w="108" w:type="dxa"/>
              <w:bottom w:w="0" w:type="dxa"/>
              <w:right w:w="108" w:type="dxa"/>
            </w:tcMar>
          </w:tcPr>
          <w:p w14:paraId="50B59B8C" w14:textId="77777777" w:rsidR="001F48CA" w:rsidRDefault="00000000">
            <w:pPr>
              <w:suppressAutoHyphens w:val="0"/>
              <w:spacing w:after="0" w:line="360" w:lineRule="auto"/>
              <w:textAlignment w:val="auto"/>
              <w:rPr>
                <w:rFonts w:ascii="Times New Roman" w:hAnsi="Times New Roman"/>
                <w:b/>
                <w:kern w:val="0"/>
                <w:sz w:val="24"/>
                <w:szCs w:val="24"/>
              </w:rPr>
            </w:pPr>
            <w:r>
              <w:rPr>
                <w:rFonts w:ascii="Times New Roman" w:hAnsi="Times New Roman"/>
                <w:b/>
                <w:kern w:val="0"/>
                <w:sz w:val="24"/>
                <w:szCs w:val="24"/>
              </w:rPr>
              <w:t>OWNCONS</w:t>
            </w:r>
          </w:p>
        </w:tc>
        <w:tc>
          <w:tcPr>
            <w:tcW w:w="1440" w:type="dxa"/>
            <w:tcBorders>
              <w:top w:val="single" w:sz="4" w:space="0" w:color="000000"/>
              <w:bottom w:val="single" w:sz="4" w:space="0" w:color="000000"/>
            </w:tcBorders>
            <w:shd w:val="clear" w:color="auto" w:fill="auto"/>
            <w:tcMar>
              <w:top w:w="0" w:type="dxa"/>
              <w:left w:w="108" w:type="dxa"/>
              <w:bottom w:w="0" w:type="dxa"/>
              <w:right w:w="108" w:type="dxa"/>
            </w:tcMar>
          </w:tcPr>
          <w:p w14:paraId="621D1AC8" w14:textId="77777777" w:rsidR="001F48CA" w:rsidRDefault="00000000">
            <w:pPr>
              <w:suppressAutoHyphens w:val="0"/>
              <w:spacing w:after="0" w:line="360" w:lineRule="auto"/>
              <w:textAlignment w:val="auto"/>
              <w:rPr>
                <w:rFonts w:ascii="Times New Roman" w:hAnsi="Times New Roman"/>
                <w:b/>
                <w:kern w:val="0"/>
                <w:sz w:val="24"/>
                <w:szCs w:val="24"/>
              </w:rPr>
            </w:pPr>
            <w:r>
              <w:rPr>
                <w:rFonts w:ascii="Times New Roman" w:hAnsi="Times New Roman"/>
                <w:b/>
                <w:kern w:val="0"/>
                <w:sz w:val="24"/>
                <w:szCs w:val="24"/>
              </w:rPr>
              <w:t>SIZE</w:t>
            </w:r>
          </w:p>
        </w:tc>
      </w:tr>
      <w:tr w:rsidR="001F48CA" w14:paraId="0491D61D" w14:textId="77777777">
        <w:tc>
          <w:tcPr>
            <w:tcW w:w="1430" w:type="dxa"/>
            <w:tcBorders>
              <w:top w:val="single" w:sz="4" w:space="0" w:color="000000"/>
            </w:tcBorders>
            <w:shd w:val="clear" w:color="auto" w:fill="auto"/>
            <w:tcMar>
              <w:top w:w="0" w:type="dxa"/>
              <w:left w:w="108" w:type="dxa"/>
              <w:bottom w:w="0" w:type="dxa"/>
              <w:right w:w="108" w:type="dxa"/>
            </w:tcMar>
          </w:tcPr>
          <w:p w14:paraId="40E2826E" w14:textId="77777777" w:rsidR="001F48CA" w:rsidRDefault="00000000">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MGROS</w:t>
            </w:r>
          </w:p>
        </w:tc>
        <w:tc>
          <w:tcPr>
            <w:tcW w:w="1350" w:type="dxa"/>
            <w:tcBorders>
              <w:top w:val="single" w:sz="4" w:space="0" w:color="000000"/>
            </w:tcBorders>
            <w:shd w:val="clear" w:color="auto" w:fill="auto"/>
            <w:tcMar>
              <w:top w:w="0" w:type="dxa"/>
              <w:left w:w="108" w:type="dxa"/>
              <w:bottom w:w="0" w:type="dxa"/>
              <w:right w:w="108" w:type="dxa"/>
            </w:tcMar>
          </w:tcPr>
          <w:p w14:paraId="4CB27DF7" w14:textId="77777777" w:rsidR="001F48CA" w:rsidRDefault="00000000">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1.0000</w:t>
            </w:r>
          </w:p>
        </w:tc>
        <w:tc>
          <w:tcPr>
            <w:tcW w:w="1440" w:type="dxa"/>
            <w:tcBorders>
              <w:top w:val="single" w:sz="4" w:space="0" w:color="000000"/>
            </w:tcBorders>
            <w:shd w:val="clear" w:color="auto" w:fill="auto"/>
            <w:tcMar>
              <w:top w:w="0" w:type="dxa"/>
              <w:left w:w="108" w:type="dxa"/>
              <w:bottom w:w="0" w:type="dxa"/>
              <w:right w:w="108" w:type="dxa"/>
            </w:tcMar>
          </w:tcPr>
          <w:p w14:paraId="76975BEC" w14:textId="77777777" w:rsidR="001F48CA" w:rsidRDefault="001F48CA">
            <w:pPr>
              <w:suppressAutoHyphens w:val="0"/>
              <w:spacing w:after="0" w:line="360" w:lineRule="auto"/>
              <w:textAlignment w:val="auto"/>
              <w:rPr>
                <w:rFonts w:ascii="Times New Roman" w:hAnsi="Times New Roman"/>
                <w:kern w:val="0"/>
                <w:sz w:val="24"/>
                <w:szCs w:val="24"/>
              </w:rPr>
            </w:pPr>
          </w:p>
        </w:tc>
        <w:tc>
          <w:tcPr>
            <w:tcW w:w="1530" w:type="dxa"/>
            <w:tcBorders>
              <w:top w:val="single" w:sz="4" w:space="0" w:color="000000"/>
            </w:tcBorders>
            <w:shd w:val="clear" w:color="auto" w:fill="auto"/>
            <w:tcMar>
              <w:top w:w="0" w:type="dxa"/>
              <w:left w:w="108" w:type="dxa"/>
              <w:bottom w:w="0" w:type="dxa"/>
              <w:right w:w="108" w:type="dxa"/>
            </w:tcMar>
          </w:tcPr>
          <w:p w14:paraId="27AE5BDB" w14:textId="77777777" w:rsidR="001F48CA" w:rsidRDefault="001F48CA">
            <w:pPr>
              <w:suppressAutoHyphens w:val="0"/>
              <w:spacing w:after="0" w:line="360" w:lineRule="auto"/>
              <w:textAlignment w:val="auto"/>
              <w:rPr>
                <w:rFonts w:ascii="Times New Roman" w:hAnsi="Times New Roman"/>
                <w:kern w:val="0"/>
                <w:sz w:val="24"/>
                <w:szCs w:val="24"/>
              </w:rPr>
            </w:pPr>
          </w:p>
        </w:tc>
        <w:tc>
          <w:tcPr>
            <w:tcW w:w="1440" w:type="dxa"/>
            <w:tcBorders>
              <w:top w:val="single" w:sz="4" w:space="0" w:color="000000"/>
            </w:tcBorders>
            <w:shd w:val="clear" w:color="auto" w:fill="auto"/>
            <w:tcMar>
              <w:top w:w="0" w:type="dxa"/>
              <w:left w:w="108" w:type="dxa"/>
              <w:bottom w:w="0" w:type="dxa"/>
              <w:right w:w="108" w:type="dxa"/>
            </w:tcMar>
          </w:tcPr>
          <w:p w14:paraId="6706A26B" w14:textId="77777777" w:rsidR="001F48CA" w:rsidRDefault="001F48CA">
            <w:pPr>
              <w:suppressAutoHyphens w:val="0"/>
              <w:spacing w:after="0" w:line="360" w:lineRule="auto"/>
              <w:textAlignment w:val="auto"/>
              <w:rPr>
                <w:rFonts w:ascii="Times New Roman" w:hAnsi="Times New Roman"/>
                <w:kern w:val="0"/>
                <w:sz w:val="24"/>
                <w:szCs w:val="24"/>
              </w:rPr>
            </w:pPr>
          </w:p>
        </w:tc>
      </w:tr>
      <w:tr w:rsidR="001F48CA" w14:paraId="166ACA62" w14:textId="77777777">
        <w:tc>
          <w:tcPr>
            <w:tcW w:w="1430" w:type="dxa"/>
            <w:shd w:val="clear" w:color="auto" w:fill="auto"/>
            <w:tcMar>
              <w:top w:w="0" w:type="dxa"/>
              <w:left w:w="108" w:type="dxa"/>
              <w:bottom w:w="0" w:type="dxa"/>
              <w:right w:w="108" w:type="dxa"/>
            </w:tcMar>
          </w:tcPr>
          <w:p w14:paraId="69CFD7F2" w14:textId="77777777" w:rsidR="001F48CA" w:rsidRDefault="00000000">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INST</w:t>
            </w:r>
          </w:p>
        </w:tc>
        <w:tc>
          <w:tcPr>
            <w:tcW w:w="1350" w:type="dxa"/>
            <w:shd w:val="clear" w:color="auto" w:fill="auto"/>
            <w:tcMar>
              <w:top w:w="0" w:type="dxa"/>
              <w:left w:w="108" w:type="dxa"/>
              <w:bottom w:w="0" w:type="dxa"/>
              <w:right w:w="108" w:type="dxa"/>
            </w:tcMar>
          </w:tcPr>
          <w:p w14:paraId="659C4EB5" w14:textId="77777777" w:rsidR="001F48CA" w:rsidRDefault="00000000">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0.2291</w:t>
            </w:r>
          </w:p>
        </w:tc>
        <w:tc>
          <w:tcPr>
            <w:tcW w:w="1440" w:type="dxa"/>
            <w:shd w:val="clear" w:color="auto" w:fill="auto"/>
            <w:tcMar>
              <w:top w:w="0" w:type="dxa"/>
              <w:left w:w="108" w:type="dxa"/>
              <w:bottom w:w="0" w:type="dxa"/>
              <w:right w:w="108" w:type="dxa"/>
            </w:tcMar>
          </w:tcPr>
          <w:p w14:paraId="38844FE5" w14:textId="77777777" w:rsidR="001F48CA" w:rsidRDefault="00000000">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1.0000</w:t>
            </w:r>
          </w:p>
        </w:tc>
        <w:tc>
          <w:tcPr>
            <w:tcW w:w="1530" w:type="dxa"/>
            <w:shd w:val="clear" w:color="auto" w:fill="auto"/>
            <w:tcMar>
              <w:top w:w="0" w:type="dxa"/>
              <w:left w:w="108" w:type="dxa"/>
              <w:bottom w:w="0" w:type="dxa"/>
              <w:right w:w="108" w:type="dxa"/>
            </w:tcMar>
          </w:tcPr>
          <w:p w14:paraId="46F9CB60" w14:textId="77777777" w:rsidR="001F48CA" w:rsidRDefault="001F48CA">
            <w:pPr>
              <w:suppressAutoHyphens w:val="0"/>
              <w:spacing w:after="0" w:line="360" w:lineRule="auto"/>
              <w:textAlignment w:val="auto"/>
              <w:rPr>
                <w:rFonts w:ascii="Times New Roman" w:hAnsi="Times New Roman"/>
                <w:kern w:val="0"/>
                <w:sz w:val="24"/>
                <w:szCs w:val="24"/>
              </w:rPr>
            </w:pPr>
          </w:p>
        </w:tc>
        <w:tc>
          <w:tcPr>
            <w:tcW w:w="1440" w:type="dxa"/>
            <w:shd w:val="clear" w:color="auto" w:fill="auto"/>
            <w:tcMar>
              <w:top w:w="0" w:type="dxa"/>
              <w:left w:w="108" w:type="dxa"/>
              <w:bottom w:w="0" w:type="dxa"/>
              <w:right w:w="108" w:type="dxa"/>
            </w:tcMar>
          </w:tcPr>
          <w:p w14:paraId="77FBEAC7" w14:textId="77777777" w:rsidR="001F48CA" w:rsidRDefault="001F48CA">
            <w:pPr>
              <w:suppressAutoHyphens w:val="0"/>
              <w:spacing w:after="0" w:line="360" w:lineRule="auto"/>
              <w:textAlignment w:val="auto"/>
              <w:rPr>
                <w:rFonts w:ascii="Times New Roman" w:hAnsi="Times New Roman"/>
                <w:kern w:val="0"/>
                <w:sz w:val="24"/>
                <w:szCs w:val="24"/>
              </w:rPr>
            </w:pPr>
          </w:p>
        </w:tc>
      </w:tr>
      <w:tr w:rsidR="001F48CA" w14:paraId="5AF2A3CB" w14:textId="77777777">
        <w:tc>
          <w:tcPr>
            <w:tcW w:w="1430" w:type="dxa"/>
            <w:shd w:val="clear" w:color="auto" w:fill="auto"/>
            <w:tcMar>
              <w:top w:w="0" w:type="dxa"/>
              <w:left w:w="108" w:type="dxa"/>
              <w:bottom w:w="0" w:type="dxa"/>
              <w:right w:w="108" w:type="dxa"/>
            </w:tcMar>
          </w:tcPr>
          <w:p w14:paraId="19E2CF45" w14:textId="77777777" w:rsidR="001F48CA" w:rsidRDefault="00000000">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OWNCONS</w:t>
            </w:r>
          </w:p>
        </w:tc>
        <w:tc>
          <w:tcPr>
            <w:tcW w:w="1350" w:type="dxa"/>
            <w:shd w:val="clear" w:color="auto" w:fill="auto"/>
            <w:tcMar>
              <w:top w:w="0" w:type="dxa"/>
              <w:left w:w="108" w:type="dxa"/>
              <w:bottom w:w="0" w:type="dxa"/>
              <w:right w:w="108" w:type="dxa"/>
            </w:tcMar>
          </w:tcPr>
          <w:p w14:paraId="2D36505A" w14:textId="77777777" w:rsidR="001F48CA" w:rsidRDefault="00000000">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-0.3889</w:t>
            </w:r>
          </w:p>
        </w:tc>
        <w:tc>
          <w:tcPr>
            <w:tcW w:w="1440" w:type="dxa"/>
            <w:shd w:val="clear" w:color="auto" w:fill="auto"/>
            <w:tcMar>
              <w:top w:w="0" w:type="dxa"/>
              <w:left w:w="108" w:type="dxa"/>
              <w:bottom w:w="0" w:type="dxa"/>
              <w:right w:w="108" w:type="dxa"/>
            </w:tcMar>
          </w:tcPr>
          <w:p w14:paraId="17B54EB6" w14:textId="77777777" w:rsidR="001F48CA" w:rsidRDefault="00000000">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-0.0122</w:t>
            </w:r>
          </w:p>
        </w:tc>
        <w:tc>
          <w:tcPr>
            <w:tcW w:w="1530" w:type="dxa"/>
            <w:shd w:val="clear" w:color="auto" w:fill="auto"/>
            <w:tcMar>
              <w:top w:w="0" w:type="dxa"/>
              <w:left w:w="108" w:type="dxa"/>
              <w:bottom w:w="0" w:type="dxa"/>
              <w:right w:w="108" w:type="dxa"/>
            </w:tcMar>
          </w:tcPr>
          <w:p w14:paraId="21995092" w14:textId="77777777" w:rsidR="001F48CA" w:rsidRDefault="00000000">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1.0000</w:t>
            </w:r>
          </w:p>
        </w:tc>
        <w:tc>
          <w:tcPr>
            <w:tcW w:w="1440" w:type="dxa"/>
            <w:shd w:val="clear" w:color="auto" w:fill="auto"/>
            <w:tcMar>
              <w:top w:w="0" w:type="dxa"/>
              <w:left w:w="108" w:type="dxa"/>
              <w:bottom w:w="0" w:type="dxa"/>
              <w:right w:w="108" w:type="dxa"/>
            </w:tcMar>
          </w:tcPr>
          <w:p w14:paraId="11B4AA36" w14:textId="77777777" w:rsidR="001F48CA" w:rsidRDefault="001F48CA">
            <w:pPr>
              <w:suppressAutoHyphens w:val="0"/>
              <w:spacing w:after="0" w:line="360" w:lineRule="auto"/>
              <w:textAlignment w:val="auto"/>
              <w:rPr>
                <w:rFonts w:ascii="Times New Roman" w:hAnsi="Times New Roman"/>
                <w:kern w:val="0"/>
                <w:sz w:val="24"/>
                <w:szCs w:val="24"/>
              </w:rPr>
            </w:pPr>
          </w:p>
        </w:tc>
      </w:tr>
      <w:tr w:rsidR="001F48CA" w14:paraId="3B337E22" w14:textId="77777777">
        <w:tc>
          <w:tcPr>
            <w:tcW w:w="1430" w:type="dxa"/>
            <w:shd w:val="clear" w:color="auto" w:fill="auto"/>
            <w:tcMar>
              <w:top w:w="0" w:type="dxa"/>
              <w:left w:w="108" w:type="dxa"/>
              <w:bottom w:w="0" w:type="dxa"/>
              <w:right w:w="108" w:type="dxa"/>
            </w:tcMar>
          </w:tcPr>
          <w:p w14:paraId="29829C35" w14:textId="77777777" w:rsidR="001F48CA" w:rsidRDefault="00000000">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SIZE</w:t>
            </w:r>
          </w:p>
        </w:tc>
        <w:tc>
          <w:tcPr>
            <w:tcW w:w="1350" w:type="dxa"/>
            <w:shd w:val="clear" w:color="auto" w:fill="auto"/>
            <w:tcMar>
              <w:top w:w="0" w:type="dxa"/>
              <w:left w:w="108" w:type="dxa"/>
              <w:bottom w:w="0" w:type="dxa"/>
              <w:right w:w="108" w:type="dxa"/>
            </w:tcMar>
          </w:tcPr>
          <w:p w14:paraId="12AF6197" w14:textId="77777777" w:rsidR="001F48CA" w:rsidRDefault="00000000">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0.0274</w:t>
            </w:r>
          </w:p>
        </w:tc>
        <w:tc>
          <w:tcPr>
            <w:tcW w:w="1440" w:type="dxa"/>
            <w:shd w:val="clear" w:color="auto" w:fill="auto"/>
            <w:tcMar>
              <w:top w:w="0" w:type="dxa"/>
              <w:left w:w="108" w:type="dxa"/>
              <w:bottom w:w="0" w:type="dxa"/>
              <w:right w:w="108" w:type="dxa"/>
            </w:tcMar>
          </w:tcPr>
          <w:p w14:paraId="6D3FAA81" w14:textId="77777777" w:rsidR="001F48CA" w:rsidRDefault="00000000">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0.3798</w:t>
            </w:r>
          </w:p>
        </w:tc>
        <w:tc>
          <w:tcPr>
            <w:tcW w:w="1530" w:type="dxa"/>
            <w:shd w:val="clear" w:color="auto" w:fill="auto"/>
            <w:tcMar>
              <w:top w:w="0" w:type="dxa"/>
              <w:left w:w="108" w:type="dxa"/>
              <w:bottom w:w="0" w:type="dxa"/>
              <w:right w:w="108" w:type="dxa"/>
            </w:tcMar>
          </w:tcPr>
          <w:p w14:paraId="3E7D1019" w14:textId="77777777" w:rsidR="001F48CA" w:rsidRDefault="00000000">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-0.1411</w:t>
            </w:r>
          </w:p>
        </w:tc>
        <w:tc>
          <w:tcPr>
            <w:tcW w:w="1440" w:type="dxa"/>
            <w:shd w:val="clear" w:color="auto" w:fill="auto"/>
            <w:tcMar>
              <w:top w:w="0" w:type="dxa"/>
              <w:left w:w="108" w:type="dxa"/>
              <w:bottom w:w="0" w:type="dxa"/>
              <w:right w:w="108" w:type="dxa"/>
            </w:tcMar>
          </w:tcPr>
          <w:p w14:paraId="5EDF6506" w14:textId="77777777" w:rsidR="001F48CA" w:rsidRDefault="00000000">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1.0000</w:t>
            </w:r>
          </w:p>
        </w:tc>
      </w:tr>
      <w:tr w:rsidR="001F48CA" w14:paraId="16757CC4" w14:textId="77777777">
        <w:tc>
          <w:tcPr>
            <w:tcW w:w="1430" w:type="dxa"/>
            <w:tcBorders>
              <w:bottom w:val="single" w:sz="4" w:space="0" w:color="000000"/>
            </w:tcBorders>
            <w:shd w:val="clear" w:color="auto" w:fill="auto"/>
            <w:tcMar>
              <w:top w:w="0" w:type="dxa"/>
              <w:left w:w="108" w:type="dxa"/>
              <w:bottom w:w="0" w:type="dxa"/>
              <w:right w:w="108" w:type="dxa"/>
            </w:tcMar>
          </w:tcPr>
          <w:p w14:paraId="417AA7DB" w14:textId="77777777" w:rsidR="001F48CA" w:rsidRDefault="00000000">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LEV</w:t>
            </w:r>
          </w:p>
        </w:tc>
        <w:tc>
          <w:tcPr>
            <w:tcW w:w="1350" w:type="dxa"/>
            <w:tcBorders>
              <w:bottom w:val="single" w:sz="4" w:space="0" w:color="000000"/>
            </w:tcBorders>
            <w:shd w:val="clear" w:color="auto" w:fill="auto"/>
            <w:tcMar>
              <w:top w:w="0" w:type="dxa"/>
              <w:left w:w="108" w:type="dxa"/>
              <w:bottom w:w="0" w:type="dxa"/>
              <w:right w:w="108" w:type="dxa"/>
            </w:tcMar>
          </w:tcPr>
          <w:p w14:paraId="19865DAB" w14:textId="77777777" w:rsidR="001F48CA" w:rsidRDefault="00000000">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0.0040</w:t>
            </w:r>
          </w:p>
        </w:tc>
        <w:tc>
          <w:tcPr>
            <w:tcW w:w="1440" w:type="dxa"/>
            <w:tcBorders>
              <w:bottom w:val="single" w:sz="4" w:space="0" w:color="000000"/>
            </w:tcBorders>
            <w:shd w:val="clear" w:color="auto" w:fill="auto"/>
            <w:tcMar>
              <w:top w:w="0" w:type="dxa"/>
              <w:left w:w="108" w:type="dxa"/>
              <w:bottom w:w="0" w:type="dxa"/>
              <w:right w:w="108" w:type="dxa"/>
            </w:tcMar>
          </w:tcPr>
          <w:p w14:paraId="52C42C2E" w14:textId="77777777" w:rsidR="001F48CA" w:rsidRDefault="00000000">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0.2520</w:t>
            </w:r>
          </w:p>
        </w:tc>
        <w:tc>
          <w:tcPr>
            <w:tcW w:w="1530" w:type="dxa"/>
            <w:tcBorders>
              <w:bottom w:val="single" w:sz="4" w:space="0" w:color="000000"/>
            </w:tcBorders>
            <w:shd w:val="clear" w:color="auto" w:fill="auto"/>
            <w:tcMar>
              <w:top w:w="0" w:type="dxa"/>
              <w:left w:w="108" w:type="dxa"/>
              <w:bottom w:w="0" w:type="dxa"/>
              <w:right w:w="108" w:type="dxa"/>
            </w:tcMar>
          </w:tcPr>
          <w:p w14:paraId="4ADFD05B" w14:textId="77777777" w:rsidR="001F48CA" w:rsidRDefault="00000000">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0.2143</w:t>
            </w:r>
          </w:p>
        </w:tc>
        <w:tc>
          <w:tcPr>
            <w:tcW w:w="1440" w:type="dxa"/>
            <w:tcBorders>
              <w:bottom w:val="single" w:sz="4" w:space="0" w:color="000000"/>
            </w:tcBorders>
            <w:shd w:val="clear" w:color="auto" w:fill="auto"/>
            <w:tcMar>
              <w:top w:w="0" w:type="dxa"/>
              <w:left w:w="108" w:type="dxa"/>
              <w:bottom w:w="0" w:type="dxa"/>
              <w:right w:w="108" w:type="dxa"/>
            </w:tcMar>
          </w:tcPr>
          <w:p w14:paraId="0748FF44" w14:textId="77777777" w:rsidR="001F48CA" w:rsidRDefault="00000000">
            <w:pPr>
              <w:suppressAutoHyphens w:val="0"/>
              <w:spacing w:after="0" w:line="360" w:lineRule="auto"/>
              <w:textAlignment w:val="auto"/>
              <w:rPr>
                <w:rFonts w:ascii="Times New Roman" w:hAnsi="Times New Roman"/>
                <w:kern w:val="0"/>
                <w:sz w:val="24"/>
                <w:szCs w:val="24"/>
              </w:rPr>
            </w:pPr>
            <w:r>
              <w:rPr>
                <w:rFonts w:ascii="Times New Roman" w:hAnsi="Times New Roman"/>
                <w:kern w:val="0"/>
                <w:sz w:val="24"/>
                <w:szCs w:val="24"/>
              </w:rPr>
              <w:t>0.0940</w:t>
            </w:r>
          </w:p>
        </w:tc>
      </w:tr>
    </w:tbl>
    <w:p w14:paraId="3440335C" w14:textId="77777777" w:rsidR="001F48CA" w:rsidRDefault="00000000">
      <w:pPr>
        <w:suppressAutoHyphens w:val="0"/>
        <w:spacing w:after="0" w:line="360" w:lineRule="auto"/>
        <w:jc w:val="both"/>
        <w:textAlignment w:val="auto"/>
      </w:pPr>
      <w:r>
        <w:rPr>
          <w:rFonts w:ascii="Times New Roman" w:hAnsi="Times New Roman"/>
          <w:b/>
          <w:bCs/>
          <w:sz w:val="24"/>
          <w:szCs w:val="24"/>
        </w:rPr>
        <w:t xml:space="preserve">Source: </w:t>
      </w:r>
      <w:r>
        <w:rPr>
          <w:rFonts w:ascii="Times New Roman" w:eastAsia="Times New Roman" w:hAnsi="Times New Roman"/>
          <w:bCs/>
          <w:sz w:val="24"/>
          <w:szCs w:val="24"/>
        </w:rPr>
        <w:t xml:space="preserve">Computer </w:t>
      </w:r>
      <w:r>
        <w:rPr>
          <w:rFonts w:ascii="Times New Roman" w:eastAsia="Times New Roman" w:hAnsi="Times New Roman"/>
          <w:sz w:val="24"/>
          <w:szCs w:val="24"/>
        </w:rPr>
        <w:t>Output (Stata 13.0)</w:t>
      </w:r>
    </w:p>
    <w:p w14:paraId="1DFF2731"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b)</w:t>
      </w:r>
      <w:r>
        <w:rPr>
          <w:rFonts w:ascii="Times New Roman" w:hAnsi="Times New Roman"/>
          <w:b/>
          <w:bCs/>
          <w:sz w:val="24"/>
          <w:szCs w:val="24"/>
        </w:rPr>
        <w:tab/>
        <w:t>Variance Inflation Factor (VIF) and Tolerance Level</w:t>
      </w:r>
    </w:p>
    <w:p w14:paraId="608F4350" w14:textId="05FF444C"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Table </w:t>
      </w:r>
      <w:r w:rsidR="00A01C6A">
        <w:rPr>
          <w:rFonts w:ascii="Times New Roman" w:hAnsi="Times New Roman"/>
          <w:sz w:val="24"/>
          <w:szCs w:val="24"/>
        </w:rPr>
        <w:t>5</w:t>
      </w:r>
      <w:r>
        <w:rPr>
          <w:rFonts w:ascii="Times New Roman" w:hAnsi="Times New Roman"/>
          <w:sz w:val="24"/>
          <w:szCs w:val="24"/>
        </w:rPr>
        <w:t xml:space="preserve"> presents the result of multicollinearity test based on VIF and Tolerance level performed on the variables of the study.</w:t>
      </w:r>
    </w:p>
    <w:p w14:paraId="73163CF6" w14:textId="6A3FFAAA" w:rsidR="001F48CA" w:rsidRDefault="00000000">
      <w:pPr>
        <w:suppressAutoHyphens w:val="0"/>
        <w:spacing w:after="0" w:line="360" w:lineRule="auto"/>
        <w:jc w:val="both"/>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Table </w:t>
      </w:r>
      <w:r w:rsidR="00A01C6A">
        <w:rPr>
          <w:rFonts w:ascii="Times New Roman" w:eastAsia="Times New Roman" w:hAnsi="Times New Roman"/>
          <w:b/>
          <w:sz w:val="24"/>
          <w:szCs w:val="24"/>
        </w:rPr>
        <w:t>5</w:t>
      </w:r>
      <w:r>
        <w:rPr>
          <w:rFonts w:ascii="Times New Roman" w:eastAsia="Times New Roman" w:hAnsi="Times New Roman"/>
          <w:b/>
          <w:sz w:val="24"/>
          <w:szCs w:val="24"/>
        </w:rPr>
        <w:t xml:space="preserve">: Results of Variance Inflation Factor and Tolerance  </w:t>
      </w:r>
    </w:p>
    <w:tbl>
      <w:tblPr>
        <w:tblW w:w="4405" w:type="dxa"/>
        <w:tblCellMar>
          <w:left w:w="10" w:type="dxa"/>
          <w:right w:w="10" w:type="dxa"/>
        </w:tblCellMar>
        <w:tblLook w:val="04A0" w:firstRow="1" w:lastRow="0" w:firstColumn="1" w:lastColumn="0" w:noHBand="0" w:noVBand="1"/>
      </w:tblPr>
      <w:tblGrid>
        <w:gridCol w:w="1803"/>
        <w:gridCol w:w="1072"/>
        <w:gridCol w:w="1530"/>
      </w:tblGrid>
      <w:tr w:rsidR="001F48CA" w14:paraId="7CD73C58" w14:textId="77777777">
        <w:tc>
          <w:tcPr>
            <w:tcW w:w="1803" w:type="dxa"/>
            <w:tcBorders>
              <w:top w:val="single" w:sz="4" w:space="0" w:color="000000"/>
              <w:bottom w:val="single" w:sz="4" w:space="0" w:color="000000"/>
            </w:tcBorders>
            <w:shd w:val="clear" w:color="auto" w:fill="auto"/>
            <w:tcMar>
              <w:top w:w="0" w:type="dxa"/>
              <w:left w:w="108" w:type="dxa"/>
              <w:bottom w:w="0" w:type="dxa"/>
              <w:right w:w="108" w:type="dxa"/>
            </w:tcMar>
          </w:tcPr>
          <w:p w14:paraId="372D8E99" w14:textId="77777777" w:rsidR="001F48CA" w:rsidRDefault="00000000">
            <w:pPr>
              <w:suppressAutoHyphens w:val="0"/>
              <w:spacing w:after="0" w:line="360" w:lineRule="auto"/>
              <w:jc w:val="both"/>
              <w:textAlignment w:val="auto"/>
              <w:rPr>
                <w:rFonts w:ascii="Times New Roman" w:eastAsia="Times New Roman" w:hAnsi="Times New Roman"/>
                <w:b/>
                <w:kern w:val="0"/>
                <w:sz w:val="24"/>
                <w:szCs w:val="24"/>
              </w:rPr>
            </w:pPr>
            <w:r>
              <w:rPr>
                <w:rFonts w:ascii="Times New Roman" w:eastAsia="Times New Roman" w:hAnsi="Times New Roman"/>
                <w:b/>
                <w:kern w:val="0"/>
                <w:sz w:val="24"/>
                <w:szCs w:val="24"/>
              </w:rPr>
              <w:t>Variable</w:t>
            </w:r>
          </w:p>
        </w:tc>
        <w:tc>
          <w:tcPr>
            <w:tcW w:w="1072" w:type="dxa"/>
            <w:tcBorders>
              <w:top w:val="single" w:sz="4" w:space="0" w:color="000000"/>
              <w:bottom w:val="single" w:sz="4" w:space="0" w:color="000000"/>
            </w:tcBorders>
            <w:shd w:val="clear" w:color="auto" w:fill="auto"/>
            <w:tcMar>
              <w:top w:w="0" w:type="dxa"/>
              <w:left w:w="108" w:type="dxa"/>
              <w:bottom w:w="0" w:type="dxa"/>
              <w:right w:w="108" w:type="dxa"/>
            </w:tcMar>
          </w:tcPr>
          <w:p w14:paraId="69C44657" w14:textId="77777777" w:rsidR="001F48CA" w:rsidRDefault="00000000">
            <w:pPr>
              <w:suppressAutoHyphens w:val="0"/>
              <w:spacing w:after="0" w:line="360" w:lineRule="auto"/>
              <w:jc w:val="both"/>
              <w:textAlignment w:val="auto"/>
              <w:rPr>
                <w:rFonts w:ascii="Times New Roman" w:eastAsia="Times New Roman" w:hAnsi="Times New Roman"/>
                <w:b/>
                <w:kern w:val="0"/>
                <w:sz w:val="24"/>
                <w:szCs w:val="24"/>
              </w:rPr>
            </w:pPr>
            <w:r>
              <w:rPr>
                <w:rFonts w:ascii="Times New Roman" w:eastAsia="Times New Roman" w:hAnsi="Times New Roman"/>
                <w:b/>
                <w:kern w:val="0"/>
                <w:sz w:val="24"/>
                <w:szCs w:val="24"/>
              </w:rPr>
              <w:t>VIF</w:t>
            </w:r>
          </w:p>
        </w:tc>
        <w:tc>
          <w:tcPr>
            <w:tcW w:w="1530" w:type="dxa"/>
            <w:tcBorders>
              <w:top w:val="single" w:sz="4" w:space="0" w:color="000000"/>
              <w:bottom w:val="single" w:sz="4" w:space="0" w:color="000000"/>
            </w:tcBorders>
            <w:shd w:val="clear" w:color="auto" w:fill="auto"/>
            <w:tcMar>
              <w:top w:w="0" w:type="dxa"/>
              <w:left w:w="108" w:type="dxa"/>
              <w:bottom w:w="0" w:type="dxa"/>
              <w:right w:w="108" w:type="dxa"/>
            </w:tcMar>
          </w:tcPr>
          <w:p w14:paraId="29CB71BE" w14:textId="77777777" w:rsidR="001F48CA" w:rsidRDefault="00000000">
            <w:pPr>
              <w:suppressAutoHyphens w:val="0"/>
              <w:spacing w:after="0" w:line="360" w:lineRule="auto"/>
              <w:jc w:val="both"/>
              <w:textAlignment w:val="auto"/>
              <w:rPr>
                <w:rFonts w:ascii="Times New Roman" w:eastAsia="Times New Roman" w:hAnsi="Times New Roman"/>
                <w:b/>
                <w:kern w:val="0"/>
                <w:sz w:val="24"/>
                <w:szCs w:val="24"/>
              </w:rPr>
            </w:pPr>
            <w:r>
              <w:rPr>
                <w:rFonts w:ascii="Times New Roman" w:eastAsia="Times New Roman" w:hAnsi="Times New Roman"/>
                <w:b/>
                <w:kern w:val="0"/>
                <w:sz w:val="24"/>
                <w:szCs w:val="24"/>
              </w:rPr>
              <w:t>1/VIF</w:t>
            </w:r>
          </w:p>
        </w:tc>
      </w:tr>
      <w:tr w:rsidR="001F48CA" w14:paraId="100CB839" w14:textId="77777777">
        <w:tc>
          <w:tcPr>
            <w:tcW w:w="1803" w:type="dxa"/>
            <w:tcBorders>
              <w:top w:val="single" w:sz="4" w:space="0" w:color="000000"/>
            </w:tcBorders>
            <w:shd w:val="clear" w:color="auto" w:fill="auto"/>
            <w:tcMar>
              <w:top w:w="0" w:type="dxa"/>
              <w:left w:w="108" w:type="dxa"/>
              <w:bottom w:w="0" w:type="dxa"/>
              <w:right w:w="108" w:type="dxa"/>
            </w:tcMar>
          </w:tcPr>
          <w:p w14:paraId="6832F041" w14:textId="77777777" w:rsidR="001F48CA" w:rsidRDefault="00000000">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MGROS</w:t>
            </w:r>
          </w:p>
        </w:tc>
        <w:tc>
          <w:tcPr>
            <w:tcW w:w="1072" w:type="dxa"/>
            <w:tcBorders>
              <w:top w:val="single" w:sz="4" w:space="0" w:color="000000"/>
            </w:tcBorders>
            <w:shd w:val="clear" w:color="auto" w:fill="auto"/>
            <w:tcMar>
              <w:top w:w="0" w:type="dxa"/>
              <w:left w:w="108" w:type="dxa"/>
              <w:bottom w:w="0" w:type="dxa"/>
              <w:right w:w="108" w:type="dxa"/>
            </w:tcMar>
          </w:tcPr>
          <w:p w14:paraId="0537EA39" w14:textId="77777777" w:rsidR="001F48CA" w:rsidRDefault="00000000">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1.33</w:t>
            </w:r>
          </w:p>
        </w:tc>
        <w:tc>
          <w:tcPr>
            <w:tcW w:w="1530" w:type="dxa"/>
            <w:tcBorders>
              <w:top w:val="single" w:sz="4" w:space="0" w:color="000000"/>
            </w:tcBorders>
            <w:shd w:val="clear" w:color="auto" w:fill="auto"/>
            <w:tcMar>
              <w:top w:w="0" w:type="dxa"/>
              <w:left w:w="108" w:type="dxa"/>
              <w:bottom w:w="0" w:type="dxa"/>
              <w:right w:w="108" w:type="dxa"/>
            </w:tcMar>
          </w:tcPr>
          <w:p w14:paraId="4D2142CE" w14:textId="77777777" w:rsidR="001F48CA" w:rsidRDefault="00000000">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0.7820</w:t>
            </w:r>
          </w:p>
        </w:tc>
      </w:tr>
      <w:tr w:rsidR="001F48CA" w14:paraId="25340A3E" w14:textId="77777777">
        <w:tc>
          <w:tcPr>
            <w:tcW w:w="1803" w:type="dxa"/>
            <w:shd w:val="clear" w:color="auto" w:fill="auto"/>
            <w:tcMar>
              <w:top w:w="0" w:type="dxa"/>
              <w:left w:w="108" w:type="dxa"/>
              <w:bottom w:w="0" w:type="dxa"/>
              <w:right w:w="108" w:type="dxa"/>
            </w:tcMar>
          </w:tcPr>
          <w:p w14:paraId="53041EF3" w14:textId="77777777" w:rsidR="001F48CA" w:rsidRDefault="00000000">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INST</w:t>
            </w:r>
          </w:p>
        </w:tc>
        <w:tc>
          <w:tcPr>
            <w:tcW w:w="1072" w:type="dxa"/>
            <w:shd w:val="clear" w:color="auto" w:fill="auto"/>
            <w:tcMar>
              <w:top w:w="0" w:type="dxa"/>
              <w:left w:w="108" w:type="dxa"/>
              <w:bottom w:w="0" w:type="dxa"/>
              <w:right w:w="108" w:type="dxa"/>
            </w:tcMar>
          </w:tcPr>
          <w:p w14:paraId="60242B9D" w14:textId="77777777" w:rsidR="001F48CA" w:rsidRDefault="00000000">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1.30</w:t>
            </w:r>
          </w:p>
        </w:tc>
        <w:tc>
          <w:tcPr>
            <w:tcW w:w="1530" w:type="dxa"/>
            <w:shd w:val="clear" w:color="auto" w:fill="auto"/>
            <w:tcMar>
              <w:top w:w="0" w:type="dxa"/>
              <w:left w:w="108" w:type="dxa"/>
              <w:bottom w:w="0" w:type="dxa"/>
              <w:right w:w="108" w:type="dxa"/>
            </w:tcMar>
          </w:tcPr>
          <w:p w14:paraId="66AA0FFB" w14:textId="77777777" w:rsidR="001F48CA" w:rsidRDefault="00000000">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0.7534</w:t>
            </w:r>
          </w:p>
        </w:tc>
      </w:tr>
      <w:tr w:rsidR="001F48CA" w14:paraId="58C88843" w14:textId="77777777">
        <w:tc>
          <w:tcPr>
            <w:tcW w:w="1803" w:type="dxa"/>
            <w:shd w:val="clear" w:color="auto" w:fill="auto"/>
            <w:tcMar>
              <w:top w:w="0" w:type="dxa"/>
              <w:left w:w="108" w:type="dxa"/>
              <w:bottom w:w="0" w:type="dxa"/>
              <w:right w:w="108" w:type="dxa"/>
            </w:tcMar>
          </w:tcPr>
          <w:p w14:paraId="5879C23E" w14:textId="77777777" w:rsidR="001F48CA" w:rsidRDefault="00000000">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lastRenderedPageBreak/>
              <w:t>OWNCONS</w:t>
            </w:r>
          </w:p>
        </w:tc>
        <w:tc>
          <w:tcPr>
            <w:tcW w:w="1072" w:type="dxa"/>
            <w:shd w:val="clear" w:color="auto" w:fill="auto"/>
            <w:tcMar>
              <w:top w:w="0" w:type="dxa"/>
              <w:left w:w="108" w:type="dxa"/>
              <w:bottom w:w="0" w:type="dxa"/>
              <w:right w:w="108" w:type="dxa"/>
            </w:tcMar>
          </w:tcPr>
          <w:p w14:paraId="521D9692" w14:textId="77777777" w:rsidR="001F48CA" w:rsidRDefault="00000000">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1.28</w:t>
            </w:r>
          </w:p>
        </w:tc>
        <w:tc>
          <w:tcPr>
            <w:tcW w:w="1530" w:type="dxa"/>
            <w:shd w:val="clear" w:color="auto" w:fill="auto"/>
            <w:tcMar>
              <w:top w:w="0" w:type="dxa"/>
              <w:left w:w="108" w:type="dxa"/>
              <w:bottom w:w="0" w:type="dxa"/>
              <w:right w:w="108" w:type="dxa"/>
            </w:tcMar>
          </w:tcPr>
          <w:p w14:paraId="542634E8" w14:textId="77777777" w:rsidR="001F48CA" w:rsidRDefault="00000000">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0.7717</w:t>
            </w:r>
          </w:p>
        </w:tc>
      </w:tr>
      <w:tr w:rsidR="001F48CA" w14:paraId="2345FF44" w14:textId="77777777">
        <w:tc>
          <w:tcPr>
            <w:tcW w:w="1803" w:type="dxa"/>
            <w:shd w:val="clear" w:color="auto" w:fill="auto"/>
            <w:tcMar>
              <w:top w:w="0" w:type="dxa"/>
              <w:left w:w="108" w:type="dxa"/>
              <w:bottom w:w="0" w:type="dxa"/>
              <w:right w:w="108" w:type="dxa"/>
            </w:tcMar>
          </w:tcPr>
          <w:p w14:paraId="20206655" w14:textId="77777777" w:rsidR="001F48CA" w:rsidRDefault="00000000">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SIZE</w:t>
            </w:r>
          </w:p>
        </w:tc>
        <w:tc>
          <w:tcPr>
            <w:tcW w:w="1072" w:type="dxa"/>
            <w:shd w:val="clear" w:color="auto" w:fill="auto"/>
            <w:tcMar>
              <w:top w:w="0" w:type="dxa"/>
              <w:left w:w="108" w:type="dxa"/>
              <w:bottom w:w="0" w:type="dxa"/>
              <w:right w:w="108" w:type="dxa"/>
            </w:tcMar>
          </w:tcPr>
          <w:p w14:paraId="16028540" w14:textId="77777777" w:rsidR="001F48CA" w:rsidRDefault="00000000">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1.22</w:t>
            </w:r>
          </w:p>
        </w:tc>
        <w:tc>
          <w:tcPr>
            <w:tcW w:w="1530" w:type="dxa"/>
            <w:shd w:val="clear" w:color="auto" w:fill="auto"/>
            <w:tcMar>
              <w:top w:w="0" w:type="dxa"/>
              <w:left w:w="108" w:type="dxa"/>
              <w:bottom w:w="0" w:type="dxa"/>
              <w:right w:w="108" w:type="dxa"/>
            </w:tcMar>
          </w:tcPr>
          <w:p w14:paraId="79BEAED4" w14:textId="77777777" w:rsidR="001F48CA" w:rsidRDefault="00000000">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0.8202</w:t>
            </w:r>
          </w:p>
        </w:tc>
      </w:tr>
      <w:tr w:rsidR="001F48CA" w14:paraId="40C3AD9F" w14:textId="77777777">
        <w:tc>
          <w:tcPr>
            <w:tcW w:w="1803" w:type="dxa"/>
            <w:tcBorders>
              <w:bottom w:val="single" w:sz="4" w:space="0" w:color="000000"/>
            </w:tcBorders>
            <w:shd w:val="clear" w:color="auto" w:fill="auto"/>
            <w:tcMar>
              <w:top w:w="0" w:type="dxa"/>
              <w:left w:w="108" w:type="dxa"/>
              <w:bottom w:w="0" w:type="dxa"/>
              <w:right w:w="108" w:type="dxa"/>
            </w:tcMar>
          </w:tcPr>
          <w:p w14:paraId="4F5E9E1B" w14:textId="77777777" w:rsidR="001F48CA" w:rsidRDefault="00000000">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LEV</w:t>
            </w:r>
          </w:p>
        </w:tc>
        <w:tc>
          <w:tcPr>
            <w:tcW w:w="1072" w:type="dxa"/>
            <w:tcBorders>
              <w:bottom w:val="single" w:sz="4" w:space="0" w:color="000000"/>
            </w:tcBorders>
            <w:shd w:val="clear" w:color="auto" w:fill="auto"/>
            <w:tcMar>
              <w:top w:w="0" w:type="dxa"/>
              <w:left w:w="108" w:type="dxa"/>
              <w:bottom w:w="0" w:type="dxa"/>
              <w:right w:w="108" w:type="dxa"/>
            </w:tcMar>
          </w:tcPr>
          <w:p w14:paraId="7BE459CE" w14:textId="77777777" w:rsidR="001F48CA" w:rsidRDefault="00000000">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1.13</w:t>
            </w:r>
          </w:p>
        </w:tc>
        <w:tc>
          <w:tcPr>
            <w:tcW w:w="1530" w:type="dxa"/>
            <w:tcBorders>
              <w:bottom w:val="single" w:sz="4" w:space="0" w:color="000000"/>
            </w:tcBorders>
            <w:shd w:val="clear" w:color="auto" w:fill="auto"/>
            <w:tcMar>
              <w:top w:w="0" w:type="dxa"/>
              <w:left w:w="108" w:type="dxa"/>
              <w:bottom w:w="0" w:type="dxa"/>
              <w:right w:w="108" w:type="dxa"/>
            </w:tcMar>
          </w:tcPr>
          <w:p w14:paraId="0256388A" w14:textId="77777777" w:rsidR="001F48CA" w:rsidRDefault="00000000">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0.8868</w:t>
            </w:r>
          </w:p>
        </w:tc>
      </w:tr>
      <w:tr w:rsidR="001F48CA" w14:paraId="7B36FC73" w14:textId="77777777">
        <w:tc>
          <w:tcPr>
            <w:tcW w:w="1803" w:type="dxa"/>
            <w:tcBorders>
              <w:top w:val="single" w:sz="4" w:space="0" w:color="000000"/>
            </w:tcBorders>
            <w:shd w:val="clear" w:color="auto" w:fill="auto"/>
            <w:tcMar>
              <w:top w:w="0" w:type="dxa"/>
              <w:left w:w="108" w:type="dxa"/>
              <w:bottom w:w="0" w:type="dxa"/>
              <w:right w:w="108" w:type="dxa"/>
            </w:tcMar>
          </w:tcPr>
          <w:p w14:paraId="2DE87C0A" w14:textId="77777777" w:rsidR="001F48CA" w:rsidRDefault="00000000">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Mean VIF</w:t>
            </w:r>
          </w:p>
        </w:tc>
        <w:tc>
          <w:tcPr>
            <w:tcW w:w="1072" w:type="dxa"/>
            <w:tcBorders>
              <w:top w:val="single" w:sz="4" w:space="0" w:color="000000"/>
            </w:tcBorders>
            <w:shd w:val="clear" w:color="auto" w:fill="auto"/>
            <w:tcMar>
              <w:top w:w="0" w:type="dxa"/>
              <w:left w:w="108" w:type="dxa"/>
              <w:bottom w:w="0" w:type="dxa"/>
              <w:right w:w="108" w:type="dxa"/>
            </w:tcMar>
          </w:tcPr>
          <w:p w14:paraId="4AEB5CDB" w14:textId="77777777" w:rsidR="001F48CA" w:rsidRDefault="00000000">
            <w:pPr>
              <w:suppressAutoHyphens w:val="0"/>
              <w:spacing w:after="0" w:line="360" w:lineRule="auto"/>
              <w:jc w:val="both"/>
              <w:textAlignment w:val="auto"/>
              <w:rPr>
                <w:rFonts w:ascii="Times New Roman" w:eastAsia="Times New Roman" w:hAnsi="Times New Roman"/>
                <w:kern w:val="0"/>
                <w:sz w:val="24"/>
                <w:szCs w:val="24"/>
              </w:rPr>
            </w:pPr>
            <w:r>
              <w:rPr>
                <w:rFonts w:ascii="Times New Roman" w:eastAsia="Times New Roman" w:hAnsi="Times New Roman"/>
                <w:kern w:val="0"/>
                <w:sz w:val="24"/>
                <w:szCs w:val="24"/>
              </w:rPr>
              <w:t>1.25</w:t>
            </w:r>
          </w:p>
        </w:tc>
        <w:tc>
          <w:tcPr>
            <w:tcW w:w="1530" w:type="dxa"/>
            <w:tcBorders>
              <w:top w:val="single" w:sz="4" w:space="0" w:color="000000"/>
            </w:tcBorders>
            <w:shd w:val="clear" w:color="auto" w:fill="auto"/>
            <w:tcMar>
              <w:top w:w="0" w:type="dxa"/>
              <w:left w:w="108" w:type="dxa"/>
              <w:bottom w:w="0" w:type="dxa"/>
              <w:right w:w="108" w:type="dxa"/>
            </w:tcMar>
          </w:tcPr>
          <w:p w14:paraId="42561380" w14:textId="77777777" w:rsidR="001F48CA" w:rsidRDefault="001F48CA">
            <w:pPr>
              <w:suppressAutoHyphens w:val="0"/>
              <w:spacing w:after="0" w:line="360" w:lineRule="auto"/>
              <w:jc w:val="both"/>
              <w:textAlignment w:val="auto"/>
              <w:rPr>
                <w:rFonts w:ascii="Times New Roman" w:eastAsia="Times New Roman" w:hAnsi="Times New Roman"/>
                <w:kern w:val="0"/>
                <w:sz w:val="24"/>
                <w:szCs w:val="24"/>
              </w:rPr>
            </w:pPr>
          </w:p>
        </w:tc>
      </w:tr>
    </w:tbl>
    <w:p w14:paraId="077FB7A6" w14:textId="5B6AB3FD"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As can be observed from Table </w:t>
      </w:r>
      <w:r w:rsidR="00A01C6A">
        <w:rPr>
          <w:rFonts w:ascii="Times New Roman" w:hAnsi="Times New Roman"/>
          <w:sz w:val="24"/>
          <w:szCs w:val="24"/>
        </w:rPr>
        <w:t>5</w:t>
      </w:r>
      <w:r>
        <w:rPr>
          <w:rFonts w:ascii="Times New Roman" w:hAnsi="Times New Roman"/>
          <w:sz w:val="24"/>
          <w:szCs w:val="24"/>
        </w:rPr>
        <w:t xml:space="preserve">, the VIF ranges between 1.13 to 1.33 with a mean of 1.25 which is below the threshold of 10, indicating the absence of multicollinearity among the variables of the study. </w:t>
      </w:r>
    </w:p>
    <w:p w14:paraId="49B51620"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On the other hand, the tolerance level(I/VIF) ranges from values of 0.7717 to 0.8868 which is above the threshold of 0.1 also indicating the absence of multicollinearity among the variables of the study. It can thus be concluded from the above that, there is no multicollinearity among the variables of this study.</w:t>
      </w:r>
    </w:p>
    <w:p w14:paraId="431E93A7"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4.2.3</w:t>
      </w:r>
      <w:r>
        <w:rPr>
          <w:rFonts w:ascii="Times New Roman" w:hAnsi="Times New Roman"/>
          <w:b/>
          <w:bCs/>
          <w:sz w:val="24"/>
          <w:szCs w:val="24"/>
        </w:rPr>
        <w:tab/>
        <w:t>Heteroskedasticity Test</w:t>
      </w:r>
    </w:p>
    <w:p w14:paraId="07135932" w14:textId="1F127E14"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The result obtained from the heteroskedasticity test presented in Table </w:t>
      </w:r>
      <w:r w:rsidR="00A01C6A">
        <w:rPr>
          <w:rFonts w:ascii="Times New Roman" w:hAnsi="Times New Roman"/>
          <w:sz w:val="24"/>
          <w:szCs w:val="24"/>
        </w:rPr>
        <w:t>6</w:t>
      </w:r>
      <w:r>
        <w:rPr>
          <w:rFonts w:ascii="Times New Roman" w:hAnsi="Times New Roman"/>
          <w:sz w:val="24"/>
          <w:szCs w:val="24"/>
        </w:rPr>
        <w:t xml:space="preserve"> show a p-value of 0.0269 which is less than the critical value of 0.05, implying the presence of heteroskedasticity and unequal variance.  As a result of the presence of heteroskedasticity in the study model, the robust regression test was further performed to correct the heteroskedasticity presence.</w:t>
      </w:r>
    </w:p>
    <w:p w14:paraId="0C517962" w14:textId="57BEEA0D" w:rsidR="001F48CA" w:rsidRDefault="00000000">
      <w:pPr>
        <w:suppressAutoHyphens w:val="0"/>
        <w:autoSpaceDE w:val="0"/>
        <w:spacing w:after="0" w:line="360" w:lineRule="auto"/>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Table </w:t>
      </w:r>
      <w:r w:rsidR="00A01C6A">
        <w:rPr>
          <w:rFonts w:ascii="Times New Roman" w:eastAsia="Times New Roman" w:hAnsi="Times New Roman"/>
          <w:b/>
          <w:sz w:val="24"/>
          <w:szCs w:val="24"/>
        </w:rPr>
        <w:t>6</w:t>
      </w:r>
      <w:r>
        <w:rPr>
          <w:rFonts w:ascii="Times New Roman" w:eastAsia="Times New Roman" w:hAnsi="Times New Roman"/>
          <w:b/>
          <w:sz w:val="24"/>
          <w:szCs w:val="24"/>
        </w:rPr>
        <w:t>: Heteroskedasticity Test Result</w:t>
      </w:r>
    </w:p>
    <w:tbl>
      <w:tblPr>
        <w:tblW w:w="8745" w:type="dxa"/>
        <w:tblInd w:w="93" w:type="dxa"/>
        <w:tblCellMar>
          <w:left w:w="10" w:type="dxa"/>
          <w:right w:w="10" w:type="dxa"/>
        </w:tblCellMar>
        <w:tblLook w:val="04A0" w:firstRow="1" w:lastRow="0" w:firstColumn="1" w:lastColumn="0" w:noHBand="0" w:noVBand="1"/>
      </w:tblPr>
      <w:tblGrid>
        <w:gridCol w:w="2445"/>
        <w:gridCol w:w="1890"/>
        <w:gridCol w:w="2250"/>
        <w:gridCol w:w="2160"/>
      </w:tblGrid>
      <w:tr w:rsidR="001F48CA" w14:paraId="1BEB20FF" w14:textId="77777777">
        <w:trPr>
          <w:trHeight w:val="105"/>
        </w:trPr>
        <w:tc>
          <w:tcPr>
            <w:tcW w:w="8745" w:type="dxa"/>
            <w:gridSpan w:val="4"/>
            <w:tcBorders>
              <w:top w:val="single" w:sz="4" w:space="0" w:color="000000"/>
            </w:tcBorders>
            <w:shd w:val="clear" w:color="auto" w:fill="auto"/>
            <w:tcMar>
              <w:top w:w="0" w:type="dxa"/>
              <w:left w:w="108" w:type="dxa"/>
              <w:bottom w:w="0" w:type="dxa"/>
              <w:right w:w="108" w:type="dxa"/>
            </w:tcMar>
          </w:tcPr>
          <w:p w14:paraId="2CAA4A24" w14:textId="77777777" w:rsidR="001F48CA" w:rsidRDefault="00000000">
            <w:pPr>
              <w:suppressAutoHyphens w:val="0"/>
              <w:spacing w:after="0" w:line="360" w:lineRule="auto"/>
              <w:jc w:val="both"/>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Variable                             Chi-Sq. Value                       Probability Value               </w:t>
            </w:r>
          </w:p>
        </w:tc>
      </w:tr>
      <w:tr w:rsidR="001F48CA" w14:paraId="6D5A4E46" w14:textId="77777777">
        <w:trPr>
          <w:trHeight w:val="105"/>
        </w:trPr>
        <w:tc>
          <w:tcPr>
            <w:tcW w:w="8745" w:type="dxa"/>
            <w:gridSpan w:val="4"/>
            <w:tcBorders>
              <w:top w:val="single" w:sz="4" w:space="0" w:color="000000"/>
            </w:tcBorders>
            <w:shd w:val="clear" w:color="auto" w:fill="auto"/>
            <w:tcMar>
              <w:top w:w="0" w:type="dxa"/>
              <w:left w:w="108" w:type="dxa"/>
              <w:bottom w:w="0" w:type="dxa"/>
              <w:right w:w="108" w:type="dxa"/>
            </w:tcMar>
          </w:tcPr>
          <w:p w14:paraId="265D88EA" w14:textId="77777777" w:rsidR="001F48CA" w:rsidRDefault="001F48CA">
            <w:pPr>
              <w:suppressAutoHyphens w:val="0"/>
              <w:spacing w:after="0" w:line="360" w:lineRule="auto"/>
              <w:jc w:val="both"/>
              <w:textAlignment w:val="auto"/>
              <w:rPr>
                <w:rFonts w:ascii="Times New Roman" w:eastAsia="Times New Roman" w:hAnsi="Times New Roman"/>
                <w:b/>
                <w:sz w:val="24"/>
                <w:szCs w:val="24"/>
              </w:rPr>
            </w:pPr>
          </w:p>
        </w:tc>
      </w:tr>
      <w:tr w:rsidR="001F48CA" w14:paraId="1A3E62D0" w14:textId="77777777">
        <w:trPr>
          <w:trHeight w:val="300"/>
        </w:trPr>
        <w:tc>
          <w:tcPr>
            <w:tcW w:w="2445" w:type="dxa"/>
            <w:shd w:val="clear" w:color="auto" w:fill="auto"/>
            <w:tcMar>
              <w:top w:w="0" w:type="dxa"/>
              <w:left w:w="108" w:type="dxa"/>
              <w:bottom w:w="0" w:type="dxa"/>
              <w:right w:w="108" w:type="dxa"/>
            </w:tcMar>
            <w:vAlign w:val="center"/>
          </w:tcPr>
          <w:p w14:paraId="3C79C865" w14:textId="77777777" w:rsidR="001F48CA" w:rsidRDefault="00000000">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 xml:space="preserve">Model </w:t>
            </w:r>
          </w:p>
        </w:tc>
        <w:tc>
          <w:tcPr>
            <w:tcW w:w="1890" w:type="dxa"/>
            <w:shd w:val="clear" w:color="auto" w:fill="auto"/>
            <w:tcMar>
              <w:top w:w="0" w:type="dxa"/>
              <w:left w:w="108" w:type="dxa"/>
              <w:bottom w:w="0" w:type="dxa"/>
              <w:right w:w="108" w:type="dxa"/>
            </w:tcMar>
            <w:vAlign w:val="center"/>
          </w:tcPr>
          <w:p w14:paraId="27099300" w14:textId="77777777" w:rsidR="001F48CA" w:rsidRDefault="00000000">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4.90</w:t>
            </w:r>
          </w:p>
        </w:tc>
        <w:tc>
          <w:tcPr>
            <w:tcW w:w="2250" w:type="dxa"/>
            <w:shd w:val="clear" w:color="auto" w:fill="auto"/>
            <w:tcMar>
              <w:top w:w="0" w:type="dxa"/>
              <w:left w:w="108" w:type="dxa"/>
              <w:bottom w:w="0" w:type="dxa"/>
              <w:right w:w="108" w:type="dxa"/>
            </w:tcMar>
            <w:vAlign w:val="center"/>
          </w:tcPr>
          <w:p w14:paraId="35592557" w14:textId="77777777" w:rsidR="001F48CA" w:rsidRDefault="00000000">
            <w:pPr>
              <w:suppressAutoHyphens w:val="0"/>
              <w:spacing w:after="0" w:line="360" w:lineRule="auto"/>
              <w:jc w:val="right"/>
              <w:textAlignment w:val="auto"/>
              <w:rPr>
                <w:rFonts w:ascii="Times New Roman" w:eastAsia="Times New Roman" w:hAnsi="Times New Roman"/>
                <w:sz w:val="24"/>
                <w:szCs w:val="24"/>
              </w:rPr>
            </w:pPr>
            <w:r>
              <w:rPr>
                <w:rFonts w:ascii="Times New Roman" w:eastAsia="Times New Roman" w:hAnsi="Times New Roman"/>
                <w:sz w:val="24"/>
                <w:szCs w:val="24"/>
              </w:rPr>
              <w:t>0.0269</w:t>
            </w:r>
          </w:p>
        </w:tc>
        <w:tc>
          <w:tcPr>
            <w:tcW w:w="2160" w:type="dxa"/>
            <w:shd w:val="clear" w:color="auto" w:fill="auto"/>
            <w:tcMar>
              <w:top w:w="0" w:type="dxa"/>
              <w:left w:w="10" w:type="dxa"/>
              <w:bottom w:w="0" w:type="dxa"/>
              <w:right w:w="10" w:type="dxa"/>
            </w:tcMar>
          </w:tcPr>
          <w:p w14:paraId="37FA593E" w14:textId="77777777" w:rsidR="001F48CA" w:rsidRDefault="001F48CA">
            <w:pPr>
              <w:suppressAutoHyphens w:val="0"/>
              <w:spacing w:after="0" w:line="360" w:lineRule="auto"/>
              <w:jc w:val="right"/>
              <w:textAlignment w:val="auto"/>
              <w:rPr>
                <w:rFonts w:ascii="Times New Roman" w:eastAsia="Times New Roman" w:hAnsi="Times New Roman"/>
                <w:sz w:val="24"/>
                <w:szCs w:val="24"/>
              </w:rPr>
            </w:pPr>
          </w:p>
        </w:tc>
      </w:tr>
    </w:tbl>
    <w:p w14:paraId="66617D62" w14:textId="77777777" w:rsidR="001F48CA" w:rsidRDefault="001F48CA">
      <w:pPr>
        <w:suppressAutoHyphens w:val="0"/>
        <w:autoSpaceDE w:val="0"/>
        <w:spacing w:after="0" w:line="360" w:lineRule="auto"/>
        <w:jc w:val="both"/>
        <w:textAlignment w:val="auto"/>
        <w:rPr>
          <w:rFonts w:ascii="Times New Roman" w:eastAsia="Times New Roman" w:hAnsi="Times New Roman"/>
          <w:sz w:val="24"/>
          <w:szCs w:val="24"/>
        </w:rPr>
      </w:pPr>
    </w:p>
    <w:tbl>
      <w:tblPr>
        <w:tblW w:w="8745" w:type="dxa"/>
        <w:tblInd w:w="93" w:type="dxa"/>
        <w:tblCellMar>
          <w:left w:w="10" w:type="dxa"/>
          <w:right w:w="10" w:type="dxa"/>
        </w:tblCellMar>
        <w:tblLook w:val="04A0" w:firstRow="1" w:lastRow="0" w:firstColumn="1" w:lastColumn="0" w:noHBand="0" w:noVBand="1"/>
      </w:tblPr>
      <w:tblGrid>
        <w:gridCol w:w="8745"/>
      </w:tblGrid>
      <w:tr w:rsidR="001F48CA" w14:paraId="2B22F563" w14:textId="77777777">
        <w:trPr>
          <w:trHeight w:val="100"/>
        </w:trPr>
        <w:tc>
          <w:tcPr>
            <w:tcW w:w="8745" w:type="dxa"/>
            <w:tcBorders>
              <w:top w:val="single" w:sz="4" w:space="0" w:color="000000"/>
            </w:tcBorders>
            <w:shd w:val="clear" w:color="auto" w:fill="auto"/>
            <w:tcMar>
              <w:top w:w="0" w:type="dxa"/>
              <w:left w:w="108" w:type="dxa"/>
              <w:bottom w:w="0" w:type="dxa"/>
              <w:right w:w="108" w:type="dxa"/>
            </w:tcMar>
          </w:tcPr>
          <w:p w14:paraId="4513FECE" w14:textId="77777777" w:rsidR="001F48CA" w:rsidRDefault="00000000">
            <w:pPr>
              <w:suppressAutoHyphens w:val="0"/>
              <w:autoSpaceDE w:val="0"/>
              <w:spacing w:after="0" w:line="360" w:lineRule="auto"/>
              <w:textAlignment w:val="auto"/>
            </w:pPr>
            <w:r>
              <w:rPr>
                <w:rFonts w:ascii="Times New Roman" w:hAnsi="Times New Roman"/>
                <w:b/>
                <w:sz w:val="24"/>
                <w:szCs w:val="24"/>
              </w:rPr>
              <w:t xml:space="preserve">Note: </w:t>
            </w:r>
            <w:r>
              <w:rPr>
                <w:rFonts w:ascii="Times New Roman" w:hAnsi="Times New Roman"/>
                <w:sz w:val="24"/>
                <w:szCs w:val="24"/>
              </w:rPr>
              <w:t>H</w:t>
            </w:r>
            <w:r>
              <w:rPr>
                <w:rFonts w:ascii="Times New Roman" w:hAnsi="Times New Roman"/>
                <w:sz w:val="24"/>
                <w:szCs w:val="24"/>
                <w:vertAlign w:val="subscript"/>
              </w:rPr>
              <w:t xml:space="preserve">o </w:t>
            </w:r>
            <w:r>
              <w:rPr>
                <w:rFonts w:ascii="Times New Roman" w:eastAsia="Times New Roman" w:hAnsi="Times New Roman"/>
                <w:sz w:val="24"/>
                <w:szCs w:val="24"/>
              </w:rPr>
              <w:t xml:space="preserve">(null): </w:t>
            </w:r>
            <w:proofErr w:type="spellStart"/>
            <w:r>
              <w:rPr>
                <w:rFonts w:ascii="Times New Roman" w:eastAsia="Times New Roman" w:hAnsi="Times New Roman"/>
                <w:sz w:val="24"/>
                <w:szCs w:val="24"/>
              </w:rPr>
              <w:t>Homoskedastic</w:t>
            </w:r>
            <w:proofErr w:type="spellEnd"/>
          </w:p>
        </w:tc>
      </w:tr>
    </w:tbl>
    <w:p w14:paraId="772C948E" w14:textId="77777777" w:rsidR="001F48CA" w:rsidRDefault="00000000">
      <w:pPr>
        <w:suppressAutoHyphens w:val="0"/>
        <w:spacing w:after="0" w:line="360" w:lineRule="auto"/>
        <w:jc w:val="both"/>
        <w:textAlignment w:val="auto"/>
      </w:pPr>
      <w:r>
        <w:rPr>
          <w:rFonts w:ascii="Times New Roman" w:eastAsia="Times New Roman" w:hAnsi="Times New Roman"/>
          <w:b/>
          <w:sz w:val="24"/>
          <w:szCs w:val="24"/>
        </w:rPr>
        <w:t xml:space="preserve">Source: </w:t>
      </w:r>
      <w:r>
        <w:rPr>
          <w:rFonts w:ascii="Times New Roman" w:eastAsia="Times New Roman" w:hAnsi="Times New Roman"/>
          <w:bCs/>
          <w:sz w:val="24"/>
          <w:szCs w:val="24"/>
        </w:rPr>
        <w:t xml:space="preserve">Computer </w:t>
      </w:r>
      <w:r>
        <w:rPr>
          <w:rFonts w:ascii="Times New Roman" w:eastAsia="Times New Roman" w:hAnsi="Times New Roman"/>
          <w:sz w:val="24"/>
          <w:szCs w:val="24"/>
        </w:rPr>
        <w:t>Output (Stata 13.0)</w:t>
      </w:r>
    </w:p>
    <w:p w14:paraId="044BF145" w14:textId="77777777" w:rsidR="001F48CA" w:rsidRDefault="001F48CA">
      <w:pPr>
        <w:suppressAutoHyphens w:val="0"/>
        <w:spacing w:after="0" w:line="360" w:lineRule="auto"/>
        <w:jc w:val="both"/>
        <w:textAlignment w:val="auto"/>
        <w:rPr>
          <w:rFonts w:ascii="Times New Roman" w:eastAsia="Times New Roman" w:hAnsi="Times New Roman"/>
          <w:sz w:val="24"/>
          <w:szCs w:val="24"/>
        </w:rPr>
      </w:pPr>
    </w:p>
    <w:p w14:paraId="707383E9"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4.2.4</w:t>
      </w:r>
      <w:r>
        <w:rPr>
          <w:rFonts w:ascii="Times New Roman" w:hAnsi="Times New Roman"/>
          <w:b/>
          <w:bCs/>
          <w:sz w:val="24"/>
          <w:szCs w:val="24"/>
        </w:rPr>
        <w:tab/>
        <w:t xml:space="preserve">Hausman Specification /Breusch and Pagan </w:t>
      </w:r>
      <w:proofErr w:type="spellStart"/>
      <w:r>
        <w:rPr>
          <w:rFonts w:ascii="Times New Roman" w:hAnsi="Times New Roman"/>
          <w:b/>
          <w:bCs/>
          <w:sz w:val="24"/>
          <w:szCs w:val="24"/>
        </w:rPr>
        <w:t>Lagrangian</w:t>
      </w:r>
      <w:proofErr w:type="spellEnd"/>
      <w:r>
        <w:rPr>
          <w:rFonts w:ascii="Times New Roman" w:hAnsi="Times New Roman"/>
          <w:b/>
          <w:bCs/>
          <w:sz w:val="24"/>
          <w:szCs w:val="24"/>
        </w:rPr>
        <w:t xml:space="preserve">  </w:t>
      </w:r>
    </w:p>
    <w:p w14:paraId="1A98630E" w14:textId="0F164020"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The Hausman Specification test result presented in Table </w:t>
      </w:r>
      <w:r w:rsidR="00A01C6A">
        <w:rPr>
          <w:rFonts w:ascii="Times New Roman" w:hAnsi="Times New Roman"/>
          <w:sz w:val="24"/>
          <w:szCs w:val="24"/>
        </w:rPr>
        <w:t>7</w:t>
      </w:r>
      <w:r>
        <w:rPr>
          <w:rFonts w:ascii="Times New Roman" w:hAnsi="Times New Roman"/>
          <w:sz w:val="24"/>
          <w:szCs w:val="24"/>
        </w:rPr>
        <w:t xml:space="preserve"> has a p-value of 0.8258 which is greater than the significance level of 0.05, implying that the null hypothesis be accepted at 5% level of significance. This implies that the random effect model is preferable to the fixed effect model. </w:t>
      </w:r>
    </w:p>
    <w:p w14:paraId="631CC8A8" w14:textId="1170BDED" w:rsidR="001F48CA" w:rsidRDefault="00000000">
      <w:pPr>
        <w:suppressAutoHyphens w:val="0"/>
        <w:spacing w:after="0" w:line="360" w:lineRule="auto"/>
        <w:jc w:val="both"/>
        <w:textAlignment w:val="auto"/>
      </w:pPr>
      <w:r>
        <w:rPr>
          <w:rFonts w:ascii="Times New Roman" w:eastAsia="Times New Roman" w:hAnsi="Times New Roman"/>
          <w:b/>
          <w:sz w:val="24"/>
          <w:szCs w:val="24"/>
        </w:rPr>
        <w:t xml:space="preserve">Table </w:t>
      </w:r>
      <w:r w:rsidR="00A01C6A">
        <w:rPr>
          <w:rFonts w:ascii="Times New Roman" w:eastAsia="Times New Roman" w:hAnsi="Times New Roman"/>
          <w:b/>
          <w:sz w:val="24"/>
          <w:szCs w:val="24"/>
        </w:rPr>
        <w:t>7</w:t>
      </w:r>
      <w:r>
        <w:rPr>
          <w:rFonts w:ascii="Times New Roman" w:eastAsia="Times New Roman" w:hAnsi="Times New Roman"/>
          <w:b/>
          <w:sz w:val="24"/>
          <w:szCs w:val="24"/>
        </w:rPr>
        <w:t xml:space="preserve">:  Result of Hausman Specification Test </w:t>
      </w:r>
    </w:p>
    <w:tbl>
      <w:tblPr>
        <w:tblW w:w="8745" w:type="dxa"/>
        <w:tblInd w:w="93" w:type="dxa"/>
        <w:tblCellMar>
          <w:left w:w="10" w:type="dxa"/>
          <w:right w:w="10" w:type="dxa"/>
        </w:tblCellMar>
        <w:tblLook w:val="04A0" w:firstRow="1" w:lastRow="0" w:firstColumn="1" w:lastColumn="0" w:noHBand="0" w:noVBand="1"/>
      </w:tblPr>
      <w:tblGrid>
        <w:gridCol w:w="2715"/>
        <w:gridCol w:w="1890"/>
        <w:gridCol w:w="2772"/>
        <w:gridCol w:w="1368"/>
      </w:tblGrid>
      <w:tr w:rsidR="001F48CA" w14:paraId="0E7ADB34" w14:textId="77777777">
        <w:trPr>
          <w:trHeight w:val="105"/>
        </w:trPr>
        <w:tc>
          <w:tcPr>
            <w:tcW w:w="7377" w:type="dxa"/>
            <w:gridSpan w:val="3"/>
            <w:tcBorders>
              <w:top w:val="single" w:sz="4" w:space="0" w:color="000000"/>
            </w:tcBorders>
            <w:shd w:val="clear" w:color="auto" w:fill="auto"/>
            <w:tcMar>
              <w:top w:w="0" w:type="dxa"/>
              <w:left w:w="108" w:type="dxa"/>
              <w:bottom w:w="0" w:type="dxa"/>
              <w:right w:w="108" w:type="dxa"/>
            </w:tcMar>
          </w:tcPr>
          <w:p w14:paraId="624AB430" w14:textId="77777777" w:rsidR="001F48CA" w:rsidRDefault="00000000">
            <w:pPr>
              <w:suppressAutoHyphens w:val="0"/>
              <w:spacing w:after="0" w:line="360" w:lineRule="auto"/>
              <w:jc w:val="both"/>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Test Summary                  Chi-Sq. Value                       Probability Value               </w:t>
            </w:r>
          </w:p>
        </w:tc>
        <w:tc>
          <w:tcPr>
            <w:tcW w:w="1368" w:type="dxa"/>
            <w:shd w:val="clear" w:color="auto" w:fill="auto"/>
            <w:tcMar>
              <w:top w:w="0" w:type="dxa"/>
              <w:left w:w="10" w:type="dxa"/>
              <w:bottom w:w="0" w:type="dxa"/>
              <w:right w:w="10" w:type="dxa"/>
            </w:tcMar>
          </w:tcPr>
          <w:p w14:paraId="66EF8980" w14:textId="77777777" w:rsidR="001F48CA" w:rsidRDefault="001F48CA">
            <w:pPr>
              <w:suppressAutoHyphens w:val="0"/>
              <w:spacing w:after="0" w:line="360" w:lineRule="auto"/>
              <w:jc w:val="both"/>
              <w:textAlignment w:val="auto"/>
              <w:rPr>
                <w:rFonts w:ascii="Times New Roman" w:eastAsia="Times New Roman" w:hAnsi="Times New Roman"/>
                <w:b/>
                <w:sz w:val="24"/>
                <w:szCs w:val="24"/>
              </w:rPr>
            </w:pPr>
          </w:p>
        </w:tc>
      </w:tr>
      <w:tr w:rsidR="001F48CA" w14:paraId="6DE32C1B" w14:textId="77777777">
        <w:trPr>
          <w:trHeight w:val="300"/>
        </w:trPr>
        <w:tc>
          <w:tcPr>
            <w:tcW w:w="2715"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1A381C5B" w14:textId="77777777" w:rsidR="001F48CA" w:rsidRDefault="00000000">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lastRenderedPageBreak/>
              <w:t>Cross-section random</w:t>
            </w:r>
          </w:p>
        </w:tc>
        <w:tc>
          <w:tcPr>
            <w:tcW w:w="1890"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75A486F4" w14:textId="77777777" w:rsidR="001F48CA" w:rsidRDefault="00000000">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 xml:space="preserve">     0.90</w:t>
            </w:r>
          </w:p>
        </w:tc>
        <w:tc>
          <w:tcPr>
            <w:tcW w:w="2772" w:type="dxa"/>
            <w:tcBorders>
              <w:top w:val="single" w:sz="4" w:space="0" w:color="000000"/>
              <w:bottom w:val="single" w:sz="4" w:space="0" w:color="000000"/>
            </w:tcBorders>
            <w:shd w:val="clear" w:color="auto" w:fill="auto"/>
            <w:tcMar>
              <w:top w:w="0" w:type="dxa"/>
              <w:left w:w="108" w:type="dxa"/>
              <w:bottom w:w="0" w:type="dxa"/>
              <w:right w:w="108" w:type="dxa"/>
            </w:tcMar>
            <w:vAlign w:val="center"/>
          </w:tcPr>
          <w:p w14:paraId="43DA2BD0" w14:textId="77777777" w:rsidR="001F48CA" w:rsidRDefault="00000000">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 xml:space="preserve">                   0.8258</w:t>
            </w:r>
          </w:p>
        </w:tc>
        <w:tc>
          <w:tcPr>
            <w:tcW w:w="1368" w:type="dxa"/>
            <w:shd w:val="clear" w:color="auto" w:fill="auto"/>
            <w:tcMar>
              <w:top w:w="0" w:type="dxa"/>
              <w:left w:w="10" w:type="dxa"/>
              <w:bottom w:w="0" w:type="dxa"/>
              <w:right w:w="10" w:type="dxa"/>
            </w:tcMar>
          </w:tcPr>
          <w:p w14:paraId="23CF9711" w14:textId="77777777" w:rsidR="001F48CA" w:rsidRDefault="001F48CA">
            <w:pPr>
              <w:suppressAutoHyphens w:val="0"/>
              <w:spacing w:after="0" w:line="360" w:lineRule="auto"/>
              <w:textAlignment w:val="auto"/>
              <w:rPr>
                <w:rFonts w:ascii="Times New Roman" w:eastAsia="Times New Roman" w:hAnsi="Times New Roman"/>
                <w:sz w:val="24"/>
                <w:szCs w:val="24"/>
              </w:rPr>
            </w:pPr>
          </w:p>
        </w:tc>
      </w:tr>
      <w:tr w:rsidR="001F48CA" w14:paraId="4B812598" w14:textId="77777777">
        <w:trPr>
          <w:trHeight w:val="100"/>
        </w:trPr>
        <w:tc>
          <w:tcPr>
            <w:tcW w:w="8745" w:type="dxa"/>
            <w:gridSpan w:val="4"/>
            <w:shd w:val="clear" w:color="auto" w:fill="auto"/>
            <w:tcMar>
              <w:top w:w="0" w:type="dxa"/>
              <w:left w:w="108" w:type="dxa"/>
              <w:bottom w:w="0" w:type="dxa"/>
              <w:right w:w="108" w:type="dxa"/>
            </w:tcMar>
          </w:tcPr>
          <w:p w14:paraId="3F200C35" w14:textId="77777777" w:rsidR="001F48CA" w:rsidRDefault="00000000">
            <w:pPr>
              <w:suppressAutoHyphens w:val="0"/>
              <w:autoSpaceDE w:val="0"/>
              <w:spacing w:after="0" w:line="360" w:lineRule="auto"/>
              <w:textAlignment w:val="auto"/>
            </w:pPr>
            <w:r>
              <w:rPr>
                <w:rFonts w:ascii="Times New Roman" w:hAnsi="Times New Roman"/>
                <w:b/>
                <w:sz w:val="24"/>
                <w:szCs w:val="24"/>
              </w:rPr>
              <w:t xml:space="preserve">Note: </w:t>
            </w:r>
            <w:r>
              <w:rPr>
                <w:rFonts w:ascii="Times New Roman" w:hAnsi="Times New Roman"/>
                <w:sz w:val="24"/>
                <w:szCs w:val="24"/>
              </w:rPr>
              <w:t>H</w:t>
            </w:r>
            <w:r>
              <w:rPr>
                <w:rFonts w:ascii="Times New Roman" w:hAnsi="Times New Roman"/>
                <w:sz w:val="24"/>
                <w:szCs w:val="24"/>
                <w:vertAlign w:val="subscript"/>
              </w:rPr>
              <w:t>o</w:t>
            </w:r>
            <w:r>
              <w:rPr>
                <w:rFonts w:ascii="Times New Roman" w:hAnsi="Times New Roman"/>
                <w:sz w:val="24"/>
                <w:szCs w:val="24"/>
              </w:rPr>
              <w:t>: Random effect model is preferable to fixed effect model</w:t>
            </w:r>
          </w:p>
        </w:tc>
      </w:tr>
    </w:tbl>
    <w:p w14:paraId="348C17FA" w14:textId="77777777" w:rsidR="001F48CA" w:rsidRDefault="00000000">
      <w:pPr>
        <w:suppressAutoHyphens w:val="0"/>
        <w:spacing w:after="200" w:line="360" w:lineRule="auto"/>
        <w:jc w:val="both"/>
        <w:textAlignment w:val="auto"/>
      </w:pPr>
      <w:r>
        <w:rPr>
          <w:rFonts w:ascii="Times New Roman" w:eastAsia="Times New Roman" w:hAnsi="Times New Roman"/>
          <w:b/>
          <w:sz w:val="24"/>
          <w:szCs w:val="24"/>
        </w:rPr>
        <w:t xml:space="preserve">   Source: </w:t>
      </w:r>
      <w:r>
        <w:rPr>
          <w:rFonts w:ascii="Times New Roman" w:eastAsia="Times New Roman" w:hAnsi="Times New Roman"/>
          <w:bCs/>
          <w:sz w:val="24"/>
          <w:szCs w:val="24"/>
        </w:rPr>
        <w:t xml:space="preserve">Computer </w:t>
      </w:r>
      <w:r>
        <w:rPr>
          <w:rFonts w:ascii="Times New Roman" w:eastAsia="Times New Roman" w:hAnsi="Times New Roman"/>
          <w:sz w:val="24"/>
          <w:szCs w:val="24"/>
        </w:rPr>
        <w:t>Output (Stata 13.0)</w:t>
      </w:r>
    </w:p>
    <w:p w14:paraId="7D80B0E7" w14:textId="17259350"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The choice of the random effect model by the Hausman Specification test further necessitates the Breusch and Pagan </w:t>
      </w:r>
      <w:proofErr w:type="spellStart"/>
      <w:r>
        <w:rPr>
          <w:rFonts w:ascii="Times New Roman" w:hAnsi="Times New Roman"/>
          <w:sz w:val="24"/>
          <w:szCs w:val="24"/>
        </w:rPr>
        <w:t>Lagrangian</w:t>
      </w:r>
      <w:proofErr w:type="spellEnd"/>
      <w:r>
        <w:rPr>
          <w:rFonts w:ascii="Times New Roman" w:hAnsi="Times New Roman"/>
          <w:sz w:val="24"/>
          <w:szCs w:val="24"/>
        </w:rPr>
        <w:t xml:space="preserve"> multiplier test for random effects to be conducted in order to choose between the result of the pooled OLS and the random effect model. The </w:t>
      </w:r>
      <w:proofErr w:type="gramStart"/>
      <w:r>
        <w:rPr>
          <w:rFonts w:ascii="Times New Roman" w:hAnsi="Times New Roman"/>
          <w:sz w:val="24"/>
          <w:szCs w:val="24"/>
        </w:rPr>
        <w:t>result  of</w:t>
      </w:r>
      <w:proofErr w:type="gramEnd"/>
      <w:r>
        <w:rPr>
          <w:rFonts w:ascii="Times New Roman" w:hAnsi="Times New Roman"/>
          <w:sz w:val="24"/>
          <w:szCs w:val="24"/>
        </w:rPr>
        <w:t xml:space="preserve"> the Breusch-Pagan LM test presented in Table </w:t>
      </w:r>
      <w:r w:rsidR="00A01C6A">
        <w:rPr>
          <w:rFonts w:ascii="Times New Roman" w:hAnsi="Times New Roman"/>
          <w:sz w:val="24"/>
          <w:szCs w:val="24"/>
        </w:rPr>
        <w:t>8</w:t>
      </w:r>
      <w:r>
        <w:rPr>
          <w:rFonts w:ascii="Times New Roman" w:hAnsi="Times New Roman"/>
          <w:sz w:val="24"/>
          <w:szCs w:val="24"/>
        </w:rPr>
        <w:t>, has the F-statistic p-values is 0.2236, which is statistically not  significant at 5% level. This implies that the Pooled PLS model is more preferable to the Random Effect Model.</w:t>
      </w:r>
    </w:p>
    <w:p w14:paraId="4D0F7B03" w14:textId="328E7375" w:rsidR="001F48CA" w:rsidRDefault="00000000">
      <w:pPr>
        <w:spacing w:line="360" w:lineRule="auto"/>
        <w:jc w:val="both"/>
      </w:pPr>
      <w:r>
        <w:t xml:space="preserve"> </w:t>
      </w:r>
      <w:r>
        <w:rPr>
          <w:rFonts w:ascii="Times New Roman" w:hAnsi="Times New Roman"/>
          <w:b/>
          <w:bCs/>
          <w:sz w:val="24"/>
          <w:szCs w:val="24"/>
        </w:rPr>
        <w:t xml:space="preserve">Table </w:t>
      </w:r>
      <w:r w:rsidR="00A01C6A">
        <w:rPr>
          <w:rFonts w:ascii="Times New Roman" w:hAnsi="Times New Roman"/>
          <w:b/>
          <w:bCs/>
          <w:sz w:val="24"/>
          <w:szCs w:val="24"/>
        </w:rPr>
        <w:t>8:</w:t>
      </w:r>
      <w:r>
        <w:rPr>
          <w:rFonts w:ascii="Times New Roman" w:hAnsi="Times New Roman"/>
          <w:b/>
          <w:bCs/>
          <w:sz w:val="24"/>
          <w:szCs w:val="24"/>
        </w:rPr>
        <w:t xml:space="preserve">  Result of Breusch and Pagan </w:t>
      </w:r>
      <w:proofErr w:type="spellStart"/>
      <w:r>
        <w:rPr>
          <w:rFonts w:ascii="Times New Roman" w:hAnsi="Times New Roman"/>
          <w:b/>
          <w:bCs/>
          <w:sz w:val="24"/>
          <w:szCs w:val="24"/>
        </w:rPr>
        <w:t>Lagrangian</w:t>
      </w:r>
      <w:proofErr w:type="spellEnd"/>
      <w:r>
        <w:rPr>
          <w:rFonts w:ascii="Times New Roman" w:hAnsi="Times New Roman"/>
          <w:b/>
          <w:bCs/>
          <w:sz w:val="24"/>
          <w:szCs w:val="24"/>
        </w:rPr>
        <w:t xml:space="preserve"> multiplier test for random effect for Financial Sector</w:t>
      </w:r>
    </w:p>
    <w:tbl>
      <w:tblPr>
        <w:tblW w:w="9285" w:type="dxa"/>
        <w:tblCellMar>
          <w:left w:w="10" w:type="dxa"/>
          <w:right w:w="10" w:type="dxa"/>
        </w:tblCellMar>
        <w:tblLook w:val="04A0" w:firstRow="1" w:lastRow="0" w:firstColumn="1" w:lastColumn="0" w:noHBand="0" w:noVBand="1"/>
      </w:tblPr>
      <w:tblGrid>
        <w:gridCol w:w="3252"/>
        <w:gridCol w:w="2518"/>
        <w:gridCol w:w="2944"/>
        <w:gridCol w:w="545"/>
        <w:gridCol w:w="26"/>
      </w:tblGrid>
      <w:tr w:rsidR="001F48CA" w14:paraId="1EF58C19" w14:textId="77777777">
        <w:trPr>
          <w:trHeight w:val="105"/>
        </w:trPr>
        <w:tc>
          <w:tcPr>
            <w:tcW w:w="9285" w:type="dxa"/>
            <w:gridSpan w:val="5"/>
            <w:tcBorders>
              <w:top w:val="single" w:sz="4" w:space="0" w:color="000000"/>
            </w:tcBorders>
            <w:shd w:val="clear" w:color="auto" w:fill="auto"/>
            <w:tcMar>
              <w:top w:w="0" w:type="dxa"/>
              <w:left w:w="108" w:type="dxa"/>
              <w:bottom w:w="0" w:type="dxa"/>
              <w:right w:w="108" w:type="dxa"/>
            </w:tcMar>
          </w:tcPr>
          <w:p w14:paraId="65EF0DE9" w14:textId="77777777" w:rsidR="001F48CA" w:rsidRDefault="00000000">
            <w:pPr>
              <w:suppressAutoHyphens w:val="0"/>
              <w:spacing w:after="0" w:line="360" w:lineRule="auto"/>
              <w:jc w:val="both"/>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Test Statistic                                  F-statistic Value                        Probability Value               </w:t>
            </w:r>
          </w:p>
        </w:tc>
      </w:tr>
      <w:tr w:rsidR="001F48CA" w14:paraId="6D5F47E9" w14:textId="77777777">
        <w:trPr>
          <w:trHeight w:val="105"/>
        </w:trPr>
        <w:tc>
          <w:tcPr>
            <w:tcW w:w="9285" w:type="dxa"/>
            <w:gridSpan w:val="5"/>
            <w:tcBorders>
              <w:top w:val="single" w:sz="4" w:space="0" w:color="000000"/>
            </w:tcBorders>
            <w:shd w:val="clear" w:color="auto" w:fill="auto"/>
            <w:tcMar>
              <w:top w:w="0" w:type="dxa"/>
              <w:left w:w="108" w:type="dxa"/>
              <w:bottom w:w="0" w:type="dxa"/>
              <w:right w:w="108" w:type="dxa"/>
            </w:tcMar>
          </w:tcPr>
          <w:p w14:paraId="4D0C5680" w14:textId="77777777" w:rsidR="001F48CA" w:rsidRDefault="001F48CA">
            <w:pPr>
              <w:suppressAutoHyphens w:val="0"/>
              <w:spacing w:after="0" w:line="360" w:lineRule="auto"/>
              <w:jc w:val="both"/>
              <w:textAlignment w:val="auto"/>
              <w:rPr>
                <w:rFonts w:ascii="Times New Roman" w:eastAsia="Times New Roman" w:hAnsi="Times New Roman"/>
                <w:b/>
                <w:sz w:val="24"/>
                <w:szCs w:val="24"/>
              </w:rPr>
            </w:pPr>
          </w:p>
        </w:tc>
      </w:tr>
      <w:tr w:rsidR="001F48CA" w14:paraId="5E502EAD" w14:textId="77777777">
        <w:trPr>
          <w:trHeight w:val="297"/>
        </w:trPr>
        <w:tc>
          <w:tcPr>
            <w:tcW w:w="3252" w:type="dxa"/>
            <w:shd w:val="clear" w:color="auto" w:fill="auto"/>
            <w:tcMar>
              <w:top w:w="0" w:type="dxa"/>
              <w:left w:w="108" w:type="dxa"/>
              <w:bottom w:w="0" w:type="dxa"/>
              <w:right w:w="108" w:type="dxa"/>
            </w:tcMar>
            <w:vAlign w:val="center"/>
          </w:tcPr>
          <w:p w14:paraId="7B56A68F" w14:textId="77777777" w:rsidR="001F48CA" w:rsidRDefault="00000000">
            <w:pPr>
              <w:suppressAutoHyphens w:val="0"/>
              <w:spacing w:after="0" w:line="360" w:lineRule="auto"/>
              <w:textAlignment w:val="auto"/>
              <w:rPr>
                <w:rFonts w:ascii="Times New Roman" w:eastAsia="Times New Roman" w:hAnsi="Times New Roman"/>
                <w:sz w:val="24"/>
                <w:szCs w:val="24"/>
              </w:rPr>
            </w:pPr>
            <w:proofErr w:type="gramStart"/>
            <w:r>
              <w:rPr>
                <w:rFonts w:ascii="Times New Roman" w:eastAsia="Times New Roman" w:hAnsi="Times New Roman"/>
                <w:sz w:val="24"/>
                <w:szCs w:val="24"/>
              </w:rPr>
              <w:t>LM  test</w:t>
            </w:r>
            <w:proofErr w:type="gramEnd"/>
          </w:p>
        </w:tc>
        <w:tc>
          <w:tcPr>
            <w:tcW w:w="2518" w:type="dxa"/>
            <w:shd w:val="clear" w:color="auto" w:fill="auto"/>
            <w:tcMar>
              <w:top w:w="0" w:type="dxa"/>
              <w:left w:w="108" w:type="dxa"/>
              <w:bottom w:w="0" w:type="dxa"/>
              <w:right w:w="108" w:type="dxa"/>
            </w:tcMar>
            <w:vAlign w:val="center"/>
          </w:tcPr>
          <w:p w14:paraId="4640B1F6" w14:textId="77777777" w:rsidR="001F48CA" w:rsidRDefault="00000000">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 xml:space="preserve">         0.58</w:t>
            </w:r>
          </w:p>
        </w:tc>
        <w:tc>
          <w:tcPr>
            <w:tcW w:w="2944" w:type="dxa"/>
            <w:shd w:val="clear" w:color="auto" w:fill="auto"/>
            <w:tcMar>
              <w:top w:w="0" w:type="dxa"/>
              <w:left w:w="108" w:type="dxa"/>
              <w:bottom w:w="0" w:type="dxa"/>
              <w:right w:w="108" w:type="dxa"/>
            </w:tcMar>
            <w:vAlign w:val="center"/>
          </w:tcPr>
          <w:p w14:paraId="3AF80781" w14:textId="77777777" w:rsidR="001F48CA" w:rsidRDefault="00000000">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0.2236</w:t>
            </w:r>
          </w:p>
        </w:tc>
        <w:tc>
          <w:tcPr>
            <w:tcW w:w="571" w:type="dxa"/>
            <w:gridSpan w:val="2"/>
            <w:shd w:val="clear" w:color="auto" w:fill="auto"/>
            <w:tcMar>
              <w:top w:w="0" w:type="dxa"/>
              <w:left w:w="10" w:type="dxa"/>
              <w:bottom w:w="0" w:type="dxa"/>
              <w:right w:w="10" w:type="dxa"/>
            </w:tcMar>
          </w:tcPr>
          <w:p w14:paraId="5844B13C" w14:textId="77777777" w:rsidR="001F48CA" w:rsidRDefault="001F48CA">
            <w:pPr>
              <w:suppressAutoHyphens w:val="0"/>
              <w:spacing w:after="0" w:line="360" w:lineRule="auto"/>
              <w:jc w:val="center"/>
              <w:textAlignment w:val="auto"/>
              <w:rPr>
                <w:rFonts w:ascii="Times New Roman" w:eastAsia="Times New Roman" w:hAnsi="Times New Roman"/>
                <w:sz w:val="24"/>
                <w:szCs w:val="24"/>
              </w:rPr>
            </w:pPr>
          </w:p>
        </w:tc>
      </w:tr>
      <w:tr w:rsidR="001F48CA" w14:paraId="5AA845F4" w14:textId="77777777">
        <w:trPr>
          <w:trHeight w:val="100"/>
        </w:trPr>
        <w:tc>
          <w:tcPr>
            <w:tcW w:w="9259" w:type="dxa"/>
            <w:gridSpan w:val="4"/>
            <w:tcBorders>
              <w:top w:val="single" w:sz="4" w:space="0" w:color="000000"/>
            </w:tcBorders>
            <w:shd w:val="clear" w:color="auto" w:fill="auto"/>
            <w:tcMar>
              <w:top w:w="0" w:type="dxa"/>
              <w:left w:w="108" w:type="dxa"/>
              <w:bottom w:w="0" w:type="dxa"/>
              <w:right w:w="108" w:type="dxa"/>
            </w:tcMar>
          </w:tcPr>
          <w:p w14:paraId="451B818F" w14:textId="77777777" w:rsidR="001F48CA" w:rsidRDefault="00000000">
            <w:pPr>
              <w:suppressAutoHyphens w:val="0"/>
              <w:autoSpaceDE w:val="0"/>
              <w:spacing w:after="0" w:line="360" w:lineRule="auto"/>
              <w:textAlignment w:val="auto"/>
            </w:pPr>
            <w:r>
              <w:rPr>
                <w:rFonts w:ascii="Times New Roman" w:hAnsi="Times New Roman"/>
                <w:b/>
                <w:sz w:val="24"/>
                <w:szCs w:val="24"/>
              </w:rPr>
              <w:t xml:space="preserve">Note: </w:t>
            </w:r>
            <w:r>
              <w:rPr>
                <w:rFonts w:ascii="Times New Roman" w:hAnsi="Times New Roman"/>
                <w:sz w:val="24"/>
                <w:szCs w:val="24"/>
              </w:rPr>
              <w:t>H</w:t>
            </w:r>
            <w:r>
              <w:rPr>
                <w:rFonts w:ascii="Times New Roman" w:hAnsi="Times New Roman"/>
                <w:sz w:val="24"/>
                <w:szCs w:val="24"/>
                <w:vertAlign w:val="subscript"/>
              </w:rPr>
              <w:t>o</w:t>
            </w:r>
            <w:r>
              <w:rPr>
                <w:rFonts w:ascii="Times New Roman" w:hAnsi="Times New Roman"/>
                <w:sz w:val="24"/>
                <w:szCs w:val="24"/>
              </w:rPr>
              <w:t xml:space="preserve">:  Random Effect Model is preferred to Pooled OLS regression Model </w:t>
            </w:r>
          </w:p>
        </w:tc>
        <w:tc>
          <w:tcPr>
            <w:tcW w:w="26" w:type="dxa"/>
            <w:shd w:val="clear" w:color="auto" w:fill="auto"/>
            <w:tcMar>
              <w:top w:w="0" w:type="dxa"/>
              <w:left w:w="10" w:type="dxa"/>
              <w:bottom w:w="0" w:type="dxa"/>
              <w:right w:w="10" w:type="dxa"/>
            </w:tcMar>
          </w:tcPr>
          <w:p w14:paraId="4B461534" w14:textId="77777777" w:rsidR="001F48CA" w:rsidRDefault="001F48CA">
            <w:pPr>
              <w:suppressAutoHyphens w:val="0"/>
              <w:autoSpaceDE w:val="0"/>
              <w:spacing w:after="0" w:line="360" w:lineRule="auto"/>
              <w:textAlignment w:val="auto"/>
            </w:pPr>
          </w:p>
        </w:tc>
      </w:tr>
    </w:tbl>
    <w:p w14:paraId="04908839" w14:textId="77777777" w:rsidR="001F48CA" w:rsidRDefault="00000000">
      <w:pPr>
        <w:suppressAutoHyphens w:val="0"/>
        <w:spacing w:after="200" w:line="360" w:lineRule="auto"/>
        <w:jc w:val="both"/>
        <w:textAlignment w:val="auto"/>
      </w:pPr>
      <w:r>
        <w:rPr>
          <w:rFonts w:ascii="Times New Roman" w:eastAsia="Times New Roman" w:hAnsi="Times New Roman"/>
          <w:b/>
          <w:sz w:val="24"/>
          <w:szCs w:val="24"/>
        </w:rPr>
        <w:t xml:space="preserve"> Source: </w:t>
      </w:r>
      <w:r>
        <w:rPr>
          <w:rFonts w:ascii="Times New Roman" w:eastAsia="Times New Roman" w:hAnsi="Times New Roman"/>
          <w:bCs/>
          <w:sz w:val="24"/>
          <w:szCs w:val="24"/>
        </w:rPr>
        <w:t xml:space="preserve">Computer </w:t>
      </w:r>
      <w:r>
        <w:rPr>
          <w:rFonts w:ascii="Times New Roman" w:eastAsia="Times New Roman" w:hAnsi="Times New Roman"/>
          <w:sz w:val="24"/>
          <w:szCs w:val="24"/>
        </w:rPr>
        <w:t>Output (Stata 13.0).</w:t>
      </w:r>
    </w:p>
    <w:p w14:paraId="37C6995F" w14:textId="77777777" w:rsidR="001F48CA" w:rsidRDefault="00000000">
      <w:pPr>
        <w:spacing w:line="360" w:lineRule="auto"/>
        <w:jc w:val="both"/>
      </w:pPr>
      <w:r>
        <w:rPr>
          <w:rFonts w:ascii="Times New Roman" w:hAnsi="Times New Roman"/>
          <w:b/>
          <w:bCs/>
          <w:sz w:val="24"/>
          <w:szCs w:val="24"/>
        </w:rPr>
        <w:t>4.3</w:t>
      </w:r>
      <w:r>
        <w:rPr>
          <w:rFonts w:ascii="Times New Roman" w:hAnsi="Times New Roman"/>
          <w:b/>
          <w:bCs/>
          <w:sz w:val="24"/>
          <w:szCs w:val="24"/>
        </w:rPr>
        <w:tab/>
        <w:t>Results of Regression Analysis</w:t>
      </w:r>
      <w:r>
        <w:rPr>
          <w:rFonts w:ascii="Times New Roman" w:hAnsi="Times New Roman"/>
          <w:sz w:val="24"/>
          <w:szCs w:val="24"/>
        </w:rPr>
        <w:t>.</w:t>
      </w:r>
    </w:p>
    <w:p w14:paraId="58F6A0DC" w14:textId="204C93B4" w:rsidR="001F48CA" w:rsidRDefault="00000000">
      <w:pPr>
        <w:suppressAutoHyphens w:val="0"/>
        <w:spacing w:after="0" w:line="360" w:lineRule="auto"/>
        <w:jc w:val="both"/>
        <w:textAlignment w:val="auto"/>
        <w:rPr>
          <w:rFonts w:ascii="Times New Roman" w:eastAsia="Times New Roman" w:hAnsi="Times New Roman"/>
          <w:sz w:val="24"/>
          <w:szCs w:val="24"/>
        </w:rPr>
      </w:pPr>
      <w:r>
        <w:rPr>
          <w:rFonts w:ascii="Times New Roman" w:eastAsia="Times New Roman" w:hAnsi="Times New Roman"/>
          <w:sz w:val="24"/>
          <w:szCs w:val="24"/>
        </w:rPr>
        <w:t xml:space="preserve">The Pooled OLS results are presented in Table </w:t>
      </w:r>
      <w:r w:rsidR="00A01C6A">
        <w:rPr>
          <w:rFonts w:ascii="Times New Roman" w:eastAsia="Times New Roman" w:hAnsi="Times New Roman"/>
          <w:sz w:val="24"/>
          <w:szCs w:val="24"/>
        </w:rPr>
        <w:t>9</w:t>
      </w:r>
    </w:p>
    <w:p w14:paraId="0885FF7A" w14:textId="729725D6" w:rsidR="001F48CA" w:rsidRDefault="00000000">
      <w:pPr>
        <w:suppressAutoHyphens w:val="0"/>
        <w:autoSpaceDE w:val="0"/>
        <w:spacing w:after="0" w:line="360" w:lineRule="auto"/>
        <w:textAlignment w:val="auto"/>
      </w:pPr>
      <w:r>
        <w:rPr>
          <w:rFonts w:ascii="Times New Roman" w:eastAsia="Times New Roman" w:hAnsi="Times New Roman"/>
          <w:b/>
          <w:sz w:val="24"/>
          <w:szCs w:val="24"/>
        </w:rPr>
        <w:t xml:space="preserve">Table </w:t>
      </w:r>
      <w:r w:rsidR="00A01C6A">
        <w:rPr>
          <w:rFonts w:ascii="Times New Roman" w:eastAsia="Times New Roman" w:hAnsi="Times New Roman"/>
          <w:b/>
          <w:sz w:val="24"/>
          <w:szCs w:val="24"/>
        </w:rPr>
        <w:t>9</w:t>
      </w:r>
      <w:r>
        <w:rPr>
          <w:rFonts w:ascii="Times New Roman" w:eastAsia="Times New Roman" w:hAnsi="Times New Roman"/>
          <w:b/>
          <w:sz w:val="24"/>
          <w:szCs w:val="24"/>
        </w:rPr>
        <w:t xml:space="preserve">: Summary of Pooled OLS Regression Results </w:t>
      </w:r>
    </w:p>
    <w:tbl>
      <w:tblPr>
        <w:tblW w:w="7336" w:type="dxa"/>
        <w:tblCellMar>
          <w:left w:w="10" w:type="dxa"/>
          <w:right w:w="10" w:type="dxa"/>
        </w:tblCellMar>
        <w:tblLook w:val="04A0" w:firstRow="1" w:lastRow="0" w:firstColumn="1" w:lastColumn="0" w:noHBand="0" w:noVBand="1"/>
      </w:tblPr>
      <w:tblGrid>
        <w:gridCol w:w="1776"/>
        <w:gridCol w:w="367"/>
        <w:gridCol w:w="1562"/>
        <w:gridCol w:w="1651"/>
        <w:gridCol w:w="1980"/>
      </w:tblGrid>
      <w:tr w:rsidR="001F48CA" w14:paraId="68F1A183" w14:textId="77777777">
        <w:trPr>
          <w:trHeight w:val="105"/>
        </w:trPr>
        <w:tc>
          <w:tcPr>
            <w:tcW w:w="1776" w:type="dxa"/>
            <w:tcBorders>
              <w:top w:val="single" w:sz="4" w:space="0" w:color="000000"/>
            </w:tcBorders>
            <w:shd w:val="clear" w:color="auto" w:fill="auto"/>
            <w:tcMar>
              <w:top w:w="0" w:type="dxa"/>
              <w:left w:w="108" w:type="dxa"/>
              <w:bottom w:w="0" w:type="dxa"/>
              <w:right w:w="108" w:type="dxa"/>
            </w:tcMar>
          </w:tcPr>
          <w:p w14:paraId="17A69FD9" w14:textId="77777777" w:rsidR="001F48CA" w:rsidRDefault="00000000">
            <w:pPr>
              <w:suppressAutoHyphens w:val="0"/>
              <w:spacing w:after="0" w:line="360" w:lineRule="auto"/>
              <w:jc w:val="both"/>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           DACCR</w:t>
            </w:r>
          </w:p>
        </w:tc>
        <w:tc>
          <w:tcPr>
            <w:tcW w:w="5560" w:type="dxa"/>
            <w:gridSpan w:val="4"/>
            <w:tcBorders>
              <w:top w:val="single" w:sz="4" w:space="0" w:color="000000"/>
            </w:tcBorders>
            <w:shd w:val="clear" w:color="auto" w:fill="auto"/>
            <w:tcMar>
              <w:top w:w="0" w:type="dxa"/>
              <w:left w:w="108" w:type="dxa"/>
              <w:bottom w:w="0" w:type="dxa"/>
              <w:right w:w="108" w:type="dxa"/>
            </w:tcMar>
          </w:tcPr>
          <w:p w14:paraId="6E4F07F8" w14:textId="77777777" w:rsidR="001F48CA" w:rsidRDefault="00000000">
            <w:pPr>
              <w:suppressAutoHyphens w:val="0"/>
              <w:spacing w:after="0" w:line="360" w:lineRule="auto"/>
              <w:jc w:val="both"/>
              <w:textAlignment w:val="auto"/>
              <w:rPr>
                <w:rFonts w:ascii="Times New Roman" w:eastAsia="Times New Roman" w:hAnsi="Times New Roman"/>
                <w:b/>
                <w:sz w:val="24"/>
                <w:szCs w:val="24"/>
              </w:rPr>
            </w:pPr>
            <w:r>
              <w:rPr>
                <w:rFonts w:ascii="Times New Roman" w:eastAsia="Times New Roman" w:hAnsi="Times New Roman"/>
                <w:b/>
                <w:sz w:val="24"/>
                <w:szCs w:val="24"/>
              </w:rPr>
              <w:t xml:space="preserve">        Coefficient            t statistics             Probability                 </w:t>
            </w:r>
          </w:p>
        </w:tc>
      </w:tr>
      <w:tr w:rsidR="001F48CA" w14:paraId="6918746E" w14:textId="77777777">
        <w:trPr>
          <w:trHeight w:val="300"/>
        </w:trPr>
        <w:tc>
          <w:tcPr>
            <w:tcW w:w="2143" w:type="dxa"/>
            <w:gridSpan w:val="2"/>
            <w:shd w:val="clear" w:color="auto" w:fill="auto"/>
            <w:tcMar>
              <w:top w:w="0" w:type="dxa"/>
              <w:left w:w="108" w:type="dxa"/>
              <w:bottom w:w="0" w:type="dxa"/>
              <w:right w:w="108" w:type="dxa"/>
            </w:tcMar>
            <w:vAlign w:val="center"/>
          </w:tcPr>
          <w:p w14:paraId="18CE1880" w14:textId="77777777" w:rsidR="001F48CA" w:rsidRDefault="00000000">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MGROS</w:t>
            </w:r>
          </w:p>
        </w:tc>
        <w:tc>
          <w:tcPr>
            <w:tcW w:w="1562" w:type="dxa"/>
            <w:shd w:val="clear" w:color="auto" w:fill="auto"/>
            <w:tcMar>
              <w:top w:w="0" w:type="dxa"/>
              <w:left w:w="108" w:type="dxa"/>
              <w:bottom w:w="0" w:type="dxa"/>
              <w:right w:w="108" w:type="dxa"/>
            </w:tcMar>
            <w:vAlign w:val="center"/>
          </w:tcPr>
          <w:p w14:paraId="358EAE48" w14:textId="77777777" w:rsidR="001F48CA" w:rsidRDefault="00000000">
            <w:pPr>
              <w:suppressAutoHyphens w:val="0"/>
              <w:spacing w:after="0" w:line="360" w:lineRule="auto"/>
              <w:ind w:right="-139"/>
              <w:jc w:val="center"/>
              <w:textAlignment w:val="auto"/>
              <w:rPr>
                <w:rFonts w:ascii="Times New Roman" w:eastAsia="Times New Roman" w:hAnsi="Times New Roman"/>
                <w:sz w:val="24"/>
                <w:szCs w:val="24"/>
              </w:rPr>
            </w:pPr>
            <w:r>
              <w:rPr>
                <w:rFonts w:ascii="Times New Roman" w:eastAsia="Times New Roman" w:hAnsi="Times New Roman"/>
                <w:sz w:val="24"/>
                <w:szCs w:val="24"/>
              </w:rPr>
              <w:t>-1.5196</w:t>
            </w:r>
          </w:p>
        </w:tc>
        <w:tc>
          <w:tcPr>
            <w:tcW w:w="1651" w:type="dxa"/>
            <w:shd w:val="clear" w:color="auto" w:fill="auto"/>
            <w:tcMar>
              <w:top w:w="0" w:type="dxa"/>
              <w:left w:w="108" w:type="dxa"/>
              <w:bottom w:w="0" w:type="dxa"/>
              <w:right w:w="108" w:type="dxa"/>
            </w:tcMar>
          </w:tcPr>
          <w:p w14:paraId="3DC0DA72" w14:textId="77777777" w:rsidR="001F48CA" w:rsidRDefault="00000000">
            <w:pPr>
              <w:suppressAutoHyphens w:val="0"/>
              <w:spacing w:after="0" w:line="360" w:lineRule="auto"/>
              <w:ind w:right="-108"/>
              <w:jc w:val="center"/>
              <w:textAlignment w:val="auto"/>
              <w:rPr>
                <w:rFonts w:ascii="Times New Roman" w:eastAsia="Times New Roman" w:hAnsi="Times New Roman"/>
                <w:sz w:val="24"/>
                <w:szCs w:val="24"/>
              </w:rPr>
            </w:pPr>
            <w:r>
              <w:rPr>
                <w:rFonts w:ascii="Times New Roman" w:eastAsia="Times New Roman" w:hAnsi="Times New Roman"/>
                <w:sz w:val="24"/>
                <w:szCs w:val="24"/>
              </w:rPr>
              <w:t>-1.72</w:t>
            </w:r>
          </w:p>
        </w:tc>
        <w:tc>
          <w:tcPr>
            <w:tcW w:w="1980" w:type="dxa"/>
            <w:shd w:val="clear" w:color="auto" w:fill="auto"/>
            <w:tcMar>
              <w:top w:w="0" w:type="dxa"/>
              <w:left w:w="108" w:type="dxa"/>
              <w:bottom w:w="0" w:type="dxa"/>
              <w:right w:w="108" w:type="dxa"/>
            </w:tcMar>
            <w:vAlign w:val="center"/>
          </w:tcPr>
          <w:p w14:paraId="2A891C89" w14:textId="77777777" w:rsidR="001F48CA" w:rsidRDefault="00000000">
            <w:pPr>
              <w:suppressAutoHyphens w:val="0"/>
              <w:spacing w:after="0" w:line="360" w:lineRule="auto"/>
              <w:ind w:right="-108"/>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0.088</w:t>
            </w:r>
          </w:p>
        </w:tc>
      </w:tr>
      <w:tr w:rsidR="001F48CA" w14:paraId="06E5CDDE" w14:textId="77777777">
        <w:trPr>
          <w:trHeight w:val="300"/>
        </w:trPr>
        <w:tc>
          <w:tcPr>
            <w:tcW w:w="2143" w:type="dxa"/>
            <w:gridSpan w:val="2"/>
            <w:shd w:val="clear" w:color="auto" w:fill="auto"/>
            <w:tcMar>
              <w:top w:w="0" w:type="dxa"/>
              <w:left w:w="108" w:type="dxa"/>
              <w:bottom w:w="0" w:type="dxa"/>
              <w:right w:w="108" w:type="dxa"/>
            </w:tcMar>
            <w:vAlign w:val="center"/>
          </w:tcPr>
          <w:p w14:paraId="6A3796CC" w14:textId="77777777" w:rsidR="001F48CA" w:rsidRDefault="00000000">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 xml:space="preserve">         INST</w:t>
            </w:r>
          </w:p>
        </w:tc>
        <w:tc>
          <w:tcPr>
            <w:tcW w:w="1562" w:type="dxa"/>
            <w:shd w:val="clear" w:color="auto" w:fill="auto"/>
            <w:tcMar>
              <w:top w:w="0" w:type="dxa"/>
              <w:left w:w="108" w:type="dxa"/>
              <w:bottom w:w="0" w:type="dxa"/>
              <w:right w:w="108" w:type="dxa"/>
            </w:tcMar>
            <w:vAlign w:val="center"/>
          </w:tcPr>
          <w:p w14:paraId="71A0ED18" w14:textId="77777777" w:rsidR="001F48CA" w:rsidRDefault="00000000">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-0.3387</w:t>
            </w:r>
          </w:p>
        </w:tc>
        <w:tc>
          <w:tcPr>
            <w:tcW w:w="1651" w:type="dxa"/>
            <w:shd w:val="clear" w:color="auto" w:fill="auto"/>
            <w:tcMar>
              <w:top w:w="0" w:type="dxa"/>
              <w:left w:w="108" w:type="dxa"/>
              <w:bottom w:w="0" w:type="dxa"/>
              <w:right w:w="108" w:type="dxa"/>
            </w:tcMar>
          </w:tcPr>
          <w:p w14:paraId="45B49B84" w14:textId="77777777" w:rsidR="001F48CA" w:rsidRDefault="00000000">
            <w:pPr>
              <w:suppressAutoHyphens w:val="0"/>
              <w:spacing w:after="0" w:line="360" w:lineRule="auto"/>
              <w:ind w:right="-288"/>
              <w:textAlignment w:val="auto"/>
              <w:rPr>
                <w:rFonts w:ascii="Times New Roman" w:eastAsia="Times New Roman" w:hAnsi="Times New Roman"/>
                <w:sz w:val="24"/>
                <w:szCs w:val="24"/>
              </w:rPr>
            </w:pPr>
            <w:r>
              <w:rPr>
                <w:rFonts w:ascii="Times New Roman" w:eastAsia="Times New Roman" w:hAnsi="Times New Roman"/>
                <w:sz w:val="24"/>
                <w:szCs w:val="24"/>
              </w:rPr>
              <w:t xml:space="preserve">        -1.42</w:t>
            </w:r>
          </w:p>
        </w:tc>
        <w:tc>
          <w:tcPr>
            <w:tcW w:w="1980" w:type="dxa"/>
            <w:shd w:val="clear" w:color="auto" w:fill="auto"/>
            <w:tcMar>
              <w:top w:w="0" w:type="dxa"/>
              <w:left w:w="108" w:type="dxa"/>
              <w:bottom w:w="0" w:type="dxa"/>
              <w:right w:w="108" w:type="dxa"/>
            </w:tcMar>
            <w:vAlign w:val="center"/>
          </w:tcPr>
          <w:p w14:paraId="3CBF0313" w14:textId="77777777" w:rsidR="001F48CA" w:rsidRDefault="00000000">
            <w:pPr>
              <w:suppressAutoHyphens w:val="0"/>
              <w:spacing w:after="0" w:line="360" w:lineRule="auto"/>
              <w:ind w:right="-288"/>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0.157</w:t>
            </w:r>
          </w:p>
        </w:tc>
      </w:tr>
      <w:tr w:rsidR="001F48CA" w14:paraId="6B5BA1C1" w14:textId="77777777">
        <w:trPr>
          <w:trHeight w:val="300"/>
        </w:trPr>
        <w:tc>
          <w:tcPr>
            <w:tcW w:w="2143" w:type="dxa"/>
            <w:gridSpan w:val="2"/>
            <w:shd w:val="clear" w:color="auto" w:fill="auto"/>
            <w:tcMar>
              <w:top w:w="0" w:type="dxa"/>
              <w:left w:w="108" w:type="dxa"/>
              <w:bottom w:w="0" w:type="dxa"/>
              <w:right w:w="108" w:type="dxa"/>
            </w:tcMar>
            <w:vAlign w:val="center"/>
          </w:tcPr>
          <w:p w14:paraId="39176895" w14:textId="77777777" w:rsidR="001F48CA" w:rsidRDefault="00000000">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OWNCONS</w:t>
            </w:r>
          </w:p>
        </w:tc>
        <w:tc>
          <w:tcPr>
            <w:tcW w:w="1562" w:type="dxa"/>
            <w:shd w:val="clear" w:color="auto" w:fill="auto"/>
            <w:tcMar>
              <w:top w:w="0" w:type="dxa"/>
              <w:left w:w="108" w:type="dxa"/>
              <w:bottom w:w="0" w:type="dxa"/>
              <w:right w:w="108" w:type="dxa"/>
            </w:tcMar>
            <w:vAlign w:val="center"/>
          </w:tcPr>
          <w:p w14:paraId="5213F90A" w14:textId="77777777" w:rsidR="001F48CA" w:rsidRDefault="00000000">
            <w:pPr>
              <w:suppressAutoHyphens w:val="0"/>
              <w:spacing w:after="0" w:line="360" w:lineRule="auto"/>
              <w:ind w:right="-108"/>
              <w:jc w:val="center"/>
              <w:textAlignment w:val="auto"/>
              <w:rPr>
                <w:rFonts w:ascii="Times New Roman" w:eastAsia="Times New Roman" w:hAnsi="Times New Roman"/>
                <w:sz w:val="24"/>
                <w:szCs w:val="24"/>
              </w:rPr>
            </w:pPr>
            <w:r>
              <w:rPr>
                <w:rFonts w:ascii="Times New Roman" w:eastAsia="Times New Roman" w:hAnsi="Times New Roman"/>
                <w:sz w:val="24"/>
                <w:szCs w:val="24"/>
              </w:rPr>
              <w:t>0.2519</w:t>
            </w:r>
          </w:p>
        </w:tc>
        <w:tc>
          <w:tcPr>
            <w:tcW w:w="1651" w:type="dxa"/>
            <w:shd w:val="clear" w:color="auto" w:fill="auto"/>
            <w:tcMar>
              <w:top w:w="0" w:type="dxa"/>
              <w:left w:w="108" w:type="dxa"/>
              <w:bottom w:w="0" w:type="dxa"/>
              <w:right w:w="108" w:type="dxa"/>
            </w:tcMar>
          </w:tcPr>
          <w:p w14:paraId="6345D776" w14:textId="77777777" w:rsidR="001F48CA" w:rsidRDefault="00000000">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1.23</w:t>
            </w:r>
          </w:p>
        </w:tc>
        <w:tc>
          <w:tcPr>
            <w:tcW w:w="1980" w:type="dxa"/>
            <w:shd w:val="clear" w:color="auto" w:fill="auto"/>
            <w:tcMar>
              <w:top w:w="0" w:type="dxa"/>
              <w:left w:w="108" w:type="dxa"/>
              <w:bottom w:w="0" w:type="dxa"/>
              <w:right w:w="108" w:type="dxa"/>
            </w:tcMar>
            <w:vAlign w:val="center"/>
          </w:tcPr>
          <w:p w14:paraId="0967BA1D" w14:textId="77777777" w:rsidR="001F48CA" w:rsidRDefault="00000000">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0.221</w:t>
            </w:r>
          </w:p>
        </w:tc>
      </w:tr>
      <w:tr w:rsidR="001F48CA" w14:paraId="563A831A" w14:textId="77777777">
        <w:trPr>
          <w:trHeight w:val="300"/>
        </w:trPr>
        <w:tc>
          <w:tcPr>
            <w:tcW w:w="2143" w:type="dxa"/>
            <w:gridSpan w:val="2"/>
            <w:shd w:val="clear" w:color="auto" w:fill="auto"/>
            <w:tcMar>
              <w:top w:w="0" w:type="dxa"/>
              <w:left w:w="108" w:type="dxa"/>
              <w:bottom w:w="0" w:type="dxa"/>
              <w:right w:w="108" w:type="dxa"/>
            </w:tcMar>
            <w:vAlign w:val="center"/>
          </w:tcPr>
          <w:p w14:paraId="3559644C" w14:textId="77777777" w:rsidR="001F48CA" w:rsidRDefault="00000000">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SIZE</w:t>
            </w:r>
          </w:p>
        </w:tc>
        <w:tc>
          <w:tcPr>
            <w:tcW w:w="1562" w:type="dxa"/>
            <w:shd w:val="clear" w:color="auto" w:fill="auto"/>
            <w:tcMar>
              <w:top w:w="0" w:type="dxa"/>
              <w:left w:w="108" w:type="dxa"/>
              <w:bottom w:w="0" w:type="dxa"/>
              <w:right w:w="108" w:type="dxa"/>
            </w:tcMar>
            <w:vAlign w:val="center"/>
          </w:tcPr>
          <w:p w14:paraId="416982C3" w14:textId="77777777" w:rsidR="001F48CA" w:rsidRDefault="00000000">
            <w:pPr>
              <w:suppressAutoHyphens w:val="0"/>
              <w:spacing w:after="0" w:line="360" w:lineRule="auto"/>
              <w:ind w:right="-108"/>
              <w:jc w:val="center"/>
              <w:textAlignment w:val="auto"/>
              <w:rPr>
                <w:rFonts w:ascii="Times New Roman" w:eastAsia="Times New Roman" w:hAnsi="Times New Roman"/>
                <w:sz w:val="24"/>
                <w:szCs w:val="24"/>
              </w:rPr>
            </w:pPr>
            <w:r>
              <w:rPr>
                <w:rFonts w:ascii="Times New Roman" w:eastAsia="Times New Roman" w:hAnsi="Times New Roman"/>
                <w:sz w:val="24"/>
                <w:szCs w:val="24"/>
              </w:rPr>
              <w:t>0.2729</w:t>
            </w:r>
          </w:p>
        </w:tc>
        <w:tc>
          <w:tcPr>
            <w:tcW w:w="1651" w:type="dxa"/>
            <w:shd w:val="clear" w:color="auto" w:fill="auto"/>
            <w:tcMar>
              <w:top w:w="0" w:type="dxa"/>
              <w:left w:w="108" w:type="dxa"/>
              <w:bottom w:w="0" w:type="dxa"/>
              <w:right w:w="108" w:type="dxa"/>
            </w:tcMar>
          </w:tcPr>
          <w:p w14:paraId="07CA53CD" w14:textId="77777777" w:rsidR="001F48CA" w:rsidRDefault="00000000">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3.00</w:t>
            </w:r>
          </w:p>
        </w:tc>
        <w:tc>
          <w:tcPr>
            <w:tcW w:w="1980" w:type="dxa"/>
            <w:shd w:val="clear" w:color="auto" w:fill="auto"/>
            <w:tcMar>
              <w:top w:w="0" w:type="dxa"/>
              <w:left w:w="108" w:type="dxa"/>
              <w:bottom w:w="0" w:type="dxa"/>
              <w:right w:w="108" w:type="dxa"/>
            </w:tcMar>
            <w:vAlign w:val="center"/>
          </w:tcPr>
          <w:p w14:paraId="77FD9498" w14:textId="77777777" w:rsidR="001F48CA" w:rsidRDefault="00000000">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0.003</w:t>
            </w:r>
          </w:p>
        </w:tc>
      </w:tr>
      <w:tr w:rsidR="001F48CA" w14:paraId="7B03555F" w14:textId="77777777">
        <w:trPr>
          <w:trHeight w:val="300"/>
        </w:trPr>
        <w:tc>
          <w:tcPr>
            <w:tcW w:w="2143" w:type="dxa"/>
            <w:gridSpan w:val="2"/>
            <w:shd w:val="clear" w:color="auto" w:fill="auto"/>
            <w:tcMar>
              <w:top w:w="0" w:type="dxa"/>
              <w:left w:w="108" w:type="dxa"/>
              <w:bottom w:w="0" w:type="dxa"/>
              <w:right w:w="108" w:type="dxa"/>
            </w:tcMar>
            <w:vAlign w:val="center"/>
          </w:tcPr>
          <w:p w14:paraId="1DC46E44" w14:textId="77777777" w:rsidR="001F48CA" w:rsidRDefault="00000000">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LEV</w:t>
            </w:r>
          </w:p>
        </w:tc>
        <w:tc>
          <w:tcPr>
            <w:tcW w:w="1562" w:type="dxa"/>
            <w:shd w:val="clear" w:color="auto" w:fill="auto"/>
            <w:tcMar>
              <w:top w:w="0" w:type="dxa"/>
              <w:left w:w="108" w:type="dxa"/>
              <w:bottom w:w="0" w:type="dxa"/>
              <w:right w:w="108" w:type="dxa"/>
            </w:tcMar>
            <w:vAlign w:val="center"/>
          </w:tcPr>
          <w:p w14:paraId="13C6D6CF" w14:textId="77777777" w:rsidR="001F48CA" w:rsidRDefault="00000000">
            <w:pPr>
              <w:suppressAutoHyphens w:val="0"/>
              <w:spacing w:after="0" w:line="360" w:lineRule="auto"/>
              <w:ind w:right="-108"/>
              <w:jc w:val="center"/>
              <w:textAlignment w:val="auto"/>
              <w:rPr>
                <w:rFonts w:ascii="Times New Roman" w:eastAsia="Times New Roman" w:hAnsi="Times New Roman"/>
                <w:sz w:val="24"/>
                <w:szCs w:val="24"/>
              </w:rPr>
            </w:pPr>
            <w:r>
              <w:rPr>
                <w:rFonts w:ascii="Times New Roman" w:eastAsia="Times New Roman" w:hAnsi="Times New Roman"/>
                <w:sz w:val="24"/>
                <w:szCs w:val="24"/>
              </w:rPr>
              <w:t>0.6256</w:t>
            </w:r>
          </w:p>
        </w:tc>
        <w:tc>
          <w:tcPr>
            <w:tcW w:w="1651" w:type="dxa"/>
            <w:shd w:val="clear" w:color="auto" w:fill="auto"/>
            <w:tcMar>
              <w:top w:w="0" w:type="dxa"/>
              <w:left w:w="108" w:type="dxa"/>
              <w:bottom w:w="0" w:type="dxa"/>
              <w:right w:w="108" w:type="dxa"/>
            </w:tcMar>
          </w:tcPr>
          <w:p w14:paraId="4E2B8E34" w14:textId="77777777" w:rsidR="001F48CA" w:rsidRDefault="00000000">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1.67</w:t>
            </w:r>
          </w:p>
        </w:tc>
        <w:tc>
          <w:tcPr>
            <w:tcW w:w="1980" w:type="dxa"/>
            <w:shd w:val="clear" w:color="auto" w:fill="auto"/>
            <w:tcMar>
              <w:top w:w="0" w:type="dxa"/>
              <w:left w:w="108" w:type="dxa"/>
              <w:bottom w:w="0" w:type="dxa"/>
              <w:right w:w="108" w:type="dxa"/>
            </w:tcMar>
            <w:vAlign w:val="center"/>
          </w:tcPr>
          <w:p w14:paraId="77FB33E8" w14:textId="77777777" w:rsidR="001F48CA" w:rsidRDefault="00000000">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0.097</w:t>
            </w:r>
          </w:p>
        </w:tc>
      </w:tr>
      <w:tr w:rsidR="001F48CA" w14:paraId="53CD4DD7" w14:textId="77777777">
        <w:trPr>
          <w:trHeight w:val="300"/>
        </w:trPr>
        <w:tc>
          <w:tcPr>
            <w:tcW w:w="2143" w:type="dxa"/>
            <w:gridSpan w:val="2"/>
            <w:shd w:val="clear" w:color="auto" w:fill="auto"/>
            <w:tcMar>
              <w:top w:w="0" w:type="dxa"/>
              <w:left w:w="108" w:type="dxa"/>
              <w:bottom w:w="0" w:type="dxa"/>
              <w:right w:w="108" w:type="dxa"/>
            </w:tcMar>
            <w:vAlign w:val="center"/>
          </w:tcPr>
          <w:p w14:paraId="49EF14B9" w14:textId="77777777" w:rsidR="001F48CA" w:rsidRDefault="00000000">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C</w:t>
            </w:r>
          </w:p>
        </w:tc>
        <w:tc>
          <w:tcPr>
            <w:tcW w:w="1562" w:type="dxa"/>
            <w:shd w:val="clear" w:color="auto" w:fill="auto"/>
            <w:tcMar>
              <w:top w:w="0" w:type="dxa"/>
              <w:left w:w="108" w:type="dxa"/>
              <w:bottom w:w="0" w:type="dxa"/>
              <w:right w:w="108" w:type="dxa"/>
            </w:tcMar>
            <w:vAlign w:val="center"/>
          </w:tcPr>
          <w:p w14:paraId="73FAD6BE" w14:textId="77777777" w:rsidR="001F48CA" w:rsidRDefault="00000000">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-1.6181</w:t>
            </w:r>
          </w:p>
        </w:tc>
        <w:tc>
          <w:tcPr>
            <w:tcW w:w="1651" w:type="dxa"/>
            <w:shd w:val="clear" w:color="auto" w:fill="auto"/>
            <w:tcMar>
              <w:top w:w="0" w:type="dxa"/>
              <w:left w:w="108" w:type="dxa"/>
              <w:bottom w:w="0" w:type="dxa"/>
              <w:right w:w="108" w:type="dxa"/>
            </w:tcMar>
          </w:tcPr>
          <w:p w14:paraId="790D398C" w14:textId="77777777" w:rsidR="001F48CA" w:rsidRDefault="00000000">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-2.19</w:t>
            </w:r>
          </w:p>
        </w:tc>
        <w:tc>
          <w:tcPr>
            <w:tcW w:w="1980" w:type="dxa"/>
            <w:shd w:val="clear" w:color="auto" w:fill="auto"/>
            <w:tcMar>
              <w:top w:w="0" w:type="dxa"/>
              <w:left w:w="108" w:type="dxa"/>
              <w:bottom w:w="0" w:type="dxa"/>
              <w:right w:w="108" w:type="dxa"/>
            </w:tcMar>
            <w:vAlign w:val="center"/>
          </w:tcPr>
          <w:p w14:paraId="0B6599E3" w14:textId="77777777" w:rsidR="001F48CA" w:rsidRDefault="00000000">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 xml:space="preserve">           0.030</w:t>
            </w:r>
          </w:p>
        </w:tc>
      </w:tr>
      <w:tr w:rsidR="001F48CA" w14:paraId="18864EFF" w14:textId="77777777">
        <w:trPr>
          <w:trHeight w:val="300"/>
        </w:trPr>
        <w:tc>
          <w:tcPr>
            <w:tcW w:w="2143" w:type="dxa"/>
            <w:gridSpan w:val="2"/>
            <w:shd w:val="clear" w:color="auto" w:fill="auto"/>
            <w:tcMar>
              <w:top w:w="0" w:type="dxa"/>
              <w:left w:w="108" w:type="dxa"/>
              <w:bottom w:w="0" w:type="dxa"/>
              <w:right w:w="108" w:type="dxa"/>
            </w:tcMar>
            <w:vAlign w:val="center"/>
          </w:tcPr>
          <w:p w14:paraId="063009AD" w14:textId="77777777" w:rsidR="001F48CA" w:rsidRDefault="001F48CA">
            <w:pPr>
              <w:suppressAutoHyphens w:val="0"/>
              <w:spacing w:after="0" w:line="360" w:lineRule="auto"/>
              <w:textAlignment w:val="auto"/>
              <w:rPr>
                <w:rFonts w:ascii="Times New Roman" w:eastAsia="Times New Roman" w:hAnsi="Times New Roman"/>
                <w:sz w:val="24"/>
                <w:szCs w:val="24"/>
              </w:rPr>
            </w:pPr>
          </w:p>
        </w:tc>
        <w:tc>
          <w:tcPr>
            <w:tcW w:w="1562" w:type="dxa"/>
            <w:shd w:val="clear" w:color="auto" w:fill="auto"/>
            <w:tcMar>
              <w:top w:w="0" w:type="dxa"/>
              <w:left w:w="108" w:type="dxa"/>
              <w:bottom w:w="0" w:type="dxa"/>
              <w:right w:w="108" w:type="dxa"/>
            </w:tcMar>
            <w:vAlign w:val="center"/>
          </w:tcPr>
          <w:p w14:paraId="7BEFD9C8" w14:textId="77777777" w:rsidR="001F48CA" w:rsidRDefault="001F48CA">
            <w:pPr>
              <w:suppressAutoHyphens w:val="0"/>
              <w:spacing w:after="0" w:line="360" w:lineRule="auto"/>
              <w:jc w:val="center"/>
              <w:textAlignment w:val="auto"/>
              <w:rPr>
                <w:rFonts w:ascii="Times New Roman" w:eastAsia="Times New Roman" w:hAnsi="Times New Roman"/>
                <w:sz w:val="24"/>
                <w:szCs w:val="24"/>
              </w:rPr>
            </w:pPr>
          </w:p>
        </w:tc>
        <w:tc>
          <w:tcPr>
            <w:tcW w:w="1651" w:type="dxa"/>
            <w:shd w:val="clear" w:color="auto" w:fill="auto"/>
            <w:tcMar>
              <w:top w:w="0" w:type="dxa"/>
              <w:left w:w="108" w:type="dxa"/>
              <w:bottom w:w="0" w:type="dxa"/>
              <w:right w:w="108" w:type="dxa"/>
            </w:tcMar>
          </w:tcPr>
          <w:p w14:paraId="3B82C6BE" w14:textId="77777777" w:rsidR="001F48CA" w:rsidRDefault="001F48CA">
            <w:pPr>
              <w:suppressAutoHyphens w:val="0"/>
              <w:spacing w:after="0" w:line="360" w:lineRule="auto"/>
              <w:textAlignment w:val="auto"/>
              <w:rPr>
                <w:rFonts w:ascii="Times New Roman" w:eastAsia="Times New Roman" w:hAnsi="Times New Roman"/>
                <w:sz w:val="24"/>
                <w:szCs w:val="24"/>
              </w:rPr>
            </w:pPr>
          </w:p>
        </w:tc>
        <w:tc>
          <w:tcPr>
            <w:tcW w:w="1980" w:type="dxa"/>
            <w:shd w:val="clear" w:color="auto" w:fill="auto"/>
            <w:noWrap/>
            <w:tcMar>
              <w:top w:w="0" w:type="dxa"/>
              <w:left w:w="108" w:type="dxa"/>
              <w:bottom w:w="0" w:type="dxa"/>
              <w:right w:w="108" w:type="dxa"/>
            </w:tcMar>
            <w:vAlign w:val="bottom"/>
          </w:tcPr>
          <w:p w14:paraId="230F2EE2" w14:textId="77777777" w:rsidR="001F48CA" w:rsidRDefault="001F48CA">
            <w:pPr>
              <w:suppressAutoHyphens w:val="0"/>
              <w:spacing w:after="0" w:line="360" w:lineRule="auto"/>
              <w:textAlignment w:val="auto"/>
              <w:rPr>
                <w:rFonts w:ascii="Times New Roman" w:eastAsia="Times New Roman" w:hAnsi="Times New Roman"/>
                <w:sz w:val="24"/>
                <w:szCs w:val="24"/>
              </w:rPr>
            </w:pPr>
          </w:p>
        </w:tc>
      </w:tr>
      <w:tr w:rsidR="001F48CA" w14:paraId="6860C8E8" w14:textId="77777777">
        <w:trPr>
          <w:trHeight w:val="300"/>
        </w:trPr>
        <w:tc>
          <w:tcPr>
            <w:tcW w:w="2143" w:type="dxa"/>
            <w:gridSpan w:val="2"/>
            <w:shd w:val="clear" w:color="auto" w:fill="auto"/>
            <w:tcMar>
              <w:top w:w="0" w:type="dxa"/>
              <w:left w:w="108" w:type="dxa"/>
              <w:bottom w:w="0" w:type="dxa"/>
              <w:right w:w="108" w:type="dxa"/>
            </w:tcMar>
            <w:vAlign w:val="center"/>
          </w:tcPr>
          <w:p w14:paraId="73915DA2" w14:textId="77777777" w:rsidR="001F48CA" w:rsidRDefault="00000000">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R-squared</w:t>
            </w:r>
          </w:p>
        </w:tc>
        <w:tc>
          <w:tcPr>
            <w:tcW w:w="1562" w:type="dxa"/>
            <w:shd w:val="clear" w:color="auto" w:fill="auto"/>
            <w:tcMar>
              <w:top w:w="0" w:type="dxa"/>
              <w:left w:w="108" w:type="dxa"/>
              <w:bottom w:w="0" w:type="dxa"/>
              <w:right w:w="108" w:type="dxa"/>
            </w:tcMar>
            <w:vAlign w:val="center"/>
          </w:tcPr>
          <w:p w14:paraId="2AC1F741" w14:textId="77777777" w:rsidR="001F48CA" w:rsidRDefault="00000000">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0.1276</w:t>
            </w:r>
          </w:p>
        </w:tc>
        <w:tc>
          <w:tcPr>
            <w:tcW w:w="1651" w:type="dxa"/>
            <w:shd w:val="clear" w:color="auto" w:fill="auto"/>
            <w:tcMar>
              <w:top w:w="0" w:type="dxa"/>
              <w:left w:w="108" w:type="dxa"/>
              <w:bottom w:w="0" w:type="dxa"/>
              <w:right w:w="108" w:type="dxa"/>
            </w:tcMar>
          </w:tcPr>
          <w:p w14:paraId="6E374590" w14:textId="77777777" w:rsidR="001F48CA" w:rsidRDefault="001F48CA">
            <w:pPr>
              <w:suppressAutoHyphens w:val="0"/>
              <w:spacing w:after="0" w:line="360" w:lineRule="auto"/>
              <w:textAlignment w:val="auto"/>
              <w:rPr>
                <w:rFonts w:ascii="Times New Roman" w:eastAsia="Times New Roman" w:hAnsi="Times New Roman"/>
                <w:sz w:val="24"/>
                <w:szCs w:val="24"/>
              </w:rPr>
            </w:pPr>
          </w:p>
        </w:tc>
        <w:tc>
          <w:tcPr>
            <w:tcW w:w="1980" w:type="dxa"/>
            <w:shd w:val="clear" w:color="auto" w:fill="auto"/>
            <w:noWrap/>
            <w:tcMar>
              <w:top w:w="0" w:type="dxa"/>
              <w:left w:w="108" w:type="dxa"/>
              <w:bottom w:w="0" w:type="dxa"/>
              <w:right w:w="108" w:type="dxa"/>
            </w:tcMar>
            <w:vAlign w:val="bottom"/>
          </w:tcPr>
          <w:p w14:paraId="5974940E" w14:textId="77777777" w:rsidR="001F48CA" w:rsidRDefault="001F48CA">
            <w:pPr>
              <w:suppressAutoHyphens w:val="0"/>
              <w:spacing w:after="0" w:line="360" w:lineRule="auto"/>
              <w:textAlignment w:val="auto"/>
              <w:rPr>
                <w:rFonts w:ascii="Times New Roman" w:eastAsia="Times New Roman" w:hAnsi="Times New Roman"/>
                <w:sz w:val="24"/>
                <w:szCs w:val="24"/>
              </w:rPr>
            </w:pPr>
          </w:p>
        </w:tc>
      </w:tr>
      <w:tr w:rsidR="001F48CA" w14:paraId="673013F5" w14:textId="77777777">
        <w:trPr>
          <w:trHeight w:val="300"/>
        </w:trPr>
        <w:tc>
          <w:tcPr>
            <w:tcW w:w="2143" w:type="dxa"/>
            <w:gridSpan w:val="2"/>
            <w:shd w:val="clear" w:color="auto" w:fill="auto"/>
            <w:tcMar>
              <w:top w:w="0" w:type="dxa"/>
              <w:left w:w="108" w:type="dxa"/>
              <w:bottom w:w="0" w:type="dxa"/>
              <w:right w:w="108" w:type="dxa"/>
            </w:tcMar>
            <w:vAlign w:val="center"/>
          </w:tcPr>
          <w:p w14:paraId="640854BB" w14:textId="77777777" w:rsidR="001F48CA" w:rsidRDefault="00000000">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F-statistic</w:t>
            </w:r>
          </w:p>
        </w:tc>
        <w:tc>
          <w:tcPr>
            <w:tcW w:w="1562" w:type="dxa"/>
            <w:shd w:val="clear" w:color="auto" w:fill="auto"/>
            <w:tcMar>
              <w:top w:w="0" w:type="dxa"/>
              <w:left w:w="108" w:type="dxa"/>
              <w:bottom w:w="0" w:type="dxa"/>
              <w:right w:w="108" w:type="dxa"/>
            </w:tcMar>
            <w:vAlign w:val="center"/>
          </w:tcPr>
          <w:p w14:paraId="2EA76BB7" w14:textId="77777777" w:rsidR="001F48CA" w:rsidRDefault="00000000">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 xml:space="preserve">      4.21</w:t>
            </w:r>
          </w:p>
        </w:tc>
        <w:tc>
          <w:tcPr>
            <w:tcW w:w="1651" w:type="dxa"/>
            <w:shd w:val="clear" w:color="auto" w:fill="auto"/>
            <w:tcMar>
              <w:top w:w="0" w:type="dxa"/>
              <w:left w:w="108" w:type="dxa"/>
              <w:bottom w:w="0" w:type="dxa"/>
              <w:right w:w="108" w:type="dxa"/>
            </w:tcMar>
          </w:tcPr>
          <w:p w14:paraId="67DC26E4" w14:textId="77777777" w:rsidR="001F48CA" w:rsidRDefault="001F48CA">
            <w:pPr>
              <w:suppressAutoHyphens w:val="0"/>
              <w:spacing w:after="0" w:line="360" w:lineRule="auto"/>
              <w:textAlignment w:val="auto"/>
              <w:rPr>
                <w:rFonts w:ascii="Times New Roman" w:eastAsia="Times New Roman" w:hAnsi="Times New Roman"/>
                <w:sz w:val="24"/>
                <w:szCs w:val="24"/>
              </w:rPr>
            </w:pPr>
          </w:p>
        </w:tc>
        <w:tc>
          <w:tcPr>
            <w:tcW w:w="1980" w:type="dxa"/>
            <w:shd w:val="clear" w:color="auto" w:fill="auto"/>
            <w:noWrap/>
            <w:tcMar>
              <w:top w:w="0" w:type="dxa"/>
              <w:left w:w="108" w:type="dxa"/>
              <w:bottom w:w="0" w:type="dxa"/>
              <w:right w:w="108" w:type="dxa"/>
            </w:tcMar>
            <w:vAlign w:val="bottom"/>
          </w:tcPr>
          <w:p w14:paraId="03CCE9C0" w14:textId="77777777" w:rsidR="001F48CA" w:rsidRDefault="001F48CA">
            <w:pPr>
              <w:suppressAutoHyphens w:val="0"/>
              <w:spacing w:after="0" w:line="360" w:lineRule="auto"/>
              <w:textAlignment w:val="auto"/>
              <w:rPr>
                <w:rFonts w:ascii="Times New Roman" w:eastAsia="Times New Roman" w:hAnsi="Times New Roman"/>
                <w:sz w:val="24"/>
                <w:szCs w:val="24"/>
              </w:rPr>
            </w:pPr>
          </w:p>
        </w:tc>
      </w:tr>
      <w:tr w:rsidR="001F48CA" w14:paraId="41CCBA85" w14:textId="77777777">
        <w:trPr>
          <w:trHeight w:val="300"/>
        </w:trPr>
        <w:tc>
          <w:tcPr>
            <w:tcW w:w="2143" w:type="dxa"/>
            <w:gridSpan w:val="2"/>
            <w:tcBorders>
              <w:bottom w:val="single" w:sz="4" w:space="0" w:color="000000"/>
            </w:tcBorders>
            <w:shd w:val="clear" w:color="auto" w:fill="auto"/>
            <w:tcMar>
              <w:top w:w="0" w:type="dxa"/>
              <w:left w:w="108" w:type="dxa"/>
              <w:bottom w:w="0" w:type="dxa"/>
              <w:right w:w="108" w:type="dxa"/>
            </w:tcMar>
            <w:vAlign w:val="center"/>
          </w:tcPr>
          <w:p w14:paraId="3A7A9A76" w14:textId="77777777" w:rsidR="001F48CA" w:rsidRDefault="00000000">
            <w:pPr>
              <w:suppressAutoHyphens w:val="0"/>
              <w:spacing w:after="0" w:line="360" w:lineRule="auto"/>
              <w:textAlignment w:val="auto"/>
              <w:rPr>
                <w:rFonts w:ascii="Times New Roman" w:eastAsia="Times New Roman" w:hAnsi="Times New Roman"/>
                <w:sz w:val="24"/>
                <w:szCs w:val="24"/>
              </w:rPr>
            </w:pPr>
            <w:r>
              <w:rPr>
                <w:rFonts w:ascii="Times New Roman" w:eastAsia="Times New Roman" w:hAnsi="Times New Roman"/>
                <w:sz w:val="24"/>
                <w:szCs w:val="24"/>
              </w:rPr>
              <w:t>Prob(F-statistic)</w:t>
            </w:r>
          </w:p>
        </w:tc>
        <w:tc>
          <w:tcPr>
            <w:tcW w:w="1562" w:type="dxa"/>
            <w:tcBorders>
              <w:bottom w:val="single" w:sz="4" w:space="0" w:color="000000"/>
            </w:tcBorders>
            <w:shd w:val="clear" w:color="auto" w:fill="auto"/>
            <w:tcMar>
              <w:top w:w="0" w:type="dxa"/>
              <w:left w:w="108" w:type="dxa"/>
              <w:bottom w:w="0" w:type="dxa"/>
              <w:right w:w="108" w:type="dxa"/>
            </w:tcMar>
            <w:vAlign w:val="center"/>
          </w:tcPr>
          <w:p w14:paraId="0C846F65" w14:textId="77777777" w:rsidR="001F48CA" w:rsidRDefault="00000000">
            <w:pPr>
              <w:suppressAutoHyphens w:val="0"/>
              <w:spacing w:after="0" w:line="360" w:lineRule="auto"/>
              <w:jc w:val="center"/>
              <w:textAlignment w:val="auto"/>
              <w:rPr>
                <w:rFonts w:ascii="Times New Roman" w:eastAsia="Times New Roman" w:hAnsi="Times New Roman"/>
                <w:sz w:val="24"/>
                <w:szCs w:val="24"/>
              </w:rPr>
            </w:pPr>
            <w:r>
              <w:rPr>
                <w:rFonts w:ascii="Times New Roman" w:eastAsia="Times New Roman" w:hAnsi="Times New Roman"/>
                <w:sz w:val="24"/>
                <w:szCs w:val="24"/>
              </w:rPr>
              <w:t>0.0013</w:t>
            </w:r>
          </w:p>
        </w:tc>
        <w:tc>
          <w:tcPr>
            <w:tcW w:w="1651" w:type="dxa"/>
            <w:tcBorders>
              <w:bottom w:val="single" w:sz="4" w:space="0" w:color="000000"/>
            </w:tcBorders>
            <w:shd w:val="clear" w:color="auto" w:fill="auto"/>
            <w:tcMar>
              <w:top w:w="0" w:type="dxa"/>
              <w:left w:w="108" w:type="dxa"/>
              <w:bottom w:w="0" w:type="dxa"/>
              <w:right w:w="108" w:type="dxa"/>
            </w:tcMar>
          </w:tcPr>
          <w:p w14:paraId="4FB236F4" w14:textId="77777777" w:rsidR="001F48CA" w:rsidRDefault="001F48CA">
            <w:pPr>
              <w:suppressAutoHyphens w:val="0"/>
              <w:spacing w:after="0" w:line="360" w:lineRule="auto"/>
              <w:jc w:val="center"/>
              <w:textAlignment w:val="auto"/>
              <w:rPr>
                <w:rFonts w:ascii="Times New Roman" w:eastAsia="Times New Roman" w:hAnsi="Times New Roman"/>
                <w:sz w:val="24"/>
                <w:szCs w:val="24"/>
              </w:rPr>
            </w:pPr>
          </w:p>
        </w:tc>
        <w:tc>
          <w:tcPr>
            <w:tcW w:w="1980" w:type="dxa"/>
            <w:tcBorders>
              <w:bottom w:val="single" w:sz="4" w:space="0" w:color="000000"/>
            </w:tcBorders>
            <w:shd w:val="clear" w:color="auto" w:fill="auto"/>
            <w:tcMar>
              <w:top w:w="0" w:type="dxa"/>
              <w:left w:w="108" w:type="dxa"/>
              <w:bottom w:w="0" w:type="dxa"/>
              <w:right w:w="108" w:type="dxa"/>
            </w:tcMar>
            <w:vAlign w:val="center"/>
          </w:tcPr>
          <w:p w14:paraId="02F31080" w14:textId="77777777" w:rsidR="001F48CA" w:rsidRDefault="001F48CA">
            <w:pPr>
              <w:suppressAutoHyphens w:val="0"/>
              <w:spacing w:after="0" w:line="360" w:lineRule="auto"/>
              <w:jc w:val="center"/>
              <w:textAlignment w:val="auto"/>
              <w:rPr>
                <w:rFonts w:ascii="Times New Roman" w:eastAsia="Times New Roman" w:hAnsi="Times New Roman"/>
                <w:sz w:val="24"/>
                <w:szCs w:val="24"/>
              </w:rPr>
            </w:pPr>
          </w:p>
        </w:tc>
      </w:tr>
    </w:tbl>
    <w:p w14:paraId="661C46C0" w14:textId="77777777" w:rsidR="001F48CA" w:rsidRDefault="00000000">
      <w:pPr>
        <w:suppressAutoHyphens w:val="0"/>
        <w:spacing w:after="0" w:line="360" w:lineRule="auto"/>
        <w:ind w:left="720"/>
        <w:jc w:val="both"/>
        <w:textAlignment w:val="auto"/>
        <w:rPr>
          <w:rFonts w:ascii="Times New Roman" w:eastAsia="Times New Roman" w:hAnsi="Times New Roman"/>
          <w:sz w:val="24"/>
          <w:szCs w:val="24"/>
        </w:rPr>
      </w:pPr>
      <w:r>
        <w:rPr>
          <w:rFonts w:ascii="Times New Roman" w:eastAsia="Times New Roman" w:hAnsi="Times New Roman"/>
          <w:sz w:val="24"/>
          <w:szCs w:val="24"/>
        </w:rPr>
        <w:t xml:space="preserve">  Observations</w:t>
      </w:r>
      <w:r>
        <w:rPr>
          <w:rFonts w:ascii="Times New Roman" w:eastAsia="Times New Roman" w:hAnsi="Times New Roman"/>
          <w:sz w:val="24"/>
          <w:szCs w:val="24"/>
        </w:rPr>
        <w:tab/>
      </w:r>
      <w:r>
        <w:rPr>
          <w:rFonts w:ascii="Times New Roman" w:eastAsia="Times New Roman" w:hAnsi="Times New Roman"/>
          <w:sz w:val="24"/>
          <w:szCs w:val="24"/>
        </w:rPr>
        <w:tab/>
        <w:t xml:space="preserve">          150</w:t>
      </w:r>
    </w:p>
    <w:p w14:paraId="65D31AB3" w14:textId="77777777" w:rsidR="001F48CA" w:rsidRDefault="00000000">
      <w:pPr>
        <w:suppressAutoHyphens w:val="0"/>
        <w:spacing w:after="200" w:line="360" w:lineRule="auto"/>
        <w:ind w:left="720"/>
        <w:jc w:val="both"/>
        <w:textAlignment w:val="auto"/>
      </w:pPr>
      <w:r>
        <w:rPr>
          <w:rFonts w:ascii="Times New Roman" w:eastAsia="Times New Roman" w:hAnsi="Times New Roman"/>
          <w:b/>
          <w:sz w:val="24"/>
          <w:szCs w:val="24"/>
        </w:rPr>
        <w:lastRenderedPageBreak/>
        <w:t xml:space="preserve">Source: </w:t>
      </w:r>
      <w:r>
        <w:rPr>
          <w:rFonts w:ascii="Times New Roman" w:eastAsia="Times New Roman" w:hAnsi="Times New Roman"/>
          <w:bCs/>
          <w:sz w:val="24"/>
          <w:szCs w:val="24"/>
        </w:rPr>
        <w:t xml:space="preserve">Computer </w:t>
      </w:r>
      <w:r>
        <w:rPr>
          <w:rFonts w:ascii="Times New Roman" w:eastAsia="Times New Roman" w:hAnsi="Times New Roman"/>
          <w:sz w:val="24"/>
          <w:szCs w:val="24"/>
        </w:rPr>
        <w:t>Output (Stata 13.0)</w:t>
      </w:r>
    </w:p>
    <w:p w14:paraId="6EB434E5"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4.4</w:t>
      </w:r>
      <w:r>
        <w:rPr>
          <w:rFonts w:ascii="Times New Roman" w:hAnsi="Times New Roman"/>
          <w:b/>
          <w:bCs/>
          <w:sz w:val="24"/>
          <w:szCs w:val="24"/>
        </w:rPr>
        <w:tab/>
        <w:t>Summary of Results/Findings</w:t>
      </w:r>
    </w:p>
    <w:p w14:paraId="125E164D" w14:textId="77777777" w:rsidR="001F48CA" w:rsidRDefault="00000000">
      <w:pPr>
        <w:spacing w:line="360" w:lineRule="auto"/>
        <w:jc w:val="both"/>
      </w:pPr>
      <w:r>
        <w:rPr>
          <w:rFonts w:ascii="Times New Roman" w:hAnsi="Times New Roman"/>
          <w:b/>
          <w:bCs/>
          <w:sz w:val="24"/>
          <w:szCs w:val="24"/>
        </w:rPr>
        <w:t>Managerial Ownership</w:t>
      </w:r>
      <w:r>
        <w:rPr>
          <w:rFonts w:ascii="Times New Roman" w:hAnsi="Times New Roman"/>
          <w:sz w:val="24"/>
          <w:szCs w:val="24"/>
        </w:rPr>
        <w:t>: The results obtained from data analysis suggest that managerial ownership has a negative and non-significant effect on the financial reporting quality of listed consumer goods companies in Nigeria. The null hypothesis which states that managerial ownership has no significant effect on the financial reporting quality of listed consumer goods companies in Nigeria is, therefore, accepted.</w:t>
      </w:r>
    </w:p>
    <w:p w14:paraId="3E8A4B09" w14:textId="77777777" w:rsidR="001F48CA" w:rsidRDefault="00000000">
      <w:pPr>
        <w:spacing w:line="360" w:lineRule="auto"/>
        <w:jc w:val="both"/>
      </w:pPr>
      <w:r>
        <w:rPr>
          <w:rFonts w:ascii="Times New Roman" w:hAnsi="Times New Roman"/>
          <w:b/>
          <w:bCs/>
          <w:sz w:val="24"/>
          <w:szCs w:val="24"/>
        </w:rPr>
        <w:t>Institutional Ownership</w:t>
      </w:r>
      <w:r>
        <w:rPr>
          <w:rFonts w:ascii="Times New Roman" w:hAnsi="Times New Roman"/>
          <w:sz w:val="24"/>
          <w:szCs w:val="24"/>
        </w:rPr>
        <w:t>: The results obtained from data analysis suggest that institutional ownership has a negative and non-significant effect on the financial reporting quality of listed consumer goods companies in Nigeria. The null hypothesis which states that institutional ownership has no significant effect on the financial reporting quality of listed consumer goods companies in Nigeria is, therefore, accepted.</w:t>
      </w:r>
    </w:p>
    <w:p w14:paraId="5A6D618C" w14:textId="77777777" w:rsidR="001F48CA" w:rsidRDefault="00000000">
      <w:pPr>
        <w:spacing w:line="360" w:lineRule="auto"/>
        <w:jc w:val="both"/>
      </w:pPr>
      <w:r>
        <w:rPr>
          <w:rFonts w:ascii="Times New Roman" w:hAnsi="Times New Roman"/>
          <w:b/>
          <w:bCs/>
          <w:sz w:val="24"/>
          <w:szCs w:val="24"/>
        </w:rPr>
        <w:t>Ownership concentration</w:t>
      </w:r>
      <w:r>
        <w:rPr>
          <w:rFonts w:ascii="Times New Roman" w:hAnsi="Times New Roman"/>
          <w:sz w:val="24"/>
          <w:szCs w:val="24"/>
        </w:rPr>
        <w:t>: The results obtained from data analysis suggest that ownership concentration has a positive but non-significant effect on the financial reporting quality of listed consumer goods companies in Nigeria. The null hypothesis which states that ownership concentration has no significant effect on the financial reporting quality of listed consumer goods companies in Nigeria is, therefore, accepted.</w:t>
      </w:r>
    </w:p>
    <w:p w14:paraId="31442A6D"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4.5</w:t>
      </w:r>
      <w:r>
        <w:rPr>
          <w:rFonts w:ascii="Times New Roman" w:hAnsi="Times New Roman"/>
          <w:b/>
          <w:bCs/>
          <w:sz w:val="24"/>
          <w:szCs w:val="24"/>
        </w:rPr>
        <w:tab/>
        <w:t>Discussion of Findings</w:t>
      </w:r>
    </w:p>
    <w:p w14:paraId="1F1C6706"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The primary objective of the study was to explore the influence of ownership structure on the financial reporting quality of consumer goods firms in Nigeria. The study focused on managerial ownership, institutional ownership, and ownership concentration as potential determinants of financial reporting quality. The main findings of this investigation, as discussed below, according to the study objective.</w:t>
      </w:r>
    </w:p>
    <w:p w14:paraId="1FA91957"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Objective one: Examine the effect of managerial ownership on financial reporting quality of listed consumer goods companies in Nigeria.</w:t>
      </w:r>
    </w:p>
    <w:p w14:paraId="353DCF03"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The study has evidenced a negative and non-significant effect of managerial ownership on the financial reporting quality of listed consumer goods companies in Nigeria. This evidence is not supported by the results of prior studies such as Chau and Gray (2002), Yang et al. (2008), Liu and Lu (2012), Hamza, Zainal and Wan (2019) who found a positive and significant relationship between managerial ownership and financial reporting quality proxied by </w:t>
      </w:r>
      <w:r>
        <w:rPr>
          <w:rFonts w:ascii="Times New Roman" w:hAnsi="Times New Roman"/>
          <w:sz w:val="24"/>
          <w:szCs w:val="24"/>
        </w:rPr>
        <w:lastRenderedPageBreak/>
        <w:t>discretionary accruals. The differences in those results and this study can be attributed to their settings. The evidence is, however supported by the entrenchment effect theory which states that the level of managerial ownership can lead to the likelihood of self-serving behaviours and decision-making that may not necessarily align with the broader strategic objectives of the company. As managers amass a substantial ownership stake, they can wield considerable influence over critical corporate decisions, potentially leading to actions that enhance their own position but may not be optimal for shareholder value maximization.</w:t>
      </w:r>
    </w:p>
    <w:p w14:paraId="1F3B669B"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The evidence in this study does not support the alignment effect theory which postulates that when managers possess ownership stakes in the company, their financial fortunes become intricately linked with the firm's performance. Accordingly, managers are more inclined to make decisions that are in alignment with the broader interests of shareholders, as their personal wealth is directly affected by the company's success. A positive and significant relationship is therefore expected between managerial ownership and financial reporting quality.</w:t>
      </w:r>
    </w:p>
    <w:p w14:paraId="44DC0AD8"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 xml:space="preserve">Objective two: Ascertain the effect of institutional ownership on financial reporting quality of listed consumer goods companies in Nigeria. </w:t>
      </w:r>
    </w:p>
    <w:p w14:paraId="4898E5B2"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The results of this study suggest that institutional ownership has a negative and non-significant effect on financial reporting quality. The study results are not supported by prior studies such as Ahmed et al, Chen et al. (2014), Chan et al. (2014), Huang et al. (2017), </w:t>
      </w:r>
      <w:proofErr w:type="spellStart"/>
      <w:r>
        <w:rPr>
          <w:rFonts w:ascii="Times New Roman" w:hAnsi="Times New Roman"/>
          <w:sz w:val="24"/>
          <w:szCs w:val="24"/>
        </w:rPr>
        <w:t>Gopikumar</w:t>
      </w:r>
      <w:proofErr w:type="spellEnd"/>
      <w:r>
        <w:rPr>
          <w:rFonts w:ascii="Times New Roman" w:hAnsi="Times New Roman"/>
          <w:sz w:val="24"/>
          <w:szCs w:val="24"/>
        </w:rPr>
        <w:t xml:space="preserve"> et al. (2022), and Park and Shin (2018) who found positive and significant effect of institutional ownership and financial reporting quality.  The non-supporting evidence could also be attributed to the settings of the research.</w:t>
      </w:r>
    </w:p>
    <w:p w14:paraId="2CB0C6B7"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The evidence is not supported by the agency theory which holds that institutional investors, possessing substantial ownership stakes, hold the potential to monitor and discipline managerial behaviour, thereby mitigating agency conflicts (Bebchuk &amp; Cohen, 2005). Their active participation in corporate governance mechanisms, such as voting on crucial matters and engaging in dialogue with management, can function as a safeguard against value-detracting managerial actions, and enhance promoting firm performance.</w:t>
      </w:r>
    </w:p>
    <w:p w14:paraId="14C42749"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Objective three: Determine the effect of ownership concentration on financial reporting quality of listed consumer goods companies in Nigeria.</w:t>
      </w:r>
    </w:p>
    <w:p w14:paraId="4423D5F7" w14:textId="77777777" w:rsidR="001F48CA" w:rsidRDefault="00000000">
      <w:pPr>
        <w:spacing w:line="360" w:lineRule="auto"/>
        <w:jc w:val="both"/>
      </w:pPr>
      <w:r>
        <w:rPr>
          <w:rFonts w:ascii="Times New Roman" w:hAnsi="Times New Roman"/>
          <w:sz w:val="24"/>
          <w:szCs w:val="24"/>
        </w:rPr>
        <w:t xml:space="preserve">The results of this study evidence a positive but non-significant effect of ownership concentration on financial reporting quality of listed consumer goods companies in Nigeria. </w:t>
      </w:r>
      <w:r>
        <w:rPr>
          <w:rFonts w:ascii="Times New Roman" w:hAnsi="Times New Roman"/>
          <w:sz w:val="24"/>
          <w:szCs w:val="24"/>
        </w:rPr>
        <w:lastRenderedPageBreak/>
        <w:t xml:space="preserve">This result is supported by a number of studies that have found a positive effect of ownership concentration on financial reporting quality such as Tessema et al 2018, </w:t>
      </w:r>
      <w:proofErr w:type="spellStart"/>
      <w:r>
        <w:rPr>
          <w:rFonts w:ascii="Times New Roman" w:hAnsi="Times New Roman"/>
          <w:sz w:val="24"/>
          <w:szCs w:val="24"/>
        </w:rPr>
        <w:t>Aharony</w:t>
      </w:r>
      <w:proofErr w:type="spellEnd"/>
      <w:r>
        <w:rPr>
          <w:rFonts w:ascii="Times New Roman" w:hAnsi="Times New Roman"/>
          <w:sz w:val="24"/>
          <w:szCs w:val="24"/>
        </w:rPr>
        <w:t xml:space="preserve"> (2010), Rafique et al. (2015), Chen et al. (2014), Arthur et al. (2019), Shehu and Jibrin (2012)</w:t>
      </w:r>
      <w:r>
        <w:rPr>
          <w:rFonts w:ascii="Times New Roman" w:hAnsi="Times New Roman"/>
          <w:color w:val="C00000"/>
          <w:sz w:val="24"/>
          <w:szCs w:val="24"/>
        </w:rPr>
        <w:t>,</w:t>
      </w:r>
      <w:r>
        <w:rPr>
          <w:rFonts w:ascii="Times New Roman" w:hAnsi="Times New Roman"/>
          <w:sz w:val="24"/>
          <w:szCs w:val="24"/>
        </w:rPr>
        <w:t xml:space="preserve"> and Pandey and Sahu 2022 </w:t>
      </w:r>
    </w:p>
    <w:p w14:paraId="2DD43248"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The results of this study are supported by the agency theory which has stressed the need to closely monitor entrench management that has the potential to expropriate firm resources. Concentrated ownership helps to achieve this objective.</w:t>
      </w:r>
    </w:p>
    <w:p w14:paraId="4099CDEC"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5.0 CONCLUSION AND RECOMMENDATIONS</w:t>
      </w:r>
    </w:p>
    <w:p w14:paraId="677DA170"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This study examined the relationship between ownership structure and financial reporting quality of listed consumer goods companies in Nigeria. The key findings are as follows:</w:t>
      </w:r>
    </w:p>
    <w:p w14:paraId="59A72332" w14:textId="77777777" w:rsidR="001F48CA" w:rsidRDefault="00000000">
      <w:pPr>
        <w:spacing w:line="360" w:lineRule="auto"/>
        <w:jc w:val="both"/>
        <w:rPr>
          <w:rFonts w:ascii="Times New Roman" w:hAnsi="Times New Roman"/>
          <w:sz w:val="24"/>
          <w:szCs w:val="24"/>
        </w:rPr>
      </w:pPr>
      <w:proofErr w:type="spellStart"/>
      <w:r>
        <w:rPr>
          <w:rFonts w:ascii="Times New Roman" w:hAnsi="Times New Roman"/>
          <w:sz w:val="24"/>
          <w:szCs w:val="24"/>
        </w:rPr>
        <w:t>i</w:t>
      </w:r>
      <w:proofErr w:type="spellEnd"/>
      <w:r>
        <w:rPr>
          <w:rFonts w:ascii="Times New Roman" w:hAnsi="Times New Roman"/>
          <w:sz w:val="24"/>
          <w:szCs w:val="24"/>
        </w:rPr>
        <w:t>. Managerial ownership had a negative impact on financial reporting quality but was not statistically significant.</w:t>
      </w:r>
    </w:p>
    <w:p w14:paraId="7BFE2960"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ii. Institutional ownership showed a negative effect on financial reporting quality, although it was not significant.</w:t>
      </w:r>
    </w:p>
    <w:p w14:paraId="60863D83"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iii. Ownership concentration had a positive effect on financial reporting quality, yet it was not statistically significant.</w:t>
      </w:r>
    </w:p>
    <w:p w14:paraId="18F2AB53"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In conclusion, the study's thorough analysis sheds light on the dynamics between ownership structure and financial reporting quality in Nigerian consumer goods firms. </w:t>
      </w:r>
      <w:bookmarkStart w:id="0" w:name="_Hlk183178847"/>
      <w:r>
        <w:rPr>
          <w:rFonts w:ascii="Times New Roman" w:hAnsi="Times New Roman"/>
          <w:sz w:val="24"/>
          <w:szCs w:val="24"/>
        </w:rPr>
        <w:t>It revealed that while managerial and institutional ownership did not significantly impact reporting quality, ownership concentration hinted at a positive influence, albeit not statistically significant</w:t>
      </w:r>
      <w:bookmarkEnd w:id="0"/>
      <w:r>
        <w:rPr>
          <w:rFonts w:ascii="Times New Roman" w:hAnsi="Times New Roman"/>
          <w:sz w:val="24"/>
          <w:szCs w:val="24"/>
        </w:rPr>
        <w:t>.</w:t>
      </w:r>
    </w:p>
    <w:p w14:paraId="30A355BC"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Recommendations</w:t>
      </w:r>
    </w:p>
    <w:p w14:paraId="051CEB30"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Based on the key findings, the following recommendations are tailored to maximize the positive impact of ownership structure on financial reporting quality:</w:t>
      </w:r>
    </w:p>
    <w:p w14:paraId="41773467" w14:textId="77777777" w:rsidR="001F48CA" w:rsidRDefault="00000000">
      <w:pPr>
        <w:spacing w:line="360" w:lineRule="auto"/>
        <w:jc w:val="both"/>
      </w:pPr>
      <w:proofErr w:type="spellStart"/>
      <w:r>
        <w:rPr>
          <w:rFonts w:ascii="Times New Roman" w:hAnsi="Times New Roman"/>
          <w:sz w:val="24"/>
          <w:szCs w:val="24"/>
        </w:rPr>
        <w:t>i</w:t>
      </w:r>
      <w:proofErr w:type="spellEnd"/>
      <w:r>
        <w:rPr>
          <w:rFonts w:ascii="Times New Roman" w:hAnsi="Times New Roman"/>
          <w:sz w:val="24"/>
          <w:szCs w:val="24"/>
        </w:rPr>
        <w:t xml:space="preserve">. </w:t>
      </w:r>
      <w:r>
        <w:rPr>
          <w:rFonts w:ascii="Times New Roman" w:hAnsi="Times New Roman"/>
          <w:b/>
          <w:bCs/>
          <w:sz w:val="24"/>
          <w:szCs w:val="24"/>
        </w:rPr>
        <w:t>Optimizing Managerial Ownership Levels</w:t>
      </w:r>
      <w:r>
        <w:rPr>
          <w:rFonts w:ascii="Times New Roman" w:hAnsi="Times New Roman"/>
          <w:sz w:val="24"/>
          <w:szCs w:val="24"/>
        </w:rPr>
        <w:t>: Considering the negative effect of managerial ownership on financial reporting quality, organizations should not rely only on managerial ownership to address agency concerns.  Companies should establish ownership thresholds that encourage commitment to transparent reporting while minimizing potential conflicts of interest.</w:t>
      </w:r>
    </w:p>
    <w:p w14:paraId="15223474" w14:textId="77777777" w:rsidR="001F48CA" w:rsidRDefault="00000000">
      <w:pPr>
        <w:spacing w:line="360" w:lineRule="auto"/>
        <w:jc w:val="both"/>
      </w:pPr>
      <w:r>
        <w:rPr>
          <w:rFonts w:ascii="Times New Roman" w:hAnsi="Times New Roman"/>
          <w:sz w:val="24"/>
          <w:szCs w:val="24"/>
        </w:rPr>
        <w:lastRenderedPageBreak/>
        <w:t xml:space="preserve">ii. </w:t>
      </w:r>
      <w:r>
        <w:rPr>
          <w:rFonts w:ascii="Times New Roman" w:hAnsi="Times New Roman"/>
          <w:b/>
          <w:bCs/>
          <w:sz w:val="24"/>
          <w:szCs w:val="24"/>
        </w:rPr>
        <w:t>Leveraging Institutional Investors' Monitoring Role</w:t>
      </w:r>
      <w:r>
        <w:rPr>
          <w:rFonts w:ascii="Times New Roman" w:hAnsi="Times New Roman"/>
          <w:sz w:val="24"/>
          <w:szCs w:val="24"/>
        </w:rPr>
        <w:t>: Acknowledging the role of institutional ownership in promoting transparency, companies should actively engage with institutional investors. Establishing regular channels of communication to discuss financial reporting practices and governance mechanisms can enhance institutional monitoring and its influence on reporting quality.</w:t>
      </w:r>
    </w:p>
    <w:p w14:paraId="5C43023B"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iii. </w:t>
      </w:r>
      <w:r>
        <w:rPr>
          <w:rFonts w:ascii="Times New Roman" w:hAnsi="Times New Roman"/>
          <w:b/>
          <w:bCs/>
          <w:sz w:val="24"/>
          <w:szCs w:val="24"/>
        </w:rPr>
        <w:t>Governance Mechanisms for Concentrated Ownership</w:t>
      </w:r>
      <w:r>
        <w:rPr>
          <w:rFonts w:ascii="Times New Roman" w:hAnsi="Times New Roman"/>
          <w:sz w:val="24"/>
          <w:szCs w:val="24"/>
        </w:rPr>
        <w:t>: Given the positive effect of ownership concentration on financial reporting quality, firms with substantial ownership concentration should prioritize robust governance mechanisms. Independent board oversight, external audits, and transparent reporting practices can mitigate potential agency conflicts and ensure that financial reporting quality is not compromised.</w:t>
      </w:r>
    </w:p>
    <w:p w14:paraId="3A571283" w14:textId="77777777" w:rsidR="00FB3E70" w:rsidRDefault="00FB3E70" w:rsidP="00FB3E70">
      <w:pPr>
        <w:spacing w:line="360" w:lineRule="auto"/>
        <w:jc w:val="both"/>
      </w:pPr>
    </w:p>
    <w:p w14:paraId="01570CB9" w14:textId="77777777" w:rsidR="00FB3E70" w:rsidRDefault="00FB3E70">
      <w:pPr>
        <w:spacing w:line="360" w:lineRule="auto"/>
        <w:jc w:val="both"/>
      </w:pPr>
    </w:p>
    <w:p w14:paraId="4F90F75B" w14:textId="77777777" w:rsidR="001F48CA" w:rsidRDefault="00000000">
      <w:pPr>
        <w:spacing w:line="360" w:lineRule="auto"/>
        <w:jc w:val="both"/>
        <w:rPr>
          <w:rFonts w:ascii="Times New Roman" w:hAnsi="Times New Roman"/>
          <w:b/>
          <w:bCs/>
          <w:sz w:val="24"/>
          <w:szCs w:val="24"/>
        </w:rPr>
      </w:pPr>
      <w:r>
        <w:rPr>
          <w:rFonts w:ascii="Times New Roman" w:hAnsi="Times New Roman"/>
          <w:b/>
          <w:bCs/>
          <w:sz w:val="24"/>
          <w:szCs w:val="24"/>
        </w:rPr>
        <w:t>Reference</w:t>
      </w:r>
    </w:p>
    <w:p w14:paraId="076E3A86" w14:textId="77777777" w:rsidR="001F48CA" w:rsidRDefault="00000000">
      <w:pPr>
        <w:spacing w:line="360" w:lineRule="auto"/>
        <w:jc w:val="both"/>
      </w:pPr>
      <w:r>
        <w:rPr>
          <w:rFonts w:ascii="Times New Roman" w:hAnsi="Times New Roman"/>
          <w:sz w:val="24"/>
          <w:szCs w:val="24"/>
        </w:rPr>
        <w:t xml:space="preserve">Adebiyi, W. K., &amp; </w:t>
      </w:r>
      <w:proofErr w:type="spellStart"/>
      <w:r>
        <w:rPr>
          <w:rFonts w:ascii="Times New Roman" w:hAnsi="Times New Roman"/>
          <w:sz w:val="24"/>
          <w:szCs w:val="24"/>
        </w:rPr>
        <w:t>Olowookere</w:t>
      </w:r>
      <w:proofErr w:type="spellEnd"/>
      <w:r>
        <w:rPr>
          <w:rFonts w:ascii="Times New Roman" w:hAnsi="Times New Roman"/>
          <w:sz w:val="24"/>
          <w:szCs w:val="24"/>
        </w:rPr>
        <w:t xml:space="preserve">, J. K. (2016). Ownership structure and the quality of </w:t>
      </w:r>
      <w:r>
        <w:rPr>
          <w:rFonts w:ascii="Times New Roman" w:hAnsi="Times New Roman"/>
          <w:sz w:val="24"/>
          <w:szCs w:val="24"/>
        </w:rPr>
        <w:tab/>
        <w:t xml:space="preserve">financial reporting: evidence from Nigeria deposit money banks. </w:t>
      </w:r>
      <w:r>
        <w:rPr>
          <w:rFonts w:ascii="Times New Roman" w:hAnsi="Times New Roman"/>
          <w:i/>
          <w:iCs/>
          <w:sz w:val="24"/>
          <w:szCs w:val="24"/>
        </w:rPr>
        <w:t xml:space="preserve">International </w:t>
      </w:r>
      <w:r>
        <w:rPr>
          <w:rFonts w:ascii="Times New Roman" w:hAnsi="Times New Roman"/>
          <w:i/>
          <w:iCs/>
          <w:sz w:val="24"/>
          <w:szCs w:val="24"/>
        </w:rPr>
        <w:tab/>
        <w:t>Journal of Economics, Commerce and Management</w:t>
      </w:r>
      <w:r>
        <w:rPr>
          <w:rFonts w:ascii="Times New Roman" w:hAnsi="Times New Roman"/>
          <w:sz w:val="24"/>
          <w:szCs w:val="24"/>
        </w:rPr>
        <w:t xml:space="preserve">, 4(1), 541-552. Retrieved from: </w:t>
      </w:r>
      <w:r>
        <w:rPr>
          <w:rFonts w:ascii="Times New Roman" w:hAnsi="Times New Roman"/>
          <w:sz w:val="24"/>
          <w:szCs w:val="24"/>
        </w:rPr>
        <w:tab/>
      </w:r>
      <w:hyperlink r:id="rId6" w:history="1">
        <w:r w:rsidR="001F48CA">
          <w:rPr>
            <w:rStyle w:val="Hyperlink"/>
            <w:rFonts w:ascii="Times New Roman" w:hAnsi="Times New Roman"/>
            <w:sz w:val="24"/>
            <w:szCs w:val="24"/>
          </w:rPr>
          <w:t>https://ijecm.co.uk/wp-content/uploads/2016/01/4130.pdf</w:t>
        </w:r>
      </w:hyperlink>
      <w:r>
        <w:rPr>
          <w:rFonts w:ascii="Times New Roman" w:hAnsi="Times New Roman"/>
          <w:sz w:val="24"/>
          <w:szCs w:val="24"/>
        </w:rPr>
        <w:t xml:space="preserve"> </w:t>
      </w:r>
    </w:p>
    <w:p w14:paraId="2AC7DFB4" w14:textId="77777777" w:rsidR="001F48CA" w:rsidRDefault="00000000">
      <w:pPr>
        <w:spacing w:line="360" w:lineRule="auto"/>
        <w:jc w:val="both"/>
      </w:pPr>
      <w:r>
        <w:rPr>
          <w:rFonts w:ascii="Times New Roman" w:hAnsi="Times New Roman"/>
          <w:sz w:val="24"/>
          <w:szCs w:val="24"/>
        </w:rPr>
        <w:t xml:space="preserve">Agrawal, A., &amp; Chadha, S. (2005). Corporate governance and accounting scandals. </w:t>
      </w:r>
      <w:r>
        <w:rPr>
          <w:rFonts w:ascii="Times New Roman" w:hAnsi="Times New Roman"/>
          <w:i/>
          <w:iCs/>
          <w:sz w:val="24"/>
          <w:szCs w:val="24"/>
        </w:rPr>
        <w:t xml:space="preserve">Journal </w:t>
      </w:r>
      <w:r>
        <w:rPr>
          <w:rFonts w:ascii="Times New Roman" w:hAnsi="Times New Roman"/>
          <w:i/>
          <w:iCs/>
          <w:sz w:val="24"/>
          <w:szCs w:val="24"/>
        </w:rPr>
        <w:tab/>
        <w:t>of Law and Economics</w:t>
      </w:r>
      <w:r>
        <w:rPr>
          <w:rFonts w:ascii="Times New Roman" w:hAnsi="Times New Roman"/>
          <w:sz w:val="24"/>
          <w:szCs w:val="24"/>
        </w:rPr>
        <w:t xml:space="preserve">, 48(2), 371–406. </w:t>
      </w:r>
      <w:hyperlink r:id="rId7" w:history="1">
        <w:r w:rsidR="001F48CA">
          <w:rPr>
            <w:rStyle w:val="Hyperlink"/>
            <w:rFonts w:ascii="Times New Roman" w:hAnsi="Times New Roman"/>
            <w:sz w:val="24"/>
            <w:szCs w:val="24"/>
          </w:rPr>
          <w:t>https://doi.org/10.2139/ssrn.595138</w:t>
        </w:r>
      </w:hyperlink>
      <w:r>
        <w:rPr>
          <w:rFonts w:ascii="Times New Roman" w:hAnsi="Times New Roman"/>
          <w:sz w:val="24"/>
          <w:szCs w:val="24"/>
        </w:rPr>
        <w:t xml:space="preserve"> </w:t>
      </w:r>
    </w:p>
    <w:p w14:paraId="50DDB8A2" w14:textId="77777777" w:rsidR="001F48CA" w:rsidRDefault="00000000">
      <w:pPr>
        <w:spacing w:line="360" w:lineRule="auto"/>
        <w:jc w:val="both"/>
      </w:pPr>
      <w:r>
        <w:rPr>
          <w:rFonts w:ascii="Times New Roman" w:hAnsi="Times New Roman"/>
          <w:sz w:val="24"/>
          <w:szCs w:val="24"/>
        </w:rPr>
        <w:t>Aboud, Ahmed &amp; Diab, Ahmed. (2022). Ownership Characteristics and Financial</w:t>
      </w:r>
      <w:r>
        <w:rPr>
          <w:rFonts w:ascii="Times New Roman" w:hAnsi="Times New Roman"/>
          <w:sz w:val="24"/>
          <w:szCs w:val="24"/>
        </w:rPr>
        <w:tab/>
        <w:t>Performance: Evidence from Chinese Split-Share Structure Reform. Sustainability.</w:t>
      </w:r>
      <w:r>
        <w:rPr>
          <w:rFonts w:ascii="Times New Roman" w:hAnsi="Times New Roman"/>
          <w:sz w:val="24"/>
          <w:szCs w:val="24"/>
        </w:rPr>
        <w:tab/>
      </w:r>
      <w:r>
        <w:rPr>
          <w:rFonts w:ascii="Times New Roman" w:hAnsi="Times New Roman"/>
          <w:i/>
          <w:iCs/>
          <w:sz w:val="24"/>
          <w:szCs w:val="24"/>
        </w:rPr>
        <w:t>MDPI Journals</w:t>
      </w:r>
      <w:r>
        <w:rPr>
          <w:rFonts w:ascii="Times New Roman" w:hAnsi="Times New Roman"/>
          <w:sz w:val="24"/>
          <w:szCs w:val="24"/>
        </w:rPr>
        <w:t xml:space="preserve">   14(12). 7240. </w:t>
      </w:r>
      <w:hyperlink r:id="rId8" w:history="1">
        <w:r w:rsidR="001F48CA">
          <w:rPr>
            <w:rStyle w:val="Hyperlink"/>
            <w:rFonts w:ascii="Times New Roman" w:hAnsi="Times New Roman"/>
            <w:sz w:val="24"/>
            <w:szCs w:val="24"/>
          </w:rPr>
          <w:t>https://doi.org/10.3390/su14127240</w:t>
        </w:r>
      </w:hyperlink>
      <w:r>
        <w:rPr>
          <w:rFonts w:ascii="Times New Roman" w:hAnsi="Times New Roman"/>
          <w:sz w:val="24"/>
          <w:szCs w:val="24"/>
        </w:rPr>
        <w:t xml:space="preserve">. </w:t>
      </w:r>
    </w:p>
    <w:p w14:paraId="6500FA30" w14:textId="77777777" w:rsidR="001F48CA" w:rsidRDefault="00000000">
      <w:pPr>
        <w:spacing w:line="360" w:lineRule="auto"/>
        <w:jc w:val="both"/>
      </w:pPr>
      <w:proofErr w:type="spellStart"/>
      <w:r>
        <w:rPr>
          <w:rFonts w:ascii="Times New Roman" w:hAnsi="Times New Roman"/>
          <w:sz w:val="24"/>
          <w:szCs w:val="24"/>
        </w:rPr>
        <w:t>Aharony</w:t>
      </w:r>
      <w:proofErr w:type="spellEnd"/>
      <w:r>
        <w:rPr>
          <w:rFonts w:ascii="Times New Roman" w:hAnsi="Times New Roman"/>
          <w:sz w:val="24"/>
          <w:szCs w:val="24"/>
        </w:rPr>
        <w:t xml:space="preserve">, J. &amp; </w:t>
      </w:r>
      <w:proofErr w:type="spellStart"/>
      <w:r>
        <w:rPr>
          <w:rFonts w:ascii="Times New Roman" w:hAnsi="Times New Roman"/>
          <w:sz w:val="24"/>
          <w:szCs w:val="24"/>
        </w:rPr>
        <w:t>Barniv</w:t>
      </w:r>
      <w:proofErr w:type="spellEnd"/>
      <w:r>
        <w:rPr>
          <w:rFonts w:ascii="Times New Roman" w:hAnsi="Times New Roman"/>
          <w:sz w:val="24"/>
          <w:szCs w:val="24"/>
        </w:rPr>
        <w:t xml:space="preserve">, R. &amp; Falk, H. (2010). The impact of mandatory IFRS adoption on </w:t>
      </w:r>
      <w:r>
        <w:rPr>
          <w:rFonts w:ascii="Times New Roman" w:hAnsi="Times New Roman"/>
          <w:sz w:val="24"/>
          <w:szCs w:val="24"/>
        </w:rPr>
        <w:tab/>
        <w:t>equity</w:t>
      </w:r>
      <w:r>
        <w:rPr>
          <w:rFonts w:ascii="Times New Roman" w:hAnsi="Times New Roman"/>
          <w:sz w:val="24"/>
          <w:szCs w:val="24"/>
        </w:rPr>
        <w:tab/>
        <w:t xml:space="preserve">valuation of accounting numbers for security investors in the EU. </w:t>
      </w:r>
      <w:r>
        <w:rPr>
          <w:rFonts w:ascii="Times New Roman" w:hAnsi="Times New Roman"/>
          <w:sz w:val="24"/>
          <w:szCs w:val="24"/>
        </w:rPr>
        <w:tab/>
      </w:r>
      <w:r>
        <w:rPr>
          <w:rFonts w:ascii="Times New Roman" w:hAnsi="Times New Roman"/>
          <w:i/>
          <w:iCs/>
          <w:sz w:val="24"/>
          <w:szCs w:val="24"/>
        </w:rPr>
        <w:t>European</w:t>
      </w:r>
      <w:r>
        <w:rPr>
          <w:rFonts w:ascii="Times New Roman" w:hAnsi="Times New Roman"/>
          <w:i/>
          <w:iCs/>
          <w:sz w:val="24"/>
          <w:szCs w:val="24"/>
        </w:rPr>
        <w:tab/>
        <w:t>Accounting</w:t>
      </w:r>
      <w:r>
        <w:rPr>
          <w:rFonts w:ascii="Times New Roman" w:hAnsi="Times New Roman"/>
          <w:i/>
          <w:iCs/>
          <w:sz w:val="24"/>
          <w:szCs w:val="24"/>
        </w:rPr>
        <w:tab/>
        <w:t>Review.</w:t>
      </w:r>
      <w:r>
        <w:rPr>
          <w:rFonts w:ascii="Times New Roman" w:hAnsi="Times New Roman"/>
          <w:sz w:val="24"/>
          <w:szCs w:val="24"/>
        </w:rPr>
        <w:t xml:space="preserve"> 19. 535-578. </w:t>
      </w:r>
      <w:r>
        <w:rPr>
          <w:rFonts w:ascii="Times New Roman" w:hAnsi="Times New Roman"/>
          <w:sz w:val="24"/>
          <w:szCs w:val="24"/>
        </w:rPr>
        <w:tab/>
      </w:r>
      <w:hyperlink r:id="rId9" w:history="1">
        <w:r w:rsidR="001F48CA">
          <w:rPr>
            <w:rStyle w:val="Hyperlink"/>
            <w:rFonts w:ascii="Times New Roman" w:hAnsi="Times New Roman"/>
            <w:sz w:val="24"/>
            <w:szCs w:val="24"/>
          </w:rPr>
          <w:t>https://doi.org/10.1080/09638180.2010.506285</w:t>
        </w:r>
      </w:hyperlink>
      <w:r>
        <w:rPr>
          <w:rFonts w:ascii="Times New Roman" w:hAnsi="Times New Roman"/>
          <w:sz w:val="24"/>
          <w:szCs w:val="24"/>
        </w:rPr>
        <w:t xml:space="preserve"> </w:t>
      </w:r>
    </w:p>
    <w:p w14:paraId="718AED62" w14:textId="77777777" w:rsidR="001F48CA" w:rsidRDefault="00000000">
      <w:pPr>
        <w:spacing w:line="360" w:lineRule="auto"/>
        <w:jc w:val="both"/>
      </w:pPr>
      <w:r>
        <w:rPr>
          <w:rFonts w:ascii="Times New Roman" w:hAnsi="Times New Roman"/>
          <w:sz w:val="24"/>
          <w:szCs w:val="24"/>
        </w:rPr>
        <w:t xml:space="preserve">Ahmed &amp; Samir &amp; </w:t>
      </w:r>
      <w:proofErr w:type="spellStart"/>
      <w:r>
        <w:rPr>
          <w:rFonts w:ascii="Times New Roman" w:hAnsi="Times New Roman"/>
          <w:sz w:val="24"/>
          <w:szCs w:val="24"/>
        </w:rPr>
        <w:t>Abdelmoneim</w:t>
      </w:r>
      <w:proofErr w:type="spellEnd"/>
      <w:r>
        <w:rPr>
          <w:rFonts w:ascii="Times New Roman" w:hAnsi="Times New Roman"/>
          <w:sz w:val="24"/>
          <w:szCs w:val="24"/>
        </w:rPr>
        <w:t>. (2021). The impact of institutional ownership on the value</w:t>
      </w:r>
      <w:r>
        <w:rPr>
          <w:rFonts w:ascii="Times New Roman" w:hAnsi="Times New Roman"/>
          <w:sz w:val="24"/>
          <w:szCs w:val="24"/>
        </w:rPr>
        <w:tab/>
        <w:t xml:space="preserve">relevance of accounting information: evidence from Egypt. </w:t>
      </w:r>
      <w:r>
        <w:rPr>
          <w:rFonts w:ascii="Times New Roman" w:hAnsi="Times New Roman"/>
          <w:i/>
          <w:iCs/>
          <w:sz w:val="24"/>
          <w:szCs w:val="24"/>
        </w:rPr>
        <w:t>Journal of Financial</w:t>
      </w:r>
      <w:r>
        <w:rPr>
          <w:rFonts w:ascii="Times New Roman" w:hAnsi="Times New Roman"/>
          <w:i/>
          <w:iCs/>
          <w:sz w:val="24"/>
          <w:szCs w:val="24"/>
        </w:rPr>
        <w:tab/>
        <w:t>Reporting and Accounting</w:t>
      </w:r>
      <w:r>
        <w:rPr>
          <w:rFonts w:ascii="Times New Roman" w:hAnsi="Times New Roman"/>
          <w:sz w:val="24"/>
          <w:szCs w:val="24"/>
        </w:rPr>
        <w:t xml:space="preserve">, 1-17. </w:t>
      </w:r>
      <w:hyperlink r:id="rId10" w:history="1">
        <w:r w:rsidR="001F48CA">
          <w:rPr>
            <w:rStyle w:val="Hyperlink"/>
            <w:rFonts w:ascii="Times New Roman" w:hAnsi="Times New Roman"/>
            <w:sz w:val="24"/>
            <w:szCs w:val="24"/>
          </w:rPr>
          <w:t>https://doi.org/10.1108/JFRA-05-2021-0130</w:t>
        </w:r>
      </w:hyperlink>
      <w:r>
        <w:rPr>
          <w:rFonts w:ascii="Times New Roman" w:hAnsi="Times New Roman"/>
          <w:sz w:val="24"/>
          <w:szCs w:val="24"/>
        </w:rPr>
        <w:t xml:space="preserve">   </w:t>
      </w:r>
    </w:p>
    <w:p w14:paraId="79C1C2A8" w14:textId="77777777" w:rsidR="001F48CA" w:rsidRDefault="00000000">
      <w:pPr>
        <w:spacing w:line="360" w:lineRule="auto"/>
        <w:jc w:val="both"/>
      </w:pPr>
      <w:r>
        <w:rPr>
          <w:rFonts w:ascii="Times New Roman" w:hAnsi="Times New Roman"/>
          <w:sz w:val="24"/>
          <w:szCs w:val="24"/>
        </w:rPr>
        <w:t>Al-</w:t>
      </w:r>
      <w:proofErr w:type="spellStart"/>
      <w:r>
        <w:rPr>
          <w:rFonts w:ascii="Times New Roman" w:hAnsi="Times New Roman"/>
          <w:sz w:val="24"/>
          <w:szCs w:val="24"/>
        </w:rPr>
        <w:t>Dhamari</w:t>
      </w:r>
      <w:proofErr w:type="spellEnd"/>
      <w:r>
        <w:rPr>
          <w:rFonts w:ascii="Times New Roman" w:hAnsi="Times New Roman"/>
          <w:sz w:val="24"/>
          <w:szCs w:val="24"/>
        </w:rPr>
        <w:t xml:space="preserve">, R. A., &amp; Ismail, K. N. I. K. (2013). Governance structure, ownership structure </w:t>
      </w:r>
      <w:r>
        <w:rPr>
          <w:rFonts w:ascii="Times New Roman" w:hAnsi="Times New Roman"/>
          <w:sz w:val="24"/>
          <w:szCs w:val="24"/>
        </w:rPr>
        <w:tab/>
        <w:t>and</w:t>
      </w:r>
      <w:r>
        <w:rPr>
          <w:rFonts w:ascii="Times New Roman" w:hAnsi="Times New Roman"/>
          <w:sz w:val="24"/>
          <w:szCs w:val="24"/>
        </w:rPr>
        <w:tab/>
        <w:t xml:space="preserve">earnings predictability: Malaysian evidence. </w:t>
      </w:r>
      <w:r>
        <w:rPr>
          <w:rFonts w:ascii="Times New Roman" w:hAnsi="Times New Roman"/>
          <w:i/>
          <w:iCs/>
          <w:sz w:val="24"/>
          <w:szCs w:val="24"/>
        </w:rPr>
        <w:t xml:space="preserve">Asian Academy of Management </w:t>
      </w:r>
      <w:r>
        <w:rPr>
          <w:rFonts w:ascii="Times New Roman" w:hAnsi="Times New Roman"/>
          <w:i/>
          <w:iCs/>
          <w:sz w:val="24"/>
          <w:szCs w:val="24"/>
        </w:rPr>
        <w:lastRenderedPageBreak/>
        <w:tab/>
        <w:t>Journal of</w:t>
      </w:r>
      <w:r>
        <w:rPr>
          <w:rFonts w:ascii="Times New Roman" w:hAnsi="Times New Roman"/>
          <w:i/>
          <w:iCs/>
          <w:sz w:val="24"/>
          <w:szCs w:val="24"/>
        </w:rPr>
        <w:tab/>
        <w:t>Accounting and Finance</w:t>
      </w:r>
      <w:r>
        <w:rPr>
          <w:rFonts w:ascii="Times New Roman" w:hAnsi="Times New Roman"/>
          <w:sz w:val="24"/>
          <w:szCs w:val="24"/>
        </w:rPr>
        <w:t xml:space="preserve">, 9(1), 1-23., Available at SSRN: </w:t>
      </w:r>
      <w:r>
        <w:rPr>
          <w:rFonts w:ascii="Times New Roman" w:hAnsi="Times New Roman"/>
          <w:sz w:val="24"/>
          <w:szCs w:val="24"/>
        </w:rPr>
        <w:tab/>
      </w:r>
      <w:hyperlink r:id="rId11" w:history="1">
        <w:r w:rsidR="001F48CA">
          <w:rPr>
            <w:rStyle w:val="Hyperlink"/>
            <w:rFonts w:ascii="Times New Roman" w:hAnsi="Times New Roman"/>
            <w:sz w:val="24"/>
            <w:szCs w:val="24"/>
          </w:rPr>
          <w:t>https://ssrn.com/abstract=2945299</w:t>
        </w:r>
      </w:hyperlink>
      <w:r>
        <w:rPr>
          <w:rFonts w:ascii="Times New Roman" w:hAnsi="Times New Roman"/>
          <w:sz w:val="24"/>
          <w:szCs w:val="24"/>
        </w:rPr>
        <w:t xml:space="preserve"> </w:t>
      </w:r>
    </w:p>
    <w:p w14:paraId="1955A331" w14:textId="77777777" w:rsidR="001F48CA" w:rsidRDefault="00000000">
      <w:pPr>
        <w:spacing w:line="360" w:lineRule="auto"/>
        <w:jc w:val="both"/>
      </w:pPr>
      <w:r>
        <w:rPr>
          <w:rFonts w:ascii="Times New Roman" w:hAnsi="Times New Roman"/>
          <w:sz w:val="24"/>
          <w:szCs w:val="24"/>
        </w:rPr>
        <w:t xml:space="preserve">Alipour, M., &amp;Amjadi, H. (2011). The effect of ownership structure on listed companies' </w:t>
      </w:r>
      <w:r>
        <w:rPr>
          <w:rFonts w:ascii="Times New Roman" w:hAnsi="Times New Roman"/>
          <w:sz w:val="24"/>
          <w:szCs w:val="24"/>
        </w:rPr>
        <w:tab/>
        <w:t>corporate</w:t>
      </w:r>
      <w:r>
        <w:rPr>
          <w:rFonts w:ascii="Times New Roman" w:hAnsi="Times New Roman"/>
          <w:sz w:val="24"/>
          <w:szCs w:val="24"/>
        </w:rPr>
        <w:tab/>
        <w:t xml:space="preserve">performance in Tehran stock exchange: </w:t>
      </w:r>
      <w:proofErr w:type="gramStart"/>
      <w:r>
        <w:rPr>
          <w:rFonts w:ascii="Times New Roman" w:hAnsi="Times New Roman"/>
          <w:sz w:val="24"/>
          <w:szCs w:val="24"/>
        </w:rPr>
        <w:t>An empirical evidence of Iran</w:t>
      </w:r>
      <w:proofErr w:type="gramEnd"/>
      <w:r>
        <w:rPr>
          <w:rFonts w:ascii="Times New Roman" w:hAnsi="Times New Roman"/>
          <w:sz w:val="24"/>
          <w:szCs w:val="24"/>
        </w:rPr>
        <w:t xml:space="preserve">. </w:t>
      </w:r>
      <w:r>
        <w:rPr>
          <w:rFonts w:ascii="Times New Roman" w:hAnsi="Times New Roman"/>
          <w:sz w:val="24"/>
          <w:szCs w:val="24"/>
        </w:rPr>
        <w:tab/>
      </w:r>
      <w:r>
        <w:rPr>
          <w:rFonts w:ascii="Times New Roman" w:hAnsi="Times New Roman"/>
          <w:i/>
          <w:iCs/>
          <w:sz w:val="24"/>
          <w:szCs w:val="24"/>
        </w:rPr>
        <w:t>International</w:t>
      </w:r>
      <w:r>
        <w:rPr>
          <w:rFonts w:ascii="Times New Roman" w:hAnsi="Times New Roman"/>
          <w:i/>
          <w:iCs/>
          <w:sz w:val="24"/>
          <w:szCs w:val="24"/>
        </w:rPr>
        <w:tab/>
        <w:t>Journal of Business and Social Sciences</w:t>
      </w:r>
      <w:r>
        <w:rPr>
          <w:rFonts w:ascii="Times New Roman" w:hAnsi="Times New Roman"/>
          <w:sz w:val="24"/>
          <w:szCs w:val="24"/>
        </w:rPr>
        <w:t>, 13(2), 156- 182. Retrieved</w:t>
      </w:r>
      <w:r>
        <w:rPr>
          <w:rFonts w:ascii="Times New Roman" w:hAnsi="Times New Roman"/>
          <w:sz w:val="24"/>
          <w:szCs w:val="24"/>
        </w:rPr>
        <w:tab/>
        <w:t>from:</w:t>
      </w:r>
      <w:r>
        <w:t xml:space="preserve"> </w:t>
      </w:r>
      <w:hyperlink r:id="rId12" w:history="1">
        <w:r w:rsidR="001F48CA">
          <w:rPr>
            <w:rStyle w:val="Hyperlink"/>
            <w:rFonts w:ascii="Times New Roman" w:hAnsi="Times New Roman"/>
            <w:sz w:val="24"/>
            <w:szCs w:val="24"/>
          </w:rPr>
          <w:t>https://ijbssnet.com/journals/Vol._2_No._13_Special_Issue_July_2011/6.pdf</w:t>
        </w:r>
      </w:hyperlink>
      <w:r>
        <w:rPr>
          <w:rFonts w:ascii="Times New Roman" w:hAnsi="Times New Roman"/>
          <w:sz w:val="24"/>
          <w:szCs w:val="24"/>
        </w:rPr>
        <w:t xml:space="preserve"> </w:t>
      </w:r>
    </w:p>
    <w:p w14:paraId="05624188" w14:textId="77777777" w:rsidR="001F48CA" w:rsidRDefault="00000000">
      <w:pPr>
        <w:spacing w:line="360" w:lineRule="auto"/>
        <w:jc w:val="both"/>
      </w:pPr>
      <w:r>
        <w:rPr>
          <w:rFonts w:ascii="Times New Roman" w:hAnsi="Times New Roman"/>
          <w:sz w:val="24"/>
          <w:szCs w:val="24"/>
        </w:rPr>
        <w:t xml:space="preserve">Anwar, S. (2019). The influence of ownership structure, asset structure, and earning </w:t>
      </w:r>
      <w:r>
        <w:rPr>
          <w:rFonts w:ascii="Times New Roman" w:hAnsi="Times New Roman"/>
          <w:sz w:val="24"/>
          <w:szCs w:val="24"/>
        </w:rPr>
        <w:tab/>
        <w:t xml:space="preserve">volatility on debt policy in Indonesia. </w:t>
      </w:r>
      <w:r>
        <w:rPr>
          <w:rFonts w:ascii="Times New Roman" w:hAnsi="Times New Roman"/>
          <w:i/>
          <w:iCs/>
          <w:sz w:val="24"/>
          <w:szCs w:val="24"/>
        </w:rPr>
        <w:t>Journal of Accounting and Strategic</w:t>
      </w:r>
      <w:r>
        <w:rPr>
          <w:rFonts w:ascii="Times New Roman" w:hAnsi="Times New Roman"/>
          <w:i/>
          <w:iCs/>
          <w:sz w:val="24"/>
          <w:szCs w:val="24"/>
        </w:rPr>
        <w:tab/>
        <w:t>Finance</w:t>
      </w:r>
      <w:r>
        <w:rPr>
          <w:rFonts w:ascii="Times New Roman" w:hAnsi="Times New Roman"/>
          <w:sz w:val="24"/>
          <w:szCs w:val="24"/>
        </w:rPr>
        <w:t>,</w:t>
      </w:r>
      <w:r>
        <w:rPr>
          <w:rFonts w:ascii="Times New Roman" w:hAnsi="Times New Roman"/>
          <w:sz w:val="24"/>
          <w:szCs w:val="24"/>
        </w:rPr>
        <w:tab/>
        <w:t xml:space="preserve">2(1), 93-106. </w:t>
      </w:r>
      <w:hyperlink r:id="rId13" w:history="1">
        <w:r w:rsidR="001F48CA">
          <w:rPr>
            <w:rStyle w:val="Hyperlink"/>
            <w:rFonts w:ascii="Times New Roman" w:hAnsi="Times New Roman"/>
            <w:sz w:val="24"/>
            <w:szCs w:val="24"/>
          </w:rPr>
          <w:t>https://doi.org/10.33005/jasf.v2i1.54</w:t>
        </w:r>
      </w:hyperlink>
      <w:r>
        <w:rPr>
          <w:rFonts w:ascii="Times New Roman" w:hAnsi="Times New Roman"/>
          <w:sz w:val="24"/>
          <w:szCs w:val="24"/>
        </w:rPr>
        <w:t xml:space="preserve"> </w:t>
      </w:r>
    </w:p>
    <w:p w14:paraId="2578B0C3" w14:textId="77777777" w:rsidR="001F48CA" w:rsidRDefault="00000000">
      <w:pPr>
        <w:spacing w:line="360" w:lineRule="auto"/>
        <w:jc w:val="both"/>
      </w:pPr>
      <w:r>
        <w:rPr>
          <w:rFonts w:ascii="Times New Roman" w:hAnsi="Times New Roman"/>
          <w:sz w:val="24"/>
          <w:szCs w:val="24"/>
        </w:rPr>
        <w:t xml:space="preserve">Arthur, N., Chen, H., &amp; Tang, Q. (2019). Corporate ownership concentration and financial </w:t>
      </w:r>
      <w:r>
        <w:rPr>
          <w:rFonts w:ascii="Times New Roman" w:hAnsi="Times New Roman"/>
          <w:sz w:val="24"/>
          <w:szCs w:val="24"/>
        </w:rPr>
        <w:tab/>
        <w:t xml:space="preserve">reporting quality: International evidence. </w:t>
      </w:r>
      <w:r>
        <w:rPr>
          <w:rFonts w:ascii="Times New Roman" w:hAnsi="Times New Roman"/>
          <w:i/>
          <w:iCs/>
          <w:sz w:val="24"/>
          <w:szCs w:val="24"/>
        </w:rPr>
        <w:t xml:space="preserve">Journal of Financial Reporting and </w:t>
      </w:r>
      <w:r>
        <w:rPr>
          <w:rFonts w:ascii="Times New Roman" w:hAnsi="Times New Roman"/>
          <w:i/>
          <w:iCs/>
          <w:sz w:val="24"/>
          <w:szCs w:val="24"/>
        </w:rPr>
        <w:tab/>
        <w:t>Accounting</w:t>
      </w:r>
      <w:r>
        <w:rPr>
          <w:rFonts w:ascii="Times New Roman" w:hAnsi="Times New Roman"/>
          <w:sz w:val="24"/>
          <w:szCs w:val="24"/>
        </w:rPr>
        <w:t xml:space="preserve">, 17(1), 104-132. </w:t>
      </w:r>
      <w:hyperlink r:id="rId14" w:history="1">
        <w:r w:rsidR="001F48CA">
          <w:rPr>
            <w:rStyle w:val="Hyperlink"/>
            <w:rFonts w:ascii="Times New Roman" w:hAnsi="Times New Roman"/>
            <w:sz w:val="24"/>
            <w:szCs w:val="24"/>
          </w:rPr>
          <w:t>https://doi.org/10.1108/JFRA-07-2017-0051</w:t>
        </w:r>
      </w:hyperlink>
      <w:r>
        <w:rPr>
          <w:rFonts w:ascii="Times New Roman" w:hAnsi="Times New Roman"/>
          <w:sz w:val="24"/>
          <w:szCs w:val="24"/>
        </w:rPr>
        <w:t xml:space="preserve"> </w:t>
      </w:r>
    </w:p>
    <w:p w14:paraId="2221DEB7" w14:textId="77777777" w:rsidR="001F48CA" w:rsidRDefault="001F48CA">
      <w:pPr>
        <w:spacing w:line="360" w:lineRule="auto"/>
        <w:jc w:val="both"/>
        <w:rPr>
          <w:rFonts w:ascii="Times New Roman" w:hAnsi="Times New Roman"/>
          <w:sz w:val="24"/>
          <w:szCs w:val="24"/>
        </w:rPr>
      </w:pPr>
    </w:p>
    <w:p w14:paraId="0869DCF7" w14:textId="77777777" w:rsidR="001F48CA" w:rsidRDefault="00000000">
      <w:pPr>
        <w:spacing w:line="360" w:lineRule="auto"/>
        <w:jc w:val="both"/>
      </w:pPr>
      <w:r>
        <w:rPr>
          <w:rFonts w:ascii="Times New Roman" w:hAnsi="Times New Roman"/>
          <w:sz w:val="24"/>
          <w:szCs w:val="24"/>
        </w:rPr>
        <w:t>Bebchuk, L. A. &amp; Roe, M. J. (1999). A theory of path dependence in corporate ownership and</w:t>
      </w:r>
      <w:r>
        <w:rPr>
          <w:rFonts w:ascii="Times New Roman" w:hAnsi="Times New Roman"/>
          <w:sz w:val="24"/>
          <w:szCs w:val="24"/>
        </w:rPr>
        <w:tab/>
        <w:t xml:space="preserve">governance. </w:t>
      </w:r>
      <w:r>
        <w:rPr>
          <w:rFonts w:ascii="Times New Roman" w:hAnsi="Times New Roman"/>
          <w:i/>
          <w:iCs/>
          <w:sz w:val="24"/>
          <w:szCs w:val="24"/>
        </w:rPr>
        <w:t>Stanford Law Review,</w:t>
      </w:r>
      <w:r>
        <w:rPr>
          <w:rFonts w:ascii="Times New Roman" w:hAnsi="Times New Roman"/>
          <w:sz w:val="24"/>
          <w:szCs w:val="24"/>
        </w:rPr>
        <w:t xml:space="preserve"> 52(1), 127-170. </w:t>
      </w:r>
      <w:r>
        <w:rPr>
          <w:rFonts w:ascii="Times New Roman" w:hAnsi="Times New Roman"/>
          <w:sz w:val="24"/>
          <w:szCs w:val="24"/>
        </w:rPr>
        <w:tab/>
      </w:r>
      <w:hyperlink r:id="rId15" w:history="1">
        <w:r w:rsidR="001F48CA">
          <w:rPr>
            <w:rStyle w:val="Hyperlink"/>
            <w:rFonts w:ascii="Times New Roman" w:hAnsi="Times New Roman"/>
            <w:sz w:val="24"/>
            <w:szCs w:val="24"/>
          </w:rPr>
          <w:t>https://doi.org/10.2307/1229459</w:t>
        </w:r>
      </w:hyperlink>
      <w:r>
        <w:rPr>
          <w:rFonts w:ascii="Times New Roman" w:hAnsi="Times New Roman"/>
          <w:sz w:val="24"/>
          <w:szCs w:val="24"/>
        </w:rPr>
        <w:t xml:space="preserve"> </w:t>
      </w:r>
    </w:p>
    <w:p w14:paraId="604E91F9" w14:textId="77777777" w:rsidR="001F48CA" w:rsidRDefault="00000000">
      <w:pPr>
        <w:spacing w:line="360" w:lineRule="auto"/>
        <w:jc w:val="both"/>
      </w:pPr>
      <w:r>
        <w:rPr>
          <w:rFonts w:ascii="Times New Roman" w:hAnsi="Times New Roman"/>
          <w:sz w:val="24"/>
          <w:szCs w:val="24"/>
        </w:rPr>
        <w:t xml:space="preserve">Berle, A. A., &amp; Means, G. C. (1932). The modern corporation and private property. </w:t>
      </w:r>
      <w:r>
        <w:rPr>
          <w:rFonts w:ascii="Times New Roman" w:hAnsi="Times New Roman"/>
          <w:i/>
          <w:iCs/>
          <w:sz w:val="24"/>
          <w:szCs w:val="24"/>
        </w:rPr>
        <w:t xml:space="preserve">New </w:t>
      </w:r>
      <w:r>
        <w:rPr>
          <w:rFonts w:ascii="Times New Roman" w:hAnsi="Times New Roman"/>
          <w:i/>
          <w:iCs/>
          <w:sz w:val="24"/>
          <w:szCs w:val="24"/>
        </w:rPr>
        <w:tab/>
        <w:t>York:</w:t>
      </w:r>
      <w:r>
        <w:rPr>
          <w:rFonts w:ascii="Times New Roman" w:hAnsi="Times New Roman"/>
          <w:i/>
          <w:iCs/>
          <w:sz w:val="24"/>
          <w:szCs w:val="24"/>
        </w:rPr>
        <w:tab/>
        <w:t>Macmillan.</w:t>
      </w:r>
    </w:p>
    <w:p w14:paraId="4142D7AC" w14:textId="77777777" w:rsidR="001F48CA" w:rsidRDefault="00000000">
      <w:pPr>
        <w:spacing w:line="360" w:lineRule="auto"/>
        <w:jc w:val="both"/>
      </w:pPr>
      <w:r>
        <w:rPr>
          <w:rFonts w:ascii="Times New Roman" w:hAnsi="Times New Roman"/>
          <w:sz w:val="24"/>
          <w:szCs w:val="24"/>
        </w:rPr>
        <w:t xml:space="preserve">Chan et al 2014. Does mutual fund </w:t>
      </w:r>
      <w:r>
        <w:rPr>
          <w:rFonts w:ascii="Times New Roman" w:hAnsi="Times New Roman"/>
          <w:sz w:val="24"/>
          <w:szCs w:val="24"/>
        </w:rPr>
        <w:tab/>
        <w:t>ownership</w:t>
      </w:r>
      <w:r>
        <w:rPr>
          <w:rFonts w:ascii="Times New Roman" w:hAnsi="Times New Roman"/>
          <w:sz w:val="24"/>
          <w:szCs w:val="24"/>
        </w:rPr>
        <w:tab/>
        <w:t>affect</w:t>
      </w:r>
      <w:r>
        <w:rPr>
          <w:rFonts w:ascii="Times New Roman" w:hAnsi="Times New Roman"/>
          <w:sz w:val="24"/>
          <w:szCs w:val="24"/>
        </w:rPr>
        <w:tab/>
        <w:t>financial reporting quality for</w:t>
      </w:r>
      <w:r>
        <w:rPr>
          <w:rFonts w:ascii="Times New Roman" w:hAnsi="Times New Roman"/>
          <w:sz w:val="24"/>
          <w:szCs w:val="24"/>
        </w:rPr>
        <w:tab/>
        <w:t xml:space="preserve">Chinese privately-owned </w:t>
      </w:r>
      <w:proofErr w:type="spellStart"/>
      <w:proofErr w:type="gramStart"/>
      <w:r>
        <w:rPr>
          <w:rFonts w:ascii="Times New Roman" w:hAnsi="Times New Roman"/>
          <w:sz w:val="24"/>
          <w:szCs w:val="24"/>
        </w:rPr>
        <w:t>enterprises?,</w:t>
      </w:r>
      <w:proofErr w:type="gramEnd"/>
      <w:r>
        <w:rPr>
          <w:rFonts w:ascii="Times New Roman" w:hAnsi="Times New Roman"/>
          <w:i/>
          <w:iCs/>
          <w:sz w:val="24"/>
          <w:szCs w:val="24"/>
        </w:rPr>
        <w:t>International</w:t>
      </w:r>
      <w:proofErr w:type="spellEnd"/>
      <w:r>
        <w:rPr>
          <w:rFonts w:ascii="Times New Roman" w:hAnsi="Times New Roman"/>
          <w:i/>
          <w:iCs/>
          <w:sz w:val="24"/>
          <w:szCs w:val="24"/>
        </w:rPr>
        <w:tab/>
        <w:t>Review of Financial Analysis</w:t>
      </w:r>
      <w:r>
        <w:rPr>
          <w:rFonts w:ascii="Times New Roman" w:hAnsi="Times New Roman"/>
          <w:sz w:val="24"/>
          <w:szCs w:val="24"/>
        </w:rPr>
        <w:t>,</w:t>
      </w:r>
      <w:r>
        <w:rPr>
          <w:rFonts w:ascii="Times New Roman" w:hAnsi="Times New Roman"/>
          <w:sz w:val="24"/>
          <w:szCs w:val="24"/>
        </w:rPr>
        <w:tab/>
        <w:t>Elsevier, 36(C), 131-</w:t>
      </w:r>
      <w:r>
        <w:rPr>
          <w:rFonts w:ascii="Times New Roman" w:hAnsi="Times New Roman"/>
          <w:sz w:val="24"/>
          <w:szCs w:val="24"/>
        </w:rPr>
        <w:tab/>
        <w:t>140.</w:t>
      </w:r>
      <w:r>
        <w:rPr>
          <w:rFonts w:ascii="Times New Roman" w:hAnsi="Times New Roman"/>
          <w:sz w:val="24"/>
          <w:szCs w:val="24"/>
        </w:rPr>
        <w:tab/>
      </w:r>
      <w:hyperlink r:id="rId16" w:history="1">
        <w:r w:rsidR="001F48CA">
          <w:rPr>
            <w:rStyle w:val="Hyperlink"/>
            <w:rFonts w:ascii="Times New Roman" w:hAnsi="Times New Roman"/>
            <w:sz w:val="24"/>
            <w:szCs w:val="24"/>
          </w:rPr>
          <w:t>https://doi.org/10.1016/j.irfa.2014.02.004</w:t>
        </w:r>
      </w:hyperlink>
      <w:r>
        <w:rPr>
          <w:rFonts w:ascii="Times New Roman" w:hAnsi="Times New Roman"/>
          <w:sz w:val="24"/>
          <w:szCs w:val="24"/>
        </w:rPr>
        <w:t xml:space="preserve"> </w:t>
      </w:r>
    </w:p>
    <w:p w14:paraId="3C58AFA3" w14:textId="77777777" w:rsidR="001F48CA" w:rsidRDefault="00000000">
      <w:pPr>
        <w:spacing w:line="360" w:lineRule="auto"/>
        <w:jc w:val="both"/>
      </w:pPr>
      <w:r>
        <w:rPr>
          <w:rFonts w:ascii="Times New Roman" w:hAnsi="Times New Roman"/>
          <w:sz w:val="24"/>
          <w:szCs w:val="24"/>
        </w:rPr>
        <w:t xml:space="preserve">Chau, Gerald &amp; Gray, Sidney J., 2010. Family ownership, board independence and </w:t>
      </w:r>
      <w:r>
        <w:rPr>
          <w:rFonts w:ascii="Times New Roman" w:hAnsi="Times New Roman"/>
          <w:sz w:val="24"/>
          <w:szCs w:val="24"/>
        </w:rPr>
        <w:tab/>
        <w:t xml:space="preserve">voluntary disclosure: Evidence from Hong Kong, </w:t>
      </w:r>
      <w:r>
        <w:rPr>
          <w:rFonts w:ascii="Times New Roman" w:hAnsi="Times New Roman"/>
          <w:i/>
          <w:iCs/>
          <w:sz w:val="24"/>
          <w:szCs w:val="24"/>
        </w:rPr>
        <w:t xml:space="preserve">Journal of International </w:t>
      </w:r>
      <w:r>
        <w:rPr>
          <w:rFonts w:ascii="Times New Roman" w:hAnsi="Times New Roman"/>
          <w:i/>
          <w:iCs/>
          <w:sz w:val="24"/>
          <w:szCs w:val="24"/>
        </w:rPr>
        <w:tab/>
        <w:t>Accounting, Auditing and Taxation</w:t>
      </w:r>
      <w:r>
        <w:rPr>
          <w:rFonts w:ascii="Times New Roman" w:hAnsi="Times New Roman"/>
          <w:sz w:val="24"/>
          <w:szCs w:val="24"/>
        </w:rPr>
        <w:t xml:space="preserve">, Elsevier, 19(2), 93-109. </w:t>
      </w:r>
      <w:r>
        <w:rPr>
          <w:rFonts w:ascii="Times New Roman" w:hAnsi="Times New Roman"/>
          <w:sz w:val="24"/>
          <w:szCs w:val="24"/>
        </w:rPr>
        <w:tab/>
      </w:r>
      <w:hyperlink r:id="rId17" w:history="1">
        <w:r w:rsidR="001F48CA">
          <w:rPr>
            <w:rStyle w:val="Hyperlink"/>
            <w:rFonts w:ascii="Times New Roman" w:hAnsi="Times New Roman"/>
            <w:sz w:val="24"/>
            <w:szCs w:val="24"/>
          </w:rPr>
          <w:t>https://doi.org/10.1016/j.intaccaudtax.2010.07.002</w:t>
        </w:r>
      </w:hyperlink>
      <w:r>
        <w:rPr>
          <w:rFonts w:ascii="Times New Roman" w:hAnsi="Times New Roman"/>
          <w:sz w:val="24"/>
          <w:szCs w:val="24"/>
        </w:rPr>
        <w:t xml:space="preserve"> </w:t>
      </w:r>
    </w:p>
    <w:p w14:paraId="3156C500" w14:textId="77777777" w:rsidR="001F48CA" w:rsidRDefault="00000000">
      <w:pPr>
        <w:spacing w:line="360" w:lineRule="auto"/>
        <w:jc w:val="both"/>
      </w:pPr>
      <w:r>
        <w:rPr>
          <w:rFonts w:ascii="Times New Roman" w:hAnsi="Times New Roman"/>
          <w:sz w:val="24"/>
          <w:szCs w:val="24"/>
        </w:rPr>
        <w:t xml:space="preserve">Chen, A., Kao, L., &amp; Lu, C. (2014). Controlling ownership and firm performance in </w:t>
      </w:r>
      <w:r>
        <w:rPr>
          <w:rFonts w:ascii="Times New Roman" w:hAnsi="Times New Roman"/>
          <w:sz w:val="24"/>
          <w:szCs w:val="24"/>
        </w:rPr>
        <w:tab/>
      </w:r>
      <w:proofErr w:type="spellStart"/>
      <w:proofErr w:type="gramStart"/>
      <w:r>
        <w:rPr>
          <w:rFonts w:ascii="Times New Roman" w:hAnsi="Times New Roman"/>
          <w:sz w:val="24"/>
          <w:szCs w:val="24"/>
        </w:rPr>
        <w:t>Taiwan:The</w:t>
      </w:r>
      <w:proofErr w:type="spellEnd"/>
      <w:proofErr w:type="gramEnd"/>
      <w:r>
        <w:rPr>
          <w:rFonts w:ascii="Times New Roman" w:hAnsi="Times New Roman"/>
          <w:sz w:val="24"/>
          <w:szCs w:val="24"/>
        </w:rPr>
        <w:t xml:space="preserve"> role of external competition and internal governance. </w:t>
      </w:r>
      <w:r>
        <w:rPr>
          <w:rFonts w:ascii="Times New Roman" w:hAnsi="Times New Roman"/>
          <w:i/>
          <w:iCs/>
          <w:sz w:val="24"/>
          <w:szCs w:val="24"/>
        </w:rPr>
        <w:t xml:space="preserve">Pacific-Basin </w:t>
      </w:r>
      <w:r>
        <w:rPr>
          <w:rFonts w:ascii="Times New Roman" w:hAnsi="Times New Roman"/>
          <w:i/>
          <w:iCs/>
          <w:sz w:val="24"/>
          <w:szCs w:val="24"/>
        </w:rPr>
        <w:tab/>
        <w:t>Finance Journal</w:t>
      </w:r>
      <w:r>
        <w:rPr>
          <w:rFonts w:ascii="Times New Roman" w:hAnsi="Times New Roman"/>
          <w:sz w:val="24"/>
          <w:szCs w:val="24"/>
        </w:rPr>
        <w:t xml:space="preserve">,28, 27-53. </w:t>
      </w:r>
      <w:hyperlink r:id="rId18" w:history="1">
        <w:r w:rsidR="001F48CA">
          <w:rPr>
            <w:rStyle w:val="Hyperlink"/>
            <w:rFonts w:ascii="Times New Roman" w:hAnsi="Times New Roman"/>
            <w:sz w:val="24"/>
            <w:szCs w:val="24"/>
          </w:rPr>
          <w:t>https://doi.org/10.1016/j.pacfin.2014.04.007</w:t>
        </w:r>
      </w:hyperlink>
      <w:r>
        <w:rPr>
          <w:rFonts w:ascii="Times New Roman" w:hAnsi="Times New Roman"/>
          <w:sz w:val="24"/>
          <w:szCs w:val="24"/>
        </w:rPr>
        <w:t xml:space="preserve"> </w:t>
      </w:r>
    </w:p>
    <w:p w14:paraId="68D06119" w14:textId="77777777" w:rsidR="001F48CA" w:rsidRDefault="00000000">
      <w:pPr>
        <w:spacing w:line="360" w:lineRule="auto"/>
        <w:jc w:val="both"/>
        <w:rPr>
          <w:rFonts w:ascii="Times New Roman" w:hAnsi="Times New Roman"/>
          <w:sz w:val="24"/>
          <w:szCs w:val="24"/>
        </w:rPr>
      </w:pPr>
      <w:r>
        <w:rPr>
          <w:rFonts w:ascii="Times New Roman" w:hAnsi="Times New Roman"/>
          <w:sz w:val="24"/>
          <w:szCs w:val="24"/>
        </w:rPr>
        <w:t xml:space="preserve">Dechow, P. M., Sloan, R. G., &amp; Sweeny, A. P. (1995). Detecting earnings management. The </w:t>
      </w:r>
      <w:r>
        <w:rPr>
          <w:rFonts w:ascii="Times New Roman" w:hAnsi="Times New Roman"/>
          <w:sz w:val="24"/>
          <w:szCs w:val="24"/>
        </w:rPr>
        <w:tab/>
        <w:t>Accounting Review, 70(2), 193-225</w:t>
      </w:r>
    </w:p>
    <w:p w14:paraId="1D29DC98" w14:textId="77777777" w:rsidR="001F48CA" w:rsidRDefault="00000000">
      <w:pPr>
        <w:spacing w:line="360" w:lineRule="auto"/>
        <w:jc w:val="both"/>
      </w:pPr>
      <w:r>
        <w:rPr>
          <w:rFonts w:ascii="Times New Roman" w:hAnsi="Times New Roman"/>
          <w:sz w:val="24"/>
          <w:szCs w:val="24"/>
        </w:rPr>
        <w:lastRenderedPageBreak/>
        <w:t xml:space="preserve">Dumitru-Nicusor CARAUSU, 2015. "Monitor And Control </w:t>
      </w:r>
      <w:proofErr w:type="gramStart"/>
      <w:r>
        <w:rPr>
          <w:rFonts w:ascii="Times New Roman" w:hAnsi="Times New Roman"/>
          <w:sz w:val="24"/>
          <w:szCs w:val="24"/>
        </w:rPr>
        <w:t>In</w:t>
      </w:r>
      <w:proofErr w:type="gramEnd"/>
      <w:r>
        <w:rPr>
          <w:rFonts w:ascii="Times New Roman" w:hAnsi="Times New Roman"/>
          <w:sz w:val="24"/>
          <w:szCs w:val="24"/>
        </w:rPr>
        <w:t xml:space="preserve"> Companies: An Agency Theory</w:t>
      </w:r>
      <w:r>
        <w:rPr>
          <w:rFonts w:ascii="Times New Roman" w:hAnsi="Times New Roman"/>
          <w:sz w:val="24"/>
          <w:szCs w:val="24"/>
        </w:rPr>
        <w:tab/>
        <w:t xml:space="preserve">Approach," </w:t>
      </w:r>
      <w:r>
        <w:rPr>
          <w:rFonts w:ascii="Times New Roman" w:hAnsi="Times New Roman"/>
          <w:i/>
          <w:iCs/>
          <w:sz w:val="24"/>
          <w:szCs w:val="24"/>
        </w:rPr>
        <w:t>Journal of Public Administration, Finance and Law</w:t>
      </w:r>
      <w:r>
        <w:rPr>
          <w:rFonts w:ascii="Times New Roman" w:hAnsi="Times New Roman"/>
          <w:sz w:val="24"/>
          <w:szCs w:val="24"/>
        </w:rPr>
        <w:t>, 0(</w:t>
      </w:r>
      <w:proofErr w:type="spellStart"/>
      <w:r>
        <w:rPr>
          <w:rFonts w:ascii="Times New Roman" w:hAnsi="Times New Roman"/>
          <w:sz w:val="24"/>
          <w:szCs w:val="24"/>
        </w:rPr>
        <w:t>i</w:t>
      </w:r>
      <w:proofErr w:type="spellEnd"/>
      <w:r>
        <w:rPr>
          <w:rFonts w:ascii="Times New Roman" w:hAnsi="Times New Roman"/>
          <w:sz w:val="24"/>
          <w:szCs w:val="24"/>
        </w:rPr>
        <w:t>), 46-60,</w:t>
      </w:r>
      <w:r>
        <w:rPr>
          <w:rFonts w:ascii="Times New Roman" w:hAnsi="Times New Roman"/>
          <w:sz w:val="24"/>
          <w:szCs w:val="24"/>
        </w:rPr>
        <w:tab/>
      </w:r>
      <w:hyperlink r:id="rId19" w:history="1">
        <w:r w:rsidR="001F48CA">
          <w:rPr>
            <w:rStyle w:val="Hyperlink"/>
            <w:rFonts w:ascii="Times New Roman" w:hAnsi="Times New Roman"/>
            <w:sz w:val="24"/>
            <w:szCs w:val="24"/>
          </w:rPr>
          <w:t>https://ideas.repec.org/a/aic/jopafl/y2015vs2p46-60.html</w:t>
        </w:r>
      </w:hyperlink>
      <w:r>
        <w:rPr>
          <w:rFonts w:ascii="Times New Roman" w:hAnsi="Times New Roman"/>
          <w:sz w:val="24"/>
          <w:szCs w:val="24"/>
        </w:rPr>
        <w:t xml:space="preserve">   </w:t>
      </w:r>
    </w:p>
    <w:p w14:paraId="6A0064E5" w14:textId="77777777" w:rsidR="001F48CA" w:rsidRDefault="00000000">
      <w:pPr>
        <w:spacing w:line="360" w:lineRule="auto"/>
        <w:jc w:val="both"/>
      </w:pPr>
      <w:proofErr w:type="spellStart"/>
      <w:r>
        <w:rPr>
          <w:rFonts w:ascii="Times New Roman" w:hAnsi="Times New Roman"/>
          <w:sz w:val="24"/>
          <w:szCs w:val="24"/>
        </w:rPr>
        <w:t>Elyasiani</w:t>
      </w:r>
      <w:proofErr w:type="spellEnd"/>
      <w:r>
        <w:rPr>
          <w:rFonts w:ascii="Times New Roman" w:hAnsi="Times New Roman"/>
          <w:sz w:val="24"/>
          <w:szCs w:val="24"/>
        </w:rPr>
        <w:t>, E.</w:t>
      </w:r>
      <w:proofErr w:type="gramStart"/>
      <w:r>
        <w:rPr>
          <w:rFonts w:ascii="Times New Roman" w:hAnsi="Times New Roman"/>
          <w:sz w:val="24"/>
          <w:szCs w:val="24"/>
        </w:rPr>
        <w:t>,  Jia</w:t>
      </w:r>
      <w:proofErr w:type="gramEnd"/>
      <w:r>
        <w:rPr>
          <w:rFonts w:ascii="Times New Roman" w:hAnsi="Times New Roman"/>
          <w:sz w:val="24"/>
          <w:szCs w:val="24"/>
        </w:rPr>
        <w:t xml:space="preserve">, J. &amp; Mao, C. (2010). Institutional ownership stability and </w:t>
      </w:r>
      <w:r>
        <w:rPr>
          <w:rFonts w:ascii="Times New Roman" w:hAnsi="Times New Roman"/>
          <w:sz w:val="24"/>
          <w:szCs w:val="24"/>
        </w:rPr>
        <w:tab/>
        <w:t>the cost of</w:t>
      </w:r>
      <w:r>
        <w:rPr>
          <w:rFonts w:ascii="Times New Roman" w:hAnsi="Times New Roman"/>
          <w:sz w:val="24"/>
          <w:szCs w:val="24"/>
        </w:rPr>
        <w:tab/>
        <w:t>debt.</w:t>
      </w:r>
      <w:r>
        <w:rPr>
          <w:rFonts w:ascii="Times New Roman" w:hAnsi="Times New Roman"/>
          <w:sz w:val="24"/>
          <w:szCs w:val="24"/>
        </w:rPr>
        <w:tab/>
      </w:r>
      <w:r>
        <w:rPr>
          <w:rFonts w:ascii="Times New Roman" w:hAnsi="Times New Roman"/>
          <w:i/>
          <w:iCs/>
          <w:sz w:val="24"/>
          <w:szCs w:val="24"/>
        </w:rPr>
        <w:t>Journal of Financial Markets</w:t>
      </w:r>
      <w:r>
        <w:rPr>
          <w:rFonts w:ascii="Times New Roman" w:hAnsi="Times New Roman"/>
          <w:sz w:val="24"/>
          <w:szCs w:val="24"/>
        </w:rPr>
        <w:t xml:space="preserve">. 13. 475-500. </w:t>
      </w:r>
      <w:r>
        <w:rPr>
          <w:rFonts w:ascii="Times New Roman" w:hAnsi="Times New Roman"/>
          <w:sz w:val="24"/>
          <w:szCs w:val="24"/>
        </w:rPr>
        <w:tab/>
      </w:r>
      <w:hyperlink r:id="rId20" w:history="1">
        <w:r w:rsidR="001F48CA">
          <w:rPr>
            <w:rStyle w:val="Hyperlink"/>
            <w:rFonts w:ascii="Times New Roman" w:hAnsi="Times New Roman"/>
            <w:sz w:val="24"/>
            <w:szCs w:val="24"/>
          </w:rPr>
          <w:t>https://doi.org/10.1016/j.finmar.2010.05.001</w:t>
        </w:r>
      </w:hyperlink>
      <w:r>
        <w:rPr>
          <w:rFonts w:ascii="Times New Roman" w:hAnsi="Times New Roman"/>
          <w:sz w:val="24"/>
          <w:szCs w:val="24"/>
        </w:rPr>
        <w:t xml:space="preserve">. </w:t>
      </w:r>
    </w:p>
    <w:p w14:paraId="2C2B8F71" w14:textId="77777777" w:rsidR="001F48CA" w:rsidRDefault="00000000">
      <w:pPr>
        <w:spacing w:line="360" w:lineRule="auto"/>
        <w:jc w:val="both"/>
      </w:pPr>
      <w:proofErr w:type="spellStart"/>
      <w:r>
        <w:rPr>
          <w:rFonts w:ascii="Times New Roman" w:hAnsi="Times New Roman"/>
          <w:sz w:val="24"/>
          <w:szCs w:val="24"/>
        </w:rPr>
        <w:t>Ezelibe</w:t>
      </w:r>
      <w:proofErr w:type="spellEnd"/>
      <w:r>
        <w:rPr>
          <w:rFonts w:ascii="Times New Roman" w:hAnsi="Times New Roman"/>
          <w:sz w:val="24"/>
          <w:szCs w:val="24"/>
        </w:rPr>
        <w:t xml:space="preserve">, C. P., Nwosu, O., &amp; </w:t>
      </w:r>
      <w:proofErr w:type="spellStart"/>
      <w:r>
        <w:rPr>
          <w:rFonts w:ascii="Times New Roman" w:hAnsi="Times New Roman"/>
          <w:sz w:val="24"/>
          <w:szCs w:val="24"/>
        </w:rPr>
        <w:t>Orazulike</w:t>
      </w:r>
      <w:proofErr w:type="spellEnd"/>
      <w:proofErr w:type="gramStart"/>
      <w:r>
        <w:rPr>
          <w:rFonts w:ascii="Times New Roman" w:hAnsi="Times New Roman"/>
          <w:sz w:val="24"/>
          <w:szCs w:val="24"/>
        </w:rPr>
        <w:t>, .</w:t>
      </w:r>
      <w:proofErr w:type="gramEnd"/>
      <w:r>
        <w:rPr>
          <w:rFonts w:ascii="Times New Roman" w:hAnsi="Times New Roman"/>
          <w:sz w:val="24"/>
          <w:szCs w:val="24"/>
        </w:rPr>
        <w:t>(2017). Empirical investigation of corporate</w:t>
      </w:r>
      <w:r>
        <w:rPr>
          <w:rFonts w:ascii="Times New Roman" w:hAnsi="Times New Roman"/>
          <w:sz w:val="24"/>
          <w:szCs w:val="24"/>
        </w:rPr>
        <w:tab/>
        <w:t xml:space="preserve">governance and financial reporting quality of quoted companies in Nigeria. </w:t>
      </w:r>
      <w:r>
        <w:rPr>
          <w:rFonts w:ascii="Times New Roman" w:hAnsi="Times New Roman"/>
          <w:sz w:val="24"/>
          <w:szCs w:val="24"/>
        </w:rPr>
        <w:tab/>
      </w:r>
      <w:r>
        <w:rPr>
          <w:rFonts w:ascii="Times New Roman" w:hAnsi="Times New Roman"/>
          <w:i/>
          <w:iCs/>
          <w:sz w:val="24"/>
          <w:szCs w:val="24"/>
        </w:rPr>
        <w:t>International Journal of Economics and Business Management Resources</w:t>
      </w:r>
      <w:r>
        <w:rPr>
          <w:rFonts w:ascii="Times New Roman" w:hAnsi="Times New Roman"/>
          <w:sz w:val="24"/>
          <w:szCs w:val="24"/>
        </w:rPr>
        <w:t xml:space="preserve">, 1(5), </w:t>
      </w:r>
      <w:r>
        <w:rPr>
          <w:rFonts w:ascii="Times New Roman" w:hAnsi="Times New Roman"/>
          <w:sz w:val="24"/>
          <w:szCs w:val="24"/>
        </w:rPr>
        <w:tab/>
        <w:t>117–137. Retrieved from:</w:t>
      </w:r>
      <w:r>
        <w:rPr>
          <w:rFonts w:ascii="Times New Roman" w:hAnsi="Times New Roman"/>
          <w:sz w:val="24"/>
          <w:szCs w:val="24"/>
        </w:rPr>
        <w:tab/>
      </w:r>
      <w:hyperlink r:id="rId21" w:history="1">
        <w:r w:rsidR="001F48CA">
          <w:rPr>
            <w:rStyle w:val="Hyperlink"/>
            <w:rFonts w:ascii="Times New Roman" w:hAnsi="Times New Roman"/>
            <w:sz w:val="24"/>
            <w:szCs w:val="24"/>
          </w:rPr>
          <w:t>https://www.academia.edu/35183708</w:t>
        </w:r>
      </w:hyperlink>
      <w:r>
        <w:rPr>
          <w:rFonts w:ascii="Times New Roman" w:hAnsi="Times New Roman"/>
          <w:sz w:val="24"/>
          <w:szCs w:val="24"/>
        </w:rPr>
        <w:t xml:space="preserve"> </w:t>
      </w:r>
    </w:p>
    <w:p w14:paraId="1E2AAB42" w14:textId="77777777" w:rsidR="001F48CA" w:rsidRDefault="00000000">
      <w:pPr>
        <w:spacing w:line="360" w:lineRule="auto"/>
        <w:jc w:val="both"/>
      </w:pPr>
      <w:proofErr w:type="spellStart"/>
      <w:proofErr w:type="gramStart"/>
      <w:r>
        <w:rPr>
          <w:rFonts w:ascii="Times New Roman" w:hAnsi="Times New Roman"/>
          <w:sz w:val="24"/>
          <w:szCs w:val="24"/>
        </w:rPr>
        <w:t>Fama,E.F</w:t>
      </w:r>
      <w:proofErr w:type="spellEnd"/>
      <w:r>
        <w:rPr>
          <w:rFonts w:ascii="Times New Roman" w:hAnsi="Times New Roman"/>
          <w:sz w:val="24"/>
          <w:szCs w:val="24"/>
        </w:rPr>
        <w:t>.</w:t>
      </w:r>
      <w:proofErr w:type="gramEnd"/>
      <w:r>
        <w:rPr>
          <w:rFonts w:ascii="Times New Roman" w:hAnsi="Times New Roman"/>
          <w:sz w:val="24"/>
          <w:szCs w:val="24"/>
        </w:rPr>
        <w:t xml:space="preserve">&amp; Jensen, M.C (1998) Separation of ownership and control.  </w:t>
      </w:r>
      <w:r>
        <w:rPr>
          <w:rFonts w:ascii="Times New Roman" w:hAnsi="Times New Roman"/>
          <w:i/>
          <w:iCs/>
          <w:sz w:val="24"/>
          <w:szCs w:val="24"/>
        </w:rPr>
        <w:t>Michael C Jensen,</w:t>
      </w:r>
      <w:r>
        <w:rPr>
          <w:rFonts w:ascii="Times New Roman" w:hAnsi="Times New Roman"/>
          <w:i/>
          <w:iCs/>
          <w:sz w:val="24"/>
          <w:szCs w:val="24"/>
        </w:rPr>
        <w:tab/>
        <w:t xml:space="preserve">Foundations </w:t>
      </w:r>
      <w:proofErr w:type="gramStart"/>
      <w:r>
        <w:rPr>
          <w:rFonts w:ascii="Times New Roman" w:hAnsi="Times New Roman"/>
          <w:i/>
          <w:iCs/>
          <w:sz w:val="24"/>
          <w:szCs w:val="24"/>
        </w:rPr>
        <w:t>Of</w:t>
      </w:r>
      <w:proofErr w:type="gramEnd"/>
      <w:r>
        <w:rPr>
          <w:rFonts w:ascii="Times New Roman" w:hAnsi="Times New Roman"/>
          <w:i/>
          <w:iCs/>
          <w:sz w:val="24"/>
          <w:szCs w:val="24"/>
        </w:rPr>
        <w:t xml:space="preserve"> Organizational Strategy, Harvard </w:t>
      </w:r>
      <w:r>
        <w:rPr>
          <w:rFonts w:ascii="Times New Roman" w:hAnsi="Times New Roman"/>
          <w:i/>
          <w:iCs/>
          <w:sz w:val="24"/>
          <w:szCs w:val="24"/>
        </w:rPr>
        <w:tab/>
        <w:t>University Press</w:t>
      </w:r>
      <w:r>
        <w:rPr>
          <w:rFonts w:ascii="Times New Roman" w:hAnsi="Times New Roman"/>
          <w:sz w:val="24"/>
          <w:szCs w:val="24"/>
        </w:rPr>
        <w:t>, 1998, and</w:t>
      </w:r>
      <w:r>
        <w:rPr>
          <w:rFonts w:ascii="Times New Roman" w:hAnsi="Times New Roman"/>
          <w:sz w:val="24"/>
          <w:szCs w:val="24"/>
        </w:rPr>
        <w:tab/>
      </w:r>
      <w:r>
        <w:rPr>
          <w:rFonts w:ascii="Times New Roman" w:hAnsi="Times New Roman"/>
          <w:i/>
          <w:iCs/>
          <w:sz w:val="24"/>
          <w:szCs w:val="24"/>
        </w:rPr>
        <w:t>Journal of</w:t>
      </w:r>
      <w:r>
        <w:rPr>
          <w:rFonts w:ascii="Times New Roman" w:hAnsi="Times New Roman"/>
          <w:i/>
          <w:iCs/>
          <w:sz w:val="24"/>
          <w:szCs w:val="24"/>
        </w:rPr>
        <w:tab/>
        <w:t>Law and Economics,.</w:t>
      </w:r>
      <w:r>
        <w:rPr>
          <w:rFonts w:ascii="Times New Roman" w:hAnsi="Times New Roman"/>
          <w:sz w:val="24"/>
          <w:szCs w:val="24"/>
        </w:rPr>
        <w:t>26, Available at</w:t>
      </w:r>
      <w:r>
        <w:rPr>
          <w:rFonts w:ascii="Times New Roman" w:hAnsi="Times New Roman"/>
          <w:sz w:val="24"/>
          <w:szCs w:val="24"/>
        </w:rPr>
        <w:tab/>
      </w:r>
      <w:hyperlink r:id="rId22" w:history="1">
        <w:r w:rsidR="001F48CA">
          <w:rPr>
            <w:rStyle w:val="Hyperlink"/>
            <w:rFonts w:ascii="Times New Roman" w:hAnsi="Times New Roman"/>
            <w:sz w:val="24"/>
            <w:szCs w:val="24"/>
          </w:rPr>
          <w:t>http://dx.doi.org/10.2139/ssrn.94034</w:t>
        </w:r>
      </w:hyperlink>
      <w:r>
        <w:rPr>
          <w:rFonts w:ascii="Times New Roman" w:hAnsi="Times New Roman"/>
          <w:sz w:val="24"/>
          <w:szCs w:val="24"/>
        </w:rPr>
        <w:t xml:space="preserve"> </w:t>
      </w:r>
    </w:p>
    <w:p w14:paraId="65F8C835" w14:textId="77777777" w:rsidR="001F48CA" w:rsidRDefault="00000000">
      <w:pPr>
        <w:spacing w:line="360" w:lineRule="auto"/>
        <w:jc w:val="both"/>
      </w:pPr>
      <w:r>
        <w:rPr>
          <w:rFonts w:ascii="Times New Roman" w:hAnsi="Times New Roman"/>
          <w:sz w:val="24"/>
          <w:szCs w:val="24"/>
        </w:rPr>
        <w:t xml:space="preserve">Grier, P., &amp; Zychowicz, E. J. (1994). Institutional investors, corporate discipline, and the </w:t>
      </w:r>
      <w:r>
        <w:rPr>
          <w:rFonts w:ascii="Times New Roman" w:hAnsi="Times New Roman"/>
          <w:sz w:val="24"/>
          <w:szCs w:val="24"/>
        </w:rPr>
        <w:tab/>
        <w:t>role</w:t>
      </w:r>
      <w:r>
        <w:rPr>
          <w:rFonts w:ascii="Times New Roman" w:hAnsi="Times New Roman"/>
          <w:sz w:val="24"/>
          <w:szCs w:val="24"/>
        </w:rPr>
        <w:tab/>
        <w:t>of</w:t>
      </w:r>
      <w:r>
        <w:rPr>
          <w:rFonts w:ascii="Times New Roman" w:hAnsi="Times New Roman"/>
          <w:sz w:val="24"/>
          <w:szCs w:val="24"/>
        </w:rPr>
        <w:tab/>
        <w:t xml:space="preserve">debt. </w:t>
      </w:r>
      <w:r>
        <w:rPr>
          <w:rFonts w:ascii="Times New Roman" w:hAnsi="Times New Roman"/>
          <w:i/>
          <w:iCs/>
          <w:sz w:val="24"/>
          <w:szCs w:val="24"/>
        </w:rPr>
        <w:t>Journal of Economics and Business</w:t>
      </w:r>
      <w:r>
        <w:rPr>
          <w:rFonts w:ascii="Times New Roman" w:hAnsi="Times New Roman"/>
          <w:sz w:val="24"/>
          <w:szCs w:val="24"/>
        </w:rPr>
        <w:t xml:space="preserve">, 46(1), 1-11. </w:t>
      </w:r>
      <w:r>
        <w:rPr>
          <w:rFonts w:ascii="Times New Roman" w:hAnsi="Times New Roman"/>
          <w:sz w:val="24"/>
          <w:szCs w:val="24"/>
        </w:rPr>
        <w:tab/>
      </w:r>
      <w:hyperlink r:id="rId23" w:history="1">
        <w:r w:rsidR="001F48CA">
          <w:rPr>
            <w:rStyle w:val="Hyperlink"/>
            <w:rFonts w:ascii="Times New Roman" w:hAnsi="Times New Roman"/>
            <w:sz w:val="24"/>
            <w:szCs w:val="24"/>
          </w:rPr>
          <w:t>https://doi.org/10.1016/01486195(94)90017-5</w:t>
        </w:r>
      </w:hyperlink>
      <w:r>
        <w:rPr>
          <w:rFonts w:ascii="Times New Roman" w:hAnsi="Times New Roman"/>
          <w:sz w:val="24"/>
          <w:szCs w:val="24"/>
        </w:rPr>
        <w:t xml:space="preserve"> </w:t>
      </w:r>
    </w:p>
    <w:p w14:paraId="1425932A" w14:textId="77777777" w:rsidR="001F48CA" w:rsidRDefault="00000000">
      <w:pPr>
        <w:spacing w:line="360" w:lineRule="auto"/>
        <w:jc w:val="both"/>
      </w:pPr>
      <w:r>
        <w:rPr>
          <w:rFonts w:ascii="Times New Roman" w:hAnsi="Times New Roman"/>
          <w:sz w:val="24"/>
          <w:szCs w:val="24"/>
        </w:rPr>
        <w:t xml:space="preserve">Hamza, K. Q., Zainal, A., &amp; Wan, A. (2019). Ownership Structure and Financial Reporting </w:t>
      </w:r>
      <w:r>
        <w:rPr>
          <w:rFonts w:ascii="Times New Roman" w:hAnsi="Times New Roman"/>
          <w:sz w:val="24"/>
          <w:szCs w:val="24"/>
        </w:rPr>
        <w:tab/>
        <w:t xml:space="preserve">Quality: Influence of Audit Quality Evidence from Jordan. </w:t>
      </w:r>
      <w:proofErr w:type="spellStart"/>
      <w:r>
        <w:rPr>
          <w:rFonts w:ascii="Times New Roman" w:hAnsi="Times New Roman"/>
          <w:i/>
          <w:iCs/>
          <w:sz w:val="24"/>
          <w:szCs w:val="24"/>
        </w:rPr>
        <w:t>Universiti</w:t>
      </w:r>
      <w:proofErr w:type="spellEnd"/>
      <w:r>
        <w:rPr>
          <w:rFonts w:ascii="Times New Roman" w:hAnsi="Times New Roman"/>
          <w:i/>
          <w:iCs/>
          <w:sz w:val="24"/>
          <w:szCs w:val="24"/>
        </w:rPr>
        <w:t xml:space="preserve"> Sultan </w:t>
      </w:r>
      <w:r>
        <w:rPr>
          <w:rFonts w:ascii="Times New Roman" w:hAnsi="Times New Roman"/>
          <w:i/>
          <w:iCs/>
          <w:sz w:val="24"/>
          <w:szCs w:val="24"/>
        </w:rPr>
        <w:tab/>
      </w:r>
      <w:proofErr w:type="spellStart"/>
      <w:r>
        <w:rPr>
          <w:rFonts w:ascii="Times New Roman" w:hAnsi="Times New Roman"/>
          <w:i/>
          <w:iCs/>
          <w:sz w:val="24"/>
          <w:szCs w:val="24"/>
        </w:rPr>
        <w:t>ZainalAbidin</w:t>
      </w:r>
      <w:proofErr w:type="spellEnd"/>
      <w:r>
        <w:rPr>
          <w:rFonts w:ascii="Times New Roman" w:hAnsi="Times New Roman"/>
          <w:i/>
          <w:iCs/>
          <w:sz w:val="24"/>
          <w:szCs w:val="24"/>
        </w:rPr>
        <w:t xml:space="preserve"> | </w:t>
      </w:r>
      <w:proofErr w:type="spellStart"/>
      <w:r>
        <w:rPr>
          <w:rFonts w:ascii="Times New Roman" w:hAnsi="Times New Roman"/>
          <w:i/>
          <w:iCs/>
          <w:sz w:val="24"/>
          <w:szCs w:val="24"/>
        </w:rPr>
        <w:t>UniSZA</w:t>
      </w:r>
      <w:proofErr w:type="spellEnd"/>
      <w:r>
        <w:rPr>
          <w:rFonts w:ascii="Times New Roman" w:hAnsi="Times New Roman"/>
          <w:i/>
          <w:iCs/>
          <w:sz w:val="24"/>
          <w:szCs w:val="24"/>
        </w:rPr>
        <w:t>.</w:t>
      </w:r>
    </w:p>
    <w:p w14:paraId="008B7A0B" w14:textId="77777777" w:rsidR="001F48CA" w:rsidRDefault="00000000">
      <w:pPr>
        <w:spacing w:line="360" w:lineRule="auto"/>
        <w:jc w:val="both"/>
      </w:pPr>
      <w:r>
        <w:rPr>
          <w:rFonts w:ascii="Times New Roman" w:hAnsi="Times New Roman"/>
          <w:sz w:val="24"/>
          <w:szCs w:val="24"/>
        </w:rPr>
        <w:t xml:space="preserve">Han, Sam. (2004). Ownership Structure and Quality of Financial Reporting. </w:t>
      </w:r>
      <w:r>
        <w:rPr>
          <w:rFonts w:ascii="Times New Roman" w:hAnsi="Times New Roman"/>
          <w:i/>
          <w:iCs/>
          <w:sz w:val="24"/>
          <w:szCs w:val="24"/>
        </w:rPr>
        <w:t>SSRN Electronic</w:t>
      </w:r>
      <w:r>
        <w:rPr>
          <w:rFonts w:ascii="Times New Roman" w:hAnsi="Times New Roman"/>
          <w:i/>
          <w:iCs/>
          <w:sz w:val="24"/>
          <w:szCs w:val="24"/>
        </w:rPr>
        <w:tab/>
        <w:t>Journal.</w:t>
      </w:r>
      <w:r>
        <w:rPr>
          <w:rFonts w:ascii="Times New Roman" w:hAnsi="Times New Roman"/>
          <w:sz w:val="24"/>
          <w:szCs w:val="24"/>
        </w:rPr>
        <w:t xml:space="preserve"> 1-47. http://dx.doi.org/10.2139/ssrn.591801  </w:t>
      </w:r>
    </w:p>
    <w:p w14:paraId="01D5ABED" w14:textId="77777777" w:rsidR="001F48CA" w:rsidRDefault="00000000">
      <w:pPr>
        <w:spacing w:line="360" w:lineRule="auto"/>
        <w:jc w:val="both"/>
      </w:pPr>
      <w:proofErr w:type="spellStart"/>
      <w:r>
        <w:rPr>
          <w:rFonts w:ascii="Times New Roman" w:hAnsi="Times New Roman"/>
          <w:sz w:val="24"/>
          <w:szCs w:val="24"/>
        </w:rPr>
        <w:t>Hermalin</w:t>
      </w:r>
      <w:proofErr w:type="spellEnd"/>
      <w:r>
        <w:rPr>
          <w:rFonts w:ascii="Times New Roman" w:hAnsi="Times New Roman"/>
          <w:sz w:val="24"/>
          <w:szCs w:val="24"/>
        </w:rPr>
        <w:t xml:space="preserve">, B.E. and M.S. Weisbach (1991), ‘The effects of board composition and direct </w:t>
      </w:r>
      <w:r>
        <w:rPr>
          <w:rFonts w:ascii="Times New Roman" w:hAnsi="Times New Roman"/>
          <w:sz w:val="24"/>
          <w:szCs w:val="24"/>
        </w:rPr>
        <w:tab/>
        <w:t>incentives</w:t>
      </w:r>
      <w:r>
        <w:rPr>
          <w:rFonts w:ascii="Times New Roman" w:hAnsi="Times New Roman"/>
          <w:sz w:val="24"/>
          <w:szCs w:val="24"/>
        </w:rPr>
        <w:tab/>
        <w:t xml:space="preserve">on firm performance’, </w:t>
      </w:r>
      <w:r>
        <w:rPr>
          <w:rFonts w:ascii="Times New Roman" w:hAnsi="Times New Roman"/>
          <w:i/>
          <w:iCs/>
          <w:sz w:val="24"/>
          <w:szCs w:val="24"/>
        </w:rPr>
        <w:t xml:space="preserve">Financial Management, Financial Management </w:t>
      </w:r>
      <w:r>
        <w:rPr>
          <w:rFonts w:ascii="Times New Roman" w:hAnsi="Times New Roman"/>
          <w:i/>
          <w:iCs/>
          <w:sz w:val="24"/>
          <w:szCs w:val="24"/>
        </w:rPr>
        <w:tab/>
        <w:t>Association</w:t>
      </w:r>
      <w:r>
        <w:rPr>
          <w:rFonts w:ascii="Times New Roman" w:hAnsi="Times New Roman"/>
          <w:sz w:val="24"/>
          <w:szCs w:val="24"/>
        </w:rPr>
        <w:t>, 20(4),</w:t>
      </w:r>
      <w:r>
        <w:rPr>
          <w:rFonts w:ascii="Times New Roman" w:hAnsi="Times New Roman"/>
          <w:sz w:val="24"/>
          <w:szCs w:val="24"/>
        </w:rPr>
        <w:tab/>
        <w:t xml:space="preserve">101–12. Retrieved from: </w:t>
      </w:r>
      <w:r>
        <w:rPr>
          <w:rFonts w:ascii="Times New Roman" w:hAnsi="Times New Roman"/>
          <w:sz w:val="24"/>
          <w:szCs w:val="24"/>
        </w:rPr>
        <w:tab/>
      </w:r>
      <w:hyperlink r:id="rId24" w:history="1">
        <w:r w:rsidR="001F48CA">
          <w:rPr>
            <w:rStyle w:val="Hyperlink"/>
            <w:rFonts w:ascii="Times New Roman" w:hAnsi="Times New Roman"/>
            <w:sz w:val="24"/>
            <w:szCs w:val="24"/>
          </w:rPr>
          <w:t>https://ideas.repec.org/a/fma/fmanag/hermalin91.html</w:t>
        </w:r>
      </w:hyperlink>
      <w:r>
        <w:rPr>
          <w:rFonts w:ascii="Times New Roman" w:hAnsi="Times New Roman"/>
          <w:sz w:val="24"/>
          <w:szCs w:val="24"/>
        </w:rPr>
        <w:t xml:space="preserve"> </w:t>
      </w:r>
    </w:p>
    <w:p w14:paraId="7D3151DA" w14:textId="77777777" w:rsidR="001F48CA" w:rsidRDefault="00000000">
      <w:pPr>
        <w:spacing w:line="360" w:lineRule="auto"/>
        <w:jc w:val="both"/>
      </w:pPr>
      <w:r>
        <w:rPr>
          <w:rFonts w:ascii="Times New Roman" w:hAnsi="Times New Roman"/>
          <w:sz w:val="24"/>
          <w:szCs w:val="24"/>
        </w:rPr>
        <w:t xml:space="preserve">Huang, Z., &amp;Xue, Q. (2016). Re-examination of the effect of ownership structure on </w:t>
      </w:r>
      <w:r>
        <w:rPr>
          <w:rFonts w:ascii="Times New Roman" w:hAnsi="Times New Roman"/>
          <w:sz w:val="24"/>
          <w:szCs w:val="24"/>
        </w:rPr>
        <w:tab/>
        <w:t xml:space="preserve">financial reporting: Evidence from share pledges in China. </w:t>
      </w:r>
      <w:r>
        <w:rPr>
          <w:rFonts w:ascii="Times New Roman" w:hAnsi="Times New Roman"/>
          <w:i/>
          <w:iCs/>
          <w:sz w:val="24"/>
          <w:szCs w:val="24"/>
        </w:rPr>
        <w:t xml:space="preserve">China Journal of </w:t>
      </w:r>
      <w:r>
        <w:rPr>
          <w:rFonts w:ascii="Times New Roman" w:hAnsi="Times New Roman"/>
          <w:i/>
          <w:iCs/>
          <w:sz w:val="24"/>
          <w:szCs w:val="24"/>
        </w:rPr>
        <w:tab/>
        <w:t>Accounting Research</w:t>
      </w:r>
      <w:r>
        <w:rPr>
          <w:rFonts w:ascii="Times New Roman" w:hAnsi="Times New Roman"/>
          <w:sz w:val="24"/>
          <w:szCs w:val="24"/>
        </w:rPr>
        <w:t xml:space="preserve">, 9(2), 137-152. </w:t>
      </w:r>
      <w:hyperlink r:id="rId25" w:history="1">
        <w:r w:rsidR="001F48CA">
          <w:rPr>
            <w:rStyle w:val="Hyperlink"/>
            <w:rFonts w:ascii="Times New Roman" w:hAnsi="Times New Roman"/>
            <w:sz w:val="24"/>
            <w:szCs w:val="24"/>
          </w:rPr>
          <w:t>https://doi.org/10.1016/j.cjar.2015.11.001</w:t>
        </w:r>
      </w:hyperlink>
      <w:r>
        <w:rPr>
          <w:rFonts w:ascii="Times New Roman" w:hAnsi="Times New Roman"/>
          <w:sz w:val="24"/>
          <w:szCs w:val="24"/>
        </w:rPr>
        <w:t xml:space="preserve"> </w:t>
      </w:r>
    </w:p>
    <w:p w14:paraId="681E0AB8" w14:textId="77777777" w:rsidR="001F48CA" w:rsidRDefault="00000000">
      <w:pPr>
        <w:spacing w:line="360" w:lineRule="auto"/>
        <w:jc w:val="both"/>
      </w:pPr>
      <w:r>
        <w:rPr>
          <w:rFonts w:ascii="Times New Roman" w:hAnsi="Times New Roman"/>
          <w:sz w:val="24"/>
          <w:szCs w:val="24"/>
        </w:rPr>
        <w:lastRenderedPageBreak/>
        <w:t xml:space="preserve">Jaggi, B. &amp; Leung, S. (2007). Impact of family dominance on monitoring of earnings </w:t>
      </w:r>
      <w:r>
        <w:rPr>
          <w:rFonts w:ascii="Times New Roman" w:hAnsi="Times New Roman"/>
          <w:sz w:val="24"/>
          <w:szCs w:val="24"/>
        </w:rPr>
        <w:tab/>
        <w:t xml:space="preserve">management by audit committees: Evidence from Hong Kong. </w:t>
      </w:r>
      <w:r>
        <w:rPr>
          <w:rFonts w:ascii="Times New Roman" w:hAnsi="Times New Roman"/>
          <w:i/>
          <w:iCs/>
          <w:sz w:val="24"/>
          <w:szCs w:val="24"/>
        </w:rPr>
        <w:t xml:space="preserve">Journal of </w:t>
      </w:r>
      <w:r>
        <w:rPr>
          <w:rFonts w:ascii="Times New Roman" w:hAnsi="Times New Roman"/>
          <w:i/>
          <w:iCs/>
          <w:sz w:val="24"/>
          <w:szCs w:val="24"/>
        </w:rPr>
        <w:tab/>
      </w:r>
      <w:proofErr w:type="gramStart"/>
      <w:r>
        <w:rPr>
          <w:rFonts w:ascii="Times New Roman" w:hAnsi="Times New Roman"/>
          <w:i/>
          <w:iCs/>
          <w:sz w:val="24"/>
          <w:szCs w:val="24"/>
        </w:rPr>
        <w:t>International,Accounting</w:t>
      </w:r>
      <w:proofErr w:type="gramEnd"/>
      <w:r>
        <w:rPr>
          <w:rFonts w:ascii="Times New Roman" w:hAnsi="Times New Roman"/>
          <w:i/>
          <w:iCs/>
          <w:sz w:val="24"/>
          <w:szCs w:val="24"/>
        </w:rPr>
        <w:t>,Auditing,andTaxation</w:t>
      </w:r>
      <w:r>
        <w:rPr>
          <w:rFonts w:ascii="Times New Roman" w:hAnsi="Times New Roman"/>
          <w:sz w:val="24"/>
          <w:szCs w:val="24"/>
        </w:rPr>
        <w:t>.16.27-50.</w:t>
      </w:r>
      <w:r>
        <w:rPr>
          <w:rFonts w:ascii="Times New Roman" w:hAnsi="Times New Roman"/>
          <w:sz w:val="24"/>
          <w:szCs w:val="24"/>
        </w:rPr>
        <w:tab/>
      </w:r>
      <w:hyperlink r:id="rId26" w:history="1">
        <w:r w:rsidR="001F48CA">
          <w:rPr>
            <w:rStyle w:val="Hyperlink"/>
            <w:rFonts w:ascii="Times New Roman" w:hAnsi="Times New Roman"/>
            <w:sz w:val="24"/>
            <w:szCs w:val="24"/>
          </w:rPr>
          <w:t>https://doi.org/10.1016/j.intaccaudtax.2007.01.003</w:t>
        </w:r>
      </w:hyperlink>
      <w:r>
        <w:rPr>
          <w:rFonts w:ascii="Times New Roman" w:hAnsi="Times New Roman"/>
          <w:sz w:val="24"/>
          <w:szCs w:val="24"/>
        </w:rPr>
        <w:t xml:space="preserve">. </w:t>
      </w:r>
    </w:p>
    <w:p w14:paraId="638E235C" w14:textId="77777777" w:rsidR="001F48CA" w:rsidRDefault="00000000">
      <w:pPr>
        <w:spacing w:line="360" w:lineRule="auto"/>
        <w:jc w:val="both"/>
      </w:pPr>
      <w:r>
        <w:rPr>
          <w:rFonts w:ascii="Times New Roman" w:hAnsi="Times New Roman"/>
          <w:sz w:val="24"/>
          <w:szCs w:val="24"/>
        </w:rPr>
        <w:t>Jaggi, Bikki &amp; Leung, Sidney &amp; Gul, Ferdinand. (2009). Family Control, Board Independence</w:t>
      </w:r>
      <w:r>
        <w:rPr>
          <w:rFonts w:ascii="Times New Roman" w:hAnsi="Times New Roman"/>
          <w:sz w:val="24"/>
          <w:szCs w:val="24"/>
        </w:rPr>
        <w:tab/>
        <w:t xml:space="preserve">and Earnings Management: Evidence Based on Hong Kong Firms. </w:t>
      </w:r>
      <w:r>
        <w:rPr>
          <w:rFonts w:ascii="Times New Roman" w:hAnsi="Times New Roman"/>
          <w:i/>
          <w:iCs/>
          <w:sz w:val="24"/>
          <w:szCs w:val="24"/>
        </w:rPr>
        <w:t>Journal of</w:t>
      </w:r>
      <w:r>
        <w:rPr>
          <w:rFonts w:ascii="Times New Roman" w:hAnsi="Times New Roman"/>
          <w:i/>
          <w:iCs/>
          <w:sz w:val="24"/>
          <w:szCs w:val="24"/>
        </w:rPr>
        <w:tab/>
        <w:t>Accounting and Public Policy</w:t>
      </w:r>
      <w:r>
        <w:rPr>
          <w:rFonts w:ascii="Times New Roman" w:hAnsi="Times New Roman"/>
          <w:sz w:val="24"/>
          <w:szCs w:val="24"/>
        </w:rPr>
        <w:t>. 28. 281-300.</w:t>
      </w:r>
      <w:r>
        <w:rPr>
          <w:rFonts w:ascii="Times New Roman" w:hAnsi="Times New Roman"/>
          <w:sz w:val="24"/>
          <w:szCs w:val="24"/>
        </w:rPr>
        <w:tab/>
      </w:r>
      <w:hyperlink r:id="rId27" w:history="1">
        <w:r w:rsidR="001F48CA">
          <w:rPr>
            <w:rStyle w:val="Hyperlink"/>
            <w:rFonts w:ascii="Times New Roman" w:hAnsi="Times New Roman"/>
            <w:sz w:val="24"/>
            <w:szCs w:val="24"/>
          </w:rPr>
          <w:t>https://doi.org/10.1016/j.jaccpubpol.2009.06.002</w:t>
        </w:r>
      </w:hyperlink>
      <w:r>
        <w:rPr>
          <w:rFonts w:ascii="Times New Roman" w:hAnsi="Times New Roman"/>
          <w:sz w:val="24"/>
          <w:szCs w:val="24"/>
        </w:rPr>
        <w:t xml:space="preserve"> </w:t>
      </w:r>
    </w:p>
    <w:p w14:paraId="5EEF7D8D" w14:textId="77777777" w:rsidR="001F48CA" w:rsidRDefault="00000000">
      <w:pPr>
        <w:spacing w:line="360" w:lineRule="auto"/>
        <w:jc w:val="both"/>
      </w:pPr>
      <w:r>
        <w:rPr>
          <w:rFonts w:ascii="Times New Roman" w:hAnsi="Times New Roman"/>
          <w:sz w:val="24"/>
          <w:szCs w:val="24"/>
        </w:rPr>
        <w:t>Jensen, M. C., &amp;Meckling, W. H. (1976). Theory of the firm: managerial behaviour, Agency</w:t>
      </w:r>
      <w:r>
        <w:rPr>
          <w:rFonts w:ascii="Times New Roman" w:hAnsi="Times New Roman"/>
          <w:sz w:val="24"/>
          <w:szCs w:val="24"/>
        </w:rPr>
        <w:tab/>
        <w:t xml:space="preserve">Costs, and Ownership Structure. </w:t>
      </w:r>
      <w:r>
        <w:rPr>
          <w:rFonts w:ascii="Times New Roman" w:hAnsi="Times New Roman"/>
          <w:i/>
          <w:iCs/>
          <w:sz w:val="24"/>
          <w:szCs w:val="24"/>
        </w:rPr>
        <w:t>Journal of Financial Economics</w:t>
      </w:r>
      <w:r>
        <w:rPr>
          <w:rFonts w:ascii="Times New Roman" w:hAnsi="Times New Roman"/>
          <w:sz w:val="24"/>
          <w:szCs w:val="24"/>
        </w:rPr>
        <w:t>, 3, 305-</w:t>
      </w:r>
      <w:r>
        <w:rPr>
          <w:rFonts w:ascii="Times New Roman" w:hAnsi="Times New Roman"/>
          <w:sz w:val="24"/>
          <w:szCs w:val="24"/>
        </w:rPr>
        <w:tab/>
        <w:t>360.</w:t>
      </w:r>
      <w:r>
        <w:rPr>
          <w:rFonts w:ascii="Times New Roman" w:hAnsi="Times New Roman"/>
          <w:sz w:val="24"/>
          <w:szCs w:val="24"/>
        </w:rPr>
        <w:tab/>
      </w:r>
      <w:hyperlink r:id="rId28" w:history="1">
        <w:r w:rsidR="001F48CA">
          <w:rPr>
            <w:rStyle w:val="Hyperlink"/>
            <w:rFonts w:ascii="Times New Roman" w:hAnsi="Times New Roman"/>
            <w:sz w:val="24"/>
            <w:szCs w:val="24"/>
          </w:rPr>
          <w:t>https://doi.org/10.1016/0304-405X(76)90026-X</w:t>
        </w:r>
      </w:hyperlink>
      <w:r>
        <w:rPr>
          <w:rFonts w:ascii="Times New Roman" w:hAnsi="Times New Roman"/>
          <w:sz w:val="24"/>
          <w:szCs w:val="24"/>
        </w:rPr>
        <w:t xml:space="preserve"> </w:t>
      </w:r>
    </w:p>
    <w:p w14:paraId="24B0711A" w14:textId="77777777" w:rsidR="001F48CA" w:rsidRDefault="00000000">
      <w:pPr>
        <w:spacing w:line="360" w:lineRule="auto"/>
        <w:jc w:val="both"/>
      </w:pPr>
      <w:r>
        <w:rPr>
          <w:rFonts w:ascii="Times New Roman" w:hAnsi="Times New Roman"/>
          <w:sz w:val="24"/>
          <w:szCs w:val="24"/>
        </w:rPr>
        <w:t xml:space="preserve">Liu, Q., &amp; Lu, Z. (2007). Corporate governance and earnings management in the Chinese </w:t>
      </w:r>
      <w:r>
        <w:rPr>
          <w:rFonts w:ascii="Times New Roman" w:hAnsi="Times New Roman"/>
          <w:sz w:val="24"/>
          <w:szCs w:val="24"/>
        </w:rPr>
        <w:tab/>
        <w:t xml:space="preserve">Listed Companies: A </w:t>
      </w:r>
      <w:proofErr w:type="spellStart"/>
      <w:r>
        <w:rPr>
          <w:rFonts w:ascii="Times New Roman" w:hAnsi="Times New Roman"/>
          <w:sz w:val="24"/>
          <w:szCs w:val="24"/>
        </w:rPr>
        <w:t>tunneling</w:t>
      </w:r>
      <w:proofErr w:type="spellEnd"/>
      <w:r>
        <w:rPr>
          <w:rFonts w:ascii="Times New Roman" w:hAnsi="Times New Roman"/>
          <w:sz w:val="24"/>
          <w:szCs w:val="24"/>
        </w:rPr>
        <w:t xml:space="preserve"> perspective. </w:t>
      </w:r>
      <w:r>
        <w:rPr>
          <w:rFonts w:ascii="Times New Roman" w:hAnsi="Times New Roman"/>
          <w:i/>
          <w:iCs/>
          <w:sz w:val="24"/>
          <w:szCs w:val="24"/>
        </w:rPr>
        <w:t>Journal of Corporate Finance</w:t>
      </w:r>
      <w:r>
        <w:rPr>
          <w:rFonts w:ascii="Times New Roman" w:hAnsi="Times New Roman"/>
          <w:sz w:val="24"/>
          <w:szCs w:val="24"/>
        </w:rPr>
        <w:t>, 13, 881-</w:t>
      </w:r>
      <w:r>
        <w:rPr>
          <w:rFonts w:ascii="Times New Roman" w:hAnsi="Times New Roman"/>
          <w:sz w:val="24"/>
          <w:szCs w:val="24"/>
        </w:rPr>
        <w:tab/>
        <w:t xml:space="preserve">906. </w:t>
      </w:r>
      <w:hyperlink r:id="rId29" w:history="1">
        <w:r w:rsidR="001F48CA">
          <w:rPr>
            <w:rStyle w:val="Hyperlink"/>
            <w:rFonts w:ascii="Times New Roman" w:hAnsi="Times New Roman"/>
            <w:sz w:val="24"/>
            <w:szCs w:val="24"/>
          </w:rPr>
          <w:t>http://www.sciencedirect.com/science/article/pii/S0929-1199(07)00058-2</w:t>
        </w:r>
      </w:hyperlink>
      <w:r>
        <w:rPr>
          <w:rFonts w:ascii="Times New Roman" w:hAnsi="Times New Roman"/>
          <w:sz w:val="24"/>
          <w:szCs w:val="24"/>
        </w:rPr>
        <w:t xml:space="preserve"> </w:t>
      </w:r>
    </w:p>
    <w:p w14:paraId="1FEFB4FC" w14:textId="77777777" w:rsidR="001F48CA" w:rsidRDefault="00000000">
      <w:pPr>
        <w:spacing w:line="360" w:lineRule="auto"/>
        <w:jc w:val="both"/>
      </w:pPr>
      <w:r>
        <w:rPr>
          <w:rFonts w:ascii="Times New Roman" w:hAnsi="Times New Roman"/>
          <w:sz w:val="24"/>
          <w:szCs w:val="24"/>
        </w:rPr>
        <w:t xml:space="preserve">Lopez-Iturriaga, Felix &amp; Rodríguez-Sanz, Juan. (2001). Ownership structure, corporate </w:t>
      </w:r>
      <w:r>
        <w:rPr>
          <w:rFonts w:ascii="Times New Roman" w:hAnsi="Times New Roman"/>
          <w:sz w:val="24"/>
          <w:szCs w:val="24"/>
        </w:rPr>
        <w:tab/>
        <w:t>value and</w:t>
      </w:r>
      <w:r>
        <w:rPr>
          <w:rFonts w:ascii="Times New Roman" w:hAnsi="Times New Roman"/>
          <w:sz w:val="24"/>
          <w:szCs w:val="24"/>
        </w:rPr>
        <w:tab/>
        <w:t xml:space="preserve">firm investment: a simultaneous equations analysis of </w:t>
      </w:r>
      <w:proofErr w:type="spellStart"/>
      <w:r>
        <w:rPr>
          <w:rFonts w:ascii="Times New Roman" w:hAnsi="Times New Roman"/>
          <w:sz w:val="24"/>
          <w:szCs w:val="24"/>
        </w:rPr>
        <w:t>spanish</w:t>
      </w:r>
      <w:proofErr w:type="spellEnd"/>
      <w:r>
        <w:rPr>
          <w:rFonts w:ascii="Times New Roman" w:hAnsi="Times New Roman"/>
          <w:sz w:val="24"/>
          <w:szCs w:val="24"/>
        </w:rPr>
        <w:t xml:space="preserve"> </w:t>
      </w:r>
      <w:r>
        <w:rPr>
          <w:rFonts w:ascii="Times New Roman" w:hAnsi="Times New Roman"/>
          <w:sz w:val="24"/>
          <w:szCs w:val="24"/>
        </w:rPr>
        <w:tab/>
        <w:t xml:space="preserve">companies. </w:t>
      </w:r>
      <w:r>
        <w:rPr>
          <w:rFonts w:ascii="Times New Roman" w:hAnsi="Times New Roman"/>
          <w:i/>
          <w:iCs/>
          <w:sz w:val="24"/>
          <w:szCs w:val="24"/>
        </w:rPr>
        <w:t>Journal of</w:t>
      </w:r>
      <w:r>
        <w:rPr>
          <w:rFonts w:ascii="Times New Roman" w:hAnsi="Times New Roman"/>
          <w:i/>
          <w:iCs/>
          <w:sz w:val="24"/>
          <w:szCs w:val="24"/>
        </w:rPr>
        <w:tab/>
        <w:t>Management and Governance</w:t>
      </w:r>
      <w:r>
        <w:rPr>
          <w:rFonts w:ascii="Times New Roman" w:hAnsi="Times New Roman"/>
          <w:sz w:val="24"/>
          <w:szCs w:val="24"/>
        </w:rPr>
        <w:t xml:space="preserve">. 5. 179-204. </w:t>
      </w:r>
      <w:r>
        <w:rPr>
          <w:rFonts w:ascii="Times New Roman" w:hAnsi="Times New Roman"/>
          <w:sz w:val="24"/>
          <w:szCs w:val="24"/>
        </w:rPr>
        <w:tab/>
      </w:r>
      <w:hyperlink r:id="rId30" w:history="1">
        <w:r w:rsidR="001F48CA">
          <w:rPr>
            <w:rStyle w:val="Hyperlink"/>
            <w:rFonts w:ascii="Times New Roman" w:hAnsi="Times New Roman"/>
            <w:sz w:val="24"/>
            <w:szCs w:val="24"/>
          </w:rPr>
          <w:t>https://doi.org/10.1023/A:1013078225905</w:t>
        </w:r>
      </w:hyperlink>
      <w:r>
        <w:rPr>
          <w:rFonts w:ascii="Times New Roman" w:hAnsi="Times New Roman"/>
          <w:sz w:val="24"/>
          <w:szCs w:val="24"/>
        </w:rPr>
        <w:t xml:space="preserve">. </w:t>
      </w:r>
    </w:p>
    <w:p w14:paraId="49FEE669" w14:textId="77777777" w:rsidR="001F48CA" w:rsidRDefault="00000000">
      <w:pPr>
        <w:spacing w:line="360" w:lineRule="auto"/>
        <w:jc w:val="both"/>
      </w:pPr>
      <w:r>
        <w:rPr>
          <w:rFonts w:ascii="Times New Roman" w:hAnsi="Times New Roman"/>
          <w:sz w:val="24"/>
          <w:szCs w:val="24"/>
        </w:rPr>
        <w:t xml:space="preserve">Morck, R., Shleifer, A. and </w:t>
      </w:r>
      <w:proofErr w:type="spellStart"/>
      <w:r>
        <w:rPr>
          <w:rFonts w:ascii="Times New Roman" w:hAnsi="Times New Roman"/>
          <w:sz w:val="24"/>
          <w:szCs w:val="24"/>
        </w:rPr>
        <w:t>Vishny</w:t>
      </w:r>
      <w:proofErr w:type="spellEnd"/>
      <w:r>
        <w:rPr>
          <w:rFonts w:ascii="Times New Roman" w:hAnsi="Times New Roman"/>
          <w:sz w:val="24"/>
          <w:szCs w:val="24"/>
        </w:rPr>
        <w:t xml:space="preserve">, R.W. (1988) Management ownership and market </w:t>
      </w:r>
      <w:r>
        <w:rPr>
          <w:rFonts w:ascii="Times New Roman" w:hAnsi="Times New Roman"/>
          <w:sz w:val="24"/>
          <w:szCs w:val="24"/>
        </w:rPr>
        <w:tab/>
        <w:t>valuation:</w:t>
      </w:r>
      <w:r>
        <w:rPr>
          <w:rFonts w:ascii="Times New Roman" w:hAnsi="Times New Roman"/>
          <w:sz w:val="24"/>
          <w:szCs w:val="24"/>
        </w:rPr>
        <w:tab/>
        <w:t xml:space="preserve">An Empirical Analysis. </w:t>
      </w:r>
      <w:r>
        <w:rPr>
          <w:rFonts w:ascii="Times New Roman" w:hAnsi="Times New Roman"/>
          <w:i/>
          <w:iCs/>
          <w:sz w:val="24"/>
          <w:szCs w:val="24"/>
        </w:rPr>
        <w:t>Journal of Financial Economics</w:t>
      </w:r>
      <w:r>
        <w:rPr>
          <w:rFonts w:ascii="Times New Roman" w:hAnsi="Times New Roman"/>
          <w:sz w:val="24"/>
          <w:szCs w:val="24"/>
        </w:rPr>
        <w:t xml:space="preserve">, 20, 293-315. </w:t>
      </w:r>
      <w:r>
        <w:rPr>
          <w:rFonts w:ascii="Times New Roman" w:hAnsi="Times New Roman"/>
          <w:sz w:val="24"/>
          <w:szCs w:val="24"/>
        </w:rPr>
        <w:tab/>
      </w:r>
      <w:hyperlink r:id="rId31" w:history="1">
        <w:r w:rsidR="001F48CA">
          <w:rPr>
            <w:rStyle w:val="Hyperlink"/>
            <w:rFonts w:ascii="Times New Roman" w:hAnsi="Times New Roman"/>
            <w:sz w:val="24"/>
            <w:szCs w:val="24"/>
          </w:rPr>
          <w:t>http://dx.doi.org/10.1016/0304-405X(88)90048-7</w:t>
        </w:r>
      </w:hyperlink>
      <w:r>
        <w:rPr>
          <w:rFonts w:ascii="Times New Roman" w:hAnsi="Times New Roman"/>
          <w:sz w:val="24"/>
          <w:szCs w:val="24"/>
        </w:rPr>
        <w:t xml:space="preserve"> </w:t>
      </w:r>
    </w:p>
    <w:p w14:paraId="52DA3331" w14:textId="77777777" w:rsidR="001F48CA" w:rsidRDefault="00000000">
      <w:pPr>
        <w:spacing w:line="360" w:lineRule="auto"/>
        <w:jc w:val="both"/>
      </w:pPr>
      <w:r>
        <w:rPr>
          <w:rFonts w:ascii="Times New Roman" w:hAnsi="Times New Roman"/>
          <w:sz w:val="24"/>
          <w:szCs w:val="24"/>
        </w:rPr>
        <w:t xml:space="preserve">Naser, K. H. M. (1993). Creative Financial Accounting: Its Nature and Use. </w:t>
      </w:r>
      <w:r>
        <w:rPr>
          <w:rFonts w:ascii="Times New Roman" w:hAnsi="Times New Roman"/>
          <w:i/>
          <w:iCs/>
          <w:sz w:val="24"/>
          <w:szCs w:val="24"/>
        </w:rPr>
        <w:t xml:space="preserve">Prentice </w:t>
      </w:r>
      <w:r>
        <w:rPr>
          <w:rFonts w:ascii="Times New Roman" w:hAnsi="Times New Roman"/>
          <w:i/>
          <w:iCs/>
          <w:sz w:val="24"/>
          <w:szCs w:val="24"/>
        </w:rPr>
        <w:tab/>
        <w:t>Hall.</w:t>
      </w:r>
    </w:p>
    <w:p w14:paraId="17EAD1F8" w14:textId="77777777" w:rsidR="001F48CA" w:rsidRDefault="00000000">
      <w:pPr>
        <w:spacing w:line="360" w:lineRule="auto"/>
        <w:jc w:val="both"/>
      </w:pPr>
      <w:proofErr w:type="spellStart"/>
      <w:r>
        <w:rPr>
          <w:rFonts w:ascii="Times New Roman" w:hAnsi="Times New Roman"/>
          <w:sz w:val="24"/>
          <w:szCs w:val="24"/>
        </w:rPr>
        <w:t>Oyedokun</w:t>
      </w:r>
      <w:proofErr w:type="spellEnd"/>
      <w:r>
        <w:rPr>
          <w:rFonts w:ascii="Times New Roman" w:hAnsi="Times New Roman"/>
          <w:sz w:val="24"/>
          <w:szCs w:val="24"/>
        </w:rPr>
        <w:t>, G. &amp;</w:t>
      </w:r>
      <w:proofErr w:type="spellStart"/>
      <w:r>
        <w:rPr>
          <w:rFonts w:ascii="Times New Roman" w:hAnsi="Times New Roman"/>
          <w:sz w:val="24"/>
          <w:szCs w:val="24"/>
        </w:rPr>
        <w:t>Awotomilusi</w:t>
      </w:r>
      <w:proofErr w:type="spellEnd"/>
      <w:r>
        <w:rPr>
          <w:rFonts w:ascii="Times New Roman" w:hAnsi="Times New Roman"/>
          <w:sz w:val="24"/>
          <w:szCs w:val="24"/>
        </w:rPr>
        <w:t>, N. &amp; Shehu, I. (2020). Ownership structure and firm value of</w:t>
      </w:r>
      <w:r>
        <w:rPr>
          <w:rFonts w:ascii="Times New Roman" w:hAnsi="Times New Roman"/>
          <w:sz w:val="24"/>
          <w:szCs w:val="24"/>
        </w:rPr>
        <w:tab/>
        <w:t xml:space="preserve">quoted consumers goods firms in Nigeria. </w:t>
      </w:r>
      <w:r>
        <w:rPr>
          <w:rFonts w:ascii="Times New Roman" w:hAnsi="Times New Roman"/>
          <w:i/>
          <w:iCs/>
          <w:sz w:val="24"/>
          <w:szCs w:val="24"/>
        </w:rPr>
        <w:t xml:space="preserve">Journal of Accounting and Strategic </w:t>
      </w:r>
      <w:r>
        <w:rPr>
          <w:rFonts w:ascii="Times New Roman" w:hAnsi="Times New Roman"/>
          <w:i/>
          <w:iCs/>
          <w:sz w:val="24"/>
          <w:szCs w:val="24"/>
        </w:rPr>
        <w:tab/>
        <w:t>Finance</w:t>
      </w:r>
      <w:r>
        <w:rPr>
          <w:rFonts w:ascii="Times New Roman" w:hAnsi="Times New Roman"/>
          <w:sz w:val="24"/>
          <w:szCs w:val="24"/>
        </w:rPr>
        <w:t>. 3.</w:t>
      </w:r>
      <w:r>
        <w:rPr>
          <w:rFonts w:ascii="Times New Roman" w:hAnsi="Times New Roman"/>
          <w:sz w:val="24"/>
          <w:szCs w:val="24"/>
        </w:rPr>
        <w:tab/>
        <w:t>214-228. https://doi.org/10.33005/jasf.v3i2.65.</w:t>
      </w:r>
    </w:p>
    <w:p w14:paraId="2685D18A" w14:textId="77777777" w:rsidR="001F48CA" w:rsidRDefault="00000000">
      <w:pPr>
        <w:spacing w:line="360" w:lineRule="auto"/>
        <w:jc w:val="both"/>
      </w:pPr>
      <w:r>
        <w:rPr>
          <w:rFonts w:ascii="Times New Roman" w:hAnsi="Times New Roman"/>
          <w:sz w:val="24"/>
          <w:szCs w:val="24"/>
        </w:rPr>
        <w:t xml:space="preserve">Pandey, K. D., &amp;Sahu, T. N. (2021). Ownership concentration and agency crises in Indian </w:t>
      </w:r>
      <w:r>
        <w:rPr>
          <w:rFonts w:ascii="Times New Roman" w:hAnsi="Times New Roman"/>
          <w:sz w:val="24"/>
          <w:szCs w:val="24"/>
        </w:rPr>
        <w:tab/>
        <w:t xml:space="preserve">Manufacturing Firms. </w:t>
      </w:r>
      <w:r>
        <w:rPr>
          <w:rFonts w:ascii="Times New Roman" w:hAnsi="Times New Roman"/>
          <w:i/>
          <w:iCs/>
          <w:sz w:val="24"/>
          <w:szCs w:val="24"/>
        </w:rPr>
        <w:t>Business Perspectives and Research</w:t>
      </w:r>
      <w:r>
        <w:rPr>
          <w:rFonts w:ascii="Times New Roman" w:hAnsi="Times New Roman"/>
          <w:sz w:val="24"/>
          <w:szCs w:val="24"/>
        </w:rPr>
        <w:t xml:space="preserve">, 9(1), 128-143. </w:t>
      </w:r>
      <w:r>
        <w:rPr>
          <w:rFonts w:ascii="Times New Roman" w:hAnsi="Times New Roman"/>
          <w:sz w:val="24"/>
          <w:szCs w:val="24"/>
        </w:rPr>
        <w:tab/>
      </w:r>
      <w:hyperlink r:id="rId32" w:history="1">
        <w:r w:rsidR="001F48CA">
          <w:rPr>
            <w:rStyle w:val="Hyperlink"/>
            <w:rFonts w:ascii="Times New Roman" w:hAnsi="Times New Roman"/>
            <w:sz w:val="24"/>
            <w:szCs w:val="24"/>
          </w:rPr>
          <w:t>https://doi.org/10.1177/2278533720910842</w:t>
        </w:r>
      </w:hyperlink>
      <w:r>
        <w:rPr>
          <w:rFonts w:ascii="Times New Roman" w:hAnsi="Times New Roman"/>
          <w:sz w:val="24"/>
          <w:szCs w:val="24"/>
        </w:rPr>
        <w:t xml:space="preserve"> </w:t>
      </w:r>
    </w:p>
    <w:p w14:paraId="76C468AE" w14:textId="77777777" w:rsidR="001F48CA" w:rsidRDefault="00000000">
      <w:pPr>
        <w:spacing w:line="360" w:lineRule="auto"/>
        <w:jc w:val="both"/>
      </w:pPr>
      <w:r>
        <w:rPr>
          <w:rFonts w:ascii="Times New Roman" w:hAnsi="Times New Roman"/>
          <w:sz w:val="24"/>
          <w:szCs w:val="24"/>
        </w:rPr>
        <w:lastRenderedPageBreak/>
        <w:t xml:space="preserve">Park, YW &amp; Shin, H-H (2004). Board composition and earnings management in Canada, </w:t>
      </w:r>
      <w:r>
        <w:rPr>
          <w:rFonts w:ascii="Times New Roman" w:hAnsi="Times New Roman"/>
          <w:sz w:val="24"/>
          <w:szCs w:val="24"/>
        </w:rPr>
        <w:tab/>
      </w:r>
      <w:r>
        <w:rPr>
          <w:rFonts w:ascii="Times New Roman" w:hAnsi="Times New Roman"/>
          <w:i/>
          <w:iCs/>
          <w:sz w:val="24"/>
          <w:szCs w:val="24"/>
        </w:rPr>
        <w:t>Journal of Corporate Finance</w:t>
      </w:r>
      <w:r>
        <w:rPr>
          <w:rFonts w:ascii="Times New Roman" w:hAnsi="Times New Roman"/>
          <w:sz w:val="24"/>
          <w:szCs w:val="24"/>
        </w:rPr>
        <w:t xml:space="preserve">, 10(3), 431-457. </w:t>
      </w:r>
      <w:r>
        <w:rPr>
          <w:rFonts w:ascii="Times New Roman" w:hAnsi="Times New Roman"/>
          <w:sz w:val="24"/>
          <w:szCs w:val="24"/>
        </w:rPr>
        <w:tab/>
        <w:t>Retrieved from:</w:t>
      </w:r>
      <w:r>
        <w:rPr>
          <w:rFonts w:ascii="Times New Roman" w:hAnsi="Times New Roman"/>
          <w:sz w:val="24"/>
          <w:szCs w:val="24"/>
        </w:rPr>
        <w:tab/>
      </w:r>
      <w:hyperlink r:id="rId33" w:history="1">
        <w:r w:rsidR="001F48CA">
          <w:rPr>
            <w:rStyle w:val="Hyperlink"/>
            <w:rFonts w:ascii="Times New Roman" w:hAnsi="Times New Roman"/>
            <w:sz w:val="24"/>
            <w:szCs w:val="24"/>
          </w:rPr>
          <w:t>http://www.sciencedirect.com/science/article/pii/S0929-1199(03)00025-7</w:t>
        </w:r>
      </w:hyperlink>
    </w:p>
    <w:p w14:paraId="67F0DB56" w14:textId="77777777" w:rsidR="001F48CA" w:rsidRDefault="00000000">
      <w:pPr>
        <w:spacing w:line="360" w:lineRule="auto"/>
        <w:jc w:val="both"/>
      </w:pPr>
      <w:r>
        <w:rPr>
          <w:rFonts w:ascii="Times New Roman" w:hAnsi="Times New Roman"/>
          <w:sz w:val="24"/>
          <w:szCs w:val="24"/>
        </w:rPr>
        <w:t xml:space="preserve">Rafique, Q., Al-Mamun, A., &amp; Hook, M. (2017). The impact of ownership structure on </w:t>
      </w:r>
      <w:r>
        <w:rPr>
          <w:rFonts w:ascii="Times New Roman" w:hAnsi="Times New Roman"/>
          <w:sz w:val="24"/>
          <w:szCs w:val="24"/>
        </w:rPr>
        <w:tab/>
        <w:t xml:space="preserve">financial reporting quality in the east. International Journal of Organizational </w:t>
      </w:r>
      <w:r>
        <w:rPr>
          <w:rFonts w:ascii="Times New Roman" w:hAnsi="Times New Roman"/>
          <w:sz w:val="24"/>
          <w:szCs w:val="24"/>
        </w:rPr>
        <w:tab/>
        <w:t xml:space="preserve">Analysis, 25(2),178-197. </w:t>
      </w:r>
      <w:hyperlink r:id="rId34" w:history="1">
        <w:r w:rsidR="001F48CA">
          <w:rPr>
            <w:rStyle w:val="Hyperlink"/>
            <w:rFonts w:ascii="Times New Roman" w:hAnsi="Times New Roman"/>
            <w:sz w:val="24"/>
            <w:szCs w:val="24"/>
          </w:rPr>
          <w:t>https://doi.org/10.1108/IJOA-08-2015-0894</w:t>
        </w:r>
      </w:hyperlink>
      <w:r>
        <w:rPr>
          <w:rFonts w:ascii="Times New Roman" w:hAnsi="Times New Roman"/>
          <w:sz w:val="24"/>
          <w:szCs w:val="24"/>
        </w:rPr>
        <w:t>.</w:t>
      </w:r>
    </w:p>
    <w:p w14:paraId="1E1B6376" w14:textId="77777777" w:rsidR="001F48CA" w:rsidRDefault="00000000">
      <w:pPr>
        <w:spacing w:line="360" w:lineRule="auto"/>
        <w:jc w:val="both"/>
      </w:pPr>
      <w:r>
        <w:rPr>
          <w:rFonts w:ascii="Times New Roman" w:hAnsi="Times New Roman"/>
          <w:sz w:val="24"/>
          <w:szCs w:val="24"/>
        </w:rPr>
        <w:t xml:space="preserve">Tessema, A., Kim, M. &amp; Dandu, </w:t>
      </w:r>
      <w:proofErr w:type="gramStart"/>
      <w:r>
        <w:rPr>
          <w:rFonts w:ascii="Times New Roman" w:hAnsi="Times New Roman"/>
          <w:sz w:val="24"/>
          <w:szCs w:val="24"/>
        </w:rPr>
        <w:t>J..</w:t>
      </w:r>
      <w:proofErr w:type="gramEnd"/>
      <w:r>
        <w:rPr>
          <w:rFonts w:ascii="Times New Roman" w:hAnsi="Times New Roman"/>
          <w:sz w:val="24"/>
          <w:szCs w:val="24"/>
        </w:rPr>
        <w:t xml:space="preserve"> (2018). The impact of ownership structure on earnings </w:t>
      </w:r>
      <w:r>
        <w:rPr>
          <w:rFonts w:ascii="Times New Roman" w:hAnsi="Times New Roman"/>
          <w:sz w:val="24"/>
          <w:szCs w:val="24"/>
        </w:rPr>
        <w:tab/>
        <w:t xml:space="preserve">quality: the case of South Korea. </w:t>
      </w:r>
      <w:r>
        <w:rPr>
          <w:rFonts w:ascii="Times New Roman" w:hAnsi="Times New Roman"/>
          <w:i/>
          <w:iCs/>
          <w:sz w:val="24"/>
          <w:szCs w:val="24"/>
        </w:rPr>
        <w:t xml:space="preserve">International Journal of Disclosure and </w:t>
      </w:r>
      <w:r>
        <w:rPr>
          <w:rFonts w:ascii="Times New Roman" w:hAnsi="Times New Roman"/>
          <w:i/>
          <w:iCs/>
          <w:sz w:val="24"/>
          <w:szCs w:val="24"/>
        </w:rPr>
        <w:tab/>
        <w:t>Governance</w:t>
      </w:r>
      <w:r>
        <w:rPr>
          <w:rFonts w:ascii="Times New Roman" w:hAnsi="Times New Roman"/>
          <w:sz w:val="24"/>
          <w:szCs w:val="24"/>
        </w:rPr>
        <w:t xml:space="preserve">. 15.129–14. </w:t>
      </w:r>
      <w:hyperlink r:id="rId35" w:history="1">
        <w:r w:rsidR="001F48CA">
          <w:rPr>
            <w:rStyle w:val="Hyperlink"/>
            <w:rFonts w:ascii="Times New Roman" w:hAnsi="Times New Roman"/>
            <w:sz w:val="24"/>
            <w:szCs w:val="24"/>
          </w:rPr>
          <w:t>https://doi.org/10.1057/s41310-018-0039-x</w:t>
        </w:r>
      </w:hyperlink>
      <w:r>
        <w:rPr>
          <w:rFonts w:ascii="Times New Roman" w:hAnsi="Times New Roman"/>
          <w:sz w:val="24"/>
          <w:szCs w:val="24"/>
        </w:rPr>
        <w:t>.</w:t>
      </w:r>
    </w:p>
    <w:p w14:paraId="1BC36AF4" w14:textId="77777777" w:rsidR="001F48CA" w:rsidRDefault="00000000">
      <w:pPr>
        <w:spacing w:line="360" w:lineRule="auto"/>
        <w:jc w:val="both"/>
      </w:pPr>
      <w:r>
        <w:rPr>
          <w:rFonts w:ascii="Times New Roman" w:hAnsi="Times New Roman"/>
          <w:sz w:val="24"/>
          <w:szCs w:val="24"/>
        </w:rPr>
        <w:t xml:space="preserve">Shah, A.Z.R., Safdar, B. A., &amp; Mohammad, S. M. (2011). Ownership structure and </w:t>
      </w:r>
      <w:r>
        <w:rPr>
          <w:rFonts w:ascii="Times New Roman" w:hAnsi="Times New Roman"/>
          <w:sz w:val="24"/>
          <w:szCs w:val="24"/>
        </w:rPr>
        <w:tab/>
        <w:t xml:space="preserve">performance of firms: Empirical evidence from an emerging market, </w:t>
      </w:r>
      <w:r>
        <w:rPr>
          <w:rFonts w:ascii="Times New Roman" w:hAnsi="Times New Roman"/>
          <w:i/>
          <w:iCs/>
          <w:sz w:val="24"/>
          <w:szCs w:val="24"/>
        </w:rPr>
        <w:t xml:space="preserve">African </w:t>
      </w:r>
      <w:r>
        <w:rPr>
          <w:rFonts w:ascii="Times New Roman" w:hAnsi="Times New Roman"/>
          <w:i/>
          <w:iCs/>
          <w:sz w:val="24"/>
          <w:szCs w:val="24"/>
        </w:rPr>
        <w:tab/>
        <w:t>Journal of</w:t>
      </w:r>
      <w:r>
        <w:rPr>
          <w:rFonts w:ascii="Times New Roman" w:hAnsi="Times New Roman"/>
          <w:i/>
          <w:iCs/>
          <w:sz w:val="24"/>
          <w:szCs w:val="24"/>
        </w:rPr>
        <w:tab/>
        <w:t>Business Management</w:t>
      </w:r>
      <w:r>
        <w:rPr>
          <w:rFonts w:ascii="Times New Roman" w:hAnsi="Times New Roman"/>
          <w:sz w:val="24"/>
          <w:szCs w:val="24"/>
        </w:rPr>
        <w:t>, 5(2). 515-523. Retrieved from:</w:t>
      </w:r>
      <w:r>
        <w:rPr>
          <w:rFonts w:ascii="Times New Roman" w:hAnsi="Times New Roman"/>
          <w:sz w:val="24"/>
          <w:szCs w:val="24"/>
        </w:rPr>
        <w:tab/>
      </w:r>
      <w:hyperlink r:id="rId36" w:history="1">
        <w:r w:rsidR="001F48CA">
          <w:rPr>
            <w:rStyle w:val="Hyperlink"/>
            <w:rFonts w:ascii="Times New Roman" w:hAnsi="Times New Roman"/>
            <w:sz w:val="24"/>
            <w:szCs w:val="24"/>
          </w:rPr>
          <w:t>https://www.researchgate.net/publication/228942961_</w:t>
        </w:r>
      </w:hyperlink>
    </w:p>
    <w:p w14:paraId="32EAD840" w14:textId="77777777" w:rsidR="001F48CA" w:rsidRDefault="00000000">
      <w:pPr>
        <w:spacing w:line="360" w:lineRule="auto"/>
        <w:jc w:val="both"/>
      </w:pPr>
      <w:proofErr w:type="spellStart"/>
      <w:r>
        <w:rPr>
          <w:rFonts w:ascii="Times New Roman" w:hAnsi="Times New Roman"/>
          <w:sz w:val="24"/>
          <w:szCs w:val="24"/>
        </w:rPr>
        <w:t>Sahut</w:t>
      </w:r>
      <w:proofErr w:type="spellEnd"/>
      <w:r>
        <w:rPr>
          <w:rFonts w:ascii="Times New Roman" w:hAnsi="Times New Roman"/>
          <w:sz w:val="24"/>
          <w:szCs w:val="24"/>
        </w:rPr>
        <w:t xml:space="preserve">, J. M., &amp;Gharbi, O.H. (2010). Institutional investors' typology and firm </w:t>
      </w:r>
      <w:r>
        <w:rPr>
          <w:rFonts w:ascii="Times New Roman" w:hAnsi="Times New Roman"/>
          <w:sz w:val="24"/>
          <w:szCs w:val="24"/>
        </w:rPr>
        <w:tab/>
        <w:t>performance: The</w:t>
      </w:r>
      <w:r>
        <w:rPr>
          <w:rFonts w:ascii="Times New Roman" w:hAnsi="Times New Roman"/>
          <w:sz w:val="24"/>
          <w:szCs w:val="24"/>
        </w:rPr>
        <w:tab/>
        <w:t xml:space="preserve">case of French firms. </w:t>
      </w:r>
      <w:r>
        <w:rPr>
          <w:rFonts w:ascii="Times New Roman" w:hAnsi="Times New Roman"/>
          <w:i/>
          <w:iCs/>
          <w:sz w:val="24"/>
          <w:szCs w:val="24"/>
        </w:rPr>
        <w:t>International Journal of Business,</w:t>
      </w:r>
      <w:r>
        <w:rPr>
          <w:rFonts w:ascii="Times New Roman" w:hAnsi="Times New Roman"/>
          <w:sz w:val="24"/>
          <w:szCs w:val="24"/>
        </w:rPr>
        <w:t xml:space="preserve"> 15(1), </w:t>
      </w:r>
      <w:r>
        <w:rPr>
          <w:rFonts w:ascii="Times New Roman" w:hAnsi="Times New Roman"/>
          <w:sz w:val="24"/>
          <w:szCs w:val="24"/>
        </w:rPr>
        <w:tab/>
        <w:t xml:space="preserve">1083-4346. Available at SSRN: </w:t>
      </w:r>
      <w:hyperlink r:id="rId37" w:history="1">
        <w:r w:rsidR="001F48CA">
          <w:rPr>
            <w:rStyle w:val="Hyperlink"/>
            <w:rFonts w:ascii="Times New Roman" w:hAnsi="Times New Roman"/>
            <w:sz w:val="24"/>
            <w:szCs w:val="24"/>
          </w:rPr>
          <w:t>https://ssrn.com/abstract=1735831</w:t>
        </w:r>
      </w:hyperlink>
    </w:p>
    <w:p w14:paraId="7676DF45" w14:textId="77777777" w:rsidR="001F48CA" w:rsidRDefault="00000000">
      <w:pPr>
        <w:spacing w:line="360" w:lineRule="auto"/>
        <w:jc w:val="both"/>
      </w:pPr>
      <w:r>
        <w:rPr>
          <w:rFonts w:ascii="Times New Roman" w:hAnsi="Times New Roman"/>
          <w:sz w:val="24"/>
          <w:szCs w:val="24"/>
        </w:rPr>
        <w:t xml:space="preserve">Shehu, H. U., &amp; Jubril, L. Y. (2012). Ownership concentration and earnings management </w:t>
      </w:r>
      <w:r>
        <w:rPr>
          <w:rFonts w:ascii="Times New Roman" w:hAnsi="Times New Roman"/>
          <w:sz w:val="24"/>
          <w:szCs w:val="24"/>
        </w:rPr>
        <w:tab/>
        <w:t>practice of</w:t>
      </w:r>
      <w:r>
        <w:rPr>
          <w:rFonts w:ascii="Times New Roman" w:hAnsi="Times New Roman"/>
          <w:sz w:val="24"/>
          <w:szCs w:val="24"/>
        </w:rPr>
        <w:tab/>
        <w:t xml:space="preserve">Nigerian listed conglomerates. </w:t>
      </w:r>
      <w:r>
        <w:rPr>
          <w:rFonts w:ascii="Times New Roman" w:hAnsi="Times New Roman"/>
          <w:i/>
          <w:iCs/>
          <w:sz w:val="24"/>
          <w:szCs w:val="24"/>
        </w:rPr>
        <w:t xml:space="preserve">American International Journal of </w:t>
      </w:r>
      <w:r>
        <w:rPr>
          <w:rFonts w:ascii="Times New Roman" w:hAnsi="Times New Roman"/>
          <w:i/>
          <w:iCs/>
          <w:sz w:val="24"/>
          <w:szCs w:val="24"/>
        </w:rPr>
        <w:tab/>
        <w:t>Contemporary Research</w:t>
      </w:r>
      <w:r>
        <w:rPr>
          <w:rFonts w:ascii="Times New Roman" w:hAnsi="Times New Roman"/>
          <w:sz w:val="24"/>
          <w:szCs w:val="24"/>
        </w:rPr>
        <w:t xml:space="preserve">, 2(7), 1-15. Retrieved from: </w:t>
      </w:r>
      <w:r>
        <w:rPr>
          <w:rFonts w:ascii="Times New Roman" w:hAnsi="Times New Roman"/>
          <w:sz w:val="24"/>
          <w:szCs w:val="24"/>
        </w:rPr>
        <w:tab/>
      </w:r>
      <w:hyperlink r:id="rId38" w:history="1">
        <w:r w:rsidR="001F48CA">
          <w:rPr>
            <w:rStyle w:val="Hyperlink"/>
            <w:rFonts w:ascii="Times New Roman" w:hAnsi="Times New Roman"/>
            <w:sz w:val="24"/>
            <w:szCs w:val="24"/>
          </w:rPr>
          <w:t>http://www.aijcrnet.com/journals/Vol_2_No_7_July_2012/19.pdf</w:t>
        </w:r>
      </w:hyperlink>
    </w:p>
    <w:p w14:paraId="496059F8" w14:textId="77777777" w:rsidR="001F48CA" w:rsidRDefault="00000000">
      <w:pPr>
        <w:spacing w:line="360" w:lineRule="auto"/>
        <w:jc w:val="both"/>
      </w:pPr>
      <w:r>
        <w:rPr>
          <w:rFonts w:ascii="Times New Roman" w:hAnsi="Times New Roman"/>
          <w:sz w:val="24"/>
          <w:szCs w:val="24"/>
        </w:rPr>
        <w:t xml:space="preserve">Wang, K. &amp; Shailer, G. (2015). Ownership concentration and firm performance in </w:t>
      </w:r>
      <w:r>
        <w:rPr>
          <w:rFonts w:ascii="Times New Roman" w:hAnsi="Times New Roman"/>
          <w:sz w:val="24"/>
          <w:szCs w:val="24"/>
        </w:rPr>
        <w:tab/>
        <w:t xml:space="preserve">emerging markets: A meta-analysis. </w:t>
      </w:r>
      <w:r>
        <w:rPr>
          <w:rFonts w:ascii="Times New Roman" w:hAnsi="Times New Roman"/>
          <w:i/>
          <w:iCs/>
          <w:sz w:val="24"/>
          <w:szCs w:val="24"/>
        </w:rPr>
        <w:t>Journal of Economic Surveys</w:t>
      </w:r>
      <w:r>
        <w:rPr>
          <w:rFonts w:ascii="Times New Roman" w:hAnsi="Times New Roman"/>
          <w:sz w:val="24"/>
          <w:szCs w:val="24"/>
        </w:rPr>
        <w:t xml:space="preserve">. 29. 199-229. </w:t>
      </w:r>
      <w:r>
        <w:rPr>
          <w:rFonts w:ascii="Times New Roman" w:hAnsi="Times New Roman"/>
          <w:sz w:val="24"/>
          <w:szCs w:val="24"/>
        </w:rPr>
        <w:tab/>
      </w:r>
      <w:hyperlink r:id="rId39" w:history="1">
        <w:r w:rsidR="001F48CA">
          <w:rPr>
            <w:rStyle w:val="Hyperlink"/>
            <w:rFonts w:ascii="Times New Roman" w:hAnsi="Times New Roman"/>
            <w:sz w:val="24"/>
            <w:szCs w:val="24"/>
          </w:rPr>
          <w:t>https://doi.org/10.1111/joes.12048</w:t>
        </w:r>
      </w:hyperlink>
      <w:r>
        <w:rPr>
          <w:rFonts w:ascii="Times New Roman" w:hAnsi="Times New Roman"/>
          <w:sz w:val="24"/>
          <w:szCs w:val="24"/>
        </w:rPr>
        <w:t>.</w:t>
      </w:r>
    </w:p>
    <w:p w14:paraId="10685B55" w14:textId="77777777" w:rsidR="001F48CA" w:rsidRDefault="00000000">
      <w:pPr>
        <w:spacing w:line="360" w:lineRule="auto"/>
        <w:jc w:val="both"/>
      </w:pPr>
      <w:r>
        <w:rPr>
          <w:rFonts w:ascii="Times New Roman" w:hAnsi="Times New Roman"/>
          <w:sz w:val="24"/>
          <w:szCs w:val="24"/>
        </w:rPr>
        <w:t xml:space="preserve">Yang, C., Lai, H. and </w:t>
      </w:r>
      <w:proofErr w:type="spellStart"/>
      <w:r>
        <w:rPr>
          <w:rFonts w:ascii="Times New Roman" w:hAnsi="Times New Roman"/>
          <w:sz w:val="24"/>
          <w:szCs w:val="24"/>
        </w:rPr>
        <w:t>Leing</w:t>
      </w:r>
      <w:proofErr w:type="spellEnd"/>
      <w:r>
        <w:rPr>
          <w:rFonts w:ascii="Times New Roman" w:hAnsi="Times New Roman"/>
          <w:sz w:val="24"/>
          <w:szCs w:val="24"/>
        </w:rPr>
        <w:t xml:space="preserve"> Tan, B. (2008), "Managerial ownership structure and </w:t>
      </w:r>
      <w:r>
        <w:rPr>
          <w:rFonts w:ascii="Times New Roman" w:hAnsi="Times New Roman"/>
          <w:sz w:val="24"/>
          <w:szCs w:val="24"/>
        </w:rPr>
        <w:tab/>
        <w:t>earnings</w:t>
      </w:r>
      <w:r>
        <w:rPr>
          <w:rFonts w:ascii="Times New Roman" w:hAnsi="Times New Roman"/>
          <w:sz w:val="24"/>
          <w:szCs w:val="24"/>
        </w:rPr>
        <w:tab/>
        <w:t xml:space="preserve">management", </w:t>
      </w:r>
      <w:r>
        <w:rPr>
          <w:rFonts w:ascii="Times New Roman" w:hAnsi="Times New Roman"/>
          <w:i/>
          <w:iCs/>
          <w:sz w:val="24"/>
          <w:szCs w:val="24"/>
        </w:rPr>
        <w:t>Journal of Financial Reporting and Accounting</w:t>
      </w:r>
      <w:r>
        <w:rPr>
          <w:rFonts w:ascii="Times New Roman" w:hAnsi="Times New Roman"/>
          <w:sz w:val="24"/>
          <w:szCs w:val="24"/>
        </w:rPr>
        <w:t>, 6(1), 35-</w:t>
      </w:r>
      <w:r>
        <w:rPr>
          <w:rFonts w:ascii="Times New Roman" w:hAnsi="Times New Roman"/>
          <w:sz w:val="24"/>
          <w:szCs w:val="24"/>
        </w:rPr>
        <w:tab/>
        <w:t>53.</w:t>
      </w:r>
      <w:r>
        <w:rPr>
          <w:rFonts w:ascii="Times New Roman" w:hAnsi="Times New Roman"/>
          <w:sz w:val="24"/>
          <w:szCs w:val="24"/>
        </w:rPr>
        <w:tab/>
      </w:r>
      <w:hyperlink r:id="rId40" w:history="1">
        <w:r w:rsidR="001F48CA">
          <w:rPr>
            <w:rStyle w:val="Hyperlink"/>
            <w:rFonts w:ascii="Times New Roman" w:hAnsi="Times New Roman"/>
            <w:sz w:val="24"/>
            <w:szCs w:val="24"/>
          </w:rPr>
          <w:t>https://doi.org/10.1108/19852510880000634</w:t>
        </w:r>
      </w:hyperlink>
    </w:p>
    <w:p w14:paraId="0E84965C" w14:textId="77777777" w:rsidR="001F48CA" w:rsidRDefault="00000000">
      <w:pPr>
        <w:spacing w:line="360" w:lineRule="auto"/>
        <w:jc w:val="both"/>
      </w:pPr>
      <w:r>
        <w:rPr>
          <w:rFonts w:ascii="Times New Roman" w:hAnsi="Times New Roman"/>
          <w:sz w:val="24"/>
          <w:szCs w:val="24"/>
        </w:rPr>
        <w:t xml:space="preserve">Yermack, D. (1996). High market valuation of companies with a small board of directors. </w:t>
      </w:r>
      <w:r>
        <w:rPr>
          <w:rFonts w:ascii="Times New Roman" w:hAnsi="Times New Roman"/>
          <w:sz w:val="24"/>
          <w:szCs w:val="24"/>
        </w:rPr>
        <w:tab/>
      </w:r>
      <w:r>
        <w:rPr>
          <w:rFonts w:ascii="Times New Roman" w:hAnsi="Times New Roman"/>
          <w:i/>
          <w:iCs/>
          <w:sz w:val="24"/>
          <w:szCs w:val="24"/>
        </w:rPr>
        <w:t>Journal of Financial Economics</w:t>
      </w:r>
      <w:r>
        <w:rPr>
          <w:rFonts w:ascii="Times New Roman" w:hAnsi="Times New Roman"/>
          <w:sz w:val="24"/>
          <w:szCs w:val="24"/>
        </w:rPr>
        <w:t>, 40, 185-211.</w:t>
      </w:r>
      <w:r>
        <w:rPr>
          <w:rFonts w:ascii="Times New Roman" w:hAnsi="Times New Roman"/>
          <w:sz w:val="24"/>
          <w:szCs w:val="24"/>
        </w:rPr>
        <w:tab/>
      </w:r>
      <w:hyperlink r:id="rId41" w:history="1">
        <w:r w:rsidR="001F48CA">
          <w:rPr>
            <w:rStyle w:val="Hyperlink"/>
            <w:rFonts w:ascii="Times New Roman" w:hAnsi="Times New Roman"/>
            <w:sz w:val="24"/>
            <w:szCs w:val="24"/>
          </w:rPr>
          <w:t>http://dx.doi.org/10.1016/0304405X(95)00844-5</w:t>
        </w:r>
      </w:hyperlink>
    </w:p>
    <w:p w14:paraId="0F891008" w14:textId="77777777" w:rsidR="001F48CA" w:rsidRDefault="00000000">
      <w:pPr>
        <w:spacing w:line="360" w:lineRule="auto"/>
        <w:jc w:val="both"/>
      </w:pPr>
      <w:r>
        <w:rPr>
          <w:rFonts w:ascii="Times New Roman" w:hAnsi="Times New Roman"/>
          <w:sz w:val="24"/>
          <w:szCs w:val="24"/>
        </w:rPr>
        <w:lastRenderedPageBreak/>
        <w:t xml:space="preserve">Zhang, Hui &amp; Kyaw, Khine. (2016), Ownership Structure and Firm Performance: An </w:t>
      </w:r>
      <w:r>
        <w:rPr>
          <w:rFonts w:ascii="Times New Roman" w:hAnsi="Times New Roman"/>
          <w:sz w:val="24"/>
          <w:szCs w:val="24"/>
        </w:rPr>
        <w:tab/>
        <w:t>Empirical</w:t>
      </w:r>
      <w:r>
        <w:rPr>
          <w:rFonts w:ascii="Times New Roman" w:hAnsi="Times New Roman"/>
          <w:sz w:val="24"/>
          <w:szCs w:val="24"/>
        </w:rPr>
        <w:tab/>
        <w:t xml:space="preserve">Analysis of </w:t>
      </w:r>
      <w:proofErr w:type="spellStart"/>
      <w:r>
        <w:rPr>
          <w:rFonts w:ascii="Times New Roman" w:hAnsi="Times New Roman"/>
          <w:sz w:val="24"/>
          <w:szCs w:val="24"/>
        </w:rPr>
        <w:t>ChiASnese</w:t>
      </w:r>
      <w:proofErr w:type="spellEnd"/>
      <w:r>
        <w:rPr>
          <w:rFonts w:ascii="Times New Roman" w:hAnsi="Times New Roman"/>
          <w:sz w:val="24"/>
          <w:szCs w:val="24"/>
        </w:rPr>
        <w:t xml:space="preserve"> Companies. </w:t>
      </w:r>
      <w:r>
        <w:rPr>
          <w:rFonts w:ascii="Times New Roman" w:hAnsi="Times New Roman"/>
          <w:i/>
          <w:iCs/>
          <w:sz w:val="24"/>
          <w:szCs w:val="24"/>
        </w:rPr>
        <w:t>Applied Economics and Finance.</w:t>
      </w:r>
      <w:r>
        <w:rPr>
          <w:rFonts w:ascii="Times New Roman" w:hAnsi="Times New Roman"/>
          <w:sz w:val="24"/>
          <w:szCs w:val="24"/>
        </w:rPr>
        <w:tab/>
        <w:t>4. 57.</w:t>
      </w:r>
      <w:r>
        <w:rPr>
          <w:rFonts w:ascii="Times New Roman" w:hAnsi="Times New Roman"/>
          <w:sz w:val="24"/>
          <w:szCs w:val="24"/>
        </w:rPr>
        <w:tab/>
      </w:r>
      <w:hyperlink r:id="rId42" w:history="1">
        <w:r w:rsidR="001F48CA">
          <w:rPr>
            <w:rStyle w:val="Hyperlink"/>
            <w:rFonts w:ascii="Times New Roman" w:hAnsi="Times New Roman"/>
            <w:sz w:val="24"/>
            <w:szCs w:val="24"/>
          </w:rPr>
          <w:t>https://doi.org/10.11114/aef.v4i2.2109.PQDF</w:t>
        </w:r>
      </w:hyperlink>
    </w:p>
    <w:p w14:paraId="1838B6C2" w14:textId="77777777" w:rsidR="001F48CA" w:rsidRDefault="001F48CA">
      <w:pPr>
        <w:spacing w:line="360" w:lineRule="auto"/>
        <w:jc w:val="both"/>
        <w:rPr>
          <w:rFonts w:ascii="Times New Roman" w:hAnsi="Times New Roman"/>
          <w:sz w:val="24"/>
          <w:szCs w:val="24"/>
        </w:rPr>
      </w:pPr>
    </w:p>
    <w:p w14:paraId="52C7FEA0" w14:textId="77777777" w:rsidR="001F48CA" w:rsidRDefault="001F48CA">
      <w:pPr>
        <w:spacing w:line="360" w:lineRule="auto"/>
        <w:jc w:val="both"/>
        <w:rPr>
          <w:rFonts w:ascii="Times New Roman" w:hAnsi="Times New Roman"/>
          <w:b/>
          <w:bCs/>
          <w:sz w:val="24"/>
          <w:szCs w:val="24"/>
        </w:rPr>
      </w:pPr>
    </w:p>
    <w:sectPr w:rsidR="001F48CA">
      <w:headerReference w:type="even" r:id="rId43"/>
      <w:headerReference w:type="default" r:id="rId44"/>
      <w:footerReference w:type="even" r:id="rId45"/>
      <w:footerReference w:type="default" r:id="rId46"/>
      <w:headerReference w:type="first" r:id="rId47"/>
      <w:footerReference w:type="first" r:id="rId48"/>
      <w:pgSz w:w="11906" w:h="16838"/>
      <w:pgMar w:top="1440" w:right="1440" w:bottom="1440" w:left="1440" w:header="720" w:footer="720"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2D4880C3" w14:textId="77777777" w:rsidR="008D456D" w:rsidRDefault="008D456D">
      <w:pPr>
        <w:spacing w:line="240" w:lineRule="auto"/>
      </w:pPr>
      <w:r>
        <w:separator/>
      </w:r>
    </w:p>
  </w:endnote>
  <w:endnote w:type="continuationSeparator" w:id="0">
    <w:p w14:paraId="49BF0EF5" w14:textId="77777777" w:rsidR="008D456D" w:rsidRDefault="008D456D">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 w:name="DengXian">
    <w:altName w:val="等线"/>
    <w:panose1 w:val="02010600030101010101"/>
    <w:charset w:val="86"/>
    <w:family w:val="auto"/>
    <w:pitch w:val="variable"/>
    <w:sig w:usb0="A00002BF" w:usb1="38CF7CFA" w:usb2="00000016" w:usb3="00000000" w:csb0="0004000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3002F1D" w14:textId="77777777" w:rsidR="003F1EF4" w:rsidRDefault="003F1EF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D72FBFA" w14:textId="77777777" w:rsidR="003F1EF4" w:rsidRDefault="003F1EF4">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44A0608" w14:textId="77777777" w:rsidR="003F1EF4" w:rsidRDefault="003F1EF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124BC93" w14:textId="77777777" w:rsidR="008D456D" w:rsidRDefault="008D456D">
      <w:pPr>
        <w:spacing w:after="0"/>
      </w:pPr>
      <w:r>
        <w:separator/>
      </w:r>
    </w:p>
  </w:footnote>
  <w:footnote w:type="continuationSeparator" w:id="0">
    <w:p w14:paraId="18872658" w14:textId="77777777" w:rsidR="008D456D" w:rsidRDefault="008D456D">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628ABDC" w14:textId="5022C7C8" w:rsidR="003F1EF4" w:rsidRDefault="003F1EF4">
    <w:pPr>
      <w:pStyle w:val="Header"/>
    </w:pPr>
    <w:r>
      <w:rPr>
        <w:noProof/>
      </w:rPr>
      <w:pict w14:anchorId="0F4E7673">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00438" o:spid="_x0000_s1026" type="#_x0000_t136" style="position:absolute;margin-left:0;margin-top:0;width:535.8pt;height:100.45pt;rotation:315;z-index:-251655168;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96F759A" w14:textId="7AD8D6B5" w:rsidR="003F1EF4" w:rsidRDefault="003F1EF4">
    <w:pPr>
      <w:pStyle w:val="Header"/>
    </w:pPr>
    <w:r>
      <w:rPr>
        <w:noProof/>
      </w:rPr>
      <w:pict w14:anchorId="79382B0F">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00439" o:spid="_x0000_s1027" type="#_x0000_t136" style="position:absolute;margin-left:0;margin-top:0;width:535.8pt;height:100.45pt;rotation:315;z-index:-251653120;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1CC57A" w14:textId="06B0A341" w:rsidR="003F1EF4" w:rsidRDefault="003F1EF4">
    <w:pPr>
      <w:pStyle w:val="Header"/>
    </w:pPr>
    <w:r>
      <w:rPr>
        <w:noProof/>
      </w:rPr>
      <w:pict w14:anchorId="626639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1500437" o:spid="_x0000_s1025" type="#_x0000_t136" style="position:absolute;margin-left:0;margin-top:0;width:535.8pt;height:100.45pt;rotation:315;z-index:-251657216;mso-position-horizontal:center;mso-position-horizontal-relative:margin;mso-position-vertical:center;mso-position-vertical-relative:margin" o:allowincell="f" fillcolor="silver" stroked="f">
          <v:fill opacity=".5"/>
          <v:textpath style="font-family:&quot;Calibri&quot;;font-size:1pt" string="UNDER PEER REVIEW"/>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80"/>
  <w:proofState w:spelling="clean" w:grammar="clean"/>
  <w:defaultTabStop w:val="720"/>
  <w:autoHyphenation/>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6A77"/>
    <w:rsid w:val="00012961"/>
    <w:rsid w:val="001F48CA"/>
    <w:rsid w:val="003A2B14"/>
    <w:rsid w:val="003B1F9E"/>
    <w:rsid w:val="003C3F9B"/>
    <w:rsid w:val="003F1EF4"/>
    <w:rsid w:val="00510E45"/>
    <w:rsid w:val="00546F4E"/>
    <w:rsid w:val="006026F5"/>
    <w:rsid w:val="006C19E8"/>
    <w:rsid w:val="00720A32"/>
    <w:rsid w:val="007C5B13"/>
    <w:rsid w:val="008D456D"/>
    <w:rsid w:val="00920045"/>
    <w:rsid w:val="00966A77"/>
    <w:rsid w:val="00A01C6A"/>
    <w:rsid w:val="00A417F5"/>
    <w:rsid w:val="00AD0DB4"/>
    <w:rsid w:val="00C13BE7"/>
    <w:rsid w:val="00C1723F"/>
    <w:rsid w:val="00D97F6B"/>
    <w:rsid w:val="00E11596"/>
    <w:rsid w:val="00FB3E70"/>
    <w:rsid w:val="01002A0E"/>
    <w:rsid w:val="70D47D45"/>
  </w:rsids>
  <m:mathPr>
    <m:mathFont m:val="Cambria Math"/>
    <m:brkBin m:val="before"/>
    <m:brkBinSub m:val="--"/>
    <m:smallFrac m:val="0"/>
    <m:dispDef/>
    <m:lMargin m:val="0"/>
    <m:rMargin m:val="0"/>
    <m:defJc m:val="centerGroup"/>
    <m:wrapIndent m:val="1440"/>
    <m:intLim m:val="subSup"/>
    <m:naryLim m:val="undOvr"/>
  </m:mathPr>
  <w:themeFontLang w:val="en-GB"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6F89957"/>
  <w15:docId w15:val="{0335A4EA-B74C-4EAA-AAB3-862BA15DF4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GB" w:eastAsia="en-GB"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qFormat="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uiPriority="0" w:qFormat="1"/>
    <w:lsdException w:name="FollowedHyperlink" w:uiPriority="0" w:qFormat="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nhideWhenUsed="1"/>
    <w:lsdException w:name="No Spacing" w:semiHidden="1" w:unhideWhenUsed="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nhideWhenUsed="1"/>
    <w:lsdException w:name="List Paragraph" w:uiPriority="0" w:qFormat="1"/>
    <w:lsdException w:name="Quote" w:semiHidden="1" w:unhideWhenUsed="1"/>
    <w:lsdException w:name="Intense Quote" w:semiHidden="1" w:unhideWhenUsed="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autoSpaceDN w:val="0"/>
      <w:spacing w:after="160" w:line="249" w:lineRule="auto"/>
      <w:textAlignment w:val="baseline"/>
    </w:pPr>
    <w:rPr>
      <w:kern w:val="3"/>
      <w:sz w:val="22"/>
      <w:szCs w:val="22"/>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FollowedHyperlink">
    <w:name w:val="FollowedHyperlink"/>
    <w:basedOn w:val="DefaultParagraphFont"/>
    <w:qFormat/>
    <w:rPr>
      <w:color w:val="954F72"/>
      <w:u w:val="single"/>
    </w:rPr>
  </w:style>
  <w:style w:type="character" w:styleId="Hyperlink">
    <w:name w:val="Hyperlink"/>
    <w:basedOn w:val="DefaultParagraphFont"/>
    <w:qFormat/>
    <w:rPr>
      <w:color w:val="0563C1"/>
      <w:u w:val="single"/>
    </w:rPr>
  </w:style>
  <w:style w:type="paragraph" w:styleId="ListParagraph">
    <w:name w:val="List Paragraph"/>
    <w:basedOn w:val="Normal"/>
    <w:qFormat/>
    <w:pPr>
      <w:ind w:left="720"/>
    </w:pPr>
  </w:style>
  <w:style w:type="character" w:customStyle="1" w:styleId="UnresolvedMention1">
    <w:name w:val="Unresolved Mention1"/>
    <w:basedOn w:val="DefaultParagraphFont"/>
    <w:qFormat/>
    <w:rPr>
      <w:color w:val="605E5C"/>
      <w:shd w:val="clear" w:color="auto" w:fill="E1DFDD"/>
    </w:rPr>
  </w:style>
  <w:style w:type="character" w:styleId="UnresolvedMention">
    <w:name w:val="Unresolved Mention"/>
    <w:basedOn w:val="DefaultParagraphFont"/>
    <w:uiPriority w:val="99"/>
    <w:semiHidden/>
    <w:unhideWhenUsed/>
    <w:rsid w:val="00D97F6B"/>
    <w:rPr>
      <w:color w:val="605E5C"/>
      <w:shd w:val="clear" w:color="auto" w:fill="E1DFDD"/>
    </w:rPr>
  </w:style>
  <w:style w:type="paragraph" w:styleId="Header">
    <w:name w:val="header"/>
    <w:basedOn w:val="Normal"/>
    <w:link w:val="HeaderChar"/>
    <w:uiPriority w:val="99"/>
    <w:unhideWhenUsed/>
    <w:rsid w:val="003F1EF4"/>
    <w:pPr>
      <w:tabs>
        <w:tab w:val="center" w:pos="4680"/>
        <w:tab w:val="right" w:pos="9360"/>
      </w:tabs>
      <w:spacing w:after="0" w:line="240" w:lineRule="auto"/>
    </w:pPr>
  </w:style>
  <w:style w:type="character" w:customStyle="1" w:styleId="HeaderChar">
    <w:name w:val="Header Char"/>
    <w:basedOn w:val="DefaultParagraphFont"/>
    <w:link w:val="Header"/>
    <w:uiPriority w:val="99"/>
    <w:rsid w:val="003F1EF4"/>
    <w:rPr>
      <w:kern w:val="3"/>
      <w:sz w:val="22"/>
      <w:szCs w:val="22"/>
      <w:lang w:eastAsia="en-US"/>
    </w:rPr>
  </w:style>
  <w:style w:type="paragraph" w:styleId="Footer">
    <w:name w:val="footer"/>
    <w:basedOn w:val="Normal"/>
    <w:link w:val="FooterChar"/>
    <w:uiPriority w:val="99"/>
    <w:unhideWhenUsed/>
    <w:rsid w:val="003F1EF4"/>
    <w:pPr>
      <w:tabs>
        <w:tab w:val="center" w:pos="4680"/>
        <w:tab w:val="right" w:pos="9360"/>
      </w:tabs>
      <w:spacing w:after="0" w:line="240" w:lineRule="auto"/>
    </w:pPr>
  </w:style>
  <w:style w:type="character" w:customStyle="1" w:styleId="FooterChar">
    <w:name w:val="Footer Char"/>
    <w:basedOn w:val="DefaultParagraphFont"/>
    <w:link w:val="Footer"/>
    <w:uiPriority w:val="99"/>
    <w:rsid w:val="003F1EF4"/>
    <w:rPr>
      <w:kern w:val="3"/>
      <w:sz w:val="22"/>
      <w:szCs w:val="22"/>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13" Type="http://schemas.openxmlformats.org/officeDocument/2006/relationships/hyperlink" Target="https://doi.org/10.33005/jasf.v2i1.54" TargetMode="External"/><Relationship Id="rId18" Type="http://schemas.openxmlformats.org/officeDocument/2006/relationships/hyperlink" Target="https://doi.org/10.1016/j.pacfin.2014.04.007" TargetMode="External"/><Relationship Id="rId26" Type="http://schemas.openxmlformats.org/officeDocument/2006/relationships/hyperlink" Target="https://doi.org/10.1016/j.intaccaudtax.2007.01.003" TargetMode="External"/><Relationship Id="rId39" Type="http://schemas.openxmlformats.org/officeDocument/2006/relationships/hyperlink" Target="https://doi.org/10.1111/joes.12048" TargetMode="External"/><Relationship Id="rId3" Type="http://schemas.openxmlformats.org/officeDocument/2006/relationships/webSettings" Target="webSettings.xml"/><Relationship Id="rId21" Type="http://schemas.openxmlformats.org/officeDocument/2006/relationships/hyperlink" Target="https://www.academia.edu/35183708" TargetMode="External"/><Relationship Id="rId34" Type="http://schemas.openxmlformats.org/officeDocument/2006/relationships/hyperlink" Target="https://doi.org/10.1108/IJOA-08-2015-0894" TargetMode="External"/><Relationship Id="rId42" Type="http://schemas.openxmlformats.org/officeDocument/2006/relationships/hyperlink" Target="https://doi.org/10.11114/aef.v4i2.2109.PQDF" TargetMode="External"/><Relationship Id="rId47" Type="http://schemas.openxmlformats.org/officeDocument/2006/relationships/header" Target="header3.xml"/><Relationship Id="rId50" Type="http://schemas.openxmlformats.org/officeDocument/2006/relationships/theme" Target="theme/theme1.xml"/><Relationship Id="rId7" Type="http://schemas.openxmlformats.org/officeDocument/2006/relationships/hyperlink" Target="https://doi.org/10.2139/ssrn.595138" TargetMode="External"/><Relationship Id="rId12" Type="http://schemas.openxmlformats.org/officeDocument/2006/relationships/hyperlink" Target="https://ijbssnet.com/journals/Vol._2_No._13_Special_Issue_July_2011/6.pdf" TargetMode="External"/><Relationship Id="rId17" Type="http://schemas.openxmlformats.org/officeDocument/2006/relationships/hyperlink" Target="https://doi.org/10.1016/j.intaccaudtax.2010.07.002" TargetMode="External"/><Relationship Id="rId25" Type="http://schemas.openxmlformats.org/officeDocument/2006/relationships/hyperlink" Target="https://doi.org/10.1016/j.cjar.2015.11.001" TargetMode="External"/><Relationship Id="rId33" Type="http://schemas.openxmlformats.org/officeDocument/2006/relationships/hyperlink" Target="http://www.sciencedirect.com/science/article/pii/S0929-1199(03)00025-7" TargetMode="External"/><Relationship Id="rId38" Type="http://schemas.openxmlformats.org/officeDocument/2006/relationships/hyperlink" Target="http://www.aijcrnet.com/journals/Vol_2_No_7_July_2012/19.pdf" TargetMode="External"/><Relationship Id="rId46" Type="http://schemas.openxmlformats.org/officeDocument/2006/relationships/footer" Target="footer2.xml"/><Relationship Id="rId2" Type="http://schemas.openxmlformats.org/officeDocument/2006/relationships/settings" Target="settings.xml"/><Relationship Id="rId16" Type="http://schemas.openxmlformats.org/officeDocument/2006/relationships/hyperlink" Target="https://doi.org/10.1016/j.irfa.2014.02.004" TargetMode="External"/><Relationship Id="rId20" Type="http://schemas.openxmlformats.org/officeDocument/2006/relationships/hyperlink" Target="https://doi.org/10.1016/j.finmar.2010.05.001" TargetMode="External"/><Relationship Id="rId29" Type="http://schemas.openxmlformats.org/officeDocument/2006/relationships/hyperlink" Target="http://www.sciencedirect.com/science/article/pii/S0929-1199(07)00058-2" TargetMode="External"/><Relationship Id="rId41" Type="http://schemas.openxmlformats.org/officeDocument/2006/relationships/hyperlink" Target="http://dx.doi.org/10.1016/0304405X(95)00844-5" TargetMode="External"/><Relationship Id="rId1" Type="http://schemas.openxmlformats.org/officeDocument/2006/relationships/styles" Target="styles.xml"/><Relationship Id="rId6" Type="http://schemas.openxmlformats.org/officeDocument/2006/relationships/hyperlink" Target="https://ijecm.co.uk/wp-content/uploads/2016/01/4130.pdf" TargetMode="External"/><Relationship Id="rId11" Type="http://schemas.openxmlformats.org/officeDocument/2006/relationships/hyperlink" Target="https://ssrn.com/abstract=2945299" TargetMode="External"/><Relationship Id="rId24" Type="http://schemas.openxmlformats.org/officeDocument/2006/relationships/hyperlink" Target="https://ideas.repec.org/a/fma/fmanag/hermalin91.html" TargetMode="External"/><Relationship Id="rId32" Type="http://schemas.openxmlformats.org/officeDocument/2006/relationships/hyperlink" Target="https://doi.org/10.1177/2278533720910842" TargetMode="External"/><Relationship Id="rId37" Type="http://schemas.openxmlformats.org/officeDocument/2006/relationships/hyperlink" Target="https://ssrn.com/abstract=1735831" TargetMode="External"/><Relationship Id="rId40" Type="http://schemas.openxmlformats.org/officeDocument/2006/relationships/hyperlink" Target="https://doi.org/10.1108/19852510880000634" TargetMode="External"/><Relationship Id="rId45" Type="http://schemas.openxmlformats.org/officeDocument/2006/relationships/footer" Target="footer1.xml"/><Relationship Id="rId5" Type="http://schemas.openxmlformats.org/officeDocument/2006/relationships/endnotes" Target="endnotes.xml"/><Relationship Id="rId15" Type="http://schemas.openxmlformats.org/officeDocument/2006/relationships/hyperlink" Target="https://doi.org/10.2307/1229459" TargetMode="External"/><Relationship Id="rId23" Type="http://schemas.openxmlformats.org/officeDocument/2006/relationships/hyperlink" Target="https://doi.org/10.1016/01486195(94)90017-5" TargetMode="External"/><Relationship Id="rId28" Type="http://schemas.openxmlformats.org/officeDocument/2006/relationships/hyperlink" Target="https://doi.org/10.1016/0304-405X(76)90026-X" TargetMode="External"/><Relationship Id="rId36" Type="http://schemas.openxmlformats.org/officeDocument/2006/relationships/hyperlink" Target="https://www.researchgate.net/publication/228942961_" TargetMode="External"/><Relationship Id="rId49" Type="http://schemas.openxmlformats.org/officeDocument/2006/relationships/fontTable" Target="fontTable.xml"/><Relationship Id="rId10" Type="http://schemas.openxmlformats.org/officeDocument/2006/relationships/hyperlink" Target="https://doi.org/10.1108/JFRA-05-2021-0130" TargetMode="External"/><Relationship Id="rId19" Type="http://schemas.openxmlformats.org/officeDocument/2006/relationships/hyperlink" Target="https://ideas.repec.org/a/aic/jopafl/y2015vs2p46-60.html" TargetMode="External"/><Relationship Id="rId31" Type="http://schemas.openxmlformats.org/officeDocument/2006/relationships/hyperlink" Target="http://dx.doi.org/10.1016/0304-405X(88)90048-7" TargetMode="External"/><Relationship Id="rId44" Type="http://schemas.openxmlformats.org/officeDocument/2006/relationships/header" Target="header2.xml"/><Relationship Id="rId4" Type="http://schemas.openxmlformats.org/officeDocument/2006/relationships/footnotes" Target="footnotes.xml"/><Relationship Id="rId9" Type="http://schemas.openxmlformats.org/officeDocument/2006/relationships/hyperlink" Target="https://doi.org/10.1080/09638180.2010.506285" TargetMode="External"/><Relationship Id="rId14" Type="http://schemas.openxmlformats.org/officeDocument/2006/relationships/hyperlink" Target="https://doi.org/10.1108/JFRA-07-2017-0051" TargetMode="External"/><Relationship Id="rId22" Type="http://schemas.openxmlformats.org/officeDocument/2006/relationships/hyperlink" Target="http://dx.doi.org/10.2139/ssrn.94034" TargetMode="External"/><Relationship Id="rId27" Type="http://schemas.openxmlformats.org/officeDocument/2006/relationships/hyperlink" Target="https://doi.org/10.1016/j.jaccpubpol.2009.06.002" TargetMode="External"/><Relationship Id="rId30" Type="http://schemas.openxmlformats.org/officeDocument/2006/relationships/hyperlink" Target="https://doi.org/10.1023/A:1013078225905" TargetMode="External"/><Relationship Id="rId35" Type="http://schemas.openxmlformats.org/officeDocument/2006/relationships/hyperlink" Target="https://doi.org/10.1057/s41310-018-0039-x" TargetMode="External"/><Relationship Id="rId43" Type="http://schemas.openxmlformats.org/officeDocument/2006/relationships/header" Target="header1.xml"/><Relationship Id="rId48" Type="http://schemas.openxmlformats.org/officeDocument/2006/relationships/footer" Target="footer3.xml"/><Relationship Id="rId8" Type="http://schemas.openxmlformats.org/officeDocument/2006/relationships/hyperlink" Target="https://doi.org/10.3390/su14127240"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9</TotalTime>
  <Pages>24</Pages>
  <Words>7488</Words>
  <Characters>42682</Characters>
  <Application>Microsoft Office Word</Application>
  <DocSecurity>0</DocSecurity>
  <Lines>355</Lines>
  <Paragraphs>100</Paragraphs>
  <ScaleCrop>false</ScaleCrop>
  <Company/>
  <LinksUpToDate>false</LinksUpToDate>
  <CharactersWithSpaces>50070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Windows</dc:creator>
  <cp:lastModifiedBy>Editor-22</cp:lastModifiedBy>
  <cp:revision>11</cp:revision>
  <dcterms:created xsi:type="dcterms:W3CDTF">2024-11-23T11:32:00Z</dcterms:created>
  <dcterms:modified xsi:type="dcterms:W3CDTF">2025-03-25T08:15:00Z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2057-12.2.0.20326</vt:lpwstr>
  </property>
  <property fmtid="{D5CDD505-2E9C-101B-9397-08002B2CF9AE}" pid="3" name="ICV">
    <vt:lpwstr>A5D09AE086AF4CA0840948DFDC79BEA7_12</vt:lpwstr>
  </property>
</Properties>
</file>