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C934" w14:textId="77777777" w:rsidR="00754C9A" w:rsidRDefault="00754C9A" w:rsidP="00441B6F">
      <w:pPr>
        <w:pStyle w:val="Title"/>
        <w:spacing w:after="0"/>
        <w:jc w:val="both"/>
        <w:rPr>
          <w:rFonts w:ascii="Arial" w:hAnsi="Arial" w:cs="Arial"/>
        </w:rPr>
      </w:pPr>
    </w:p>
    <w:p w14:paraId="7012798C" w14:textId="77777777" w:rsidR="00163BC4" w:rsidRPr="00163BC4" w:rsidRDefault="002F0875" w:rsidP="00441B6F">
      <w:pPr>
        <w:pStyle w:val="Author"/>
        <w:spacing w:line="240" w:lineRule="auto"/>
        <w:rPr>
          <w:rFonts w:ascii="Arial" w:hAnsi="Arial" w:cs="Arial"/>
          <w:bCs/>
          <w:iCs/>
          <w:kern w:val="28"/>
          <w:sz w:val="36"/>
        </w:rPr>
      </w:pPr>
      <w:r>
        <w:rPr>
          <w:rFonts w:ascii="Arial" w:hAnsi="Arial" w:cs="Arial"/>
          <w:bCs/>
          <w:iCs/>
          <w:kern w:val="28"/>
          <w:sz w:val="36"/>
        </w:rPr>
        <w:t>E-Money Transactions as Leading Macroeconomic Indicators</w:t>
      </w:r>
      <w:r w:rsidR="00231920">
        <w:rPr>
          <w:rFonts w:ascii="Arial" w:hAnsi="Arial" w:cs="Arial"/>
          <w:bCs/>
          <w:iCs/>
          <w:kern w:val="28"/>
          <w:sz w:val="36"/>
        </w:rPr>
        <w:t xml:space="preserve"> </w:t>
      </w:r>
    </w:p>
    <w:p w14:paraId="0FCDEFC4" w14:textId="77777777" w:rsidR="00A258C3" w:rsidRPr="00790ADA" w:rsidRDefault="00A258C3" w:rsidP="00441B6F">
      <w:pPr>
        <w:pStyle w:val="Author"/>
        <w:spacing w:line="240" w:lineRule="auto"/>
        <w:jc w:val="both"/>
        <w:rPr>
          <w:rFonts w:ascii="Arial" w:hAnsi="Arial" w:cs="Arial"/>
          <w:sz w:val="36"/>
        </w:rPr>
      </w:pPr>
    </w:p>
    <w:p w14:paraId="5B399F6E" w14:textId="77777777" w:rsidR="00790ADA" w:rsidRDefault="00790ADA" w:rsidP="00441B6F">
      <w:pPr>
        <w:pStyle w:val="Affiliation"/>
        <w:spacing w:after="0" w:line="240" w:lineRule="auto"/>
        <w:jc w:val="both"/>
        <w:rPr>
          <w:rFonts w:ascii="Arial" w:hAnsi="Arial" w:cs="Arial"/>
        </w:rPr>
      </w:pPr>
    </w:p>
    <w:p w14:paraId="4CA625FD" w14:textId="77777777" w:rsidR="002C57D2" w:rsidRPr="00FB3A86" w:rsidRDefault="002C57D2" w:rsidP="00441B6F">
      <w:pPr>
        <w:pStyle w:val="Affiliation"/>
        <w:spacing w:after="0" w:line="240" w:lineRule="auto"/>
        <w:jc w:val="both"/>
        <w:rPr>
          <w:rFonts w:ascii="Arial" w:hAnsi="Arial" w:cs="Arial"/>
        </w:rPr>
      </w:pPr>
    </w:p>
    <w:p w14:paraId="1D0C2B63" w14:textId="77777777" w:rsidR="00B01FCD" w:rsidRPr="00FB3A86" w:rsidRDefault="00617F66" w:rsidP="00441B6F">
      <w:pPr>
        <w:pStyle w:val="Copyright"/>
        <w:spacing w:after="0" w:line="240" w:lineRule="auto"/>
        <w:jc w:val="both"/>
        <w:rPr>
          <w:rFonts w:ascii="Arial" w:hAnsi="Arial" w:cs="Arial"/>
        </w:rPr>
        <w:sectPr w:rsidR="00B01FCD" w:rsidRPr="00FB3A86" w:rsidSect="0018113C">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E5FFCA8" wp14:editId="536CAA06">
                <wp:extent cx="5303520" cy="635"/>
                <wp:effectExtent l="9525" t="12700" r="11430"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C9B4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6E92B9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F0875">
        <w:rPr>
          <w:rFonts w:ascii="Arial" w:hAnsi="Arial" w:cs="Arial"/>
        </w:rPr>
        <w:t xml:space="preserve"> </w:t>
      </w:r>
    </w:p>
    <w:p w14:paraId="6A3A034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E5F918" w14:textId="77777777" w:rsidTr="001E44FE">
        <w:tc>
          <w:tcPr>
            <w:tcW w:w="9576" w:type="dxa"/>
            <w:shd w:val="clear" w:color="auto" w:fill="F2F2F2"/>
          </w:tcPr>
          <w:p w14:paraId="4E9D1A01" w14:textId="77777777" w:rsidR="00E3114E" w:rsidRDefault="00E3114E" w:rsidP="00441B6F">
            <w:pPr>
              <w:pStyle w:val="Body"/>
              <w:spacing w:after="0"/>
              <w:rPr>
                <w:rFonts w:ascii="Arial" w:eastAsia="Calibri" w:hAnsi="Arial" w:cs="Arial"/>
                <w:b/>
                <w:szCs w:val="22"/>
              </w:rPr>
            </w:pPr>
          </w:p>
          <w:p w14:paraId="7BFB765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F0875" w:rsidRPr="002F0875">
              <w:rPr>
                <w:rFonts w:ascii="Arial" w:hAnsi="Arial" w:cs="Arial"/>
              </w:rPr>
              <w:t xml:space="preserve">This study aimed the combination of </w:t>
            </w:r>
            <w:proofErr w:type="spellStart"/>
            <w:r w:rsidR="002F0875" w:rsidRPr="002F0875">
              <w:rPr>
                <w:rFonts w:ascii="Arial" w:hAnsi="Arial" w:cs="Arial"/>
              </w:rPr>
              <w:t>markov</w:t>
            </w:r>
            <w:proofErr w:type="spellEnd"/>
            <w:r w:rsidR="002F0875" w:rsidRPr="002F0875">
              <w:rPr>
                <w:rFonts w:ascii="Arial" w:hAnsi="Arial" w:cs="Arial"/>
              </w:rPr>
              <w:t xml:space="preserve"> regime switching and vector autoregression (VAR) models using the number of e-money transactions as measured by leading macroeconomic indicators such as interest rates, inflation rates, stock returns and composite stock price indices</w:t>
            </w:r>
            <w:r w:rsidR="002F0875" w:rsidRPr="002869D6">
              <w:rPr>
                <w:rFonts w:ascii="Book Antiqua" w:hAnsi="Book Antiqua"/>
              </w:rPr>
              <w:t>.</w:t>
            </w:r>
          </w:p>
          <w:p w14:paraId="78F71F72" w14:textId="77777777" w:rsidR="00BA1B01" w:rsidRPr="00BA1B01" w:rsidRDefault="00BA1B01" w:rsidP="002F087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0875" w:rsidRPr="002F0875">
              <w:rPr>
                <w:rFonts w:ascii="Arial" w:eastAsia="Book Antiqua" w:hAnsi="Arial" w:cs="Arial"/>
              </w:rPr>
              <w:t xml:space="preserve">This study uses a quantitative method, the first with the stationery test can explain </w:t>
            </w:r>
            <w:r w:rsidR="002F0875" w:rsidRPr="002F0875">
              <w:rPr>
                <w:rFonts w:ascii="Arial" w:hAnsi="Arial" w:cs="Arial"/>
                <w:color w:val="0D0D0D"/>
              </w:rPr>
              <w:t xml:space="preserve">the validity and reliability and stability of the data with Dicky-Fuller test. The second one with threshold test and the last one with </w:t>
            </w:r>
            <w:proofErr w:type="spellStart"/>
            <w:r w:rsidR="002F0875" w:rsidRPr="002F0875">
              <w:rPr>
                <w:rFonts w:ascii="Arial" w:hAnsi="Arial" w:cs="Arial"/>
                <w:color w:val="0D0D0D"/>
              </w:rPr>
              <w:t>markov</w:t>
            </w:r>
            <w:proofErr w:type="spellEnd"/>
            <w:r w:rsidR="002F0875" w:rsidRPr="002F0875">
              <w:rPr>
                <w:rFonts w:ascii="Arial" w:hAnsi="Arial" w:cs="Arial"/>
                <w:color w:val="0D0D0D"/>
              </w:rPr>
              <w:t xml:space="preserve"> regime switching model to describe the difference between two condition</w:t>
            </w:r>
            <w:r w:rsidRPr="002F0875">
              <w:rPr>
                <w:rFonts w:ascii="Arial" w:eastAsia="Calibri" w:hAnsi="Arial" w:cs="Arial"/>
                <w:szCs w:val="22"/>
              </w:rPr>
              <w:t>.</w:t>
            </w:r>
          </w:p>
          <w:p w14:paraId="3B7E5BC4" w14:textId="77777777" w:rsidR="00BA1B01" w:rsidRPr="002F0875"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2F0875">
              <w:rPr>
                <w:rFonts w:ascii="Arial" w:eastAsia="Calibri" w:hAnsi="Arial" w:cs="Arial"/>
                <w:b/>
                <w:bCs/>
                <w:szCs w:val="22"/>
              </w:rPr>
              <w:t>:</w:t>
            </w:r>
            <w:r w:rsidRPr="002F0875">
              <w:rPr>
                <w:rFonts w:ascii="Arial" w:eastAsia="Calibri" w:hAnsi="Arial" w:cs="Arial"/>
                <w:szCs w:val="22"/>
              </w:rPr>
              <w:t xml:space="preserve"> </w:t>
            </w:r>
            <w:r w:rsidR="002F0875" w:rsidRPr="002F0875">
              <w:rPr>
                <w:rFonts w:ascii="Arial" w:hAnsi="Arial" w:cs="Arial"/>
              </w:rPr>
              <w:t xml:space="preserve">The results obtained from this study are the perfection of the model using the </w:t>
            </w:r>
            <w:proofErr w:type="spellStart"/>
            <w:r w:rsidR="002F0875" w:rsidRPr="002F0875">
              <w:rPr>
                <w:rFonts w:ascii="Arial" w:hAnsi="Arial" w:cs="Arial"/>
              </w:rPr>
              <w:t>markov</w:t>
            </w:r>
            <w:proofErr w:type="spellEnd"/>
            <w:r w:rsidR="002F0875" w:rsidRPr="002F0875">
              <w:rPr>
                <w:rFonts w:ascii="Arial" w:hAnsi="Arial" w:cs="Arial"/>
              </w:rPr>
              <w:t xml:space="preserve"> switching value autoregressive (MSVAR) model with the model type M (2), AR (1) with the white noise value met. Based on these results, this model is able to be a catalyst in the value of the use of electronic money against macroeconomic variables, especially the value of interest rates, inflation, stock returns and the value of the composite stock price index</w:t>
            </w:r>
            <w:r w:rsidR="002F0875" w:rsidRPr="002F0875">
              <w:rPr>
                <w:rFonts w:ascii="Arial" w:eastAsia="Book Antiqua" w:hAnsi="Arial" w:cs="Arial"/>
              </w:rPr>
              <w:t>.</w:t>
            </w:r>
          </w:p>
          <w:p w14:paraId="799331B6"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93F11" w:rsidRPr="00A93F11">
              <w:rPr>
                <w:rFonts w:ascii="Arial" w:eastAsia="Book Antiqua" w:hAnsi="Arial" w:cs="Arial"/>
              </w:rPr>
              <w:t xml:space="preserve">macroeconomic variables especially value of interest rates, inflation, stock return and value of the composite stock price index and e-money transaction with </w:t>
            </w:r>
            <w:proofErr w:type="spellStart"/>
            <w:r w:rsidR="00A93F11" w:rsidRPr="00A93F11">
              <w:rPr>
                <w:rFonts w:ascii="Arial" w:eastAsia="Book Antiqua" w:hAnsi="Arial" w:cs="Arial"/>
              </w:rPr>
              <w:t>markov</w:t>
            </w:r>
            <w:proofErr w:type="spellEnd"/>
            <w:r w:rsidR="00A93F11" w:rsidRPr="00A93F11">
              <w:rPr>
                <w:rFonts w:ascii="Arial" w:eastAsia="Book Antiqua" w:hAnsi="Arial" w:cs="Arial"/>
              </w:rPr>
              <w:t xml:space="preserve"> regime switching models can describe which accurate model measurement</w:t>
            </w:r>
            <w:r w:rsidR="00A93F11">
              <w:rPr>
                <w:rFonts w:ascii="Book Antiqua" w:eastAsia="Book Antiqua" w:hAnsi="Book Antiqua" w:cs="Book Antiqua"/>
              </w:rPr>
              <w:t>.</w:t>
            </w:r>
          </w:p>
          <w:p w14:paraId="1EE70636" w14:textId="77777777" w:rsidR="00505F06" w:rsidRPr="00BA1B01" w:rsidRDefault="00505F06" w:rsidP="00441B6F">
            <w:pPr>
              <w:pStyle w:val="Body"/>
              <w:spacing w:after="0"/>
              <w:rPr>
                <w:rFonts w:ascii="Arial" w:eastAsia="Calibri" w:hAnsi="Arial" w:cs="Arial"/>
                <w:szCs w:val="22"/>
              </w:rPr>
            </w:pPr>
          </w:p>
        </w:tc>
      </w:tr>
    </w:tbl>
    <w:p w14:paraId="5491DF64" w14:textId="77777777" w:rsidR="00636EB2" w:rsidRDefault="00636EB2" w:rsidP="00441B6F">
      <w:pPr>
        <w:pStyle w:val="Body"/>
        <w:spacing w:after="0"/>
        <w:rPr>
          <w:rFonts w:ascii="Arial" w:hAnsi="Arial" w:cs="Arial"/>
          <w:i/>
        </w:rPr>
      </w:pPr>
    </w:p>
    <w:p w14:paraId="7B33D8B7" w14:textId="77777777" w:rsidR="00A24E7E" w:rsidRPr="00A93F11" w:rsidRDefault="00A93F11" w:rsidP="00441B6F">
      <w:pPr>
        <w:pStyle w:val="Body"/>
        <w:spacing w:after="0"/>
        <w:rPr>
          <w:rFonts w:ascii="Arial" w:hAnsi="Arial" w:cs="Arial"/>
          <w:i/>
        </w:rPr>
      </w:pPr>
      <w:r>
        <w:rPr>
          <w:rFonts w:ascii="Arial" w:hAnsi="Arial" w:cs="Arial"/>
          <w:i/>
        </w:rPr>
        <w:t xml:space="preserve">Keywords: </w:t>
      </w:r>
      <w:r w:rsidRPr="00A93F11">
        <w:rPr>
          <w:rFonts w:ascii="Arial" w:hAnsi="Arial" w:cs="Arial"/>
          <w:i/>
          <w:color w:val="000000"/>
        </w:rPr>
        <w:t>Markov Regime Switching, Vector Autoregressive, Macro Economic, E-Money</w:t>
      </w:r>
    </w:p>
    <w:p w14:paraId="0F0DD912" w14:textId="77777777" w:rsidR="0024282C" w:rsidRDefault="0024282C" w:rsidP="00441B6F">
      <w:pPr>
        <w:pStyle w:val="Body"/>
        <w:spacing w:after="0"/>
        <w:rPr>
          <w:rFonts w:ascii="Arial" w:hAnsi="Arial" w:cs="Arial"/>
          <w:i/>
          <w:sz w:val="18"/>
        </w:rPr>
      </w:pPr>
    </w:p>
    <w:p w14:paraId="214D534B" w14:textId="77777777" w:rsidR="00505F06" w:rsidRPr="00A24E7E" w:rsidRDefault="00505F06" w:rsidP="00441B6F">
      <w:pPr>
        <w:pStyle w:val="Body"/>
        <w:spacing w:after="0"/>
        <w:rPr>
          <w:rFonts w:ascii="Arial" w:hAnsi="Arial" w:cs="Arial"/>
          <w:i/>
        </w:rPr>
      </w:pPr>
    </w:p>
    <w:p w14:paraId="2E81303A" w14:textId="77777777" w:rsidR="007F7B32" w:rsidRDefault="00B01FCD" w:rsidP="005601F0">
      <w:pPr>
        <w:pStyle w:val="AbstHead"/>
        <w:numPr>
          <w:ilvl w:val="0"/>
          <w:numId w:val="32"/>
        </w:numPr>
        <w:spacing w:after="0"/>
        <w:ind w:left="284"/>
        <w:jc w:val="both"/>
        <w:rPr>
          <w:rFonts w:ascii="Arial" w:hAnsi="Arial" w:cs="Arial"/>
        </w:rPr>
      </w:pPr>
      <w:r w:rsidRPr="00FB3A86">
        <w:rPr>
          <w:rFonts w:ascii="Arial" w:hAnsi="Arial" w:cs="Arial"/>
        </w:rPr>
        <w:t>INTRODUCTION</w:t>
      </w:r>
    </w:p>
    <w:p w14:paraId="2D23DB97" w14:textId="77777777" w:rsidR="00790ADA" w:rsidRPr="00FB3A86" w:rsidRDefault="00790ADA" w:rsidP="00441B6F">
      <w:pPr>
        <w:pStyle w:val="AbstHead"/>
        <w:spacing w:after="0"/>
        <w:jc w:val="both"/>
        <w:rPr>
          <w:rFonts w:ascii="Arial" w:hAnsi="Arial" w:cs="Arial"/>
        </w:rPr>
      </w:pPr>
    </w:p>
    <w:p w14:paraId="53AC0460" w14:textId="77777777" w:rsidR="002A33EE" w:rsidRDefault="002A33EE" w:rsidP="00A93F11">
      <w:pPr>
        <w:pStyle w:val="BodyText"/>
        <w:spacing w:after="0"/>
        <w:ind w:right="178"/>
        <w:jc w:val="both"/>
        <w:rPr>
          <w:rFonts w:ascii="Arial" w:hAnsi="Arial" w:cs="Arial"/>
          <w:sz w:val="22"/>
          <w:szCs w:val="22"/>
        </w:rPr>
        <w:sectPr w:rsidR="002A33EE" w:rsidSect="0018113C">
          <w:footerReference w:type="default" r:id="rId10"/>
          <w:type w:val="continuous"/>
          <w:pgSz w:w="12240" w:h="15840"/>
          <w:pgMar w:top="720" w:right="720" w:bottom="720" w:left="720" w:header="720" w:footer="720" w:gutter="0"/>
          <w:cols w:space="720"/>
          <w:docGrid w:linePitch="360"/>
        </w:sectPr>
      </w:pPr>
    </w:p>
    <w:p w14:paraId="0930AC86"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Payment terms are carried out with effective methods such as using electronic devices to make it easier for each individual to make transactions at the time. Currently, it needs to be a careful consideration, that post-pandemic has become a new way to carry out transaction activities, one of which is the use of e-money. The use of e-money by the public is increasing due to a higher level of efficiency compared to transactions using ATMs or going to banking offices. People only need to ensure the nominal amount, the name of the recipient and the purpose of the transaction for the use of e-money and many people feel that it is more practical to use e-money.</w:t>
      </w:r>
    </w:p>
    <w:p w14:paraId="2B573565" w14:textId="77777777" w:rsidR="00A93F11" w:rsidRDefault="00A93F11" w:rsidP="00A93F11">
      <w:pPr>
        <w:pStyle w:val="BodyText"/>
        <w:spacing w:after="0"/>
        <w:ind w:right="178"/>
        <w:jc w:val="both"/>
        <w:rPr>
          <w:rFonts w:ascii="Arial" w:hAnsi="Arial" w:cs="Arial"/>
          <w:sz w:val="22"/>
          <w:szCs w:val="22"/>
        </w:rPr>
      </w:pPr>
    </w:p>
    <w:p w14:paraId="4BA83DAE"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 xml:space="preserve">Electronic money or e-money has become the current trend, and Bank Indonesia Regulation Number 18/17/PBI/2016 of 2017 explains the various types of e-money transactions and their respective functions. According to </w:t>
      </w:r>
      <w:proofErr w:type="spellStart"/>
      <w:r w:rsidRPr="00A93F11">
        <w:rPr>
          <w:rFonts w:ascii="Arial" w:hAnsi="Arial" w:cs="Arial"/>
          <w:sz w:val="22"/>
          <w:szCs w:val="22"/>
        </w:rPr>
        <w:t>databooks</w:t>
      </w:r>
      <w:proofErr w:type="spellEnd"/>
      <w:r w:rsidRPr="00A93F11">
        <w:rPr>
          <w:rFonts w:ascii="Arial" w:hAnsi="Arial" w:cs="Arial"/>
          <w:sz w:val="22"/>
          <w:szCs w:val="22"/>
        </w:rPr>
        <w:t xml:space="preserve"> (2020), almost 412.1 million people use e-money facilities for transactions. E-money transactions used in Indonesia have been used by many public or private groups. One of them is the e-money facility provided by banks in Indonesia for toll road users by issuing e-toll cards whose charging process can use e-money. The payment or financing process can also use e-money through the use of cards or cards or barcodes. Merchants in Indonesia have also been designed to use e-</w:t>
      </w:r>
      <w:r w:rsidRPr="00A93F11">
        <w:rPr>
          <w:rFonts w:ascii="Arial" w:hAnsi="Arial" w:cs="Arial"/>
          <w:sz w:val="22"/>
          <w:szCs w:val="22"/>
        </w:rPr>
        <w:lastRenderedPageBreak/>
        <w:t>money so that they can support activities quickly, precisely and accurately (Bank Indonesia, 2018).</w:t>
      </w:r>
    </w:p>
    <w:p w14:paraId="10531BD3" w14:textId="77777777" w:rsidR="00A93F11" w:rsidRDefault="00A93F11" w:rsidP="00A93F11">
      <w:pPr>
        <w:pStyle w:val="BodyText"/>
        <w:spacing w:after="0"/>
        <w:ind w:right="178"/>
        <w:jc w:val="both"/>
        <w:rPr>
          <w:rFonts w:ascii="Arial" w:hAnsi="Arial" w:cs="Arial"/>
          <w:sz w:val="22"/>
          <w:szCs w:val="22"/>
        </w:rPr>
      </w:pPr>
    </w:p>
    <w:p w14:paraId="5F5F186F"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The term cashless or the useless cash as a payment instrument at every outlet or merchant in Indonesia has been developed in Indonesia to encourage Indonesians to have a culture of effective payment transactions (</w:t>
      </w:r>
      <w:proofErr w:type="spellStart"/>
      <w:r w:rsidRPr="00A93F11">
        <w:rPr>
          <w:rFonts w:ascii="Arial" w:hAnsi="Arial" w:cs="Arial"/>
          <w:sz w:val="22"/>
          <w:szCs w:val="22"/>
        </w:rPr>
        <w:t>Hidayati</w:t>
      </w:r>
      <w:proofErr w:type="spellEnd"/>
      <w:r w:rsidRPr="00A93F11">
        <w:rPr>
          <w:rFonts w:ascii="Arial" w:hAnsi="Arial" w:cs="Arial"/>
          <w:sz w:val="22"/>
          <w:szCs w:val="22"/>
        </w:rPr>
        <w:t xml:space="preserve"> et al</w:t>
      </w:r>
      <w:r w:rsidRPr="00A93F11">
        <w:rPr>
          <w:rFonts w:ascii="Arial" w:hAnsi="Arial" w:cs="Arial"/>
          <w:sz w:val="22"/>
          <w:szCs w:val="22"/>
          <w:lang w:val="id-ID"/>
        </w:rPr>
        <w:t>.</w:t>
      </w:r>
      <w:r w:rsidRPr="00A93F11">
        <w:rPr>
          <w:rFonts w:ascii="Arial" w:hAnsi="Arial" w:cs="Arial"/>
          <w:sz w:val="22"/>
          <w:szCs w:val="22"/>
        </w:rPr>
        <w:t xml:space="preserve">, 2006). Interest rates and inflation are one of the indicators that have an extraordinary influence on the State, especially the Indonesian state, which has a role in maintaining financial system stability. The balance of using e-money must also be in a reasonable level, because it has a major impact on rising interest rates and the occurrence of inflation. The amount of money that is lying down is also an indicator that must be maintained considering that the amount of money in circulation is influenced by the increasing number of </w:t>
      </w:r>
      <w:proofErr w:type="gramStart"/>
      <w:r w:rsidRPr="00A93F11">
        <w:rPr>
          <w:rFonts w:ascii="Arial" w:hAnsi="Arial" w:cs="Arial"/>
          <w:sz w:val="22"/>
          <w:szCs w:val="22"/>
        </w:rPr>
        <w:t>stock</w:t>
      </w:r>
      <w:proofErr w:type="gramEnd"/>
      <w:r w:rsidRPr="00A93F11">
        <w:rPr>
          <w:rFonts w:ascii="Arial" w:hAnsi="Arial" w:cs="Arial"/>
          <w:sz w:val="22"/>
          <w:szCs w:val="22"/>
        </w:rPr>
        <w:t xml:space="preserve"> returns due to the relatively increasing stock price.</w:t>
      </w:r>
    </w:p>
    <w:p w14:paraId="5E394FA9" w14:textId="77777777" w:rsidR="00A93F11" w:rsidRDefault="00A93F11" w:rsidP="00A93F11">
      <w:pPr>
        <w:pStyle w:val="BodyText"/>
        <w:spacing w:after="0"/>
        <w:ind w:right="178"/>
        <w:jc w:val="both"/>
        <w:rPr>
          <w:rFonts w:ascii="Arial" w:hAnsi="Arial" w:cs="Arial"/>
          <w:sz w:val="22"/>
          <w:szCs w:val="22"/>
        </w:rPr>
      </w:pPr>
    </w:p>
    <w:p w14:paraId="57B1F177"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 xml:space="preserve">According to </w:t>
      </w:r>
      <w:proofErr w:type="spellStart"/>
      <w:r w:rsidRPr="00A93F11">
        <w:rPr>
          <w:rFonts w:ascii="Arial" w:hAnsi="Arial" w:cs="Arial"/>
          <w:sz w:val="22"/>
          <w:szCs w:val="22"/>
        </w:rPr>
        <w:t>Lintangsari</w:t>
      </w:r>
      <w:proofErr w:type="spellEnd"/>
      <w:r w:rsidRPr="00A93F11">
        <w:rPr>
          <w:rFonts w:ascii="Arial" w:hAnsi="Arial" w:cs="Arial"/>
          <w:sz w:val="22"/>
          <w:szCs w:val="22"/>
        </w:rPr>
        <w:t xml:space="preserve"> </w:t>
      </w:r>
      <w:r w:rsidRPr="00A93F11">
        <w:rPr>
          <w:rFonts w:ascii="Arial" w:hAnsi="Arial" w:cs="Arial"/>
          <w:sz w:val="22"/>
          <w:szCs w:val="22"/>
          <w:lang w:val="id-ID"/>
        </w:rPr>
        <w:t xml:space="preserve">et al. </w:t>
      </w:r>
      <w:r w:rsidRPr="00A93F11">
        <w:rPr>
          <w:rFonts w:ascii="Arial" w:hAnsi="Arial" w:cs="Arial"/>
          <w:sz w:val="22"/>
          <w:szCs w:val="22"/>
        </w:rPr>
        <w:t>(2017), interest rates and inflation that occur in a country are able to affect the value of e-money transactions. Bank Indonesia is an institution that monitors and monitors the amount of money in circulation to minimize the impact of inflation on a country by implementing several policies on the payment system, especially transactions using e-money (</w:t>
      </w:r>
      <w:proofErr w:type="spellStart"/>
      <w:r w:rsidRPr="00A93F11">
        <w:rPr>
          <w:rFonts w:ascii="Arial" w:hAnsi="Arial" w:cs="Arial"/>
          <w:sz w:val="22"/>
          <w:szCs w:val="22"/>
        </w:rPr>
        <w:t>Abidin</w:t>
      </w:r>
      <w:proofErr w:type="spellEnd"/>
      <w:r w:rsidRPr="00A93F11">
        <w:rPr>
          <w:rFonts w:ascii="Arial" w:hAnsi="Arial" w:cs="Arial"/>
          <w:sz w:val="22"/>
          <w:szCs w:val="22"/>
        </w:rPr>
        <w:t xml:space="preserve">, 2015). One of the technologies that catalyzes investment activities in stocks or equity </w:t>
      </w:r>
      <w:proofErr w:type="spellStart"/>
      <w:r w:rsidRPr="00A93F11">
        <w:rPr>
          <w:rFonts w:ascii="Arial" w:hAnsi="Arial" w:cs="Arial"/>
          <w:sz w:val="22"/>
          <w:szCs w:val="22"/>
        </w:rPr>
        <w:t>crowfunding</w:t>
      </w:r>
      <w:proofErr w:type="spellEnd"/>
      <w:r w:rsidRPr="00A93F11">
        <w:rPr>
          <w:rFonts w:ascii="Arial" w:hAnsi="Arial" w:cs="Arial"/>
          <w:sz w:val="22"/>
          <w:szCs w:val="22"/>
        </w:rPr>
        <w:t xml:space="preserve"> is electronic money or e-</w:t>
      </w:r>
      <w:r>
        <w:rPr>
          <w:rFonts w:ascii="Arial" w:hAnsi="Arial" w:cs="Arial"/>
          <w:sz w:val="22"/>
          <w:szCs w:val="22"/>
        </w:rPr>
        <w:t>money (</w:t>
      </w:r>
      <w:proofErr w:type="spellStart"/>
      <w:r>
        <w:rPr>
          <w:rFonts w:ascii="Arial" w:hAnsi="Arial" w:cs="Arial"/>
          <w:sz w:val="22"/>
          <w:szCs w:val="22"/>
        </w:rPr>
        <w:t>Tayibnapis</w:t>
      </w:r>
      <w:proofErr w:type="spellEnd"/>
      <w:r>
        <w:rPr>
          <w:rFonts w:ascii="Arial" w:hAnsi="Arial" w:cs="Arial"/>
          <w:sz w:val="22"/>
          <w:szCs w:val="22"/>
        </w:rPr>
        <w:t xml:space="preserve"> et al., 2018).</w:t>
      </w:r>
    </w:p>
    <w:p w14:paraId="608951B9" w14:textId="77777777" w:rsidR="00A93F11" w:rsidRDefault="00A93F11" w:rsidP="00A93F11">
      <w:pPr>
        <w:pStyle w:val="BodyText"/>
        <w:spacing w:after="0"/>
        <w:ind w:right="178"/>
        <w:jc w:val="both"/>
        <w:rPr>
          <w:rFonts w:ascii="Arial" w:hAnsi="Arial" w:cs="Arial"/>
          <w:sz w:val="22"/>
          <w:szCs w:val="22"/>
        </w:rPr>
      </w:pPr>
    </w:p>
    <w:p w14:paraId="0F110AD7" w14:textId="77777777" w:rsidR="00A93F11" w:rsidRDefault="00A93F11" w:rsidP="00A93F11">
      <w:pPr>
        <w:pStyle w:val="BodyText"/>
        <w:spacing w:after="0"/>
        <w:ind w:right="178"/>
        <w:jc w:val="both"/>
        <w:rPr>
          <w:rFonts w:ascii="Arial" w:hAnsi="Arial" w:cs="Arial"/>
        </w:rPr>
      </w:pPr>
      <w:r w:rsidRPr="00A93F11">
        <w:rPr>
          <w:rFonts w:ascii="Arial" w:hAnsi="Arial" w:cs="Arial"/>
          <w:sz w:val="22"/>
          <w:szCs w:val="22"/>
        </w:rPr>
        <w:t xml:space="preserve">The formulation of the problem in this study includes identifying e-money transaction variables as leading macroeconomic indicators using the </w:t>
      </w:r>
      <w:proofErr w:type="spellStart"/>
      <w:r w:rsidRPr="00A93F11">
        <w:rPr>
          <w:rFonts w:ascii="Arial" w:hAnsi="Arial" w:cs="Arial"/>
          <w:sz w:val="22"/>
          <w:szCs w:val="22"/>
        </w:rPr>
        <w:t>markov</w:t>
      </w:r>
      <w:proofErr w:type="spellEnd"/>
      <w:r w:rsidRPr="00A93F11">
        <w:rPr>
          <w:rFonts w:ascii="Arial" w:hAnsi="Arial" w:cs="Arial"/>
          <w:sz w:val="22"/>
          <w:szCs w:val="22"/>
        </w:rPr>
        <w:t xml:space="preserve"> switching model and vector autoregression, predicting the future macroeconomy with e-money transaction variables and turning point positions in the macroeconomy with the measurement of e-money transaction variables. In addition, the objectives of this study include (1) Identifying e-money transaction variables as leading macroeconomic indicators using the </w:t>
      </w:r>
      <w:proofErr w:type="spellStart"/>
      <w:r w:rsidRPr="00A93F11">
        <w:rPr>
          <w:rFonts w:ascii="Arial" w:hAnsi="Arial" w:cs="Arial"/>
          <w:sz w:val="22"/>
          <w:szCs w:val="22"/>
        </w:rPr>
        <w:t>markov</w:t>
      </w:r>
      <w:proofErr w:type="spellEnd"/>
      <w:r w:rsidRPr="00A93F11">
        <w:rPr>
          <w:rFonts w:ascii="Arial" w:hAnsi="Arial" w:cs="Arial"/>
          <w:sz w:val="22"/>
          <w:szCs w:val="22"/>
        </w:rPr>
        <w:t xml:space="preserve"> switching model and vector autoregression; (2) Analyzing future macroeconomic predictions with e-money transaction variables; and (3) Analyze the prediction of turning points in the macroeconomy in the future by measuring e-money transaction variables</w:t>
      </w:r>
      <w:r>
        <w:rPr>
          <w:rFonts w:ascii="Arial" w:hAnsi="Arial" w:cs="Arial"/>
        </w:rPr>
        <w:t>.</w:t>
      </w:r>
    </w:p>
    <w:p w14:paraId="1BD98B69" w14:textId="77777777" w:rsidR="00A93F11" w:rsidRDefault="00A93F11" w:rsidP="00A93F11">
      <w:pPr>
        <w:pStyle w:val="BodyText"/>
        <w:spacing w:after="0"/>
        <w:ind w:right="178"/>
        <w:jc w:val="both"/>
        <w:rPr>
          <w:rFonts w:ascii="Arial" w:hAnsi="Arial" w:cs="Arial"/>
        </w:rPr>
      </w:pPr>
    </w:p>
    <w:p w14:paraId="03C6028E"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the main concept is a transitional state that describes a certain process in a certain state as well. The prediction of future developments can be seen in several variables that are indicators of the present, so that if you want to see the opportunities for future developments, you can see current or present events (</w:t>
      </w:r>
      <w:proofErr w:type="spellStart"/>
      <w:r w:rsidRPr="00A93F11">
        <w:rPr>
          <w:rFonts w:ascii="Arial" w:hAnsi="Arial" w:cs="Arial"/>
          <w:color w:val="0D0D0D"/>
          <w:sz w:val="22"/>
          <w:szCs w:val="22"/>
        </w:rPr>
        <w:t>Allo</w:t>
      </w:r>
      <w:proofErr w:type="spellEnd"/>
      <w:r w:rsidRPr="00A93F11">
        <w:rPr>
          <w:rFonts w:ascii="Arial" w:hAnsi="Arial" w:cs="Arial"/>
          <w:color w:val="0D0D0D"/>
          <w:sz w:val="22"/>
          <w:szCs w:val="22"/>
        </w:rPr>
        <w:t xml:space="preserve"> et al., 2013).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 system of transitions in designed processes and special shape fractions of probabilistic models with stochastic processes. The transition period is a picture of the change from one state to another in the next </w:t>
      </w:r>
      <w:proofErr w:type="spellStart"/>
      <w:r w:rsidRPr="00A93F11">
        <w:rPr>
          <w:rFonts w:ascii="Arial" w:hAnsi="Arial" w:cs="Arial"/>
          <w:color w:val="0D0D0D"/>
          <w:sz w:val="22"/>
          <w:szCs w:val="22"/>
        </w:rPr>
        <w:t>perode</w:t>
      </w:r>
      <w:proofErr w:type="spellEnd"/>
      <w:r w:rsidRPr="00A93F11">
        <w:rPr>
          <w:rFonts w:ascii="Arial" w:hAnsi="Arial" w:cs="Arial"/>
          <w:color w:val="0D0D0D"/>
          <w:sz w:val="22"/>
          <w:szCs w:val="22"/>
        </w:rPr>
        <w:t xml:space="preserve">.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also a conditional event that has different measurements with the most dominant current variable indicators.</w:t>
      </w:r>
    </w:p>
    <w:p w14:paraId="5E5CB908" w14:textId="77777777" w:rsidR="002A33EE" w:rsidRDefault="002A33EE" w:rsidP="00A93F11">
      <w:pPr>
        <w:pStyle w:val="BodyText"/>
        <w:spacing w:after="0"/>
        <w:ind w:right="178"/>
        <w:jc w:val="both"/>
        <w:rPr>
          <w:rFonts w:ascii="Arial" w:hAnsi="Arial" w:cs="Arial"/>
          <w:color w:val="0D0D0D"/>
          <w:sz w:val="22"/>
          <w:szCs w:val="22"/>
        </w:rPr>
        <w:sectPr w:rsidR="002A33EE" w:rsidSect="0018113C">
          <w:type w:val="continuous"/>
          <w:pgSz w:w="12240" w:h="15840"/>
          <w:pgMar w:top="720" w:right="720" w:bottom="720" w:left="720" w:header="720" w:footer="720" w:gutter="0"/>
          <w:cols w:num="2" w:space="720"/>
          <w:docGrid w:linePitch="360"/>
        </w:sectPr>
      </w:pPr>
    </w:p>
    <w:p w14:paraId="263351A2" w14:textId="77777777" w:rsidR="00EB4BC8" w:rsidRDefault="00EB4BC8" w:rsidP="00A93F11">
      <w:pPr>
        <w:pStyle w:val="BodyText"/>
        <w:spacing w:after="0"/>
        <w:ind w:right="178"/>
        <w:jc w:val="both"/>
        <w:rPr>
          <w:rFonts w:ascii="Arial" w:hAnsi="Arial" w:cs="Arial"/>
          <w:color w:val="0D0D0D"/>
          <w:sz w:val="22"/>
          <w:szCs w:val="22"/>
        </w:rPr>
      </w:pPr>
    </w:p>
    <w:p w14:paraId="19CF72A5" w14:textId="77777777" w:rsidR="00EB4BC8" w:rsidRDefault="00EB4BC8" w:rsidP="00EB4BC8">
      <w:pPr>
        <w:pStyle w:val="BodyText"/>
        <w:spacing w:after="0"/>
        <w:ind w:right="178"/>
        <w:jc w:val="both"/>
        <w:rPr>
          <w:rFonts w:ascii="Arial" w:hAnsi="Arial" w:cs="Arial"/>
          <w:color w:val="0D0D0D"/>
          <w:sz w:val="22"/>
          <w:szCs w:val="22"/>
        </w:rPr>
      </w:pPr>
    </w:p>
    <w:p w14:paraId="466DDFA9" w14:textId="77777777" w:rsidR="00A93F11" w:rsidRPr="005601F0" w:rsidRDefault="005601F0" w:rsidP="005601F0">
      <w:pPr>
        <w:pStyle w:val="BodyText"/>
        <w:numPr>
          <w:ilvl w:val="0"/>
          <w:numId w:val="32"/>
        </w:numPr>
        <w:spacing w:after="0"/>
        <w:ind w:left="426" w:right="178" w:hanging="426"/>
        <w:jc w:val="both"/>
        <w:rPr>
          <w:rFonts w:ascii="Arial" w:hAnsi="Arial" w:cs="Arial"/>
          <w:b/>
          <w:sz w:val="22"/>
          <w:szCs w:val="22"/>
        </w:rPr>
      </w:pPr>
      <w:r w:rsidRPr="005601F0">
        <w:rPr>
          <w:rFonts w:ascii="Arial" w:hAnsi="Arial" w:cs="Arial"/>
          <w:b/>
          <w:sz w:val="22"/>
          <w:szCs w:val="22"/>
        </w:rPr>
        <w:t>LITERATURE REVIEW</w:t>
      </w:r>
    </w:p>
    <w:p w14:paraId="002A2752" w14:textId="77777777" w:rsidR="00A93F11" w:rsidRPr="005601F0"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5601F0">
        <w:rPr>
          <w:rFonts w:ascii="Arial" w:hAnsi="Arial" w:cs="Arial"/>
          <w:b/>
          <w:color w:val="0D0D0D"/>
          <w:sz w:val="22"/>
          <w:szCs w:val="22"/>
        </w:rPr>
        <w:t>Markov Switching Model</w:t>
      </w:r>
    </w:p>
    <w:p w14:paraId="6C332EDB" w14:textId="77777777" w:rsidR="002A33EE" w:rsidRDefault="00A93F11" w:rsidP="00A93F11">
      <w:pPr>
        <w:pStyle w:val="BodyText"/>
        <w:spacing w:after="0"/>
        <w:ind w:right="178"/>
        <w:jc w:val="both"/>
        <w:rPr>
          <w:rFonts w:ascii="Arial" w:hAnsi="Arial" w:cs="Arial"/>
          <w:color w:val="0D0D0D"/>
          <w:sz w:val="22"/>
          <w:szCs w:val="22"/>
        </w:rPr>
        <w:sectPr w:rsidR="002A33EE" w:rsidSect="0018113C">
          <w:type w:val="continuous"/>
          <w:pgSz w:w="12240" w:h="15840"/>
          <w:pgMar w:top="720" w:right="720" w:bottom="720" w:left="720" w:header="720" w:footer="720" w:gutter="0"/>
          <w:cols w:space="720"/>
          <w:docGrid w:linePitch="360"/>
        </w:sect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Sudarsono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Sudiyatno</w:t>
      </w:r>
      <w:proofErr w:type="spellEnd"/>
      <w:r w:rsidRPr="00A93F11">
        <w:rPr>
          <w:rFonts w:ascii="Arial" w:hAnsi="Arial" w:cs="Arial"/>
          <w:color w:val="0D0D0D"/>
          <w:sz w:val="22"/>
          <w:szCs w:val="22"/>
        </w:rPr>
        <w:t xml:space="preserve"> (2016), macroeconomic factors are present in broad economic </w:t>
      </w:r>
    </w:p>
    <w:p w14:paraId="02997F00"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problems, one of which is inflation.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 stochastic system of random variables that cannot be predicted so that it is </w:t>
      </w:r>
      <w:proofErr w:type="spellStart"/>
      <w:r w:rsidRPr="00A93F11">
        <w:rPr>
          <w:rFonts w:ascii="Arial" w:hAnsi="Arial" w:cs="Arial"/>
          <w:color w:val="0D0D0D"/>
          <w:sz w:val="22"/>
          <w:szCs w:val="22"/>
        </w:rPr>
        <w:t>discrete.the</w:t>
      </w:r>
      <w:proofErr w:type="spellEnd"/>
      <w:r w:rsidRPr="00A93F11">
        <w:rPr>
          <w:rFonts w:ascii="Arial" w:hAnsi="Arial" w:cs="Arial"/>
          <w:color w:val="0D0D0D"/>
          <w:sz w:val="22"/>
          <w:szCs w:val="22"/>
        </w:rPr>
        <w:t xml:space="preserv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vector autoregressive (MSVAR) model is a combination of models between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and the autoregressive vector which has the aim that all St conditions contained 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can depend on M conditions or regimes. According to </w:t>
      </w:r>
      <w:proofErr w:type="spellStart"/>
      <w:r w:rsidRPr="00A93F11">
        <w:rPr>
          <w:rFonts w:ascii="Arial" w:hAnsi="Arial" w:cs="Arial"/>
          <w:color w:val="0D0D0D"/>
          <w:sz w:val="22"/>
          <w:szCs w:val="22"/>
        </w:rPr>
        <w:t>Krolzig</w:t>
      </w:r>
      <w:proofErr w:type="spellEnd"/>
      <w:r w:rsidRPr="00A93F11">
        <w:rPr>
          <w:rFonts w:ascii="Arial" w:hAnsi="Arial" w:cs="Arial"/>
          <w:color w:val="0D0D0D"/>
          <w:sz w:val="22"/>
          <w:szCs w:val="22"/>
        </w:rPr>
        <w:t xml:space="preserve"> (1997), most regimes (certain conditions) in a flow are sometimes assumed in two different state conditions such as when there is no crisis and when there is a crisis.</w:t>
      </w:r>
    </w:p>
    <w:p w14:paraId="55A9D307" w14:textId="77777777" w:rsidR="00A93F11" w:rsidRPr="00A93F11" w:rsidRDefault="00A93F11" w:rsidP="00A93F11">
      <w:pPr>
        <w:pStyle w:val="BodyText"/>
        <w:spacing w:after="0"/>
        <w:ind w:right="178"/>
        <w:jc w:val="both"/>
        <w:rPr>
          <w:rFonts w:ascii="Arial" w:hAnsi="Arial" w:cs="Arial"/>
          <w:color w:val="0D0D0D"/>
          <w:sz w:val="22"/>
          <w:szCs w:val="22"/>
        </w:rPr>
      </w:pPr>
    </w:p>
    <w:p w14:paraId="6F119DF1" w14:textId="77777777" w:rsidR="00A93F11" w:rsidRPr="00A93F11" w:rsidRDefault="0047473C" w:rsidP="00A93F11">
      <w:pPr>
        <w:pStyle w:val="BodyText"/>
        <w:spacing w:after="0"/>
        <w:ind w:right="178" w:firstLine="510"/>
        <w:jc w:val="both"/>
        <w:rPr>
          <w:rFonts w:ascii="Arial" w:hAnsi="Arial" w:cs="Arial"/>
          <w:color w:val="0D0D0D"/>
          <w:sz w:val="22"/>
          <w:szCs w:val="22"/>
        </w:rPr>
      </w:pPr>
      <m:oMathPara>
        <m:oMath>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r>
            <w:rPr>
              <w:rFonts w:ascii="Cambria Math" w:hAnsi="Cambria Math" w:cs="Arial"/>
              <w:color w:val="0D0D0D"/>
              <w:sz w:val="22"/>
              <w:szCs w:val="22"/>
            </w:rPr>
            <m:t>v</m:t>
          </m:r>
          <m:d>
            <m:dPr>
              <m:ctrlPr>
                <w:rPr>
                  <w:rFonts w:ascii="Cambria Math" w:hAnsi="Cambria Math" w:cs="Arial"/>
                  <w:color w:val="0D0D0D"/>
                  <w:sz w:val="22"/>
                  <w:szCs w:val="22"/>
                </w:rPr>
              </m:ctrlPr>
            </m:dPr>
            <m:e>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A</m:t>
              </m:r>
            </m:e>
            <m:sub>
              <m:r>
                <m:rPr>
                  <m:sty m:val="p"/>
                </m:rPr>
                <w:rPr>
                  <w:rFonts w:ascii="Cambria Math" w:hAnsi="Cambria Math" w:cs="Arial"/>
                  <w:color w:val="0D0D0D"/>
                  <w:sz w:val="22"/>
                  <w:szCs w:val="22"/>
                </w:rPr>
                <m:t xml:space="preserve">1 </m:t>
              </m:r>
            </m:sub>
          </m:sSub>
          <m:d>
            <m:dPr>
              <m:ctrlPr>
                <w:rPr>
                  <w:rFonts w:ascii="Cambria Math" w:hAnsi="Cambria Math" w:cs="Arial"/>
                  <w:color w:val="0D0D0D"/>
                  <w:sz w:val="22"/>
                  <w:szCs w:val="22"/>
                </w:rPr>
              </m:ctrlPr>
            </m:dPr>
            <m:e>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A</m:t>
              </m:r>
            </m:e>
            <m:sub>
              <m:r>
                <w:rPr>
                  <w:rFonts w:ascii="Cambria Math" w:hAnsi="Cambria Math" w:cs="Arial"/>
                  <w:color w:val="0D0D0D"/>
                  <w:sz w:val="22"/>
                  <w:szCs w:val="22"/>
                </w:rPr>
                <m:t>P</m:t>
              </m:r>
            </m:sub>
          </m:sSub>
          <m:r>
            <m:rPr>
              <m:sty m:val="p"/>
            </m:rPr>
            <w:rPr>
              <w:rFonts w:ascii="Cambria Math" w:hAnsi="Cambria Math" w:cs="Arial"/>
              <w:color w:val="0D0D0D"/>
              <w:sz w:val="22"/>
              <w:szCs w:val="22"/>
            </w:rPr>
            <m:t xml:space="preserve"> </m:t>
          </m:r>
          <m:d>
            <m:dPr>
              <m:ctrlPr>
                <w:rPr>
                  <w:rFonts w:ascii="Cambria Math" w:hAnsi="Cambria Math" w:cs="Arial"/>
                  <w:color w:val="0D0D0D"/>
                  <w:sz w:val="22"/>
                  <w:szCs w:val="22"/>
                </w:rPr>
              </m:ctrlPr>
            </m:dPr>
            <m:e>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r>
                <m:rPr>
                  <m:sty m:val="p"/>
                </m:rPr>
                <w:rPr>
                  <w:rFonts w:ascii="Cambria Math" w:hAnsi="Cambria Math" w:cs="Arial"/>
                  <w:color w:val="0D0D0D"/>
                  <w:sz w:val="22"/>
                  <w:szCs w:val="22"/>
                </w:rPr>
                <m:t>-</m:t>
              </m:r>
              <m:r>
                <w:rPr>
                  <w:rFonts w:ascii="Cambria Math" w:hAnsi="Cambria Math" w:cs="Arial"/>
                  <w:color w:val="0D0D0D"/>
                  <w:sz w:val="22"/>
                  <w:szCs w:val="22"/>
                </w:rPr>
                <m:t>p</m:t>
              </m:r>
            </m:sub>
          </m:sSub>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ε</m:t>
              </m:r>
            </m:e>
            <m:sub>
              <m:r>
                <w:rPr>
                  <w:rFonts w:ascii="Cambria Math" w:hAnsi="Cambria Math" w:cs="Arial"/>
                  <w:color w:val="0D0D0D"/>
                  <w:sz w:val="22"/>
                  <w:szCs w:val="22"/>
                </w:rPr>
                <m:t>t</m:t>
              </m:r>
            </m:sub>
          </m:sSub>
        </m:oMath>
      </m:oMathPara>
    </w:p>
    <w:p w14:paraId="11E514B3" w14:textId="77777777" w:rsidR="00A93F11" w:rsidRDefault="00A93F11" w:rsidP="00A93F11">
      <w:pPr>
        <w:pStyle w:val="BodyText"/>
        <w:spacing w:after="0"/>
        <w:ind w:right="178"/>
        <w:jc w:val="both"/>
        <w:rPr>
          <w:rFonts w:ascii="Arial" w:hAnsi="Arial" w:cs="Arial"/>
          <w:color w:val="0D0D0D"/>
          <w:sz w:val="22"/>
          <w:szCs w:val="22"/>
        </w:rPr>
      </w:pPr>
    </w:p>
    <w:p w14:paraId="1C57CB1B"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In this formulation has the following information; (1) </w:t>
      </w:r>
      <w:r w:rsidRPr="00A93F11">
        <w:rPr>
          <w:rFonts w:ascii="Cambria Math" w:hAnsi="Cambria Math" w:cs="Cambria Math"/>
          <w:color w:val="0D0D0D"/>
          <w:sz w:val="22"/>
          <w:szCs w:val="22"/>
        </w:rPr>
        <w:t>𝒚</w:t>
      </w:r>
      <w:r w:rsidRPr="00A93F11">
        <w:rPr>
          <w:rFonts w:ascii="Arial" w:hAnsi="Arial" w:cs="Arial"/>
          <w:color w:val="0D0D0D"/>
          <w:sz w:val="22"/>
          <w:szCs w:val="22"/>
        </w:rPr>
        <w:t xml:space="preserve">t is an indicator or changer during the period t, (2) then the indicator or other modifier as vector is </w:t>
      </w:r>
      <w:r w:rsidRPr="00A93F11">
        <w:rPr>
          <w:rFonts w:ascii="Cambria Math" w:hAnsi="Cambria Math" w:cs="Cambria Math"/>
          <w:color w:val="0D0D0D"/>
          <w:sz w:val="22"/>
          <w:szCs w:val="22"/>
        </w:rPr>
        <w:t>𝒚</w:t>
      </w:r>
      <w:r w:rsidRPr="00A93F11">
        <w:rPr>
          <w:rFonts w:ascii="Arial" w:hAnsi="Arial" w:cs="Arial"/>
          <w:color w:val="0D0D0D"/>
          <w:sz w:val="22"/>
          <w:szCs w:val="22"/>
        </w:rPr>
        <w:t>t−</w:t>
      </w:r>
      <w:r w:rsidRPr="00A93F11">
        <w:rPr>
          <w:rFonts w:ascii="Cambria Math" w:hAnsi="Cambria Math" w:cs="Cambria Math"/>
          <w:color w:val="0D0D0D"/>
          <w:sz w:val="22"/>
          <w:szCs w:val="22"/>
        </w:rPr>
        <w:t>𝑝</w:t>
      </w:r>
      <w:r w:rsidRPr="00A93F11">
        <w:rPr>
          <w:rFonts w:ascii="Arial" w:hAnsi="Arial" w:cs="Arial"/>
          <w:color w:val="0D0D0D"/>
          <w:sz w:val="22"/>
          <w:szCs w:val="22"/>
        </w:rPr>
        <w:t>, (3) A</w:t>
      </w:r>
      <w:r w:rsidRPr="00A93F11">
        <w:rPr>
          <w:rFonts w:ascii="Cambria Math" w:hAnsi="Cambria Math" w:cs="Cambria Math"/>
          <w:color w:val="0D0D0D"/>
          <w:sz w:val="22"/>
          <w:szCs w:val="22"/>
        </w:rPr>
        <w:t>𝑝</w:t>
      </w:r>
      <w:r w:rsidRPr="00A93F11">
        <w:rPr>
          <w:rFonts w:ascii="Arial" w:hAnsi="Arial" w:cs="Arial"/>
          <w:color w:val="0D0D0D"/>
          <w:sz w:val="22"/>
          <w:szCs w:val="22"/>
        </w:rPr>
        <w:t xml:space="preserve"> is a parameter matrix VAR(p), </w:t>
      </w:r>
      <w:r w:rsidRPr="00A93F11">
        <w:rPr>
          <w:rFonts w:ascii="Cambria Math" w:hAnsi="Cambria Math" w:cs="Cambria Math"/>
          <w:color w:val="0D0D0D"/>
          <w:sz w:val="22"/>
          <w:szCs w:val="22"/>
        </w:rPr>
        <w:t>𝜺</w:t>
      </w:r>
      <w:r w:rsidRPr="00A93F11">
        <w:rPr>
          <w:rFonts w:ascii="Arial" w:hAnsi="Arial" w:cs="Arial"/>
          <w:color w:val="0D0D0D"/>
          <w:sz w:val="22"/>
          <w:szCs w:val="22"/>
        </w:rPr>
        <w:t>t |</w:t>
      </w:r>
      <w:r w:rsidRPr="00A93F11">
        <w:rPr>
          <w:rFonts w:ascii="Cambria Math" w:hAnsi="Cambria Math" w:cs="Cambria Math"/>
          <w:color w:val="0D0D0D"/>
          <w:sz w:val="22"/>
          <w:szCs w:val="22"/>
        </w:rPr>
        <w:t>𝑠𝑡</w:t>
      </w:r>
      <w:r w:rsidRPr="00A93F11">
        <w:rPr>
          <w:rFonts w:ascii="Arial" w:hAnsi="Arial" w:cs="Arial"/>
          <w:color w:val="0D0D0D"/>
          <w:sz w:val="22"/>
          <w:szCs w:val="22"/>
        </w:rPr>
        <w:t xml:space="preserve"> MVN (</w:t>
      </w:r>
      <w:r w:rsidRPr="00A93F11">
        <w:rPr>
          <w:rFonts w:ascii="Cambria Math" w:hAnsi="Cambria Math" w:cs="Cambria Math"/>
          <w:color w:val="0D0D0D"/>
          <w:sz w:val="22"/>
          <w:szCs w:val="22"/>
        </w:rPr>
        <w:t>𝟎</w:t>
      </w:r>
      <w:r>
        <w:rPr>
          <w:rFonts w:ascii="Arial" w:hAnsi="Arial" w:cs="Arial"/>
          <w:color w:val="0D0D0D"/>
          <w:sz w:val="22"/>
          <w:szCs w:val="22"/>
        </w:rPr>
        <w:t>, Σ(</w:t>
      </w:r>
      <w:proofErr w:type="spellStart"/>
      <w:r>
        <w:rPr>
          <w:rFonts w:ascii="Arial" w:hAnsi="Arial" w:cs="Arial"/>
          <w:color w:val="0D0D0D"/>
          <w:sz w:val="22"/>
          <w:szCs w:val="22"/>
        </w:rPr>
        <w:t>st</w:t>
      </w:r>
      <w:proofErr w:type="spellEnd"/>
      <w:r>
        <w:rPr>
          <w:rFonts w:ascii="Arial" w:hAnsi="Arial" w:cs="Arial"/>
          <w:color w:val="0D0D0D"/>
          <w:sz w:val="22"/>
          <w:szCs w:val="22"/>
        </w:rPr>
        <w:t xml:space="preserve">)), (4) </w:t>
      </w:r>
      <w:proofErr w:type="spellStart"/>
      <w:r>
        <w:rPr>
          <w:rFonts w:ascii="Arial" w:hAnsi="Arial" w:cs="Arial"/>
          <w:color w:val="0D0D0D"/>
          <w:sz w:val="22"/>
          <w:szCs w:val="22"/>
        </w:rPr>
        <w:t xml:space="preserve">To </w:t>
      </w:r>
      <w:r w:rsidRPr="00A93F11">
        <w:rPr>
          <w:rFonts w:ascii="Arial" w:hAnsi="Arial" w:cs="Arial"/>
          <w:color w:val="0D0D0D"/>
          <w:sz w:val="22"/>
          <w:szCs w:val="22"/>
        </w:rPr>
        <w:t>p</w:t>
      </w:r>
      <w:proofErr w:type="spellEnd"/>
      <w:r w:rsidRPr="00A93F11">
        <w:rPr>
          <w:rFonts w:ascii="Arial" w:hAnsi="Arial" w:cs="Arial"/>
          <w:color w:val="0D0D0D"/>
          <w:sz w:val="22"/>
          <w:szCs w:val="22"/>
        </w:rPr>
        <w:t xml:space="preserve"> is the order of the model VAR and (5) </w:t>
      </w:r>
      <w:r w:rsidRPr="00A93F11">
        <w:rPr>
          <w:rFonts w:ascii="Cambria Math" w:hAnsi="Cambria Math" w:cs="Cambria Math"/>
          <w:color w:val="0D0D0D"/>
          <w:sz w:val="22"/>
          <w:szCs w:val="22"/>
        </w:rPr>
        <w:t>𝒗</w:t>
      </w:r>
      <w:r w:rsidRPr="00A93F11">
        <w:rPr>
          <w:rFonts w:ascii="Arial" w:hAnsi="Arial" w:cs="Arial"/>
          <w:color w:val="0D0D0D"/>
          <w:sz w:val="22"/>
          <w:szCs w:val="22"/>
        </w:rPr>
        <w:t xml:space="preserve"> is constant vector.</w:t>
      </w:r>
    </w:p>
    <w:p w14:paraId="6F17877F" w14:textId="77777777" w:rsidR="00A93F11" w:rsidRPr="00A93F11" w:rsidRDefault="00A93F11" w:rsidP="00A93F11">
      <w:pPr>
        <w:pStyle w:val="BodyText"/>
        <w:spacing w:after="0"/>
        <w:ind w:right="178"/>
        <w:jc w:val="both"/>
        <w:rPr>
          <w:rFonts w:ascii="Arial" w:hAnsi="Arial" w:cs="Arial"/>
          <w:color w:val="0D0D0D"/>
          <w:sz w:val="22"/>
          <w:szCs w:val="22"/>
        </w:rPr>
      </w:pPr>
    </w:p>
    <w:p w14:paraId="74B61848"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E-Money Transaction</w:t>
      </w:r>
    </w:p>
    <w:p w14:paraId="08CE79D2"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Electronic money (e-money) is an electronic means of payment with certain media such as servers or chips with the provisions of payment methods that have been regulated in banking laws where the value of the money used as a transaction is deposited first to the issuer. According to </w:t>
      </w:r>
      <w:proofErr w:type="spellStart"/>
      <w:r w:rsidRPr="00A93F11">
        <w:rPr>
          <w:rFonts w:ascii="Arial" w:hAnsi="Arial" w:cs="Arial"/>
          <w:color w:val="0D0D0D"/>
          <w:sz w:val="22"/>
          <w:szCs w:val="22"/>
        </w:rPr>
        <w:t>Azali</w:t>
      </w:r>
      <w:proofErr w:type="spellEnd"/>
      <w:r w:rsidRPr="00A93F11">
        <w:rPr>
          <w:rFonts w:ascii="Arial" w:hAnsi="Arial" w:cs="Arial"/>
          <w:color w:val="0D0D0D"/>
          <w:sz w:val="22"/>
          <w:szCs w:val="22"/>
        </w:rPr>
        <w:t xml:space="preserve"> (2016) non-cash payment instruments in Indonesia often find a greater </w:t>
      </w:r>
      <w:r w:rsidRPr="00A93F11">
        <w:rPr>
          <w:rFonts w:ascii="Arial" w:hAnsi="Arial" w:cs="Arial"/>
          <w:color w:val="0D0D0D"/>
          <w:sz w:val="22"/>
          <w:szCs w:val="22"/>
        </w:rPr>
        <w:lastRenderedPageBreak/>
        <w:t>percentage of use in digital cash or e-money compared to debit or credit cards and internet banking. In the interview process related to payment methods in Indonesia which had the result that the internet infrastructure in Indonesia was declared still unstable so that it became the main factor in the electronic payment system and its impact on e-money transactions (</w:t>
      </w:r>
      <w:proofErr w:type="spellStart"/>
      <w:r w:rsidRPr="00A93F11">
        <w:rPr>
          <w:rFonts w:ascii="Arial" w:hAnsi="Arial" w:cs="Arial"/>
          <w:color w:val="0D0D0D"/>
          <w:sz w:val="22"/>
          <w:szCs w:val="22"/>
        </w:rPr>
        <w:t>Robi’in</w:t>
      </w:r>
      <w:proofErr w:type="spellEnd"/>
      <w:r w:rsidRPr="00A93F11">
        <w:rPr>
          <w:rFonts w:ascii="Arial" w:hAnsi="Arial" w:cs="Arial"/>
          <w:color w:val="0D0D0D"/>
          <w:sz w:val="22"/>
          <w:szCs w:val="22"/>
        </w:rPr>
        <w:t xml:space="preserve"> et al.</w:t>
      </w:r>
      <w:r w:rsidRPr="00A93F11">
        <w:rPr>
          <w:rFonts w:ascii="Arial" w:hAnsi="Arial" w:cs="Arial"/>
          <w:color w:val="0D0D0D"/>
          <w:sz w:val="22"/>
          <w:szCs w:val="22"/>
          <w:lang w:val="id-ID"/>
        </w:rPr>
        <w:t>,</w:t>
      </w:r>
      <w:r w:rsidRPr="00A93F11">
        <w:rPr>
          <w:rFonts w:ascii="Arial" w:hAnsi="Arial" w:cs="Arial"/>
          <w:color w:val="0D0D0D"/>
          <w:sz w:val="22"/>
          <w:szCs w:val="22"/>
        </w:rPr>
        <w:t xml:space="preserve"> 2017).</w:t>
      </w:r>
    </w:p>
    <w:p w14:paraId="742423E9" w14:textId="77777777" w:rsidR="00A93F11" w:rsidRPr="00A93F11" w:rsidRDefault="00A93F11" w:rsidP="00A93F11">
      <w:pPr>
        <w:pStyle w:val="BodyText"/>
        <w:spacing w:after="0"/>
        <w:ind w:right="178"/>
        <w:jc w:val="both"/>
        <w:rPr>
          <w:rFonts w:ascii="Arial" w:hAnsi="Arial" w:cs="Arial"/>
          <w:color w:val="0D0D0D"/>
          <w:sz w:val="22"/>
          <w:szCs w:val="22"/>
        </w:rPr>
      </w:pPr>
    </w:p>
    <w:p w14:paraId="29828B72"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The Interest</w:t>
      </w:r>
    </w:p>
    <w:p w14:paraId="102C5A2D"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Investment decisions are a supporting factor in the economic growth of a country and also affect the amount of money circulating in society so that interest rates become an indicator in the process or economic activities in a country. Interest rates have an influence on non-cash payments both in the use of debit and credit cards (</w:t>
      </w:r>
      <w:proofErr w:type="spellStart"/>
      <w:r w:rsidRPr="00A93F11">
        <w:rPr>
          <w:rFonts w:ascii="Arial" w:hAnsi="Arial" w:cs="Arial"/>
          <w:color w:val="0D0D0D"/>
          <w:sz w:val="22"/>
          <w:szCs w:val="22"/>
        </w:rPr>
        <w:t>Lintangsari</w:t>
      </w:r>
      <w:proofErr w:type="spellEnd"/>
      <w:r w:rsidRPr="00A93F11">
        <w:rPr>
          <w:rFonts w:ascii="Arial" w:hAnsi="Arial" w:cs="Arial"/>
          <w:color w:val="0D0D0D"/>
          <w:sz w:val="22"/>
          <w:szCs w:val="22"/>
        </w:rPr>
        <w:t xml:space="preserve"> et al.</w:t>
      </w:r>
      <w:r w:rsidRPr="00A93F11">
        <w:rPr>
          <w:rFonts w:ascii="Arial" w:hAnsi="Arial" w:cs="Arial"/>
          <w:color w:val="0D0D0D"/>
          <w:sz w:val="22"/>
          <w:szCs w:val="22"/>
          <w:lang w:val="id-ID"/>
        </w:rPr>
        <w:t>,</w:t>
      </w:r>
      <w:r w:rsidRPr="00A93F11">
        <w:rPr>
          <w:rFonts w:ascii="Arial" w:hAnsi="Arial" w:cs="Arial"/>
          <w:color w:val="0D0D0D"/>
          <w:sz w:val="22"/>
          <w:szCs w:val="22"/>
        </w:rPr>
        <w:t xml:space="preserve"> 2017). According to </w:t>
      </w:r>
      <w:proofErr w:type="spellStart"/>
      <w:r w:rsidRPr="00A93F11">
        <w:rPr>
          <w:rFonts w:ascii="Arial" w:hAnsi="Arial" w:cs="Arial"/>
          <w:color w:val="0D0D0D"/>
          <w:sz w:val="22"/>
          <w:szCs w:val="22"/>
        </w:rPr>
        <w:t>Igamo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Falianty</w:t>
      </w:r>
      <w:proofErr w:type="spellEnd"/>
      <w:r w:rsidRPr="00A93F11">
        <w:rPr>
          <w:rFonts w:ascii="Arial" w:hAnsi="Arial" w:cs="Arial"/>
          <w:color w:val="0D0D0D"/>
          <w:sz w:val="22"/>
          <w:szCs w:val="22"/>
        </w:rPr>
        <w:t xml:space="preserve"> (2018), research on interest rates on e-money that has a statistically significant effect.</w:t>
      </w:r>
    </w:p>
    <w:p w14:paraId="108C27F3" w14:textId="77777777" w:rsidR="00A93F11" w:rsidRPr="00A93F11" w:rsidRDefault="00A93F11" w:rsidP="00A93F11">
      <w:pPr>
        <w:pStyle w:val="BodyText"/>
        <w:spacing w:after="0"/>
        <w:ind w:right="178"/>
        <w:jc w:val="both"/>
        <w:rPr>
          <w:rFonts w:ascii="Arial" w:hAnsi="Arial" w:cs="Arial"/>
          <w:color w:val="0D0D0D"/>
          <w:sz w:val="22"/>
          <w:szCs w:val="22"/>
        </w:rPr>
      </w:pPr>
    </w:p>
    <w:p w14:paraId="6BE54035" w14:textId="77777777" w:rsidR="00A93F11" w:rsidRPr="00A93F11" w:rsidRDefault="00A93F11" w:rsidP="005601F0">
      <w:pPr>
        <w:pStyle w:val="BodyText"/>
        <w:widowControl w:val="0"/>
        <w:numPr>
          <w:ilvl w:val="0"/>
          <w:numId w:val="33"/>
        </w:numPr>
        <w:autoSpaceDE w:val="0"/>
        <w:autoSpaceDN w:val="0"/>
        <w:spacing w:after="0"/>
        <w:ind w:left="426" w:right="178"/>
        <w:jc w:val="both"/>
        <w:rPr>
          <w:rFonts w:ascii="Arial" w:hAnsi="Arial" w:cs="Arial"/>
          <w:b/>
          <w:color w:val="0D0D0D"/>
          <w:sz w:val="22"/>
          <w:szCs w:val="22"/>
        </w:rPr>
      </w:pPr>
      <w:r w:rsidRPr="00A93F11">
        <w:rPr>
          <w:rFonts w:ascii="Arial" w:hAnsi="Arial" w:cs="Arial"/>
          <w:b/>
          <w:color w:val="0D0D0D"/>
          <w:sz w:val="22"/>
          <w:szCs w:val="22"/>
        </w:rPr>
        <w:t>The Inflation</w:t>
      </w:r>
    </w:p>
    <w:p w14:paraId="54DD3487" w14:textId="77777777" w:rsidR="00A93F11" w:rsidRP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Tandelilin</w:t>
      </w:r>
      <w:proofErr w:type="spellEnd"/>
      <w:r w:rsidRPr="00A93F11">
        <w:rPr>
          <w:rFonts w:ascii="Arial" w:hAnsi="Arial" w:cs="Arial"/>
          <w:color w:val="0D0D0D"/>
          <w:sz w:val="22"/>
          <w:szCs w:val="22"/>
        </w:rPr>
        <w:t xml:space="preserve"> (2010), inflation is an economic condition when demand for products that subsidize product offerings, resulting in price increases. A continuous increase in the price or rate of value of money over a period of time is called inflation. Inflation affects e-money transactions, debit card transactions, and credit card transactions which are instruments of non-cash payments in Indonesia (</w:t>
      </w:r>
      <w:proofErr w:type="spellStart"/>
      <w:r w:rsidRPr="00A93F11">
        <w:rPr>
          <w:rFonts w:ascii="Arial" w:hAnsi="Arial" w:cs="Arial"/>
          <w:color w:val="0D0D0D"/>
          <w:sz w:val="22"/>
          <w:szCs w:val="22"/>
        </w:rPr>
        <w:t>Lintangsari</w:t>
      </w:r>
      <w:proofErr w:type="spellEnd"/>
      <w:r w:rsidRPr="00A93F11">
        <w:rPr>
          <w:rFonts w:ascii="Arial" w:hAnsi="Arial" w:cs="Arial"/>
          <w:color w:val="0D0D0D"/>
          <w:sz w:val="22"/>
          <w:szCs w:val="22"/>
        </w:rPr>
        <w:t xml:space="preserve"> et al., 2017). According to </w:t>
      </w:r>
      <w:proofErr w:type="spellStart"/>
      <w:r w:rsidRPr="00A93F11">
        <w:rPr>
          <w:rFonts w:ascii="Arial" w:hAnsi="Arial" w:cs="Arial"/>
          <w:color w:val="0D0D0D"/>
          <w:sz w:val="22"/>
          <w:szCs w:val="22"/>
        </w:rPr>
        <w:t>Igamo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Falianty</w:t>
      </w:r>
      <w:proofErr w:type="spellEnd"/>
      <w:r w:rsidRPr="00A93F11">
        <w:rPr>
          <w:rFonts w:ascii="Arial" w:hAnsi="Arial" w:cs="Arial"/>
          <w:color w:val="0D0D0D"/>
          <w:sz w:val="22"/>
          <w:szCs w:val="22"/>
        </w:rPr>
        <w:t xml:space="preserve"> (2018), e-money substitutes cash in Indonesia using the vector error correction model, which provides research results that the inflation rate has a significant effect on e-money.</w:t>
      </w:r>
    </w:p>
    <w:p w14:paraId="453501E0" w14:textId="77777777" w:rsidR="00A93F11" w:rsidRPr="00A93F11" w:rsidRDefault="00A93F11" w:rsidP="00A93F11">
      <w:pPr>
        <w:pStyle w:val="BodyText"/>
        <w:widowControl w:val="0"/>
        <w:autoSpaceDE w:val="0"/>
        <w:autoSpaceDN w:val="0"/>
        <w:spacing w:after="0"/>
        <w:ind w:right="178"/>
        <w:jc w:val="both"/>
        <w:rPr>
          <w:rFonts w:ascii="Arial" w:hAnsi="Arial" w:cs="Arial"/>
          <w:b/>
          <w:color w:val="0D0D0D"/>
          <w:sz w:val="22"/>
          <w:szCs w:val="22"/>
        </w:rPr>
      </w:pPr>
    </w:p>
    <w:p w14:paraId="1D95B842"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Returns</w:t>
      </w:r>
    </w:p>
    <w:p w14:paraId="13CA7334"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Returns are the result of investments earned from shareholders as a profit. In a sense, return is the rate of return on shares on investments made. According to </w:t>
      </w:r>
      <w:proofErr w:type="spellStart"/>
      <w:r w:rsidRPr="00A93F11">
        <w:rPr>
          <w:rFonts w:ascii="Arial" w:hAnsi="Arial" w:cs="Arial"/>
          <w:color w:val="0D0D0D"/>
          <w:sz w:val="22"/>
          <w:szCs w:val="22"/>
        </w:rPr>
        <w:t>Tayibnapis</w:t>
      </w:r>
      <w:proofErr w:type="spellEnd"/>
      <w:r w:rsidRPr="00A93F11">
        <w:rPr>
          <w:rFonts w:ascii="Arial" w:hAnsi="Arial" w:cs="Arial"/>
          <w:color w:val="0D0D0D"/>
          <w:sz w:val="22"/>
          <w:szCs w:val="22"/>
        </w:rPr>
        <w:t xml:space="preserve"> et al., (2018), equity </w:t>
      </w:r>
      <w:proofErr w:type="spellStart"/>
      <w:r w:rsidRPr="00A93F11">
        <w:rPr>
          <w:rFonts w:ascii="Arial" w:hAnsi="Arial" w:cs="Arial"/>
          <w:color w:val="0D0D0D"/>
          <w:sz w:val="22"/>
          <w:szCs w:val="22"/>
        </w:rPr>
        <w:t>crowfunding</w:t>
      </w:r>
      <w:proofErr w:type="spellEnd"/>
      <w:r w:rsidRPr="00A93F11">
        <w:rPr>
          <w:rFonts w:ascii="Arial" w:hAnsi="Arial" w:cs="Arial"/>
          <w:color w:val="0D0D0D"/>
          <w:sz w:val="22"/>
          <w:szCs w:val="22"/>
        </w:rPr>
        <w:t xml:space="preserve"> is the implementation of a stock offering service by companies to sell shares directly to investors through an electronic system using the internet network so that e-money can increase investment in financial technology, one of which is in stocks or better known as equity </w:t>
      </w:r>
      <w:proofErr w:type="spellStart"/>
      <w:r w:rsidRPr="00A93F11">
        <w:rPr>
          <w:rFonts w:ascii="Arial" w:hAnsi="Arial" w:cs="Arial"/>
          <w:color w:val="0D0D0D"/>
          <w:sz w:val="22"/>
          <w:szCs w:val="22"/>
        </w:rPr>
        <w:t>crowfunding</w:t>
      </w:r>
      <w:proofErr w:type="spellEnd"/>
      <w:r w:rsidRPr="00A93F11">
        <w:rPr>
          <w:rFonts w:ascii="Arial" w:hAnsi="Arial" w:cs="Arial"/>
          <w:color w:val="0D0D0D"/>
          <w:sz w:val="22"/>
          <w:szCs w:val="22"/>
        </w:rPr>
        <w:t>.</w:t>
      </w:r>
    </w:p>
    <w:p w14:paraId="58B24058" w14:textId="77777777" w:rsidR="00A93F11" w:rsidRPr="00A93F11" w:rsidRDefault="00A93F11" w:rsidP="00A93F11">
      <w:pPr>
        <w:pStyle w:val="BodyText"/>
        <w:spacing w:after="0"/>
        <w:ind w:right="178"/>
        <w:jc w:val="both"/>
        <w:rPr>
          <w:rFonts w:ascii="Arial" w:hAnsi="Arial" w:cs="Arial"/>
          <w:color w:val="0D0D0D"/>
          <w:sz w:val="22"/>
          <w:szCs w:val="22"/>
        </w:rPr>
      </w:pPr>
    </w:p>
    <w:p w14:paraId="495B617C"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Composite Stock Price Index</w:t>
      </w:r>
    </w:p>
    <w:p w14:paraId="51B7B301"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Composite stock price index is a composite index of all types of stocks listed on the stock exchange. Index calculations represent stock price movements in the market or exchange that occur </w:t>
      </w:r>
      <w:r w:rsidRPr="00A93F11">
        <w:rPr>
          <w:rFonts w:ascii="Arial" w:hAnsi="Arial" w:cs="Arial"/>
          <w:color w:val="0D0D0D"/>
          <w:sz w:val="22"/>
          <w:szCs w:val="22"/>
        </w:rPr>
        <w:t>through an auction trading system. The share price is the value of a person's inclusion or ownership in a company. The more investors who want to buy or keep a stock, the higher its price. And vice versa, if more investors sell or release, it has an impact on falling stock prices (</w:t>
      </w:r>
      <w:proofErr w:type="spellStart"/>
      <w:r w:rsidRPr="00A93F11">
        <w:rPr>
          <w:rFonts w:ascii="Arial" w:hAnsi="Arial" w:cs="Arial"/>
          <w:color w:val="0D0D0D"/>
          <w:sz w:val="22"/>
          <w:szCs w:val="22"/>
        </w:rPr>
        <w:t>Anisma</w:t>
      </w:r>
      <w:proofErr w:type="spellEnd"/>
      <w:r w:rsidRPr="00A93F11">
        <w:rPr>
          <w:rFonts w:ascii="Arial" w:hAnsi="Arial" w:cs="Arial"/>
          <w:color w:val="0D0D0D"/>
          <w:sz w:val="22"/>
          <w:szCs w:val="22"/>
        </w:rPr>
        <w:t>, 2012).</w:t>
      </w:r>
    </w:p>
    <w:p w14:paraId="0F5B08DB" w14:textId="77777777" w:rsidR="00A93F11" w:rsidRPr="00A93F11" w:rsidRDefault="00A93F11" w:rsidP="00A93F11">
      <w:pPr>
        <w:pStyle w:val="BodyText"/>
        <w:spacing w:after="0"/>
        <w:ind w:right="178"/>
        <w:jc w:val="both"/>
        <w:rPr>
          <w:rFonts w:ascii="Arial" w:hAnsi="Arial" w:cs="Arial"/>
          <w:color w:val="0D0D0D"/>
          <w:sz w:val="22"/>
          <w:szCs w:val="22"/>
        </w:rPr>
      </w:pPr>
    </w:p>
    <w:p w14:paraId="326F64B8"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Application of the Markov Switching Model Method in e-money Transactions</w:t>
      </w:r>
    </w:p>
    <w:p w14:paraId="7677B24B" w14:textId="77777777" w:rsidR="00A93F11" w:rsidRPr="00A93F11" w:rsidRDefault="00A93F11" w:rsidP="00A93F11">
      <w:pPr>
        <w:pStyle w:val="BodyText"/>
        <w:spacing w:after="0"/>
        <w:ind w:right="178"/>
        <w:jc w:val="both"/>
        <w:rPr>
          <w:rFonts w:ascii="Arial" w:hAnsi="Arial" w:cs="Arial"/>
          <w:sz w:val="22"/>
          <w:szCs w:val="22"/>
        </w:r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Untoro</w:t>
      </w:r>
      <w:proofErr w:type="spellEnd"/>
      <w:r w:rsidRPr="00A93F11">
        <w:rPr>
          <w:rFonts w:ascii="Arial" w:hAnsi="Arial" w:cs="Arial"/>
          <w:color w:val="0D0D0D"/>
          <w:sz w:val="22"/>
          <w:szCs w:val="22"/>
        </w:rPr>
        <w:t xml:space="preserve"> et al. (2014), the use of payment system instruments as macroeconomic </w:t>
      </w:r>
      <w:proofErr w:type="spellStart"/>
      <w:r w:rsidRPr="00A93F11">
        <w:rPr>
          <w:rFonts w:ascii="Arial" w:hAnsi="Arial" w:cs="Arial"/>
          <w:color w:val="0D0D0D"/>
          <w:sz w:val="22"/>
          <w:szCs w:val="22"/>
        </w:rPr>
        <w:t>leding</w:t>
      </w:r>
      <w:proofErr w:type="spellEnd"/>
      <w:r w:rsidRPr="00A93F11">
        <w:rPr>
          <w:rFonts w:ascii="Arial" w:hAnsi="Arial" w:cs="Arial"/>
          <w:color w:val="0D0D0D"/>
          <w:sz w:val="22"/>
          <w:szCs w:val="22"/>
        </w:rPr>
        <w:t xml:space="preserve"> indicators using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model method. This research uses two phases, namely the recession phase and the expansion phase, which can capture well in the recession period and the expansion period. Early indications of economic movement in Indonesia such as RTGS transactions, clearing volume and ATM or debit volume where the three payment system variables are e-money transactions using payment system variables</w:t>
      </w:r>
      <w:r w:rsidRPr="00A93F11">
        <w:rPr>
          <w:rFonts w:ascii="Arial" w:hAnsi="Arial" w:cs="Arial"/>
          <w:sz w:val="22"/>
          <w:szCs w:val="22"/>
        </w:rPr>
        <w:t>.</w:t>
      </w:r>
    </w:p>
    <w:p w14:paraId="68FFE413" w14:textId="77777777" w:rsidR="00790ADA" w:rsidRPr="00FB3A86" w:rsidRDefault="00790ADA" w:rsidP="00441B6F">
      <w:pPr>
        <w:pStyle w:val="Body"/>
        <w:spacing w:after="0"/>
        <w:rPr>
          <w:rFonts w:ascii="Arial" w:hAnsi="Arial" w:cs="Arial"/>
        </w:rPr>
      </w:pPr>
    </w:p>
    <w:p w14:paraId="3BDD9E6B" w14:textId="77777777" w:rsidR="007F7B32" w:rsidRDefault="00902823" w:rsidP="005601F0">
      <w:pPr>
        <w:pStyle w:val="AbstHead"/>
        <w:numPr>
          <w:ilvl w:val="0"/>
          <w:numId w:val="32"/>
        </w:numPr>
        <w:spacing w:after="0"/>
        <w:ind w:left="426" w:hanging="426"/>
        <w:jc w:val="both"/>
        <w:rPr>
          <w:rFonts w:ascii="Arial" w:hAnsi="Arial" w:cs="Arial"/>
        </w:rPr>
      </w:pPr>
      <w:r>
        <w:rPr>
          <w:rFonts w:ascii="Arial" w:hAnsi="Arial" w:cs="Arial"/>
        </w:rPr>
        <w:t>method</w:t>
      </w:r>
      <w:r w:rsidR="00A93F11">
        <w:rPr>
          <w:rFonts w:ascii="Arial" w:hAnsi="Arial" w:cs="Arial"/>
        </w:rPr>
        <w:t>s</w:t>
      </w:r>
    </w:p>
    <w:p w14:paraId="40134FD4" w14:textId="77777777" w:rsidR="00A93F11" w:rsidRPr="00A93F11" w:rsidRDefault="00A93F11" w:rsidP="005601F0">
      <w:pPr>
        <w:pStyle w:val="BodyText"/>
        <w:widowControl w:val="0"/>
        <w:numPr>
          <w:ilvl w:val="0"/>
          <w:numId w:val="34"/>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Research Object</w:t>
      </w:r>
    </w:p>
    <w:p w14:paraId="3FEA5381" w14:textId="77777777" w:rsid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In the research on the use of e-money transactions with variables such as interest rates, inflation rates, stock returns and turning point positions 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regime switching model so as to be able to predict this indicator has a major impact on the electronic equivalent payment system or </w:t>
      </w:r>
      <w:proofErr w:type="spellStart"/>
      <w:r w:rsidRPr="00A93F11">
        <w:rPr>
          <w:rFonts w:ascii="Arial" w:hAnsi="Arial" w:cs="Arial"/>
          <w:color w:val="0D0D0D"/>
          <w:sz w:val="22"/>
          <w:szCs w:val="22"/>
        </w:rPr>
        <w:t>emoney</w:t>
      </w:r>
      <w:proofErr w:type="spellEnd"/>
      <w:r w:rsidRPr="00A93F11">
        <w:rPr>
          <w:rFonts w:ascii="Arial" w:hAnsi="Arial" w:cs="Arial"/>
          <w:color w:val="0D0D0D"/>
          <w:sz w:val="22"/>
          <w:szCs w:val="22"/>
        </w:rPr>
        <w:t xml:space="preserve"> with data from Bank Indonesia for a period of 10 years.</w:t>
      </w:r>
    </w:p>
    <w:p w14:paraId="1B924D63" w14:textId="77777777" w:rsidR="00A93F11" w:rsidRPr="00A93F11" w:rsidRDefault="00A93F11" w:rsidP="005601F0">
      <w:pPr>
        <w:pStyle w:val="BodyText"/>
        <w:widowControl w:val="0"/>
        <w:numPr>
          <w:ilvl w:val="0"/>
          <w:numId w:val="34"/>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Definition of Operational Variable</w:t>
      </w:r>
    </w:p>
    <w:p w14:paraId="56AF9A6B"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E-money Transaction</w:t>
      </w:r>
    </w:p>
    <w:p w14:paraId="29C3D157"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Payment instruments that meet the elements as e-money are issued on the basis of the value of money deposited first to the issuer, the value of money is stored electronically in a medium such as a server or chip and the value of e-money managed by the issuer is not a deposit as referred to in the law governing banking. E-money transactions are taken from payment system statistics from the Bank Indonesia website.</w:t>
      </w:r>
    </w:p>
    <w:p w14:paraId="5842C19C"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The Interest dan The Inflation</w:t>
      </w:r>
    </w:p>
    <w:p w14:paraId="140A50B2"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The variables of interest rates and inflation rates in this study were taken from Bank Indonesia data and inflation data from the website of the Central Statistics Agency (BPS).</w:t>
      </w:r>
    </w:p>
    <w:p w14:paraId="6AC67A07"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Returns</w:t>
      </w:r>
    </w:p>
    <w:p w14:paraId="5B4455AD"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Actual returns reflect the capital gains (losses) of the calculation of stock prices and dividends. According to Jones (2007), there are two components to the actual return, namely dividend </w:t>
      </w:r>
      <w:r w:rsidRPr="00A93F11">
        <w:rPr>
          <w:rFonts w:ascii="Arial" w:hAnsi="Arial" w:cs="Arial"/>
          <w:color w:val="0D0D0D"/>
          <w:sz w:val="22"/>
          <w:szCs w:val="22"/>
        </w:rPr>
        <w:lastRenderedPageBreak/>
        <w:t>yield and capital gains. So that the total return is the result of the summation of capital gains and dividend yields. The variable return on shares of banking companies in this study was taken from data from the Indonesia Stock Exchange Investment Gallery. To calculate the capital gain (</w:t>
      </w:r>
      <w:proofErr w:type="spellStart"/>
      <w:r w:rsidRPr="00A93F11">
        <w:rPr>
          <w:rFonts w:ascii="Arial" w:hAnsi="Arial" w:cs="Arial"/>
          <w:color w:val="0D0D0D"/>
          <w:sz w:val="22"/>
          <w:szCs w:val="22"/>
        </w:rPr>
        <w:t>los</w:t>
      </w:r>
      <w:proofErr w:type="spellEnd"/>
      <w:r w:rsidRPr="00A93F11">
        <w:rPr>
          <w:rFonts w:ascii="Arial" w:hAnsi="Arial" w:cs="Arial"/>
          <w:color w:val="0D0D0D"/>
          <w:sz w:val="22"/>
          <w:szCs w:val="22"/>
        </w:rPr>
        <w:t>) of a stock using the following formula.</w:t>
      </w:r>
    </w:p>
    <w:p w14:paraId="6797C6DB" w14:textId="77777777" w:rsidR="00A93F11" w:rsidRPr="00A93F11" w:rsidRDefault="00A93F11" w:rsidP="00A93F11">
      <w:pPr>
        <w:pStyle w:val="BodyText"/>
        <w:ind w:left="222" w:right="178" w:hanging="360"/>
        <w:jc w:val="both"/>
        <w:rPr>
          <w:rFonts w:ascii="Arial" w:hAnsi="Arial" w:cs="Arial"/>
          <w:color w:val="0D0D0D"/>
          <w:sz w:val="22"/>
          <w:szCs w:val="22"/>
        </w:rPr>
      </w:pPr>
      <m:oMathPara>
        <m:oMath>
          <m:r>
            <w:rPr>
              <w:rFonts w:ascii="Cambria Math" w:hAnsi="Cambria Math" w:cs="Arial"/>
              <w:color w:val="0D0D0D"/>
              <w:sz w:val="22"/>
              <w:szCs w:val="22"/>
            </w:rPr>
            <m:t>CG</m:t>
          </m:r>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num>
            <m:den>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den>
          </m:f>
        </m:oMath>
      </m:oMathPara>
    </w:p>
    <w:p w14:paraId="44B4A6CF" w14:textId="77777777" w:rsidR="00A93F11" w:rsidRP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When:</w:t>
      </w:r>
    </w:p>
    <w:p w14:paraId="61703893"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Pt -1 is the share price of the past period t-1</w:t>
      </w:r>
    </w:p>
    <w:p w14:paraId="29375664"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Pt is the share price of the period t</w:t>
      </w:r>
    </w:p>
    <w:p w14:paraId="4AF9FEE3"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CG is the capital gain (loss)</w:t>
      </w:r>
    </w:p>
    <w:p w14:paraId="73B42C05" w14:textId="77777777" w:rsidR="00A93F11" w:rsidRP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Then for dividend yield has a formula:</w:t>
      </w:r>
    </w:p>
    <w:p w14:paraId="6209A8AF" w14:textId="77777777" w:rsidR="00A93F11" w:rsidRPr="00A93F11" w:rsidRDefault="00A93F11" w:rsidP="00A93F11">
      <w:pPr>
        <w:pStyle w:val="BodyText"/>
        <w:spacing w:after="0"/>
        <w:ind w:left="222" w:right="178" w:hanging="15"/>
        <w:jc w:val="both"/>
        <w:rPr>
          <w:rFonts w:ascii="Arial" w:hAnsi="Arial" w:cs="Arial"/>
          <w:color w:val="0D0D0D"/>
          <w:sz w:val="22"/>
          <w:szCs w:val="22"/>
        </w:rPr>
      </w:pPr>
    </w:p>
    <w:p w14:paraId="27993EEE" w14:textId="77777777" w:rsidR="00A93F11" w:rsidRPr="00A93F11" w:rsidRDefault="00A93F11" w:rsidP="00A93F11">
      <w:pPr>
        <w:pStyle w:val="BodyText"/>
        <w:ind w:left="222" w:right="178" w:hanging="360"/>
        <w:jc w:val="both"/>
        <w:rPr>
          <w:rFonts w:ascii="Arial" w:hAnsi="Arial" w:cs="Arial"/>
          <w:color w:val="0D0D0D"/>
          <w:sz w:val="22"/>
          <w:szCs w:val="22"/>
        </w:rPr>
      </w:pPr>
      <m:oMathPara>
        <m:oMath>
          <m:r>
            <w:rPr>
              <w:rFonts w:ascii="Cambria Math" w:hAnsi="Cambria Math" w:cs="Arial"/>
              <w:color w:val="0D0D0D"/>
              <w:sz w:val="22"/>
              <w:szCs w:val="22"/>
            </w:rPr>
            <m:t>DY</m:t>
          </m:r>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r>
                <w:rPr>
                  <w:rFonts w:ascii="Cambria Math" w:hAnsi="Cambria Math" w:cs="Arial"/>
                  <w:color w:val="0D0D0D"/>
                  <w:sz w:val="22"/>
                  <w:szCs w:val="22"/>
                </w:rPr>
                <m:t>Dt</m:t>
              </m:r>
            </m:num>
            <m:den>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den>
          </m:f>
        </m:oMath>
      </m:oMathPara>
    </w:p>
    <w:p w14:paraId="3D1005E1"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When:</w:t>
      </w:r>
    </w:p>
    <w:p w14:paraId="2ABE6547"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Pt -1 is the share price of the past period t-1</w:t>
      </w:r>
    </w:p>
    <w:p w14:paraId="654014C8"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Pt is the share price of the period t</w:t>
      </w:r>
    </w:p>
    <w:p w14:paraId="666A1B24"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 xml:space="preserve">DY is </w:t>
      </w:r>
      <w:proofErr w:type="spellStart"/>
      <w:r w:rsidRPr="00A93F11">
        <w:rPr>
          <w:rFonts w:ascii="Arial" w:hAnsi="Arial" w:cs="Arial"/>
          <w:color w:val="0D0D0D"/>
          <w:sz w:val="22"/>
          <w:szCs w:val="22"/>
        </w:rPr>
        <w:t>dividen</w:t>
      </w:r>
      <w:proofErr w:type="spellEnd"/>
      <w:r w:rsidRPr="00A93F11">
        <w:rPr>
          <w:rFonts w:ascii="Arial" w:hAnsi="Arial" w:cs="Arial"/>
          <w:color w:val="0D0D0D"/>
          <w:sz w:val="22"/>
          <w:szCs w:val="22"/>
        </w:rPr>
        <w:t xml:space="preserve"> yield</w:t>
      </w:r>
    </w:p>
    <w:p w14:paraId="0FA00FCB" w14:textId="77777777" w:rsidR="00A93F11" w:rsidRPr="00A93F11" w:rsidRDefault="00A93F11" w:rsidP="00A93F11">
      <w:pPr>
        <w:pStyle w:val="BodyText"/>
        <w:ind w:left="222" w:right="178" w:hanging="360"/>
        <w:jc w:val="both"/>
        <w:rPr>
          <w:rFonts w:ascii="Arial" w:hAnsi="Arial" w:cs="Arial"/>
          <w:color w:val="0D0D0D"/>
          <w:sz w:val="22"/>
          <w:szCs w:val="22"/>
        </w:rPr>
      </w:pPr>
    </w:p>
    <w:p w14:paraId="0A8A9ED0" w14:textId="77777777" w:rsidR="00A93F11" w:rsidRPr="00A93F11" w:rsidRDefault="00A93F11" w:rsidP="00A93F11">
      <w:pPr>
        <w:pStyle w:val="BodyText"/>
        <w:ind w:left="222" w:right="178"/>
        <w:jc w:val="both"/>
        <w:rPr>
          <w:rFonts w:ascii="Arial" w:hAnsi="Arial" w:cs="Arial"/>
          <w:color w:val="0D0D0D"/>
          <w:sz w:val="22"/>
          <w:szCs w:val="22"/>
        </w:rPr>
      </w:pPr>
      <w:r w:rsidRPr="00A93F11">
        <w:rPr>
          <w:rFonts w:ascii="Arial" w:hAnsi="Arial" w:cs="Arial"/>
          <w:color w:val="0D0D0D"/>
          <w:sz w:val="22"/>
          <w:szCs w:val="22"/>
        </w:rPr>
        <w:t>Then combining the two components with the capital gains and dividend yield formulas is as follows:</w:t>
      </w:r>
    </w:p>
    <w:p w14:paraId="02FB50A8" w14:textId="77777777" w:rsidR="00A93F11" w:rsidRPr="00A93F11" w:rsidRDefault="00A93F11" w:rsidP="00A93F11">
      <w:pPr>
        <w:pStyle w:val="BodyText"/>
        <w:ind w:left="222" w:right="178" w:hanging="360"/>
        <w:jc w:val="center"/>
        <w:rPr>
          <w:rFonts w:ascii="Arial" w:hAnsi="Arial" w:cs="Arial"/>
          <w:color w:val="0D0D0D"/>
          <w:sz w:val="22"/>
          <w:szCs w:val="22"/>
        </w:rPr>
      </w:pPr>
      <w:r w:rsidRPr="00A93F11">
        <w:rPr>
          <w:rFonts w:ascii="Arial" w:hAnsi="Arial" w:cs="Arial"/>
          <w:color w:val="0D0D0D"/>
          <w:sz w:val="22"/>
          <w:szCs w:val="22"/>
        </w:rPr>
        <w:t>Total Returns = DY + CG</w:t>
      </w:r>
    </w:p>
    <w:p w14:paraId="7E51EE41" w14:textId="77777777" w:rsidR="00A93F11" w:rsidRPr="00A93F11" w:rsidRDefault="00A93F11" w:rsidP="00A93F11">
      <w:pPr>
        <w:pStyle w:val="BodyText"/>
        <w:ind w:left="222" w:right="178" w:hanging="360"/>
        <w:jc w:val="both"/>
        <w:rPr>
          <w:rFonts w:ascii="Arial" w:hAnsi="Arial" w:cs="Arial"/>
          <w:color w:val="0D0D0D"/>
          <w:sz w:val="22"/>
          <w:szCs w:val="22"/>
        </w:rPr>
      </w:pPr>
    </w:p>
    <w:p w14:paraId="282E40C8"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When:</w:t>
      </w:r>
    </w:p>
    <w:p w14:paraId="11780B4E"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 xml:space="preserve">DY is </w:t>
      </w:r>
      <w:proofErr w:type="spellStart"/>
      <w:r w:rsidRPr="00A93F11">
        <w:rPr>
          <w:rFonts w:ascii="Arial" w:hAnsi="Arial" w:cs="Arial"/>
          <w:color w:val="0D0D0D"/>
          <w:sz w:val="22"/>
          <w:szCs w:val="22"/>
        </w:rPr>
        <w:t>dividen</w:t>
      </w:r>
      <w:proofErr w:type="spellEnd"/>
      <w:r w:rsidRPr="00A93F11">
        <w:rPr>
          <w:rFonts w:ascii="Arial" w:hAnsi="Arial" w:cs="Arial"/>
          <w:color w:val="0D0D0D"/>
          <w:sz w:val="22"/>
          <w:szCs w:val="22"/>
        </w:rPr>
        <w:t xml:space="preserve"> yield</w:t>
      </w:r>
    </w:p>
    <w:p w14:paraId="45567039" w14:textId="77777777" w:rsid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CG is the capital gain (loss)</w:t>
      </w:r>
    </w:p>
    <w:p w14:paraId="201C2016" w14:textId="77777777" w:rsidR="00A93F11" w:rsidRPr="00A93F11" w:rsidRDefault="00A93F11" w:rsidP="00A93F11">
      <w:pPr>
        <w:pStyle w:val="BodyText"/>
        <w:spacing w:after="0"/>
        <w:ind w:left="222" w:right="178" w:hanging="15"/>
        <w:jc w:val="both"/>
        <w:rPr>
          <w:rFonts w:ascii="Arial" w:hAnsi="Arial" w:cs="Arial"/>
          <w:color w:val="0D0D0D"/>
          <w:sz w:val="22"/>
          <w:szCs w:val="22"/>
        </w:rPr>
      </w:pPr>
    </w:p>
    <w:p w14:paraId="7207BC9D"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Composite Stock Price Index</w:t>
      </w:r>
    </w:p>
    <w:p w14:paraId="2DDBBDF6" w14:textId="77777777" w:rsidR="00A93F11" w:rsidRPr="00A93F11" w:rsidRDefault="00A93F11" w:rsidP="00A93F11">
      <w:pPr>
        <w:pStyle w:val="BodyText"/>
        <w:ind w:left="222" w:right="178" w:hanging="15"/>
        <w:jc w:val="both"/>
        <w:rPr>
          <w:rFonts w:ascii="Arial" w:hAnsi="Arial" w:cs="Arial"/>
          <w:color w:val="0D0D0D"/>
          <w:sz w:val="22"/>
          <w:szCs w:val="22"/>
        </w:rPr>
      </w:pPr>
      <w:r w:rsidRPr="00A93F11">
        <w:rPr>
          <w:rFonts w:ascii="Arial" w:hAnsi="Arial" w:cs="Arial"/>
          <w:color w:val="0D0D0D"/>
          <w:sz w:val="22"/>
          <w:szCs w:val="22"/>
        </w:rPr>
        <w:t>The variable return on shares of banking companies in this study was taken from data from the Indonesia Stock Exchange Investment Gallery STIESIA Surabaya. To calculate JCI using the following formula</w:t>
      </w:r>
    </w:p>
    <w:p w14:paraId="621341A2" w14:textId="77777777" w:rsidR="00A93F11" w:rsidRPr="00A93F11" w:rsidRDefault="0047473C" w:rsidP="00A93F11">
      <w:pPr>
        <w:pStyle w:val="BodyText"/>
        <w:ind w:left="222" w:right="178" w:hanging="360"/>
        <w:jc w:val="both"/>
        <w:rPr>
          <w:rFonts w:ascii="Arial" w:hAnsi="Arial" w:cs="Arial"/>
          <w:color w:val="0D0D0D"/>
          <w:sz w:val="22"/>
          <w:szCs w:val="22"/>
        </w:rPr>
      </w:pPr>
      <m:oMathPara>
        <m:oMath>
          <m:sSub>
            <m:sSubPr>
              <m:ctrlPr>
                <w:rPr>
                  <w:rFonts w:ascii="Cambria Math" w:hAnsi="Cambria Math" w:cs="Arial"/>
                  <w:color w:val="0D0D0D"/>
                  <w:sz w:val="22"/>
                  <w:szCs w:val="22"/>
                </w:rPr>
              </m:ctrlPr>
            </m:sSubPr>
            <m:e>
              <m:r>
                <w:rPr>
                  <w:rFonts w:ascii="Cambria Math" w:hAnsi="Cambria Math" w:cs="Arial"/>
                  <w:color w:val="0D0D0D"/>
                  <w:sz w:val="22"/>
                  <w:szCs w:val="22"/>
                </w:rPr>
                <m:t>CSPI</m:t>
              </m:r>
            </m:e>
            <m:sub>
              <m:r>
                <w:rPr>
                  <w:rFonts w:ascii="Cambria Math" w:hAnsi="Cambria Math" w:cs="Arial"/>
                  <w:color w:val="0D0D0D"/>
                  <w:sz w:val="22"/>
                  <w:szCs w:val="22"/>
                </w:rPr>
                <m:t>t</m:t>
              </m:r>
            </m:sub>
          </m:sSub>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sSub>
                <m:sSubPr>
                  <m:ctrlPr>
                    <w:rPr>
                      <w:rFonts w:ascii="Cambria Math" w:hAnsi="Cambria Math" w:cs="Arial"/>
                      <w:color w:val="0D0D0D"/>
                      <w:sz w:val="22"/>
                      <w:szCs w:val="22"/>
                    </w:rPr>
                  </m:ctrlPr>
                </m:sSubPr>
                <m:e>
                  <m:r>
                    <w:rPr>
                      <w:rFonts w:ascii="Cambria Math" w:hAnsi="Cambria Math" w:cs="Arial"/>
                      <w:color w:val="0D0D0D"/>
                      <w:sz w:val="22"/>
                      <w:szCs w:val="22"/>
                    </w:rPr>
                    <m:t>NP</m:t>
                  </m:r>
                </m:e>
                <m:sub>
                  <m:r>
                    <w:rPr>
                      <w:rFonts w:ascii="Cambria Math" w:hAnsi="Cambria Math" w:cs="Arial"/>
                      <w:color w:val="0D0D0D"/>
                      <w:sz w:val="22"/>
                      <w:szCs w:val="22"/>
                    </w:rPr>
                    <m:t>t</m:t>
                  </m:r>
                </m:sub>
              </m:sSub>
            </m:num>
            <m:den>
              <m:r>
                <w:rPr>
                  <w:rFonts w:ascii="Cambria Math" w:hAnsi="Cambria Math" w:cs="Arial"/>
                  <w:color w:val="0D0D0D"/>
                  <w:sz w:val="22"/>
                  <w:szCs w:val="22"/>
                </w:rPr>
                <m:t>ND</m:t>
              </m:r>
            </m:den>
          </m:f>
          <m:r>
            <m:rPr>
              <m:sty m:val="p"/>
            </m:rPr>
            <w:rPr>
              <w:rFonts w:ascii="Cambria Math" w:hAnsi="Cambria Math" w:cs="Arial"/>
              <w:color w:val="0D0D0D"/>
              <w:sz w:val="22"/>
              <w:szCs w:val="22"/>
            </w:rPr>
            <m:t xml:space="preserve"> </m:t>
          </m:r>
          <m:r>
            <w:rPr>
              <w:rFonts w:ascii="Cambria Math" w:hAnsi="Cambria Math" w:cs="Arial"/>
              <w:color w:val="0D0D0D"/>
              <w:sz w:val="22"/>
              <w:szCs w:val="22"/>
            </w:rPr>
            <m:t>x</m:t>
          </m:r>
          <m:r>
            <m:rPr>
              <m:sty m:val="p"/>
            </m:rPr>
            <w:rPr>
              <w:rFonts w:ascii="Cambria Math" w:hAnsi="Cambria Math" w:cs="Arial"/>
              <w:color w:val="0D0D0D"/>
              <w:sz w:val="22"/>
              <w:szCs w:val="22"/>
            </w:rPr>
            <m:t xml:space="preserve"> 1</m:t>
          </m:r>
        </m:oMath>
      </m:oMathPara>
    </w:p>
    <w:p w14:paraId="17C9D7B2" w14:textId="77777777" w:rsidR="00A93F11" w:rsidRP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When:</w:t>
      </w:r>
    </w:p>
    <w:p w14:paraId="35647419" w14:textId="77777777" w:rsidR="00A93F11" w:rsidRPr="00A93F11" w:rsidRDefault="00A93F11" w:rsidP="00A93F11">
      <w:pPr>
        <w:pStyle w:val="BodyText"/>
        <w:spacing w:after="0"/>
        <w:ind w:left="567" w:right="178" w:hanging="360"/>
        <w:jc w:val="both"/>
        <w:rPr>
          <w:rFonts w:ascii="Arial" w:hAnsi="Arial" w:cs="Arial"/>
          <w:color w:val="0D0D0D"/>
          <w:sz w:val="22"/>
          <w:szCs w:val="22"/>
        </w:rPr>
      </w:pPr>
      <w:proofErr w:type="spellStart"/>
      <w:r w:rsidRPr="00A93F11">
        <w:rPr>
          <w:rFonts w:ascii="Arial" w:hAnsi="Arial" w:cs="Arial"/>
          <w:color w:val="0D0D0D"/>
          <w:sz w:val="22"/>
          <w:szCs w:val="22"/>
        </w:rPr>
        <w:t>NPt</w:t>
      </w:r>
      <w:proofErr w:type="spellEnd"/>
      <w:r w:rsidRPr="00A93F11">
        <w:rPr>
          <w:rFonts w:ascii="Arial" w:hAnsi="Arial" w:cs="Arial"/>
          <w:color w:val="0D0D0D"/>
          <w:sz w:val="22"/>
          <w:szCs w:val="22"/>
        </w:rPr>
        <w:t xml:space="preserve"> represents the market value on the day 1</w:t>
      </w:r>
    </w:p>
    <w:p w14:paraId="69C6B1E8"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ND is a basic value</w:t>
      </w:r>
    </w:p>
    <w:p w14:paraId="06A3EE6C" w14:textId="77777777" w:rsidR="00A93F11" w:rsidRPr="00A93F11" w:rsidRDefault="00A93F11" w:rsidP="00A93F11">
      <w:pPr>
        <w:pStyle w:val="BodyText"/>
        <w:ind w:right="178" w:hanging="360"/>
        <w:jc w:val="both"/>
        <w:rPr>
          <w:rFonts w:ascii="Arial" w:hAnsi="Arial" w:cs="Arial"/>
          <w:color w:val="0D0D0D"/>
          <w:sz w:val="22"/>
          <w:szCs w:val="22"/>
        </w:rPr>
      </w:pPr>
    </w:p>
    <w:p w14:paraId="59FE503E" w14:textId="77777777" w:rsidR="00A93F11" w:rsidRPr="00A93F11" w:rsidRDefault="00A93F11" w:rsidP="005601F0">
      <w:pPr>
        <w:pStyle w:val="BodyText"/>
        <w:numPr>
          <w:ilvl w:val="0"/>
          <w:numId w:val="34"/>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Data Analysis Techniques </w:t>
      </w:r>
    </w:p>
    <w:p w14:paraId="0C593E68"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Stationarity Test </w:t>
      </w:r>
    </w:p>
    <w:p w14:paraId="56BBD420" w14:textId="77777777" w:rsidR="00A93F11" w:rsidRPr="00A93F11" w:rsidRDefault="00A93F11" w:rsidP="00A93F11">
      <w:pPr>
        <w:pStyle w:val="BodyText"/>
        <w:ind w:right="178"/>
        <w:jc w:val="both"/>
        <w:rPr>
          <w:rFonts w:ascii="Arial" w:hAnsi="Arial" w:cs="Arial"/>
          <w:b/>
          <w:color w:val="0D0D0D"/>
          <w:sz w:val="22"/>
          <w:szCs w:val="22"/>
        </w:rPr>
      </w:pPr>
      <w:r w:rsidRPr="00A93F11">
        <w:rPr>
          <w:rFonts w:ascii="Arial" w:hAnsi="Arial" w:cs="Arial"/>
          <w:color w:val="0D0D0D"/>
          <w:sz w:val="22"/>
          <w:szCs w:val="22"/>
        </w:rPr>
        <w:t>In stationarity tests for time series data is an important prerequisite for model testing. Stationary data is data that has average values, variance and auto variance in a series of lag variations that remain wherever and whenever this data is used, in other words, stationary data in time series data is very stable to use. However, when the data is declared non-stationary, it needs to be changed again and questioned the validity and reliability and stability of the data.</w:t>
      </w:r>
    </w:p>
    <w:p w14:paraId="7EC5C03D"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Threshold Test</w:t>
      </w:r>
    </w:p>
    <w:p w14:paraId="036CE497"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In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 stochastic threshold calculations can be performed.</w:t>
      </w:r>
    </w:p>
    <w:p w14:paraId="038A3539"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Estimating Parameters </w:t>
      </w:r>
    </w:p>
    <w:p w14:paraId="6828804E"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When the model has made an estimate, the smoothed probability can be calculated. The following is a type of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model.</w:t>
      </w:r>
    </w:p>
    <w:p w14:paraId="74CF1DCE" w14:textId="77777777" w:rsidR="002A33EE" w:rsidRDefault="002A33EE" w:rsidP="00A93F11">
      <w:pPr>
        <w:pStyle w:val="BodyText"/>
        <w:spacing w:after="0"/>
        <w:ind w:left="222" w:right="178" w:hanging="360"/>
        <w:jc w:val="center"/>
        <w:rPr>
          <w:rFonts w:ascii="Arial" w:hAnsi="Arial" w:cs="Arial"/>
          <w:b/>
          <w:color w:val="0D0D0D"/>
          <w:sz w:val="22"/>
          <w:szCs w:val="22"/>
        </w:rPr>
        <w:sectPr w:rsidR="002A33EE" w:rsidSect="0018113C">
          <w:type w:val="continuous"/>
          <w:pgSz w:w="12240" w:h="15840"/>
          <w:pgMar w:top="720" w:right="720" w:bottom="720" w:left="720" w:header="720" w:footer="720" w:gutter="0"/>
          <w:cols w:num="2" w:space="720"/>
          <w:docGrid w:linePitch="360"/>
        </w:sectPr>
      </w:pPr>
    </w:p>
    <w:p w14:paraId="48B75023" w14:textId="77777777" w:rsidR="00A93F11" w:rsidRPr="00A93F11" w:rsidRDefault="00A93F11" w:rsidP="00A93F11">
      <w:pPr>
        <w:pStyle w:val="BodyText"/>
        <w:spacing w:after="0"/>
        <w:ind w:left="222" w:right="178" w:hanging="360"/>
        <w:jc w:val="center"/>
        <w:rPr>
          <w:rFonts w:ascii="Arial" w:hAnsi="Arial" w:cs="Arial"/>
          <w:b/>
          <w:color w:val="0D0D0D"/>
          <w:sz w:val="22"/>
          <w:szCs w:val="22"/>
        </w:rPr>
      </w:pPr>
      <w:r w:rsidRPr="00A93F11">
        <w:rPr>
          <w:rFonts w:ascii="Arial" w:hAnsi="Arial" w:cs="Arial"/>
          <w:b/>
          <w:color w:val="0D0D0D"/>
          <w:sz w:val="22"/>
          <w:szCs w:val="22"/>
        </w:rPr>
        <w:t xml:space="preserve">Table 1: Parameters </w:t>
      </w:r>
      <w:proofErr w:type="spellStart"/>
      <w:r w:rsidRPr="00A93F11">
        <w:rPr>
          <w:rFonts w:ascii="Arial" w:hAnsi="Arial" w:cs="Arial"/>
          <w:b/>
          <w:color w:val="0D0D0D"/>
          <w:sz w:val="22"/>
          <w:szCs w:val="22"/>
        </w:rPr>
        <w:t>markov</w:t>
      </w:r>
      <w:proofErr w:type="spellEnd"/>
      <w:r w:rsidRPr="00A93F11">
        <w:rPr>
          <w:rFonts w:ascii="Arial" w:hAnsi="Arial" w:cs="Arial"/>
          <w:b/>
          <w:color w:val="0D0D0D"/>
          <w:sz w:val="22"/>
          <w:szCs w:val="22"/>
        </w:rPr>
        <w:t xml:space="preserve"> regime switching</w:t>
      </w:r>
    </w:p>
    <w:tbl>
      <w:tblPr>
        <w:tblStyle w:val="PlainTable2"/>
        <w:tblW w:w="0" w:type="auto"/>
        <w:jc w:val="center"/>
        <w:tblLayout w:type="fixed"/>
        <w:tblLook w:val="04A0" w:firstRow="1" w:lastRow="0" w:firstColumn="1" w:lastColumn="0" w:noHBand="0" w:noVBand="1"/>
      </w:tblPr>
      <w:tblGrid>
        <w:gridCol w:w="2265"/>
        <w:gridCol w:w="1459"/>
        <w:gridCol w:w="1516"/>
        <w:gridCol w:w="1559"/>
        <w:gridCol w:w="1701"/>
      </w:tblGrid>
      <w:tr w:rsidR="005601F0" w:rsidRPr="00A93F11" w14:paraId="709AE006" w14:textId="77777777" w:rsidTr="005601F0">
        <w:trPr>
          <w:cnfStyle w:val="100000000000" w:firstRow="1" w:lastRow="0" w:firstColumn="0" w:lastColumn="0" w:oddVBand="0" w:evenVBand="0" w:oddHBand="0" w:evenHBand="0" w:firstRowFirstColumn="0" w:firstRowLastColumn="0" w:lastRowFirstColumn="0" w:lastRowLastColumn="0"/>
          <w:trHeight w:hRule="exact" w:val="487"/>
          <w:jc w:val="center"/>
        </w:trPr>
        <w:tc>
          <w:tcPr>
            <w:cnfStyle w:val="001000000000" w:firstRow="0" w:lastRow="0" w:firstColumn="1" w:lastColumn="0" w:oddVBand="0" w:evenVBand="0" w:oddHBand="0" w:evenHBand="0" w:firstRowFirstColumn="0" w:firstRowLastColumn="0" w:lastRowFirstColumn="0" w:lastRowLastColumn="0"/>
            <w:tcW w:w="2265" w:type="dxa"/>
          </w:tcPr>
          <w:p w14:paraId="3B8A228F" w14:textId="77777777" w:rsidR="005601F0" w:rsidRPr="00A93F11" w:rsidRDefault="005601F0" w:rsidP="005601F0">
            <w:pPr>
              <w:pStyle w:val="TableParagraph"/>
              <w:spacing w:before="0" w:after="0" w:line="240" w:lineRule="auto"/>
              <w:ind w:right="-87"/>
              <w:rPr>
                <w:rFonts w:ascii="Arial" w:hAnsi="Arial" w:cs="Arial"/>
                <w:b w:val="0"/>
              </w:rPr>
            </w:pPr>
            <w:r w:rsidRPr="00A93F11">
              <w:rPr>
                <w:rFonts w:ascii="Arial" w:hAnsi="Arial" w:cs="Arial"/>
              </w:rPr>
              <w:t>Notation</w:t>
            </w:r>
          </w:p>
        </w:tc>
        <w:tc>
          <w:tcPr>
            <w:tcW w:w="1459" w:type="dxa"/>
          </w:tcPr>
          <w:p w14:paraId="3D5CAB9B"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µ</w:t>
            </w:r>
          </w:p>
        </w:tc>
        <w:tc>
          <w:tcPr>
            <w:tcW w:w="1516" w:type="dxa"/>
          </w:tcPr>
          <w:p w14:paraId="2730231D"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v</w:t>
            </w:r>
          </w:p>
        </w:tc>
        <w:tc>
          <w:tcPr>
            <w:tcW w:w="1559" w:type="dxa"/>
          </w:tcPr>
          <w:p w14:paraId="7CBFE626"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w:t>
            </w:r>
          </w:p>
        </w:tc>
        <w:tc>
          <w:tcPr>
            <w:tcW w:w="1701" w:type="dxa"/>
          </w:tcPr>
          <w:p w14:paraId="68ED3F1B"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At</w:t>
            </w:r>
          </w:p>
        </w:tc>
      </w:tr>
      <w:tr w:rsidR="005601F0" w:rsidRPr="00A93F11" w14:paraId="6AD6A8A7" w14:textId="77777777" w:rsidTr="005601F0">
        <w:trPr>
          <w:cnfStyle w:val="000000100000" w:firstRow="0" w:lastRow="0" w:firstColumn="0" w:lastColumn="0" w:oddVBand="0" w:evenVBand="0" w:oddHBand="1" w:evenHBand="0" w:firstRowFirstColumn="0" w:firstRowLastColumn="0" w:lastRowFirstColumn="0" w:lastRowLastColumn="0"/>
          <w:trHeight w:hRule="exact" w:val="444"/>
          <w:jc w:val="center"/>
        </w:trPr>
        <w:tc>
          <w:tcPr>
            <w:cnfStyle w:val="001000000000" w:firstRow="0" w:lastRow="0" w:firstColumn="1" w:lastColumn="0" w:oddVBand="0" w:evenVBand="0" w:oddHBand="0" w:evenHBand="0" w:firstRowFirstColumn="0" w:firstRowLastColumn="0" w:lastRowFirstColumn="0" w:lastRowLastColumn="0"/>
            <w:tcW w:w="2265" w:type="dxa"/>
          </w:tcPr>
          <w:p w14:paraId="009131A2"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MSM(M)-VAR(p)</w:t>
            </w:r>
          </w:p>
        </w:tc>
        <w:tc>
          <w:tcPr>
            <w:tcW w:w="1459" w:type="dxa"/>
          </w:tcPr>
          <w:p w14:paraId="5D29B33F"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16" w:type="dxa"/>
          </w:tcPr>
          <w:p w14:paraId="23CE55DA"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59" w:type="dxa"/>
          </w:tcPr>
          <w:p w14:paraId="3DC04298"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Unchanged</w:t>
            </w:r>
          </w:p>
        </w:tc>
        <w:tc>
          <w:tcPr>
            <w:tcW w:w="1701" w:type="dxa"/>
          </w:tcPr>
          <w:p w14:paraId="13C7961E"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2D3FC915" w14:textId="77777777" w:rsidTr="005601F0">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2265" w:type="dxa"/>
          </w:tcPr>
          <w:p w14:paraId="481111DE"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MSMH(M)-VAR(p)</w:t>
            </w:r>
          </w:p>
        </w:tc>
        <w:tc>
          <w:tcPr>
            <w:tcW w:w="1459" w:type="dxa"/>
          </w:tcPr>
          <w:p w14:paraId="51E74D96" w14:textId="77777777" w:rsidR="005601F0" w:rsidRPr="00A93F11" w:rsidRDefault="005601F0" w:rsidP="005601F0">
            <w:pPr>
              <w:pStyle w:val="TableParagraph"/>
              <w:spacing w:before="0" w:after="0" w:line="240" w:lineRule="auto"/>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Changed</w:t>
            </w:r>
          </w:p>
        </w:tc>
        <w:tc>
          <w:tcPr>
            <w:tcW w:w="1516" w:type="dxa"/>
          </w:tcPr>
          <w:p w14:paraId="31984876"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59" w:type="dxa"/>
          </w:tcPr>
          <w:p w14:paraId="3A20AFF5" w14:textId="77777777" w:rsidR="005601F0" w:rsidRPr="00A93F11" w:rsidRDefault="005601F0" w:rsidP="005601F0">
            <w:pPr>
              <w:pStyle w:val="TableParagraph"/>
              <w:spacing w:before="0" w:after="0" w:line="240" w:lineRule="auto"/>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Changed</w:t>
            </w:r>
          </w:p>
        </w:tc>
        <w:tc>
          <w:tcPr>
            <w:tcW w:w="1701" w:type="dxa"/>
          </w:tcPr>
          <w:p w14:paraId="130B22B9"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36756074" w14:textId="77777777" w:rsidTr="005601F0">
        <w:trPr>
          <w:cnfStyle w:val="000000100000" w:firstRow="0" w:lastRow="0" w:firstColumn="0" w:lastColumn="0" w:oddVBand="0" w:evenVBand="0" w:oddHBand="1" w:evenHBand="0" w:firstRowFirstColumn="0" w:firstRowLastColumn="0" w:lastRowFirstColumn="0" w:lastRowLastColumn="0"/>
          <w:trHeight w:hRule="exact" w:val="423"/>
          <w:jc w:val="center"/>
        </w:trPr>
        <w:tc>
          <w:tcPr>
            <w:cnfStyle w:val="001000000000" w:firstRow="0" w:lastRow="0" w:firstColumn="1" w:lastColumn="0" w:oddVBand="0" w:evenVBand="0" w:oddHBand="0" w:evenHBand="0" w:firstRowFirstColumn="0" w:firstRowLastColumn="0" w:lastRowFirstColumn="0" w:lastRowLastColumn="0"/>
            <w:tcW w:w="2265" w:type="dxa"/>
          </w:tcPr>
          <w:p w14:paraId="0311F51D"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MSI(M)-VAR(p)</w:t>
            </w:r>
          </w:p>
        </w:tc>
        <w:tc>
          <w:tcPr>
            <w:tcW w:w="1459" w:type="dxa"/>
          </w:tcPr>
          <w:p w14:paraId="62F4FBC7"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6B6BDB82"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23D0EF62"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Unchanged</w:t>
            </w:r>
          </w:p>
        </w:tc>
        <w:tc>
          <w:tcPr>
            <w:tcW w:w="1701" w:type="dxa"/>
          </w:tcPr>
          <w:p w14:paraId="217C3E79"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70F2DA52" w14:textId="77777777" w:rsidTr="005601F0">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2265" w:type="dxa"/>
          </w:tcPr>
          <w:p w14:paraId="50021A55"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MSIH(M)-VAR(p)</w:t>
            </w:r>
          </w:p>
        </w:tc>
        <w:tc>
          <w:tcPr>
            <w:tcW w:w="1459" w:type="dxa"/>
          </w:tcPr>
          <w:p w14:paraId="7BB900B3"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035CBA5C"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1765FB1F"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701" w:type="dxa"/>
          </w:tcPr>
          <w:p w14:paraId="3E5F815E"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29F53873" w14:textId="77777777" w:rsidTr="005601F0">
        <w:trPr>
          <w:cnfStyle w:val="000000100000" w:firstRow="0" w:lastRow="0" w:firstColumn="0" w:lastColumn="0" w:oddVBand="0" w:evenVBand="0" w:oddHBand="1" w:evenHBand="0" w:firstRowFirstColumn="0" w:firstRowLastColumn="0" w:lastRowFirstColumn="0" w:lastRowLastColumn="0"/>
          <w:trHeight w:hRule="exact" w:val="420"/>
          <w:jc w:val="center"/>
        </w:trPr>
        <w:tc>
          <w:tcPr>
            <w:cnfStyle w:val="001000000000" w:firstRow="0" w:lastRow="0" w:firstColumn="1" w:lastColumn="0" w:oddVBand="0" w:evenVBand="0" w:oddHBand="0" w:evenHBand="0" w:firstRowFirstColumn="0" w:firstRowLastColumn="0" w:lastRowFirstColumn="0" w:lastRowLastColumn="0"/>
            <w:tcW w:w="2265" w:type="dxa"/>
          </w:tcPr>
          <w:p w14:paraId="2FAE8090"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MSIAH(M)-VAR(p)</w:t>
            </w:r>
          </w:p>
        </w:tc>
        <w:tc>
          <w:tcPr>
            <w:tcW w:w="1459" w:type="dxa"/>
          </w:tcPr>
          <w:p w14:paraId="5486E90E"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56A7A8A2"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78FD33ED"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701" w:type="dxa"/>
          </w:tcPr>
          <w:p w14:paraId="24BE0C93"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Changed</w:t>
            </w:r>
          </w:p>
        </w:tc>
      </w:tr>
    </w:tbl>
    <w:p w14:paraId="3F834D79" w14:textId="77777777" w:rsidR="00A93F11" w:rsidRPr="00A93F11" w:rsidRDefault="00A93F11" w:rsidP="00A93F11">
      <w:pPr>
        <w:pStyle w:val="BodyText"/>
        <w:ind w:left="222" w:right="178" w:hanging="360"/>
        <w:jc w:val="both"/>
        <w:rPr>
          <w:rFonts w:ascii="Arial" w:hAnsi="Arial" w:cs="Arial"/>
          <w:color w:val="0D0D0D"/>
          <w:sz w:val="22"/>
          <w:szCs w:val="22"/>
        </w:rPr>
      </w:pPr>
    </w:p>
    <w:p w14:paraId="2B3FEF8D" w14:textId="77777777" w:rsidR="002A33EE" w:rsidRDefault="002A33EE" w:rsidP="005601F0">
      <w:pPr>
        <w:pStyle w:val="BodyText"/>
        <w:numPr>
          <w:ilvl w:val="0"/>
          <w:numId w:val="36"/>
        </w:numPr>
        <w:ind w:left="426" w:right="178" w:hanging="426"/>
        <w:jc w:val="both"/>
        <w:rPr>
          <w:rFonts w:ascii="Arial" w:hAnsi="Arial" w:cs="Arial"/>
          <w:b/>
          <w:color w:val="0D0D0D"/>
          <w:sz w:val="22"/>
          <w:szCs w:val="22"/>
        </w:rPr>
        <w:sectPr w:rsidR="002A33EE" w:rsidSect="0018113C">
          <w:type w:val="continuous"/>
          <w:pgSz w:w="12240" w:h="15840"/>
          <w:pgMar w:top="720" w:right="720" w:bottom="720" w:left="720" w:header="720" w:footer="720" w:gutter="0"/>
          <w:cols w:space="720"/>
          <w:docGrid w:linePitch="360"/>
        </w:sectPr>
      </w:pPr>
    </w:p>
    <w:p w14:paraId="4ED5D0D5"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Determining the Transition Probability (Turning Point)</w:t>
      </w:r>
    </w:p>
    <w:p w14:paraId="7BB968B2" w14:textId="77777777" w:rsidR="00AA74E0" w:rsidRDefault="00A93F11" w:rsidP="00A93F11">
      <w:pPr>
        <w:pStyle w:val="Body"/>
        <w:spacing w:after="0"/>
        <w:rPr>
          <w:rFonts w:ascii="Arial" w:hAnsi="Arial" w:cs="Arial"/>
        </w:rPr>
      </w:pPr>
      <w:r w:rsidRPr="00A93F11">
        <w:rPr>
          <w:rFonts w:ascii="Arial" w:hAnsi="Arial" w:cs="Arial"/>
          <w:color w:val="0D0D0D"/>
          <w:sz w:val="22"/>
          <w:szCs w:val="22"/>
        </w:rPr>
        <w:t xml:space="preserve">In the </w:t>
      </w:r>
      <w:proofErr w:type="spellStart"/>
      <w:r w:rsidRPr="00A93F11">
        <w:rPr>
          <w:rFonts w:ascii="Arial" w:hAnsi="Arial" w:cs="Arial"/>
          <w:color w:val="0D0D0D"/>
          <w:sz w:val="22"/>
          <w:szCs w:val="22"/>
        </w:rPr>
        <w:t>Bry-Boschan</w:t>
      </w:r>
      <w:proofErr w:type="spellEnd"/>
      <w:r w:rsidRPr="00A93F11">
        <w:rPr>
          <w:rFonts w:ascii="Arial" w:hAnsi="Arial" w:cs="Arial"/>
          <w:color w:val="0D0D0D"/>
          <w:sz w:val="22"/>
          <w:szCs w:val="22"/>
        </w:rPr>
        <w:t xml:space="preserve"> method, it is necessary to identify the turning point of a business cycle in this study. </w:t>
      </w:r>
      <w:proofErr w:type="spellStart"/>
      <w:r w:rsidRPr="00A93F11">
        <w:rPr>
          <w:rFonts w:ascii="Arial" w:hAnsi="Arial" w:cs="Arial"/>
          <w:color w:val="0D0D0D"/>
          <w:sz w:val="22"/>
          <w:szCs w:val="22"/>
        </w:rPr>
        <w:t>Bry</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Boschan</w:t>
      </w:r>
      <w:proofErr w:type="spellEnd"/>
      <w:r w:rsidRPr="00A93F11">
        <w:rPr>
          <w:rFonts w:ascii="Arial" w:hAnsi="Arial" w:cs="Arial"/>
          <w:color w:val="0D0D0D"/>
          <w:sz w:val="22"/>
          <w:szCs w:val="22"/>
        </w:rPr>
        <w:t xml:space="preserve"> (1971) is the most popular non-parametric method used to detect the turning </w:t>
      </w:r>
      <w:r w:rsidRPr="00A93F11">
        <w:rPr>
          <w:rFonts w:ascii="Arial" w:hAnsi="Arial" w:cs="Arial"/>
          <w:color w:val="0D0D0D"/>
          <w:sz w:val="22"/>
          <w:szCs w:val="22"/>
        </w:rPr>
        <w:t xml:space="preserve">point of an economic activity. The local maximum and minimum values of a time series can be identified by algorithmic methods. On the movement around the local minimum and maximum values on identify turning points that depend on the advantages of this algorithm. Thus, the addition of new observations rarely has an impact on previously </w:t>
      </w:r>
      <w:r w:rsidRPr="00A93F11">
        <w:rPr>
          <w:rFonts w:ascii="Arial" w:hAnsi="Arial" w:cs="Arial"/>
          <w:color w:val="0D0D0D"/>
          <w:sz w:val="22"/>
          <w:szCs w:val="22"/>
        </w:rPr>
        <w:lastRenderedPageBreak/>
        <w:t>identified turning points. In addition, the importance of the outlier for measuring turning points is synonymous with the importance of points very close to local minimum and maximum values, which often does not occur in parametric methods</w:t>
      </w:r>
      <w:r w:rsidRPr="00A93F11">
        <w:rPr>
          <w:rFonts w:ascii="Arial" w:eastAsia="Book Antiqua" w:hAnsi="Arial" w:cs="Arial"/>
          <w:sz w:val="22"/>
          <w:szCs w:val="22"/>
        </w:rPr>
        <w:t>.</w:t>
      </w:r>
      <w:r w:rsidR="00AA74E0" w:rsidRPr="00FB3A86">
        <w:rPr>
          <w:rFonts w:ascii="Arial" w:hAnsi="Arial" w:cs="Arial"/>
        </w:rPr>
        <w:t xml:space="preserve"> </w:t>
      </w:r>
    </w:p>
    <w:p w14:paraId="12F27565" w14:textId="77777777" w:rsidR="00790ADA" w:rsidRPr="00FB3A86" w:rsidRDefault="00790ADA" w:rsidP="00441B6F">
      <w:pPr>
        <w:pStyle w:val="Body"/>
        <w:spacing w:after="0"/>
        <w:rPr>
          <w:rFonts w:ascii="Arial" w:hAnsi="Arial" w:cs="Arial"/>
        </w:rPr>
      </w:pPr>
    </w:p>
    <w:p w14:paraId="7A8E5990" w14:textId="77777777" w:rsidR="00902823" w:rsidRDefault="005601F0" w:rsidP="005601F0">
      <w:pPr>
        <w:pStyle w:val="Head1"/>
        <w:spacing w:after="0"/>
        <w:jc w:val="both"/>
        <w:rPr>
          <w:rFonts w:ascii="Arial" w:hAnsi="Arial" w:cs="Arial"/>
        </w:rPr>
      </w:pPr>
      <w:r w:rsidRPr="005601F0">
        <w:rPr>
          <w:rFonts w:ascii="Arial" w:hAnsi="Arial" w:cs="Arial"/>
          <w:caps w:val="0"/>
        </w:rPr>
        <w:t>4.</w:t>
      </w:r>
      <w:r>
        <w:rPr>
          <w:rFonts w:ascii="Arial" w:hAnsi="Arial" w:cs="Arial"/>
        </w:rPr>
        <w:t xml:space="preserve"> </w:t>
      </w:r>
      <w:r w:rsidR="00000F8F">
        <w:rPr>
          <w:rFonts w:ascii="Arial" w:hAnsi="Arial" w:cs="Arial"/>
        </w:rPr>
        <w:t>results and discussion</w:t>
      </w:r>
    </w:p>
    <w:p w14:paraId="420EDA28"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r w:rsidRPr="005601F0">
        <w:rPr>
          <w:rFonts w:ascii="Arial" w:hAnsi="Arial" w:cs="Arial"/>
          <w:b/>
          <w:sz w:val="22"/>
          <w:szCs w:val="22"/>
        </w:rPr>
        <w:t>Describe Statistic</w:t>
      </w:r>
    </w:p>
    <w:p w14:paraId="4ED3F949" w14:textId="77777777" w:rsidR="00A93F11" w:rsidRPr="005601F0" w:rsidRDefault="00A93F11" w:rsidP="00A93F11">
      <w:pPr>
        <w:pStyle w:val="BodyText"/>
        <w:spacing w:after="0"/>
        <w:ind w:right="178"/>
        <w:jc w:val="both"/>
        <w:rPr>
          <w:rFonts w:ascii="Arial" w:hAnsi="Arial" w:cs="Arial"/>
          <w:sz w:val="22"/>
          <w:szCs w:val="22"/>
        </w:rPr>
      </w:pPr>
      <w:r w:rsidRPr="005601F0">
        <w:rPr>
          <w:rFonts w:ascii="Arial" w:hAnsi="Arial" w:cs="Arial"/>
          <w:sz w:val="22"/>
          <w:szCs w:val="22"/>
        </w:rPr>
        <w:t xml:space="preserve">In this case, the data taken is carried out by means of a time series for 10 years from 2011 to 2021 by testing several variables that are macroeconomic </w:t>
      </w:r>
      <w:r w:rsidRPr="005601F0">
        <w:rPr>
          <w:rFonts w:ascii="Arial" w:hAnsi="Arial" w:cs="Arial"/>
          <w:sz w:val="22"/>
          <w:szCs w:val="22"/>
        </w:rPr>
        <w:t xml:space="preserve">indicators including interest rates, inflation rates, stock returns, composite stock price indices against the value of e-money transactions. This study has descriptive statistical results that indicate an appropriate model for testing variables such as interest rates, inflation rates, stock returns, composite stock price indices and e-money transaction values on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model and combining with the vector autoregressive (VAR) model. On descriptive statistics have the following results:</w:t>
      </w:r>
    </w:p>
    <w:p w14:paraId="350F4DAC" w14:textId="77777777" w:rsidR="002A33EE" w:rsidRDefault="002A33EE" w:rsidP="00A93F11">
      <w:pPr>
        <w:pStyle w:val="BodyText"/>
        <w:spacing w:after="0"/>
        <w:ind w:left="222" w:right="178" w:firstLine="288"/>
        <w:jc w:val="center"/>
        <w:rPr>
          <w:rFonts w:ascii="Arial" w:hAnsi="Arial" w:cs="Arial"/>
          <w:b/>
          <w:sz w:val="22"/>
          <w:szCs w:val="22"/>
        </w:rPr>
        <w:sectPr w:rsidR="002A33EE" w:rsidSect="0018113C">
          <w:type w:val="continuous"/>
          <w:pgSz w:w="12240" w:h="15840"/>
          <w:pgMar w:top="720" w:right="720" w:bottom="720" w:left="720" w:header="720" w:footer="720" w:gutter="0"/>
          <w:cols w:num="2" w:space="720"/>
          <w:docGrid w:linePitch="360"/>
        </w:sectPr>
      </w:pPr>
    </w:p>
    <w:p w14:paraId="27238565" w14:textId="77777777"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Table 2: Statistic Test Result</w:t>
      </w:r>
    </w:p>
    <w:tbl>
      <w:tblPr>
        <w:tblStyle w:val="PlainTable2"/>
        <w:tblW w:w="4837" w:type="dxa"/>
        <w:jc w:val="center"/>
        <w:tblLook w:val="04A0" w:firstRow="1" w:lastRow="0" w:firstColumn="1" w:lastColumn="0" w:noHBand="0" w:noVBand="1"/>
      </w:tblPr>
      <w:tblGrid>
        <w:gridCol w:w="2830"/>
        <w:gridCol w:w="2007"/>
      </w:tblGrid>
      <w:tr w:rsidR="00A93F11" w:rsidRPr="005601F0" w14:paraId="3FC5BC49" w14:textId="77777777" w:rsidTr="005601F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8C1393A" w14:textId="77777777" w:rsidR="00A93F11" w:rsidRPr="005601F0" w:rsidRDefault="00A93F11" w:rsidP="00A93F11">
            <w:pPr>
              <w:pStyle w:val="BodyText"/>
              <w:spacing w:after="0"/>
              <w:ind w:left="222" w:right="178" w:firstLine="288"/>
              <w:jc w:val="both"/>
              <w:rPr>
                <w:rFonts w:ascii="Arial" w:hAnsi="Arial" w:cs="Arial"/>
                <w:b w:val="0"/>
              </w:rPr>
            </w:pPr>
            <w:r w:rsidRPr="005601F0">
              <w:rPr>
                <w:rFonts w:ascii="Arial" w:hAnsi="Arial" w:cs="Arial"/>
              </w:rPr>
              <w:t>Statistic</w:t>
            </w:r>
          </w:p>
        </w:tc>
        <w:tc>
          <w:tcPr>
            <w:tcW w:w="2007" w:type="dxa"/>
            <w:noWrap/>
            <w:hideMark/>
          </w:tcPr>
          <w:p w14:paraId="47BD2F20" w14:textId="77777777" w:rsidR="00A93F11" w:rsidRPr="005601F0" w:rsidRDefault="00A93F11" w:rsidP="00A93F11">
            <w:pPr>
              <w:pStyle w:val="BodyText"/>
              <w:spacing w:after="0"/>
              <w:ind w:left="222" w:right="178" w:firstLine="288"/>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601F0">
              <w:rPr>
                <w:rFonts w:ascii="Arial" w:hAnsi="Arial" w:cs="Arial"/>
              </w:rPr>
              <w:t>Nominal</w:t>
            </w:r>
          </w:p>
        </w:tc>
      </w:tr>
      <w:tr w:rsidR="00A93F11" w:rsidRPr="005601F0" w14:paraId="536FC844" w14:textId="77777777" w:rsidTr="005601F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FD5184F" w14:textId="77777777" w:rsidR="00A93F11" w:rsidRPr="005601F0" w:rsidRDefault="00A93F11" w:rsidP="00A93F11">
            <w:pPr>
              <w:pStyle w:val="BodyText"/>
              <w:spacing w:after="0"/>
              <w:ind w:right="178"/>
              <w:rPr>
                <w:rFonts w:ascii="Arial" w:hAnsi="Arial" w:cs="Arial"/>
              </w:rPr>
            </w:pPr>
            <w:r w:rsidRPr="005601F0">
              <w:rPr>
                <w:rFonts w:ascii="Arial" w:hAnsi="Arial" w:cs="Arial"/>
              </w:rPr>
              <w:t>Mean</w:t>
            </w:r>
          </w:p>
        </w:tc>
        <w:tc>
          <w:tcPr>
            <w:tcW w:w="2007" w:type="dxa"/>
            <w:noWrap/>
            <w:hideMark/>
          </w:tcPr>
          <w:p w14:paraId="4D1255BB" w14:textId="77777777" w:rsidR="00A93F11" w:rsidRPr="005601F0" w:rsidRDefault="00A93F11" w:rsidP="00A93F11">
            <w:pPr>
              <w:pStyle w:val="BodyText"/>
              <w:spacing w:after="0"/>
              <w:ind w:left="222" w:right="178" w:firstLine="28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685944</w:t>
            </w:r>
          </w:p>
        </w:tc>
      </w:tr>
      <w:tr w:rsidR="00A93F11" w:rsidRPr="005601F0" w14:paraId="3AF803BF" w14:textId="77777777" w:rsidTr="005601F0">
        <w:trPr>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262B0AC" w14:textId="77777777" w:rsidR="00A93F11" w:rsidRPr="005601F0" w:rsidRDefault="00A93F11" w:rsidP="00A93F11">
            <w:pPr>
              <w:pStyle w:val="BodyText"/>
              <w:spacing w:after="0"/>
              <w:ind w:right="178"/>
              <w:rPr>
                <w:rFonts w:ascii="Arial" w:hAnsi="Arial" w:cs="Arial"/>
              </w:rPr>
            </w:pPr>
            <w:r w:rsidRPr="005601F0">
              <w:rPr>
                <w:rFonts w:ascii="Arial" w:hAnsi="Arial" w:cs="Arial"/>
              </w:rPr>
              <w:t>Max</w:t>
            </w:r>
          </w:p>
        </w:tc>
        <w:tc>
          <w:tcPr>
            <w:tcW w:w="2007" w:type="dxa"/>
            <w:noWrap/>
            <w:hideMark/>
          </w:tcPr>
          <w:p w14:paraId="1F207367" w14:textId="77777777" w:rsidR="00A93F11" w:rsidRPr="005601F0" w:rsidRDefault="00A93F11" w:rsidP="00A93F11">
            <w:pPr>
              <w:pStyle w:val="BodyText"/>
              <w:spacing w:after="0"/>
              <w:ind w:left="222" w:right="178" w:firstLine="28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5886152</w:t>
            </w:r>
          </w:p>
        </w:tc>
      </w:tr>
      <w:tr w:rsidR="00A93F11" w:rsidRPr="005601F0" w14:paraId="5FC7C776" w14:textId="77777777" w:rsidTr="005601F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7B4923F" w14:textId="77777777" w:rsidR="00A93F11" w:rsidRPr="005601F0" w:rsidRDefault="00A93F11" w:rsidP="00A93F11">
            <w:pPr>
              <w:pStyle w:val="BodyText"/>
              <w:spacing w:after="0"/>
              <w:ind w:right="178"/>
              <w:rPr>
                <w:rFonts w:ascii="Arial" w:hAnsi="Arial" w:cs="Arial"/>
              </w:rPr>
            </w:pPr>
            <w:r w:rsidRPr="005601F0">
              <w:rPr>
                <w:rFonts w:ascii="Arial" w:hAnsi="Arial" w:cs="Arial"/>
              </w:rPr>
              <w:t>Min</w:t>
            </w:r>
          </w:p>
        </w:tc>
        <w:tc>
          <w:tcPr>
            <w:tcW w:w="2007" w:type="dxa"/>
            <w:noWrap/>
            <w:hideMark/>
          </w:tcPr>
          <w:p w14:paraId="455B6F40" w14:textId="77777777" w:rsidR="00A93F11" w:rsidRPr="005601F0" w:rsidRDefault="00A93F11" w:rsidP="00A93F11">
            <w:pPr>
              <w:pStyle w:val="BodyText"/>
              <w:spacing w:after="0"/>
              <w:ind w:left="222" w:right="178" w:firstLine="28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21658</w:t>
            </w:r>
          </w:p>
        </w:tc>
      </w:tr>
      <w:tr w:rsidR="00A93F11" w:rsidRPr="005601F0" w14:paraId="0DA5212D" w14:textId="77777777" w:rsidTr="005601F0">
        <w:trPr>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E3BD236" w14:textId="77777777" w:rsidR="00A93F11" w:rsidRPr="005601F0" w:rsidRDefault="00A93F11" w:rsidP="00A93F11">
            <w:pPr>
              <w:pStyle w:val="BodyText"/>
              <w:spacing w:after="0"/>
              <w:ind w:right="178"/>
              <w:rPr>
                <w:rFonts w:ascii="Arial" w:hAnsi="Arial" w:cs="Arial"/>
              </w:rPr>
            </w:pPr>
            <w:r w:rsidRPr="005601F0">
              <w:rPr>
                <w:rFonts w:ascii="Arial" w:hAnsi="Arial" w:cs="Arial"/>
              </w:rPr>
              <w:t>Standard Deviation</w:t>
            </w:r>
          </w:p>
        </w:tc>
        <w:tc>
          <w:tcPr>
            <w:tcW w:w="2007" w:type="dxa"/>
            <w:noWrap/>
            <w:hideMark/>
          </w:tcPr>
          <w:p w14:paraId="27FC1B04" w14:textId="77777777" w:rsidR="00A93F11" w:rsidRPr="005601F0" w:rsidRDefault="00A93F11" w:rsidP="00A93F11">
            <w:pPr>
              <w:pStyle w:val="BodyText"/>
              <w:spacing w:after="0"/>
              <w:ind w:left="222" w:right="178" w:firstLine="28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1160490</w:t>
            </w:r>
          </w:p>
        </w:tc>
      </w:tr>
    </w:tbl>
    <w:p w14:paraId="12F68215"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sz w:val="22"/>
          <w:szCs w:val="22"/>
        </w:rPr>
        <w:tab/>
      </w:r>
      <w:r w:rsidRPr="005601F0">
        <w:rPr>
          <w:rFonts w:ascii="Arial" w:hAnsi="Arial" w:cs="Arial"/>
          <w:sz w:val="22"/>
          <w:szCs w:val="22"/>
        </w:rPr>
        <w:tab/>
      </w:r>
      <w:r w:rsidRPr="005601F0">
        <w:rPr>
          <w:rFonts w:ascii="Arial" w:hAnsi="Arial" w:cs="Arial"/>
          <w:sz w:val="22"/>
          <w:szCs w:val="22"/>
        </w:rPr>
        <w:tab/>
      </w:r>
      <w:r w:rsidR="005601F0">
        <w:rPr>
          <w:rFonts w:ascii="Arial" w:hAnsi="Arial" w:cs="Arial"/>
          <w:sz w:val="22"/>
          <w:szCs w:val="22"/>
        </w:rPr>
        <w:tab/>
      </w:r>
      <w:r w:rsidRPr="005601F0">
        <w:rPr>
          <w:rFonts w:ascii="Arial" w:hAnsi="Arial" w:cs="Arial"/>
          <w:b/>
          <w:sz w:val="22"/>
          <w:szCs w:val="22"/>
        </w:rPr>
        <w:t>Source: Statistic Result</w:t>
      </w:r>
    </w:p>
    <w:p w14:paraId="15E92517"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2C40A572"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From the results of table 2 data above, the value through the variable value of e-money transactions in the period January 2011 to December 2021 was obtained with an average value of using electronic money transactions of 685,944 million times in a duration of 10 years. The maximum transaction value is 5,886,152 and the minimum transaction value is 21,658. The standard deviation value is 1,160,490 which shows the value that shows the </w:t>
      </w:r>
      <w:r w:rsidRPr="005601F0">
        <w:rPr>
          <w:rFonts w:ascii="Arial" w:hAnsi="Arial" w:cs="Arial"/>
          <w:sz w:val="22"/>
          <w:szCs w:val="22"/>
        </w:rPr>
        <w:t>distribution of a sample in this study which has a relationship with the average value of 685,944 so that it shows that the distribution has a value close to that which indicates that the distribution is evenly distributed.</w:t>
      </w:r>
    </w:p>
    <w:p w14:paraId="4717C1D5" w14:textId="77777777" w:rsidR="005601F0" w:rsidRDefault="005601F0" w:rsidP="005601F0">
      <w:pPr>
        <w:pStyle w:val="BodyText"/>
        <w:spacing w:after="0"/>
        <w:ind w:right="178"/>
        <w:jc w:val="both"/>
        <w:rPr>
          <w:rFonts w:ascii="Arial" w:hAnsi="Arial" w:cs="Arial"/>
          <w:sz w:val="22"/>
          <w:szCs w:val="22"/>
        </w:rPr>
      </w:pPr>
    </w:p>
    <w:p w14:paraId="7573E3CA"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In addition, this study tested the results of the graph and obtained the value of the graph as shown below:</w:t>
      </w:r>
    </w:p>
    <w:p w14:paraId="79F6AD4C"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076332A0" w14:textId="77777777" w:rsidR="00A93F11" w:rsidRPr="005601F0" w:rsidRDefault="00A93F11" w:rsidP="00A93F11">
      <w:pPr>
        <w:pStyle w:val="BodyText"/>
        <w:spacing w:after="0"/>
        <w:ind w:left="222" w:right="178" w:firstLine="288"/>
        <w:jc w:val="center"/>
        <w:rPr>
          <w:rFonts w:ascii="Arial" w:hAnsi="Arial" w:cs="Arial"/>
          <w:sz w:val="22"/>
          <w:szCs w:val="22"/>
        </w:rPr>
      </w:pPr>
      <w:r w:rsidRPr="005601F0">
        <w:rPr>
          <w:rFonts w:ascii="Arial" w:hAnsi="Arial" w:cs="Arial"/>
          <w:noProof/>
          <w:sz w:val="22"/>
          <w:szCs w:val="22"/>
        </w:rPr>
        <w:drawing>
          <wp:inline distT="0" distB="0" distL="0" distR="0" wp14:anchorId="0AC37EBA" wp14:editId="08E1512F">
            <wp:extent cx="3586422" cy="1685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png"/>
                    <pic:cNvPicPr/>
                  </pic:nvPicPr>
                  <pic:blipFill rotWithShape="1">
                    <a:blip r:embed="rId11">
                      <a:extLst>
                        <a:ext uri="{28A0092B-C50C-407E-A947-70E740481C1C}">
                          <a14:useLocalDpi xmlns:a14="http://schemas.microsoft.com/office/drawing/2010/main" val="0"/>
                        </a:ext>
                      </a:extLst>
                    </a:blip>
                    <a:srcRect r="45042" b="53996"/>
                    <a:stretch/>
                  </pic:blipFill>
                  <pic:spPr bwMode="auto">
                    <a:xfrm>
                      <a:off x="0" y="0"/>
                      <a:ext cx="3588676" cy="1686985"/>
                    </a:xfrm>
                    <a:prstGeom prst="rect">
                      <a:avLst/>
                    </a:prstGeom>
                    <a:ln>
                      <a:noFill/>
                    </a:ln>
                    <a:extLst>
                      <a:ext uri="{53640926-AAD7-44D8-BBD7-CCE9431645EC}">
                        <a14:shadowObscured xmlns:a14="http://schemas.microsoft.com/office/drawing/2010/main"/>
                      </a:ext>
                    </a:extLst>
                  </pic:spPr>
                </pic:pic>
              </a:graphicData>
            </a:graphic>
          </wp:inline>
        </w:drawing>
      </w:r>
    </w:p>
    <w:p w14:paraId="0399DAE7" w14:textId="4C0BCC52"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 xml:space="preserve">Figure </w:t>
      </w:r>
      <w:r w:rsidR="00666D7D">
        <w:rPr>
          <w:rFonts w:ascii="Arial" w:hAnsi="Arial" w:cs="Arial"/>
          <w:b/>
          <w:sz w:val="22"/>
          <w:szCs w:val="22"/>
        </w:rPr>
        <w:t>1</w:t>
      </w:r>
      <w:r w:rsidRPr="005601F0">
        <w:rPr>
          <w:rFonts w:ascii="Arial" w:hAnsi="Arial" w:cs="Arial"/>
          <w:b/>
          <w:sz w:val="22"/>
          <w:szCs w:val="22"/>
        </w:rPr>
        <w:t>: e-money Transaction value</w:t>
      </w:r>
    </w:p>
    <w:p w14:paraId="406F7AED" w14:textId="77777777" w:rsidR="005601F0" w:rsidRDefault="005601F0" w:rsidP="005601F0">
      <w:pPr>
        <w:pStyle w:val="BodyText"/>
        <w:spacing w:after="0"/>
        <w:ind w:right="178"/>
        <w:jc w:val="both"/>
        <w:rPr>
          <w:rFonts w:ascii="Arial" w:hAnsi="Arial" w:cs="Arial"/>
          <w:sz w:val="22"/>
          <w:szCs w:val="22"/>
        </w:rPr>
      </w:pPr>
    </w:p>
    <w:p w14:paraId="0FCBB9FB"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15AA8A88"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In this chart, it is assessed every year from January 2011 to January 2021 with an increase in the number of transactions from year to year. From 2011 to 2014, the value of e-money transactions remained stable below the value of 1,000,000 million in transactions. In 2015 it experienced a significant increase and began to penetrate up until the beginning of 2018 and was seen in 2020 to 2021 experienced a peak increase, namely at 6,000,000 transactions which indicated environmental conditions that at that time occurred a pandemic.</w:t>
      </w:r>
    </w:p>
    <w:p w14:paraId="4A914DA9" w14:textId="77777777" w:rsidR="005601F0" w:rsidRDefault="005601F0" w:rsidP="005601F0">
      <w:pPr>
        <w:pStyle w:val="BodyText"/>
        <w:spacing w:after="0"/>
        <w:ind w:right="178"/>
        <w:jc w:val="both"/>
        <w:rPr>
          <w:rFonts w:ascii="Arial" w:hAnsi="Arial" w:cs="Arial"/>
          <w:sz w:val="22"/>
          <w:szCs w:val="22"/>
        </w:rPr>
      </w:pPr>
    </w:p>
    <w:p w14:paraId="435D2675"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In the table and graph that is explained above, it shows that the use of transactions using e-money </w:t>
      </w:r>
      <w:r w:rsidRPr="005601F0">
        <w:rPr>
          <w:rFonts w:ascii="Arial" w:hAnsi="Arial" w:cs="Arial"/>
          <w:sz w:val="22"/>
          <w:szCs w:val="22"/>
        </w:rPr>
        <w:t xml:space="preserve">for 10 years has increased significantly to reach 6,000,000 </w:t>
      </w:r>
      <w:proofErr w:type="gramStart"/>
      <w:r w:rsidRPr="005601F0">
        <w:rPr>
          <w:rFonts w:ascii="Arial" w:hAnsi="Arial" w:cs="Arial"/>
          <w:sz w:val="22"/>
          <w:szCs w:val="22"/>
        </w:rPr>
        <w:t>due</w:t>
      </w:r>
      <w:proofErr w:type="gramEnd"/>
      <w:r w:rsidRPr="005601F0">
        <w:rPr>
          <w:rFonts w:ascii="Arial" w:hAnsi="Arial" w:cs="Arial"/>
          <w:sz w:val="22"/>
          <w:szCs w:val="22"/>
        </w:rPr>
        <w:t xml:space="preserve"> to the pandemic.</w:t>
      </w:r>
    </w:p>
    <w:p w14:paraId="67993D14" w14:textId="77777777" w:rsidR="005601F0" w:rsidRDefault="005601F0" w:rsidP="00A93F11">
      <w:pPr>
        <w:pStyle w:val="BodyText"/>
        <w:spacing w:after="0"/>
        <w:ind w:right="178"/>
        <w:jc w:val="both"/>
        <w:rPr>
          <w:rFonts w:ascii="Arial" w:hAnsi="Arial" w:cs="Arial"/>
          <w:b/>
          <w:sz w:val="22"/>
          <w:szCs w:val="22"/>
        </w:rPr>
      </w:pPr>
    </w:p>
    <w:p w14:paraId="7CC91BA7"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proofErr w:type="spellStart"/>
      <w:r w:rsidRPr="005601F0">
        <w:rPr>
          <w:rFonts w:ascii="Arial" w:hAnsi="Arial" w:cs="Arial"/>
          <w:b/>
          <w:sz w:val="22"/>
          <w:szCs w:val="22"/>
        </w:rPr>
        <w:t>Stationerity</w:t>
      </w:r>
      <w:proofErr w:type="spellEnd"/>
      <w:r w:rsidRPr="005601F0">
        <w:rPr>
          <w:rFonts w:ascii="Arial" w:hAnsi="Arial" w:cs="Arial"/>
          <w:b/>
          <w:sz w:val="22"/>
          <w:szCs w:val="22"/>
        </w:rPr>
        <w:t xml:space="preserve"> Test with graphs ACF and PACF</w:t>
      </w:r>
    </w:p>
    <w:p w14:paraId="4A36CB61"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Test </w:t>
      </w:r>
      <w:proofErr w:type="spellStart"/>
      <w:r w:rsidRPr="005601F0">
        <w:rPr>
          <w:rFonts w:ascii="Arial" w:hAnsi="Arial" w:cs="Arial"/>
          <w:sz w:val="22"/>
          <w:szCs w:val="22"/>
        </w:rPr>
        <w:t>stationerity</w:t>
      </w:r>
      <w:proofErr w:type="spellEnd"/>
      <w:r w:rsidRPr="005601F0">
        <w:rPr>
          <w:rFonts w:ascii="Arial" w:hAnsi="Arial" w:cs="Arial"/>
          <w:sz w:val="22"/>
          <w:szCs w:val="22"/>
        </w:rPr>
        <w:t xml:space="preserve"> with graphs of autocorrelation function (ACF) and partial autocorrelation function (PACF). In the econometric model, it is the most important thing when calculating data in timeseries with some provisions that the data is in a stable condition so that there is no need to test reliability and validity. In the ACF graph, the study is used to determine the level of the data stationer in a time series manner how the existing lags are able to drop exponentially, while the PACF graph is </w:t>
      </w:r>
      <w:r w:rsidRPr="005601F0">
        <w:rPr>
          <w:rFonts w:ascii="Arial" w:hAnsi="Arial" w:cs="Arial"/>
          <w:sz w:val="22"/>
          <w:szCs w:val="22"/>
        </w:rPr>
        <w:lastRenderedPageBreak/>
        <w:t>usually used to determine the data class in a time series.</w:t>
      </w:r>
    </w:p>
    <w:p w14:paraId="33252FDD" w14:textId="77777777" w:rsidR="002A33EE" w:rsidRDefault="002A33EE" w:rsidP="00A93F11">
      <w:pPr>
        <w:pStyle w:val="BodyText"/>
        <w:spacing w:after="0"/>
        <w:ind w:left="222" w:right="178" w:firstLine="288"/>
        <w:jc w:val="center"/>
        <w:rPr>
          <w:rFonts w:ascii="Arial" w:hAnsi="Arial" w:cs="Arial"/>
          <w:sz w:val="22"/>
          <w:szCs w:val="22"/>
        </w:rPr>
      </w:pPr>
    </w:p>
    <w:p w14:paraId="34AA1324"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7BAD2E75" w14:textId="77777777" w:rsidR="00A93F11" w:rsidRPr="005601F0" w:rsidRDefault="00A93F11" w:rsidP="00A93F11">
      <w:pPr>
        <w:pStyle w:val="BodyText"/>
        <w:spacing w:after="0"/>
        <w:ind w:left="222" w:right="178" w:firstLine="288"/>
        <w:jc w:val="center"/>
        <w:rPr>
          <w:rFonts w:ascii="Arial" w:hAnsi="Arial" w:cs="Arial"/>
          <w:sz w:val="22"/>
          <w:szCs w:val="22"/>
        </w:rPr>
      </w:pPr>
      <w:r w:rsidRPr="005601F0">
        <w:rPr>
          <w:rFonts w:ascii="Arial" w:hAnsi="Arial" w:cs="Arial"/>
          <w:noProof/>
          <w:sz w:val="22"/>
          <w:szCs w:val="22"/>
        </w:rPr>
        <w:drawing>
          <wp:inline distT="0" distB="0" distL="0" distR="0" wp14:anchorId="46F4209C" wp14:editId="1E93E4C7">
            <wp:extent cx="3409950" cy="1584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6880" cy="1592854"/>
                    </a:xfrm>
                    <a:prstGeom prst="rect">
                      <a:avLst/>
                    </a:prstGeom>
                    <a:noFill/>
                    <a:ln>
                      <a:noFill/>
                    </a:ln>
                  </pic:spPr>
                </pic:pic>
              </a:graphicData>
            </a:graphic>
          </wp:inline>
        </w:drawing>
      </w:r>
    </w:p>
    <w:p w14:paraId="3DDC2B4D" w14:textId="621B4B4A"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 xml:space="preserve">Figure </w:t>
      </w:r>
      <w:r w:rsidR="00666D7D">
        <w:rPr>
          <w:rFonts w:ascii="Arial" w:hAnsi="Arial" w:cs="Arial"/>
          <w:b/>
          <w:sz w:val="22"/>
          <w:szCs w:val="22"/>
        </w:rPr>
        <w:t>2</w:t>
      </w:r>
      <w:r w:rsidRPr="005601F0">
        <w:rPr>
          <w:rFonts w:ascii="Arial" w:hAnsi="Arial" w:cs="Arial"/>
          <w:b/>
          <w:sz w:val="22"/>
          <w:szCs w:val="22"/>
        </w:rPr>
        <w:t>: Autocorrelation Function (ACF)</w:t>
      </w:r>
    </w:p>
    <w:p w14:paraId="4275F8EC"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42DB484E"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In the next test, namely with ACF and PACF graphs which indicate that the data is stationer. When data is categorized on non-stationary data when ACF and PACF are slowly decreasing and out of significant limits throughout the lag of the results of this study. The ACF describes the correlation between values at different times (time lag) while the PACF describes a function used to indicate the influence of time lag. Because the ACF graph is shown relatively sharply decreased, this data is categorized as a stationer. Data </w:t>
      </w:r>
      <w:r w:rsidRPr="005601F0">
        <w:rPr>
          <w:rFonts w:ascii="Arial" w:hAnsi="Arial" w:cs="Arial"/>
          <w:sz w:val="22"/>
          <w:szCs w:val="22"/>
        </w:rPr>
        <w:t>independence indicates the model has no lag on residual PACF beyond the boundary line. The second pattern of the graph that enters the autocorrelation classification shows a dying down pattern.</w:t>
      </w:r>
    </w:p>
    <w:p w14:paraId="7171B89E" w14:textId="77777777" w:rsidR="005601F0" w:rsidRDefault="005601F0" w:rsidP="00A93F11">
      <w:pPr>
        <w:pStyle w:val="BodyText"/>
        <w:spacing w:after="0"/>
        <w:ind w:right="178"/>
        <w:jc w:val="both"/>
        <w:rPr>
          <w:rFonts w:ascii="Arial" w:hAnsi="Arial" w:cs="Arial"/>
          <w:b/>
          <w:sz w:val="22"/>
          <w:szCs w:val="22"/>
        </w:rPr>
      </w:pPr>
    </w:p>
    <w:p w14:paraId="32C46EE6"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proofErr w:type="spellStart"/>
      <w:r w:rsidRPr="005601F0">
        <w:rPr>
          <w:rFonts w:ascii="Arial" w:hAnsi="Arial" w:cs="Arial"/>
          <w:b/>
          <w:sz w:val="22"/>
          <w:szCs w:val="22"/>
        </w:rPr>
        <w:t>Stationerity</w:t>
      </w:r>
      <w:proofErr w:type="spellEnd"/>
      <w:r w:rsidRPr="005601F0">
        <w:rPr>
          <w:rFonts w:ascii="Arial" w:hAnsi="Arial" w:cs="Arial"/>
          <w:b/>
          <w:sz w:val="22"/>
          <w:szCs w:val="22"/>
        </w:rPr>
        <w:t xml:space="preserve"> Test with Uji Dicky Fuller</w:t>
      </w:r>
    </w:p>
    <w:p w14:paraId="34DF3DCE"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The next test to strengthen the ACF and PACF tests is the Dicky Fuller test. Here's the stationer test with the Dickey Fuller test:</w:t>
      </w:r>
    </w:p>
    <w:p w14:paraId="7352CFEA"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4AFF3A2B" w14:textId="77777777" w:rsidR="00A93F11" w:rsidRPr="005601F0" w:rsidRDefault="00A93F11" w:rsidP="00A93F11">
      <w:pPr>
        <w:pStyle w:val="BodyText"/>
        <w:spacing w:after="0"/>
        <w:ind w:left="222" w:right="178" w:firstLine="288"/>
        <w:jc w:val="center"/>
        <w:rPr>
          <w:rFonts w:ascii="Arial" w:hAnsi="Arial" w:cs="Arial"/>
          <w:sz w:val="22"/>
          <w:szCs w:val="22"/>
        </w:rPr>
      </w:pPr>
    </w:p>
    <w:p w14:paraId="3C676EB2" w14:textId="77777777"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Table 3: Dickey Fuller Test</w:t>
      </w:r>
    </w:p>
    <w:tbl>
      <w:tblPr>
        <w:tblStyle w:val="PlainTable2"/>
        <w:tblW w:w="0" w:type="auto"/>
        <w:jc w:val="center"/>
        <w:tblLook w:val="04A0" w:firstRow="1" w:lastRow="0" w:firstColumn="1" w:lastColumn="0" w:noHBand="0" w:noVBand="1"/>
      </w:tblPr>
      <w:tblGrid>
        <w:gridCol w:w="1788"/>
        <w:gridCol w:w="1265"/>
        <w:gridCol w:w="1530"/>
        <w:gridCol w:w="1021"/>
        <w:gridCol w:w="1452"/>
        <w:gridCol w:w="1143"/>
        <w:gridCol w:w="1265"/>
      </w:tblGrid>
      <w:tr w:rsidR="00A93F11" w:rsidRPr="005601F0" w14:paraId="4D649123" w14:textId="77777777" w:rsidTr="005601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670E6BCB" w14:textId="77777777" w:rsidR="00A93F11" w:rsidRPr="005601F0" w:rsidRDefault="00A93F11" w:rsidP="00A93F11">
            <w:pPr>
              <w:pStyle w:val="BodyText"/>
              <w:spacing w:after="0"/>
              <w:ind w:left="222" w:right="178" w:hanging="24"/>
              <w:jc w:val="both"/>
              <w:rPr>
                <w:rFonts w:ascii="Arial" w:hAnsi="Arial" w:cs="Arial"/>
              </w:rPr>
            </w:pPr>
            <w:proofErr w:type="spellStart"/>
            <w:r w:rsidRPr="005601F0">
              <w:rPr>
                <w:rFonts w:ascii="Arial" w:hAnsi="Arial" w:cs="Arial"/>
              </w:rPr>
              <w:t>Tipe</w:t>
            </w:r>
            <w:proofErr w:type="spellEnd"/>
          </w:p>
        </w:tc>
        <w:tc>
          <w:tcPr>
            <w:tcW w:w="1198" w:type="dxa"/>
          </w:tcPr>
          <w:p w14:paraId="2F4A2F60"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Rho</w:t>
            </w:r>
          </w:p>
        </w:tc>
        <w:tc>
          <w:tcPr>
            <w:tcW w:w="1530" w:type="dxa"/>
          </w:tcPr>
          <w:p w14:paraId="4C084D8A"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&lt; Rho</w:t>
            </w:r>
          </w:p>
        </w:tc>
        <w:tc>
          <w:tcPr>
            <w:tcW w:w="978" w:type="dxa"/>
          </w:tcPr>
          <w:p w14:paraId="759394E6"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Tau</w:t>
            </w:r>
          </w:p>
        </w:tc>
        <w:tc>
          <w:tcPr>
            <w:tcW w:w="1452" w:type="dxa"/>
          </w:tcPr>
          <w:p w14:paraId="39C43FBB"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&lt; Tau</w:t>
            </w:r>
          </w:p>
        </w:tc>
        <w:tc>
          <w:tcPr>
            <w:tcW w:w="1088" w:type="dxa"/>
          </w:tcPr>
          <w:p w14:paraId="38CDAC4B"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F</w:t>
            </w:r>
          </w:p>
        </w:tc>
        <w:tc>
          <w:tcPr>
            <w:tcW w:w="1198" w:type="dxa"/>
          </w:tcPr>
          <w:p w14:paraId="45579E66"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&gt; F</w:t>
            </w:r>
          </w:p>
        </w:tc>
      </w:tr>
      <w:tr w:rsidR="00A93F11" w:rsidRPr="005601F0" w14:paraId="384DD235" w14:textId="77777777" w:rsidTr="005601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2620BCA4"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Zero Mean</w:t>
            </w:r>
          </w:p>
        </w:tc>
        <w:tc>
          <w:tcPr>
            <w:tcW w:w="1198" w:type="dxa"/>
          </w:tcPr>
          <w:p w14:paraId="50F199A6"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9.4812</w:t>
            </w:r>
          </w:p>
        </w:tc>
        <w:tc>
          <w:tcPr>
            <w:tcW w:w="1530" w:type="dxa"/>
          </w:tcPr>
          <w:p w14:paraId="5FA04660"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22B8BF3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5.52</w:t>
            </w:r>
          </w:p>
        </w:tc>
        <w:tc>
          <w:tcPr>
            <w:tcW w:w="1452" w:type="dxa"/>
          </w:tcPr>
          <w:p w14:paraId="248D9CB8"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67C20799"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98" w:type="dxa"/>
          </w:tcPr>
          <w:p w14:paraId="19AA60BC"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93F11" w:rsidRPr="005601F0" w14:paraId="7FDA4236" w14:textId="77777777" w:rsidTr="005601F0">
        <w:trPr>
          <w:jc w:val="center"/>
        </w:trPr>
        <w:tc>
          <w:tcPr>
            <w:cnfStyle w:val="001000000000" w:firstRow="0" w:lastRow="0" w:firstColumn="1" w:lastColumn="0" w:oddVBand="0" w:evenVBand="0" w:oddHBand="0" w:evenHBand="0" w:firstRowFirstColumn="0" w:firstRowLastColumn="0" w:lastRowFirstColumn="0" w:lastRowLastColumn="0"/>
            <w:tcW w:w="1788" w:type="dxa"/>
          </w:tcPr>
          <w:p w14:paraId="1C8600CA"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Single Mean</w:t>
            </w:r>
          </w:p>
        </w:tc>
        <w:tc>
          <w:tcPr>
            <w:tcW w:w="1198" w:type="dxa"/>
          </w:tcPr>
          <w:p w14:paraId="5BD90E70"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9.6104</w:t>
            </w:r>
          </w:p>
        </w:tc>
        <w:tc>
          <w:tcPr>
            <w:tcW w:w="1530" w:type="dxa"/>
          </w:tcPr>
          <w:p w14:paraId="310BBC59"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2A457E1F"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4.76</w:t>
            </w:r>
          </w:p>
        </w:tc>
        <w:tc>
          <w:tcPr>
            <w:tcW w:w="1452" w:type="dxa"/>
          </w:tcPr>
          <w:p w14:paraId="4704324B"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070A4895"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15.11</w:t>
            </w:r>
          </w:p>
        </w:tc>
        <w:tc>
          <w:tcPr>
            <w:tcW w:w="1198" w:type="dxa"/>
          </w:tcPr>
          <w:p w14:paraId="308F2DBC"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0.0010</w:t>
            </w:r>
          </w:p>
        </w:tc>
      </w:tr>
      <w:tr w:rsidR="00A93F11" w:rsidRPr="005601F0" w14:paraId="7324E661" w14:textId="77777777" w:rsidTr="005601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732B054E"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Trend</w:t>
            </w:r>
          </w:p>
        </w:tc>
        <w:tc>
          <w:tcPr>
            <w:tcW w:w="1198" w:type="dxa"/>
          </w:tcPr>
          <w:p w14:paraId="54776C8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8.4963</w:t>
            </w:r>
          </w:p>
        </w:tc>
        <w:tc>
          <w:tcPr>
            <w:tcW w:w="1530" w:type="dxa"/>
          </w:tcPr>
          <w:p w14:paraId="048C8118"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1D4132B6"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3.03</w:t>
            </w:r>
          </w:p>
        </w:tc>
        <w:tc>
          <w:tcPr>
            <w:tcW w:w="1452" w:type="dxa"/>
          </w:tcPr>
          <w:p w14:paraId="69434469"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54A4573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11.44</w:t>
            </w:r>
          </w:p>
        </w:tc>
        <w:tc>
          <w:tcPr>
            <w:tcW w:w="1198" w:type="dxa"/>
          </w:tcPr>
          <w:p w14:paraId="3FB3E354"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0.0010</w:t>
            </w:r>
          </w:p>
        </w:tc>
      </w:tr>
    </w:tbl>
    <w:p w14:paraId="69A70169" w14:textId="77777777" w:rsidR="00A93F11" w:rsidRPr="005601F0" w:rsidRDefault="00A93F11" w:rsidP="005601F0">
      <w:pPr>
        <w:pStyle w:val="BodyText"/>
        <w:spacing w:after="0"/>
        <w:ind w:right="178" w:firstLine="567"/>
        <w:jc w:val="both"/>
        <w:rPr>
          <w:rFonts w:ascii="Arial" w:hAnsi="Arial" w:cs="Arial"/>
          <w:b/>
          <w:sz w:val="22"/>
          <w:szCs w:val="22"/>
        </w:rPr>
      </w:pPr>
      <w:r w:rsidRPr="005601F0">
        <w:rPr>
          <w:rFonts w:ascii="Arial" w:hAnsi="Arial" w:cs="Arial"/>
          <w:b/>
          <w:sz w:val="22"/>
          <w:szCs w:val="22"/>
        </w:rPr>
        <w:t>Source: Statistic Result</w:t>
      </w:r>
    </w:p>
    <w:p w14:paraId="46EE01D2" w14:textId="77777777" w:rsidR="005601F0" w:rsidRDefault="005601F0" w:rsidP="005601F0">
      <w:pPr>
        <w:pStyle w:val="BodyText"/>
        <w:spacing w:after="0"/>
        <w:ind w:right="178"/>
        <w:jc w:val="both"/>
        <w:rPr>
          <w:rFonts w:ascii="Arial" w:hAnsi="Arial" w:cs="Arial"/>
          <w:sz w:val="22"/>
          <w:szCs w:val="22"/>
        </w:rPr>
      </w:pPr>
    </w:p>
    <w:p w14:paraId="33C8A59D"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33864716" w14:textId="77777777" w:rsidR="00A93F11"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From table 3 above the Dickey Fuller test results, the P-vales value of the single mean shows the number &lt; 0.05, which is the resulting value of 0.0010 &lt; 0.05. For trend values on the P-value indicate a value of 0.0010 &lt; 0.05. These results show that the fuller dickey test is declared a stationer.</w:t>
      </w:r>
    </w:p>
    <w:p w14:paraId="4161E2AC" w14:textId="77777777" w:rsidR="005601F0" w:rsidRPr="005601F0" w:rsidRDefault="005601F0" w:rsidP="005601F0">
      <w:pPr>
        <w:pStyle w:val="BodyText"/>
        <w:spacing w:after="0"/>
        <w:ind w:right="178"/>
        <w:jc w:val="both"/>
        <w:rPr>
          <w:rFonts w:ascii="Arial" w:hAnsi="Arial" w:cs="Arial"/>
          <w:sz w:val="22"/>
          <w:szCs w:val="22"/>
        </w:rPr>
      </w:pPr>
    </w:p>
    <w:p w14:paraId="6341A57E"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r w:rsidRPr="005601F0">
        <w:rPr>
          <w:rFonts w:ascii="Arial" w:hAnsi="Arial" w:cs="Arial"/>
          <w:b/>
          <w:sz w:val="22"/>
          <w:szCs w:val="22"/>
        </w:rPr>
        <w:t>Markov Regime Switching Model Test</w:t>
      </w:r>
    </w:p>
    <w:p w14:paraId="6876B7C6" w14:textId="77777777" w:rsidR="00A93F11"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The next test in this study is with the next test is by modeling </w:t>
      </w:r>
      <w:proofErr w:type="spellStart"/>
      <w:r w:rsidRPr="005601F0">
        <w:rPr>
          <w:rFonts w:ascii="Arial" w:hAnsi="Arial" w:cs="Arial"/>
          <w:sz w:val="22"/>
          <w:szCs w:val="22"/>
        </w:rPr>
        <w:t>markove</w:t>
      </w:r>
      <w:proofErr w:type="spellEnd"/>
      <w:r w:rsidRPr="005601F0">
        <w:rPr>
          <w:rFonts w:ascii="Arial" w:hAnsi="Arial" w:cs="Arial"/>
          <w:sz w:val="22"/>
          <w:szCs w:val="22"/>
        </w:rPr>
        <w:t xml:space="preserve"> regime switching. When testing with this model, the modeling was divided into 2 regimes, namely before BI regulations and after BI regulations. This model is collaborated with the autoregressive model so that the model formed becomes a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Here are the results of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modeling regime:</w:t>
      </w:r>
    </w:p>
    <w:p w14:paraId="2D752170" w14:textId="77777777" w:rsidR="005601F0" w:rsidRPr="005601F0" w:rsidRDefault="005601F0" w:rsidP="005601F0">
      <w:pPr>
        <w:pStyle w:val="BodyText"/>
        <w:spacing w:after="0"/>
        <w:ind w:right="178"/>
        <w:jc w:val="both"/>
        <w:rPr>
          <w:rFonts w:ascii="Arial" w:hAnsi="Arial" w:cs="Arial"/>
          <w:sz w:val="22"/>
          <w:szCs w:val="22"/>
        </w:rPr>
      </w:pPr>
    </w:p>
    <w:p w14:paraId="01909EDB"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When Bank Indonesia regulation No. 18/17/PBI/2016 and before Bank Indonesia regulation No. 18/17/PBI/2016 was inaugurated, </w:t>
      </w:r>
      <w:r w:rsidRPr="005601F0">
        <w:rPr>
          <w:rFonts w:ascii="Arial" w:hAnsi="Arial" w:cs="Arial"/>
          <w:sz w:val="22"/>
          <w:szCs w:val="22"/>
        </w:rPr>
        <w:t xml:space="preserve">we began to analyze the indicators that became variables with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regime switching model and positioned the two conditions into 2 regimes. The AR order used is AR (1), AR (2), and AR (3). The order is used because the data on the declared stationary data forms an uptrend pattern and there is no seasonal pattern. </w:t>
      </w:r>
      <w:proofErr w:type="gramStart"/>
      <w:r w:rsidRPr="005601F0">
        <w:rPr>
          <w:rFonts w:ascii="Arial" w:hAnsi="Arial" w:cs="Arial"/>
          <w:sz w:val="22"/>
          <w:szCs w:val="22"/>
        </w:rPr>
        <w:t>So</w:t>
      </w:r>
      <w:proofErr w:type="gramEnd"/>
      <w:r w:rsidRPr="005601F0">
        <w:rPr>
          <w:rFonts w:ascii="Arial" w:hAnsi="Arial" w:cs="Arial"/>
          <w:sz w:val="22"/>
          <w:szCs w:val="22"/>
        </w:rPr>
        <w:t xml:space="preserve"> the biggest opportunity of the AR order formed is carried out through three levels of the model, namely AR (1), AR (2), AR (3). Here are the results of modeling with the order AR (1), AR (2), AR (3).</w:t>
      </w:r>
    </w:p>
    <w:p w14:paraId="242AF0E1" w14:textId="77777777" w:rsidR="005601F0" w:rsidRDefault="005601F0" w:rsidP="005601F0">
      <w:pPr>
        <w:pStyle w:val="BodyText"/>
        <w:spacing w:after="0"/>
        <w:ind w:right="178"/>
        <w:jc w:val="both"/>
        <w:rPr>
          <w:rFonts w:ascii="Arial" w:hAnsi="Arial" w:cs="Arial"/>
          <w:sz w:val="22"/>
          <w:szCs w:val="22"/>
        </w:rPr>
      </w:pPr>
    </w:p>
    <w:p w14:paraId="1E67BFDC"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Based on the three models in table 3 that are most suitable, namely the M (2), AR (1) models, all variables in the model are almost significant all at the level of significant 5% namely the value of all variables in regime 1 which is 0.000&lt;0.05 and the value in regime 2 is 0.049&lt;0.005 and there is only one significant variable at the level of significant 10% namely P11-C with a value of 0.070&lt;0.10 and P21-C with a value of 0.000&lt;010.</w:t>
      </w:r>
    </w:p>
    <w:p w14:paraId="0D380AEB"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lastRenderedPageBreak/>
        <w:t>To determine the minimum optimal lag in the VAR model judging from the Akaike Info Criterion (AIC) value on the M (2) model, AR (1) is 26.61. Models M (2), AR (1) have the following formulations of regime 1 and regime 2:</w:t>
      </w:r>
    </w:p>
    <w:p w14:paraId="3A0786BE"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b/>
          <w:sz w:val="22"/>
          <w:szCs w:val="22"/>
        </w:rPr>
        <w:t>Regime 1</w:t>
      </w:r>
    </w:p>
    <w:p w14:paraId="4DC8ED0B" w14:textId="77777777" w:rsidR="00A93F11" w:rsidRPr="005601F0" w:rsidRDefault="00A93F11" w:rsidP="00A93F11">
      <w:pPr>
        <w:pStyle w:val="BodyText"/>
        <w:spacing w:after="0"/>
        <w:ind w:left="222" w:right="178" w:firstLine="288"/>
        <w:jc w:val="both"/>
        <w:rPr>
          <w:rFonts w:ascii="Arial" w:hAnsi="Arial" w:cs="Arial"/>
          <w:sz w:val="22"/>
          <w:szCs w:val="22"/>
        </w:rPr>
      </w:pPr>
      <w:proofErr w:type="spellStart"/>
      <w:r w:rsidRPr="005601F0">
        <w:rPr>
          <w:rFonts w:ascii="Arial" w:hAnsi="Arial" w:cs="Arial"/>
          <w:sz w:val="22"/>
          <w:szCs w:val="22"/>
        </w:rPr>
        <w:t>Yt</w:t>
      </w:r>
      <w:proofErr w:type="spellEnd"/>
      <w:r w:rsidRPr="005601F0">
        <w:rPr>
          <w:rFonts w:ascii="Arial" w:hAnsi="Arial" w:cs="Arial"/>
          <w:sz w:val="22"/>
          <w:szCs w:val="22"/>
        </w:rPr>
        <w:t xml:space="preserve"> = 1289954 + 1,13 Yt-1</w:t>
      </w:r>
    </w:p>
    <w:p w14:paraId="303AA234" w14:textId="77777777" w:rsidR="00A93F11" w:rsidRPr="005601F0" w:rsidRDefault="00A93F11" w:rsidP="00A93F11">
      <w:pPr>
        <w:pStyle w:val="BodyText"/>
        <w:spacing w:after="0"/>
        <w:ind w:left="222" w:right="178" w:firstLine="288"/>
        <w:jc w:val="both"/>
        <w:rPr>
          <w:rFonts w:ascii="Arial" w:hAnsi="Arial" w:cs="Arial"/>
          <w:sz w:val="22"/>
          <w:szCs w:val="22"/>
        </w:rPr>
      </w:pPr>
    </w:p>
    <w:p w14:paraId="546D6B3F"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b/>
          <w:sz w:val="22"/>
          <w:szCs w:val="22"/>
        </w:rPr>
        <w:t>Regime 2</w:t>
      </w:r>
    </w:p>
    <w:p w14:paraId="04B83F3C" w14:textId="77777777" w:rsidR="00A93F11" w:rsidRPr="005601F0" w:rsidRDefault="00A93F11" w:rsidP="00A93F11">
      <w:pPr>
        <w:pStyle w:val="BodyText"/>
        <w:spacing w:after="0"/>
        <w:ind w:left="222" w:right="178" w:firstLine="288"/>
        <w:jc w:val="both"/>
        <w:rPr>
          <w:rFonts w:ascii="Arial" w:hAnsi="Arial" w:cs="Arial"/>
          <w:sz w:val="22"/>
          <w:szCs w:val="22"/>
        </w:rPr>
      </w:pPr>
      <w:proofErr w:type="spellStart"/>
      <w:r w:rsidRPr="005601F0">
        <w:rPr>
          <w:rFonts w:ascii="Arial" w:hAnsi="Arial" w:cs="Arial"/>
          <w:sz w:val="22"/>
          <w:szCs w:val="22"/>
        </w:rPr>
        <w:t>Yt</w:t>
      </w:r>
      <w:proofErr w:type="spellEnd"/>
      <w:r w:rsidRPr="005601F0">
        <w:rPr>
          <w:rFonts w:ascii="Arial" w:hAnsi="Arial" w:cs="Arial"/>
          <w:sz w:val="22"/>
          <w:szCs w:val="22"/>
        </w:rPr>
        <w:t xml:space="preserve"> = 194909,6 + 1,13 Yt-1</w:t>
      </w:r>
    </w:p>
    <w:p w14:paraId="2B5E9121" w14:textId="77777777" w:rsidR="00A93F11" w:rsidRPr="005601F0" w:rsidRDefault="00A93F11" w:rsidP="00A93F11">
      <w:pPr>
        <w:pStyle w:val="BodyText"/>
        <w:spacing w:after="0"/>
        <w:ind w:left="222" w:right="178" w:firstLine="288"/>
        <w:jc w:val="both"/>
        <w:rPr>
          <w:rFonts w:ascii="Arial" w:hAnsi="Arial" w:cs="Arial"/>
          <w:sz w:val="22"/>
          <w:szCs w:val="22"/>
        </w:rPr>
      </w:pPr>
    </w:p>
    <w:p w14:paraId="65F25888"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The process of white noise is a process between sequential random variables that does not occur a correlation and </w:t>
      </w:r>
      <w:proofErr w:type="spellStart"/>
      <w:r w:rsidRPr="005601F0">
        <w:rPr>
          <w:rFonts w:ascii="Arial" w:hAnsi="Arial" w:cs="Arial"/>
          <w:sz w:val="22"/>
          <w:szCs w:val="22"/>
        </w:rPr>
        <w:t>and</w:t>
      </w:r>
      <w:proofErr w:type="spellEnd"/>
      <w:r w:rsidRPr="005601F0">
        <w:rPr>
          <w:rFonts w:ascii="Arial" w:hAnsi="Arial" w:cs="Arial"/>
          <w:sz w:val="22"/>
          <w:szCs w:val="22"/>
        </w:rPr>
        <w:t xml:space="preserve"> is distributed in a particular model. On model M (2), AR (1) is declared white noise has been met. In the M (2) model, AR (1) has met both regime 1 and regime, this indicates that the use of e-money transaction value as an indicator of macroeconomic measurement in each regime can be identified by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regime switching model.</w:t>
      </w:r>
    </w:p>
    <w:p w14:paraId="1D3B466E" w14:textId="77777777" w:rsidR="002A33EE" w:rsidRDefault="002A33EE" w:rsidP="00A93F11">
      <w:pPr>
        <w:pStyle w:val="BodyText"/>
        <w:spacing w:after="0"/>
        <w:ind w:left="222" w:right="178" w:firstLine="288"/>
        <w:jc w:val="center"/>
        <w:rPr>
          <w:rFonts w:ascii="Arial" w:hAnsi="Arial" w:cs="Arial"/>
          <w:b/>
          <w:sz w:val="22"/>
          <w:szCs w:val="22"/>
        </w:rPr>
        <w:sectPr w:rsidR="002A33EE" w:rsidSect="0018113C">
          <w:type w:val="continuous"/>
          <w:pgSz w:w="12240" w:h="15840"/>
          <w:pgMar w:top="720" w:right="720" w:bottom="720" w:left="720" w:header="720" w:footer="720" w:gutter="0"/>
          <w:cols w:num="2" w:space="720"/>
          <w:docGrid w:linePitch="360"/>
        </w:sectPr>
      </w:pPr>
    </w:p>
    <w:p w14:paraId="0609A874" w14:textId="77777777"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Table 4: Markov Switching Value Autoregressive (MSVAR) Result</w:t>
      </w:r>
    </w:p>
    <w:tbl>
      <w:tblPr>
        <w:tblStyle w:val="PlainTable2"/>
        <w:tblW w:w="0" w:type="auto"/>
        <w:jc w:val="center"/>
        <w:tblLook w:val="04A0" w:firstRow="1" w:lastRow="0" w:firstColumn="1" w:lastColumn="0" w:noHBand="0" w:noVBand="1"/>
      </w:tblPr>
      <w:tblGrid>
        <w:gridCol w:w="1271"/>
        <w:gridCol w:w="1559"/>
        <w:gridCol w:w="1250"/>
        <w:gridCol w:w="1134"/>
        <w:gridCol w:w="993"/>
        <w:gridCol w:w="878"/>
        <w:gridCol w:w="1339"/>
        <w:gridCol w:w="1164"/>
      </w:tblGrid>
      <w:tr w:rsidR="00617F66" w:rsidRPr="00BB3294" w14:paraId="35511E40" w14:textId="77777777" w:rsidTr="00617F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3B903059" w14:textId="77777777" w:rsidR="00617F66" w:rsidRPr="00BB3294" w:rsidRDefault="00617F66" w:rsidP="00B045E4">
            <w:pPr>
              <w:rPr>
                <w:rFonts w:ascii="Arial" w:hAnsi="Arial" w:cs="Arial"/>
                <w:sz w:val="20"/>
                <w:szCs w:val="20"/>
              </w:rPr>
            </w:pPr>
            <w:r w:rsidRPr="00BB3294">
              <w:rPr>
                <w:rFonts w:ascii="Arial" w:hAnsi="Arial" w:cs="Arial"/>
                <w:sz w:val="20"/>
                <w:szCs w:val="20"/>
              </w:rPr>
              <w:t>Model</w:t>
            </w:r>
          </w:p>
        </w:tc>
        <w:tc>
          <w:tcPr>
            <w:tcW w:w="1559" w:type="dxa"/>
          </w:tcPr>
          <w:p w14:paraId="259BA7BE"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 xml:space="preserve">Variable </w:t>
            </w:r>
          </w:p>
        </w:tc>
        <w:tc>
          <w:tcPr>
            <w:tcW w:w="1134" w:type="dxa"/>
          </w:tcPr>
          <w:p w14:paraId="5F7EDC98"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 xml:space="preserve">Coefficient </w:t>
            </w:r>
          </w:p>
        </w:tc>
        <w:tc>
          <w:tcPr>
            <w:tcW w:w="1134" w:type="dxa"/>
          </w:tcPr>
          <w:p w14:paraId="20E19261"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Z-stat</w:t>
            </w:r>
          </w:p>
        </w:tc>
        <w:tc>
          <w:tcPr>
            <w:tcW w:w="993" w:type="dxa"/>
          </w:tcPr>
          <w:p w14:paraId="08B960F1"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P-Value</w:t>
            </w:r>
          </w:p>
        </w:tc>
        <w:tc>
          <w:tcPr>
            <w:tcW w:w="878" w:type="dxa"/>
          </w:tcPr>
          <w:p w14:paraId="4AC8BEE3"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AIC</w:t>
            </w:r>
          </w:p>
        </w:tc>
        <w:tc>
          <w:tcPr>
            <w:tcW w:w="1217" w:type="dxa"/>
          </w:tcPr>
          <w:p w14:paraId="124FF34B"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Nominal Distribution Residual</w:t>
            </w:r>
          </w:p>
        </w:tc>
        <w:tc>
          <w:tcPr>
            <w:tcW w:w="1164" w:type="dxa"/>
          </w:tcPr>
          <w:p w14:paraId="20353C25"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White Noise</w:t>
            </w:r>
          </w:p>
        </w:tc>
      </w:tr>
      <w:tr w:rsidR="00617F66" w:rsidRPr="00BB3294" w14:paraId="74094426"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40249AE" w14:textId="77777777" w:rsidR="00617F66" w:rsidRPr="00BB3294" w:rsidRDefault="00617F66" w:rsidP="00B045E4">
            <w:pPr>
              <w:rPr>
                <w:rFonts w:ascii="Arial" w:hAnsi="Arial" w:cs="Arial"/>
                <w:sz w:val="20"/>
                <w:szCs w:val="20"/>
              </w:rPr>
            </w:pPr>
            <w:proofErr w:type="gramStart"/>
            <w:r w:rsidRPr="00BB3294">
              <w:rPr>
                <w:rFonts w:ascii="Arial" w:hAnsi="Arial" w:cs="Arial"/>
                <w:sz w:val="20"/>
                <w:szCs w:val="20"/>
              </w:rPr>
              <w:t>M(</w:t>
            </w:r>
            <w:proofErr w:type="gramEnd"/>
            <w:r w:rsidRPr="00BB3294">
              <w:rPr>
                <w:rFonts w:ascii="Arial" w:hAnsi="Arial" w:cs="Arial"/>
                <w:sz w:val="20"/>
                <w:szCs w:val="20"/>
              </w:rPr>
              <w:t>2), AR(1)</w:t>
            </w:r>
          </w:p>
        </w:tc>
        <w:tc>
          <w:tcPr>
            <w:tcW w:w="1559" w:type="dxa"/>
          </w:tcPr>
          <w:p w14:paraId="66D1562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07E3DE8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1289954</w:t>
            </w:r>
          </w:p>
        </w:tc>
        <w:tc>
          <w:tcPr>
            <w:tcW w:w="1134" w:type="dxa"/>
          </w:tcPr>
          <w:p w14:paraId="4BDBD2C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9,45</w:t>
            </w:r>
          </w:p>
        </w:tc>
        <w:tc>
          <w:tcPr>
            <w:tcW w:w="993" w:type="dxa"/>
          </w:tcPr>
          <w:p w14:paraId="4B31126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349CB10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7A40DDD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258B820F"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1A5E97C7"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28869AE" w14:textId="77777777" w:rsidR="00617F66" w:rsidRPr="00BB3294" w:rsidRDefault="00617F66" w:rsidP="00B045E4">
            <w:pPr>
              <w:rPr>
                <w:rFonts w:ascii="Arial" w:hAnsi="Arial" w:cs="Arial"/>
                <w:sz w:val="20"/>
                <w:szCs w:val="20"/>
              </w:rPr>
            </w:pPr>
          </w:p>
        </w:tc>
        <w:tc>
          <w:tcPr>
            <w:tcW w:w="1559" w:type="dxa"/>
          </w:tcPr>
          <w:p w14:paraId="664B060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6734631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194909,6</w:t>
            </w:r>
          </w:p>
        </w:tc>
        <w:tc>
          <w:tcPr>
            <w:tcW w:w="1134" w:type="dxa"/>
          </w:tcPr>
          <w:p w14:paraId="5FCA239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1,97</w:t>
            </w:r>
          </w:p>
        </w:tc>
        <w:tc>
          <w:tcPr>
            <w:tcW w:w="993" w:type="dxa"/>
          </w:tcPr>
          <w:p w14:paraId="68C39D6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0,049</w:t>
            </w:r>
          </w:p>
        </w:tc>
        <w:tc>
          <w:tcPr>
            <w:tcW w:w="878" w:type="dxa"/>
            <w:vMerge/>
          </w:tcPr>
          <w:p w14:paraId="337AAB4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0409660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779B42C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7BCBCF61"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39F176F3" w14:textId="77777777" w:rsidR="00617F66" w:rsidRPr="00BB3294" w:rsidRDefault="00617F66" w:rsidP="00B045E4">
            <w:pPr>
              <w:rPr>
                <w:rFonts w:ascii="Arial" w:hAnsi="Arial" w:cs="Arial"/>
                <w:sz w:val="20"/>
                <w:szCs w:val="20"/>
              </w:rPr>
            </w:pPr>
          </w:p>
        </w:tc>
        <w:tc>
          <w:tcPr>
            <w:tcW w:w="1559" w:type="dxa"/>
          </w:tcPr>
          <w:p w14:paraId="7F6D10F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1630683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1,13</w:t>
            </w:r>
          </w:p>
        </w:tc>
        <w:tc>
          <w:tcPr>
            <w:tcW w:w="1134" w:type="dxa"/>
          </w:tcPr>
          <w:p w14:paraId="5A19C38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79,29</w:t>
            </w:r>
          </w:p>
        </w:tc>
        <w:tc>
          <w:tcPr>
            <w:tcW w:w="993" w:type="dxa"/>
          </w:tcPr>
          <w:p w14:paraId="296F77A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44CFD95"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08A90969"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57DAB12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2CA8D310"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54DFB9BE" w14:textId="77777777" w:rsidR="00617F66" w:rsidRPr="00BB3294" w:rsidRDefault="00617F66" w:rsidP="00B045E4">
            <w:pPr>
              <w:rPr>
                <w:rFonts w:ascii="Arial" w:hAnsi="Arial" w:cs="Arial"/>
                <w:sz w:val="20"/>
                <w:szCs w:val="20"/>
              </w:rPr>
            </w:pPr>
          </w:p>
        </w:tc>
        <w:tc>
          <w:tcPr>
            <w:tcW w:w="1559" w:type="dxa"/>
          </w:tcPr>
          <w:p w14:paraId="25E5917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7309EA6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11,76</w:t>
            </w:r>
          </w:p>
        </w:tc>
        <w:tc>
          <w:tcPr>
            <w:tcW w:w="1134" w:type="dxa"/>
          </w:tcPr>
          <w:p w14:paraId="5E72546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176,8</w:t>
            </w:r>
          </w:p>
        </w:tc>
        <w:tc>
          <w:tcPr>
            <w:tcW w:w="993" w:type="dxa"/>
          </w:tcPr>
          <w:p w14:paraId="631CA4F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5CF0B43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93EE6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1D1E40C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572827F"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63B5D770" w14:textId="77777777" w:rsidR="00617F66" w:rsidRPr="00BB3294" w:rsidRDefault="00617F66" w:rsidP="00B045E4">
            <w:pPr>
              <w:rPr>
                <w:rFonts w:ascii="Arial" w:hAnsi="Arial" w:cs="Arial"/>
                <w:sz w:val="20"/>
                <w:szCs w:val="20"/>
              </w:rPr>
            </w:pPr>
          </w:p>
        </w:tc>
        <w:tc>
          <w:tcPr>
            <w:tcW w:w="1559" w:type="dxa"/>
          </w:tcPr>
          <w:p w14:paraId="5216E09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52B2F93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1,89</w:t>
            </w:r>
          </w:p>
        </w:tc>
        <w:tc>
          <w:tcPr>
            <w:tcW w:w="1134" w:type="dxa"/>
          </w:tcPr>
          <w:p w14:paraId="370E9BB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1,81</w:t>
            </w:r>
          </w:p>
        </w:tc>
        <w:tc>
          <w:tcPr>
            <w:tcW w:w="993" w:type="dxa"/>
          </w:tcPr>
          <w:p w14:paraId="4678062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0,070</w:t>
            </w:r>
          </w:p>
        </w:tc>
        <w:tc>
          <w:tcPr>
            <w:tcW w:w="878" w:type="dxa"/>
            <w:vMerge/>
          </w:tcPr>
          <w:p w14:paraId="0590139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034CDF3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371B82B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14240AEB"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5050EB8" w14:textId="77777777" w:rsidR="00617F66" w:rsidRPr="00BB3294" w:rsidRDefault="00617F66" w:rsidP="00B045E4">
            <w:pPr>
              <w:rPr>
                <w:rFonts w:ascii="Arial" w:hAnsi="Arial" w:cs="Arial"/>
                <w:sz w:val="20"/>
                <w:szCs w:val="20"/>
              </w:rPr>
            </w:pPr>
          </w:p>
        </w:tc>
        <w:tc>
          <w:tcPr>
            <w:tcW w:w="1559" w:type="dxa"/>
          </w:tcPr>
          <w:p w14:paraId="2E124E6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0F55DF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-4,76</w:t>
            </w:r>
          </w:p>
        </w:tc>
        <w:tc>
          <w:tcPr>
            <w:tcW w:w="1134" w:type="dxa"/>
          </w:tcPr>
          <w:p w14:paraId="6C6CA39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-4,61</w:t>
            </w:r>
          </w:p>
        </w:tc>
        <w:tc>
          <w:tcPr>
            <w:tcW w:w="993" w:type="dxa"/>
          </w:tcPr>
          <w:p w14:paraId="1ECCD37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2DA312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79CC80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54B3E34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0CC56529"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45C39C35" w14:textId="77777777" w:rsidR="00617F66" w:rsidRPr="00BB3294" w:rsidRDefault="00617F66" w:rsidP="00B045E4">
            <w:pPr>
              <w:rPr>
                <w:rFonts w:ascii="Arial" w:hAnsi="Arial" w:cs="Arial"/>
                <w:sz w:val="20"/>
                <w:szCs w:val="20"/>
              </w:rPr>
            </w:pPr>
            <w:proofErr w:type="gramStart"/>
            <w:r w:rsidRPr="00BB3294">
              <w:rPr>
                <w:rFonts w:ascii="Arial" w:hAnsi="Arial" w:cs="Arial"/>
                <w:sz w:val="20"/>
                <w:szCs w:val="20"/>
              </w:rPr>
              <w:t>M(</w:t>
            </w:r>
            <w:proofErr w:type="gramEnd"/>
            <w:r w:rsidRPr="00BB3294">
              <w:rPr>
                <w:rFonts w:ascii="Arial" w:hAnsi="Arial" w:cs="Arial"/>
                <w:sz w:val="20"/>
                <w:szCs w:val="20"/>
              </w:rPr>
              <w:t>2), AR(1)</w:t>
            </w:r>
          </w:p>
        </w:tc>
        <w:tc>
          <w:tcPr>
            <w:tcW w:w="1559" w:type="dxa"/>
          </w:tcPr>
          <w:p w14:paraId="7C4C77F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1CA423D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1336616</w:t>
            </w:r>
          </w:p>
        </w:tc>
        <w:tc>
          <w:tcPr>
            <w:tcW w:w="1134" w:type="dxa"/>
          </w:tcPr>
          <w:p w14:paraId="5FFFBD8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7,72</w:t>
            </w:r>
          </w:p>
        </w:tc>
        <w:tc>
          <w:tcPr>
            <w:tcW w:w="993" w:type="dxa"/>
          </w:tcPr>
          <w:p w14:paraId="7117D13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39C31D8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0D4F9996"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41C3BA0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7A614AE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BC6809B" w14:textId="77777777" w:rsidR="00617F66" w:rsidRPr="00BB3294" w:rsidRDefault="00617F66" w:rsidP="00B045E4">
            <w:pPr>
              <w:rPr>
                <w:rFonts w:ascii="Arial" w:hAnsi="Arial" w:cs="Arial"/>
                <w:sz w:val="20"/>
                <w:szCs w:val="20"/>
              </w:rPr>
            </w:pPr>
          </w:p>
        </w:tc>
        <w:tc>
          <w:tcPr>
            <w:tcW w:w="1559" w:type="dxa"/>
          </w:tcPr>
          <w:p w14:paraId="5940825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1AD4264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171402,2</w:t>
            </w:r>
          </w:p>
        </w:tc>
        <w:tc>
          <w:tcPr>
            <w:tcW w:w="1134" w:type="dxa"/>
          </w:tcPr>
          <w:p w14:paraId="57CC7AB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1,12</w:t>
            </w:r>
          </w:p>
        </w:tc>
        <w:tc>
          <w:tcPr>
            <w:tcW w:w="993" w:type="dxa"/>
          </w:tcPr>
          <w:p w14:paraId="5A8D401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0,260</w:t>
            </w:r>
          </w:p>
        </w:tc>
        <w:tc>
          <w:tcPr>
            <w:tcW w:w="878" w:type="dxa"/>
            <w:vMerge/>
          </w:tcPr>
          <w:p w14:paraId="77E051E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3B2D07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2DF3BB3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0A98DBED"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1833C50" w14:textId="77777777" w:rsidR="00617F66" w:rsidRPr="00BB3294" w:rsidRDefault="00617F66" w:rsidP="00B045E4">
            <w:pPr>
              <w:rPr>
                <w:rFonts w:ascii="Arial" w:hAnsi="Arial" w:cs="Arial"/>
                <w:sz w:val="20"/>
                <w:szCs w:val="20"/>
              </w:rPr>
            </w:pPr>
          </w:p>
        </w:tc>
        <w:tc>
          <w:tcPr>
            <w:tcW w:w="1559" w:type="dxa"/>
          </w:tcPr>
          <w:p w14:paraId="22AD8C2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76E570E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1,45</w:t>
            </w:r>
          </w:p>
        </w:tc>
        <w:tc>
          <w:tcPr>
            <w:tcW w:w="1134" w:type="dxa"/>
          </w:tcPr>
          <w:p w14:paraId="5B294BF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15,73</w:t>
            </w:r>
          </w:p>
        </w:tc>
        <w:tc>
          <w:tcPr>
            <w:tcW w:w="993" w:type="dxa"/>
          </w:tcPr>
          <w:p w14:paraId="5A54E0B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053E4C2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41FBAB4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6EE60D4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484E174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539D94F" w14:textId="77777777" w:rsidR="00617F66" w:rsidRPr="00BB3294" w:rsidRDefault="00617F66" w:rsidP="00B045E4">
            <w:pPr>
              <w:rPr>
                <w:rFonts w:ascii="Arial" w:hAnsi="Arial" w:cs="Arial"/>
                <w:sz w:val="20"/>
                <w:szCs w:val="20"/>
              </w:rPr>
            </w:pPr>
          </w:p>
        </w:tc>
        <w:tc>
          <w:tcPr>
            <w:tcW w:w="1559" w:type="dxa"/>
          </w:tcPr>
          <w:p w14:paraId="375266B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6F3C65F4"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11,7</w:t>
            </w:r>
          </w:p>
        </w:tc>
        <w:tc>
          <w:tcPr>
            <w:tcW w:w="1134" w:type="dxa"/>
          </w:tcPr>
          <w:p w14:paraId="7B20472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174,52</w:t>
            </w:r>
          </w:p>
        </w:tc>
        <w:tc>
          <w:tcPr>
            <w:tcW w:w="993" w:type="dxa"/>
          </w:tcPr>
          <w:p w14:paraId="2056E41C"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4079D5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D0136D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52A2BD8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6984B9C6"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76DF9E7C" w14:textId="77777777" w:rsidR="00617F66" w:rsidRPr="00BB3294" w:rsidRDefault="00617F66" w:rsidP="00B045E4">
            <w:pPr>
              <w:rPr>
                <w:rFonts w:ascii="Arial" w:hAnsi="Arial" w:cs="Arial"/>
                <w:sz w:val="20"/>
                <w:szCs w:val="20"/>
              </w:rPr>
            </w:pPr>
          </w:p>
        </w:tc>
        <w:tc>
          <w:tcPr>
            <w:tcW w:w="1559" w:type="dxa"/>
          </w:tcPr>
          <w:p w14:paraId="7BCFF4E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73F2431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1,89</w:t>
            </w:r>
          </w:p>
        </w:tc>
        <w:tc>
          <w:tcPr>
            <w:tcW w:w="1134" w:type="dxa"/>
          </w:tcPr>
          <w:p w14:paraId="3003A93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1,8</w:t>
            </w:r>
          </w:p>
        </w:tc>
        <w:tc>
          <w:tcPr>
            <w:tcW w:w="993" w:type="dxa"/>
          </w:tcPr>
          <w:p w14:paraId="1780365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0,070</w:t>
            </w:r>
          </w:p>
        </w:tc>
        <w:tc>
          <w:tcPr>
            <w:tcW w:w="878" w:type="dxa"/>
            <w:vMerge/>
          </w:tcPr>
          <w:p w14:paraId="2CB195C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33CAC10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045C71C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1C39D61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3D7D7C5" w14:textId="77777777" w:rsidR="00617F66" w:rsidRPr="00BB3294" w:rsidRDefault="00617F66" w:rsidP="00B045E4">
            <w:pPr>
              <w:rPr>
                <w:rFonts w:ascii="Arial" w:hAnsi="Arial" w:cs="Arial"/>
                <w:sz w:val="20"/>
                <w:szCs w:val="20"/>
              </w:rPr>
            </w:pPr>
          </w:p>
        </w:tc>
        <w:tc>
          <w:tcPr>
            <w:tcW w:w="1559" w:type="dxa"/>
          </w:tcPr>
          <w:p w14:paraId="2A7D5731"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2586B63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-4,77</w:t>
            </w:r>
          </w:p>
        </w:tc>
        <w:tc>
          <w:tcPr>
            <w:tcW w:w="1134" w:type="dxa"/>
          </w:tcPr>
          <w:p w14:paraId="3C0A07E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-4,58</w:t>
            </w:r>
          </w:p>
        </w:tc>
        <w:tc>
          <w:tcPr>
            <w:tcW w:w="993" w:type="dxa"/>
          </w:tcPr>
          <w:p w14:paraId="67DEA054"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62B9AE2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085BD14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4577B3C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2482509"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71D69AD9" w14:textId="77777777" w:rsidR="00617F66" w:rsidRPr="00BB3294" w:rsidRDefault="00617F66" w:rsidP="00B045E4">
            <w:pPr>
              <w:rPr>
                <w:rFonts w:ascii="Arial" w:hAnsi="Arial" w:cs="Arial"/>
                <w:sz w:val="20"/>
                <w:szCs w:val="20"/>
              </w:rPr>
            </w:pPr>
            <w:proofErr w:type="gramStart"/>
            <w:r w:rsidRPr="00BB3294">
              <w:rPr>
                <w:rFonts w:ascii="Arial" w:hAnsi="Arial" w:cs="Arial"/>
                <w:sz w:val="20"/>
                <w:szCs w:val="20"/>
              </w:rPr>
              <w:t>M(</w:t>
            </w:r>
            <w:proofErr w:type="gramEnd"/>
            <w:r w:rsidRPr="00BB3294">
              <w:rPr>
                <w:rFonts w:ascii="Arial" w:hAnsi="Arial" w:cs="Arial"/>
                <w:sz w:val="20"/>
                <w:szCs w:val="20"/>
              </w:rPr>
              <w:t>2), AR(1)</w:t>
            </w:r>
          </w:p>
        </w:tc>
        <w:tc>
          <w:tcPr>
            <w:tcW w:w="1559" w:type="dxa"/>
          </w:tcPr>
          <w:p w14:paraId="50FF720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72C5CE9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-704642</w:t>
            </w:r>
          </w:p>
        </w:tc>
        <w:tc>
          <w:tcPr>
            <w:tcW w:w="1134" w:type="dxa"/>
          </w:tcPr>
          <w:p w14:paraId="2993F14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-3,52</w:t>
            </w:r>
          </w:p>
        </w:tc>
        <w:tc>
          <w:tcPr>
            <w:tcW w:w="993" w:type="dxa"/>
          </w:tcPr>
          <w:p w14:paraId="2B9B995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0B567E11" w14:textId="77777777" w:rsidR="00617F66" w:rsidRPr="00BB3294" w:rsidRDefault="00617F66" w:rsidP="00B045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102F156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79544E2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24E0041E"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14C19A85" w14:textId="77777777" w:rsidR="00617F66" w:rsidRPr="00BB3294" w:rsidRDefault="00617F66" w:rsidP="00B045E4">
            <w:pPr>
              <w:rPr>
                <w:rFonts w:ascii="Arial" w:hAnsi="Arial" w:cs="Arial"/>
                <w:sz w:val="20"/>
                <w:szCs w:val="20"/>
              </w:rPr>
            </w:pPr>
          </w:p>
        </w:tc>
        <w:tc>
          <w:tcPr>
            <w:tcW w:w="1559" w:type="dxa"/>
          </w:tcPr>
          <w:p w14:paraId="6251A86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71B620D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71465,83</w:t>
            </w:r>
          </w:p>
        </w:tc>
        <w:tc>
          <w:tcPr>
            <w:tcW w:w="1134" w:type="dxa"/>
          </w:tcPr>
          <w:p w14:paraId="73173631"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0,37</w:t>
            </w:r>
          </w:p>
        </w:tc>
        <w:tc>
          <w:tcPr>
            <w:tcW w:w="993" w:type="dxa"/>
          </w:tcPr>
          <w:p w14:paraId="5C86DE5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0,710</w:t>
            </w:r>
          </w:p>
        </w:tc>
        <w:tc>
          <w:tcPr>
            <w:tcW w:w="878" w:type="dxa"/>
            <w:vMerge/>
          </w:tcPr>
          <w:p w14:paraId="3D0BFEF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0419B1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3FE73B7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1C4EF272"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410AB0DD" w14:textId="77777777" w:rsidR="00617F66" w:rsidRPr="00BB3294" w:rsidRDefault="00617F66" w:rsidP="00B045E4">
            <w:pPr>
              <w:rPr>
                <w:rFonts w:ascii="Arial" w:hAnsi="Arial" w:cs="Arial"/>
                <w:sz w:val="20"/>
                <w:szCs w:val="20"/>
              </w:rPr>
            </w:pPr>
          </w:p>
        </w:tc>
        <w:tc>
          <w:tcPr>
            <w:tcW w:w="1559" w:type="dxa"/>
          </w:tcPr>
          <w:p w14:paraId="522FF07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1427F6F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1,15</w:t>
            </w:r>
          </w:p>
        </w:tc>
        <w:tc>
          <w:tcPr>
            <w:tcW w:w="1134" w:type="dxa"/>
          </w:tcPr>
          <w:p w14:paraId="5C3957D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11,97</w:t>
            </w:r>
          </w:p>
        </w:tc>
        <w:tc>
          <w:tcPr>
            <w:tcW w:w="993" w:type="dxa"/>
          </w:tcPr>
          <w:p w14:paraId="1EEC8AB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739312C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6C445D3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15BA049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5943072C"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1BB7ADDF" w14:textId="77777777" w:rsidR="00617F66" w:rsidRPr="00BB3294" w:rsidRDefault="00617F66" w:rsidP="00B045E4">
            <w:pPr>
              <w:rPr>
                <w:rFonts w:ascii="Arial" w:hAnsi="Arial" w:cs="Arial"/>
                <w:sz w:val="20"/>
                <w:szCs w:val="20"/>
              </w:rPr>
            </w:pPr>
          </w:p>
        </w:tc>
        <w:tc>
          <w:tcPr>
            <w:tcW w:w="1559" w:type="dxa"/>
          </w:tcPr>
          <w:p w14:paraId="70960F2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47D09F3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11,73</w:t>
            </w:r>
          </w:p>
        </w:tc>
        <w:tc>
          <w:tcPr>
            <w:tcW w:w="1134" w:type="dxa"/>
          </w:tcPr>
          <w:p w14:paraId="2978DC9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172,61</w:t>
            </w:r>
          </w:p>
        </w:tc>
        <w:tc>
          <w:tcPr>
            <w:tcW w:w="993" w:type="dxa"/>
          </w:tcPr>
          <w:p w14:paraId="1CB478DC"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528D532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2BB169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2E5DA30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D9B0C33"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7B770A75" w14:textId="77777777" w:rsidR="00617F66" w:rsidRPr="00BB3294" w:rsidRDefault="00617F66" w:rsidP="00B045E4">
            <w:pPr>
              <w:rPr>
                <w:rFonts w:ascii="Arial" w:hAnsi="Arial" w:cs="Arial"/>
                <w:sz w:val="20"/>
                <w:szCs w:val="20"/>
              </w:rPr>
            </w:pPr>
          </w:p>
        </w:tc>
        <w:tc>
          <w:tcPr>
            <w:tcW w:w="1559" w:type="dxa"/>
          </w:tcPr>
          <w:p w14:paraId="20D924C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45651DA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0,68</w:t>
            </w:r>
          </w:p>
        </w:tc>
        <w:tc>
          <w:tcPr>
            <w:tcW w:w="1134" w:type="dxa"/>
          </w:tcPr>
          <w:p w14:paraId="532F08A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0,79</w:t>
            </w:r>
          </w:p>
        </w:tc>
        <w:tc>
          <w:tcPr>
            <w:tcW w:w="993" w:type="dxa"/>
          </w:tcPr>
          <w:p w14:paraId="4E6AB91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0,430</w:t>
            </w:r>
          </w:p>
        </w:tc>
        <w:tc>
          <w:tcPr>
            <w:tcW w:w="878" w:type="dxa"/>
            <w:vMerge/>
          </w:tcPr>
          <w:p w14:paraId="6F4C895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663CC4F6"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445CF7C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2ADFA9CB"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02FD81F" w14:textId="77777777" w:rsidR="00617F66" w:rsidRPr="00BB3294" w:rsidRDefault="00617F66" w:rsidP="00B045E4">
            <w:pPr>
              <w:rPr>
                <w:rFonts w:ascii="Arial" w:hAnsi="Arial" w:cs="Arial"/>
                <w:sz w:val="20"/>
                <w:szCs w:val="20"/>
              </w:rPr>
            </w:pPr>
          </w:p>
        </w:tc>
        <w:tc>
          <w:tcPr>
            <w:tcW w:w="1559" w:type="dxa"/>
          </w:tcPr>
          <w:p w14:paraId="4682DDB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257FFDF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-4,03</w:t>
            </w:r>
          </w:p>
        </w:tc>
        <w:tc>
          <w:tcPr>
            <w:tcW w:w="1134" w:type="dxa"/>
          </w:tcPr>
          <w:p w14:paraId="3A3E97B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-5,45</w:t>
            </w:r>
          </w:p>
        </w:tc>
        <w:tc>
          <w:tcPr>
            <w:tcW w:w="993" w:type="dxa"/>
          </w:tcPr>
          <w:p w14:paraId="0E50118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0BDB9D8"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98F5DB8"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0C0B5C4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181ABB5" w14:textId="77777777" w:rsidR="00A93F11" w:rsidRPr="005601F0" w:rsidRDefault="00A93F11" w:rsidP="00617F66">
      <w:pPr>
        <w:pStyle w:val="BodyText"/>
        <w:spacing w:after="0"/>
        <w:ind w:right="178" w:firstLine="720"/>
        <w:rPr>
          <w:rFonts w:ascii="Arial" w:hAnsi="Arial" w:cs="Arial"/>
          <w:b/>
          <w:sz w:val="22"/>
          <w:szCs w:val="22"/>
        </w:rPr>
      </w:pPr>
      <w:r w:rsidRPr="005601F0">
        <w:rPr>
          <w:rFonts w:ascii="Arial" w:hAnsi="Arial" w:cs="Arial"/>
          <w:b/>
          <w:sz w:val="22"/>
          <w:szCs w:val="22"/>
        </w:rPr>
        <w:t>Source: Statistic Result</w:t>
      </w:r>
    </w:p>
    <w:p w14:paraId="46A52C39" w14:textId="77777777" w:rsidR="00A93F11" w:rsidRPr="005601F0" w:rsidRDefault="00A93F11" w:rsidP="00A93F11">
      <w:pPr>
        <w:pStyle w:val="BodyText"/>
        <w:spacing w:after="0"/>
        <w:ind w:left="222" w:right="178"/>
        <w:jc w:val="both"/>
        <w:rPr>
          <w:rFonts w:ascii="Arial" w:hAnsi="Arial" w:cs="Arial"/>
          <w:sz w:val="22"/>
          <w:szCs w:val="22"/>
        </w:rPr>
      </w:pPr>
    </w:p>
    <w:p w14:paraId="499E6F02" w14:textId="77777777" w:rsidR="002A33EE" w:rsidRDefault="002A33EE" w:rsidP="00A93F11">
      <w:pPr>
        <w:tabs>
          <w:tab w:val="left" w:pos="378"/>
        </w:tabs>
        <w:jc w:val="both"/>
        <w:rPr>
          <w:rFonts w:ascii="Arial" w:hAnsi="Arial" w:cs="Arial"/>
          <w:b/>
          <w:sz w:val="22"/>
          <w:szCs w:val="22"/>
        </w:rPr>
        <w:sectPr w:rsidR="002A33EE" w:rsidSect="0018113C">
          <w:type w:val="continuous"/>
          <w:pgSz w:w="12240" w:h="15840"/>
          <w:pgMar w:top="720" w:right="720" w:bottom="720" w:left="720" w:header="720" w:footer="720" w:gutter="0"/>
          <w:cols w:space="720"/>
          <w:docGrid w:linePitch="360"/>
        </w:sectPr>
      </w:pPr>
    </w:p>
    <w:p w14:paraId="5E157392" w14:textId="77777777" w:rsidR="00A93F11" w:rsidRPr="005601F0" w:rsidRDefault="00A93F11" w:rsidP="00A93F11">
      <w:pPr>
        <w:tabs>
          <w:tab w:val="left" w:pos="378"/>
        </w:tabs>
        <w:jc w:val="both"/>
        <w:rPr>
          <w:rFonts w:ascii="Arial" w:hAnsi="Arial" w:cs="Arial"/>
          <w:b/>
          <w:sz w:val="22"/>
          <w:szCs w:val="22"/>
        </w:rPr>
      </w:pPr>
      <w:r w:rsidRPr="005601F0">
        <w:rPr>
          <w:rFonts w:ascii="Arial" w:hAnsi="Arial" w:cs="Arial"/>
          <w:b/>
          <w:sz w:val="22"/>
          <w:szCs w:val="22"/>
        </w:rPr>
        <w:t xml:space="preserve">Discussion </w:t>
      </w:r>
    </w:p>
    <w:p w14:paraId="77FF8BB1" w14:textId="77777777" w:rsidR="00A93F11" w:rsidRPr="005601F0" w:rsidRDefault="00A93F11" w:rsidP="005601F0">
      <w:pPr>
        <w:tabs>
          <w:tab w:val="left" w:pos="378"/>
        </w:tabs>
        <w:jc w:val="both"/>
        <w:rPr>
          <w:rFonts w:ascii="Arial" w:hAnsi="Arial" w:cs="Arial"/>
          <w:sz w:val="22"/>
          <w:szCs w:val="22"/>
        </w:rPr>
      </w:pPr>
      <w:r w:rsidRPr="005601F0">
        <w:rPr>
          <w:rFonts w:ascii="Arial" w:hAnsi="Arial" w:cs="Arial"/>
          <w:sz w:val="22"/>
          <w:szCs w:val="22"/>
        </w:rPr>
        <w:t xml:space="preserve">This study examines the relationship between indicators that are proxied to macroeconomic variables including interest rates, inflation, the composite stock price index and stock returns in analyzing the transaction value using electronic money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model. This study emphasizes the identification of variables to measure the value of e-money transactions in Indonesia so that they can become leading indicators on macroeconomic variables. It is also used to predict economic conditions in Indonesia in the future when using electronic money transactions. Using the MS-VAR model shows that the </w:t>
      </w:r>
      <w:proofErr w:type="gramStart"/>
      <w:r w:rsidRPr="005601F0">
        <w:rPr>
          <w:rFonts w:ascii="Arial" w:hAnsi="Arial" w:cs="Arial"/>
          <w:sz w:val="22"/>
          <w:szCs w:val="22"/>
        </w:rPr>
        <w:t>M(</w:t>
      </w:r>
      <w:proofErr w:type="gramEnd"/>
      <w:r w:rsidRPr="005601F0">
        <w:rPr>
          <w:rFonts w:ascii="Arial" w:hAnsi="Arial" w:cs="Arial"/>
          <w:sz w:val="22"/>
          <w:szCs w:val="22"/>
        </w:rPr>
        <w:t xml:space="preserve">2), AR(1) models have met the predetermined conditions. The duration of the lead is measured using the month parameter to be able to describe the condition continuously so that it can describe the condition of each specific time duration. From the M (2) model, AR (1) results in a regime change from a </w:t>
      </w:r>
      <w:r w:rsidRPr="005601F0">
        <w:rPr>
          <w:rFonts w:ascii="Arial" w:hAnsi="Arial" w:cs="Arial"/>
          <w:sz w:val="22"/>
          <w:szCs w:val="22"/>
        </w:rPr>
        <w:t xml:space="preserve">pre-Bank Indonesia regulation to a post-Bank Indonesia regulation of 9.45%, while the probability of regime change from a post-Bank Indonesia position to a pre-Bank Indonesia regulation is around 1.97%. The MSVAR method can predict times of crisis and expansion. So that according to the explanation above, the transaction value of e-money can be used as a leading indicator of macroeconomic variables. In addition, it is able to predict the economic cycle at some point if there is a change in the value of the conditions for the use of electronic money. </w:t>
      </w:r>
    </w:p>
    <w:p w14:paraId="219EF578" w14:textId="77777777" w:rsidR="005601F0" w:rsidRDefault="005601F0" w:rsidP="00A93F11">
      <w:pPr>
        <w:tabs>
          <w:tab w:val="left" w:pos="378"/>
        </w:tabs>
        <w:jc w:val="both"/>
        <w:rPr>
          <w:rFonts w:ascii="Arial" w:hAnsi="Arial" w:cs="Arial"/>
          <w:sz w:val="22"/>
          <w:szCs w:val="22"/>
        </w:rPr>
      </w:pPr>
    </w:p>
    <w:p w14:paraId="6A3BD349" w14:textId="77777777" w:rsidR="00790ADA" w:rsidRPr="005601F0" w:rsidRDefault="00A93F11" w:rsidP="00A93F11">
      <w:pPr>
        <w:tabs>
          <w:tab w:val="left" w:pos="378"/>
        </w:tabs>
        <w:jc w:val="both"/>
        <w:rPr>
          <w:rFonts w:ascii="Arial" w:hAnsi="Arial" w:cs="Arial"/>
          <w:sz w:val="22"/>
          <w:szCs w:val="22"/>
        </w:rPr>
      </w:pPr>
      <w:r w:rsidRPr="005601F0">
        <w:rPr>
          <w:rFonts w:ascii="Arial" w:hAnsi="Arial" w:cs="Arial"/>
          <w:sz w:val="22"/>
          <w:szCs w:val="22"/>
        </w:rPr>
        <w:t xml:space="preserve">From the above results, it is identified that the e-money transaction variable has a role as a leading macroeconomic indicator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model and vector autoregression. The results are also able to provide an overview that the e-money transaction variable is able to analyze future macroeconomic predictions and determine turning points.</w:t>
      </w:r>
    </w:p>
    <w:p w14:paraId="1425776E" w14:textId="77777777" w:rsidR="00790ADA" w:rsidRPr="005601F0" w:rsidRDefault="00790ADA" w:rsidP="00441B6F">
      <w:pPr>
        <w:pStyle w:val="Body"/>
        <w:spacing w:after="0"/>
        <w:rPr>
          <w:rFonts w:ascii="Arial" w:hAnsi="Arial" w:cs="Arial"/>
          <w:sz w:val="22"/>
          <w:szCs w:val="22"/>
        </w:rPr>
      </w:pPr>
    </w:p>
    <w:p w14:paraId="7C637D9D" w14:textId="77777777" w:rsidR="00B01FCD" w:rsidRPr="005601F0" w:rsidRDefault="00000F8F" w:rsidP="00441B6F">
      <w:pPr>
        <w:pStyle w:val="ConcHead"/>
        <w:spacing w:after="0"/>
        <w:jc w:val="both"/>
        <w:rPr>
          <w:rFonts w:ascii="Arial" w:hAnsi="Arial" w:cs="Arial"/>
          <w:szCs w:val="22"/>
        </w:rPr>
      </w:pPr>
      <w:r w:rsidRPr="005601F0">
        <w:rPr>
          <w:rFonts w:ascii="Arial" w:hAnsi="Arial" w:cs="Arial"/>
          <w:szCs w:val="22"/>
        </w:rPr>
        <w:t xml:space="preserve">4. </w:t>
      </w:r>
      <w:r w:rsidR="00B01FCD" w:rsidRPr="005601F0">
        <w:rPr>
          <w:rFonts w:ascii="Arial" w:hAnsi="Arial" w:cs="Arial"/>
          <w:szCs w:val="22"/>
        </w:rPr>
        <w:t>Conclusion</w:t>
      </w:r>
    </w:p>
    <w:p w14:paraId="0FD6FB41" w14:textId="77777777" w:rsidR="00A93F11" w:rsidRPr="005601F0" w:rsidRDefault="00A93F11" w:rsidP="00A93F11">
      <w:pPr>
        <w:tabs>
          <w:tab w:val="left" w:pos="378"/>
        </w:tabs>
        <w:jc w:val="both"/>
        <w:rPr>
          <w:rFonts w:ascii="Arial" w:hAnsi="Arial" w:cs="Arial"/>
          <w:sz w:val="22"/>
          <w:szCs w:val="22"/>
        </w:rPr>
      </w:pPr>
      <w:r w:rsidRPr="005601F0">
        <w:rPr>
          <w:rFonts w:ascii="Arial" w:hAnsi="Arial" w:cs="Arial"/>
          <w:sz w:val="22"/>
          <w:szCs w:val="22"/>
        </w:rPr>
        <w:t xml:space="preserve">This study has ACF and PACF graph values that indicate that the data is stationary and can be continued to the next test. The study also had a Dickey Fuller value shown on the P-vales value of the single mean expressed stationer. This study has the perfection of the model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model with the model type M (2), AR (1) with white noise values met. Based on these results, this model is able to be </w:t>
      </w:r>
      <w:r w:rsidRPr="005601F0">
        <w:rPr>
          <w:rFonts w:ascii="Arial" w:hAnsi="Arial" w:cs="Arial"/>
          <w:sz w:val="22"/>
          <w:szCs w:val="22"/>
        </w:rPr>
        <w:t>a catalyst in the value of using electronic money against macroeconomic variables, especially the value of interest rates, inflation, stock returns and the value of the composite stock price index.</w:t>
      </w:r>
      <w:r w:rsidR="005601F0">
        <w:rPr>
          <w:rFonts w:ascii="Arial" w:hAnsi="Arial" w:cs="Arial"/>
          <w:sz w:val="22"/>
          <w:szCs w:val="22"/>
        </w:rPr>
        <w:t xml:space="preserve"> </w:t>
      </w:r>
      <w:r w:rsidRPr="005601F0">
        <w:rPr>
          <w:rFonts w:ascii="Arial" w:hAnsi="Arial" w:cs="Arial"/>
          <w:sz w:val="22"/>
          <w:szCs w:val="22"/>
        </w:rPr>
        <w:t xml:space="preserve">The variable of e-money transaction becomes a measurement indicator on macroeconomic variables with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model of regime switching and vector autoregression in each existing regime. In addition, e-money transactions can also be used as variable indicators to measure several other macroeconomic variables in the future.</w:t>
      </w:r>
    </w:p>
    <w:p w14:paraId="4571B2F9" w14:textId="77777777" w:rsidR="002A33EE" w:rsidRDefault="002A33EE" w:rsidP="00441B6F">
      <w:pPr>
        <w:pStyle w:val="ConcHead"/>
        <w:spacing w:after="0"/>
        <w:jc w:val="both"/>
        <w:rPr>
          <w:rFonts w:ascii="Arial" w:hAnsi="Arial" w:cs="Arial"/>
        </w:rPr>
        <w:sectPr w:rsidR="002A33EE" w:rsidSect="0018113C">
          <w:type w:val="continuous"/>
          <w:pgSz w:w="12240" w:h="15840"/>
          <w:pgMar w:top="720" w:right="720" w:bottom="720" w:left="720" w:header="720" w:footer="720" w:gutter="0"/>
          <w:cols w:num="2" w:space="720"/>
          <w:docGrid w:linePitch="360"/>
        </w:sectPr>
      </w:pPr>
    </w:p>
    <w:p w14:paraId="35EBC370" w14:textId="77777777" w:rsidR="00790ADA" w:rsidRPr="00FB3A86" w:rsidRDefault="00790ADA" w:rsidP="00441B6F">
      <w:pPr>
        <w:pStyle w:val="ConcHead"/>
        <w:spacing w:after="0"/>
        <w:jc w:val="both"/>
        <w:rPr>
          <w:rFonts w:ascii="Arial" w:hAnsi="Arial" w:cs="Arial"/>
        </w:rPr>
      </w:pPr>
    </w:p>
    <w:p w14:paraId="30B57661" w14:textId="77777777" w:rsidR="00315186" w:rsidRPr="00315186" w:rsidRDefault="00315186" w:rsidP="00441B6F"/>
    <w:p w14:paraId="3C8B4726" w14:textId="77777777" w:rsidR="002A33EE" w:rsidRDefault="002A33EE" w:rsidP="00441B6F">
      <w:pPr>
        <w:rPr>
          <w:rFonts w:ascii="Arial" w:hAnsi="Arial" w:cs="Arial"/>
          <w:b/>
          <w:sz w:val="22"/>
          <w:szCs w:val="22"/>
        </w:rPr>
        <w:sectPr w:rsidR="002A33EE" w:rsidSect="0018113C">
          <w:type w:val="continuous"/>
          <w:pgSz w:w="12240" w:h="15840"/>
          <w:pgMar w:top="720" w:right="720" w:bottom="720" w:left="720" w:header="720" w:footer="720" w:gutter="0"/>
          <w:cols w:space="720"/>
          <w:docGrid w:linePitch="360"/>
        </w:sectPr>
      </w:pPr>
    </w:p>
    <w:p w14:paraId="46354376" w14:textId="77777777" w:rsidR="00315186" w:rsidRPr="005601F0" w:rsidRDefault="005601F0" w:rsidP="00441B6F">
      <w:pPr>
        <w:rPr>
          <w:rFonts w:ascii="Arial" w:hAnsi="Arial" w:cs="Arial"/>
          <w:b/>
          <w:sz w:val="22"/>
          <w:szCs w:val="22"/>
        </w:rPr>
      </w:pPr>
      <w:r w:rsidRPr="005601F0">
        <w:rPr>
          <w:rFonts w:ascii="Arial" w:hAnsi="Arial" w:cs="Arial"/>
          <w:b/>
          <w:sz w:val="22"/>
          <w:szCs w:val="22"/>
        </w:rPr>
        <w:t>REFERENCES</w:t>
      </w:r>
    </w:p>
    <w:p w14:paraId="0469EABA" w14:textId="77777777" w:rsidR="00790ADA" w:rsidRPr="005601F0" w:rsidRDefault="00790ADA" w:rsidP="00441B6F">
      <w:pPr>
        <w:pStyle w:val="Body"/>
        <w:spacing w:after="0"/>
        <w:rPr>
          <w:rFonts w:ascii="Arial" w:hAnsi="Arial" w:cs="Arial"/>
          <w:sz w:val="22"/>
          <w:szCs w:val="22"/>
        </w:rPr>
      </w:pPr>
    </w:p>
    <w:p w14:paraId="528B2664" w14:textId="77777777" w:rsidR="003A0411" w:rsidRDefault="003A0411" w:rsidP="00563912">
      <w:pPr>
        <w:ind w:left="567" w:hanging="567"/>
        <w:jc w:val="both"/>
        <w:rPr>
          <w:rFonts w:ascii="Arial" w:hAnsi="Arial" w:cs="Arial"/>
          <w:spacing w:val="-5"/>
          <w:sz w:val="22"/>
          <w:szCs w:val="22"/>
        </w:rPr>
        <w:sectPr w:rsidR="003A0411" w:rsidSect="0018113C">
          <w:type w:val="continuous"/>
          <w:pgSz w:w="12240" w:h="15840"/>
          <w:pgMar w:top="720" w:right="720" w:bottom="720" w:left="720" w:header="720" w:footer="720" w:gutter="0"/>
          <w:cols w:num="2" w:space="720"/>
          <w:docGrid w:linePitch="360"/>
        </w:sectPr>
      </w:pPr>
    </w:p>
    <w:p w14:paraId="5468391A"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Abidin</w:t>
      </w:r>
      <w:proofErr w:type="spellEnd"/>
      <w:r w:rsidRPr="00324AE8">
        <w:rPr>
          <w:rFonts w:ascii="Arial" w:hAnsi="Arial" w:cs="Arial"/>
          <w:spacing w:val="-5"/>
          <w:sz w:val="22"/>
          <w:szCs w:val="22"/>
        </w:rPr>
        <w:t>, M. S. (2015). The Impact of E-Money Policy in Indonesia as a New Payment System Tool. UNESA Accounting Journal, 3(2), 1-21. https://ejournal.unesa.ac.id/index.php/jurnal-akuntansi/article/view/13212</w:t>
      </w:r>
    </w:p>
    <w:p w14:paraId="3D637269"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Allo</w:t>
      </w:r>
      <w:proofErr w:type="spellEnd"/>
      <w:r w:rsidRPr="00324AE8">
        <w:rPr>
          <w:rFonts w:ascii="Arial" w:hAnsi="Arial" w:cs="Arial"/>
          <w:spacing w:val="-5"/>
          <w:sz w:val="22"/>
          <w:szCs w:val="22"/>
        </w:rPr>
        <w:t xml:space="preserve">, D. G., </w:t>
      </w:r>
      <w:proofErr w:type="spellStart"/>
      <w:r w:rsidRPr="00324AE8">
        <w:rPr>
          <w:rFonts w:ascii="Arial" w:hAnsi="Arial" w:cs="Arial"/>
          <w:spacing w:val="-5"/>
          <w:sz w:val="22"/>
          <w:szCs w:val="22"/>
        </w:rPr>
        <w:t>Hatidja</w:t>
      </w:r>
      <w:proofErr w:type="spellEnd"/>
      <w:r w:rsidRPr="00324AE8">
        <w:rPr>
          <w:rFonts w:ascii="Arial" w:hAnsi="Arial" w:cs="Arial"/>
          <w:spacing w:val="-5"/>
          <w:sz w:val="22"/>
          <w:szCs w:val="22"/>
        </w:rPr>
        <w:t xml:space="preserve">, D., &amp; </w:t>
      </w:r>
      <w:proofErr w:type="spellStart"/>
      <w:r w:rsidRPr="00324AE8">
        <w:rPr>
          <w:rFonts w:ascii="Arial" w:hAnsi="Arial" w:cs="Arial"/>
          <w:spacing w:val="-5"/>
          <w:sz w:val="22"/>
          <w:szCs w:val="22"/>
        </w:rPr>
        <w:t>Paendong</w:t>
      </w:r>
      <w:proofErr w:type="spellEnd"/>
      <w:r w:rsidRPr="00324AE8">
        <w:rPr>
          <w:rFonts w:ascii="Arial" w:hAnsi="Arial" w:cs="Arial"/>
          <w:spacing w:val="-5"/>
          <w:sz w:val="22"/>
          <w:szCs w:val="22"/>
        </w:rPr>
        <w:t xml:space="preserve">, M. (2013). Markov Chain Analysis to Determine the Opportunity of Brand Switching of GSM Prepaid Cellular Cards (Case Study of Students of the Faculty of Agriculture, </w:t>
      </w:r>
      <w:proofErr w:type="spellStart"/>
      <w:r w:rsidRPr="00324AE8">
        <w:rPr>
          <w:rFonts w:ascii="Arial" w:hAnsi="Arial" w:cs="Arial"/>
          <w:spacing w:val="-5"/>
          <w:sz w:val="22"/>
          <w:szCs w:val="22"/>
        </w:rPr>
        <w:t>Unsrat</w:t>
      </w:r>
      <w:proofErr w:type="spellEnd"/>
      <w:r w:rsidRPr="00324AE8">
        <w:rPr>
          <w:rFonts w:ascii="Arial" w:hAnsi="Arial" w:cs="Arial"/>
          <w:spacing w:val="-5"/>
          <w:sz w:val="22"/>
          <w:szCs w:val="22"/>
        </w:rPr>
        <w:t xml:space="preserve"> Manado). MIPA Journal, 2(1), 17-22. https://doi.org/10.35799/jm.2.1.2013.745</w:t>
      </w:r>
    </w:p>
    <w:p w14:paraId="2B29096D"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Anisma</w:t>
      </w:r>
      <w:proofErr w:type="spellEnd"/>
      <w:r w:rsidRPr="00324AE8">
        <w:rPr>
          <w:rFonts w:ascii="Arial" w:hAnsi="Arial" w:cs="Arial"/>
          <w:spacing w:val="-5"/>
          <w:sz w:val="22"/>
          <w:szCs w:val="22"/>
        </w:rPr>
        <w:t>, Y. (2012). Factors Affecting Stock Prices of Banking Companies Listed on the Indonesia Stock Exchange (IDX). Journal of Social Economic Development, 2(5), 144-165. https://jsep.ejournal.unri.ac.id/index.php/JSEP/article/view/550</w:t>
      </w:r>
    </w:p>
    <w:p w14:paraId="605B67EC"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Azali</w:t>
      </w:r>
      <w:proofErr w:type="spellEnd"/>
      <w:r w:rsidRPr="00324AE8">
        <w:rPr>
          <w:rFonts w:ascii="Arial" w:hAnsi="Arial" w:cs="Arial"/>
          <w:spacing w:val="-5"/>
          <w:sz w:val="22"/>
          <w:szCs w:val="22"/>
        </w:rPr>
        <w:t>, K. (2016). Cashless in Indonesia: Gelling Mobile E-frictions? Journal of Southeast Asian Economies (JSEAE) 33(3): 364-386. http://www.jstor.org/stable/44132411</w:t>
      </w:r>
    </w:p>
    <w:p w14:paraId="2DAEB3F5"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(2016). Bank Indonesia Regulation No. 18/17/PBI/2016 Concerning Electronic Money. Jakarta.</w:t>
      </w:r>
    </w:p>
    <w:p w14:paraId="223A9513"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(2018). Electronic Money. https://www.bi.go.id/id/statistik/sistem- pembayaran/uang-elektronik/Contents/Penyelenggara%20Uang%20Elektronik.aspx. Accessed on August 13, 2018.</w:t>
      </w:r>
    </w:p>
    <w:p w14:paraId="3C75AFED"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(2018). Bank Indonesia Regulation No. 20/6/PBI/2018 Concerning Electronic Money. Jakarta.</w:t>
      </w:r>
    </w:p>
    <w:p w14:paraId="09EAEF84"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Bry</w:t>
      </w:r>
      <w:proofErr w:type="spellEnd"/>
      <w:r w:rsidRPr="00324AE8">
        <w:rPr>
          <w:rFonts w:ascii="Arial" w:hAnsi="Arial" w:cs="Arial"/>
          <w:spacing w:val="-5"/>
          <w:sz w:val="22"/>
          <w:szCs w:val="22"/>
        </w:rPr>
        <w:t xml:space="preserve">, G. and </w:t>
      </w:r>
      <w:proofErr w:type="spellStart"/>
      <w:r w:rsidRPr="00324AE8">
        <w:rPr>
          <w:rFonts w:ascii="Arial" w:hAnsi="Arial" w:cs="Arial"/>
          <w:spacing w:val="-5"/>
          <w:sz w:val="22"/>
          <w:szCs w:val="22"/>
        </w:rPr>
        <w:t>Boschan</w:t>
      </w:r>
      <w:proofErr w:type="spellEnd"/>
      <w:r w:rsidRPr="00324AE8">
        <w:rPr>
          <w:rFonts w:ascii="Arial" w:hAnsi="Arial" w:cs="Arial"/>
          <w:spacing w:val="-5"/>
          <w:sz w:val="22"/>
          <w:szCs w:val="22"/>
        </w:rPr>
        <w:t>, C. (1971). Cyclical Analysis of Time Series: Selected Procedures Ana Computer Programs. NBER. New York. https://doi.org/10.2307/2344336</w:t>
      </w:r>
    </w:p>
    <w:p w14:paraId="14F35B52"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Databooks</w:t>
      </w:r>
      <w:proofErr w:type="spellEnd"/>
      <w:r w:rsidRPr="00324AE8">
        <w:rPr>
          <w:rFonts w:ascii="Arial" w:hAnsi="Arial" w:cs="Arial"/>
          <w:spacing w:val="-5"/>
          <w:sz w:val="22"/>
          <w:szCs w:val="22"/>
        </w:rPr>
        <w:t>. (2020). E-Money Transactions Increase During PSBB. Accessed through: https://databoks.katadata.co.id/datapublish/2020/09/11/transaksi-e-money-meningkat-saat-psbb. On October 20, 2022.</w:t>
      </w:r>
    </w:p>
    <w:p w14:paraId="57030D63"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Hidayati</w:t>
      </w:r>
      <w:proofErr w:type="spellEnd"/>
      <w:r w:rsidRPr="00324AE8">
        <w:rPr>
          <w:rFonts w:ascii="Arial" w:hAnsi="Arial" w:cs="Arial"/>
          <w:spacing w:val="-5"/>
          <w:sz w:val="22"/>
          <w:szCs w:val="22"/>
        </w:rPr>
        <w:t xml:space="preserve">, S., </w:t>
      </w:r>
      <w:proofErr w:type="spellStart"/>
      <w:r w:rsidRPr="00324AE8">
        <w:rPr>
          <w:rFonts w:ascii="Arial" w:hAnsi="Arial" w:cs="Arial"/>
          <w:spacing w:val="-5"/>
          <w:sz w:val="22"/>
          <w:szCs w:val="22"/>
        </w:rPr>
        <w:t>Nuryanti</w:t>
      </w:r>
      <w:proofErr w:type="spellEnd"/>
      <w:r w:rsidRPr="00324AE8">
        <w:rPr>
          <w:rFonts w:ascii="Arial" w:hAnsi="Arial" w:cs="Arial"/>
          <w:spacing w:val="-5"/>
          <w:sz w:val="22"/>
          <w:szCs w:val="22"/>
        </w:rPr>
        <w:t xml:space="preserve">, I., </w:t>
      </w:r>
      <w:proofErr w:type="spellStart"/>
      <w:r w:rsidRPr="00324AE8">
        <w:rPr>
          <w:rFonts w:ascii="Arial" w:hAnsi="Arial" w:cs="Arial"/>
          <w:spacing w:val="-5"/>
          <w:sz w:val="22"/>
          <w:szCs w:val="22"/>
        </w:rPr>
        <w:t>Firmansyah</w:t>
      </w:r>
      <w:proofErr w:type="spellEnd"/>
      <w:r w:rsidRPr="00324AE8">
        <w:rPr>
          <w:rFonts w:ascii="Arial" w:hAnsi="Arial" w:cs="Arial"/>
          <w:spacing w:val="-5"/>
          <w:sz w:val="22"/>
          <w:szCs w:val="22"/>
        </w:rPr>
        <w:t xml:space="preserve">, A., </w:t>
      </w:r>
      <w:proofErr w:type="spellStart"/>
      <w:r w:rsidRPr="00324AE8">
        <w:rPr>
          <w:rFonts w:ascii="Arial" w:hAnsi="Arial" w:cs="Arial"/>
          <w:spacing w:val="-5"/>
          <w:sz w:val="22"/>
          <w:szCs w:val="22"/>
        </w:rPr>
        <w:t>Fadly</w:t>
      </w:r>
      <w:proofErr w:type="spellEnd"/>
      <w:r w:rsidRPr="00324AE8">
        <w:rPr>
          <w:rFonts w:ascii="Arial" w:hAnsi="Arial" w:cs="Arial"/>
          <w:spacing w:val="-5"/>
          <w:sz w:val="22"/>
          <w:szCs w:val="22"/>
        </w:rPr>
        <w:t xml:space="preserve">, A., &amp; </w:t>
      </w:r>
      <w:proofErr w:type="spellStart"/>
      <w:r w:rsidRPr="00324AE8">
        <w:rPr>
          <w:rFonts w:ascii="Arial" w:hAnsi="Arial" w:cs="Arial"/>
          <w:spacing w:val="-5"/>
          <w:sz w:val="22"/>
          <w:szCs w:val="22"/>
        </w:rPr>
        <w:t>Darmawan</w:t>
      </w:r>
      <w:proofErr w:type="spellEnd"/>
      <w:r w:rsidRPr="00324AE8">
        <w:rPr>
          <w:rFonts w:ascii="Arial" w:hAnsi="Arial" w:cs="Arial"/>
          <w:spacing w:val="-5"/>
          <w:sz w:val="22"/>
          <w:szCs w:val="22"/>
        </w:rPr>
        <w:t>, I. Y. (2006). E-Money Operations. Bank Indonesia Study. October 2016 Edition.</w:t>
      </w:r>
    </w:p>
    <w:p w14:paraId="2B257C70"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Igamo</w:t>
      </w:r>
      <w:proofErr w:type="spellEnd"/>
      <w:r w:rsidRPr="00324AE8">
        <w:rPr>
          <w:rFonts w:ascii="Arial" w:hAnsi="Arial" w:cs="Arial"/>
          <w:spacing w:val="-5"/>
          <w:sz w:val="22"/>
          <w:szCs w:val="22"/>
        </w:rPr>
        <w:t xml:space="preserve">, A. M., &amp; </w:t>
      </w:r>
      <w:proofErr w:type="spellStart"/>
      <w:r w:rsidRPr="00324AE8">
        <w:rPr>
          <w:rFonts w:ascii="Arial" w:hAnsi="Arial" w:cs="Arial"/>
          <w:spacing w:val="-5"/>
          <w:sz w:val="22"/>
          <w:szCs w:val="22"/>
        </w:rPr>
        <w:t>Falianty</w:t>
      </w:r>
      <w:proofErr w:type="spellEnd"/>
      <w:r w:rsidRPr="00324AE8">
        <w:rPr>
          <w:rFonts w:ascii="Arial" w:hAnsi="Arial" w:cs="Arial"/>
          <w:spacing w:val="-5"/>
          <w:sz w:val="22"/>
          <w:szCs w:val="22"/>
        </w:rPr>
        <w:t xml:space="preserve">, T. A. (2018). The Impact of Electronic Money on the Efficiency of the Payment System and the Substitution of Cash in Indonesia. </w:t>
      </w:r>
      <w:proofErr w:type="spellStart"/>
      <w:r w:rsidRPr="00324AE8">
        <w:rPr>
          <w:rFonts w:ascii="Arial" w:hAnsi="Arial" w:cs="Arial"/>
          <w:spacing w:val="-5"/>
          <w:sz w:val="22"/>
          <w:szCs w:val="22"/>
        </w:rPr>
        <w:t>Sriwijaya</w:t>
      </w:r>
      <w:proofErr w:type="spellEnd"/>
      <w:r w:rsidRPr="00324AE8">
        <w:rPr>
          <w:rFonts w:ascii="Arial" w:hAnsi="Arial" w:cs="Arial"/>
          <w:spacing w:val="-5"/>
          <w:sz w:val="22"/>
          <w:szCs w:val="22"/>
        </w:rPr>
        <w:t xml:space="preserve"> International Journal of Dynamic Economics and Business (SIJDEB), 2(3), 237-254. https://doi.org/10.29259/sijdeb.v2i3.237-254</w:t>
      </w:r>
    </w:p>
    <w:p w14:paraId="582396A0"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Jones, C. P. (2007). Investment. New Jersey: John Wiley &amp; Sons (Asia) Pte Ltd.</w:t>
      </w:r>
    </w:p>
    <w:p w14:paraId="68564BF8"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Krolzig</w:t>
      </w:r>
      <w:proofErr w:type="spellEnd"/>
      <w:r w:rsidRPr="00324AE8">
        <w:rPr>
          <w:rFonts w:ascii="Arial" w:hAnsi="Arial" w:cs="Arial"/>
          <w:spacing w:val="-5"/>
          <w:sz w:val="22"/>
          <w:szCs w:val="22"/>
        </w:rPr>
        <w:t>, H. M. (1997). Markov Switching Vector Autoregressions: Modelling, Statistical Inference and Application to Business Cycle Analysis. Berlin: Springer. https://link.springer.com/book/10.1007/978-3-642-51684-9</w:t>
      </w:r>
    </w:p>
    <w:p w14:paraId="51AD4CBF"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Lintangsari</w:t>
      </w:r>
      <w:proofErr w:type="spellEnd"/>
      <w:r w:rsidRPr="00324AE8">
        <w:rPr>
          <w:rFonts w:ascii="Arial" w:hAnsi="Arial" w:cs="Arial"/>
          <w:spacing w:val="-5"/>
          <w:sz w:val="22"/>
          <w:szCs w:val="22"/>
        </w:rPr>
        <w:t xml:space="preserve">, N. N., </w:t>
      </w:r>
      <w:proofErr w:type="spellStart"/>
      <w:r w:rsidRPr="00324AE8">
        <w:rPr>
          <w:rFonts w:ascii="Arial" w:hAnsi="Arial" w:cs="Arial"/>
          <w:spacing w:val="-5"/>
          <w:sz w:val="22"/>
          <w:szCs w:val="22"/>
        </w:rPr>
        <w:t>Hidayati</w:t>
      </w:r>
      <w:proofErr w:type="spellEnd"/>
      <w:r w:rsidRPr="00324AE8">
        <w:rPr>
          <w:rFonts w:ascii="Arial" w:hAnsi="Arial" w:cs="Arial"/>
          <w:spacing w:val="-5"/>
          <w:sz w:val="22"/>
          <w:szCs w:val="22"/>
        </w:rPr>
        <w:t xml:space="preserve">, N., </w:t>
      </w:r>
      <w:proofErr w:type="spellStart"/>
      <w:r w:rsidRPr="00324AE8">
        <w:rPr>
          <w:rFonts w:ascii="Arial" w:hAnsi="Arial" w:cs="Arial"/>
          <w:spacing w:val="-5"/>
          <w:sz w:val="22"/>
          <w:szCs w:val="22"/>
        </w:rPr>
        <w:t>Purnamasari</w:t>
      </w:r>
      <w:proofErr w:type="spellEnd"/>
      <w:r w:rsidRPr="00324AE8">
        <w:rPr>
          <w:rFonts w:ascii="Arial" w:hAnsi="Arial" w:cs="Arial"/>
          <w:spacing w:val="-5"/>
          <w:sz w:val="22"/>
          <w:szCs w:val="22"/>
        </w:rPr>
        <w:t>, Y., Carolina, H., &amp; Ramadhan, W. F. (2018). Analysis of the Influence of Non-Cash Payment Instruments on the Stability of the Financial System in Indonesia. Journal of Economic Development Dynamics, 1(1), 47-62. https://doi.org/10.14710/jdep.1.1.47-62</w:t>
      </w:r>
    </w:p>
    <w:p w14:paraId="00662B8F"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Robi’in</w:t>
      </w:r>
      <w:proofErr w:type="spellEnd"/>
      <w:r w:rsidRPr="00324AE8">
        <w:rPr>
          <w:rFonts w:ascii="Arial" w:hAnsi="Arial" w:cs="Arial"/>
          <w:spacing w:val="-5"/>
          <w:sz w:val="22"/>
          <w:szCs w:val="22"/>
        </w:rPr>
        <w:t xml:space="preserve">, B., </w:t>
      </w:r>
      <w:proofErr w:type="spellStart"/>
      <w:r w:rsidRPr="00324AE8">
        <w:rPr>
          <w:rFonts w:ascii="Arial" w:hAnsi="Arial" w:cs="Arial"/>
          <w:spacing w:val="-5"/>
          <w:sz w:val="22"/>
          <w:szCs w:val="22"/>
        </w:rPr>
        <w:t>Wardana</w:t>
      </w:r>
      <w:proofErr w:type="spellEnd"/>
      <w:r w:rsidRPr="00324AE8">
        <w:rPr>
          <w:rFonts w:ascii="Arial" w:hAnsi="Arial" w:cs="Arial"/>
          <w:spacing w:val="-5"/>
          <w:sz w:val="22"/>
          <w:szCs w:val="22"/>
        </w:rPr>
        <w:t xml:space="preserve">, L. A., &amp; </w:t>
      </w:r>
      <w:proofErr w:type="spellStart"/>
      <w:r w:rsidRPr="00324AE8">
        <w:rPr>
          <w:rFonts w:ascii="Arial" w:hAnsi="Arial" w:cs="Arial"/>
          <w:spacing w:val="-5"/>
          <w:sz w:val="22"/>
          <w:szCs w:val="22"/>
        </w:rPr>
        <w:t>Suyoto</w:t>
      </w:r>
      <w:proofErr w:type="spellEnd"/>
      <w:r w:rsidRPr="00324AE8">
        <w:rPr>
          <w:rFonts w:ascii="Arial" w:hAnsi="Arial" w:cs="Arial"/>
          <w:spacing w:val="-5"/>
          <w:sz w:val="22"/>
          <w:szCs w:val="22"/>
        </w:rPr>
        <w:t>, S. (2017). New Solutions for Instant Payment Problems in Indonesia. International Journal on Advanced Science Engineering Information Technology, 7(4), 1191-1197. https://doi.org/10.18517/ijaseit.7.4.2221</w:t>
      </w:r>
    </w:p>
    <w:p w14:paraId="6AA1BD33"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Sudarsono</w:t>
      </w:r>
      <w:proofErr w:type="spellEnd"/>
      <w:r w:rsidRPr="00324AE8">
        <w:rPr>
          <w:rFonts w:ascii="Arial" w:hAnsi="Arial" w:cs="Arial"/>
          <w:spacing w:val="-5"/>
          <w:sz w:val="22"/>
          <w:szCs w:val="22"/>
        </w:rPr>
        <w:t xml:space="preserve">, B., &amp; </w:t>
      </w:r>
      <w:proofErr w:type="spellStart"/>
      <w:r w:rsidRPr="00324AE8">
        <w:rPr>
          <w:rFonts w:ascii="Arial" w:hAnsi="Arial" w:cs="Arial"/>
          <w:spacing w:val="-5"/>
          <w:sz w:val="22"/>
          <w:szCs w:val="22"/>
        </w:rPr>
        <w:t>Sudiyatno</w:t>
      </w:r>
      <w:proofErr w:type="spellEnd"/>
      <w:r w:rsidRPr="00324AE8">
        <w:rPr>
          <w:rFonts w:ascii="Arial" w:hAnsi="Arial" w:cs="Arial"/>
          <w:spacing w:val="-5"/>
          <w:sz w:val="22"/>
          <w:szCs w:val="22"/>
        </w:rPr>
        <w:t>, B. (2016). Factors Affecting Stock Returns in Property and Real Estate Companies Listed on the Indonesia Stock Exchange in 2009-2014. Journal of Business and Economics, 23(1), 66-81. https://www.unisbank.ac.id/ojs/index.php/fe3/article/view/4304</w:t>
      </w:r>
    </w:p>
    <w:p w14:paraId="59E44CD5"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Tayibnapis</w:t>
      </w:r>
      <w:proofErr w:type="spellEnd"/>
      <w:r w:rsidRPr="00324AE8">
        <w:rPr>
          <w:rFonts w:ascii="Arial" w:hAnsi="Arial" w:cs="Arial"/>
          <w:spacing w:val="-5"/>
          <w:sz w:val="22"/>
          <w:szCs w:val="22"/>
        </w:rPr>
        <w:t xml:space="preserve">, A. Z., </w:t>
      </w:r>
      <w:proofErr w:type="spellStart"/>
      <w:r w:rsidRPr="00324AE8">
        <w:rPr>
          <w:rFonts w:ascii="Arial" w:hAnsi="Arial" w:cs="Arial"/>
          <w:spacing w:val="-5"/>
          <w:sz w:val="22"/>
          <w:szCs w:val="22"/>
        </w:rPr>
        <w:t>Wuryaningsih</w:t>
      </w:r>
      <w:proofErr w:type="spellEnd"/>
      <w:r w:rsidRPr="00324AE8">
        <w:rPr>
          <w:rFonts w:ascii="Arial" w:hAnsi="Arial" w:cs="Arial"/>
          <w:spacing w:val="-5"/>
          <w:sz w:val="22"/>
          <w:szCs w:val="22"/>
        </w:rPr>
        <w:t>, L. E., &amp; Gora, R. (2018). The Development of Digital Economy in Indonesia. IJMBS International Journal of Management and Business Studies, 8(3), 14-18. http://www.ijmbs.com/Vol8/issue3/2-ahmad-zafrullah-tayibnapis.pdf</w:t>
      </w:r>
    </w:p>
    <w:p w14:paraId="2664608C"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Tandelilin</w:t>
      </w:r>
      <w:proofErr w:type="spellEnd"/>
      <w:r w:rsidRPr="00324AE8">
        <w:rPr>
          <w:rFonts w:ascii="Arial" w:hAnsi="Arial" w:cs="Arial"/>
          <w:spacing w:val="-5"/>
          <w:sz w:val="22"/>
          <w:szCs w:val="22"/>
        </w:rPr>
        <w:t>, E. (2010). Investment Analysis and Portfolio Management. Yogyakarta: BPFE.</w:t>
      </w:r>
    </w:p>
    <w:p w14:paraId="2ACB253A" w14:textId="73D8942D" w:rsidR="00B01FCD" w:rsidRPr="005601F0" w:rsidRDefault="00324AE8" w:rsidP="00324AE8">
      <w:pPr>
        <w:ind w:left="567" w:hanging="567"/>
        <w:jc w:val="both"/>
        <w:rPr>
          <w:rFonts w:ascii="Arial" w:hAnsi="Arial" w:cs="Arial"/>
          <w:sz w:val="22"/>
          <w:szCs w:val="22"/>
        </w:rPr>
      </w:pPr>
      <w:proofErr w:type="spellStart"/>
      <w:r w:rsidRPr="00324AE8">
        <w:rPr>
          <w:rFonts w:ascii="Arial" w:hAnsi="Arial" w:cs="Arial"/>
          <w:spacing w:val="-5"/>
          <w:sz w:val="22"/>
          <w:szCs w:val="22"/>
        </w:rPr>
        <w:t>Untoro</w:t>
      </w:r>
      <w:proofErr w:type="spellEnd"/>
      <w:r w:rsidRPr="00324AE8">
        <w:rPr>
          <w:rFonts w:ascii="Arial" w:hAnsi="Arial" w:cs="Arial"/>
          <w:spacing w:val="-5"/>
          <w:sz w:val="22"/>
          <w:szCs w:val="22"/>
        </w:rPr>
        <w:t xml:space="preserve">, R. W. </w:t>
      </w:r>
      <w:proofErr w:type="spellStart"/>
      <w:r w:rsidRPr="00324AE8">
        <w:rPr>
          <w:rFonts w:ascii="Arial" w:hAnsi="Arial" w:cs="Arial"/>
          <w:spacing w:val="-5"/>
          <w:sz w:val="22"/>
          <w:szCs w:val="22"/>
        </w:rPr>
        <w:t>Priyo</w:t>
      </w:r>
      <w:proofErr w:type="spellEnd"/>
      <w:r w:rsidRPr="00324AE8">
        <w:rPr>
          <w:rFonts w:ascii="Arial" w:hAnsi="Arial" w:cs="Arial"/>
          <w:spacing w:val="-5"/>
          <w:sz w:val="22"/>
          <w:szCs w:val="22"/>
        </w:rPr>
        <w:t>, and M. S. Arifin. (2014). Study of the Use of Payment System Instruments as Leading Macroeconomic Indicators. Working Paper Bank Indonesia WP/6/2.</w:t>
      </w:r>
    </w:p>
    <w:sectPr w:rsidR="00B01FCD" w:rsidRPr="005601F0" w:rsidSect="001811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3D39" w14:textId="77777777" w:rsidR="0047473C" w:rsidRDefault="0047473C" w:rsidP="00C37E61">
      <w:r>
        <w:separator/>
      </w:r>
    </w:p>
  </w:endnote>
  <w:endnote w:type="continuationSeparator" w:id="0">
    <w:p w14:paraId="1F5E8821" w14:textId="77777777" w:rsidR="0047473C" w:rsidRDefault="004747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729E" w14:textId="297927E3" w:rsidR="00754C9A" w:rsidRPr="0018113C" w:rsidRDefault="00754C9A" w:rsidP="0018113C">
    <w:pPr>
      <w:pStyle w:val="Foote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788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E303" w14:textId="77777777" w:rsidR="0047473C" w:rsidRDefault="0047473C" w:rsidP="00C37E61">
      <w:r>
        <w:separator/>
      </w:r>
    </w:p>
  </w:footnote>
  <w:footnote w:type="continuationSeparator" w:id="0">
    <w:p w14:paraId="28DEA5E7" w14:textId="77777777" w:rsidR="0047473C" w:rsidRDefault="004747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5ECD" w14:textId="77777777" w:rsidR="00296529" w:rsidRPr="00296529" w:rsidRDefault="00296529" w:rsidP="00296529">
    <w:pPr>
      <w:ind w:left="2160"/>
      <w:jc w:val="center"/>
      <w:rPr>
        <w:rFonts w:ascii="Times New Roman" w:eastAsia="Calibri" w:hAnsi="Times New Roman"/>
        <w:i/>
        <w:sz w:val="18"/>
        <w:szCs w:val="22"/>
      </w:rPr>
    </w:pPr>
  </w:p>
  <w:p w14:paraId="0F7BD5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C174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8D78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6124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C7C0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36CA6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020EA2"/>
    <w:multiLevelType w:val="hybridMultilevel"/>
    <w:tmpl w:val="9D6A563E"/>
    <w:lvl w:ilvl="0" w:tplc="D6587C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517D5E"/>
    <w:multiLevelType w:val="hybridMultilevel"/>
    <w:tmpl w:val="42320312"/>
    <w:lvl w:ilvl="0" w:tplc="CB90C7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241A9"/>
    <w:multiLevelType w:val="hybridMultilevel"/>
    <w:tmpl w:val="8E54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390AD7"/>
    <w:multiLevelType w:val="hybridMultilevel"/>
    <w:tmpl w:val="847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423"/>
    <w:multiLevelType w:val="hybridMultilevel"/>
    <w:tmpl w:val="640EC2A8"/>
    <w:lvl w:ilvl="0" w:tplc="C72A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F2F73"/>
    <w:multiLevelType w:val="hybridMultilevel"/>
    <w:tmpl w:val="9FB2F214"/>
    <w:lvl w:ilvl="0" w:tplc="15A83FD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70532"/>
    <w:multiLevelType w:val="hybridMultilevel"/>
    <w:tmpl w:val="DE7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1"/>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2"/>
  </w:num>
  <w:num w:numId="25">
    <w:abstractNumId w:val="4"/>
  </w:num>
  <w:num w:numId="26">
    <w:abstractNumId w:val="20"/>
  </w:num>
  <w:num w:numId="27">
    <w:abstractNumId w:val="26"/>
  </w:num>
  <w:num w:numId="28">
    <w:abstractNumId w:val="34"/>
  </w:num>
  <w:num w:numId="29">
    <w:abstractNumId w:val="30"/>
  </w:num>
  <w:num w:numId="30">
    <w:abstractNumId w:val="11"/>
  </w:num>
  <w:num w:numId="31">
    <w:abstractNumId w:val="33"/>
  </w:num>
  <w:num w:numId="32">
    <w:abstractNumId w:val="19"/>
  </w:num>
  <w:num w:numId="33">
    <w:abstractNumId w:val="16"/>
  </w:num>
  <w:num w:numId="34">
    <w:abstractNumId w:val="7"/>
  </w:num>
  <w:num w:numId="35">
    <w:abstractNumId w:val="21"/>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113C"/>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33EE"/>
    <w:rsid w:val="002B27FB"/>
    <w:rsid w:val="002B685A"/>
    <w:rsid w:val="002C57D2"/>
    <w:rsid w:val="002E0D56"/>
    <w:rsid w:val="002F0875"/>
    <w:rsid w:val="00315186"/>
    <w:rsid w:val="00324AE8"/>
    <w:rsid w:val="0033343E"/>
    <w:rsid w:val="003512C2"/>
    <w:rsid w:val="00371FB6"/>
    <w:rsid w:val="003763C1"/>
    <w:rsid w:val="00376BBE"/>
    <w:rsid w:val="0038326C"/>
    <w:rsid w:val="0039224F"/>
    <w:rsid w:val="003A0411"/>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473C"/>
    <w:rsid w:val="004C6C1B"/>
    <w:rsid w:val="004D305E"/>
    <w:rsid w:val="004D4277"/>
    <w:rsid w:val="00502516"/>
    <w:rsid w:val="00505F06"/>
    <w:rsid w:val="00506828"/>
    <w:rsid w:val="0053056E"/>
    <w:rsid w:val="00554FDA"/>
    <w:rsid w:val="005601F0"/>
    <w:rsid w:val="00563912"/>
    <w:rsid w:val="005C784C"/>
    <w:rsid w:val="005D17F6"/>
    <w:rsid w:val="005E5539"/>
    <w:rsid w:val="005F3B99"/>
    <w:rsid w:val="00602BF5"/>
    <w:rsid w:val="00617F66"/>
    <w:rsid w:val="00617FDD"/>
    <w:rsid w:val="00633614"/>
    <w:rsid w:val="00633F68"/>
    <w:rsid w:val="00634395"/>
    <w:rsid w:val="00636EB2"/>
    <w:rsid w:val="006375B8"/>
    <w:rsid w:val="0066510A"/>
    <w:rsid w:val="00666D7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1C54"/>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F1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32E2"/>
    <w:rsid w:val="00D173F1"/>
    <w:rsid w:val="00D74CB0"/>
    <w:rsid w:val="00D8295D"/>
    <w:rsid w:val="00D97D64"/>
    <w:rsid w:val="00DC2A65"/>
    <w:rsid w:val="00DE15F0"/>
    <w:rsid w:val="00DE5663"/>
    <w:rsid w:val="00DE78AA"/>
    <w:rsid w:val="00E053D0"/>
    <w:rsid w:val="00E15994"/>
    <w:rsid w:val="00E3114E"/>
    <w:rsid w:val="00E31A70"/>
    <w:rsid w:val="00E35B02"/>
    <w:rsid w:val="00E57D27"/>
    <w:rsid w:val="00E66496"/>
    <w:rsid w:val="00E66B35"/>
    <w:rsid w:val="00E66E10"/>
    <w:rsid w:val="00E769F6"/>
    <w:rsid w:val="00E8407C"/>
    <w:rsid w:val="00E84F3C"/>
    <w:rsid w:val="00EA012C"/>
    <w:rsid w:val="00EB4BC8"/>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86CC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A93F11"/>
    <w:pPr>
      <w:spacing w:after="120"/>
    </w:pPr>
  </w:style>
  <w:style w:type="character" w:customStyle="1" w:styleId="BodyTextChar">
    <w:name w:val="Body Text Char"/>
    <w:basedOn w:val="DefaultParagraphFont"/>
    <w:link w:val="BodyText"/>
    <w:rsid w:val="00A93F11"/>
    <w:rPr>
      <w:rFonts w:ascii="Helvetica" w:hAnsi="Helvetica"/>
    </w:rPr>
  </w:style>
  <w:style w:type="paragraph" w:customStyle="1" w:styleId="TableParagraph">
    <w:name w:val="Table Paragraph"/>
    <w:basedOn w:val="Normal"/>
    <w:uiPriority w:val="1"/>
    <w:qFormat/>
    <w:rsid w:val="00A93F11"/>
    <w:pPr>
      <w:spacing w:before="100" w:after="200" w:line="205" w:lineRule="exact"/>
      <w:jc w:val="center"/>
    </w:pPr>
    <w:rPr>
      <w:rFonts w:ascii="Calibri" w:eastAsia="Calibri" w:hAnsi="Calibri" w:cs="Calibri"/>
      <w:lang w:val="en-ID"/>
    </w:rPr>
  </w:style>
  <w:style w:type="table" w:styleId="PlainTable2">
    <w:name w:val="Plain Table 2"/>
    <w:basedOn w:val="TableNormal"/>
    <w:uiPriority w:val="42"/>
    <w:rsid w:val="005601F0"/>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C6C1B"/>
    <w:rPr>
      <w:color w:val="605E5C"/>
      <w:shd w:val="clear" w:color="auto" w:fill="E1DFDD"/>
    </w:rPr>
  </w:style>
  <w:style w:type="paragraph" w:styleId="ListParagraph">
    <w:name w:val="List Paragraph"/>
    <w:basedOn w:val="Normal"/>
    <w:uiPriority w:val="34"/>
    <w:qFormat/>
    <w:rsid w:val="003A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5256-A517-4756-A672-35DD77AC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8</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2025-03-10T07:27:00Z</dcterms:created>
  <dcterms:modified xsi:type="dcterms:W3CDTF">2025-03-10T09:45:00Z</dcterms:modified>
</cp:coreProperties>
</file>