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5499E" w14:textId="77777777" w:rsidR="004C023A" w:rsidRPr="004C023A" w:rsidRDefault="004C023A" w:rsidP="004C023A">
      <w:pPr>
        <w:spacing w:line="480" w:lineRule="auto"/>
        <w:jc w:val="both"/>
        <w:rPr>
          <w:rFonts w:ascii="Times New Roman" w:hAnsi="Times New Roman" w:cs="Times New Roman"/>
          <w:b/>
          <w:bCs/>
          <w:i/>
          <w:iCs/>
          <w:color w:val="0D0D0D"/>
          <w:sz w:val="24"/>
          <w:szCs w:val="24"/>
          <w:u w:val="single"/>
          <w:shd w:val="clear" w:color="auto" w:fill="FFFFFF"/>
          <w:lang w:val="en-US"/>
        </w:rPr>
      </w:pPr>
      <w:bookmarkStart w:id="0" w:name="_Hlk191541982"/>
      <w:r w:rsidRPr="004C023A">
        <w:rPr>
          <w:rFonts w:ascii="Times New Roman" w:hAnsi="Times New Roman" w:cs="Times New Roman"/>
          <w:b/>
          <w:bCs/>
          <w:i/>
          <w:iCs/>
          <w:color w:val="0D0D0D"/>
          <w:sz w:val="24"/>
          <w:szCs w:val="24"/>
          <w:u w:val="single"/>
          <w:shd w:val="clear" w:color="auto" w:fill="FFFFFF"/>
          <w:lang w:val="en-US"/>
        </w:rPr>
        <w:t xml:space="preserve">Case report </w:t>
      </w:r>
    </w:p>
    <w:p w14:paraId="21040D61" w14:textId="77777777" w:rsidR="004C023A" w:rsidRDefault="004C023A" w:rsidP="00EF76C9">
      <w:pPr>
        <w:spacing w:line="480" w:lineRule="auto"/>
        <w:jc w:val="both"/>
        <w:rPr>
          <w:rFonts w:ascii="Times New Roman" w:hAnsi="Times New Roman" w:cs="Times New Roman"/>
          <w:color w:val="0D0D0D"/>
          <w:sz w:val="24"/>
          <w:szCs w:val="24"/>
          <w:shd w:val="clear" w:color="auto" w:fill="FFFFFF"/>
        </w:rPr>
      </w:pPr>
    </w:p>
    <w:p w14:paraId="5803FBB9" w14:textId="09FBEEC7" w:rsidR="00F87562" w:rsidRDefault="00765526" w:rsidP="00EF76C9">
      <w:pPr>
        <w:spacing w:line="480" w:lineRule="auto"/>
        <w:jc w:val="both"/>
        <w:rPr>
          <w:rFonts w:ascii="Times New Roman" w:hAnsi="Times New Roman" w:cs="Times New Roman"/>
          <w:color w:val="0D0D0D"/>
          <w:sz w:val="24"/>
          <w:szCs w:val="24"/>
          <w:shd w:val="clear" w:color="auto" w:fill="FFFFFF"/>
        </w:rPr>
      </w:pPr>
      <w:r w:rsidRPr="00D7634A">
        <w:rPr>
          <w:rFonts w:ascii="Times New Roman" w:hAnsi="Times New Roman" w:cs="Times New Roman"/>
          <w:color w:val="0D0D0D"/>
          <w:sz w:val="24"/>
          <w:szCs w:val="24"/>
          <w:shd w:val="clear" w:color="auto" w:fill="FFFFFF"/>
        </w:rPr>
        <w:t xml:space="preserve">NAVIGATING THERAPEUTIC </w:t>
      </w:r>
      <w:r w:rsidR="008E1AC2" w:rsidRPr="00D7634A">
        <w:rPr>
          <w:rFonts w:ascii="Times New Roman" w:hAnsi="Times New Roman" w:cs="Times New Roman"/>
          <w:color w:val="0D0D0D"/>
          <w:sz w:val="24"/>
          <w:szCs w:val="24"/>
          <w:shd w:val="clear" w:color="auto" w:fill="FFFFFF"/>
        </w:rPr>
        <w:t>CHALLENGES</w:t>
      </w:r>
      <w:r w:rsidR="008E1AC2">
        <w:rPr>
          <w:rFonts w:ascii="Times New Roman" w:hAnsi="Times New Roman" w:cs="Times New Roman"/>
          <w:color w:val="0D0D0D"/>
          <w:sz w:val="24"/>
          <w:szCs w:val="24"/>
          <w:shd w:val="clear" w:color="auto" w:fill="FFFFFF"/>
        </w:rPr>
        <w:t>:</w:t>
      </w:r>
      <w:r w:rsidRPr="00D7634A">
        <w:rPr>
          <w:rFonts w:ascii="Times New Roman" w:hAnsi="Times New Roman" w:cs="Times New Roman"/>
          <w:color w:val="0D0D0D"/>
          <w:sz w:val="24"/>
          <w:szCs w:val="24"/>
          <w:shd w:val="clear" w:color="auto" w:fill="FFFFFF"/>
        </w:rPr>
        <w:t xml:space="preserve"> MANAGEMENT OF CARCINOMA STOMACH WITH INTRALUMINAL METASTASES</w:t>
      </w:r>
    </w:p>
    <w:p w14:paraId="37A107AF" w14:textId="77777777" w:rsidR="00924C48" w:rsidRPr="00D7634A" w:rsidRDefault="00924C48" w:rsidP="00EF76C9">
      <w:pPr>
        <w:spacing w:line="480" w:lineRule="auto"/>
        <w:jc w:val="both"/>
        <w:rPr>
          <w:rFonts w:ascii="Times New Roman" w:hAnsi="Times New Roman" w:cs="Times New Roman"/>
          <w:color w:val="0D0D0D"/>
          <w:sz w:val="24"/>
          <w:szCs w:val="24"/>
          <w:shd w:val="clear" w:color="auto" w:fill="FFFFFF"/>
        </w:rPr>
      </w:pPr>
      <w:bookmarkStart w:id="1" w:name="_GoBack"/>
      <w:bookmarkEnd w:id="0"/>
      <w:bookmarkEnd w:id="1"/>
    </w:p>
    <w:p w14:paraId="7422D3C6" w14:textId="77777777" w:rsidR="00220C82" w:rsidRPr="001B0110" w:rsidRDefault="00220C82" w:rsidP="00EF76C9">
      <w:pPr>
        <w:spacing w:line="480" w:lineRule="auto"/>
        <w:jc w:val="both"/>
        <w:rPr>
          <w:rFonts w:ascii="Times New Roman" w:hAnsi="Times New Roman" w:cs="Times New Roman"/>
          <w:sz w:val="24"/>
          <w:szCs w:val="24"/>
          <w:u w:val="single"/>
        </w:rPr>
      </w:pPr>
      <w:r w:rsidRPr="00BA5113">
        <w:rPr>
          <w:rFonts w:ascii="Times New Roman" w:hAnsi="Times New Roman" w:cs="Times New Roman"/>
          <w:color w:val="0D0D0D"/>
          <w:sz w:val="24"/>
          <w:szCs w:val="24"/>
          <w:u w:val="single"/>
          <w:shd w:val="clear" w:color="auto" w:fill="FFFFFF"/>
        </w:rPr>
        <w:t>A</w:t>
      </w:r>
      <w:r>
        <w:rPr>
          <w:rFonts w:ascii="Times New Roman" w:hAnsi="Times New Roman" w:cs="Times New Roman"/>
          <w:color w:val="0D0D0D"/>
          <w:sz w:val="24"/>
          <w:szCs w:val="24"/>
          <w:u w:val="single"/>
          <w:shd w:val="clear" w:color="auto" w:fill="FFFFFF"/>
        </w:rPr>
        <w:t>B</w:t>
      </w:r>
      <w:r w:rsidRPr="00BA5113">
        <w:rPr>
          <w:rFonts w:ascii="Times New Roman" w:hAnsi="Times New Roman" w:cs="Times New Roman"/>
          <w:color w:val="0D0D0D"/>
          <w:sz w:val="24"/>
          <w:szCs w:val="24"/>
          <w:u w:val="single"/>
          <w:shd w:val="clear" w:color="auto" w:fill="FFFFFF"/>
        </w:rPr>
        <w:t>STRACT</w:t>
      </w:r>
    </w:p>
    <w:p w14:paraId="77234AA9" w14:textId="77777777" w:rsidR="00220C82" w:rsidRDefault="00220C82" w:rsidP="00EF76C9">
      <w:pPr>
        <w:spacing w:line="480" w:lineRule="auto"/>
        <w:jc w:val="both"/>
        <w:rPr>
          <w:rFonts w:ascii="Times New Roman" w:hAnsi="Times New Roman" w:cs="Times New Roman"/>
          <w:sz w:val="24"/>
          <w:szCs w:val="24"/>
        </w:rPr>
      </w:pPr>
      <w:r w:rsidRPr="007263AC">
        <w:rPr>
          <w:rFonts w:ascii="Times New Roman" w:hAnsi="Times New Roman" w:cs="Times New Roman"/>
          <w:sz w:val="24"/>
          <w:szCs w:val="24"/>
        </w:rPr>
        <w:t xml:space="preserve">Gastric cancer is the fifth most common neoplasm and the third most </w:t>
      </w:r>
      <w:r>
        <w:rPr>
          <w:rFonts w:ascii="Times New Roman" w:hAnsi="Times New Roman" w:cs="Times New Roman"/>
          <w:sz w:val="24"/>
          <w:szCs w:val="24"/>
        </w:rPr>
        <w:t xml:space="preserve">common cause of </w:t>
      </w:r>
      <w:r w:rsidRPr="007263AC">
        <w:rPr>
          <w:rFonts w:ascii="Times New Roman" w:hAnsi="Times New Roman" w:cs="Times New Roman"/>
          <w:sz w:val="24"/>
          <w:szCs w:val="24"/>
        </w:rPr>
        <w:t>cancer</w:t>
      </w:r>
      <w:r>
        <w:rPr>
          <w:rFonts w:ascii="Times New Roman" w:hAnsi="Times New Roman" w:cs="Times New Roman"/>
          <w:sz w:val="24"/>
          <w:szCs w:val="24"/>
        </w:rPr>
        <w:t xml:space="preserve"> death</w:t>
      </w:r>
      <w:r w:rsidRPr="007263AC">
        <w:rPr>
          <w:rFonts w:ascii="Times New Roman" w:hAnsi="Times New Roman" w:cs="Times New Roman"/>
          <w:sz w:val="24"/>
          <w:szCs w:val="24"/>
        </w:rPr>
        <w:t>. Gastric cancer is metastatic at the time of diagnosis in 33% of cases. But metastases to small bowel and large bowel is rare.51-year-old gentleman with past history of total gastrectom</w:t>
      </w:r>
      <w:r>
        <w:rPr>
          <w:rFonts w:ascii="Times New Roman" w:hAnsi="Times New Roman" w:cs="Times New Roman"/>
          <w:sz w:val="24"/>
          <w:szCs w:val="24"/>
        </w:rPr>
        <w:t>y 10 months back and completed 6</w:t>
      </w:r>
      <w:r w:rsidRPr="007263AC">
        <w:rPr>
          <w:rFonts w:ascii="Times New Roman" w:hAnsi="Times New Roman" w:cs="Times New Roman"/>
          <w:sz w:val="24"/>
          <w:szCs w:val="24"/>
        </w:rPr>
        <w:t xml:space="preserve"> cycles of chemotherapy and </w:t>
      </w:r>
      <w:r>
        <w:rPr>
          <w:rFonts w:ascii="Times New Roman" w:hAnsi="Times New Roman" w:cs="Times New Roman"/>
          <w:sz w:val="24"/>
          <w:szCs w:val="24"/>
        </w:rPr>
        <w:t xml:space="preserve">28 </w:t>
      </w:r>
      <w:r w:rsidRPr="007263AC">
        <w:rPr>
          <w:rFonts w:ascii="Times New Roman" w:hAnsi="Times New Roman" w:cs="Times New Roman"/>
          <w:sz w:val="24"/>
          <w:szCs w:val="24"/>
        </w:rPr>
        <w:t>fractions of radiotherapy, presented with generalized tiredness, loss of weight and loss of appetite. On evaluation with CECT abdomen, he was found to have multiple polypoidal lesions in small bowel as well as colon. Colonoscopy and biopsy were done from rectosigmoid polypoidal lesion, which proved to be metastatic lesions from gastric carcinoma. Since the lesions were multifocal and did not cause any complete obstruction of the small bowel or colon, no resection was attempted and the patient was sent for palliative chemotherapy.</w:t>
      </w:r>
      <w:r w:rsidRPr="00F87562">
        <w:rPr>
          <w:rFonts w:ascii="Times New Roman" w:hAnsi="Times New Roman" w:cs="Times New Roman"/>
          <w:sz w:val="24"/>
          <w:szCs w:val="24"/>
        </w:rPr>
        <w:t xml:space="preserve"> The most common sites of metastasis in gastric carcinoma </w:t>
      </w:r>
      <w:r>
        <w:rPr>
          <w:rFonts w:ascii="Times New Roman" w:hAnsi="Times New Roman" w:cs="Times New Roman"/>
          <w:sz w:val="24"/>
          <w:szCs w:val="24"/>
        </w:rPr>
        <w:t>are</w:t>
      </w:r>
      <w:r w:rsidRPr="00F87562">
        <w:rPr>
          <w:rFonts w:ascii="Times New Roman" w:hAnsi="Times New Roman" w:cs="Times New Roman"/>
          <w:sz w:val="24"/>
          <w:szCs w:val="24"/>
        </w:rPr>
        <w:t xml:space="preserve"> liver, peritoneum, lung, and bone. Gastric carcinoma </w:t>
      </w:r>
      <w:proofErr w:type="spellStart"/>
      <w:r w:rsidRPr="00F87562">
        <w:rPr>
          <w:rFonts w:ascii="Times New Roman" w:hAnsi="Times New Roman" w:cs="Times New Roman"/>
          <w:sz w:val="24"/>
          <w:szCs w:val="24"/>
        </w:rPr>
        <w:t>metastazing</w:t>
      </w:r>
      <w:proofErr w:type="spellEnd"/>
      <w:r w:rsidRPr="00F87562">
        <w:rPr>
          <w:rFonts w:ascii="Times New Roman" w:hAnsi="Times New Roman" w:cs="Times New Roman"/>
          <w:sz w:val="24"/>
          <w:szCs w:val="24"/>
        </w:rPr>
        <w:t xml:space="preserve"> to intraluminal sites like small</w:t>
      </w:r>
      <w:r>
        <w:rPr>
          <w:rFonts w:ascii="Times New Roman" w:hAnsi="Times New Roman" w:cs="Times New Roman"/>
          <w:sz w:val="24"/>
          <w:szCs w:val="24"/>
        </w:rPr>
        <w:t xml:space="preserve"> bowel</w:t>
      </w:r>
      <w:r w:rsidRPr="00F87562">
        <w:rPr>
          <w:rFonts w:ascii="Times New Roman" w:hAnsi="Times New Roman" w:cs="Times New Roman"/>
          <w:sz w:val="24"/>
          <w:szCs w:val="24"/>
        </w:rPr>
        <w:t xml:space="preserve"> and large bowel </w:t>
      </w:r>
      <w:r>
        <w:rPr>
          <w:rFonts w:ascii="Times New Roman" w:hAnsi="Times New Roman" w:cs="Times New Roman"/>
          <w:sz w:val="24"/>
          <w:szCs w:val="24"/>
        </w:rPr>
        <w:t>are</w:t>
      </w:r>
      <w:r w:rsidRPr="00F87562">
        <w:rPr>
          <w:rFonts w:ascii="Times New Roman" w:hAnsi="Times New Roman" w:cs="Times New Roman"/>
          <w:sz w:val="24"/>
          <w:szCs w:val="24"/>
        </w:rPr>
        <w:t xml:space="preserve"> rare. The development of intraluminal metastases within a relatively short time frame (one year) suggests an aggressive nature of the disease. Confirmation of recurrence often comes with a grim prognosis, highlighting the challenging nature of managing the disease at this stage.</w:t>
      </w:r>
      <w:r>
        <w:rPr>
          <w:rFonts w:ascii="Times New Roman" w:hAnsi="Times New Roman" w:cs="Times New Roman"/>
          <w:sz w:val="24"/>
          <w:szCs w:val="24"/>
        </w:rPr>
        <w:t xml:space="preserve"> There is no consensus statement regarding the management of cases in which pathological report show isolated tumour cells at margin of specimen rather than truly positive margins as in this case.</w:t>
      </w:r>
    </w:p>
    <w:p w14:paraId="5122E6E6" w14:textId="5526F66D" w:rsidR="003009A3" w:rsidRPr="00D7634A" w:rsidRDefault="003009A3"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lastRenderedPageBreak/>
        <w:t>BACKGROUND</w:t>
      </w:r>
    </w:p>
    <w:p w14:paraId="72C420E6" w14:textId="583E5591" w:rsidR="00AB5D3E" w:rsidRPr="00D7634A" w:rsidRDefault="004E7449"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Although the small intestine accounts for approximately 75% of the length of the gastrointestinal tract and 90% of its mucosal surface area, it remains a rare site for malignancy, representing &lt;2% of all gastrointestinal malignancies</w:t>
      </w:r>
      <w:r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{"citationID":"lJpgD5Rc","properties":{"formattedCitation":"(3)","plainCitation":"(3)","noteIndex":0},"citationItems":[{"id":4,"uris":["http://zotero.org/users/local/yttIQJMC/items/922Y9NKA"],"itemData":{"id":4,"type":"article-journal","abstract":"A 77-year-old man presented with small bowel obstruction secondary to a solitary metastasis 7 years following resection of gastric carcinoma. At laparotomy, there was no evidence of local recurrence of gastric carcinoma and the liver was also noted to be grossly normal. Further exploration revealed the presence of a small bowel tumour in the ileum causing obstruction. A small bowel resection with side-to-side anastomosis was performed. On microscopy, the appearance of the resected small bowel tumour was consistent with a metastasis from the previously resected gastric carcinoma. The patient made an uneventful recovery following surgery and was later referred for further oncology management.","container-title":"BMJ Case Reports","DOI":"10.1136/bcr.11.2008.1225","ISSN":"1757-790X","journalAbbreviation":"BMJ Case Rep","note":"PMID: 21785660\nPMCID: PMC3027531","page":"bcr11.2008.1225","source":"PubMed Central","title":"Small bowel obstruction secondary to gastric adenocarcinoma","volume":"2009","author":[{"family":"Choudhry","given":"Muhammad Naghman"},{"family":"Ali","given":"Mubushar"},{"family":"Hasan","given":"Noori"}],"issued":{"date-parts":[["2009",7,23]]}}}],"schema":"https://github.com/citation-style-language/schema/raw/master/csl-citation.json"} </w:instrText>
      </w:r>
      <w:r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(3)</w:t>
      </w:r>
      <w:r w:rsidRPr="00D7634A">
        <w:rPr>
          <w:rFonts w:ascii="Times New Roman" w:hAnsi="Times New Roman" w:cs="Times New Roman"/>
          <w:sz w:val="24"/>
          <w:szCs w:val="24"/>
        </w:rPr>
        <w:fldChar w:fldCharType="end"/>
      </w:r>
      <w:r w:rsidRPr="00D7634A">
        <w:rPr>
          <w:rFonts w:ascii="Times New Roman" w:hAnsi="Times New Roman" w:cs="Times New Roman"/>
          <w:sz w:val="24"/>
          <w:szCs w:val="24"/>
        </w:rPr>
        <w:t>.The lower incidence of small bowel malignancy may be due to faster transit time compared to colon, causing less exposure to carcinogens.</w:t>
      </w:r>
      <w:r w:rsidR="008D0FFC" w:rsidRPr="00D7634A">
        <w:rPr>
          <w:rFonts w:ascii="Times New Roman" w:hAnsi="Times New Roman" w:cs="Times New Roman"/>
          <w:sz w:val="24"/>
          <w:szCs w:val="24"/>
        </w:rPr>
        <w:t xml:space="preserve"> </w:t>
      </w:r>
      <w:r w:rsidRPr="00D7634A">
        <w:rPr>
          <w:rFonts w:ascii="Times New Roman" w:hAnsi="Times New Roman" w:cs="Times New Roman"/>
          <w:sz w:val="24"/>
          <w:szCs w:val="24"/>
        </w:rPr>
        <w:t>The fluid nature of the small bowel contents may be causing less irritation to the mucosa.</w:t>
      </w:r>
      <w:r w:rsidR="008D0FFC" w:rsidRPr="00D7634A">
        <w:rPr>
          <w:rFonts w:ascii="Times New Roman" w:hAnsi="Times New Roman" w:cs="Times New Roman"/>
          <w:sz w:val="24"/>
          <w:szCs w:val="24"/>
        </w:rPr>
        <w:t xml:space="preserve"> </w:t>
      </w:r>
      <w:r w:rsidRPr="00D7634A">
        <w:rPr>
          <w:rFonts w:ascii="Times New Roman" w:hAnsi="Times New Roman" w:cs="Times New Roman"/>
          <w:sz w:val="24"/>
          <w:szCs w:val="24"/>
        </w:rPr>
        <w:t>Another hypothesis is that pH of the small bowel contents may inhibit carcinogens.</w:t>
      </w:r>
      <w:r w:rsidR="00D51093"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{"citationID":"eZtuZEJG","properties":{"formattedCitation":"(4)","plainCitation":"(4)","noteIndex":0},"citationItems":[{"id":6,"uris":["http://zotero.org/users/local/yttIQJMC/items/99F2I43H"],"itemData":{"id":6,"type":"webpage","title":"Adenocarcinoma of the small bowel - Hutchins - 2001 - ANZ Journal of Surgery - Wiley Online Library","URL":"https://onlinelibrary.wiley.com/doi/abs/10.1046/j.1440-1622.2001.02149.x?sid=nlm%3Apubmed","accessed":{"date-parts":[["2023",10,12]]}}}],"schema":"https://github.com/citation-style-language/schema/raw/master/csl-citation.json"} </w:instrText>
      </w:r>
      <w:r w:rsidR="00D51093"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(4)</w:t>
      </w:r>
      <w:r w:rsidR="00D51093" w:rsidRPr="00D7634A">
        <w:rPr>
          <w:rFonts w:ascii="Times New Roman" w:hAnsi="Times New Roman" w:cs="Times New Roman"/>
          <w:sz w:val="24"/>
          <w:szCs w:val="24"/>
        </w:rPr>
        <w:fldChar w:fldCharType="end"/>
      </w:r>
    </w:p>
    <w:p w14:paraId="5248F28C" w14:textId="2CDC5D2F" w:rsidR="00E735D2" w:rsidRPr="00D7634A" w:rsidRDefault="00E735D2"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CASE DETAILS</w:t>
      </w:r>
    </w:p>
    <w:p w14:paraId="47545A00" w14:textId="5906E53D" w:rsidR="00765526" w:rsidRPr="00D7634A" w:rsidRDefault="00765526"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51-year-old</w:t>
      </w:r>
      <w:r w:rsidR="000C4E69" w:rsidRPr="00D7634A">
        <w:rPr>
          <w:rFonts w:ascii="Times New Roman" w:hAnsi="Times New Roman" w:cs="Times New Roman"/>
          <w:sz w:val="24"/>
          <w:szCs w:val="24"/>
        </w:rPr>
        <w:t xml:space="preserve"> male with no known </w:t>
      </w:r>
      <w:r w:rsidRPr="00D7634A">
        <w:rPr>
          <w:rFonts w:ascii="Times New Roman" w:hAnsi="Times New Roman" w:cs="Times New Roman"/>
          <w:sz w:val="24"/>
          <w:szCs w:val="24"/>
        </w:rPr>
        <w:t>comorbidities, who underwent total gastrectomy about 10 months back, presented with generalized tiredness, loss of weight of about 5 kilograms in past 3 months and loss of appetite. His physical examination revealed a frail, cachectic male with epigastric fullness. A firm mass was palpable in the epigastric region. No other mass was palpable. No left supraclavicular lymph nodes (Virchow’s node) or pelvic peritoneal deposits palpable. Other systemic examinations were within normal limits.</w:t>
      </w:r>
    </w:p>
    <w:p w14:paraId="452DF555" w14:textId="77777777" w:rsidR="00765526" w:rsidRPr="00D7634A" w:rsidRDefault="00765526"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INVESTIGATIONS</w:t>
      </w:r>
    </w:p>
    <w:p w14:paraId="0F29A6DB" w14:textId="78954819" w:rsidR="00765526" w:rsidRPr="00D7634A" w:rsidRDefault="00765526"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Basic blood investigations were done which revealed a haemoglobin value of 10.2 g/dl. His total leukocyte count, renal function tests and liver function tests were within acceptable limits. CECT Abdomen was taken, which showed multiple enhancing wall thickening in sigmoid colon, transverse colon, ascending colon, proximal and distal jejunum. Additionally, there was evidence of distal </w:t>
      </w:r>
      <w:proofErr w:type="spellStart"/>
      <w:r w:rsidRPr="00D7634A">
        <w:rPr>
          <w:rFonts w:ascii="Times New Roman" w:hAnsi="Times New Roman" w:cs="Times New Roman"/>
          <w:sz w:val="24"/>
          <w:szCs w:val="24"/>
        </w:rPr>
        <w:t>jejuno</w:t>
      </w:r>
      <w:proofErr w:type="spellEnd"/>
      <w:r w:rsidRPr="00D7634A">
        <w:rPr>
          <w:rFonts w:ascii="Times New Roman" w:hAnsi="Times New Roman" w:cs="Times New Roman"/>
          <w:sz w:val="24"/>
          <w:szCs w:val="24"/>
        </w:rPr>
        <w:t xml:space="preserve">-jejunal intussusception without any signs of obstruction. The presence of moderate to gross high-density ascites with scalloping of liver margins was also noted.  </w:t>
      </w:r>
    </w:p>
    <w:p w14:paraId="4ECF0211" w14:textId="096C5759" w:rsidR="00765526" w:rsidRPr="00D7634A" w:rsidRDefault="00765526" w:rsidP="00EF76C9">
      <w:pPr>
        <w:spacing w:line="480" w:lineRule="auto"/>
        <w:jc w:val="both"/>
        <w:rPr>
          <w:rFonts w:ascii="Times New Roman" w:hAnsi="Times New Roman" w:cs="Times New Roman"/>
          <w:sz w:val="24"/>
          <w:szCs w:val="24"/>
        </w:rPr>
      </w:pPr>
    </w:p>
    <w:p w14:paraId="5AA21F17" w14:textId="0607D76B" w:rsidR="00765526" w:rsidRPr="00D7634A" w:rsidRDefault="00722338" w:rsidP="00EF76C9">
      <w:pPr>
        <w:spacing w:line="480" w:lineRule="auto"/>
        <w:jc w:val="both"/>
        <w:rPr>
          <w:rFonts w:ascii="Times New Roman" w:hAnsi="Times New Roman" w:cs="Times New Roman"/>
          <w:noProof/>
          <w:sz w:val="24"/>
          <w:szCs w:val="24"/>
          <w:lang w:eastAsia="en-IN"/>
        </w:rPr>
      </w:pPr>
      <w:r w:rsidRPr="00D7634A">
        <w:rPr>
          <w:rFonts w:ascii="Times New Roman" w:hAnsi="Times New Roman" w:cs="Times New Roman"/>
          <w:noProof/>
          <w:sz w:val="24"/>
          <w:szCs w:val="24"/>
          <w:lang w:eastAsia="en-IN"/>
        </w:rPr>
        <w:lastRenderedPageBreak/>
        <mc:AlternateContent>
          <mc:Choice Requires="wps">
            <w:drawing>
              <wp:anchor distT="0" distB="0" distL="114300" distR="114300" simplePos="0" relativeHeight="251648000" behindDoc="0" locked="0" layoutInCell="1" allowOverlap="1" wp14:anchorId="5BB90E82" wp14:editId="26E2482E">
                <wp:simplePos x="0" y="0"/>
                <wp:positionH relativeFrom="column">
                  <wp:posOffset>4318000</wp:posOffset>
                </wp:positionH>
                <wp:positionV relativeFrom="paragraph">
                  <wp:posOffset>6033</wp:posOffset>
                </wp:positionV>
                <wp:extent cx="248920" cy="243840"/>
                <wp:effectExtent l="0" t="0" r="17780" b="22860"/>
                <wp:wrapNone/>
                <wp:docPr id="1586602804" name="Text Box 9"/>
                <wp:cNvGraphicFramePr/>
                <a:graphic xmlns:a="http://schemas.openxmlformats.org/drawingml/2006/main">
                  <a:graphicData uri="http://schemas.microsoft.com/office/word/2010/wordprocessingShape">
                    <wps:wsp>
                      <wps:cNvSpPr txBox="1"/>
                      <wps:spPr>
                        <a:xfrm>
                          <a:off x="0" y="0"/>
                          <a:ext cx="248920" cy="243840"/>
                        </a:xfrm>
                        <a:prstGeom prst="rect">
                          <a:avLst/>
                        </a:prstGeom>
                        <a:solidFill>
                          <a:sysClr val="window" lastClr="FFFFFF"/>
                        </a:solidFill>
                        <a:ln w="19050">
                          <a:solidFill>
                            <a:schemeClr val="accent1"/>
                          </a:solidFill>
                        </a:ln>
                      </wps:spPr>
                      <wps:txbx>
                        <w:txbxContent>
                          <w:p w14:paraId="307584FF" w14:textId="77777777" w:rsidR="00722338" w:rsidRDefault="00722338" w:rsidP="0072233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90E82" id="_x0000_t202" coordsize="21600,21600" o:spt="202" path="m,l,21600r21600,l21600,xe">
                <v:stroke joinstyle="miter"/>
                <v:path gradientshapeok="t" o:connecttype="rect"/>
              </v:shapetype>
              <v:shape id="Text Box 9" o:spid="_x0000_s1026" type="#_x0000_t202" style="position:absolute;left:0;text-align:left;margin-left:340pt;margin-top:.5pt;width:19.6pt;height:19.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" fillcolor="window" strokecolor="#4472c4 [3204]" strokeweight="1.5pt">
                <v:textbox>
                  <w:txbxContent>
                    <w:p w14:paraId="307584FF" w14:textId="77777777" w:rsidR="00722338" w:rsidRDefault="00722338" w:rsidP="00722338">
                      <w:r>
                        <w:t>B</w:t>
                      </w:r>
                    </w:p>
                  </w:txbxContent>
                </v:textbox>
              </v:shape>
            </w:pict>
          </mc:Fallback>
        </mc:AlternateContent>
      </w:r>
      <w:r w:rsidRPr="00D7634A">
        <w:rPr>
          <w:rFonts w:ascii="Times New Roman" w:hAnsi="Times New Roman" w:cs="Times New Roman"/>
          <w:noProof/>
          <w:sz w:val="24"/>
          <w:szCs w:val="24"/>
          <w:lang w:eastAsia="en-IN"/>
        </w:rPr>
        <mc:AlternateContent>
          <mc:Choice Requires="wps">
            <w:drawing>
              <wp:anchor distT="0" distB="0" distL="114300" distR="114300" simplePos="0" relativeHeight="251645952" behindDoc="0" locked="0" layoutInCell="1" allowOverlap="1" wp14:anchorId="20939785" wp14:editId="7F06E7E1">
                <wp:simplePos x="0" y="0"/>
                <wp:positionH relativeFrom="column">
                  <wp:posOffset>2037080</wp:posOffset>
                </wp:positionH>
                <wp:positionV relativeFrom="paragraph">
                  <wp:posOffset>5715</wp:posOffset>
                </wp:positionV>
                <wp:extent cx="259080" cy="248920"/>
                <wp:effectExtent l="0" t="0" r="26670" b="17780"/>
                <wp:wrapNone/>
                <wp:docPr id="1763090172" name="Text Box 9"/>
                <wp:cNvGraphicFramePr/>
                <a:graphic xmlns:a="http://schemas.openxmlformats.org/drawingml/2006/main">
                  <a:graphicData uri="http://schemas.microsoft.com/office/word/2010/wordprocessingShape">
                    <wps:wsp>
                      <wps:cNvSpPr txBox="1"/>
                      <wps:spPr>
                        <a:xfrm>
                          <a:off x="0" y="0"/>
                          <a:ext cx="259080" cy="2489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9C24ED9" w14:textId="77777777" w:rsidR="00722338" w:rsidRDefault="00722338" w:rsidP="0072233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9785" id="_x0000_s1027" type="#_x0000_t202" style="position:absolute;left:0;text-align:left;margin-left:160.4pt;margin-top:.45pt;width:20.4pt;height:19.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" fillcolor="white [3201]" strokecolor="#4472c4 [3204]" strokeweight="1pt">
                <v:textbox>
                  <w:txbxContent>
                    <w:p w14:paraId="29C24ED9" w14:textId="77777777" w:rsidR="00722338" w:rsidRDefault="00722338" w:rsidP="00722338">
                      <w:r>
                        <w:t>A</w:t>
                      </w:r>
                    </w:p>
                  </w:txbxContent>
                </v:textbox>
              </v:shape>
            </w:pict>
          </mc:Fallback>
        </mc:AlternateContent>
      </w:r>
      <w:r w:rsidR="00765526" w:rsidRPr="00D7634A">
        <w:rPr>
          <w:rFonts w:ascii="Times New Roman" w:hAnsi="Times New Roman" w:cs="Times New Roman"/>
          <w:noProof/>
          <w:sz w:val="24"/>
          <w:szCs w:val="24"/>
          <w:lang w:eastAsia="en-IN"/>
        </w:rPr>
        <w:drawing>
          <wp:inline distT="0" distB="0" distL="0" distR="0" wp14:anchorId="58C56832" wp14:editId="283B1A9C">
            <wp:extent cx="2303584" cy="1921510"/>
            <wp:effectExtent l="0" t="0" r="1905" b="2540"/>
            <wp:docPr id="1416508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08154" name="Picture 141650815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4616" cy="1930712"/>
                    </a:xfrm>
                    <a:prstGeom prst="rect">
                      <a:avLst/>
                    </a:prstGeom>
                  </pic:spPr>
                </pic:pic>
              </a:graphicData>
            </a:graphic>
          </wp:inline>
        </w:drawing>
      </w:r>
      <w:r w:rsidR="00765526" w:rsidRPr="00D7634A">
        <w:rPr>
          <w:rFonts w:ascii="Times New Roman" w:hAnsi="Times New Roman" w:cs="Times New Roman"/>
          <w:noProof/>
          <w:sz w:val="24"/>
          <w:szCs w:val="24"/>
          <w:lang w:eastAsia="en-IN"/>
        </w:rPr>
        <w:t xml:space="preserve"> </w:t>
      </w:r>
      <w:r w:rsidR="00765526" w:rsidRPr="00D7634A">
        <w:rPr>
          <w:rFonts w:ascii="Times New Roman" w:hAnsi="Times New Roman" w:cs="Times New Roman"/>
          <w:noProof/>
          <w:sz w:val="24"/>
          <w:szCs w:val="24"/>
          <w:lang w:eastAsia="en-IN"/>
        </w:rPr>
        <w:drawing>
          <wp:inline distT="0" distB="0" distL="0" distR="0" wp14:anchorId="7CAEA198" wp14:editId="527A35E2">
            <wp:extent cx="2240280" cy="1931267"/>
            <wp:effectExtent l="0" t="0" r="7620" b="0"/>
            <wp:docPr id="1065759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59112" name="Picture 10657591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7282" cy="1945924"/>
                    </a:xfrm>
                    <a:prstGeom prst="rect">
                      <a:avLst/>
                    </a:prstGeom>
                  </pic:spPr>
                </pic:pic>
              </a:graphicData>
            </a:graphic>
          </wp:inline>
        </w:drawing>
      </w:r>
    </w:p>
    <w:p w14:paraId="362AFD3E" w14:textId="4FE7B596" w:rsidR="00765526" w:rsidRPr="00D7634A" w:rsidRDefault="00722338" w:rsidP="00EF76C9">
      <w:pPr>
        <w:spacing w:line="480" w:lineRule="auto"/>
        <w:jc w:val="both"/>
        <w:rPr>
          <w:rFonts w:ascii="Times New Roman" w:hAnsi="Times New Roman" w:cs="Times New Roman"/>
          <w:noProof/>
          <w:sz w:val="24"/>
          <w:szCs w:val="24"/>
          <w:lang w:eastAsia="en-IN"/>
        </w:rPr>
      </w:pPr>
      <w:r w:rsidRPr="00D7634A">
        <w:rPr>
          <w:rFonts w:ascii="Times New Roman" w:hAnsi="Times New Roman" w:cs="Times New Roman"/>
          <w:noProof/>
          <w:sz w:val="24"/>
          <w:szCs w:val="24"/>
          <w:lang w:eastAsia="en-IN"/>
        </w:rPr>
        <mc:AlternateContent>
          <mc:Choice Requires="wps">
            <w:drawing>
              <wp:anchor distT="0" distB="0" distL="114300" distR="114300" simplePos="0" relativeHeight="251652096" behindDoc="0" locked="0" layoutInCell="1" allowOverlap="1" wp14:anchorId="02C714A9" wp14:editId="1D3E8584">
                <wp:simplePos x="0" y="0"/>
                <wp:positionH relativeFrom="column">
                  <wp:posOffset>4309110</wp:posOffset>
                </wp:positionH>
                <wp:positionV relativeFrom="paragraph">
                  <wp:posOffset>4762</wp:posOffset>
                </wp:positionV>
                <wp:extent cx="248920" cy="238760"/>
                <wp:effectExtent l="0" t="0" r="17780" b="27940"/>
                <wp:wrapNone/>
                <wp:docPr id="1425984847" name="Text Box 9"/>
                <wp:cNvGraphicFramePr/>
                <a:graphic xmlns:a="http://schemas.openxmlformats.org/drawingml/2006/main">
                  <a:graphicData uri="http://schemas.microsoft.com/office/word/2010/wordprocessingShape">
                    <wps:wsp>
                      <wps:cNvSpPr txBox="1"/>
                      <wps:spPr>
                        <a:xfrm>
                          <a:off x="0" y="0"/>
                          <a:ext cx="248920" cy="238760"/>
                        </a:xfrm>
                        <a:prstGeom prst="rect">
                          <a:avLst/>
                        </a:prstGeom>
                        <a:solidFill>
                          <a:sysClr val="window" lastClr="FFFFFF"/>
                        </a:solidFill>
                        <a:ln w="12700">
                          <a:solidFill>
                            <a:schemeClr val="accent1"/>
                          </a:solidFill>
                        </a:ln>
                      </wps:spPr>
                      <wps:txbx>
                        <w:txbxContent>
                          <w:p w14:paraId="24F05F52" w14:textId="77777777" w:rsidR="00722338" w:rsidRDefault="00722338" w:rsidP="0072233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714A9" id="_x0000_s1028" type="#_x0000_t202" style="position:absolute;left:0;text-align:left;margin-left:339.3pt;margin-top:.35pt;width:19.6pt;height:1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" fillcolor="window" strokecolor="#4472c4 [3204]" strokeweight="1pt">
                <v:textbox>
                  <w:txbxContent>
                    <w:p w14:paraId="24F05F52" w14:textId="77777777" w:rsidR="00722338" w:rsidRDefault="00722338" w:rsidP="00722338">
                      <w:r>
                        <w:t>D</w:t>
                      </w:r>
                    </w:p>
                  </w:txbxContent>
                </v:textbox>
              </v:shape>
            </w:pict>
          </mc:Fallback>
        </mc:AlternateContent>
      </w:r>
      <w:r w:rsidRPr="00D7634A">
        <w:rPr>
          <w:rFonts w:ascii="Times New Roman" w:hAnsi="Times New Roman" w:cs="Times New Roman"/>
          <w:noProof/>
          <w:sz w:val="24"/>
          <w:szCs w:val="24"/>
          <w:lang w:eastAsia="en-IN"/>
        </w:rPr>
        <mc:AlternateContent>
          <mc:Choice Requires="wps">
            <w:drawing>
              <wp:anchor distT="0" distB="0" distL="114300" distR="114300" simplePos="0" relativeHeight="251650048" behindDoc="0" locked="0" layoutInCell="1" allowOverlap="1" wp14:anchorId="4A4EB284" wp14:editId="72792719">
                <wp:simplePos x="0" y="0"/>
                <wp:positionH relativeFrom="column">
                  <wp:posOffset>2033587</wp:posOffset>
                </wp:positionH>
                <wp:positionV relativeFrom="paragraph">
                  <wp:posOffset>23812</wp:posOffset>
                </wp:positionV>
                <wp:extent cx="254000" cy="243840"/>
                <wp:effectExtent l="0" t="0" r="12700" b="22860"/>
                <wp:wrapNone/>
                <wp:docPr id="1288385422" name="Text Box 9"/>
                <wp:cNvGraphicFramePr/>
                <a:graphic xmlns:a="http://schemas.openxmlformats.org/drawingml/2006/main">
                  <a:graphicData uri="http://schemas.microsoft.com/office/word/2010/wordprocessingShape">
                    <wps:wsp>
                      <wps:cNvSpPr txBox="1"/>
                      <wps:spPr>
                        <a:xfrm>
                          <a:off x="0" y="0"/>
                          <a:ext cx="254000" cy="243840"/>
                        </a:xfrm>
                        <a:prstGeom prst="rect">
                          <a:avLst/>
                        </a:prstGeom>
                        <a:solidFill>
                          <a:sysClr val="window" lastClr="FFFFFF"/>
                        </a:solidFill>
                        <a:ln w="19050">
                          <a:solidFill>
                            <a:schemeClr val="accent1"/>
                          </a:solidFill>
                        </a:ln>
                      </wps:spPr>
                      <wps:txbx>
                        <w:txbxContent>
                          <w:p w14:paraId="104F8D7A" w14:textId="77777777" w:rsidR="00722338" w:rsidRDefault="00722338" w:rsidP="0072233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EB284" id="_x0000_s1029" type="#_x0000_t202" style="position:absolute;left:0;text-align:left;margin-left:160.1pt;margin-top:1.85pt;width:20pt;height: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" fillcolor="window" strokecolor="#4472c4 [3204]" strokeweight="1.5pt">
                <v:textbox>
                  <w:txbxContent>
                    <w:p w14:paraId="104F8D7A" w14:textId="77777777" w:rsidR="00722338" w:rsidRDefault="00722338" w:rsidP="00722338">
                      <w:r>
                        <w:t>C</w:t>
                      </w:r>
                    </w:p>
                  </w:txbxContent>
                </v:textbox>
              </v:shape>
            </w:pict>
          </mc:Fallback>
        </mc:AlternateContent>
      </w:r>
      <w:r w:rsidR="00765526" w:rsidRPr="00D7634A">
        <w:rPr>
          <w:rFonts w:ascii="Times New Roman" w:hAnsi="Times New Roman" w:cs="Times New Roman"/>
          <w:noProof/>
          <w:sz w:val="24"/>
          <w:szCs w:val="24"/>
          <w:lang w:eastAsia="en-IN"/>
        </w:rPr>
        <w:drawing>
          <wp:inline distT="0" distB="0" distL="0" distR="0" wp14:anchorId="281B168F" wp14:editId="323D40FE">
            <wp:extent cx="2296160" cy="1899509"/>
            <wp:effectExtent l="0" t="0" r="8890" b="5715"/>
            <wp:docPr id="11521426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42626" name="Picture 11521426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161" cy="1906955"/>
                    </a:xfrm>
                    <a:prstGeom prst="rect">
                      <a:avLst/>
                    </a:prstGeom>
                  </pic:spPr>
                </pic:pic>
              </a:graphicData>
            </a:graphic>
          </wp:inline>
        </w:drawing>
      </w:r>
      <w:r w:rsidR="00765526" w:rsidRPr="00D7634A">
        <w:rPr>
          <w:rFonts w:ascii="Times New Roman" w:hAnsi="Times New Roman" w:cs="Times New Roman"/>
          <w:noProof/>
          <w:sz w:val="24"/>
          <w:szCs w:val="24"/>
          <w:lang w:eastAsia="en-IN"/>
        </w:rPr>
        <w:t xml:space="preserve"> </w:t>
      </w:r>
      <w:r w:rsidR="00765526" w:rsidRPr="00D7634A">
        <w:rPr>
          <w:rFonts w:ascii="Times New Roman" w:hAnsi="Times New Roman" w:cs="Times New Roman"/>
          <w:noProof/>
          <w:sz w:val="24"/>
          <w:szCs w:val="24"/>
          <w:lang w:eastAsia="en-IN"/>
        </w:rPr>
        <w:drawing>
          <wp:inline distT="0" distB="0" distL="0" distR="0" wp14:anchorId="6682298B" wp14:editId="2A809F8D">
            <wp:extent cx="2224362" cy="1919605"/>
            <wp:effectExtent l="0" t="0" r="5080" b="4445"/>
            <wp:docPr id="17464305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30583" name="Picture 17464305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6728" cy="1938907"/>
                    </a:xfrm>
                    <a:prstGeom prst="rect">
                      <a:avLst/>
                    </a:prstGeom>
                  </pic:spPr>
                </pic:pic>
              </a:graphicData>
            </a:graphic>
          </wp:inline>
        </w:drawing>
      </w:r>
    </w:p>
    <w:p w14:paraId="2E71F9B5" w14:textId="11FBD95A" w:rsidR="00765526" w:rsidRPr="00D7634A" w:rsidRDefault="00765526"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Fig </w:t>
      </w:r>
      <w:r w:rsidR="00D0158E" w:rsidRPr="00D7634A">
        <w:rPr>
          <w:rFonts w:ascii="Times New Roman" w:hAnsi="Times New Roman" w:cs="Times New Roman"/>
          <w:sz w:val="24"/>
          <w:szCs w:val="24"/>
        </w:rPr>
        <w:t>1</w:t>
      </w:r>
      <w:r w:rsidRPr="00D7634A">
        <w:rPr>
          <w:rFonts w:ascii="Times New Roman" w:hAnsi="Times New Roman" w:cs="Times New Roman"/>
          <w:sz w:val="24"/>
          <w:szCs w:val="24"/>
        </w:rPr>
        <w:t xml:space="preserve">: (A):  Enhancing wall thickening rectosigmoid region. (B): Polypoidal lesion in small </w:t>
      </w:r>
      <w:proofErr w:type="spellStart"/>
      <w:r w:rsidRPr="00D7634A">
        <w:rPr>
          <w:rFonts w:ascii="Times New Roman" w:hAnsi="Times New Roman" w:cs="Times New Roman"/>
          <w:sz w:val="24"/>
          <w:szCs w:val="24"/>
        </w:rPr>
        <w:t>bowel</w:t>
      </w:r>
      <w:proofErr w:type="spellEnd"/>
      <w:r w:rsidRPr="00D7634A">
        <w:rPr>
          <w:rFonts w:ascii="Times New Roman" w:hAnsi="Times New Roman" w:cs="Times New Roman"/>
          <w:sz w:val="24"/>
          <w:szCs w:val="24"/>
        </w:rPr>
        <w:t xml:space="preserve">. </w:t>
      </w:r>
      <w:r w:rsidR="00172DA2">
        <w:rPr>
          <w:rFonts w:ascii="Times New Roman" w:hAnsi="Times New Roman" w:cs="Times New Roman"/>
          <w:sz w:val="24"/>
          <w:szCs w:val="24"/>
        </w:rPr>
        <w:t xml:space="preserve">           </w:t>
      </w:r>
      <w:r w:rsidRPr="00D7634A">
        <w:rPr>
          <w:rFonts w:ascii="Times New Roman" w:hAnsi="Times New Roman" w:cs="Times New Roman"/>
          <w:sz w:val="24"/>
          <w:szCs w:val="24"/>
        </w:rPr>
        <w:t xml:space="preserve">(C), (D): Distal </w:t>
      </w:r>
      <w:proofErr w:type="spellStart"/>
      <w:r w:rsidRPr="00D7634A">
        <w:rPr>
          <w:rFonts w:ascii="Times New Roman" w:hAnsi="Times New Roman" w:cs="Times New Roman"/>
          <w:sz w:val="24"/>
          <w:szCs w:val="24"/>
        </w:rPr>
        <w:t>jejuno</w:t>
      </w:r>
      <w:proofErr w:type="spellEnd"/>
      <w:r w:rsidRPr="00D7634A">
        <w:rPr>
          <w:rFonts w:ascii="Times New Roman" w:hAnsi="Times New Roman" w:cs="Times New Roman"/>
          <w:sz w:val="24"/>
          <w:szCs w:val="24"/>
        </w:rPr>
        <w:t xml:space="preserve">-jejunal intussusception    </w:t>
      </w:r>
    </w:p>
    <w:p w14:paraId="32EF5A1C" w14:textId="77777777" w:rsidR="00307B2C" w:rsidRPr="00D7634A" w:rsidRDefault="00307B2C"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The radiology and medical gastroenterology services were consulted for recommendations. For confirmation, flexible sigmoidoscopy was done which revealed polypoidal lesions in sigmoid colon- suspicious for metastatic deposits-multiple biopsies were taken.</w:t>
      </w:r>
    </w:p>
    <w:p w14:paraId="7B6676C3" w14:textId="1951DFF2" w:rsidR="00307B2C" w:rsidRPr="00D7634A" w:rsidRDefault="00307B2C" w:rsidP="00EF76C9">
      <w:pPr>
        <w:spacing w:line="480" w:lineRule="auto"/>
        <w:jc w:val="both"/>
        <w:rPr>
          <w:rFonts w:ascii="Times New Roman" w:hAnsi="Times New Roman" w:cs="Times New Roman"/>
          <w:noProof/>
          <w:sz w:val="24"/>
          <w:szCs w:val="24"/>
          <w:lang w:eastAsia="en-IN"/>
        </w:rPr>
      </w:pPr>
      <w:r w:rsidRPr="00D7634A">
        <w:rPr>
          <w:rFonts w:ascii="Times New Roman" w:hAnsi="Times New Roman" w:cs="Times New Roman"/>
          <w:noProof/>
          <w:sz w:val="24"/>
          <w:szCs w:val="24"/>
          <w:lang w:eastAsia="en-IN"/>
        </w:rPr>
        <w:drawing>
          <wp:inline distT="0" distB="0" distL="0" distR="0" wp14:anchorId="303CCA64" wp14:editId="710249C4">
            <wp:extent cx="2247900" cy="1690370"/>
            <wp:effectExtent l="0" t="0" r="0" b="5080"/>
            <wp:docPr id="1929800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00926" name="Picture 1929800926"/>
                    <pic:cNvPicPr/>
                  </pic:nvPicPr>
                  <pic:blipFill>
                    <a:blip r:embed="rId10" cstate="print">
                      <a:extLst>
                        <a:ext uri="{BEBA8EAE-BF5A-486C-A8C5-ECC9F3942E4B}">
                          <a14:imgProps xmlns:a14="http://schemas.microsoft.com/office/drawing/2010/main">
                            <a14:imgLayer r:embed="rId11">
                              <a14:imgEffect>
                                <a14:artisticMarker/>
                              </a14:imgEffect>
                            </a14:imgLayer>
                          </a14:imgProps>
                        </a:ext>
                        <a:ext uri="{28A0092B-C50C-407E-A947-70E740481C1C}">
                          <a14:useLocalDpi xmlns:a14="http://schemas.microsoft.com/office/drawing/2010/main" val="0"/>
                        </a:ext>
                      </a:extLst>
                    </a:blip>
                    <a:stretch>
                      <a:fillRect/>
                    </a:stretch>
                  </pic:blipFill>
                  <pic:spPr>
                    <a:xfrm>
                      <a:off x="0" y="0"/>
                      <a:ext cx="2284928" cy="1718214"/>
                    </a:xfrm>
                    <a:prstGeom prst="rect">
                      <a:avLst/>
                    </a:prstGeom>
                  </pic:spPr>
                </pic:pic>
              </a:graphicData>
            </a:graphic>
          </wp:inline>
        </w:drawing>
      </w:r>
      <w:r w:rsidRPr="00D7634A">
        <w:rPr>
          <w:rFonts w:ascii="Times New Roman" w:hAnsi="Times New Roman" w:cs="Times New Roman"/>
          <w:noProof/>
          <w:sz w:val="24"/>
          <w:szCs w:val="24"/>
          <w:lang w:eastAsia="en-IN"/>
        </w:rPr>
        <w:t xml:space="preserve"> </w:t>
      </w:r>
      <w:r w:rsidRPr="00D7634A">
        <w:rPr>
          <w:rFonts w:ascii="Times New Roman" w:hAnsi="Times New Roman" w:cs="Times New Roman"/>
          <w:noProof/>
          <w:sz w:val="24"/>
          <w:szCs w:val="24"/>
          <w:lang w:eastAsia="en-IN"/>
        </w:rPr>
        <w:drawing>
          <wp:inline distT="0" distB="0" distL="0" distR="0" wp14:anchorId="10BBA3B5" wp14:editId="7FD4DE55">
            <wp:extent cx="2156922" cy="1704975"/>
            <wp:effectExtent l="0" t="0" r="0" b="0"/>
            <wp:docPr id="1770119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19661" name="Picture 1770119661"/>
                    <pic:cNvPicPr/>
                  </pic:nvPicPr>
                  <pic:blipFill>
                    <a:blip r:embed="rId12" cstate="print">
                      <a:extLst>
                        <a:ext uri="{BEBA8EAE-BF5A-486C-A8C5-ECC9F3942E4B}">
                          <a14:imgProps xmlns:a14="http://schemas.microsoft.com/office/drawing/2010/main">
                            <a14:imgLayer r:embed="rId13">
                              <a14:imgEffect>
                                <a14:artisticMarker/>
                              </a14:imgEffect>
                            </a14:imgLayer>
                          </a14:imgProps>
                        </a:ext>
                        <a:ext uri="{28A0092B-C50C-407E-A947-70E740481C1C}">
                          <a14:useLocalDpi xmlns:a14="http://schemas.microsoft.com/office/drawing/2010/main" val="0"/>
                        </a:ext>
                      </a:extLst>
                    </a:blip>
                    <a:stretch>
                      <a:fillRect/>
                    </a:stretch>
                  </pic:blipFill>
                  <pic:spPr>
                    <a:xfrm>
                      <a:off x="0" y="0"/>
                      <a:ext cx="2214265" cy="1750303"/>
                    </a:xfrm>
                    <a:prstGeom prst="rect">
                      <a:avLst/>
                    </a:prstGeom>
                  </pic:spPr>
                </pic:pic>
              </a:graphicData>
            </a:graphic>
          </wp:inline>
        </w:drawing>
      </w:r>
    </w:p>
    <w:p w14:paraId="24E70C2E" w14:textId="35163C01" w:rsidR="00307B2C" w:rsidRPr="00D7634A" w:rsidRDefault="00307B2C"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Fig </w:t>
      </w:r>
      <w:r w:rsidR="00D0158E" w:rsidRPr="00D7634A">
        <w:rPr>
          <w:rFonts w:ascii="Times New Roman" w:hAnsi="Times New Roman" w:cs="Times New Roman"/>
          <w:sz w:val="24"/>
          <w:szCs w:val="24"/>
        </w:rPr>
        <w:t>2</w:t>
      </w:r>
      <w:r w:rsidRPr="00D7634A">
        <w:rPr>
          <w:rFonts w:ascii="Times New Roman" w:hAnsi="Times New Roman" w:cs="Times New Roman"/>
          <w:sz w:val="24"/>
          <w:szCs w:val="24"/>
        </w:rPr>
        <w:t>: Colonoscopy: Polypoidal lesions in the sigmoid colon.</w:t>
      </w:r>
    </w:p>
    <w:p w14:paraId="1FDFE7D0" w14:textId="75090D45" w:rsidR="00307B2C" w:rsidRPr="00D7634A" w:rsidRDefault="00307B2C"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lastRenderedPageBreak/>
        <w:t>The biopsy report came out as consistent with metastases from carcinoma of stomach.</w:t>
      </w:r>
    </w:p>
    <w:p w14:paraId="67E71EE4" w14:textId="774EFF68" w:rsidR="00307B2C" w:rsidRPr="00D7634A" w:rsidRDefault="00307B2C" w:rsidP="00EF76C9">
      <w:pPr>
        <w:spacing w:line="480" w:lineRule="auto"/>
        <w:jc w:val="both"/>
        <w:rPr>
          <w:rFonts w:ascii="Times New Roman" w:hAnsi="Times New Roman" w:cs="Times New Roman"/>
          <w:sz w:val="24"/>
          <w:szCs w:val="24"/>
        </w:rPr>
      </w:pPr>
      <w:r w:rsidRPr="00D7634A">
        <w:rPr>
          <w:rFonts w:ascii="Times New Roman" w:hAnsi="Times New Roman" w:cs="Times New Roman"/>
          <w:noProof/>
          <w:sz w:val="24"/>
          <w:szCs w:val="24"/>
          <w:lang w:eastAsia="en-IN"/>
        </w:rPr>
        <w:drawing>
          <wp:inline distT="0" distB="0" distL="0" distR="0" wp14:anchorId="3A943F10" wp14:editId="64440D4C">
            <wp:extent cx="2474938" cy="1864360"/>
            <wp:effectExtent l="0" t="0" r="1905" b="2540"/>
            <wp:docPr id="193757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71263" name="Picture 19375712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7630" cy="1866388"/>
                    </a:xfrm>
                    <a:prstGeom prst="rect">
                      <a:avLst/>
                    </a:prstGeom>
                  </pic:spPr>
                </pic:pic>
              </a:graphicData>
            </a:graphic>
          </wp:inline>
        </w:drawing>
      </w:r>
    </w:p>
    <w:p w14:paraId="553605DF" w14:textId="26DCD20A" w:rsidR="00307B2C" w:rsidRPr="00D7634A" w:rsidRDefault="00307B2C"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Fig </w:t>
      </w:r>
      <w:r w:rsidR="00D0158E" w:rsidRPr="00D7634A">
        <w:rPr>
          <w:rFonts w:ascii="Times New Roman" w:hAnsi="Times New Roman" w:cs="Times New Roman"/>
          <w:sz w:val="24"/>
          <w:szCs w:val="24"/>
        </w:rPr>
        <w:t>3</w:t>
      </w:r>
      <w:r w:rsidRPr="00D7634A">
        <w:rPr>
          <w:rFonts w:ascii="Times New Roman" w:hAnsi="Times New Roman" w:cs="Times New Roman"/>
          <w:sz w:val="24"/>
          <w:szCs w:val="24"/>
        </w:rPr>
        <w:t>: Colonic biopsy showing sheets of neoplastic cells which are poorly cohesive without forming glands (lower right</w:t>
      </w:r>
      <w:proofErr w:type="gramStart"/>
      <w:r w:rsidRPr="00D7634A">
        <w:rPr>
          <w:rFonts w:ascii="Times New Roman" w:hAnsi="Times New Roman" w:cs="Times New Roman"/>
          <w:sz w:val="24"/>
          <w:szCs w:val="24"/>
        </w:rPr>
        <w:t>).Normal</w:t>
      </w:r>
      <w:proofErr w:type="gramEnd"/>
      <w:r w:rsidRPr="00D7634A">
        <w:rPr>
          <w:rFonts w:ascii="Times New Roman" w:hAnsi="Times New Roman" w:cs="Times New Roman"/>
          <w:sz w:val="24"/>
          <w:szCs w:val="24"/>
        </w:rPr>
        <w:t xml:space="preserve"> mucin rich glands on the upper left part of the figure.         </w:t>
      </w:r>
    </w:p>
    <w:p w14:paraId="63A2E635" w14:textId="581F2558" w:rsidR="00307B2C" w:rsidRPr="00172DA2" w:rsidRDefault="00307B2C" w:rsidP="00EF76C9">
      <w:pPr>
        <w:spacing w:line="480" w:lineRule="auto"/>
        <w:jc w:val="both"/>
        <w:rPr>
          <w:rFonts w:ascii="Times New Roman" w:hAnsi="Times New Roman" w:cs="Times New Roman"/>
          <w:b/>
          <w:bCs/>
          <w:i/>
          <w:iCs/>
          <w:sz w:val="28"/>
          <w:szCs w:val="28"/>
        </w:rPr>
      </w:pPr>
      <w:r w:rsidRPr="00172DA2">
        <w:rPr>
          <w:rFonts w:ascii="Times New Roman" w:hAnsi="Times New Roman" w:cs="Times New Roman"/>
          <w:b/>
          <w:bCs/>
          <w:i/>
          <w:iCs/>
          <w:sz w:val="28"/>
          <w:szCs w:val="28"/>
        </w:rPr>
        <w:t>Past history</w:t>
      </w:r>
    </w:p>
    <w:p w14:paraId="57A3DC27" w14:textId="77777777" w:rsidR="00D0158E" w:rsidRPr="00D7634A" w:rsidRDefault="00307B2C"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10 months back, </w:t>
      </w:r>
      <w:r w:rsidR="00D0158E" w:rsidRPr="00D7634A">
        <w:rPr>
          <w:rFonts w:ascii="Times New Roman" w:hAnsi="Times New Roman" w:cs="Times New Roman"/>
          <w:sz w:val="24"/>
          <w:szCs w:val="24"/>
        </w:rPr>
        <w:t>50-year-old</w:t>
      </w:r>
      <w:r w:rsidRPr="00D7634A">
        <w:rPr>
          <w:rFonts w:ascii="Times New Roman" w:hAnsi="Times New Roman" w:cs="Times New Roman"/>
          <w:sz w:val="24"/>
          <w:szCs w:val="24"/>
        </w:rPr>
        <w:t xml:space="preserve"> </w:t>
      </w:r>
      <w:r w:rsidR="00D0158E" w:rsidRPr="00D7634A">
        <w:rPr>
          <w:rFonts w:ascii="Times New Roman" w:hAnsi="Times New Roman" w:cs="Times New Roman"/>
          <w:sz w:val="24"/>
          <w:szCs w:val="24"/>
        </w:rPr>
        <w:t>gentleman presented</w:t>
      </w:r>
      <w:r w:rsidR="000C4E69" w:rsidRPr="00D7634A">
        <w:rPr>
          <w:rFonts w:ascii="Times New Roman" w:hAnsi="Times New Roman" w:cs="Times New Roman"/>
          <w:sz w:val="24"/>
          <w:szCs w:val="24"/>
        </w:rPr>
        <w:t xml:space="preserve"> with complaints of postprandial abdominal discomfort </w:t>
      </w:r>
      <w:r w:rsidR="00D0158E" w:rsidRPr="00D7634A">
        <w:rPr>
          <w:rFonts w:ascii="Times New Roman" w:hAnsi="Times New Roman" w:cs="Times New Roman"/>
          <w:sz w:val="24"/>
          <w:szCs w:val="24"/>
        </w:rPr>
        <w:t>for</w:t>
      </w:r>
      <w:r w:rsidR="000C4E69" w:rsidRPr="00D7634A">
        <w:rPr>
          <w:rFonts w:ascii="Times New Roman" w:hAnsi="Times New Roman" w:cs="Times New Roman"/>
          <w:sz w:val="24"/>
          <w:szCs w:val="24"/>
        </w:rPr>
        <w:t xml:space="preserve"> 3 months.</w:t>
      </w:r>
      <w:r w:rsidR="008D0FFC" w:rsidRPr="00D7634A">
        <w:rPr>
          <w:rFonts w:ascii="Times New Roman" w:hAnsi="Times New Roman" w:cs="Times New Roman"/>
          <w:sz w:val="24"/>
          <w:szCs w:val="24"/>
        </w:rPr>
        <w:t xml:space="preserve"> </w:t>
      </w:r>
      <w:r w:rsidR="000C4E69" w:rsidRPr="00D7634A">
        <w:rPr>
          <w:rFonts w:ascii="Times New Roman" w:hAnsi="Times New Roman" w:cs="Times New Roman"/>
          <w:sz w:val="24"/>
          <w:szCs w:val="24"/>
        </w:rPr>
        <w:t xml:space="preserve">He </w:t>
      </w:r>
      <w:r w:rsidR="00D0158E" w:rsidRPr="00D7634A">
        <w:rPr>
          <w:rFonts w:ascii="Times New Roman" w:hAnsi="Times New Roman" w:cs="Times New Roman"/>
          <w:sz w:val="24"/>
          <w:szCs w:val="24"/>
        </w:rPr>
        <w:t>had</w:t>
      </w:r>
      <w:r w:rsidR="000C4E69" w:rsidRPr="00D7634A">
        <w:rPr>
          <w:rFonts w:ascii="Times New Roman" w:hAnsi="Times New Roman" w:cs="Times New Roman"/>
          <w:sz w:val="24"/>
          <w:szCs w:val="24"/>
        </w:rPr>
        <w:t xml:space="preserve"> history of significant loss of weight and loss of appetite. </w:t>
      </w:r>
      <w:r w:rsidR="002F7568" w:rsidRPr="00D7634A">
        <w:rPr>
          <w:rFonts w:ascii="Times New Roman" w:hAnsi="Times New Roman" w:cs="Times New Roman"/>
          <w:sz w:val="24"/>
          <w:szCs w:val="24"/>
        </w:rPr>
        <w:t xml:space="preserve">The patient underwent esophagogastroduodenoscopy which showed </w:t>
      </w:r>
      <w:proofErr w:type="spellStart"/>
      <w:r w:rsidR="002F7568" w:rsidRPr="00D7634A">
        <w:rPr>
          <w:rFonts w:ascii="Times New Roman" w:hAnsi="Times New Roman" w:cs="Times New Roman"/>
          <w:sz w:val="24"/>
          <w:szCs w:val="24"/>
        </w:rPr>
        <w:t>linitis</w:t>
      </w:r>
      <w:proofErr w:type="spellEnd"/>
      <w:r w:rsidR="002F7568" w:rsidRPr="00D7634A">
        <w:rPr>
          <w:rFonts w:ascii="Times New Roman" w:hAnsi="Times New Roman" w:cs="Times New Roman"/>
          <w:sz w:val="24"/>
          <w:szCs w:val="24"/>
        </w:rPr>
        <w:t xml:space="preserve"> </w:t>
      </w:r>
      <w:proofErr w:type="spellStart"/>
      <w:r w:rsidR="002F7568" w:rsidRPr="00D7634A">
        <w:rPr>
          <w:rFonts w:ascii="Times New Roman" w:hAnsi="Times New Roman" w:cs="Times New Roman"/>
          <w:sz w:val="24"/>
          <w:szCs w:val="24"/>
        </w:rPr>
        <w:t>plastica</w:t>
      </w:r>
      <w:proofErr w:type="spellEnd"/>
      <w:r w:rsidR="002F7568" w:rsidRPr="00D7634A">
        <w:rPr>
          <w:rFonts w:ascii="Times New Roman" w:hAnsi="Times New Roman" w:cs="Times New Roman"/>
          <w:sz w:val="24"/>
          <w:szCs w:val="24"/>
        </w:rPr>
        <w:t xml:space="preserve"> of the stomach </w:t>
      </w:r>
      <w:r w:rsidR="00816D43" w:rsidRPr="00D7634A">
        <w:rPr>
          <w:rFonts w:ascii="Times New Roman" w:hAnsi="Times New Roman" w:cs="Times New Roman"/>
          <w:sz w:val="24"/>
          <w:szCs w:val="24"/>
        </w:rPr>
        <w:t>and grade 2 hiatus hernia.</w:t>
      </w:r>
      <w:r w:rsidR="00A17563" w:rsidRPr="00D7634A">
        <w:rPr>
          <w:rFonts w:ascii="Times New Roman" w:hAnsi="Times New Roman" w:cs="Times New Roman"/>
          <w:sz w:val="24"/>
          <w:szCs w:val="24"/>
        </w:rPr>
        <w:t xml:space="preserve"> </w:t>
      </w:r>
    </w:p>
    <w:p w14:paraId="2108589A" w14:textId="7F99F2CF" w:rsidR="00D0158E" w:rsidRPr="00D7634A" w:rsidRDefault="00D0158E" w:rsidP="00EF76C9">
      <w:pPr>
        <w:spacing w:line="480" w:lineRule="auto"/>
        <w:jc w:val="both"/>
        <w:rPr>
          <w:rFonts w:ascii="Times New Roman" w:hAnsi="Times New Roman" w:cs="Times New Roman"/>
          <w:noProof/>
          <w:sz w:val="24"/>
          <w:szCs w:val="24"/>
        </w:rPr>
      </w:pPr>
      <w:r w:rsidRPr="00D7634A">
        <w:rPr>
          <w:rFonts w:ascii="Times New Roman" w:hAnsi="Times New Roman" w:cs="Times New Roman"/>
          <w:noProof/>
          <w:sz w:val="24"/>
          <w:szCs w:val="24"/>
          <w:lang w:eastAsia="en-IN"/>
        </w:rPr>
        <mc:AlternateContent>
          <mc:Choice Requires="wps">
            <w:drawing>
              <wp:anchor distT="0" distB="0" distL="114300" distR="114300" simplePos="0" relativeHeight="251668480" behindDoc="0" locked="0" layoutInCell="1" allowOverlap="1" wp14:anchorId="5004DFF7" wp14:editId="6610EECE">
                <wp:simplePos x="0" y="0"/>
                <wp:positionH relativeFrom="column">
                  <wp:posOffset>2233613</wp:posOffset>
                </wp:positionH>
                <wp:positionV relativeFrom="paragraph">
                  <wp:posOffset>7938</wp:posOffset>
                </wp:positionV>
                <wp:extent cx="248920" cy="243840"/>
                <wp:effectExtent l="0" t="0" r="17780" b="22860"/>
                <wp:wrapNone/>
                <wp:docPr id="1205404125" name="Text Box 9"/>
                <wp:cNvGraphicFramePr/>
                <a:graphic xmlns:a="http://schemas.openxmlformats.org/drawingml/2006/main">
                  <a:graphicData uri="http://schemas.microsoft.com/office/word/2010/wordprocessingShape">
                    <wps:wsp>
                      <wps:cNvSpPr txBox="1"/>
                      <wps:spPr>
                        <a:xfrm>
                          <a:off x="0" y="0"/>
                          <a:ext cx="248920" cy="243840"/>
                        </a:xfrm>
                        <a:prstGeom prst="rect">
                          <a:avLst/>
                        </a:prstGeom>
                        <a:solidFill>
                          <a:sysClr val="window" lastClr="FFFFFF"/>
                        </a:solidFill>
                        <a:ln w="19050">
                          <a:solidFill>
                            <a:schemeClr val="accent1"/>
                          </a:solidFill>
                        </a:ln>
                      </wps:spPr>
                      <wps:txbx>
                        <w:txbxContent>
                          <w:p w14:paraId="46D13FE2" w14:textId="77777777" w:rsidR="00D0158E" w:rsidRDefault="00D0158E" w:rsidP="00D0158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4DFF7" id="_x0000_s1030" type="#_x0000_t202" style="position:absolute;left:0;text-align:left;margin-left:175.9pt;margin-top:.65pt;width:19.6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" fillcolor="window" strokecolor="#4472c4 [3204]" strokeweight="1.5pt">
                <v:textbox>
                  <w:txbxContent>
                    <w:p w14:paraId="46D13FE2" w14:textId="77777777" w:rsidR="00D0158E" w:rsidRDefault="00D0158E" w:rsidP="00D0158E">
                      <w:r>
                        <w:t>B</w:t>
                      </w:r>
                    </w:p>
                  </w:txbxContent>
                </v:textbox>
              </v:shape>
            </w:pict>
          </mc:Fallback>
        </mc:AlternateContent>
      </w:r>
      <w:r w:rsidRPr="00D7634A">
        <w:rPr>
          <w:rFonts w:ascii="Times New Roman" w:hAnsi="Times New Roman" w:cs="Times New Roman"/>
          <w:noProof/>
          <w:sz w:val="24"/>
          <w:szCs w:val="24"/>
          <w:lang w:eastAsia="en-IN"/>
        </w:rPr>
        <mc:AlternateContent>
          <mc:Choice Requires="wps">
            <w:drawing>
              <wp:anchor distT="0" distB="0" distL="114300" distR="114300" simplePos="0" relativeHeight="251666432" behindDoc="0" locked="0" layoutInCell="1" allowOverlap="1" wp14:anchorId="4579893C" wp14:editId="62929F42">
                <wp:simplePos x="0" y="0"/>
                <wp:positionH relativeFrom="column">
                  <wp:posOffset>0</wp:posOffset>
                </wp:positionH>
                <wp:positionV relativeFrom="paragraph">
                  <wp:posOffset>-1587</wp:posOffset>
                </wp:positionV>
                <wp:extent cx="259080" cy="248920"/>
                <wp:effectExtent l="0" t="0" r="26670" b="17780"/>
                <wp:wrapNone/>
                <wp:docPr id="1874933643" name="Text Box 9"/>
                <wp:cNvGraphicFramePr/>
                <a:graphic xmlns:a="http://schemas.openxmlformats.org/drawingml/2006/main">
                  <a:graphicData uri="http://schemas.microsoft.com/office/word/2010/wordprocessingShape">
                    <wps:wsp>
                      <wps:cNvSpPr txBox="1"/>
                      <wps:spPr>
                        <a:xfrm>
                          <a:off x="0" y="0"/>
                          <a:ext cx="259080" cy="248920"/>
                        </a:xfrm>
                        <a:prstGeom prst="rect">
                          <a:avLst/>
                        </a:prstGeom>
                        <a:solidFill>
                          <a:sysClr val="window" lastClr="FFFFFF"/>
                        </a:solidFill>
                        <a:ln w="12700" cap="flat" cmpd="sng" algn="ctr">
                          <a:solidFill>
                            <a:srgbClr val="4472C4"/>
                          </a:solidFill>
                          <a:prstDash val="solid"/>
                          <a:miter lim="800000"/>
                        </a:ln>
                        <a:effectLst/>
                      </wps:spPr>
                      <wps:txbx>
                        <w:txbxContent>
                          <w:p w14:paraId="13B74A7C" w14:textId="77777777" w:rsidR="00D0158E" w:rsidRDefault="00D0158E" w:rsidP="00D0158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9893C" id="_x0000_s1031" type="#_x0000_t202" style="position:absolute;left:0;text-align:left;margin-left:0;margin-top:-.1pt;width:20.4pt;height:1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" fillcolor="window" strokecolor="#4472c4" strokeweight="1pt">
                <v:textbox>
                  <w:txbxContent>
                    <w:p w14:paraId="13B74A7C" w14:textId="77777777" w:rsidR="00D0158E" w:rsidRDefault="00D0158E" w:rsidP="00D0158E">
                      <w:r>
                        <w:t>A</w:t>
                      </w:r>
                    </w:p>
                  </w:txbxContent>
                </v:textbox>
              </v:shape>
            </w:pict>
          </mc:Fallback>
        </mc:AlternateContent>
      </w:r>
      <w:r w:rsidRPr="00D7634A">
        <w:rPr>
          <w:rFonts w:ascii="Times New Roman" w:hAnsi="Times New Roman" w:cs="Times New Roman"/>
          <w:noProof/>
          <w:sz w:val="24"/>
          <w:szCs w:val="24"/>
          <w:lang w:eastAsia="en-IN"/>
        </w:rPr>
        <w:drawing>
          <wp:inline distT="0" distB="0" distL="0" distR="0" wp14:anchorId="5BCFD603" wp14:editId="4F5209E1">
            <wp:extent cx="2198016" cy="1758461"/>
            <wp:effectExtent l="0" t="0" r="0" b="0"/>
            <wp:docPr id="1178045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45469" name="Picture 11780454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3401" cy="1778770"/>
                    </a:xfrm>
                    <a:prstGeom prst="rect">
                      <a:avLst/>
                    </a:prstGeom>
                  </pic:spPr>
                </pic:pic>
              </a:graphicData>
            </a:graphic>
          </wp:inline>
        </w:drawing>
      </w:r>
      <w:r w:rsidRPr="00D7634A">
        <w:rPr>
          <w:rFonts w:ascii="Times New Roman" w:hAnsi="Times New Roman" w:cs="Times New Roman"/>
          <w:noProof/>
          <w:sz w:val="24"/>
          <w:szCs w:val="24"/>
        </w:rPr>
        <w:t xml:space="preserve"> </w:t>
      </w:r>
      <w:r w:rsidRPr="00D7634A">
        <w:rPr>
          <w:rFonts w:ascii="Times New Roman" w:hAnsi="Times New Roman" w:cs="Times New Roman"/>
          <w:noProof/>
          <w:sz w:val="24"/>
          <w:szCs w:val="24"/>
        </w:rPr>
        <w:drawing>
          <wp:inline distT="0" distB="0" distL="0" distR="0" wp14:anchorId="644B080B" wp14:editId="2D8085BC">
            <wp:extent cx="2233612" cy="1753099"/>
            <wp:effectExtent l="0" t="0" r="0" b="0"/>
            <wp:docPr id="1853467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67529" name=""/>
                    <pic:cNvPicPr/>
                  </pic:nvPicPr>
                  <pic:blipFill>
                    <a:blip r:embed="rId16"/>
                    <a:stretch>
                      <a:fillRect/>
                    </a:stretch>
                  </pic:blipFill>
                  <pic:spPr>
                    <a:xfrm>
                      <a:off x="0" y="0"/>
                      <a:ext cx="2258147" cy="1772355"/>
                    </a:xfrm>
                    <a:prstGeom prst="rect">
                      <a:avLst/>
                    </a:prstGeom>
                  </pic:spPr>
                </pic:pic>
              </a:graphicData>
            </a:graphic>
          </wp:inline>
        </w:drawing>
      </w:r>
    </w:p>
    <w:p w14:paraId="048CD034" w14:textId="31D7BDD5" w:rsidR="00D0158E" w:rsidRPr="00D7634A" w:rsidRDefault="00D0158E"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Fig 4: Upper GI Endoscopy: (A) friable oedematous mucosa starting from cardia. (B): Extending along the lesser curvature.</w:t>
      </w:r>
    </w:p>
    <w:p w14:paraId="1D6F2A77" w14:textId="7DB2D473" w:rsidR="00D0158E" w:rsidRPr="00D7634A" w:rsidRDefault="00A17563"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lastRenderedPageBreak/>
        <w:t xml:space="preserve">Multiple areas of the stomach were biopsied given the appearance of </w:t>
      </w:r>
      <w:proofErr w:type="spellStart"/>
      <w:r w:rsidRPr="00D7634A">
        <w:rPr>
          <w:rFonts w:ascii="Times New Roman" w:hAnsi="Times New Roman" w:cs="Times New Roman"/>
          <w:sz w:val="24"/>
          <w:szCs w:val="24"/>
        </w:rPr>
        <w:t>linitis</w:t>
      </w:r>
      <w:proofErr w:type="spellEnd"/>
      <w:r w:rsidRPr="00D7634A">
        <w:rPr>
          <w:rFonts w:ascii="Times New Roman" w:hAnsi="Times New Roman" w:cs="Times New Roman"/>
          <w:sz w:val="24"/>
          <w:szCs w:val="24"/>
        </w:rPr>
        <w:t xml:space="preserve"> </w:t>
      </w:r>
      <w:proofErr w:type="spellStart"/>
      <w:r w:rsidRPr="00D7634A">
        <w:rPr>
          <w:rFonts w:ascii="Times New Roman" w:hAnsi="Times New Roman" w:cs="Times New Roman"/>
          <w:sz w:val="24"/>
          <w:szCs w:val="24"/>
        </w:rPr>
        <w:t>plastica</w:t>
      </w:r>
      <w:proofErr w:type="spellEnd"/>
      <w:r w:rsidRPr="00D7634A">
        <w:rPr>
          <w:rFonts w:ascii="Times New Roman" w:hAnsi="Times New Roman" w:cs="Times New Roman"/>
          <w:sz w:val="24"/>
          <w:szCs w:val="24"/>
        </w:rPr>
        <w:t>.</w:t>
      </w:r>
      <w:r w:rsidR="00816D43" w:rsidRPr="00D7634A">
        <w:rPr>
          <w:rFonts w:ascii="Times New Roman" w:hAnsi="Times New Roman" w:cs="Times New Roman"/>
          <w:sz w:val="24"/>
          <w:szCs w:val="24"/>
        </w:rPr>
        <w:t xml:space="preserve"> CECT</w:t>
      </w:r>
      <w:r w:rsidR="000C4E69" w:rsidRPr="00D7634A">
        <w:rPr>
          <w:rFonts w:ascii="Times New Roman" w:hAnsi="Times New Roman" w:cs="Times New Roman"/>
          <w:sz w:val="24"/>
          <w:szCs w:val="24"/>
        </w:rPr>
        <w:t xml:space="preserve"> abdomen</w:t>
      </w:r>
      <w:r w:rsidR="002A1C9E" w:rsidRPr="00D7634A">
        <w:rPr>
          <w:rFonts w:ascii="Times New Roman" w:hAnsi="Times New Roman" w:cs="Times New Roman"/>
          <w:sz w:val="24"/>
          <w:szCs w:val="24"/>
        </w:rPr>
        <w:t xml:space="preserve"> and pelvis along with HRCT chest was</w:t>
      </w:r>
      <w:r w:rsidR="000C4E69" w:rsidRPr="00D7634A">
        <w:rPr>
          <w:rFonts w:ascii="Times New Roman" w:hAnsi="Times New Roman" w:cs="Times New Roman"/>
          <w:sz w:val="24"/>
          <w:szCs w:val="24"/>
        </w:rPr>
        <w:t xml:space="preserve"> done for </w:t>
      </w:r>
      <w:r w:rsidR="00D0158E" w:rsidRPr="00D7634A">
        <w:rPr>
          <w:rFonts w:ascii="Times New Roman" w:hAnsi="Times New Roman" w:cs="Times New Roman"/>
          <w:sz w:val="24"/>
          <w:szCs w:val="24"/>
        </w:rPr>
        <w:t xml:space="preserve">staging, which revealed </w:t>
      </w:r>
      <w:r w:rsidR="00060862" w:rsidRPr="00D7634A">
        <w:rPr>
          <w:rFonts w:ascii="Times New Roman" w:hAnsi="Times New Roman" w:cs="Times New Roman"/>
          <w:sz w:val="24"/>
          <w:szCs w:val="24"/>
        </w:rPr>
        <w:t xml:space="preserve">no locoregional lymphadenopathy or metastatic </w:t>
      </w:r>
      <w:r w:rsidR="002F7568" w:rsidRPr="00D7634A">
        <w:rPr>
          <w:rFonts w:ascii="Times New Roman" w:hAnsi="Times New Roman" w:cs="Times New Roman"/>
          <w:sz w:val="24"/>
          <w:szCs w:val="24"/>
        </w:rPr>
        <w:t xml:space="preserve">disease. </w:t>
      </w:r>
    </w:p>
    <w:p w14:paraId="69E07B50" w14:textId="44BEAB09" w:rsidR="00D0158E" w:rsidRPr="00D7634A" w:rsidRDefault="00D0158E" w:rsidP="00EF76C9">
      <w:pPr>
        <w:spacing w:line="480" w:lineRule="auto"/>
        <w:jc w:val="both"/>
        <w:rPr>
          <w:rFonts w:ascii="Times New Roman" w:hAnsi="Times New Roman" w:cs="Times New Roman"/>
          <w:sz w:val="24"/>
          <w:szCs w:val="24"/>
        </w:rPr>
      </w:pPr>
      <w:r w:rsidRPr="00D7634A">
        <w:rPr>
          <w:rFonts w:ascii="Times New Roman" w:hAnsi="Times New Roman" w:cs="Times New Roman"/>
          <w:noProof/>
          <w:sz w:val="24"/>
          <w:szCs w:val="24"/>
          <w:lang w:eastAsia="en-IN"/>
        </w:rPr>
        <mc:AlternateContent>
          <mc:Choice Requires="wps">
            <w:drawing>
              <wp:anchor distT="0" distB="0" distL="114300" distR="114300" simplePos="0" relativeHeight="251664384" behindDoc="0" locked="0" layoutInCell="1" allowOverlap="1" wp14:anchorId="61B44B83" wp14:editId="5CC1D939">
                <wp:simplePos x="0" y="0"/>
                <wp:positionH relativeFrom="column">
                  <wp:posOffset>0</wp:posOffset>
                </wp:positionH>
                <wp:positionV relativeFrom="paragraph">
                  <wp:posOffset>-1270</wp:posOffset>
                </wp:positionV>
                <wp:extent cx="259080" cy="248920"/>
                <wp:effectExtent l="0" t="0" r="26670" b="17780"/>
                <wp:wrapNone/>
                <wp:docPr id="1262467568" name="Text Box 9"/>
                <wp:cNvGraphicFramePr/>
                <a:graphic xmlns:a="http://schemas.openxmlformats.org/drawingml/2006/main">
                  <a:graphicData uri="http://schemas.microsoft.com/office/word/2010/wordprocessingShape">
                    <wps:wsp>
                      <wps:cNvSpPr txBox="1"/>
                      <wps:spPr>
                        <a:xfrm>
                          <a:off x="0" y="0"/>
                          <a:ext cx="259080" cy="2489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AE1353" w14:textId="77777777" w:rsidR="00D0158E" w:rsidRDefault="00D0158E" w:rsidP="00D0158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4B83" id="_x0000_s1032" type="#_x0000_t202" style="position:absolute;left:0;text-align:left;margin-left:0;margin-top:-.1pt;width:20.4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" fillcolor="white [3201]" strokecolor="#4472c4 [3204]" strokeweight="1pt">
                <v:textbox>
                  <w:txbxContent>
                    <w:p w14:paraId="11AE1353" w14:textId="77777777" w:rsidR="00D0158E" w:rsidRDefault="00D0158E" w:rsidP="00D0158E">
                      <w:r>
                        <w:t>A</w:t>
                      </w:r>
                    </w:p>
                  </w:txbxContent>
                </v:textbox>
              </v:shape>
            </w:pict>
          </mc:Fallback>
        </mc:AlternateContent>
      </w:r>
      <w:r w:rsidRPr="00D7634A">
        <w:rPr>
          <w:rFonts w:ascii="Times New Roman" w:hAnsi="Times New Roman" w:cs="Times New Roman"/>
          <w:noProof/>
          <w:sz w:val="24"/>
          <w:szCs w:val="24"/>
          <w:lang w:eastAsia="en-IN"/>
        </w:rPr>
        <mc:AlternateContent>
          <mc:Choice Requires="wps">
            <w:drawing>
              <wp:anchor distT="0" distB="0" distL="114300" distR="114300" simplePos="0" relativeHeight="251662336" behindDoc="0" locked="0" layoutInCell="1" allowOverlap="1" wp14:anchorId="4B065189" wp14:editId="4C72E131">
                <wp:simplePos x="0" y="0"/>
                <wp:positionH relativeFrom="column">
                  <wp:posOffset>2495550</wp:posOffset>
                </wp:positionH>
                <wp:positionV relativeFrom="paragraph">
                  <wp:posOffset>-1270</wp:posOffset>
                </wp:positionV>
                <wp:extent cx="248920" cy="243840"/>
                <wp:effectExtent l="0" t="0" r="17780" b="22860"/>
                <wp:wrapNone/>
                <wp:docPr id="1410826763" name="Text Box 9"/>
                <wp:cNvGraphicFramePr/>
                <a:graphic xmlns:a="http://schemas.openxmlformats.org/drawingml/2006/main">
                  <a:graphicData uri="http://schemas.microsoft.com/office/word/2010/wordprocessingShape">
                    <wps:wsp>
                      <wps:cNvSpPr txBox="1"/>
                      <wps:spPr>
                        <a:xfrm>
                          <a:off x="0" y="0"/>
                          <a:ext cx="248920" cy="243840"/>
                        </a:xfrm>
                        <a:prstGeom prst="rect">
                          <a:avLst/>
                        </a:prstGeom>
                        <a:solidFill>
                          <a:sysClr val="window" lastClr="FFFFFF"/>
                        </a:solidFill>
                        <a:ln w="19050">
                          <a:solidFill>
                            <a:schemeClr val="accent1"/>
                          </a:solidFill>
                        </a:ln>
                      </wps:spPr>
                      <wps:txbx>
                        <w:txbxContent>
                          <w:p w14:paraId="3A044C35" w14:textId="77777777" w:rsidR="00D0158E" w:rsidRDefault="00D0158E" w:rsidP="00D0158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65189" id="_x0000_s1033" type="#_x0000_t202" style="position:absolute;left:0;text-align:left;margin-left:196.5pt;margin-top:-.1pt;width:19.6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" fillcolor="window" strokecolor="#4472c4 [3204]" strokeweight="1.5pt">
                <v:textbox>
                  <w:txbxContent>
                    <w:p w14:paraId="3A044C35" w14:textId="77777777" w:rsidR="00D0158E" w:rsidRDefault="00D0158E" w:rsidP="00D0158E">
                      <w:r>
                        <w:t>B</w:t>
                      </w:r>
                    </w:p>
                  </w:txbxContent>
                </v:textbox>
              </v:shape>
            </w:pict>
          </mc:Fallback>
        </mc:AlternateContent>
      </w:r>
      <w:r w:rsidRPr="00D7634A">
        <w:rPr>
          <w:rFonts w:ascii="Times New Roman" w:hAnsi="Times New Roman" w:cs="Times New Roman"/>
          <w:noProof/>
          <w:sz w:val="24"/>
          <w:szCs w:val="24"/>
          <w:lang w:eastAsia="en-IN"/>
        </w:rPr>
        <w:drawing>
          <wp:inline distT="0" distB="0" distL="0" distR="0" wp14:anchorId="1E36DA93" wp14:editId="396BF87E">
            <wp:extent cx="2497015" cy="1901945"/>
            <wp:effectExtent l="0" t="0" r="0" b="3175"/>
            <wp:docPr id="301893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93017" name="Picture 3018930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2701" cy="1921510"/>
                    </a:xfrm>
                    <a:prstGeom prst="rect">
                      <a:avLst/>
                    </a:prstGeom>
                  </pic:spPr>
                </pic:pic>
              </a:graphicData>
            </a:graphic>
          </wp:inline>
        </w:drawing>
      </w:r>
      <w:r w:rsidRPr="00D7634A">
        <w:rPr>
          <w:rFonts w:ascii="Times New Roman" w:hAnsi="Times New Roman" w:cs="Times New Roman"/>
          <w:noProof/>
          <w:sz w:val="24"/>
          <w:szCs w:val="24"/>
          <w:lang w:eastAsia="en-IN"/>
        </w:rPr>
        <w:drawing>
          <wp:inline distT="0" distB="0" distL="0" distR="0" wp14:anchorId="4D2E0E25" wp14:editId="7AE18FF5">
            <wp:extent cx="2601093" cy="1900283"/>
            <wp:effectExtent l="0" t="0" r="8890" b="5080"/>
            <wp:docPr id="880557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57030" name="Picture 8805570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269" cy="1920137"/>
                    </a:xfrm>
                    <a:prstGeom prst="rect">
                      <a:avLst/>
                    </a:prstGeom>
                  </pic:spPr>
                </pic:pic>
              </a:graphicData>
            </a:graphic>
          </wp:inline>
        </w:drawing>
      </w:r>
    </w:p>
    <w:p w14:paraId="30C6E518" w14:textId="78D3CE05" w:rsidR="00D0158E" w:rsidRPr="00D7634A" w:rsidRDefault="00D0158E" w:rsidP="00EF76C9">
      <w:pPr>
        <w:spacing w:line="480" w:lineRule="auto"/>
        <w:jc w:val="both"/>
        <w:rPr>
          <w:rFonts w:ascii="Times New Roman" w:hAnsi="Times New Roman" w:cs="Times New Roman"/>
          <w:sz w:val="24"/>
          <w:szCs w:val="24"/>
        </w:rPr>
      </w:pPr>
      <w:r w:rsidRPr="00D7634A">
        <w:rPr>
          <w:rFonts w:ascii="Times New Roman" w:hAnsi="Times New Roman" w:cs="Times New Roman"/>
          <w:noProof/>
          <w:sz w:val="24"/>
          <w:szCs w:val="24"/>
          <w:lang w:eastAsia="en-IN"/>
        </w:rPr>
        <mc:AlternateContent>
          <mc:Choice Requires="wps">
            <w:drawing>
              <wp:anchor distT="0" distB="0" distL="114300" distR="114300" simplePos="0" relativeHeight="251660288" behindDoc="0" locked="0" layoutInCell="1" allowOverlap="1" wp14:anchorId="7093862B" wp14:editId="668F1AE0">
                <wp:simplePos x="0" y="0"/>
                <wp:positionH relativeFrom="column">
                  <wp:posOffset>0</wp:posOffset>
                </wp:positionH>
                <wp:positionV relativeFrom="paragraph">
                  <wp:posOffset>-952</wp:posOffset>
                </wp:positionV>
                <wp:extent cx="254000" cy="243840"/>
                <wp:effectExtent l="0" t="0" r="12700" b="22860"/>
                <wp:wrapNone/>
                <wp:docPr id="1513881140" name="Text Box 9"/>
                <wp:cNvGraphicFramePr/>
                <a:graphic xmlns:a="http://schemas.openxmlformats.org/drawingml/2006/main">
                  <a:graphicData uri="http://schemas.microsoft.com/office/word/2010/wordprocessingShape">
                    <wps:wsp>
                      <wps:cNvSpPr txBox="1"/>
                      <wps:spPr>
                        <a:xfrm>
                          <a:off x="0" y="0"/>
                          <a:ext cx="254000" cy="243840"/>
                        </a:xfrm>
                        <a:prstGeom prst="rect">
                          <a:avLst/>
                        </a:prstGeom>
                        <a:solidFill>
                          <a:sysClr val="window" lastClr="FFFFFF"/>
                        </a:solidFill>
                        <a:ln w="19050">
                          <a:solidFill>
                            <a:srgbClr val="4472C4"/>
                          </a:solidFill>
                        </a:ln>
                      </wps:spPr>
                      <wps:txbx>
                        <w:txbxContent>
                          <w:p w14:paraId="00E6C7F9" w14:textId="77777777" w:rsidR="00D0158E" w:rsidRDefault="00D0158E" w:rsidP="00D0158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3862B" id="_x0000_s1034" type="#_x0000_t202" style="position:absolute;left:0;text-align:left;margin-left:0;margin-top:-.05pt;width:20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" fillcolor="window" strokecolor="#4472c4" strokeweight="1.5pt">
                <v:textbox>
                  <w:txbxContent>
                    <w:p w14:paraId="00E6C7F9" w14:textId="77777777" w:rsidR="00D0158E" w:rsidRDefault="00D0158E" w:rsidP="00D0158E">
                      <w:r>
                        <w:t>C</w:t>
                      </w:r>
                    </w:p>
                  </w:txbxContent>
                </v:textbox>
              </v:shape>
            </w:pict>
          </mc:Fallback>
        </mc:AlternateContent>
      </w:r>
      <w:r w:rsidRPr="00D7634A">
        <w:rPr>
          <w:rFonts w:ascii="Times New Roman" w:hAnsi="Times New Roman" w:cs="Times New Roman"/>
          <w:noProof/>
          <w:sz w:val="24"/>
          <w:szCs w:val="24"/>
          <w:lang w:eastAsia="en-IN"/>
        </w:rPr>
        <w:drawing>
          <wp:inline distT="0" distB="0" distL="0" distR="0" wp14:anchorId="169197CA" wp14:editId="6A78CD7D">
            <wp:extent cx="2602523" cy="1826112"/>
            <wp:effectExtent l="0" t="0" r="7620" b="3175"/>
            <wp:docPr id="707872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72006" name="Picture 70787200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2566" cy="1861225"/>
                    </a:xfrm>
                    <a:prstGeom prst="rect">
                      <a:avLst/>
                    </a:prstGeom>
                  </pic:spPr>
                </pic:pic>
              </a:graphicData>
            </a:graphic>
          </wp:inline>
        </w:drawing>
      </w:r>
    </w:p>
    <w:p w14:paraId="2DCC3580" w14:textId="0B860BE4" w:rsidR="00D0158E" w:rsidRPr="00D7634A" w:rsidRDefault="00D0158E"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Fig 5: CECT Abdomen showing (A) and (B): </w:t>
      </w:r>
      <w:proofErr w:type="spellStart"/>
      <w:r w:rsidRPr="00D7634A">
        <w:rPr>
          <w:rFonts w:ascii="Times New Roman" w:hAnsi="Times New Roman" w:cs="Times New Roman"/>
          <w:sz w:val="24"/>
          <w:szCs w:val="24"/>
        </w:rPr>
        <w:t>Tumor</w:t>
      </w:r>
      <w:proofErr w:type="spellEnd"/>
      <w:r w:rsidRPr="00D7634A">
        <w:rPr>
          <w:rFonts w:ascii="Times New Roman" w:hAnsi="Times New Roman" w:cs="Times New Roman"/>
          <w:sz w:val="24"/>
          <w:szCs w:val="24"/>
        </w:rPr>
        <w:t xml:space="preserve"> involving greater and lesser curvature of stomach. </w:t>
      </w:r>
    </w:p>
    <w:p w14:paraId="0E2D4106" w14:textId="77777777" w:rsidR="00D0158E" w:rsidRPr="00D7634A" w:rsidRDefault="00D0158E"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           (C): Doubtful infiltration of tumour to pancreatic body and tail.</w:t>
      </w:r>
    </w:p>
    <w:p w14:paraId="6D803E31" w14:textId="0F773204" w:rsidR="006B4007" w:rsidRPr="00D7634A" w:rsidRDefault="002F7568"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After</w:t>
      </w:r>
      <w:r w:rsidR="000C4E69" w:rsidRPr="00D7634A">
        <w:rPr>
          <w:rFonts w:ascii="Times New Roman" w:hAnsi="Times New Roman" w:cs="Times New Roman"/>
          <w:sz w:val="24"/>
          <w:szCs w:val="24"/>
        </w:rPr>
        <w:t xml:space="preserve"> multidisciplinary evaluation, he underwent Staging laparoscopy followed </w:t>
      </w:r>
      <w:r w:rsidR="004227EF" w:rsidRPr="00D7634A">
        <w:rPr>
          <w:rFonts w:ascii="Times New Roman" w:hAnsi="Times New Roman" w:cs="Times New Roman"/>
          <w:sz w:val="24"/>
          <w:szCs w:val="24"/>
        </w:rPr>
        <w:t xml:space="preserve">by open </w:t>
      </w:r>
      <w:r w:rsidR="00816D43" w:rsidRPr="00D7634A">
        <w:rPr>
          <w:rFonts w:ascii="Times New Roman" w:hAnsi="Times New Roman" w:cs="Times New Roman"/>
          <w:sz w:val="24"/>
          <w:szCs w:val="24"/>
        </w:rPr>
        <w:t>total D</w:t>
      </w:r>
      <w:r w:rsidR="004227EF" w:rsidRPr="00D7634A">
        <w:rPr>
          <w:rFonts w:ascii="Times New Roman" w:hAnsi="Times New Roman" w:cs="Times New Roman"/>
          <w:sz w:val="24"/>
          <w:szCs w:val="24"/>
        </w:rPr>
        <w:t xml:space="preserve">2 </w:t>
      </w:r>
      <w:r w:rsidR="00816D43" w:rsidRPr="00D7634A">
        <w:rPr>
          <w:rFonts w:ascii="Times New Roman" w:hAnsi="Times New Roman" w:cs="Times New Roman"/>
          <w:sz w:val="24"/>
          <w:szCs w:val="24"/>
        </w:rPr>
        <w:t>gastrectomy,</w:t>
      </w:r>
      <w:r w:rsidR="004227EF" w:rsidRPr="00D7634A">
        <w:rPr>
          <w:rFonts w:ascii="Times New Roman" w:hAnsi="Times New Roman" w:cs="Times New Roman"/>
          <w:sz w:val="24"/>
          <w:szCs w:val="24"/>
        </w:rPr>
        <w:t xml:space="preserve"> oesophagojejunostomy and feeding </w:t>
      </w:r>
      <w:r w:rsidR="00816D43" w:rsidRPr="00D7634A">
        <w:rPr>
          <w:rFonts w:ascii="Times New Roman" w:hAnsi="Times New Roman" w:cs="Times New Roman"/>
          <w:sz w:val="24"/>
          <w:szCs w:val="24"/>
        </w:rPr>
        <w:t xml:space="preserve">jejunostomy. </w:t>
      </w:r>
      <w:r w:rsidR="000B52BC" w:rsidRPr="00D7634A">
        <w:rPr>
          <w:rFonts w:ascii="Times New Roman" w:hAnsi="Times New Roman" w:cs="Times New Roman"/>
          <w:sz w:val="24"/>
          <w:szCs w:val="24"/>
        </w:rPr>
        <w:t>The histopathology report was consistent with poorly cohesive carcinoma – signet ring cell type involving body,</w:t>
      </w:r>
      <w:r w:rsidR="00701B73" w:rsidRPr="00D7634A">
        <w:rPr>
          <w:rFonts w:ascii="Times New Roman" w:hAnsi="Times New Roman" w:cs="Times New Roman"/>
          <w:sz w:val="24"/>
          <w:szCs w:val="24"/>
        </w:rPr>
        <w:t xml:space="preserve"> </w:t>
      </w:r>
      <w:r w:rsidR="000B52BC" w:rsidRPr="00D7634A">
        <w:rPr>
          <w:rFonts w:ascii="Times New Roman" w:hAnsi="Times New Roman" w:cs="Times New Roman"/>
          <w:sz w:val="24"/>
          <w:szCs w:val="24"/>
        </w:rPr>
        <w:t>greater curvature,</w:t>
      </w:r>
      <w:r w:rsidR="00701B73" w:rsidRPr="00D7634A">
        <w:rPr>
          <w:rFonts w:ascii="Times New Roman" w:hAnsi="Times New Roman" w:cs="Times New Roman"/>
          <w:sz w:val="24"/>
          <w:szCs w:val="24"/>
        </w:rPr>
        <w:t xml:space="preserve"> </w:t>
      </w:r>
      <w:r w:rsidR="000B52BC" w:rsidRPr="00D7634A">
        <w:rPr>
          <w:rFonts w:ascii="Times New Roman" w:hAnsi="Times New Roman" w:cs="Times New Roman"/>
          <w:sz w:val="24"/>
          <w:szCs w:val="24"/>
        </w:rPr>
        <w:t xml:space="preserve">lesser curvature and antrum. Histologic grade was G3. </w:t>
      </w:r>
      <w:r w:rsidR="003D5D52" w:rsidRPr="00D7634A">
        <w:rPr>
          <w:rFonts w:ascii="Times New Roman" w:hAnsi="Times New Roman" w:cs="Times New Roman"/>
          <w:sz w:val="24"/>
          <w:szCs w:val="24"/>
        </w:rPr>
        <w:t>Occasional individual t</w:t>
      </w:r>
      <w:r w:rsidR="000B52BC" w:rsidRPr="00D7634A">
        <w:rPr>
          <w:rFonts w:ascii="Times New Roman" w:hAnsi="Times New Roman" w:cs="Times New Roman"/>
          <w:sz w:val="24"/>
          <w:szCs w:val="24"/>
        </w:rPr>
        <w:t>umour</w:t>
      </w:r>
      <w:r w:rsidR="003D5D52" w:rsidRPr="00D7634A">
        <w:rPr>
          <w:rFonts w:ascii="Times New Roman" w:hAnsi="Times New Roman" w:cs="Times New Roman"/>
          <w:sz w:val="24"/>
          <w:szCs w:val="24"/>
        </w:rPr>
        <w:t xml:space="preserve"> cells</w:t>
      </w:r>
      <w:r w:rsidR="000B52BC" w:rsidRPr="00D7634A">
        <w:rPr>
          <w:rFonts w:ascii="Times New Roman" w:hAnsi="Times New Roman" w:cs="Times New Roman"/>
          <w:sz w:val="24"/>
          <w:szCs w:val="24"/>
        </w:rPr>
        <w:t xml:space="preserve"> w</w:t>
      </w:r>
      <w:r w:rsidR="003D5D52" w:rsidRPr="00D7634A">
        <w:rPr>
          <w:rFonts w:ascii="Times New Roman" w:hAnsi="Times New Roman" w:cs="Times New Roman"/>
          <w:sz w:val="24"/>
          <w:szCs w:val="24"/>
        </w:rPr>
        <w:t>ere</w:t>
      </w:r>
      <w:r w:rsidR="000B52BC" w:rsidRPr="00D7634A">
        <w:rPr>
          <w:rFonts w:ascii="Times New Roman" w:hAnsi="Times New Roman" w:cs="Times New Roman"/>
          <w:sz w:val="24"/>
          <w:szCs w:val="24"/>
        </w:rPr>
        <w:t xml:space="preserve"> seen extending to </w:t>
      </w:r>
      <w:proofErr w:type="spellStart"/>
      <w:r w:rsidR="000B52BC" w:rsidRPr="00D7634A">
        <w:rPr>
          <w:rFonts w:ascii="Times New Roman" w:hAnsi="Times New Roman" w:cs="Times New Roman"/>
          <w:sz w:val="24"/>
          <w:szCs w:val="24"/>
        </w:rPr>
        <w:t>subserosal</w:t>
      </w:r>
      <w:proofErr w:type="spellEnd"/>
      <w:r w:rsidR="000B52BC" w:rsidRPr="00D7634A">
        <w:rPr>
          <w:rFonts w:ascii="Times New Roman" w:hAnsi="Times New Roman" w:cs="Times New Roman"/>
          <w:sz w:val="24"/>
          <w:szCs w:val="24"/>
        </w:rPr>
        <w:t xml:space="preserve"> connective tissue margins.</w:t>
      </w:r>
      <w:r w:rsidR="00701B73" w:rsidRPr="00D7634A">
        <w:rPr>
          <w:rFonts w:ascii="Times New Roman" w:hAnsi="Times New Roman" w:cs="Times New Roman"/>
          <w:sz w:val="24"/>
          <w:szCs w:val="24"/>
        </w:rPr>
        <w:t xml:space="preserve"> </w:t>
      </w:r>
      <w:r w:rsidR="000B52BC" w:rsidRPr="00D7634A">
        <w:rPr>
          <w:rFonts w:ascii="Times New Roman" w:hAnsi="Times New Roman" w:cs="Times New Roman"/>
          <w:sz w:val="24"/>
          <w:szCs w:val="24"/>
        </w:rPr>
        <w:t xml:space="preserve">Proximal margin was free of neoplasm. Perineural invasion </w:t>
      </w:r>
      <w:r w:rsidR="00701B73" w:rsidRPr="00D7634A">
        <w:rPr>
          <w:rFonts w:ascii="Times New Roman" w:hAnsi="Times New Roman" w:cs="Times New Roman"/>
          <w:sz w:val="24"/>
          <w:szCs w:val="24"/>
        </w:rPr>
        <w:t xml:space="preserve">was </w:t>
      </w:r>
      <w:r w:rsidR="000B52BC" w:rsidRPr="00D7634A">
        <w:rPr>
          <w:rFonts w:ascii="Times New Roman" w:hAnsi="Times New Roman" w:cs="Times New Roman"/>
          <w:sz w:val="24"/>
          <w:szCs w:val="24"/>
        </w:rPr>
        <w:t xml:space="preserve">present. 6 metastatic </w:t>
      </w:r>
      <w:r w:rsidR="00446602" w:rsidRPr="00D7634A">
        <w:rPr>
          <w:rFonts w:ascii="Times New Roman" w:hAnsi="Times New Roman" w:cs="Times New Roman"/>
          <w:sz w:val="24"/>
          <w:szCs w:val="24"/>
        </w:rPr>
        <w:t>lymph nodes</w:t>
      </w:r>
      <w:r w:rsidR="000B52BC" w:rsidRPr="00D7634A">
        <w:rPr>
          <w:rFonts w:ascii="Times New Roman" w:hAnsi="Times New Roman" w:cs="Times New Roman"/>
          <w:sz w:val="24"/>
          <w:szCs w:val="24"/>
        </w:rPr>
        <w:t xml:space="preserve"> </w:t>
      </w:r>
      <w:r w:rsidR="00701B73" w:rsidRPr="00D7634A">
        <w:rPr>
          <w:rFonts w:ascii="Times New Roman" w:hAnsi="Times New Roman" w:cs="Times New Roman"/>
          <w:sz w:val="24"/>
          <w:szCs w:val="24"/>
        </w:rPr>
        <w:t xml:space="preserve">were </w:t>
      </w:r>
      <w:r w:rsidR="000B52BC" w:rsidRPr="00D7634A">
        <w:rPr>
          <w:rFonts w:ascii="Times New Roman" w:hAnsi="Times New Roman" w:cs="Times New Roman"/>
          <w:sz w:val="24"/>
          <w:szCs w:val="24"/>
        </w:rPr>
        <w:lastRenderedPageBreak/>
        <w:t>present.</w:t>
      </w:r>
      <w:r w:rsidR="00701B73" w:rsidRPr="00D7634A">
        <w:rPr>
          <w:rFonts w:ascii="Times New Roman" w:hAnsi="Times New Roman" w:cs="Times New Roman"/>
          <w:sz w:val="24"/>
          <w:szCs w:val="24"/>
        </w:rPr>
        <w:t xml:space="preserve"> </w:t>
      </w:r>
      <w:r w:rsidR="000B52BC" w:rsidRPr="00D7634A">
        <w:rPr>
          <w:rFonts w:ascii="Times New Roman" w:hAnsi="Times New Roman" w:cs="Times New Roman"/>
          <w:sz w:val="24"/>
          <w:szCs w:val="24"/>
        </w:rPr>
        <w:t>He was started on adjuvant chemotherapy.</w:t>
      </w:r>
      <w:r w:rsidR="00701B73" w:rsidRPr="00D7634A">
        <w:rPr>
          <w:rFonts w:ascii="Times New Roman" w:hAnsi="Times New Roman" w:cs="Times New Roman"/>
          <w:sz w:val="24"/>
          <w:szCs w:val="24"/>
        </w:rPr>
        <w:t xml:space="preserve"> </w:t>
      </w:r>
      <w:r w:rsidR="00816D43" w:rsidRPr="00D7634A">
        <w:rPr>
          <w:rFonts w:ascii="Times New Roman" w:hAnsi="Times New Roman" w:cs="Times New Roman"/>
          <w:sz w:val="24"/>
          <w:szCs w:val="24"/>
        </w:rPr>
        <w:t>He</w:t>
      </w:r>
      <w:r w:rsidR="004227EF" w:rsidRPr="00D7634A">
        <w:rPr>
          <w:rFonts w:ascii="Times New Roman" w:hAnsi="Times New Roman" w:cs="Times New Roman"/>
          <w:sz w:val="24"/>
          <w:szCs w:val="24"/>
        </w:rPr>
        <w:t xml:space="preserve"> was on regular </w:t>
      </w:r>
      <w:r w:rsidR="00816D43" w:rsidRPr="00D7634A">
        <w:rPr>
          <w:rFonts w:ascii="Times New Roman" w:hAnsi="Times New Roman" w:cs="Times New Roman"/>
          <w:sz w:val="24"/>
          <w:szCs w:val="24"/>
        </w:rPr>
        <w:t>follow-up</w:t>
      </w:r>
      <w:r w:rsidR="004227EF" w:rsidRPr="00D7634A">
        <w:rPr>
          <w:rFonts w:ascii="Times New Roman" w:hAnsi="Times New Roman" w:cs="Times New Roman"/>
          <w:sz w:val="24"/>
          <w:szCs w:val="24"/>
        </w:rPr>
        <w:t xml:space="preserve"> postoperatively. </w:t>
      </w:r>
    </w:p>
    <w:p w14:paraId="35723D27" w14:textId="403C7B9F" w:rsidR="00D0158E" w:rsidRPr="00D7634A" w:rsidRDefault="00D0158E" w:rsidP="00EF76C9">
      <w:pPr>
        <w:spacing w:line="480" w:lineRule="auto"/>
        <w:jc w:val="both"/>
        <w:rPr>
          <w:rFonts w:ascii="Times New Roman" w:hAnsi="Times New Roman" w:cs="Times New Roman"/>
          <w:noProof/>
          <w:sz w:val="24"/>
          <w:szCs w:val="24"/>
          <w:lang w:eastAsia="en-IN"/>
        </w:rPr>
      </w:pPr>
      <w:r w:rsidRPr="00D7634A">
        <w:rPr>
          <w:rFonts w:ascii="Times New Roman" w:hAnsi="Times New Roman" w:cs="Times New Roman"/>
          <w:noProof/>
          <w:sz w:val="24"/>
          <w:szCs w:val="24"/>
          <w:lang w:eastAsia="en-IN"/>
        </w:rPr>
        <mc:AlternateContent>
          <mc:Choice Requires="wps">
            <w:drawing>
              <wp:anchor distT="0" distB="0" distL="114300" distR="114300" simplePos="0" relativeHeight="251656192" behindDoc="0" locked="0" layoutInCell="1" allowOverlap="1" wp14:anchorId="6B5F5C26" wp14:editId="00B6F9B6">
                <wp:simplePos x="0" y="0"/>
                <wp:positionH relativeFrom="column">
                  <wp:posOffset>4037647</wp:posOffset>
                </wp:positionH>
                <wp:positionV relativeFrom="paragraph">
                  <wp:posOffset>6350</wp:posOffset>
                </wp:positionV>
                <wp:extent cx="248920" cy="243840"/>
                <wp:effectExtent l="0" t="0" r="17780" b="22860"/>
                <wp:wrapNone/>
                <wp:docPr id="920063177" name="Text Box 9"/>
                <wp:cNvGraphicFramePr/>
                <a:graphic xmlns:a="http://schemas.openxmlformats.org/drawingml/2006/main">
                  <a:graphicData uri="http://schemas.microsoft.com/office/word/2010/wordprocessingShape">
                    <wps:wsp>
                      <wps:cNvSpPr txBox="1"/>
                      <wps:spPr>
                        <a:xfrm>
                          <a:off x="0" y="0"/>
                          <a:ext cx="248920" cy="243840"/>
                        </a:xfrm>
                        <a:prstGeom prst="rect">
                          <a:avLst/>
                        </a:prstGeom>
                        <a:solidFill>
                          <a:sysClr val="window" lastClr="FFFFFF"/>
                        </a:solidFill>
                        <a:ln w="19050">
                          <a:solidFill>
                            <a:schemeClr val="accent1"/>
                          </a:solidFill>
                        </a:ln>
                      </wps:spPr>
                      <wps:txbx>
                        <w:txbxContent>
                          <w:p w14:paraId="058F4219" w14:textId="77777777" w:rsidR="00D0158E" w:rsidRDefault="00D0158E" w:rsidP="00D0158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F5C26" id="_x0000_s1035" type="#_x0000_t202" style="position:absolute;left:0;text-align:left;margin-left:317.9pt;margin-top:.5pt;width:19.6pt;height:1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" fillcolor="window" strokecolor="#4472c4 [3204]" strokeweight="1.5pt">
                <v:textbox>
                  <w:txbxContent>
                    <w:p w14:paraId="058F4219" w14:textId="77777777" w:rsidR="00D0158E" w:rsidRDefault="00D0158E" w:rsidP="00D0158E">
                      <w:r>
                        <w:t>B</w:t>
                      </w:r>
                    </w:p>
                  </w:txbxContent>
                </v:textbox>
              </v:shape>
            </w:pict>
          </mc:Fallback>
        </mc:AlternateContent>
      </w:r>
      <w:r w:rsidRPr="00D7634A">
        <w:rPr>
          <w:rFonts w:ascii="Times New Roman" w:hAnsi="Times New Roman" w:cs="Times New Roman"/>
          <w:noProof/>
          <w:sz w:val="24"/>
          <w:szCs w:val="24"/>
          <w:lang w:eastAsia="en-IN"/>
        </w:rPr>
        <mc:AlternateContent>
          <mc:Choice Requires="wps">
            <w:drawing>
              <wp:anchor distT="0" distB="0" distL="114300" distR="114300" simplePos="0" relativeHeight="251654144" behindDoc="0" locked="0" layoutInCell="1" allowOverlap="1" wp14:anchorId="2208AEB0" wp14:editId="42225002">
                <wp:simplePos x="0" y="0"/>
                <wp:positionH relativeFrom="column">
                  <wp:posOffset>0</wp:posOffset>
                </wp:positionH>
                <wp:positionV relativeFrom="paragraph">
                  <wp:posOffset>1588</wp:posOffset>
                </wp:positionV>
                <wp:extent cx="259080" cy="248920"/>
                <wp:effectExtent l="0" t="0" r="26670" b="17780"/>
                <wp:wrapNone/>
                <wp:docPr id="184879899" name="Text Box 9"/>
                <wp:cNvGraphicFramePr/>
                <a:graphic xmlns:a="http://schemas.openxmlformats.org/drawingml/2006/main">
                  <a:graphicData uri="http://schemas.microsoft.com/office/word/2010/wordprocessingShape">
                    <wps:wsp>
                      <wps:cNvSpPr txBox="1"/>
                      <wps:spPr>
                        <a:xfrm>
                          <a:off x="0" y="0"/>
                          <a:ext cx="259080" cy="2489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00B6E22" w14:textId="77777777" w:rsidR="00D0158E" w:rsidRDefault="00D0158E" w:rsidP="00D0158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8AEB0" id="_x0000_s1036" type="#_x0000_t202" style="position:absolute;left:0;text-align:left;margin-left:0;margin-top:.15pt;width:20.4pt;height:1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" fillcolor="white [3201]" strokecolor="#4472c4 [3204]" strokeweight="1pt">
                <v:textbox>
                  <w:txbxContent>
                    <w:p w14:paraId="500B6E22" w14:textId="77777777" w:rsidR="00D0158E" w:rsidRDefault="00D0158E" w:rsidP="00D0158E">
                      <w:r>
                        <w:t>A</w:t>
                      </w:r>
                    </w:p>
                  </w:txbxContent>
                </v:textbox>
              </v:shape>
            </w:pict>
          </mc:Fallback>
        </mc:AlternateContent>
      </w:r>
      <w:r w:rsidR="00EB688E" w:rsidRPr="00D7634A">
        <w:rPr>
          <w:rFonts w:ascii="Times New Roman" w:hAnsi="Times New Roman" w:cs="Times New Roman"/>
          <w:noProof/>
          <w:sz w:val="24"/>
          <w:szCs w:val="24"/>
          <w:lang w:eastAsia="en-IN"/>
        </w:rPr>
        <w:drawing>
          <wp:inline distT="0" distB="0" distL="0" distR="0" wp14:anchorId="5BC4629B" wp14:editId="0907BAAA">
            <wp:extent cx="2047875" cy="1771015"/>
            <wp:effectExtent l="0" t="0" r="9525" b="635"/>
            <wp:docPr id="1370104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04396" name="Picture 137010439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0206" cy="1773031"/>
                    </a:xfrm>
                    <a:prstGeom prst="rect">
                      <a:avLst/>
                    </a:prstGeom>
                  </pic:spPr>
                </pic:pic>
              </a:graphicData>
            </a:graphic>
          </wp:inline>
        </w:drawing>
      </w:r>
      <w:r w:rsidRPr="00D7634A">
        <w:rPr>
          <w:rFonts w:ascii="Times New Roman" w:hAnsi="Times New Roman" w:cs="Times New Roman"/>
          <w:noProof/>
          <w:sz w:val="24"/>
          <w:szCs w:val="24"/>
          <w:lang w:eastAsia="en-IN"/>
        </w:rPr>
        <w:t xml:space="preserve">    </w:t>
      </w:r>
      <w:r w:rsidR="00EB688E" w:rsidRPr="00D7634A">
        <w:rPr>
          <w:rFonts w:ascii="Times New Roman" w:hAnsi="Times New Roman" w:cs="Times New Roman"/>
          <w:noProof/>
          <w:sz w:val="24"/>
          <w:szCs w:val="24"/>
          <w:lang w:eastAsia="en-IN"/>
        </w:rPr>
        <w:drawing>
          <wp:inline distT="0" distB="0" distL="0" distR="0" wp14:anchorId="676BA3A9" wp14:editId="6661A9C9">
            <wp:extent cx="2085975" cy="1765300"/>
            <wp:effectExtent l="0" t="0" r="9525" b="6350"/>
            <wp:docPr id="5565874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87401" name="Picture 55658740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7379" cy="1766488"/>
                    </a:xfrm>
                    <a:prstGeom prst="rect">
                      <a:avLst/>
                    </a:prstGeom>
                  </pic:spPr>
                </pic:pic>
              </a:graphicData>
            </a:graphic>
          </wp:inline>
        </w:drawing>
      </w:r>
      <w:r w:rsidRPr="00D7634A">
        <w:rPr>
          <w:rFonts w:ascii="Times New Roman" w:hAnsi="Times New Roman" w:cs="Times New Roman"/>
          <w:noProof/>
          <w:sz w:val="24"/>
          <w:szCs w:val="24"/>
          <w:lang w:eastAsia="en-IN"/>
        </w:rPr>
        <w:t xml:space="preserve"> </w:t>
      </w:r>
    </w:p>
    <w:p w14:paraId="7213E620" w14:textId="7F928788" w:rsidR="00EB688E" w:rsidRPr="00D7634A" w:rsidRDefault="00D0158E" w:rsidP="00EF76C9">
      <w:pPr>
        <w:spacing w:line="480" w:lineRule="auto"/>
        <w:jc w:val="both"/>
        <w:rPr>
          <w:rFonts w:ascii="Times New Roman" w:hAnsi="Times New Roman" w:cs="Times New Roman"/>
          <w:sz w:val="24"/>
          <w:szCs w:val="24"/>
        </w:rPr>
      </w:pPr>
      <w:r w:rsidRPr="00D7634A">
        <w:rPr>
          <w:rFonts w:ascii="Times New Roman" w:hAnsi="Times New Roman" w:cs="Times New Roman"/>
          <w:noProof/>
          <w:sz w:val="24"/>
          <w:szCs w:val="24"/>
          <w:lang w:eastAsia="en-IN"/>
        </w:rPr>
        <mc:AlternateContent>
          <mc:Choice Requires="wps">
            <w:drawing>
              <wp:anchor distT="0" distB="0" distL="114300" distR="114300" simplePos="0" relativeHeight="251658240" behindDoc="0" locked="0" layoutInCell="1" allowOverlap="1" wp14:anchorId="33667381" wp14:editId="7C69E284">
                <wp:simplePos x="0" y="0"/>
                <wp:positionH relativeFrom="column">
                  <wp:posOffset>0</wp:posOffset>
                </wp:positionH>
                <wp:positionV relativeFrom="paragraph">
                  <wp:posOffset>0</wp:posOffset>
                </wp:positionV>
                <wp:extent cx="254000" cy="243840"/>
                <wp:effectExtent l="0" t="0" r="12700" b="22860"/>
                <wp:wrapNone/>
                <wp:docPr id="2036569056" name="Text Box 9"/>
                <wp:cNvGraphicFramePr/>
                <a:graphic xmlns:a="http://schemas.openxmlformats.org/drawingml/2006/main">
                  <a:graphicData uri="http://schemas.microsoft.com/office/word/2010/wordprocessingShape">
                    <wps:wsp>
                      <wps:cNvSpPr txBox="1"/>
                      <wps:spPr>
                        <a:xfrm>
                          <a:off x="0" y="0"/>
                          <a:ext cx="254000" cy="243840"/>
                        </a:xfrm>
                        <a:prstGeom prst="rect">
                          <a:avLst/>
                        </a:prstGeom>
                        <a:solidFill>
                          <a:sysClr val="window" lastClr="FFFFFF"/>
                        </a:solidFill>
                        <a:ln w="19050">
                          <a:solidFill>
                            <a:schemeClr val="accent1"/>
                          </a:solidFill>
                        </a:ln>
                      </wps:spPr>
                      <wps:txbx>
                        <w:txbxContent>
                          <w:p w14:paraId="7E89448F" w14:textId="77777777" w:rsidR="00D0158E" w:rsidRDefault="00D0158E" w:rsidP="00D0158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67381" id="_x0000_s1037" type="#_x0000_t202" style="position:absolute;left:0;text-align:left;margin-left:0;margin-top:0;width:20pt;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" fillcolor="window" strokecolor="#4472c4 [3204]" strokeweight="1.5pt">
                <v:textbox>
                  <w:txbxContent>
                    <w:p w14:paraId="7E89448F" w14:textId="77777777" w:rsidR="00D0158E" w:rsidRDefault="00D0158E" w:rsidP="00D0158E">
                      <w:r>
                        <w:t>C</w:t>
                      </w:r>
                    </w:p>
                  </w:txbxContent>
                </v:textbox>
              </v:shape>
            </w:pict>
          </mc:Fallback>
        </mc:AlternateContent>
      </w:r>
      <w:r w:rsidRPr="00D7634A">
        <w:rPr>
          <w:rFonts w:ascii="Times New Roman" w:hAnsi="Times New Roman" w:cs="Times New Roman"/>
          <w:noProof/>
          <w:sz w:val="24"/>
          <w:szCs w:val="24"/>
          <w:lang w:eastAsia="en-IN"/>
        </w:rPr>
        <w:drawing>
          <wp:inline distT="0" distB="0" distL="0" distR="0" wp14:anchorId="2A0A2C2C" wp14:editId="061213AB">
            <wp:extent cx="1995488" cy="1799278"/>
            <wp:effectExtent l="0" t="0" r="5080" b="0"/>
            <wp:docPr id="1629137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37309" name="Picture 16291373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9845" cy="1812223"/>
                    </a:xfrm>
                    <a:prstGeom prst="rect">
                      <a:avLst/>
                    </a:prstGeom>
                  </pic:spPr>
                </pic:pic>
              </a:graphicData>
            </a:graphic>
          </wp:inline>
        </w:drawing>
      </w:r>
    </w:p>
    <w:p w14:paraId="23E675F7" w14:textId="7E6B6B55" w:rsidR="00C740AD" w:rsidRPr="00D7634A" w:rsidRDefault="00C740AD" w:rsidP="00EF76C9">
      <w:pPr>
        <w:spacing w:line="480" w:lineRule="auto"/>
        <w:jc w:val="both"/>
        <w:rPr>
          <w:rFonts w:ascii="Times New Roman" w:hAnsi="Times New Roman" w:cs="Times New Roman"/>
          <w:sz w:val="24"/>
          <w:szCs w:val="24"/>
        </w:rPr>
      </w:pPr>
    </w:p>
    <w:p w14:paraId="334533F3" w14:textId="26C172E6" w:rsidR="00D0158E" w:rsidRPr="00D7634A" w:rsidRDefault="00701B73"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Fig </w:t>
      </w:r>
      <w:r w:rsidR="00D0158E" w:rsidRPr="00D7634A">
        <w:rPr>
          <w:rFonts w:ascii="Times New Roman" w:hAnsi="Times New Roman" w:cs="Times New Roman"/>
          <w:sz w:val="24"/>
          <w:szCs w:val="24"/>
        </w:rPr>
        <w:t>6</w:t>
      </w:r>
      <w:r w:rsidRPr="00D7634A">
        <w:rPr>
          <w:rFonts w:ascii="Times New Roman" w:hAnsi="Times New Roman" w:cs="Times New Roman"/>
          <w:sz w:val="24"/>
          <w:szCs w:val="24"/>
        </w:rPr>
        <w:t>: (A): G</w:t>
      </w:r>
      <w:r w:rsidR="00EB688E" w:rsidRPr="00D7634A">
        <w:rPr>
          <w:rFonts w:ascii="Times New Roman" w:hAnsi="Times New Roman" w:cs="Times New Roman"/>
          <w:sz w:val="24"/>
          <w:szCs w:val="24"/>
        </w:rPr>
        <w:t xml:space="preserve">astric biopsy showing sheets of tumour cells </w:t>
      </w:r>
      <w:r w:rsidR="004A64D4" w:rsidRPr="00D7634A">
        <w:rPr>
          <w:rFonts w:ascii="Times New Roman" w:hAnsi="Times New Roman" w:cs="Times New Roman"/>
          <w:sz w:val="24"/>
          <w:szCs w:val="24"/>
        </w:rPr>
        <w:t xml:space="preserve">– normal parietal cells on the right. </w:t>
      </w:r>
      <w:proofErr w:type="spellStart"/>
      <w:r w:rsidR="004A64D4" w:rsidRPr="00D7634A">
        <w:rPr>
          <w:rFonts w:ascii="Times New Roman" w:hAnsi="Times New Roman" w:cs="Times New Roman"/>
          <w:sz w:val="24"/>
          <w:szCs w:val="24"/>
        </w:rPr>
        <w:t>Tumor</w:t>
      </w:r>
      <w:proofErr w:type="spellEnd"/>
      <w:r w:rsidR="004A64D4" w:rsidRPr="00D7634A">
        <w:rPr>
          <w:rFonts w:ascii="Times New Roman" w:hAnsi="Times New Roman" w:cs="Times New Roman"/>
          <w:sz w:val="24"/>
          <w:szCs w:val="24"/>
        </w:rPr>
        <w:t xml:space="preserve"> on the left of the figure</w:t>
      </w:r>
      <w:r w:rsidR="0082428B" w:rsidRPr="00D7634A">
        <w:rPr>
          <w:rFonts w:ascii="Times New Roman" w:hAnsi="Times New Roman" w:cs="Times New Roman"/>
          <w:sz w:val="24"/>
          <w:szCs w:val="24"/>
        </w:rPr>
        <w:t xml:space="preserve"> </w:t>
      </w:r>
      <w:r w:rsidR="004A64D4" w:rsidRPr="00D7634A">
        <w:rPr>
          <w:rFonts w:ascii="Times New Roman" w:hAnsi="Times New Roman" w:cs="Times New Roman"/>
          <w:sz w:val="24"/>
          <w:szCs w:val="24"/>
        </w:rPr>
        <w:t>- poorly differentiated,</w:t>
      </w:r>
      <w:r w:rsidRPr="00D7634A">
        <w:rPr>
          <w:rFonts w:ascii="Times New Roman" w:hAnsi="Times New Roman" w:cs="Times New Roman"/>
          <w:sz w:val="24"/>
          <w:szCs w:val="24"/>
        </w:rPr>
        <w:t xml:space="preserve"> </w:t>
      </w:r>
      <w:r w:rsidR="004A64D4" w:rsidRPr="00D7634A">
        <w:rPr>
          <w:rFonts w:ascii="Times New Roman" w:hAnsi="Times New Roman" w:cs="Times New Roman"/>
          <w:sz w:val="24"/>
          <w:szCs w:val="24"/>
        </w:rPr>
        <w:t xml:space="preserve">arranged as sheets without gland formation. </w:t>
      </w:r>
    </w:p>
    <w:p w14:paraId="143BD49B" w14:textId="07C81F77" w:rsidR="000523FC" w:rsidRPr="00D7634A" w:rsidRDefault="00EB688E"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(B): </w:t>
      </w:r>
      <w:r w:rsidR="00617E19">
        <w:rPr>
          <w:rFonts w:ascii="Times New Roman" w:hAnsi="Times New Roman" w:cs="Times New Roman"/>
          <w:sz w:val="24"/>
          <w:szCs w:val="24"/>
        </w:rPr>
        <w:t>O</w:t>
      </w:r>
      <w:r w:rsidR="003D5D52" w:rsidRPr="00D7634A">
        <w:rPr>
          <w:rFonts w:ascii="Times New Roman" w:hAnsi="Times New Roman" w:cs="Times New Roman"/>
          <w:sz w:val="24"/>
          <w:szCs w:val="24"/>
        </w:rPr>
        <w:t xml:space="preserve">ccasional </w:t>
      </w:r>
      <w:r w:rsidRPr="00D7634A">
        <w:rPr>
          <w:rFonts w:ascii="Times New Roman" w:hAnsi="Times New Roman" w:cs="Times New Roman"/>
          <w:sz w:val="24"/>
          <w:szCs w:val="24"/>
        </w:rPr>
        <w:t>tumour cells reaching the resected margin</w:t>
      </w:r>
      <w:r w:rsidR="0082428B" w:rsidRPr="00D7634A">
        <w:rPr>
          <w:rFonts w:ascii="Times New Roman" w:hAnsi="Times New Roman" w:cs="Times New Roman"/>
          <w:sz w:val="24"/>
          <w:szCs w:val="24"/>
        </w:rPr>
        <w:t xml:space="preserve"> </w:t>
      </w:r>
    </w:p>
    <w:p w14:paraId="293BA8B7" w14:textId="1176C89C" w:rsidR="00C740AD" w:rsidRPr="00D7634A" w:rsidRDefault="00D6428E"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(C):</w:t>
      </w:r>
      <w:r w:rsidR="00C740AD" w:rsidRPr="00D7634A">
        <w:rPr>
          <w:rFonts w:ascii="Times New Roman" w:hAnsi="Times New Roman" w:cs="Times New Roman"/>
          <w:sz w:val="24"/>
          <w:szCs w:val="24"/>
        </w:rPr>
        <w:t xml:space="preserve"> </w:t>
      </w:r>
      <w:r w:rsidRPr="00D7634A">
        <w:rPr>
          <w:rFonts w:ascii="Times New Roman" w:hAnsi="Times New Roman" w:cs="Times New Roman"/>
          <w:sz w:val="24"/>
          <w:szCs w:val="24"/>
        </w:rPr>
        <w:t>High power showing tumour cells having moderate eosinoph</w:t>
      </w:r>
      <w:r w:rsidR="00701B73" w:rsidRPr="00D7634A">
        <w:rPr>
          <w:rFonts w:ascii="Times New Roman" w:hAnsi="Times New Roman" w:cs="Times New Roman"/>
          <w:sz w:val="24"/>
          <w:szCs w:val="24"/>
        </w:rPr>
        <w:t>ilic cytoplasm, and pleomorphic</w:t>
      </w:r>
      <w:r w:rsidRPr="00D7634A">
        <w:rPr>
          <w:rFonts w:ascii="Times New Roman" w:hAnsi="Times New Roman" w:cs="Times New Roman"/>
          <w:sz w:val="24"/>
          <w:szCs w:val="24"/>
        </w:rPr>
        <w:t xml:space="preserve"> round hyperchromatic nuclei. Few signet ring cells noted</w:t>
      </w:r>
    </w:p>
    <w:p w14:paraId="5B7512E9" w14:textId="0E8C5BB4" w:rsidR="00586778" w:rsidRPr="00D7634A" w:rsidRDefault="00CB50CE"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      </w:t>
      </w:r>
      <w:r w:rsidR="003F0963" w:rsidRPr="00D7634A">
        <w:rPr>
          <w:rFonts w:ascii="Times New Roman" w:hAnsi="Times New Roman" w:cs="Times New Roman"/>
          <w:sz w:val="24"/>
          <w:szCs w:val="24"/>
        </w:rPr>
        <w:t xml:space="preserve">             </w:t>
      </w:r>
    </w:p>
    <w:p w14:paraId="43560B6C" w14:textId="77777777" w:rsidR="00172DA2" w:rsidRDefault="00172DA2" w:rsidP="00EF76C9">
      <w:pPr>
        <w:spacing w:line="480" w:lineRule="auto"/>
        <w:jc w:val="both"/>
        <w:rPr>
          <w:rFonts w:ascii="Times New Roman" w:hAnsi="Times New Roman" w:cs="Times New Roman"/>
          <w:sz w:val="24"/>
          <w:szCs w:val="24"/>
        </w:rPr>
      </w:pPr>
    </w:p>
    <w:p w14:paraId="2C39767F" w14:textId="00727DF0" w:rsidR="00586778" w:rsidRPr="00D7634A" w:rsidRDefault="00586778"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lastRenderedPageBreak/>
        <w:t>OUTCOME AND FOLLOWUP</w:t>
      </w:r>
    </w:p>
    <w:p w14:paraId="5CCE61B7" w14:textId="467E0978" w:rsidR="00C46C00" w:rsidRPr="00D7634A" w:rsidRDefault="00C46C00"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                           The biopsy report came out as </w:t>
      </w:r>
      <w:r w:rsidR="00D43EC9" w:rsidRPr="00D7634A">
        <w:rPr>
          <w:rFonts w:ascii="Times New Roman" w:hAnsi="Times New Roman" w:cs="Times New Roman"/>
          <w:sz w:val="24"/>
          <w:szCs w:val="24"/>
        </w:rPr>
        <w:t>consistent with metastases from carcinoma of stomach. Multidisciplinary</w:t>
      </w:r>
      <w:r w:rsidRPr="00D7634A">
        <w:rPr>
          <w:rFonts w:ascii="Times New Roman" w:hAnsi="Times New Roman" w:cs="Times New Roman"/>
          <w:sz w:val="24"/>
          <w:szCs w:val="24"/>
        </w:rPr>
        <w:t xml:space="preserve"> tumour board evaluation</w:t>
      </w:r>
      <w:r w:rsidR="002E49F1" w:rsidRPr="00D7634A">
        <w:rPr>
          <w:rFonts w:ascii="Times New Roman" w:hAnsi="Times New Roman" w:cs="Times New Roman"/>
          <w:sz w:val="24"/>
          <w:szCs w:val="24"/>
        </w:rPr>
        <w:t xml:space="preserve"> was </w:t>
      </w:r>
      <w:r w:rsidR="00D43EC9" w:rsidRPr="00D7634A">
        <w:rPr>
          <w:rFonts w:ascii="Times New Roman" w:hAnsi="Times New Roman" w:cs="Times New Roman"/>
          <w:sz w:val="24"/>
          <w:szCs w:val="24"/>
        </w:rPr>
        <w:t>conducted. In</w:t>
      </w:r>
      <w:r w:rsidR="002E49F1" w:rsidRPr="00D7634A">
        <w:rPr>
          <w:rFonts w:ascii="Times New Roman" w:hAnsi="Times New Roman" w:cs="Times New Roman"/>
          <w:sz w:val="24"/>
          <w:szCs w:val="24"/>
        </w:rPr>
        <w:t xml:space="preserve"> view of the wide spread metastatic nature of the disease</w:t>
      </w:r>
      <w:r w:rsidR="009D14B7" w:rsidRPr="00D7634A">
        <w:rPr>
          <w:rFonts w:ascii="Times New Roman" w:hAnsi="Times New Roman" w:cs="Times New Roman"/>
          <w:sz w:val="24"/>
          <w:szCs w:val="24"/>
        </w:rPr>
        <w:t xml:space="preserve"> and absence of complications like luminal obstruction</w:t>
      </w:r>
      <w:r w:rsidR="002E49F1" w:rsidRPr="00D7634A">
        <w:rPr>
          <w:rFonts w:ascii="Times New Roman" w:hAnsi="Times New Roman" w:cs="Times New Roman"/>
          <w:sz w:val="24"/>
          <w:szCs w:val="24"/>
        </w:rPr>
        <w:t>,</w:t>
      </w:r>
      <w:r w:rsidR="00B01F22" w:rsidRPr="00D7634A">
        <w:rPr>
          <w:rFonts w:ascii="Times New Roman" w:hAnsi="Times New Roman" w:cs="Times New Roman"/>
          <w:sz w:val="24"/>
          <w:szCs w:val="24"/>
        </w:rPr>
        <w:t xml:space="preserve"> perforation and bleeding</w:t>
      </w:r>
      <w:r w:rsidR="009D14B7" w:rsidRPr="00D7634A">
        <w:rPr>
          <w:rFonts w:ascii="Times New Roman" w:hAnsi="Times New Roman" w:cs="Times New Roman"/>
          <w:sz w:val="24"/>
          <w:szCs w:val="24"/>
        </w:rPr>
        <w:t>,</w:t>
      </w:r>
      <w:r w:rsidR="002E49F1" w:rsidRPr="00D7634A">
        <w:rPr>
          <w:rFonts w:ascii="Times New Roman" w:hAnsi="Times New Roman" w:cs="Times New Roman"/>
          <w:sz w:val="24"/>
          <w:szCs w:val="24"/>
        </w:rPr>
        <w:t xml:space="preserve"> he was </w:t>
      </w:r>
      <w:r w:rsidRPr="00D7634A">
        <w:rPr>
          <w:rFonts w:ascii="Times New Roman" w:hAnsi="Times New Roman" w:cs="Times New Roman"/>
          <w:sz w:val="24"/>
          <w:szCs w:val="24"/>
        </w:rPr>
        <w:t>sent to Medical Oncology department for palliative chemotherapy.</w:t>
      </w:r>
    </w:p>
    <w:p w14:paraId="280CC907" w14:textId="5757DE23" w:rsidR="00FB277F" w:rsidRPr="00D7634A" w:rsidRDefault="00FB277F"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In a case of definitely involved margins, there are multitude of options to embark on – reresection or adjuvant treatments may be considered. Here, there are </w:t>
      </w:r>
      <w:r w:rsidR="00B41771" w:rsidRPr="00D7634A">
        <w:rPr>
          <w:rFonts w:ascii="Times New Roman" w:hAnsi="Times New Roman" w:cs="Times New Roman"/>
          <w:sz w:val="24"/>
          <w:szCs w:val="24"/>
        </w:rPr>
        <w:t>occasional</w:t>
      </w:r>
      <w:r w:rsidRPr="00D7634A">
        <w:rPr>
          <w:rFonts w:ascii="Times New Roman" w:hAnsi="Times New Roman" w:cs="Times New Roman"/>
          <w:sz w:val="24"/>
          <w:szCs w:val="24"/>
        </w:rPr>
        <w:t xml:space="preserve"> tumour cells at the distal margin, which is indicative of the intraluminal spread of the disease at diagnosis itself</w:t>
      </w:r>
      <w:r w:rsidR="0034506F" w:rsidRPr="00D7634A">
        <w:rPr>
          <w:rFonts w:ascii="Times New Roman" w:hAnsi="Times New Roman" w:cs="Times New Roman"/>
          <w:sz w:val="24"/>
          <w:szCs w:val="24"/>
        </w:rPr>
        <w:t xml:space="preserve">, which portends a poor </w:t>
      </w:r>
      <w:r w:rsidR="00D7634A" w:rsidRPr="00D7634A">
        <w:rPr>
          <w:rFonts w:ascii="Times New Roman" w:hAnsi="Times New Roman" w:cs="Times New Roman"/>
          <w:sz w:val="24"/>
          <w:szCs w:val="24"/>
        </w:rPr>
        <w:t>prognosis. There</w:t>
      </w:r>
      <w:r w:rsidR="00B41771" w:rsidRPr="00D7634A">
        <w:rPr>
          <w:rFonts w:ascii="Times New Roman" w:hAnsi="Times New Roman" w:cs="Times New Roman"/>
          <w:sz w:val="24"/>
          <w:szCs w:val="24"/>
        </w:rPr>
        <w:t xml:space="preserve"> is no literature with regards to ideal treatment options for cases</w:t>
      </w:r>
      <w:r w:rsidR="00951519" w:rsidRPr="00D7634A">
        <w:rPr>
          <w:rFonts w:ascii="Times New Roman" w:hAnsi="Times New Roman" w:cs="Times New Roman"/>
          <w:sz w:val="24"/>
          <w:szCs w:val="24"/>
        </w:rPr>
        <w:t xml:space="preserve"> in which distal margin shows occasional </w:t>
      </w:r>
      <w:proofErr w:type="spellStart"/>
      <w:r w:rsidR="00951519" w:rsidRPr="00D7634A">
        <w:rPr>
          <w:rFonts w:ascii="Times New Roman" w:hAnsi="Times New Roman" w:cs="Times New Roman"/>
          <w:sz w:val="24"/>
          <w:szCs w:val="24"/>
        </w:rPr>
        <w:t>tumor</w:t>
      </w:r>
      <w:proofErr w:type="spellEnd"/>
      <w:r w:rsidR="00951519" w:rsidRPr="00D7634A">
        <w:rPr>
          <w:rFonts w:ascii="Times New Roman" w:hAnsi="Times New Roman" w:cs="Times New Roman"/>
          <w:sz w:val="24"/>
          <w:szCs w:val="24"/>
        </w:rPr>
        <w:t xml:space="preserve"> </w:t>
      </w:r>
      <w:r w:rsidR="00D7634A" w:rsidRPr="00D7634A">
        <w:rPr>
          <w:rFonts w:ascii="Times New Roman" w:hAnsi="Times New Roman" w:cs="Times New Roman"/>
          <w:sz w:val="24"/>
          <w:szCs w:val="24"/>
        </w:rPr>
        <w:t>cells.</w:t>
      </w:r>
    </w:p>
    <w:p w14:paraId="66D97B21" w14:textId="3679F62F" w:rsidR="003A508A" w:rsidRPr="00D7634A" w:rsidRDefault="003A508A" w:rsidP="00EF76C9">
      <w:pPr>
        <w:spacing w:line="480" w:lineRule="auto"/>
        <w:jc w:val="both"/>
        <w:rPr>
          <w:rFonts w:ascii="Times New Roman" w:hAnsi="Times New Roman" w:cs="Times New Roman"/>
          <w:sz w:val="24"/>
          <w:szCs w:val="24"/>
        </w:rPr>
      </w:pPr>
    </w:p>
    <w:p w14:paraId="2BC5D823" w14:textId="018F22A5" w:rsidR="003A508A" w:rsidRPr="00D7634A" w:rsidRDefault="00B47A80"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DISCUSSION</w:t>
      </w:r>
    </w:p>
    <w:p w14:paraId="4A565A6C" w14:textId="0A574B43" w:rsidR="00B47A80" w:rsidRPr="00D7634A" w:rsidRDefault="00B47A80"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Gastric cancer is the second most common cancer worldwide, with a frequency that varies greatly across different geographic locations.</w:t>
      </w:r>
      <w:r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{"citationID":"7uGNCljl","properties":{"formattedCitation":"(5)","plainCitation":"(5)","noteIndex":0},"citationItems":[{"id":8,"uris":["http://zotero.org/users/local/yttIQJMC/items/WKNC3M53"],"itemData":{"id":8,"type":"article-journal","abstract":"Objective\nTo evaluate the impact of subtotal (SG) versus total (TG) gastrectomy on the oncologic outcome of patients with cancer of the distal stomach from 28 Italian institutions.\n\nSummary Background Data\nThere is controversy over whether SG and TG have a different impact on the 5-year survival probability of patients with cancer of the distal half of the stomach.\n\nMethods\nThe present analysis involved 618 patients randomized during surgery to SG (315) or TG (303), provided there was at least 6 cm from the proximal edge of the tumor to the cardia, there was no intraperitoneal or distant spread, and it was possible to remove the tumor entirely. Both surgical treatments included regional lymphadenectomy.\n\nResults\nFour patients died after SG and seven after TG. Median follow-up was 72 months after SG (range 2 to 125) and 75 months after TG (range 7 to 113). Five-year survival probability as computed by the Kaplan-Meier method was 65.3% for SG and 62.4% for TG. The test of equivalence led to the conclusion that the two procedures may be considered equivalent in terms of 5-year survival probability. The analysis of survival using a multivariate Cox regression model showed a statistically significant impact on survival of tumor site, tumor spread within the gastric wall, extent of resection to the spleen plus or minus neighboring organs or structures, and relative frequency of metastasis in resected lymph nodes.\n\nConclusions\nBoth procedures have a similar survival probability. The authors believe that SG, which has been reported to be associated with a better nutritional status and quality of life, should be the procedure of choice, provided that the proximal margin of the resection falls in healthy tissue.","container-title":"Annals of Surgery","ISSN":"0003-4932","issue":"2","journalAbbreviation":"Ann Surg","note":"PMID: 10450730\nPMCID: PMC1420871","page":"170","source":"PubMed Central","title":"Subtotal Versus Total Gastrectomy for Gastric Cancer","volume":"230","author":[{"family":"Bozzetti","given":"Federico"},{"family":"Marubini","given":"Ettore"},{"family":"Bonfanti","given":"Giuliano"},{"family":"Miceli","given":"Rosalba"},{"family":"Piano","given":"Chiara"},{"family":"Gennari","given":"Leandro"}],"issued":{"date-parts":[["1999",8]]}}}],"schema":"https://github.com/citation-style-language/schema/raw/master/csl-citation.json"} </w:instrText>
      </w:r>
      <w:r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(5)</w:t>
      </w:r>
      <w:r w:rsidRPr="00D7634A">
        <w:rPr>
          <w:rFonts w:ascii="Times New Roman" w:hAnsi="Times New Roman" w:cs="Times New Roman"/>
          <w:sz w:val="24"/>
          <w:szCs w:val="24"/>
        </w:rPr>
        <w:fldChar w:fldCharType="end"/>
      </w:r>
      <w:r w:rsidR="000C7CB5" w:rsidRPr="00D7634A">
        <w:rPr>
          <w:rFonts w:ascii="Times New Roman" w:hAnsi="Times New Roman" w:cs="Times New Roman"/>
          <w:sz w:val="24"/>
          <w:szCs w:val="24"/>
        </w:rPr>
        <w:t>G</w:t>
      </w:r>
      <w:r w:rsidRPr="00D7634A">
        <w:rPr>
          <w:rFonts w:ascii="Times New Roman" w:hAnsi="Times New Roman" w:cs="Times New Roman"/>
          <w:sz w:val="24"/>
          <w:szCs w:val="24"/>
        </w:rPr>
        <w:t>astric cancer continues to be one of the leading causes of cancer-related death. Gastric cancer is the second most common cancer worldwide, with a frequency that varies greatly across different geographic locations.</w:t>
      </w:r>
      <w:r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{"citationID":"xJIofBBs","properties":{"formattedCitation":"(6)","plainCitation":"(6)","noteIndex":0},"citationItems":[{"id":11,"uris":["http://zotero.org/users/local/yttIQJMC/items/5U2N7FS5"],"itemData":{"id":11,"type":"article-journal","abstract":"The major obstacle towards improved survival from gastric cancer is in the development of metastatic disease. Techniques in cellular and molecular biology have now advanced to the point to allow an examination of specific biomolecules in processes related to gastric cancer cell invasion through the basement membrane of blood vessels or lymphatics (eg, the first step in developing metastatic disease). Identification of such biomolecules in primary gastric cancer has been enhanced by the establishment of primary human gastric cancer cell lines. These cell lines, named SK-GT for Sloan-Kettering gastric tumor, have provided the basis for a detailed analysis of the invasive phenotype of gastric cancer cells and has resulted in the identification of potentially important prognostic biomarkers. These molecular studies have revealed that in gastric cancer cells there exists a series of integrated biomolecules that are intimately involved in processes related to tumor cell invasion. Included among these are proteins associated with attachment to the basement membrane (ie, laminin receptor) as well as with proteolysis of the basement membrane (ie, matrix metalloproteinase-2, MMP-2). These factors, as well as others, have been clinically evaluated for their prognostic significance in patients with resected, primary gastric cancer. These clinical studies indicate that overexpression of factors associated with the invasion of gastric cancer cells through the basement membrane, including E-cadherin, MMP-2, plasminogen activator inhibitor-1 (PAI-1), and tissue inhibitor metalloproteinase-2 (TIMP-2), can be predictive of tumor recurrence and overall survival in patients with this disease.","container-title":"Seminars in oncology","ISSN":"1532-8708","issue":"3","journalAbbreviation":"Semin Oncol","language":"eng","note":"PMID: 8658215","page":"316-324","source":"Europe PMC","title":"Invasion and metastases in gastric cancer: in vitro and in vivo models with clinical correlations","title-short":"Invasion and metastases in gastric cancer","volume":"23","author":[{"family":"Schwartz","given":"G K"}],"issued":{"date-parts":[["1996",6,1]]}}}],"schema":"https://github.com/citation-style-language/schema/raw/master/csl-citation.json"} </w:instrText>
      </w:r>
      <w:r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(6)</w:t>
      </w:r>
      <w:r w:rsidRPr="00D7634A">
        <w:rPr>
          <w:rFonts w:ascii="Times New Roman" w:hAnsi="Times New Roman" w:cs="Times New Roman"/>
          <w:sz w:val="24"/>
          <w:szCs w:val="24"/>
        </w:rPr>
        <w:fldChar w:fldCharType="end"/>
      </w:r>
    </w:p>
    <w:p w14:paraId="0AFAA1A7" w14:textId="58FCDB1F" w:rsidR="00ED78EF" w:rsidRPr="00D7634A" w:rsidRDefault="00ED78EF"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Various risk factors contribute to the onset of gastric cancer, with H. pylori identified as the primary initiating factor. This bacterium is implicated in the induction of chronic inflammation, following a stepwise progression of disease. Over an extended period, this process evolves through stages of chronic gastritis, atrophic gastritis, intestinal metaplasia, dysplasia, and metaplasia, ultimately culminating in the development of gastric cancer.</w:t>
      </w:r>
      <w:r w:rsidR="003D3D7C" w:rsidRPr="00D7634A">
        <w:rPr>
          <w:rFonts w:ascii="Times New Roman" w:hAnsi="Times New Roman" w:cs="Times New Roman"/>
          <w:sz w:val="24"/>
          <w:szCs w:val="24"/>
        </w:rPr>
        <w:t xml:space="preserve"> Environmental risk factors encompass obesity, cigarette smoking, alcohol consumption, and </w:t>
      </w:r>
      <w:r w:rsidR="003D3D7C" w:rsidRPr="00D7634A">
        <w:rPr>
          <w:rFonts w:ascii="Times New Roman" w:hAnsi="Times New Roman" w:cs="Times New Roman"/>
          <w:sz w:val="24"/>
          <w:szCs w:val="24"/>
        </w:rPr>
        <w:lastRenderedPageBreak/>
        <w:t xml:space="preserve">dietary patterns characterized by elevated salt intake, red meat consumption, and the intake of processed meats. </w:t>
      </w:r>
      <w:r w:rsidRPr="00D7634A">
        <w:rPr>
          <w:rFonts w:ascii="Times New Roman" w:hAnsi="Times New Roman" w:cs="Times New Roman"/>
          <w:sz w:val="24"/>
          <w:szCs w:val="24"/>
        </w:rPr>
        <w:fldChar w:fldCharType="begin"/>
      </w:r>
      <w:r w:rsidRPr="00D7634A">
        <w:rPr>
          <w:rFonts w:ascii="Times New Roman" w:hAnsi="Times New Roman" w:cs="Times New Roman"/>
          <w:sz w:val="24"/>
          <w:szCs w:val="24"/>
        </w:rPr>
        <w:instrText xml:space="preserve"> ADDIN ZOTERO_ITEM CSL_CITATION {"citationID":"IB6eAGxW","properties":{"formattedCitation":"(1)","plainCitation":"(1)","noteIndex":0},"citationItems":[{"id":1,"uris":["http://zotero.org/users/local/yttIQJMC/items/JM7P3TN8"],"itemData":{"id":1,"type":"article-journal","abstract":"Gastric cancer is one of the most common and deadly cancers worldwide, especially amongst older males. Current data suggest gastric cancer is the fifth most common neoplasm and the third most deadly cancer, with an estimated 783,000 deaths in 2018. Risk factors associated with the development of gastric cancer include obesity, gastroesophageal reflux disease, Helicobacter pylori infection, and low socioeconomic status. Diagnosis of gastric cancer can be accomplished by endoscopy, which allows the clinician to obtain a biopsy specimen. Endoscopic ultrasound is also an important modality that is helpful in assessing tumor invasion. The most common sites of metastatic gastric cancer in descending order are the liver, peritoneum, lung and bone. Rarely will gastric cancer metastasize to the colon. Here we present a rare case of colonic metastasis of a primary gastric adenocarcinoma.","container-title":"World Journal of Oncology","DOI":"10.14740/wjon1375","ISSN":"1920-4531","issue":"4","journalAbbreviation":"World J Oncol","note":"PMID: 34349858\nPMCID: PMC8297054","page":"127-131","source":"PubMed Central","title":"Metastatic Gastric Cancer to the Colon","volume":"12","author":[{"family":"Then","given":"Eric Omar"},{"family":"Grantham","given":"Tyler"},{"family":"Deda","given":"Xheni"},{"family":"Ramachandran","given":"Rajarajeshwari"},{"family":"Gaduputi","given":"Vinaya"}],"issued":{"date-parts":[["2021",8]]}}}],"schema":"https://github.com/citation-style-language/schema/raw/master/csl-citation.json"} </w:instrText>
      </w:r>
      <w:r w:rsidRPr="00D7634A">
        <w:rPr>
          <w:rFonts w:ascii="Times New Roman" w:hAnsi="Times New Roman" w:cs="Times New Roman"/>
          <w:sz w:val="24"/>
          <w:szCs w:val="24"/>
        </w:rPr>
        <w:fldChar w:fldCharType="separate"/>
      </w:r>
      <w:r w:rsidRPr="00D7634A">
        <w:rPr>
          <w:rFonts w:ascii="Times New Roman" w:hAnsi="Times New Roman" w:cs="Times New Roman"/>
          <w:sz w:val="24"/>
          <w:szCs w:val="24"/>
        </w:rPr>
        <w:t>(1)</w:t>
      </w:r>
      <w:r w:rsidRPr="00D7634A">
        <w:rPr>
          <w:rFonts w:ascii="Times New Roman" w:hAnsi="Times New Roman" w:cs="Times New Roman"/>
          <w:sz w:val="24"/>
          <w:szCs w:val="24"/>
        </w:rPr>
        <w:fldChar w:fldCharType="end"/>
      </w:r>
    </w:p>
    <w:p w14:paraId="54843CF6" w14:textId="61B57826" w:rsidR="005C2A36" w:rsidRPr="00D7634A" w:rsidRDefault="005C2A36"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Lauren classification of gastric cancer is the most commonly used classification for gastric adenocarcinoma among all of the classification systems. Lauren divided the histology of gastric cancer into two groups - the intestinal type and the diffuse </w:t>
      </w:r>
      <w:r w:rsidR="00D43EC9" w:rsidRPr="00D7634A">
        <w:rPr>
          <w:rFonts w:ascii="Times New Roman" w:hAnsi="Times New Roman" w:cs="Times New Roman"/>
          <w:sz w:val="24"/>
          <w:szCs w:val="24"/>
        </w:rPr>
        <w:t>type. The</w:t>
      </w:r>
      <w:r w:rsidRPr="00D7634A">
        <w:rPr>
          <w:rFonts w:ascii="Times New Roman" w:hAnsi="Times New Roman" w:cs="Times New Roman"/>
          <w:sz w:val="24"/>
          <w:szCs w:val="24"/>
        </w:rPr>
        <w:t xml:space="preserve"> indeterminate type was included later to describe an uncommon histology.</w:t>
      </w:r>
      <w:r w:rsidR="0095617B" w:rsidRPr="00D7634A">
        <w:rPr>
          <w:rFonts w:ascii="Times New Roman" w:hAnsi="Times New Roman" w:cs="Times New Roman"/>
          <w:sz w:val="24"/>
          <w:szCs w:val="24"/>
        </w:rPr>
        <w:t xml:space="preserve"> Signet ring cell carcinoma is included in the diffuse type.</w:t>
      </w:r>
      <w:r w:rsidR="0095617B"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{"citationID":"HB7H1NYx","properties":{"formattedCitation":"(7)","plainCitation":"(7)","noteIndex":0},"citationItems":[{"id":17,"uris":["http://zotero.org/users/local/yttIQJMC/items/MUU9EYT8"],"itemData":{"id":17,"type":"article-journal","abstract":"Several pathohistological classification systems exist for the diagnosis of gastric cancer. Many studies have investigated the correlation between the pathohistological characteristics in gastric cancer and patient characteristics, disease specific criteria and overall outcome. It is still controversial as to which classification system imparts the most reliable information, and therefore, the choice of system may vary in clinical routine. In addition to the most common classification systems, such as the Laurén and the World Health Organization (WHO) classifications, other authors have tried to characterize and classify gastric cancer based on the microscopic morphology and in reference to the clinical outcome of the patients. In more than 50 years of systematic classification of the pathohistological characteristics of gastric cancer, there is no sole classification system that is consistently used worldwide in diagnostics and research. However, several national guidelines for the treatment of gastric cancer refer to the Laurén or the WHO classifications regarding therapeutic decision-making, which underlines the importance of a reliable classification system for gastric cancer. The latest results from gastric cancer studies indicate that it might be useful to integrate DNA- and RNA-based features of gastric cancer into the classification systems to establish prognostic relevance. This article reviews the diagnostic relevance and the prognostic value of different pathohistological classification systems in gastric cancer.","container-title":"World Journal of Gastroenterology : WJG","DOI":"10.3748/wjg.v20.i19.5679","ISSN":"1007-9327","issue":"19","journalAbbreviation":"World J Gastroenterol","note":"PMID: 24914328\nPMCID: PMC4024777","page":"5679-5684","source":"PubMed Central","title":"Pathohistological classification systems in gastric cancer: Diagnostic relevance and prognostic value","title-short":"Pathohistological classification systems in gastric cancer","volume":"20","author":[{"family":"Berlth","given":"Felix"},{"family":"Bollschweiler","given":"Elfriede"},{"family":"Drebber","given":"Uta"},{"family":"Hoelscher","given":"Arnulf H"},{"family":"Moenig","given":"Stefan"}],"issued":{"date-parts":[["2014",5,21]]}}}],"schema":"https://github.com/citation-style-language/schema/raw/master/csl-citation.json"} </w:instrText>
      </w:r>
      <w:r w:rsidR="0095617B"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(7)</w:t>
      </w:r>
      <w:r w:rsidR="0095617B" w:rsidRPr="00D7634A">
        <w:rPr>
          <w:rFonts w:ascii="Times New Roman" w:hAnsi="Times New Roman" w:cs="Times New Roman"/>
          <w:sz w:val="24"/>
          <w:szCs w:val="24"/>
        </w:rPr>
        <w:fldChar w:fldCharType="end"/>
      </w:r>
      <w:r w:rsidR="00CD4DE2" w:rsidRPr="00D7634A">
        <w:rPr>
          <w:rFonts w:ascii="Times New Roman" w:hAnsi="Times New Roman" w:cs="Times New Roman"/>
          <w:color w:val="212121"/>
          <w:sz w:val="24"/>
          <w:szCs w:val="24"/>
          <w:shd w:val="clear" w:color="auto" w:fill="FFFFFF"/>
        </w:rPr>
        <w:t xml:space="preserve"> </w:t>
      </w:r>
      <w:r w:rsidR="00CD4DE2" w:rsidRPr="00D7634A">
        <w:rPr>
          <w:rFonts w:ascii="Times New Roman" w:hAnsi="Times New Roman" w:cs="Times New Roman"/>
          <w:sz w:val="24"/>
          <w:szCs w:val="24"/>
        </w:rPr>
        <w:t>Diffuse adenocarcinoma is more poorly differentiated, not clearly associated with gastric metaplasia, and show some genetic similarities to neuroendocrine cancer .</w:t>
      </w:r>
      <w:r w:rsidR="00CD4DE2"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{"citationID":"4nY0oFPK","properties":{"formattedCitation":"(8)","plainCitation":"(8)","noteIndex":0},"citationItems":[{"id":53,"uris":["http://zotero.org/users/local/yttIQJMC/items/EL64KTZ6"],"itemData":{"id":53,"type":"article-journal","abstract":"Adenocarcinomas are malignant tumors with glandular growth and/or supposed intracellular mucin as identified by periodic acid-Schiff (PAS) positivity. Gastric signet ring cell carcinomas are classified as diffuse type. A proportion of diffuse-type adenocarcinomas have previously been suggested to be of neuroendocrine origin. In the present study we examined gastric signet ring cell carcinomas for neuroendocrine differentiation. Of 11 gastric signet ring cell carcinomas, 8 contained areas with PAS-positive signet ring cells that also were immunoreactive for one or several neuroendocrine markers: synaptophysin, chromogranin A, and histidine decarboxylase, the latter an enterochromaffin-like (ECL) cell marker. Whereas PAS positivity was located in the central cytoplasm, neuroendocrine immunoreactivity was often located as a rim surrounding an otherwise non-immunoreactive cytoplasm, presumed to represent the area with PAS-positive material. These findings indicate that signet ring cell carcinomas could be of neuroendocrine origin. We propose that signet ring cell carcinomas develop by gradual dedifferentiation from ECL cells via signet ring cells with neuroendocrine immunoreactivity toward signet ring cells where the cytoplasm mainly consists of PAS-positive material. This finding could have implications for the classification and understanding of gastric carcinogenesis.","container-title":"The Journal of Histochemistry and Cytochemistry: Official Journal of the Histochemistry Society","DOI":"10.1369/jhc.5A6806.2005","ISSN":"0022-1554","issue":"6","journalAbbreviation":"J Histochem Cytochem","language":"eng","note":"PMID: 16344325","page":"615-621","source":"PubMed","title":"Signet ring cells in gastric carcinomas are derived from neuroendocrine cells","volume":"54","author":[{"family":"Bakkelund","given":"Karin"},{"family":"Fossmark","given":"Reidar"},{"family":"Nordrum","given":"Ivar"},{"family":"Waldum","given":"Helge"}],"issued":{"date-parts":[["2006",6]]}}}],"schema":"https://github.com/citation-style-language/schema/raw/master/csl-citation.json"} </w:instrText>
      </w:r>
      <w:r w:rsidR="00CD4DE2"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(8)</w:t>
      </w:r>
      <w:r w:rsidR="00CD4DE2" w:rsidRPr="00D7634A">
        <w:rPr>
          <w:rFonts w:ascii="Times New Roman" w:hAnsi="Times New Roman" w:cs="Times New Roman"/>
          <w:sz w:val="24"/>
          <w:szCs w:val="24"/>
        </w:rPr>
        <w:fldChar w:fldCharType="end"/>
      </w:r>
      <w:r w:rsidR="00223D7F" w:rsidRPr="00D7634A">
        <w:rPr>
          <w:rFonts w:ascii="Times New Roman" w:hAnsi="Times New Roman" w:cs="Times New Roman"/>
          <w:color w:val="212121"/>
          <w:sz w:val="24"/>
          <w:szCs w:val="24"/>
          <w:shd w:val="clear" w:color="auto" w:fill="FFFFFF"/>
        </w:rPr>
        <w:t xml:space="preserve"> </w:t>
      </w:r>
      <w:r w:rsidR="00223D7F" w:rsidRPr="00D7634A">
        <w:rPr>
          <w:rFonts w:ascii="Times New Roman" w:hAnsi="Times New Roman" w:cs="Times New Roman"/>
          <w:sz w:val="24"/>
          <w:szCs w:val="24"/>
        </w:rPr>
        <w:t>The genetics of diffuse adenocarcinoma are not fully understood, but molecular profiling have suggested a different gene expression pattern from intestinal adenocarcinoma.</w:t>
      </w:r>
      <w:r w:rsidR="00223D7F"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{"citationID":"4PfBM8pX","properties":{"formattedCitation":"(9)","plainCitation":"(9)","noteIndex":0},"citationItems":[{"id":56,"uris":["http://zotero.org/users/local/yttIQJMC/items/YUFQXG42"],"itemData":{"id":56,"type":"article-journal","abstract":"Transcriptional coactivator with PDZ-binding motif (TAZ) is known to bind to a variety of transcription factors to control cell differentiation and organ development. We examined TAZ protein levels in 146 stage II–IV gastric cancer using immunohistochemistry (IHC), while TAZ mRNA was confirmed by quantitative reverse-transcription polymerase chain reaction (QRT-PCR) in 84 samples with enough tissue. TAZ protein expression was positive in 113 out of 146 (77.4%) gastric cancer samples. In parallel, TAZ mRNA expression was successfully detected in 81 of the 84 (96.4%) samples. Protein levels of TAZ were positively correlated with its mRNA levels (P = 0.018). High expression of TAZ protein was observed with higher percentage in gastric cancer samples with histology of signet ring cell carcinoma (SRCC) than adenocarcinoma (85.7% versus 60.2%, P = 0.001). Similarly, TAZ mRNA level was higher in SRCC than in adenocarcinoma (P = 0.003). When correlated with survival, the median overall survival (OS) is 14 months (95% CI: 12.2–15.8 months) in all patients. There was no significant association between survival and other clinical characteristics or TAZ expression levels. Our results show that TAZ is highly expressed in SRCC. TAZ might be considered as a target for the treatment of gastric SRCC in future.","container-title":"BioMed Research International","DOI":"10.1155/2014/393064","ISSN":"2314-6133","journalAbbreviation":"Biomed Res Int","note":"PMID: 24707483\nPMCID: PMC3953576","page":"393064","source":"PubMed Central","title":"TAZ Is Highly Expressed in Gastric Signet Ring Cell Carcinoma","volume":"2014","author":[{"family":"Yue","given":"Guofeng"},{"family":"Sun","given":"Xia"},{"family":"Gimenez-Capitan","given":"Ana"},{"family":"Shen","given":"Jie"},{"family":"Yu","given":"Lixia"},{"family":"Teixido","given":"Cristina"},{"family":"Guan","given":"Wenxian"},{"family":"Rosell","given":"Rafael"},{"family":"Liu","given":"Baorui"},{"family":"Wei","given":"Jia"}],"issued":{"date-parts":[["2014"]]}}}],"schema":"https://github.com/citation-style-language/schema/raw/master/csl-citation.json"} </w:instrText>
      </w:r>
      <w:r w:rsidR="00223D7F"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(9)</w:t>
      </w:r>
      <w:r w:rsidR="00223D7F" w:rsidRPr="00D7634A">
        <w:rPr>
          <w:rFonts w:ascii="Times New Roman" w:hAnsi="Times New Roman" w:cs="Times New Roman"/>
          <w:sz w:val="24"/>
          <w:szCs w:val="24"/>
        </w:rPr>
        <w:fldChar w:fldCharType="end"/>
      </w:r>
    </w:p>
    <w:p w14:paraId="61FAAF71" w14:textId="36DA29AD" w:rsidR="00CC37AC" w:rsidRPr="00D7634A" w:rsidRDefault="00CC37AC"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Esophagogastroduodenoscopy (EGD) with mucosal biopsy is the procedure of choice for diagnosis of gastric cancer. </w:t>
      </w:r>
      <w:r w:rsidR="007263AC" w:rsidRPr="00D7634A">
        <w:rPr>
          <w:rFonts w:ascii="Times New Roman" w:hAnsi="Times New Roman" w:cs="Times New Roman"/>
          <w:sz w:val="24"/>
          <w:szCs w:val="24"/>
        </w:rPr>
        <w:t xml:space="preserve">Endoscopy is regarded as the most sensitive and specific diagnostic method in patients suspected of harbouring gastric cancer. Endoscopy allows direct visualization of tumour location, the extent of mucosal involvement, and biopsy (or cytologic brushings) for tissue </w:t>
      </w:r>
      <w:r w:rsidR="009141D3" w:rsidRPr="00D7634A">
        <w:rPr>
          <w:rFonts w:ascii="Times New Roman" w:hAnsi="Times New Roman" w:cs="Times New Roman"/>
          <w:sz w:val="24"/>
          <w:szCs w:val="24"/>
        </w:rPr>
        <w:t>diagnosis. The</w:t>
      </w:r>
      <w:r w:rsidRPr="00D7634A">
        <w:rPr>
          <w:rFonts w:ascii="Times New Roman" w:hAnsi="Times New Roman" w:cs="Times New Roman"/>
          <w:sz w:val="24"/>
          <w:szCs w:val="24"/>
        </w:rPr>
        <w:t xml:space="preserve"> mass or any suspicious abnormal mucosa, indicative of potential malignancy, is specifically targeted for biopsy. Multiple specimens are collected at the tissue site to ensure thorough sampling, allowing for deeper penetration into gastric tissue for a comprehensive assessment.</w:t>
      </w:r>
      <w:r w:rsidR="0008253D" w:rsidRPr="00D7634A">
        <w:rPr>
          <w:rFonts w:ascii="Times New Roman" w:hAnsi="Times New Roman" w:cs="Times New Roman"/>
          <w:color w:val="212121"/>
          <w:sz w:val="24"/>
          <w:szCs w:val="24"/>
          <w:shd w:val="clear" w:color="auto" w:fill="FFFFFF"/>
        </w:rPr>
        <w:t xml:space="preserve"> </w:t>
      </w:r>
      <w:r w:rsidR="0008253D" w:rsidRPr="00D7634A">
        <w:rPr>
          <w:rFonts w:ascii="Times New Roman" w:hAnsi="Times New Roman" w:cs="Times New Roman"/>
          <w:sz w:val="24"/>
          <w:szCs w:val="24"/>
        </w:rPr>
        <w:t>CT scan is the imaging of choice</w:t>
      </w:r>
      <w:r w:rsidR="006221F7" w:rsidRPr="00D7634A">
        <w:rPr>
          <w:rFonts w:ascii="Times New Roman" w:hAnsi="Times New Roman" w:cs="Times New Roman"/>
          <w:sz w:val="24"/>
          <w:szCs w:val="24"/>
        </w:rPr>
        <w:t xml:space="preserve"> as it is invaluable in staging gastric cancer and assessing the extent of local invasion</w:t>
      </w:r>
      <w:r w:rsidR="007263AC" w:rsidRPr="00D7634A">
        <w:rPr>
          <w:rFonts w:ascii="Times New Roman" w:hAnsi="Times New Roman" w:cs="Times New Roman"/>
          <w:sz w:val="24"/>
          <w:szCs w:val="24"/>
        </w:rPr>
        <w:t>.</w:t>
      </w:r>
      <w:r w:rsidRPr="00D7634A">
        <w:rPr>
          <w:rFonts w:ascii="Times New Roman" w:eastAsia="Times New Roman" w:hAnsi="Times New Roman" w:cs="Times New Roman"/>
          <w:vanish/>
          <w:sz w:val="24"/>
          <w:szCs w:val="24"/>
          <w:lang w:eastAsia="en-IN"/>
        </w:rPr>
        <w:t>Top of Form</w:t>
      </w:r>
    </w:p>
    <w:p w14:paraId="4F6E76E6" w14:textId="2B32E21B" w:rsidR="000C7CB5" w:rsidRPr="00D7634A" w:rsidRDefault="000C7CB5"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The signet ring cell carcinoma accounts for approximately 10% of gastric cancers and is defined by the presence of signet ring cells in over 50% of the </w:t>
      </w:r>
      <w:r w:rsidR="00DD0911" w:rsidRPr="00D7634A">
        <w:rPr>
          <w:rFonts w:ascii="Times New Roman" w:hAnsi="Times New Roman" w:cs="Times New Roman"/>
          <w:sz w:val="24"/>
          <w:szCs w:val="24"/>
        </w:rPr>
        <w:t>tumour</w:t>
      </w:r>
      <w:r w:rsidRPr="00D7634A">
        <w:rPr>
          <w:rFonts w:ascii="Times New Roman" w:hAnsi="Times New Roman" w:cs="Times New Roman"/>
          <w:sz w:val="24"/>
          <w:szCs w:val="24"/>
        </w:rPr>
        <w:t>.</w:t>
      </w:r>
      <w:r w:rsidR="00B348C0" w:rsidRPr="00D7634A">
        <w:rPr>
          <w:rFonts w:ascii="Times New Roman" w:hAnsi="Times New Roman" w:cs="Times New Roman"/>
          <w:sz w:val="24"/>
          <w:szCs w:val="24"/>
        </w:rPr>
        <w:t xml:space="preserve"> </w:t>
      </w:r>
      <w:r w:rsidR="00E56710" w:rsidRPr="00D7634A">
        <w:rPr>
          <w:rFonts w:ascii="Times New Roman" w:hAnsi="Times New Roman" w:cs="Times New Roman"/>
          <w:sz w:val="24"/>
          <w:szCs w:val="24"/>
        </w:rPr>
        <w:t>SRC is known to have a female predominance, is more common in the younger population, and is usually located in the middle and distal stomach .</w:t>
      </w:r>
      <w:r w:rsidR="00E56710"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{"citationID":"muiYIFHo","properties":{"formattedCitation":"(10)","plainCitation":"(10)","noteIndex":0},"citationItems":[{"id":29,"uris":["http://zotero.org/users/local/yttIQJMC/items/PZ2UTS7K"],"itemData":{"id":29,"type":"webpage","title":"Changes in the location and type of gastric adenocarcinoma - Antonioli - 1982 - Cancer - Wiley Online Library","URL":"https://acsjournals.onlinelibrary.wiley.com/doi/10.1002/1097-0142(19820815)50:4%3C775::AID-CNCR2820500425%3E3.0.CO;2-W","accessed":{"date-parts":[["2023",10,16]]}}}],"schema":"https://github.com/citation-style-language/schema/raw/master/csl-citation.json"} </w:instrText>
      </w:r>
      <w:r w:rsidR="00E56710"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(10)</w:t>
      </w:r>
      <w:r w:rsidR="00E56710" w:rsidRPr="00D7634A">
        <w:rPr>
          <w:rFonts w:ascii="Times New Roman" w:hAnsi="Times New Roman" w:cs="Times New Roman"/>
          <w:sz w:val="24"/>
          <w:szCs w:val="24"/>
        </w:rPr>
        <w:fldChar w:fldCharType="end"/>
      </w:r>
      <w:r w:rsidR="00ED78EF" w:rsidRPr="00D7634A">
        <w:rPr>
          <w:rFonts w:ascii="Times New Roman" w:hAnsi="Times New Roman" w:cs="Times New Roman"/>
          <w:sz w:val="24"/>
          <w:szCs w:val="24"/>
        </w:rPr>
        <w:t xml:space="preserve"> </w:t>
      </w:r>
      <w:r w:rsidR="004E27AC" w:rsidRPr="00D7634A">
        <w:rPr>
          <w:rFonts w:ascii="Times New Roman" w:hAnsi="Times New Roman" w:cs="Times New Roman"/>
          <w:sz w:val="24"/>
          <w:szCs w:val="24"/>
        </w:rPr>
        <w:t xml:space="preserve">The 2010 WHO classification recognizes four major </w:t>
      </w:r>
      <w:r w:rsidR="004E27AC" w:rsidRPr="00D7634A">
        <w:rPr>
          <w:rFonts w:ascii="Times New Roman" w:hAnsi="Times New Roman" w:cs="Times New Roman"/>
          <w:sz w:val="24"/>
          <w:szCs w:val="24"/>
        </w:rPr>
        <w:lastRenderedPageBreak/>
        <w:t>histologic patterns of gastric cancers: tubular, papillary, mucinous and poorly cohesive plus uncommon histologic variants </w:t>
      </w:r>
      <w:r w:rsidR="004E27AC"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{"citationID":"pD9Zjxql","properties":{"formattedCitation":"(11)","plainCitation":"(11)","noteIndex":0},"citationItems":[{"id":22,"uris":["http://zotero.org/users/local/yttIQJMC/items/MJW7WT4P"],"itemData":{"id":22,"type":"article-journal","abstract":"Gastric cancer remains one of the deadly diseases with poor prognosis. New classification of gastric cancers based on histologic features, genotypes and molecular phenotypes helps better understand the characteristics of each subtype, and improve early diagnosis, prevention and treatment. The objective of this article is to review the new classification of gastric cancers and the up-to-date guidance in the application of molecular testing.","container-title":"Journal of Gastrointestinal Oncology","DOI":"10.3978/j.issn.2078-6891.2012.021","ISSN":"2078-6891","issue":"3","journalAbbreviation":"J Gastrointest Oncol","note":"PMID: 22943016\nPMCID: PMC3418539","page":"251-261","source":"PubMed Central","title":"Gastric cancer: Classification, histology and application of molecular pathology","title-short":"Gastric cancer","volume":"3","author":[{"family":"Hu","given":"Bing"},{"family":"El Hajj","given":"Nassim"},{"family":"Sittler","given":"Scott"},{"family":"Lammert","given":"Nancy"},{"family":"Barnes","given":"Robert"},{"family":"Meloni-Ehrig","given":"Aurelia"}],"issued":{"date-parts":[["2012",9]]}}}],"schema":"https://github.com/citation-style-language/schema/raw/master/csl-citation.json"} </w:instrText>
      </w:r>
      <w:r w:rsidR="004E27AC"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(11)</w:t>
      </w:r>
      <w:r w:rsidR="004E27AC" w:rsidRPr="00D7634A">
        <w:rPr>
          <w:rFonts w:ascii="Times New Roman" w:hAnsi="Times New Roman" w:cs="Times New Roman"/>
          <w:sz w:val="24"/>
          <w:szCs w:val="24"/>
        </w:rPr>
        <w:fldChar w:fldCharType="end"/>
      </w:r>
      <w:r w:rsidR="004E27AC" w:rsidRPr="00D7634A">
        <w:rPr>
          <w:rFonts w:ascii="Times New Roman" w:hAnsi="Times New Roman" w:cs="Times New Roman"/>
          <w:sz w:val="24"/>
          <w:szCs w:val="24"/>
        </w:rPr>
        <w:t>.</w:t>
      </w:r>
      <w:r w:rsidR="00B348C0" w:rsidRPr="00D7634A">
        <w:rPr>
          <w:rFonts w:ascii="Times New Roman" w:hAnsi="Times New Roman" w:cs="Times New Roman"/>
          <w:sz w:val="24"/>
          <w:szCs w:val="24"/>
        </w:rPr>
        <w:t>According to the WHO classification, the poorly cohesive carcinoma type includes the signet ring cell carcinoma</w:t>
      </w:r>
      <w:r w:rsidR="00C04C40"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{"citationID":"7zaFJJbB","properties":{"formattedCitation":"(7)","plainCitation":"(7)","noteIndex":0},"citationItems":[{"id":17,"uris":["http://zotero.org/users/local/yttIQJMC/items/MUU9EYT8"],"itemData":{"id":17,"type":"article-journal","abstract":"Several pathohistological classification systems exist for the diagnosis of gastric cancer. Many studies have investigated the correlation between the pathohistological characteristics in gastric cancer and patient characteristics, disease specific criteria and overall outcome. It is still controversial as to which classification system imparts the most reliable information, and therefore, the choice of system may vary in clinical routine. In addition to the most common classification systems, such as the Laurén and the World Health Organization (WHO) classifications, other authors have tried to characterize and classify gastric cancer based on the microscopic morphology and in reference to the clinical outcome of the patients. In more than 50 years of systematic classification of the pathohistological characteristics of gastric cancer, there is no sole classification system that is consistently used worldwide in diagnostics and research. However, several national guidelines for the treatment of gastric cancer refer to the Laurén or the WHO classifications regarding therapeutic decision-making, which underlines the importance of a reliable classification system for gastric cancer. The latest results from gastric cancer studies indicate that it might be useful to integrate DNA- and RNA-based features of gastric cancer into the classification systems to establish prognostic relevance. This article reviews the diagnostic relevance and the prognostic value of different pathohistological classification systems in gastric cancer.","container-title":"World Journal of Gastroenterology : WJG","DOI":"10.3748/wjg.v20.i19.5679","ISSN":"1007-9327","issue":"19","journalAbbreviation":"World J Gastroenterol","note":"PMID: 24914328\nPMCID: PMC4024777","page":"5679-5684","source":"PubMed Central","title":"Pathohistological classification systems in gastric cancer: Diagnostic relevance and prognostic value","title-short":"Pathohistological classification systems in gastric cancer","volume":"20","author":[{"family":"Berlth","given":"Felix"},{"family":"Bollschweiler","given":"Elfriede"},{"family":"Drebber","given":"Uta"},{"family":"Hoelscher","given":"Arnulf H"},{"family":"Moenig","given":"Stefan"}],"issued":{"date-parts":[["2014",5,21]]}}}],"schema":"https://github.com/citation-style-language/schema/raw/master/csl-citation.json"} </w:instrText>
      </w:r>
      <w:r w:rsidR="00C04C40"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(7)</w:t>
      </w:r>
      <w:r w:rsidR="00C04C40" w:rsidRPr="00D7634A">
        <w:rPr>
          <w:rFonts w:ascii="Times New Roman" w:hAnsi="Times New Roman" w:cs="Times New Roman"/>
          <w:sz w:val="24"/>
          <w:szCs w:val="24"/>
        </w:rPr>
        <w:fldChar w:fldCharType="end"/>
      </w:r>
      <w:r w:rsidR="00C04C40" w:rsidRPr="00D7634A">
        <w:rPr>
          <w:rFonts w:ascii="Times New Roman" w:hAnsi="Times New Roman" w:cs="Times New Roman"/>
          <w:sz w:val="24"/>
          <w:szCs w:val="24"/>
        </w:rPr>
        <w:t>.</w:t>
      </w:r>
      <w:r w:rsidR="00671EA6" w:rsidRPr="00D7634A">
        <w:rPr>
          <w:rFonts w:ascii="Times New Roman" w:hAnsi="Times New Roman" w:cs="Times New Roman"/>
          <w:sz w:val="24"/>
          <w:szCs w:val="24"/>
        </w:rPr>
        <w:t xml:space="preserve"> Gastric signet-ring cell gastric carcinoma  are composed of </w:t>
      </w:r>
      <w:r w:rsidR="00DD0911" w:rsidRPr="00D7634A">
        <w:rPr>
          <w:rFonts w:ascii="Times New Roman" w:hAnsi="Times New Roman" w:cs="Times New Roman"/>
          <w:sz w:val="24"/>
          <w:szCs w:val="24"/>
        </w:rPr>
        <w:t>tumour</w:t>
      </w:r>
      <w:r w:rsidR="00671EA6" w:rsidRPr="00D7634A">
        <w:rPr>
          <w:rFonts w:ascii="Times New Roman" w:hAnsi="Times New Roman" w:cs="Times New Roman"/>
          <w:sz w:val="24"/>
          <w:szCs w:val="24"/>
        </w:rPr>
        <w:t xml:space="preserve"> cells with prominent cytoplasmic mucin, resulting in a crescent-shaped nucleus at the cell periphery .</w:t>
      </w:r>
      <w:r w:rsidR="00D373E9"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{"citationID":"HYOPxCR2","properties":{"formattedCitation":"(12)","plainCitation":"(12)","noteIndex":0},"citationItems":[{"id":26,"uris":["http://zotero.org/users/local/yttIQJMC/items/RDY5EHRL"],"itemData":{"id":26,"type":"article-journal","abstract":"Signet ring cell adenocarcinomas (SRCCs) are a rare histological subtype of adenocarcinomas with a poor prognosis, typically due to advanced disease at diagnosis. A signet ring cell, mimicking its moniker, contains abundant intracytoplasmic mucin that pushes the nucleus to the periphery. In these cancers, this cell feature comprises more than 50% of the tumor. Despite predilection for the gastrointestinal tract, and in particular the stomach, primary SRCCs are also described in other sites, typically in case reports. This literature, however, lacks a standardized overview of the SRCC disease entity. Using a retrospective cohort approach, we summarize the clinicodemographic and mortality outcomes of SRCCs in thirteen primary sites, comprising 95% of all SRCCs in the Surveillance, Epidemiology, and End Results Program (SEER), a population-level cancer database covering nearly one-third of the United States population. SRCCs general trends compared to matching nonvariant adenocarcinomas are earlier age of onset, with initial presentation favoring higher rates of regional or distant disease presentation and poor tumor differentiation. After multivariable analysis, SRCCs typically have worse overall survivals, but substantial variances exist depending on tumor location. Identifying SRCCs at earlier disease stages is likely the single most important intervention to improving outcomes for these patients.","container-title":"Cancers","DOI":"10.3390/cancers12061544","ISSN":"2072-6694","issue":"6","journalAbbreviation":"Cancers (Basel)","language":"eng","note":"PMID: 32545410\nPMCID: PMC7352645","page":"1544","source":"PubMed","title":"Epidemiology of Signet Ring Cell Adenocarcinomas","volume":"12","author":[{"family":"Benesch","given":"Matthew G. K."},{"family":"Mathieson","given":"Alexander"}],"issued":{"date-parts":[["2020",6,11]]}}}],"schema":"https://github.com/citation-style-language/schema/raw/master/csl-citation.json"} </w:instrText>
      </w:r>
      <w:r w:rsidR="00D373E9"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(12)</w:t>
      </w:r>
      <w:r w:rsidR="00D373E9" w:rsidRPr="00D7634A">
        <w:rPr>
          <w:rFonts w:ascii="Times New Roman" w:hAnsi="Times New Roman" w:cs="Times New Roman"/>
          <w:sz w:val="24"/>
          <w:szCs w:val="24"/>
        </w:rPr>
        <w:fldChar w:fldCharType="end"/>
      </w:r>
    </w:p>
    <w:p w14:paraId="1857BD74" w14:textId="5C830AD7" w:rsidR="00167A47" w:rsidRPr="00D7634A" w:rsidRDefault="000F631C" w:rsidP="00172DA2">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Gastric signet-ring cell</w:t>
      </w:r>
      <w:r w:rsidR="00DD0911" w:rsidRPr="00D7634A">
        <w:rPr>
          <w:rFonts w:ascii="Times New Roman" w:hAnsi="Times New Roman" w:cs="Times New Roman"/>
          <w:sz w:val="24"/>
          <w:szCs w:val="24"/>
        </w:rPr>
        <w:t xml:space="preserve"> </w:t>
      </w:r>
      <w:r w:rsidRPr="00D7634A">
        <w:rPr>
          <w:rFonts w:ascii="Times New Roman" w:hAnsi="Times New Roman" w:cs="Times New Roman"/>
          <w:sz w:val="24"/>
          <w:szCs w:val="24"/>
        </w:rPr>
        <w:t xml:space="preserve">carcinoma (GSRC) is an </w:t>
      </w:r>
      <w:r w:rsidR="00D637FC" w:rsidRPr="00D7634A">
        <w:rPr>
          <w:rFonts w:ascii="Times New Roman" w:hAnsi="Times New Roman" w:cs="Times New Roman"/>
          <w:sz w:val="24"/>
          <w:szCs w:val="24"/>
        </w:rPr>
        <w:t>unfavourable</w:t>
      </w:r>
      <w:r w:rsidRPr="00D7634A">
        <w:rPr>
          <w:rFonts w:ascii="Times New Roman" w:hAnsi="Times New Roman" w:cs="Times New Roman"/>
          <w:sz w:val="24"/>
          <w:szCs w:val="24"/>
        </w:rPr>
        <w:t xml:space="preserve"> subtype of gastric cancer that presents with greater invasiveness and poorer prognosis in advanced stage than other types of gastric cancer</w:t>
      </w:r>
      <w:r w:rsidR="00B36875" w:rsidRPr="00D7634A">
        <w:rPr>
          <w:rFonts w:ascii="Times New Roman" w:hAnsi="Times New Roman" w:cs="Times New Roman"/>
          <w:sz w:val="24"/>
          <w:szCs w:val="24"/>
        </w:rPr>
        <w:t>.</w:t>
      </w:r>
      <w:r w:rsidR="00387F7F" w:rsidRPr="00D7634A">
        <w:rPr>
          <w:rFonts w:ascii="Times New Roman" w:hAnsi="Times New Roman" w:cs="Times New Roman"/>
          <w:sz w:val="24"/>
          <w:szCs w:val="24"/>
        </w:rPr>
        <w:t xml:space="preserve"> Gastric signet-ring cell gastric carcinoma is more common in women and young patients than non-signet ring cell gastric carcinoma. Most patients with early GSRC complain of chronic gastritis-like symptoms, such as abdominal pain and abdominal distension, which may be misdiagnosed as gastritis and peptic ulcer. Signet ring cell carcinoma spreads horizontally in the </w:t>
      </w:r>
      <w:r w:rsidR="00D637FC" w:rsidRPr="00D7634A">
        <w:rPr>
          <w:rFonts w:ascii="Times New Roman" w:hAnsi="Times New Roman" w:cs="Times New Roman"/>
          <w:sz w:val="24"/>
          <w:szCs w:val="24"/>
        </w:rPr>
        <w:t>lamina propria</w:t>
      </w:r>
      <w:r w:rsidR="00387F7F" w:rsidRPr="00D7634A">
        <w:rPr>
          <w:rFonts w:ascii="Times New Roman" w:hAnsi="Times New Roman" w:cs="Times New Roman"/>
          <w:sz w:val="24"/>
          <w:szCs w:val="24"/>
        </w:rPr>
        <w:t xml:space="preserve"> without invading the gastric epithelium. So, it is difficult to accurately evaluate the size and margin of Signet ring cell carcinoma since endoscopy may not detect the part of Signet ring cell carcinoma hiding beneath the normal</w:t>
      </w:r>
      <w:r w:rsidR="00172DA2">
        <w:rPr>
          <w:rFonts w:ascii="Times New Roman" w:hAnsi="Times New Roman" w:cs="Times New Roman"/>
          <w:sz w:val="24"/>
          <w:szCs w:val="24"/>
        </w:rPr>
        <w:t xml:space="preserve"> </w:t>
      </w:r>
      <w:r w:rsidR="00387F7F" w:rsidRPr="00D7634A">
        <w:rPr>
          <w:rFonts w:ascii="Times New Roman" w:hAnsi="Times New Roman" w:cs="Times New Roman"/>
          <w:sz w:val="24"/>
          <w:szCs w:val="24"/>
        </w:rPr>
        <w:t xml:space="preserve">gastric </w:t>
      </w:r>
      <w:r w:rsidR="00746C10" w:rsidRPr="00D7634A">
        <w:rPr>
          <w:rFonts w:ascii="Times New Roman" w:hAnsi="Times New Roman" w:cs="Times New Roman"/>
          <w:sz w:val="24"/>
          <w:szCs w:val="24"/>
        </w:rPr>
        <w:t>epithelium (</w:t>
      </w:r>
      <w:r w:rsidR="00B36875" w:rsidRPr="00D7634A">
        <w:rPr>
          <w:rFonts w:ascii="Times New Roman" w:hAnsi="Times New Roman" w:cs="Times New Roman"/>
          <w:sz w:val="24"/>
          <w:szCs w:val="24"/>
        </w:rPr>
        <w:t>7).</w:t>
      </w:r>
      <w:r w:rsidR="00387F7F" w:rsidRPr="00D7634A">
        <w:rPr>
          <w:rFonts w:ascii="Times New Roman" w:hAnsi="Times New Roman" w:cs="Times New Roman"/>
          <w:sz w:val="24"/>
          <w:szCs w:val="24"/>
        </w:rPr>
        <w:br/>
      </w:r>
    </w:p>
    <w:p w14:paraId="446D3682" w14:textId="622C30E2" w:rsidR="000C7CB5" w:rsidRPr="00D7634A" w:rsidRDefault="000C7CB5"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The German S3 Guidelines also refer to Laur</w:t>
      </w:r>
      <w:r w:rsidR="00C04C40" w:rsidRPr="00D7634A">
        <w:rPr>
          <w:rFonts w:ascii="Times New Roman" w:hAnsi="Times New Roman" w:cs="Times New Roman"/>
          <w:sz w:val="24"/>
          <w:szCs w:val="24"/>
        </w:rPr>
        <w:t>e</w:t>
      </w:r>
      <w:r w:rsidRPr="00D7634A">
        <w:rPr>
          <w:rFonts w:ascii="Times New Roman" w:hAnsi="Times New Roman" w:cs="Times New Roman"/>
          <w:sz w:val="24"/>
          <w:szCs w:val="24"/>
        </w:rPr>
        <w:t>n’s classification when recommending a resection margin of 8 cm for the diffuse type and a 5 cm margin for the intestinal type</w:t>
      </w:r>
      <w:r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{"citationID":"hKEmncTL","properties":{"formattedCitation":"(13)","plainCitation":"(13)","noteIndex":0},"citationItems":[{"id":20,"uris":["http://zotero.org/users/local/yttIQJMC/items/HVWR4VJ2"],"itemData":{"id":20,"type":"article-journal","abstract":"The current S3 guidelines on the diagnosis and treatment of gastric carcinoma including those of the esophagogastric junction describe optimal clinical practice based on a high level of evidence and expert consensus from different medical disciplines. Endoscopy and performance of multiple biopsies is the standard approach to detect malignant tumors in the upper gastrointestinal tract. Further diagnostic procedures are necessary to evaluate the tumor stage. With the exception of mucosal carcinomas, surgical therapy is the cornerstone of curative treatment in all potentially resectable stages. In locally advanced carcinomas perioperative chemotherapy should be carried out and in high-seated tumors preoperative radiochemotherapy might be an alternative option. Palliative surgical resection should be avoided in disseminated asymptomatic stages. In a palliative situation complications of the tumor should primarily be treated by interventional or conservative procedures.","container-title":"Der Chirurg; Zeitschrift fur alle Gebiete der operativen Medizen","DOI":"10.1007/s00104-011-2149-x","ISSN":"1433-0385","issue":"1","journalAbbreviation":"Chirurg","language":"ger","note":"PMID: 22127381","page":"31-37","source":"Europe PMC","title":"[Current S3 guidelines on surgical treatment of gastric carcinoma]","volume":"83","author":[{"family":"Meyer","given":"H-J"},{"family":"Hölscher","given":"A H"},{"family":"Lordick","given":"F"},{"family":"Messmann","given":"H"},{"family":"Mönig","given":"S"},{"family":"Schumacher","given":"C"},{"family":"Stahl","given":"M"},{"family":"Wilke","given":"H"},{"family":"Möhler","given":"M"}],"issued":{"date-parts":[["2012",1,1]]}}}],"schema":"https://github.com/citation-style-language/schema/raw/master/csl-citation.json"} </w:instrText>
      </w:r>
      <w:r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(13)</w:t>
      </w:r>
      <w:r w:rsidRPr="00D7634A">
        <w:rPr>
          <w:rFonts w:ascii="Times New Roman" w:hAnsi="Times New Roman" w:cs="Times New Roman"/>
          <w:sz w:val="24"/>
          <w:szCs w:val="24"/>
        </w:rPr>
        <w:fldChar w:fldCharType="end"/>
      </w:r>
      <w:r w:rsidR="00C04C40" w:rsidRPr="00D7634A">
        <w:rPr>
          <w:rFonts w:ascii="Times New Roman" w:hAnsi="Times New Roman" w:cs="Times New Roman"/>
          <w:sz w:val="24"/>
          <w:szCs w:val="24"/>
        </w:rPr>
        <w:t>.</w:t>
      </w:r>
      <w:r w:rsidR="00A342A2" w:rsidRPr="00D7634A">
        <w:rPr>
          <w:rFonts w:ascii="Times New Roman" w:hAnsi="Times New Roman" w:cs="Times New Roman"/>
          <w:sz w:val="24"/>
          <w:szCs w:val="24"/>
        </w:rPr>
        <w:t xml:space="preserve"> </w:t>
      </w:r>
      <w:r w:rsidRPr="00D7634A">
        <w:rPr>
          <w:rFonts w:ascii="Times New Roman" w:hAnsi="Times New Roman" w:cs="Times New Roman"/>
          <w:sz w:val="24"/>
          <w:szCs w:val="24"/>
        </w:rPr>
        <w:t>The rationale for this recommendation is the discontinuous proliferation of diffuse gastric cancers</w:t>
      </w:r>
      <w:r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{"citationID":"94mrsmcl","properties":{"formattedCitation":"(14)","plainCitation":"(14)","noteIndex":0},"citationItems":[{"id":21,"uris":["http://zotero.org/users/local/yttIQJMC/items/FHC3KS7G"],"itemData":{"id":21,"type":"article-journal","abstract":"During the last 15 years in our department, the overall 5-year survival rate in patients with gastric cancer has increased from 20% to 30%. This improvement in prognosis is explained by three factors: (1) the reduction in surgical mortality, (2) an increase in the resectability rate, (3) the introduction of a histology-oriented surgical approach that takes account of the differences in growth behaviour between the intestinal and diffuse types of carcinoma as defined by Laurén. A further new aspect in gastric cancer surgery is the concept of extended lymph node dissection.","container-title":"European journal of surgical oncology","ISSN":"1532-2157","issue":"3","journalAbbreviation":"Eur J Surg Oncol","language":"eng","note":"PMID: 2411603","page":"219-225","source":"Europe PMC","title":"New aspects in the surgical treatment of gastric carcinoma--a comparative study of 1636 patients operated on between 1969 and 1982","volume":"11","author":[{"family":"Gall","given":"F. P."},{"family":"Hermanek","given":"P."}],"issued":{"date-parts":[["1985",9,1]]}}}],"schema":"https://github.com/citation-style-language/schema/raw/master/csl-citation.json"} </w:instrText>
      </w:r>
      <w:r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(14)</w:t>
      </w:r>
      <w:r w:rsidRPr="00D7634A">
        <w:rPr>
          <w:rFonts w:ascii="Times New Roman" w:hAnsi="Times New Roman" w:cs="Times New Roman"/>
          <w:sz w:val="24"/>
          <w:szCs w:val="24"/>
        </w:rPr>
        <w:fldChar w:fldCharType="end"/>
      </w:r>
      <w:r w:rsidR="00C04C40" w:rsidRPr="00D7634A">
        <w:rPr>
          <w:rFonts w:ascii="Times New Roman" w:hAnsi="Times New Roman" w:cs="Times New Roman"/>
          <w:sz w:val="24"/>
          <w:szCs w:val="24"/>
        </w:rPr>
        <w:t>.</w:t>
      </w:r>
      <w:r w:rsidR="00E80B40" w:rsidRPr="00D7634A">
        <w:rPr>
          <w:rFonts w:ascii="Times New Roman" w:hAnsi="Times New Roman" w:cs="Times New Roman"/>
          <w:sz w:val="24"/>
          <w:szCs w:val="24"/>
        </w:rPr>
        <w:t xml:space="preserve"> Signet ring cell carcinoma have worse prognosis compared to other subtypes of gastric cancer.</w:t>
      </w:r>
    </w:p>
    <w:p w14:paraId="47547D00" w14:textId="2AF2814C" w:rsidR="00DA5928" w:rsidRPr="00D7634A" w:rsidRDefault="00DA5928"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The most common sites of metastasis </w:t>
      </w:r>
      <w:r w:rsidR="00095B4B" w:rsidRPr="00D7634A">
        <w:rPr>
          <w:rFonts w:ascii="Times New Roman" w:hAnsi="Times New Roman" w:cs="Times New Roman"/>
          <w:sz w:val="24"/>
          <w:szCs w:val="24"/>
        </w:rPr>
        <w:t xml:space="preserve">from gastric carcinoma </w:t>
      </w:r>
      <w:r w:rsidRPr="00D7634A">
        <w:rPr>
          <w:rFonts w:ascii="Times New Roman" w:hAnsi="Times New Roman" w:cs="Times New Roman"/>
          <w:sz w:val="24"/>
          <w:szCs w:val="24"/>
        </w:rPr>
        <w:t xml:space="preserve">are liver, peritoneum, lung, and bone in that order. Metastases to the lung, nervous system, and bone were more frequent in cardia cancer and men, whereas non-cardia cancer more frequently metastasized within the </w:t>
      </w:r>
      <w:r w:rsidRPr="00D7634A">
        <w:rPr>
          <w:rFonts w:ascii="Times New Roman" w:hAnsi="Times New Roman" w:cs="Times New Roman"/>
          <w:sz w:val="24"/>
          <w:szCs w:val="24"/>
        </w:rPr>
        <w:lastRenderedPageBreak/>
        <w:t>peritoneum. Signet ring adenocarcinomas more frequently metastasized within the peritoneum</w:t>
      </w:r>
      <w:r w:rsidR="00AC2511" w:rsidRPr="00D7634A">
        <w:rPr>
          <w:rFonts w:ascii="Times New Roman" w:hAnsi="Times New Roman" w:cs="Times New Roman"/>
          <w:sz w:val="24"/>
          <w:szCs w:val="24"/>
        </w:rPr>
        <w:t xml:space="preserve"> </w:t>
      </w:r>
      <w:r w:rsidRPr="00D7634A">
        <w:rPr>
          <w:rFonts w:ascii="Times New Roman" w:hAnsi="Times New Roman" w:cs="Times New Roman"/>
          <w:sz w:val="24"/>
          <w:szCs w:val="24"/>
        </w:rPr>
        <w:t>, bone and ovaries, and less frequently to the lungs and liver compared with generic adenocarcinoma.</w:t>
      </w:r>
      <w:r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{"citationID":"i2ezca6J","properties":{"formattedCitation":"(2)","plainCitation":"(2)","noteIndex":0},"citationItems":[{"id":14,"uris":["http://zotero.org/users/local/yttIQJMC/items/VUC6VG75"],"itemData":{"id":14,"type":"article-journal","abstract":"Background\nThe epidemiology of metastatic gastric cancer is unexplored because cancer registries seldom cover metastatic involvement apart from “present or not”. We used a novel approach by utilizing Swedish registers to assess metastatic spread in gastric cancer. To our knowledge, this is the first nationwide description of metastases in gastric cancer.\n\nResults\nThe most common sites of metastasis were liver (in 48% of metastatic cancer patients), peritoneum (32%), lung (15%), and bone (12%). Metastases to the lung, nervous system, and bone were more frequent in cardia cancer and men, whereas non-cardia cancer more frequently metastasized within the peritoneum. Signet ring adenocarcinomas more frequently metastasized within the peritoneum, bone and ovaries, and less frequently to the lungs and liver compared with generic adenocarcinoma. The liver and the peritoneum were commonly single metastases while lung metastases occurred frequently together with liver metastases. The median survival in metastatic gastric cancer was 3 months, worst among those with bone and liver metastases (2 months).\n\nMethods\nA total of 7,559 patients with gastric cancer were identified. Metastatic patterns and survival depending on sex, age, stage, anatomical location (cardia and non-cardia), and histological type were assessed.\n\nConclusions\nThe patterns of metastasis differ notably depending on histological type. Cardia cancer exhibits a completely different metastatic behavior than non-cardia cancer. Awareness of the differing patterns may guide in tailored diagnosis of metastases. Survivors from cardia cancer would benefit from increased surveillance of extraperitoneal metastases. Bone metastases should be considered in patients with signet ring adenocarcinoma if symptoms emerge.","container-title":"Oncotarget","DOI":"10.18632/oncotarget.10740","ISSN":"1949-2553","issue":"32","journalAbbreviation":"Oncotarget","note":"PMID: 27447571\nPMCID: PMC5239553","page":"52307-52316","source":"PubMed Central","title":"Metastatic spread in patients with gastric cancer","volume":"7","author":[{"family":"Riihimäki","given":"Matias"},{"family":"Hemminki","given":"Akseli"},{"family":"Sundquist","given":"Kristina"},{"family":"Sundquist","given":"Jan"},{"family":"Hemminki","given":"Kari"}],"issued":{"date-parts":[["2016",7,20]]}}}],"schema":"https://github.com/citation-style-language/schema/raw/master/csl-citation.json"} </w:instrText>
      </w:r>
      <w:r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(2)</w:t>
      </w:r>
      <w:r w:rsidRPr="00D7634A">
        <w:rPr>
          <w:rFonts w:ascii="Times New Roman" w:hAnsi="Times New Roman" w:cs="Times New Roman"/>
          <w:sz w:val="24"/>
          <w:szCs w:val="24"/>
        </w:rPr>
        <w:fldChar w:fldCharType="end"/>
      </w:r>
      <w:r w:rsidR="00223D7F" w:rsidRPr="00D7634A">
        <w:rPr>
          <w:rFonts w:ascii="Times New Roman" w:hAnsi="Times New Roman" w:cs="Times New Roman"/>
          <w:sz w:val="24"/>
          <w:szCs w:val="24"/>
        </w:rPr>
        <w:t xml:space="preserve">Signet ring adenocarcinoma exhibited a twofold higher occurrence of peritoneal metastases compared to generic-type adenocarcinoma, while metastases presumably originating from hematologic spread were observed less frequently. The mucus secreted by adenocarcinomas might infiltrate the nearby stroma, expediting the </w:t>
      </w:r>
      <w:proofErr w:type="spellStart"/>
      <w:r w:rsidR="00223D7F" w:rsidRPr="00D7634A">
        <w:rPr>
          <w:rFonts w:ascii="Times New Roman" w:hAnsi="Times New Roman" w:cs="Times New Roman"/>
          <w:sz w:val="24"/>
          <w:szCs w:val="24"/>
        </w:rPr>
        <w:t>tumor's</w:t>
      </w:r>
      <w:proofErr w:type="spellEnd"/>
      <w:r w:rsidR="00223D7F" w:rsidRPr="00D7634A">
        <w:rPr>
          <w:rFonts w:ascii="Times New Roman" w:hAnsi="Times New Roman" w:cs="Times New Roman"/>
          <w:sz w:val="24"/>
          <w:szCs w:val="24"/>
        </w:rPr>
        <w:t xml:space="preserve"> invasion into the stroma and, consequently, promoting dissemination to the serosa and throughout the peritoneal fluid.</w:t>
      </w:r>
      <w:r w:rsidR="00223D7F" w:rsidRPr="00D7634A">
        <w:rPr>
          <w:rFonts w:ascii="Times New Roman" w:hAnsi="Times New Roman" w:cs="Times New Roman"/>
          <w:sz w:val="24"/>
          <w:szCs w:val="24"/>
        </w:rPr>
        <w:fldChar w:fldCharType="begin"/>
      </w:r>
      <w:r w:rsidR="00167A47" w:rsidRPr="00D7634A">
        <w:rPr>
          <w:rFonts w:ascii="Times New Roman" w:hAnsi="Times New Roman" w:cs="Times New Roman"/>
          <w:sz w:val="24"/>
          <w:szCs w:val="24"/>
        </w:rPr>
        <w:instrText xml:space="preserve"> ADDIN ZOTERO_ITEM CSL_CITATION {"citationID":"NbMpqxwS","properties":{"formattedCitation":"(15)","plainCitation":"(15)","noteIndex":0},"citationItems":[{"id":59,"uris":["http://zotero.org/users/local/yttIQJMC/items/CACP6YQG"],"itemData":{"id":59,"type":"article-journal","abstract":"BACKGROUND: Mucinous gastric carcinoma (MGC) is characterized by substantial mucous lakes within tumors and comprises 3% of gastric carcinomas at the authors' institute.\nMETHODS: The authors analyzed the clinicopathologic characteristics, mucin gene expression profiles, microsatellite instability (MSI), and status of the human epidermal growth factor receptor 2 (HER-2) and epidermal growth factor receptor (EGFR) genes in 133 MGCs and compared them with the same variables in nonmucinous gastric carcinomas (NMGCs). In addition, the prognostic implications of clinicopathologic parameters were evaluated.\nRESULTS: Patients who had MGC had deeper invasion (P=.003), more frequent lymph node metastasis (P&lt;.001), more advanced pathologic stage (P&lt;.001), more frequent lymphatic invasion (P&lt;.001), and lower disease-specific survival rates (P&lt;.0001) than patients who had NMGC. However, a mucinous histology per se was not identified as an independent prognostic factor. Negative mucin 1, cell surface associated (MUC1) status (P&lt;.001); positive mucin 2, oligomeric mucus/gel-forming (MUC2) status (P&lt;.001); negative mucin 5AC, oligomeric mucus/gel-forming (MUC5AC) status (P=.036); and negative mucin 6, oligomeric mucus/gel-forming (MUC6) status (P&lt;.001) were more frequent in MGCs. The frequency of MSI in MGC was not significantly different from that in NMGC. MGCs had a significantly lower incidence of HER-2 protein overexpression (P=.046), HER-2 gene amplification (P=.009), and EGFR protein overexpression (P=.017) than NMGCs; and multivariate analysis identified EGFR overexpression as a factor associated with a poor prognosis (P=.047). Patients with MGC who had a predominance of signet ring cells in mucin pools had poorer disease-specific survival than patients who had MGC with predominant tubular differentiation (P=.017).\nCONCLUSIONS: The clinicopathologic and molecular characteristics of MGCs differed from those of NMGCs. Furthermore, the results indicated that EGFR overexpression and histologic subtyping by predominant tumor cell type in mucin pools may be helpful for predicting clinical outcome in patients with MGC.","container-title":"Cancer","DOI":"10.1002/cncr.24422","ISSN":"0008-543X","issue":"15","journalAbbreviation":"Cancer","language":"eng","note":"PMID: 19479974","page":"3581-3590","source":"PubMed","title":"Mucinous gastric carcinomas: clinicopathologic and molecular analyses","title-short":"Mucinous gastric carcinomas","volume":"115","author":[{"family":"Choi","given":"Jong Sun"},{"family":"Kim","given":"Min A."},{"family":"Lee","given":"Hee Eun"},{"family":"Lee","given":"Hye Seung"},{"family":"Kim","given":"Woo Ho"}],"issued":{"date-parts":[["2009",8,1]]}}}],"schema":"https://github.com/citation-style-language/schema/raw/master/csl-citation.json"} </w:instrText>
      </w:r>
      <w:r w:rsidR="00223D7F" w:rsidRPr="00D7634A">
        <w:rPr>
          <w:rFonts w:ascii="Times New Roman" w:hAnsi="Times New Roman" w:cs="Times New Roman"/>
          <w:sz w:val="24"/>
          <w:szCs w:val="24"/>
        </w:rPr>
        <w:fldChar w:fldCharType="separate"/>
      </w:r>
      <w:r w:rsidR="00167A47" w:rsidRPr="00D7634A">
        <w:rPr>
          <w:rFonts w:ascii="Times New Roman" w:hAnsi="Times New Roman" w:cs="Times New Roman"/>
          <w:sz w:val="24"/>
          <w:szCs w:val="24"/>
        </w:rPr>
        <w:t>(15)</w:t>
      </w:r>
      <w:r w:rsidR="00223D7F" w:rsidRPr="00D7634A">
        <w:rPr>
          <w:rFonts w:ascii="Times New Roman" w:hAnsi="Times New Roman" w:cs="Times New Roman"/>
          <w:sz w:val="24"/>
          <w:szCs w:val="24"/>
        </w:rPr>
        <w:fldChar w:fldCharType="end"/>
      </w:r>
    </w:p>
    <w:p w14:paraId="6A3D4267" w14:textId="767FF916" w:rsidR="005C2819" w:rsidRPr="00D7634A" w:rsidRDefault="00DB7E2D"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t xml:space="preserve">SRC occurs primarily in the stomach with common sites of metastasis being the lymph nodes, peritoneum, and intestines. Metastases to intestines is </w:t>
      </w:r>
      <w:r w:rsidR="00D637FC" w:rsidRPr="00D7634A">
        <w:rPr>
          <w:rFonts w:ascii="Times New Roman" w:hAnsi="Times New Roman" w:cs="Times New Roman"/>
          <w:sz w:val="24"/>
          <w:szCs w:val="24"/>
        </w:rPr>
        <w:t>rare. There</w:t>
      </w:r>
      <w:r w:rsidRPr="00D7634A">
        <w:rPr>
          <w:rFonts w:ascii="Times New Roman" w:hAnsi="Times New Roman" w:cs="Times New Roman"/>
          <w:sz w:val="24"/>
          <w:szCs w:val="24"/>
        </w:rPr>
        <w:t xml:space="preserve"> are very few case reports of gastric carcinoma metastasizing to intestines. </w:t>
      </w:r>
      <w:r w:rsidR="00D637FC" w:rsidRPr="00D7634A">
        <w:rPr>
          <w:rFonts w:ascii="Times New Roman" w:hAnsi="Times New Roman" w:cs="Times New Roman"/>
          <w:sz w:val="24"/>
          <w:szCs w:val="24"/>
        </w:rPr>
        <w:t>Also,</w:t>
      </w:r>
      <w:r w:rsidRPr="00D7634A">
        <w:rPr>
          <w:rFonts w:ascii="Times New Roman" w:hAnsi="Times New Roman" w:cs="Times New Roman"/>
          <w:sz w:val="24"/>
          <w:szCs w:val="24"/>
        </w:rPr>
        <w:t xml:space="preserve"> multiple metastases to small and large bowel </w:t>
      </w:r>
      <w:r w:rsidR="00D637FC" w:rsidRPr="00D7634A">
        <w:rPr>
          <w:rFonts w:ascii="Times New Roman" w:hAnsi="Times New Roman" w:cs="Times New Roman"/>
          <w:sz w:val="24"/>
          <w:szCs w:val="24"/>
        </w:rPr>
        <w:t>are</w:t>
      </w:r>
      <w:r w:rsidRPr="00D7634A">
        <w:rPr>
          <w:rFonts w:ascii="Times New Roman" w:hAnsi="Times New Roman" w:cs="Times New Roman"/>
          <w:sz w:val="24"/>
          <w:szCs w:val="24"/>
        </w:rPr>
        <w:t xml:space="preserve"> rarer, which is our case.</w:t>
      </w:r>
    </w:p>
    <w:p w14:paraId="662965D8" w14:textId="6E6F3BC3" w:rsidR="007263AC" w:rsidRPr="00D7634A" w:rsidRDefault="007263AC" w:rsidP="00EF76C9">
      <w:pPr>
        <w:spacing w:line="480" w:lineRule="auto"/>
        <w:jc w:val="both"/>
        <w:rPr>
          <w:rFonts w:ascii="Times New Roman" w:hAnsi="Times New Roman" w:cs="Times New Roman"/>
          <w:sz w:val="24"/>
          <w:szCs w:val="24"/>
        </w:rPr>
      </w:pPr>
      <w:r w:rsidRPr="00D7634A">
        <w:rPr>
          <w:rFonts w:ascii="Times New Roman" w:hAnsi="Times New Roman" w:cs="Times New Roman"/>
          <w:sz w:val="24"/>
          <w:szCs w:val="24"/>
        </w:rPr>
        <w:br/>
        <w:t>Recurrence remains a significant concern even when curative resection is feasible, with approximately 60% of patients experiencing a return of the disease.</w:t>
      </w:r>
      <w:r w:rsidRPr="00D7634A">
        <w:rPr>
          <w:rFonts w:ascii="Times New Roman" w:hAnsi="Times New Roman" w:cs="Times New Roman"/>
          <w:sz w:val="24"/>
          <w:szCs w:val="24"/>
        </w:rPr>
        <w:fldChar w:fldCharType="begin"/>
      </w:r>
      <w:r w:rsidRPr="00D7634A">
        <w:rPr>
          <w:rFonts w:ascii="Times New Roman" w:hAnsi="Times New Roman" w:cs="Times New Roman"/>
          <w:sz w:val="24"/>
          <w:szCs w:val="24"/>
        </w:rPr>
        <w:instrText xml:space="preserve"> ADDIN ZOTERO_ITEM CSL_CITATION {"citationID":"iw9NyqQ6","properties":{"formattedCitation":"(16)","plainCitation":"(16)","noteIndex":0},"citationItems":[{"id":64,"uris":["http://zotero.org/users/local/yttIQJMC/items/WG2IU6NT"],"itemData":{"id":64,"type":"article-journal","abstract":"Gastric cancer, one of the most common malignancies in the world, frequently reveals lymph node, peritoneum, and liver metastases. Most of gastric cancer patients present with lymph node metastasis when they were initially diagnosed or underwent surgical resection, which results in poor prognosis. Both the depth of tumor invasion and lymph node involvement are considered as the most important prognostic predictors of gastric cancer. Although extended lymphadenectomy was not considered a survival benefit procedure and was reported to be associated with high mortality and morbidity in two randomized controlled European trials, it showed significant superiority in terms of lower locoregional recurrence and disease related deaths compared to limited lymphadenectomy in a 15-year follow-up study. Almost all clinical investigators have reached a consensus that the predictive efficiency of the number of metastatic lymph nodes is far better than the extent of lymph node metastasis for the prognosis of gastric cancer worldwide, but other nodal metastatic classifications of gastric cancer have been proposed as alternatives to the number of metastatic lymph nodes for improving the predictive efficiency for patient prognosis. It is still controversial over whether the ratio between metastatic and examined lymph nodes is superior to the number of metastatic lymph nodes in prognostic evaluation of gastric cancer. Besides, the negative lymph node count has been increasingly recognized to be an important factor significantly associated with prognosis of gastric cancer.","container-title":"World Journal of Gastroenterology : WJG","DOI":"10.3748/wjg.v20.i14.3967","ISSN":"1007-9327","issue":"14","journalAbbreviation":"World J Gastroenterol","note":"PMID: 24744586\nPMCID: PMC3983452","page":"3967-3975","source":"PubMed Central","title":"Clinical significance of lymph node metastasis in gastric cancer","volume":"20","author":[{"family":"Deng","given":"Jing-Yu"},{"family":"Liang","given":"Han"}],"issued":{"date-parts":[["2014",4,14]]}}}],"schema":"https://github.com/citation-style-language/schema/raw/master/csl-citation.json"} </w:instrText>
      </w:r>
      <w:r w:rsidRPr="00D7634A">
        <w:rPr>
          <w:rFonts w:ascii="Times New Roman" w:hAnsi="Times New Roman" w:cs="Times New Roman"/>
          <w:sz w:val="24"/>
          <w:szCs w:val="24"/>
        </w:rPr>
        <w:fldChar w:fldCharType="separate"/>
      </w:r>
      <w:r w:rsidRPr="00D7634A">
        <w:rPr>
          <w:rFonts w:ascii="Times New Roman" w:hAnsi="Times New Roman" w:cs="Times New Roman"/>
          <w:sz w:val="24"/>
          <w:szCs w:val="24"/>
        </w:rPr>
        <w:t>(16)</w:t>
      </w:r>
      <w:r w:rsidRPr="00D7634A">
        <w:rPr>
          <w:rFonts w:ascii="Times New Roman" w:hAnsi="Times New Roman" w:cs="Times New Roman"/>
          <w:sz w:val="24"/>
          <w:szCs w:val="24"/>
        </w:rPr>
        <w:fldChar w:fldCharType="end"/>
      </w:r>
      <w:r w:rsidR="006B57DF" w:rsidRPr="00D7634A">
        <w:rPr>
          <w:rFonts w:ascii="Times New Roman" w:hAnsi="Times New Roman" w:cs="Times New Roman"/>
          <w:sz w:val="24"/>
          <w:szCs w:val="24"/>
        </w:rPr>
        <w:t xml:space="preserve">In Western countries, individuals undergoing primary </w:t>
      </w:r>
      <w:proofErr w:type="spellStart"/>
      <w:r w:rsidR="006B57DF" w:rsidRPr="00D7634A">
        <w:rPr>
          <w:rFonts w:ascii="Times New Roman" w:hAnsi="Times New Roman" w:cs="Times New Roman"/>
          <w:sz w:val="24"/>
          <w:szCs w:val="24"/>
        </w:rPr>
        <w:t>tumor</w:t>
      </w:r>
      <w:proofErr w:type="spellEnd"/>
      <w:r w:rsidR="006B57DF" w:rsidRPr="00D7634A">
        <w:rPr>
          <w:rFonts w:ascii="Times New Roman" w:hAnsi="Times New Roman" w:cs="Times New Roman"/>
          <w:sz w:val="24"/>
          <w:szCs w:val="24"/>
        </w:rPr>
        <w:t xml:space="preserve"> resection followed by postoperative chemoradiation therapy typically exhibit a 5-year survival rate of approximately 40%.</w:t>
      </w:r>
      <w:r w:rsidR="006B57DF" w:rsidRPr="00D7634A">
        <w:rPr>
          <w:rFonts w:ascii="Times New Roman" w:hAnsi="Times New Roman" w:cs="Times New Roman"/>
          <w:sz w:val="24"/>
          <w:szCs w:val="24"/>
        </w:rPr>
        <w:fldChar w:fldCharType="begin"/>
      </w:r>
      <w:r w:rsidR="006B57DF" w:rsidRPr="00D7634A">
        <w:rPr>
          <w:rFonts w:ascii="Times New Roman" w:hAnsi="Times New Roman" w:cs="Times New Roman"/>
          <w:sz w:val="24"/>
          <w:szCs w:val="24"/>
        </w:rPr>
        <w:instrText xml:space="preserve"> ADDIN ZOTERO_ITEM CSL_CITATION {"citationID":"kHf4097U","properties":{"formattedCitation":"(17)","plainCitation":"(17)","noteIndex":0},"citationItems":[{"id":67,"uris":["http://zotero.org/users/local/yttIQJMC/items/D2VLZDPT"],"itemData":{"id":67,"type":"article-journal","abstract":"BACKGROUND: The effect of the location of disease recurrence after curative (R0) gastrectomy on patient survival has not been elucidated. The authors hypothesized that the location of recurrence would have a significant influence on survival.\nMETHODS: Medical records of all patients who received treatment for gastric cancer at The University of Texas M. D. Anderson Cancer Center between 1985 and 1998 were reviewed. Patients who underwent R0 resection for gastric cancer and subsequently developed localized (anastomotic) recurrence (LR), lymph node (regional) recurrence (NR), or distant metastases (DM) were analyzed for overall survival (OS). All study factors were entered into a Cox proportional hazards model to provide multivariate hazard ratios. The model was adjusted for the effects of primary site of recurrence, histologic grade, patient age, and location of the primary tumor.\nRESULTS: This retrospective analysis included 227 consecutive patients. The median survival of patients who developed NR (11 months) was similar to that of patients who developed LR (10 months), but both groups had significantly longer median survival compared with patients who developed DM (7 months; log-rank P = .03). Patients who had well differentiated or moderately differentiated tumors had a longer OS (11 months) than patients who had poorly differentiated tumors (8 months; log-rank P = .02). In this cohort, location of the primary cancer and age at recurrence had no significant impact on OS.\nCONCLUSIONS: The data from this study suggested that, among patients who undergo R0 gastrectomy for gastric cancer, LR and NR versus DM should be considered a valid stratification factor for randomized trials based on significant differences in survival. Determining whether this stratification should apply to histologic differentiation will require further investigation in a larger multicenter cohort.","container-title":"Cancer","DOI":"10.1002/cncr.22317","ISSN":"0008-543X","issue":"11","journalAbbreviation":"Cancer","language":"eng","note":"PMID: 17075877","page":"2576-2580","source":"PubMed","title":"Outcome of gastric cancer patients after successful gastrectomy: influence of the type of recurrence and histology on survival","title-short":"Outcome of gastric cancer patients after successful gastrectomy","volume":"107","author":[{"family":"Rohatgi","given":"Pooja R."},{"family":"Yao","given":"James C."},{"family":"Hess","given":"Kenneth"},{"family":"Schnirer","given":"Isac"},{"family":"Rashid","given":"Asif"},{"family":"Mansfield","given":"Paul F."},{"family":"Pisters","given":"Peter W."},{"family":"Ajani","given":"Jaffer A."}],"issued":{"date-parts":[["2006",12,1]]}}}],"schema":"https://github.com/citation-style-language/schema/raw/master/csl-citation.json"} </w:instrText>
      </w:r>
      <w:r w:rsidR="006B57DF" w:rsidRPr="00D7634A">
        <w:rPr>
          <w:rFonts w:ascii="Times New Roman" w:hAnsi="Times New Roman" w:cs="Times New Roman"/>
          <w:sz w:val="24"/>
          <w:szCs w:val="24"/>
        </w:rPr>
        <w:fldChar w:fldCharType="separate"/>
      </w:r>
      <w:r w:rsidR="006B57DF" w:rsidRPr="00D7634A">
        <w:rPr>
          <w:rFonts w:ascii="Times New Roman" w:hAnsi="Times New Roman" w:cs="Times New Roman"/>
          <w:sz w:val="24"/>
          <w:szCs w:val="24"/>
        </w:rPr>
        <w:t>(17)</w:t>
      </w:r>
      <w:r w:rsidR="006B57DF" w:rsidRPr="00D7634A">
        <w:rPr>
          <w:rFonts w:ascii="Times New Roman" w:hAnsi="Times New Roman" w:cs="Times New Roman"/>
          <w:sz w:val="24"/>
          <w:szCs w:val="24"/>
        </w:rPr>
        <w:fldChar w:fldCharType="end"/>
      </w:r>
      <w:r w:rsidR="00F87562" w:rsidRPr="00D7634A">
        <w:rPr>
          <w:rFonts w:ascii="Times New Roman" w:hAnsi="Times New Roman" w:cs="Times New Roman"/>
          <w:color w:val="212121"/>
          <w:sz w:val="24"/>
          <w:szCs w:val="24"/>
          <w:shd w:val="clear" w:color="auto" w:fill="FFFFFF"/>
        </w:rPr>
        <w:t xml:space="preserve"> </w:t>
      </w:r>
      <w:r w:rsidR="00F87562" w:rsidRPr="00D7634A">
        <w:rPr>
          <w:rFonts w:ascii="Times New Roman" w:hAnsi="Times New Roman" w:cs="Times New Roman"/>
          <w:sz w:val="24"/>
          <w:szCs w:val="24"/>
        </w:rPr>
        <w:t>Once there is evidence of recurrence, the patient is rarely curable.</w:t>
      </w:r>
    </w:p>
    <w:p w14:paraId="36666C86" w14:textId="77777777" w:rsidR="008C0B93" w:rsidRPr="007263AC" w:rsidRDefault="008C0B93" w:rsidP="008C0B93">
      <w:pPr>
        <w:rPr>
          <w:rFonts w:ascii="Times New Roman" w:hAnsi="Times New Roman" w:cs="Times New Roman"/>
          <w:sz w:val="24"/>
          <w:szCs w:val="24"/>
        </w:rPr>
      </w:pPr>
    </w:p>
    <w:p w14:paraId="4166E3EE" w14:textId="02390EA6" w:rsidR="008C0B93" w:rsidRPr="007263AC" w:rsidRDefault="00924C48" w:rsidP="008C0B93">
      <w:pPr>
        <w:rPr>
          <w:rFonts w:ascii="Times New Roman" w:hAnsi="Times New Roman" w:cs="Times New Roman"/>
          <w:sz w:val="24"/>
          <w:szCs w:val="24"/>
        </w:rPr>
      </w:pPr>
      <w:r>
        <w:rPr>
          <w:rFonts w:ascii="Times New Roman" w:hAnsi="Times New Roman" w:cs="Times New Roman"/>
          <w:sz w:val="24"/>
          <w:szCs w:val="24"/>
        </w:rPr>
        <w:t xml:space="preserve">References </w:t>
      </w:r>
    </w:p>
    <w:p w14:paraId="0123D61C" w14:textId="77777777" w:rsidR="006B57DF" w:rsidRPr="006B57DF" w:rsidRDefault="008C0B93" w:rsidP="006B57DF">
      <w:pPr>
        <w:pStyle w:val="Bibliography"/>
        <w:rPr>
          <w:rFonts w:ascii="Times New Roman" w:hAnsi="Times New Roman" w:cs="Times New Roman"/>
          <w:sz w:val="24"/>
        </w:rPr>
      </w:pPr>
      <w:r w:rsidRPr="007263AC">
        <w:fldChar w:fldCharType="begin"/>
      </w:r>
      <w:r w:rsidRPr="007263AC">
        <w:instrText xml:space="preserve"> ADDIN ZOTERO_BIBL {"uncited":[],"omitted":[],"custom":[]} CSL_BIBLIOGRAPHY </w:instrText>
      </w:r>
      <w:r w:rsidRPr="007263AC">
        <w:fldChar w:fldCharType="separate"/>
      </w:r>
      <w:r w:rsidR="006B57DF" w:rsidRPr="006B57DF">
        <w:rPr>
          <w:rFonts w:ascii="Times New Roman" w:hAnsi="Times New Roman" w:cs="Times New Roman"/>
          <w:sz w:val="24"/>
        </w:rPr>
        <w:t>1.</w:t>
      </w:r>
      <w:r w:rsidR="006B57DF" w:rsidRPr="006B57DF">
        <w:rPr>
          <w:rFonts w:ascii="Times New Roman" w:hAnsi="Times New Roman" w:cs="Times New Roman"/>
          <w:sz w:val="24"/>
        </w:rPr>
        <w:tab/>
        <w:t xml:space="preserve">Then EO, Grantham T, Deda X, Ramachandran R, Gaduputi V. Metastatic Gastric Cancer to the Colon. World J Oncol. 2021 Aug;12(4):127–31. </w:t>
      </w:r>
    </w:p>
    <w:p w14:paraId="56D9A2D3"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2.</w:t>
      </w:r>
      <w:r w:rsidRPr="006B57DF">
        <w:rPr>
          <w:rFonts w:ascii="Times New Roman" w:hAnsi="Times New Roman" w:cs="Times New Roman"/>
          <w:sz w:val="24"/>
        </w:rPr>
        <w:tab/>
        <w:t xml:space="preserve">Riihimäki M, Hemminki A, Sundquist K, Sundquist J, Hemminki K. Metastatic spread in patients with gastric cancer. Oncotarget. 2016 Jul 20;7(32):52307–16. </w:t>
      </w:r>
    </w:p>
    <w:p w14:paraId="76484A66"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3.</w:t>
      </w:r>
      <w:r w:rsidRPr="006B57DF">
        <w:rPr>
          <w:rFonts w:ascii="Times New Roman" w:hAnsi="Times New Roman" w:cs="Times New Roman"/>
          <w:sz w:val="24"/>
        </w:rPr>
        <w:tab/>
        <w:t xml:space="preserve">Choudhry MN, Ali M, Hasan N. Small bowel obstruction secondary to gastric adenocarcinoma. BMJ Case Rep. 2009 Jul 23;2009:bcr11.2008.1225. </w:t>
      </w:r>
    </w:p>
    <w:p w14:paraId="4E5B16E0"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lastRenderedPageBreak/>
        <w:t>4.</w:t>
      </w:r>
      <w:r w:rsidRPr="006B57DF">
        <w:rPr>
          <w:rFonts w:ascii="Times New Roman" w:hAnsi="Times New Roman" w:cs="Times New Roman"/>
          <w:sz w:val="24"/>
        </w:rPr>
        <w:tab/>
        <w:t>Adenocarcinoma of the small bowel - Hutchins - 2001 - ANZ Journal of Surgery - Wiley Online Library [Internet]. [cited 2023 Oct 12]. Available from: https://onlinelibrary.wiley.com/doi/abs/10.1046/j.1440-1622.2001.02149.x?sid=nlm%3Apubmed</w:t>
      </w:r>
    </w:p>
    <w:p w14:paraId="178977E7"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5.</w:t>
      </w:r>
      <w:r w:rsidRPr="006B57DF">
        <w:rPr>
          <w:rFonts w:ascii="Times New Roman" w:hAnsi="Times New Roman" w:cs="Times New Roman"/>
          <w:sz w:val="24"/>
        </w:rPr>
        <w:tab/>
        <w:t xml:space="preserve">Bozzetti F, Marubini E, Bonfanti G, Miceli R, Piano C, Gennari L. Subtotal Versus Total Gastrectomy for Gastric Cancer. Ann Surg. 1999 Aug;230(2):170. </w:t>
      </w:r>
    </w:p>
    <w:p w14:paraId="0FC99B4F"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6.</w:t>
      </w:r>
      <w:r w:rsidRPr="006B57DF">
        <w:rPr>
          <w:rFonts w:ascii="Times New Roman" w:hAnsi="Times New Roman" w:cs="Times New Roman"/>
          <w:sz w:val="24"/>
        </w:rPr>
        <w:tab/>
        <w:t xml:space="preserve">Schwartz GK. Invasion and metastases in gastric cancer: in vitro and in vivo models with clinical correlations. Semin Oncol. 1996 Jun 1;23(3):316–24. </w:t>
      </w:r>
    </w:p>
    <w:p w14:paraId="4457D6A1"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7.</w:t>
      </w:r>
      <w:r w:rsidRPr="006B57DF">
        <w:rPr>
          <w:rFonts w:ascii="Times New Roman" w:hAnsi="Times New Roman" w:cs="Times New Roman"/>
          <w:sz w:val="24"/>
        </w:rPr>
        <w:tab/>
        <w:t xml:space="preserve">Berlth F, Bollschweiler E, Drebber U, Hoelscher AH, Moenig S. Pathohistological classification systems in gastric cancer: Diagnostic relevance and prognostic value. World J Gastroenterol WJG. 2014 May 21;20(19):5679–84. </w:t>
      </w:r>
    </w:p>
    <w:p w14:paraId="78D1A96A"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8.</w:t>
      </w:r>
      <w:r w:rsidRPr="006B57DF">
        <w:rPr>
          <w:rFonts w:ascii="Times New Roman" w:hAnsi="Times New Roman" w:cs="Times New Roman"/>
          <w:sz w:val="24"/>
        </w:rPr>
        <w:tab/>
        <w:t xml:space="preserve">Bakkelund K, Fossmark R, Nordrum I, Waldum H. Signet ring cells in gastric carcinomas are derived from neuroendocrine cells. J Histochem Cytochem Off J Histochem Soc. 2006 Jun;54(6):615–21. </w:t>
      </w:r>
    </w:p>
    <w:p w14:paraId="1E5D39ED"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9.</w:t>
      </w:r>
      <w:r w:rsidRPr="006B57DF">
        <w:rPr>
          <w:rFonts w:ascii="Times New Roman" w:hAnsi="Times New Roman" w:cs="Times New Roman"/>
          <w:sz w:val="24"/>
        </w:rPr>
        <w:tab/>
        <w:t xml:space="preserve">Yue G, Sun X, Gimenez-Capitan A, Shen J, Yu L, Teixido C, et al. TAZ Is Highly Expressed in Gastric Signet Ring Cell Carcinoma. BioMed Res Int. 2014;2014:393064. </w:t>
      </w:r>
    </w:p>
    <w:p w14:paraId="7983FAA8"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10.</w:t>
      </w:r>
      <w:r w:rsidRPr="006B57DF">
        <w:rPr>
          <w:rFonts w:ascii="Times New Roman" w:hAnsi="Times New Roman" w:cs="Times New Roman"/>
          <w:sz w:val="24"/>
        </w:rPr>
        <w:tab/>
        <w:t>Changes in the location and type of gastric adenocarcinoma - Antonioli - 1982 - Cancer - Wiley Online Library [Internet]. [cited 2023 Oct 16]. Available from: https://acsjournals.onlinelibrary.wiley.com/doi/10.1002/1097-0142(19820815)50:4%3C775::AID-CNCR2820500425%3E3.0.CO;2-W</w:t>
      </w:r>
    </w:p>
    <w:p w14:paraId="5733FCC3"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11.</w:t>
      </w:r>
      <w:r w:rsidRPr="006B57DF">
        <w:rPr>
          <w:rFonts w:ascii="Times New Roman" w:hAnsi="Times New Roman" w:cs="Times New Roman"/>
          <w:sz w:val="24"/>
        </w:rPr>
        <w:tab/>
        <w:t xml:space="preserve">Hu B, El Hajj N, Sittler S, Lammert N, Barnes R, Meloni-Ehrig A. Gastric cancer: Classification, histology and application of molecular pathology. J Gastrointest Oncol. 2012 Sep;3(3):251–61. </w:t>
      </w:r>
    </w:p>
    <w:p w14:paraId="007496E4"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12.</w:t>
      </w:r>
      <w:r w:rsidRPr="006B57DF">
        <w:rPr>
          <w:rFonts w:ascii="Times New Roman" w:hAnsi="Times New Roman" w:cs="Times New Roman"/>
          <w:sz w:val="24"/>
        </w:rPr>
        <w:tab/>
        <w:t xml:space="preserve">Benesch MGK, Mathieson A. Epidemiology of Signet Ring Cell Adenocarcinomas. Cancers. 2020 Jun 11;12(6):1544. </w:t>
      </w:r>
    </w:p>
    <w:p w14:paraId="13CD5856"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13.</w:t>
      </w:r>
      <w:r w:rsidRPr="006B57DF">
        <w:rPr>
          <w:rFonts w:ascii="Times New Roman" w:hAnsi="Times New Roman" w:cs="Times New Roman"/>
          <w:sz w:val="24"/>
        </w:rPr>
        <w:tab/>
        <w:t xml:space="preserve">Meyer HJ, Hölscher AH, Lordick F, Messmann H, Mönig S, Schumacher C, et al. [Current S3 guidelines on surgical treatment of gastric carcinoma]. Chir Z Alle Geb Oper Medizen. 2012 Jan 1;83(1):31–7. </w:t>
      </w:r>
    </w:p>
    <w:p w14:paraId="47C294DD"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14.</w:t>
      </w:r>
      <w:r w:rsidRPr="006B57DF">
        <w:rPr>
          <w:rFonts w:ascii="Times New Roman" w:hAnsi="Times New Roman" w:cs="Times New Roman"/>
          <w:sz w:val="24"/>
        </w:rPr>
        <w:tab/>
        <w:t xml:space="preserve">Gall FP, Hermanek P. New aspects in the surgical treatment of gastric carcinoma--a comparative study of 1636 patients operated on between 1969 and 1982. Eur J Surg Oncol. 1985 Sep 1;11(3):219–25. </w:t>
      </w:r>
    </w:p>
    <w:p w14:paraId="0ED5BB6A"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15.</w:t>
      </w:r>
      <w:r w:rsidRPr="006B57DF">
        <w:rPr>
          <w:rFonts w:ascii="Times New Roman" w:hAnsi="Times New Roman" w:cs="Times New Roman"/>
          <w:sz w:val="24"/>
        </w:rPr>
        <w:tab/>
        <w:t xml:space="preserve">Choi JS, Kim MA, Lee HE, Lee HS, Kim WH. Mucinous gastric carcinomas: clinicopathologic and molecular analyses. Cancer. 2009 Aug 1;115(15):3581–90. </w:t>
      </w:r>
    </w:p>
    <w:p w14:paraId="38839A7D"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16.</w:t>
      </w:r>
      <w:r w:rsidRPr="006B57DF">
        <w:rPr>
          <w:rFonts w:ascii="Times New Roman" w:hAnsi="Times New Roman" w:cs="Times New Roman"/>
          <w:sz w:val="24"/>
        </w:rPr>
        <w:tab/>
        <w:t xml:space="preserve">Deng JY, Liang H. Clinical significance of lymph node metastasis in gastric cancer. World J Gastroenterol WJG. 2014 Apr 14;20(14):3967–75. </w:t>
      </w:r>
    </w:p>
    <w:p w14:paraId="2BCA841B" w14:textId="77777777" w:rsidR="006B57DF" w:rsidRPr="006B57DF" w:rsidRDefault="006B57DF" w:rsidP="006B57DF">
      <w:pPr>
        <w:pStyle w:val="Bibliography"/>
        <w:rPr>
          <w:rFonts w:ascii="Times New Roman" w:hAnsi="Times New Roman" w:cs="Times New Roman"/>
          <w:sz w:val="24"/>
        </w:rPr>
      </w:pPr>
      <w:r w:rsidRPr="006B57DF">
        <w:rPr>
          <w:rFonts w:ascii="Times New Roman" w:hAnsi="Times New Roman" w:cs="Times New Roman"/>
          <w:sz w:val="24"/>
        </w:rPr>
        <w:t>17.</w:t>
      </w:r>
      <w:r w:rsidRPr="006B57DF">
        <w:rPr>
          <w:rFonts w:ascii="Times New Roman" w:hAnsi="Times New Roman" w:cs="Times New Roman"/>
          <w:sz w:val="24"/>
        </w:rPr>
        <w:tab/>
        <w:t xml:space="preserve">Rohatgi PR, Yao JC, Hess K, Schnirer I, Rashid A, Mansfield PF, et al. Outcome of gastric cancer patients after successful gastrectomy: influence of the type of recurrence and histology on survival. Cancer. 2006 Dec 1;107(11):2576–80. </w:t>
      </w:r>
    </w:p>
    <w:p w14:paraId="1970210C" w14:textId="5A06B755" w:rsidR="008C0B93" w:rsidRPr="007263AC" w:rsidRDefault="008C0B93" w:rsidP="008C0B93">
      <w:pPr>
        <w:rPr>
          <w:rFonts w:ascii="Times New Roman" w:hAnsi="Times New Roman" w:cs="Times New Roman"/>
          <w:sz w:val="24"/>
          <w:szCs w:val="24"/>
        </w:rPr>
      </w:pPr>
      <w:r w:rsidRPr="007263AC">
        <w:rPr>
          <w:rFonts w:ascii="Times New Roman" w:hAnsi="Times New Roman" w:cs="Times New Roman"/>
          <w:sz w:val="24"/>
          <w:szCs w:val="24"/>
        </w:rPr>
        <w:lastRenderedPageBreak/>
        <w:fldChar w:fldCharType="end"/>
      </w:r>
    </w:p>
    <w:sectPr w:rsidR="008C0B93" w:rsidRPr="007263AC">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6228C" w14:textId="77777777" w:rsidR="0013780A" w:rsidRDefault="0013780A" w:rsidP="00E617FD">
      <w:pPr>
        <w:spacing w:after="0" w:line="240" w:lineRule="auto"/>
      </w:pPr>
      <w:r>
        <w:separator/>
      </w:r>
    </w:p>
  </w:endnote>
  <w:endnote w:type="continuationSeparator" w:id="0">
    <w:p w14:paraId="659D82FE" w14:textId="77777777" w:rsidR="0013780A" w:rsidRDefault="0013780A" w:rsidP="00E61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ACF20" w14:textId="77777777" w:rsidR="00E617FD" w:rsidRDefault="00E61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D677E" w14:textId="77777777" w:rsidR="00E617FD" w:rsidRDefault="00E617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30D3D" w14:textId="77777777" w:rsidR="00E617FD" w:rsidRDefault="00E61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4D84A" w14:textId="77777777" w:rsidR="0013780A" w:rsidRDefault="0013780A" w:rsidP="00E617FD">
      <w:pPr>
        <w:spacing w:after="0" w:line="240" w:lineRule="auto"/>
      </w:pPr>
      <w:r>
        <w:separator/>
      </w:r>
    </w:p>
  </w:footnote>
  <w:footnote w:type="continuationSeparator" w:id="0">
    <w:p w14:paraId="4AD70FB4" w14:textId="77777777" w:rsidR="0013780A" w:rsidRDefault="0013780A" w:rsidP="00E61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D8F08" w14:textId="23C8255A" w:rsidR="00E617FD" w:rsidRDefault="00E617FD">
    <w:pPr>
      <w:pStyle w:val="Header"/>
    </w:pPr>
    <w:r>
      <w:rPr>
        <w:noProof/>
      </w:rPr>
      <w:pict w14:anchorId="533498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766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1FB6F" w14:textId="1C3D7820" w:rsidR="00E617FD" w:rsidRDefault="00E617FD">
    <w:pPr>
      <w:pStyle w:val="Header"/>
    </w:pPr>
    <w:r>
      <w:rPr>
        <w:noProof/>
      </w:rPr>
      <w:pict w14:anchorId="2D4A7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766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22A1" w14:textId="7135E177" w:rsidR="00E617FD" w:rsidRDefault="00E617FD">
    <w:pPr>
      <w:pStyle w:val="Header"/>
    </w:pPr>
    <w:r>
      <w:rPr>
        <w:noProof/>
      </w:rPr>
      <w:pict w14:anchorId="72C100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766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4E69"/>
    <w:rsid w:val="00017EF8"/>
    <w:rsid w:val="00041596"/>
    <w:rsid w:val="000523FC"/>
    <w:rsid w:val="00060862"/>
    <w:rsid w:val="0008253D"/>
    <w:rsid w:val="000865D8"/>
    <w:rsid w:val="00095B4B"/>
    <w:rsid w:val="00097CF6"/>
    <w:rsid w:val="000B52BC"/>
    <w:rsid w:val="000C4E69"/>
    <w:rsid w:val="000C7CB5"/>
    <w:rsid w:val="000D46E4"/>
    <w:rsid w:val="000D7E69"/>
    <w:rsid w:val="000F631C"/>
    <w:rsid w:val="001374FA"/>
    <w:rsid w:val="0013780A"/>
    <w:rsid w:val="00167A47"/>
    <w:rsid w:val="00172DA2"/>
    <w:rsid w:val="001733D9"/>
    <w:rsid w:val="00174E59"/>
    <w:rsid w:val="001A41DD"/>
    <w:rsid w:val="001B672F"/>
    <w:rsid w:val="001C178C"/>
    <w:rsid w:val="001D598B"/>
    <w:rsid w:val="001F110C"/>
    <w:rsid w:val="001F43BD"/>
    <w:rsid w:val="00213EA0"/>
    <w:rsid w:val="00220C82"/>
    <w:rsid w:val="00223D7F"/>
    <w:rsid w:val="0029391C"/>
    <w:rsid w:val="002A1C9E"/>
    <w:rsid w:val="002B0041"/>
    <w:rsid w:val="002C660A"/>
    <w:rsid w:val="002D76C9"/>
    <w:rsid w:val="002E49F1"/>
    <w:rsid w:val="002F7568"/>
    <w:rsid w:val="003009A3"/>
    <w:rsid w:val="00304F21"/>
    <w:rsid w:val="00307B2C"/>
    <w:rsid w:val="00310170"/>
    <w:rsid w:val="0034506F"/>
    <w:rsid w:val="00360AFC"/>
    <w:rsid w:val="00387F7F"/>
    <w:rsid w:val="003A508A"/>
    <w:rsid w:val="003C200D"/>
    <w:rsid w:val="003D15C5"/>
    <w:rsid w:val="003D3D7C"/>
    <w:rsid w:val="003D5D52"/>
    <w:rsid w:val="003F0963"/>
    <w:rsid w:val="003F2798"/>
    <w:rsid w:val="003F32A1"/>
    <w:rsid w:val="004227EF"/>
    <w:rsid w:val="00442E88"/>
    <w:rsid w:val="00446602"/>
    <w:rsid w:val="00454653"/>
    <w:rsid w:val="004A64D4"/>
    <w:rsid w:val="004C023A"/>
    <w:rsid w:val="004C4AA3"/>
    <w:rsid w:val="004E27AC"/>
    <w:rsid w:val="004E7449"/>
    <w:rsid w:val="005053E6"/>
    <w:rsid w:val="00586778"/>
    <w:rsid w:val="00591D09"/>
    <w:rsid w:val="005C2819"/>
    <w:rsid w:val="005C2A36"/>
    <w:rsid w:val="005E1233"/>
    <w:rsid w:val="005F39EF"/>
    <w:rsid w:val="00617E19"/>
    <w:rsid w:val="006221F7"/>
    <w:rsid w:val="006247C1"/>
    <w:rsid w:val="0064093E"/>
    <w:rsid w:val="00645462"/>
    <w:rsid w:val="00671EA6"/>
    <w:rsid w:val="0068238E"/>
    <w:rsid w:val="006A5850"/>
    <w:rsid w:val="006B1C18"/>
    <w:rsid w:val="006B4007"/>
    <w:rsid w:val="006B57DF"/>
    <w:rsid w:val="006E2048"/>
    <w:rsid w:val="00701B73"/>
    <w:rsid w:val="007211E0"/>
    <w:rsid w:val="00722338"/>
    <w:rsid w:val="007263AC"/>
    <w:rsid w:val="007328FE"/>
    <w:rsid w:val="00746C10"/>
    <w:rsid w:val="00765526"/>
    <w:rsid w:val="007702C3"/>
    <w:rsid w:val="00792477"/>
    <w:rsid w:val="007D4407"/>
    <w:rsid w:val="00816D43"/>
    <w:rsid w:val="0082428B"/>
    <w:rsid w:val="00861415"/>
    <w:rsid w:val="008A69A9"/>
    <w:rsid w:val="008C0B93"/>
    <w:rsid w:val="008D0FFC"/>
    <w:rsid w:val="008E1AC2"/>
    <w:rsid w:val="008E4E6C"/>
    <w:rsid w:val="009141D3"/>
    <w:rsid w:val="00924C48"/>
    <w:rsid w:val="009320FC"/>
    <w:rsid w:val="00951519"/>
    <w:rsid w:val="0095617B"/>
    <w:rsid w:val="00967C49"/>
    <w:rsid w:val="009952E1"/>
    <w:rsid w:val="009D102B"/>
    <w:rsid w:val="009D14B7"/>
    <w:rsid w:val="009D38D3"/>
    <w:rsid w:val="00A17563"/>
    <w:rsid w:val="00A342A2"/>
    <w:rsid w:val="00A348DE"/>
    <w:rsid w:val="00A53F79"/>
    <w:rsid w:val="00A8457F"/>
    <w:rsid w:val="00A86A4C"/>
    <w:rsid w:val="00AA0310"/>
    <w:rsid w:val="00AB5D3E"/>
    <w:rsid w:val="00AC2511"/>
    <w:rsid w:val="00AC3BC8"/>
    <w:rsid w:val="00AF7A04"/>
    <w:rsid w:val="00B01F22"/>
    <w:rsid w:val="00B348C0"/>
    <w:rsid w:val="00B354BD"/>
    <w:rsid w:val="00B36875"/>
    <w:rsid w:val="00B41771"/>
    <w:rsid w:val="00B47A80"/>
    <w:rsid w:val="00B65040"/>
    <w:rsid w:val="00B86ABE"/>
    <w:rsid w:val="00BA5113"/>
    <w:rsid w:val="00BD0EF9"/>
    <w:rsid w:val="00C02DCC"/>
    <w:rsid w:val="00C04C40"/>
    <w:rsid w:val="00C1768C"/>
    <w:rsid w:val="00C46C00"/>
    <w:rsid w:val="00C740AD"/>
    <w:rsid w:val="00C765D1"/>
    <w:rsid w:val="00CB50CE"/>
    <w:rsid w:val="00CC37AC"/>
    <w:rsid w:val="00CD4DE2"/>
    <w:rsid w:val="00D0158E"/>
    <w:rsid w:val="00D373E9"/>
    <w:rsid w:val="00D43EC9"/>
    <w:rsid w:val="00D45CB8"/>
    <w:rsid w:val="00D51093"/>
    <w:rsid w:val="00D5394D"/>
    <w:rsid w:val="00D637FC"/>
    <w:rsid w:val="00D6428E"/>
    <w:rsid w:val="00D7634A"/>
    <w:rsid w:val="00D87C0C"/>
    <w:rsid w:val="00D90C6E"/>
    <w:rsid w:val="00DA5928"/>
    <w:rsid w:val="00DB0B88"/>
    <w:rsid w:val="00DB7E2D"/>
    <w:rsid w:val="00DD0911"/>
    <w:rsid w:val="00DF7579"/>
    <w:rsid w:val="00E40DC9"/>
    <w:rsid w:val="00E5176D"/>
    <w:rsid w:val="00E56710"/>
    <w:rsid w:val="00E617FD"/>
    <w:rsid w:val="00E735D2"/>
    <w:rsid w:val="00E80B40"/>
    <w:rsid w:val="00EB1811"/>
    <w:rsid w:val="00EB688E"/>
    <w:rsid w:val="00ED21F3"/>
    <w:rsid w:val="00ED78EF"/>
    <w:rsid w:val="00EE2F7B"/>
    <w:rsid w:val="00EE6C25"/>
    <w:rsid w:val="00EF2D75"/>
    <w:rsid w:val="00EF76C9"/>
    <w:rsid w:val="00F31A50"/>
    <w:rsid w:val="00F87562"/>
    <w:rsid w:val="00F9557F"/>
    <w:rsid w:val="00FA3A8C"/>
    <w:rsid w:val="00FB173A"/>
    <w:rsid w:val="00FB277F"/>
    <w:rsid w:val="00FB3D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597C17"/>
  <w15:docId w15:val="{99486C91-E2E7-4E57-A1AD-65507788A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IN"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5B4B"/>
  </w:style>
  <w:style w:type="paragraph" w:styleId="Heading1">
    <w:name w:val="heading 1"/>
    <w:basedOn w:val="Normal"/>
    <w:next w:val="Normal"/>
    <w:link w:val="Heading1Char"/>
    <w:uiPriority w:val="9"/>
    <w:qFormat/>
    <w:rsid w:val="00095B4B"/>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095B4B"/>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095B4B"/>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095B4B"/>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095B4B"/>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095B4B"/>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095B4B"/>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095B4B"/>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095B4B"/>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C2819"/>
    <w:rPr>
      <w:color w:val="0000FF"/>
      <w:u w:val="single"/>
    </w:rPr>
  </w:style>
  <w:style w:type="character" w:styleId="Emphasis">
    <w:name w:val="Emphasis"/>
    <w:basedOn w:val="DefaultParagraphFont"/>
    <w:uiPriority w:val="20"/>
    <w:qFormat/>
    <w:rsid w:val="00095B4B"/>
    <w:rPr>
      <w:i/>
      <w:iCs/>
      <w:color w:val="000000" w:themeColor="text1"/>
    </w:rPr>
  </w:style>
  <w:style w:type="character" w:customStyle="1" w:styleId="figpopup-sensitive-area">
    <w:name w:val="figpopup-sensitive-area"/>
    <w:basedOn w:val="DefaultParagraphFont"/>
    <w:rsid w:val="005C2A36"/>
  </w:style>
  <w:style w:type="character" w:customStyle="1" w:styleId="Heading1Char">
    <w:name w:val="Heading 1 Char"/>
    <w:basedOn w:val="DefaultParagraphFont"/>
    <w:link w:val="Heading1"/>
    <w:uiPriority w:val="9"/>
    <w:rsid w:val="00095B4B"/>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095B4B"/>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095B4B"/>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095B4B"/>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095B4B"/>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095B4B"/>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095B4B"/>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095B4B"/>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095B4B"/>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095B4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95B4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095B4B"/>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095B4B"/>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095B4B"/>
    <w:rPr>
      <w:caps/>
      <w:color w:val="404040" w:themeColor="text1" w:themeTint="BF"/>
      <w:spacing w:val="20"/>
      <w:sz w:val="28"/>
      <w:szCs w:val="28"/>
    </w:rPr>
  </w:style>
  <w:style w:type="character" w:styleId="Strong">
    <w:name w:val="Strong"/>
    <w:basedOn w:val="DefaultParagraphFont"/>
    <w:uiPriority w:val="22"/>
    <w:qFormat/>
    <w:rsid w:val="00095B4B"/>
    <w:rPr>
      <w:b/>
      <w:bCs/>
    </w:rPr>
  </w:style>
  <w:style w:type="paragraph" w:styleId="NoSpacing">
    <w:name w:val="No Spacing"/>
    <w:uiPriority w:val="1"/>
    <w:qFormat/>
    <w:rsid w:val="00095B4B"/>
    <w:pPr>
      <w:spacing w:after="0" w:line="240" w:lineRule="auto"/>
    </w:pPr>
  </w:style>
  <w:style w:type="paragraph" w:styleId="Quote">
    <w:name w:val="Quote"/>
    <w:basedOn w:val="Normal"/>
    <w:next w:val="Normal"/>
    <w:link w:val="QuoteChar"/>
    <w:uiPriority w:val="29"/>
    <w:qFormat/>
    <w:rsid w:val="00095B4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095B4B"/>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095B4B"/>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095B4B"/>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095B4B"/>
    <w:rPr>
      <w:i/>
      <w:iCs/>
      <w:color w:val="595959" w:themeColor="text1" w:themeTint="A6"/>
    </w:rPr>
  </w:style>
  <w:style w:type="character" w:styleId="IntenseEmphasis">
    <w:name w:val="Intense Emphasis"/>
    <w:basedOn w:val="DefaultParagraphFont"/>
    <w:uiPriority w:val="21"/>
    <w:qFormat/>
    <w:rsid w:val="00095B4B"/>
    <w:rPr>
      <w:b/>
      <w:bCs/>
      <w:i/>
      <w:iCs/>
      <w:caps w:val="0"/>
      <w:smallCaps w:val="0"/>
      <w:strike w:val="0"/>
      <w:dstrike w:val="0"/>
      <w:color w:val="ED7D31" w:themeColor="accent2"/>
    </w:rPr>
  </w:style>
  <w:style w:type="character" w:styleId="SubtleReference">
    <w:name w:val="Subtle Reference"/>
    <w:basedOn w:val="DefaultParagraphFont"/>
    <w:uiPriority w:val="31"/>
    <w:qFormat/>
    <w:rsid w:val="00095B4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95B4B"/>
    <w:rPr>
      <w:b/>
      <w:bCs/>
      <w:caps w:val="0"/>
      <w:smallCaps/>
      <w:color w:val="auto"/>
      <w:spacing w:val="0"/>
      <w:u w:val="single"/>
    </w:rPr>
  </w:style>
  <w:style w:type="character" w:styleId="BookTitle">
    <w:name w:val="Book Title"/>
    <w:basedOn w:val="DefaultParagraphFont"/>
    <w:uiPriority w:val="33"/>
    <w:qFormat/>
    <w:rsid w:val="00095B4B"/>
    <w:rPr>
      <w:b/>
      <w:bCs/>
      <w:caps w:val="0"/>
      <w:smallCaps/>
      <w:spacing w:val="0"/>
    </w:rPr>
  </w:style>
  <w:style w:type="paragraph" w:styleId="TOCHeading">
    <w:name w:val="TOC Heading"/>
    <w:basedOn w:val="Heading1"/>
    <w:next w:val="Normal"/>
    <w:uiPriority w:val="39"/>
    <w:semiHidden/>
    <w:unhideWhenUsed/>
    <w:qFormat/>
    <w:rsid w:val="00095B4B"/>
    <w:pPr>
      <w:outlineLvl w:val="9"/>
    </w:pPr>
  </w:style>
  <w:style w:type="paragraph" w:styleId="Bibliography">
    <w:name w:val="Bibliography"/>
    <w:basedOn w:val="Normal"/>
    <w:next w:val="Normal"/>
    <w:uiPriority w:val="37"/>
    <w:unhideWhenUsed/>
    <w:rsid w:val="008C0B93"/>
    <w:pPr>
      <w:tabs>
        <w:tab w:val="left" w:pos="384"/>
      </w:tabs>
      <w:spacing w:after="240" w:line="240" w:lineRule="auto"/>
      <w:ind w:left="384" w:hanging="384"/>
    </w:pPr>
  </w:style>
  <w:style w:type="paragraph" w:styleId="NormalWeb">
    <w:name w:val="Normal (Web)"/>
    <w:basedOn w:val="Normal"/>
    <w:uiPriority w:val="99"/>
    <w:semiHidden/>
    <w:unhideWhenUsed/>
    <w:rsid w:val="00CC37A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CC37AC"/>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CC37AC"/>
    <w:rPr>
      <w:rFonts w:ascii="Arial" w:eastAsia="Times New Roman" w:hAnsi="Arial" w:cs="Arial"/>
      <w:vanish/>
      <w:sz w:val="16"/>
      <w:szCs w:val="16"/>
      <w:lang w:eastAsia="en-IN"/>
    </w:rPr>
  </w:style>
  <w:style w:type="paragraph" w:styleId="BalloonText">
    <w:name w:val="Balloon Text"/>
    <w:basedOn w:val="Normal"/>
    <w:link w:val="BalloonTextChar"/>
    <w:uiPriority w:val="99"/>
    <w:semiHidden/>
    <w:unhideWhenUsed/>
    <w:rsid w:val="008D0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FFC"/>
    <w:rPr>
      <w:rFonts w:ascii="Tahoma" w:hAnsi="Tahoma" w:cs="Tahoma"/>
      <w:sz w:val="16"/>
      <w:szCs w:val="16"/>
    </w:rPr>
  </w:style>
  <w:style w:type="paragraph" w:styleId="Header">
    <w:name w:val="header"/>
    <w:basedOn w:val="Normal"/>
    <w:link w:val="HeaderChar"/>
    <w:uiPriority w:val="99"/>
    <w:unhideWhenUsed/>
    <w:rsid w:val="00E61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7FD"/>
  </w:style>
  <w:style w:type="paragraph" w:styleId="Footer">
    <w:name w:val="footer"/>
    <w:basedOn w:val="Normal"/>
    <w:link w:val="FooterChar"/>
    <w:uiPriority w:val="99"/>
    <w:unhideWhenUsed/>
    <w:rsid w:val="00E61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107356">
      <w:bodyDiv w:val="1"/>
      <w:marLeft w:val="0"/>
      <w:marRight w:val="0"/>
      <w:marTop w:val="0"/>
      <w:marBottom w:val="0"/>
      <w:divBdr>
        <w:top w:val="none" w:sz="0" w:space="0" w:color="auto"/>
        <w:left w:val="none" w:sz="0" w:space="0" w:color="auto"/>
        <w:bottom w:val="none" w:sz="0" w:space="0" w:color="auto"/>
        <w:right w:val="none" w:sz="0" w:space="0" w:color="auto"/>
      </w:divBdr>
      <w:divsChild>
        <w:div w:id="1478104097">
          <w:marLeft w:val="0"/>
          <w:marRight w:val="0"/>
          <w:marTop w:val="0"/>
          <w:marBottom w:val="0"/>
          <w:divBdr>
            <w:top w:val="single" w:sz="2" w:space="0" w:color="D9D9E3"/>
            <w:left w:val="single" w:sz="2" w:space="0" w:color="D9D9E3"/>
            <w:bottom w:val="single" w:sz="2" w:space="0" w:color="D9D9E3"/>
            <w:right w:val="single" w:sz="2" w:space="0" w:color="D9D9E3"/>
          </w:divBdr>
          <w:divsChild>
            <w:div w:id="759641057">
              <w:marLeft w:val="0"/>
              <w:marRight w:val="0"/>
              <w:marTop w:val="0"/>
              <w:marBottom w:val="0"/>
              <w:divBdr>
                <w:top w:val="single" w:sz="2" w:space="0" w:color="D9D9E3"/>
                <w:left w:val="single" w:sz="2" w:space="0" w:color="D9D9E3"/>
                <w:bottom w:val="single" w:sz="2" w:space="0" w:color="D9D9E3"/>
                <w:right w:val="single" w:sz="2" w:space="0" w:color="D9D9E3"/>
              </w:divBdr>
              <w:divsChild>
                <w:div w:id="761027305">
                  <w:marLeft w:val="0"/>
                  <w:marRight w:val="0"/>
                  <w:marTop w:val="0"/>
                  <w:marBottom w:val="0"/>
                  <w:divBdr>
                    <w:top w:val="single" w:sz="2" w:space="0" w:color="D9D9E3"/>
                    <w:left w:val="single" w:sz="2" w:space="0" w:color="D9D9E3"/>
                    <w:bottom w:val="single" w:sz="2" w:space="0" w:color="D9D9E3"/>
                    <w:right w:val="single" w:sz="2" w:space="0" w:color="D9D9E3"/>
                  </w:divBdr>
                  <w:divsChild>
                    <w:div w:id="705718544">
                      <w:marLeft w:val="0"/>
                      <w:marRight w:val="0"/>
                      <w:marTop w:val="0"/>
                      <w:marBottom w:val="0"/>
                      <w:divBdr>
                        <w:top w:val="single" w:sz="2" w:space="0" w:color="D9D9E3"/>
                        <w:left w:val="single" w:sz="2" w:space="0" w:color="D9D9E3"/>
                        <w:bottom w:val="single" w:sz="2" w:space="0" w:color="D9D9E3"/>
                        <w:right w:val="single" w:sz="2" w:space="0" w:color="D9D9E3"/>
                      </w:divBdr>
                      <w:divsChild>
                        <w:div w:id="792091942">
                          <w:marLeft w:val="0"/>
                          <w:marRight w:val="0"/>
                          <w:marTop w:val="0"/>
                          <w:marBottom w:val="0"/>
                          <w:divBdr>
                            <w:top w:val="single" w:sz="2" w:space="0" w:color="D9D9E3"/>
                            <w:left w:val="single" w:sz="2" w:space="0" w:color="D9D9E3"/>
                            <w:bottom w:val="single" w:sz="2" w:space="0" w:color="D9D9E3"/>
                            <w:right w:val="single" w:sz="2" w:space="0" w:color="D9D9E3"/>
                          </w:divBdr>
                          <w:divsChild>
                            <w:div w:id="157892607">
                              <w:marLeft w:val="0"/>
                              <w:marRight w:val="0"/>
                              <w:marTop w:val="100"/>
                              <w:marBottom w:val="100"/>
                              <w:divBdr>
                                <w:top w:val="single" w:sz="2" w:space="0" w:color="D9D9E3"/>
                                <w:left w:val="single" w:sz="2" w:space="0" w:color="D9D9E3"/>
                                <w:bottom w:val="single" w:sz="2" w:space="0" w:color="D9D9E3"/>
                                <w:right w:val="single" w:sz="2" w:space="0" w:color="D9D9E3"/>
                              </w:divBdr>
                              <w:divsChild>
                                <w:div w:id="1789886219">
                                  <w:marLeft w:val="0"/>
                                  <w:marRight w:val="0"/>
                                  <w:marTop w:val="0"/>
                                  <w:marBottom w:val="0"/>
                                  <w:divBdr>
                                    <w:top w:val="single" w:sz="2" w:space="0" w:color="D9D9E3"/>
                                    <w:left w:val="single" w:sz="2" w:space="0" w:color="D9D9E3"/>
                                    <w:bottom w:val="single" w:sz="2" w:space="0" w:color="D9D9E3"/>
                                    <w:right w:val="single" w:sz="2" w:space="0" w:color="D9D9E3"/>
                                  </w:divBdr>
                                  <w:divsChild>
                                    <w:div w:id="458303850">
                                      <w:marLeft w:val="0"/>
                                      <w:marRight w:val="0"/>
                                      <w:marTop w:val="0"/>
                                      <w:marBottom w:val="0"/>
                                      <w:divBdr>
                                        <w:top w:val="single" w:sz="2" w:space="0" w:color="D9D9E3"/>
                                        <w:left w:val="single" w:sz="2" w:space="0" w:color="D9D9E3"/>
                                        <w:bottom w:val="single" w:sz="2" w:space="0" w:color="D9D9E3"/>
                                        <w:right w:val="single" w:sz="2" w:space="0" w:color="D9D9E3"/>
                                      </w:divBdr>
                                      <w:divsChild>
                                        <w:div w:id="1141070568">
                                          <w:marLeft w:val="0"/>
                                          <w:marRight w:val="0"/>
                                          <w:marTop w:val="0"/>
                                          <w:marBottom w:val="0"/>
                                          <w:divBdr>
                                            <w:top w:val="single" w:sz="2" w:space="0" w:color="D9D9E3"/>
                                            <w:left w:val="single" w:sz="2" w:space="0" w:color="D9D9E3"/>
                                            <w:bottom w:val="single" w:sz="2" w:space="0" w:color="D9D9E3"/>
                                            <w:right w:val="single" w:sz="2" w:space="0" w:color="D9D9E3"/>
                                          </w:divBdr>
                                          <w:divsChild>
                                            <w:div w:id="1647851249">
                                              <w:marLeft w:val="0"/>
                                              <w:marRight w:val="0"/>
                                              <w:marTop w:val="0"/>
                                              <w:marBottom w:val="0"/>
                                              <w:divBdr>
                                                <w:top w:val="single" w:sz="2" w:space="0" w:color="D9D9E3"/>
                                                <w:left w:val="single" w:sz="2" w:space="0" w:color="D9D9E3"/>
                                                <w:bottom w:val="single" w:sz="2" w:space="0" w:color="D9D9E3"/>
                                                <w:right w:val="single" w:sz="2" w:space="0" w:color="D9D9E3"/>
                                              </w:divBdr>
                                              <w:divsChild>
                                                <w:div w:id="82073699">
                                                  <w:marLeft w:val="0"/>
                                                  <w:marRight w:val="0"/>
                                                  <w:marTop w:val="0"/>
                                                  <w:marBottom w:val="0"/>
                                                  <w:divBdr>
                                                    <w:top w:val="single" w:sz="2" w:space="0" w:color="D9D9E3"/>
                                                    <w:left w:val="single" w:sz="2" w:space="0" w:color="D9D9E3"/>
                                                    <w:bottom w:val="single" w:sz="2" w:space="0" w:color="D9D9E3"/>
                                                    <w:right w:val="single" w:sz="2" w:space="0" w:color="D9D9E3"/>
                                                  </w:divBdr>
                                                  <w:divsChild>
                                                    <w:div w:id="4973557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38641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1.wdp"/><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954</TotalTime>
  <Pages>12</Pages>
  <Words>8164</Words>
  <Characters>46536</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ajeenaansari@outlook.com</dc:creator>
  <cp:keywords/>
  <dc:description/>
  <cp:lastModifiedBy>SDI 1084</cp:lastModifiedBy>
  <cp:revision>295</cp:revision>
  <dcterms:created xsi:type="dcterms:W3CDTF">2023-10-08T15:57:00Z</dcterms:created>
  <dcterms:modified xsi:type="dcterms:W3CDTF">2025-02-27T06:06:00Z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id="Yga1cEB0"/&gt;&lt;style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