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C7A4B" w14:textId="5C04B113" w:rsidR="00E7560A" w:rsidRDefault="00E7560A" w:rsidP="0054513E">
      <w:pPr>
        <w:spacing w:line="360" w:lineRule="auto"/>
        <w:jc w:val="both"/>
        <w:rPr>
          <w:rFonts w:ascii="Times New Roman" w:hAnsi="Times New Roman" w:cs="Times New Roman"/>
          <w:b/>
          <w:bCs/>
          <w:sz w:val="28"/>
          <w:szCs w:val="28"/>
        </w:rPr>
      </w:pPr>
      <w:bookmarkStart w:id="0" w:name="_Hlk192096330"/>
      <w:r w:rsidRPr="00E7560A">
        <w:rPr>
          <w:rFonts w:ascii="Times New Roman" w:hAnsi="Times New Roman" w:cs="Times New Roman"/>
          <w:b/>
          <w:bCs/>
          <w:sz w:val="28"/>
          <w:szCs w:val="28"/>
        </w:rPr>
        <w:t>Case study</w:t>
      </w:r>
    </w:p>
    <w:p w14:paraId="0814AA5B" w14:textId="77777777" w:rsidR="00E7560A" w:rsidRDefault="00E7560A" w:rsidP="0054513E">
      <w:pPr>
        <w:spacing w:line="360" w:lineRule="auto"/>
        <w:jc w:val="both"/>
        <w:rPr>
          <w:rFonts w:ascii="Times New Roman" w:hAnsi="Times New Roman" w:cs="Times New Roman"/>
          <w:b/>
          <w:bCs/>
          <w:sz w:val="28"/>
          <w:szCs w:val="28"/>
        </w:rPr>
      </w:pPr>
    </w:p>
    <w:p w14:paraId="0FD07248" w14:textId="3D1C772C" w:rsidR="007E0F13" w:rsidRDefault="007E0F13" w:rsidP="0054513E">
      <w:pPr>
        <w:spacing w:line="360" w:lineRule="auto"/>
        <w:jc w:val="both"/>
        <w:rPr>
          <w:rFonts w:ascii="Times New Roman" w:hAnsi="Times New Roman" w:cs="Times New Roman"/>
          <w:b/>
          <w:bCs/>
          <w:sz w:val="28"/>
          <w:szCs w:val="28"/>
        </w:rPr>
      </w:pPr>
      <w:r w:rsidRPr="00B174E1">
        <w:rPr>
          <w:rFonts w:ascii="Times New Roman" w:hAnsi="Times New Roman" w:cs="Times New Roman"/>
          <w:b/>
          <w:bCs/>
          <w:sz w:val="28"/>
          <w:szCs w:val="28"/>
        </w:rPr>
        <w:t>Hematological and Biochemical Changes in Leptospirosis Patients</w:t>
      </w:r>
      <w:r w:rsidR="00523044">
        <w:rPr>
          <w:rFonts w:ascii="Times New Roman" w:hAnsi="Times New Roman" w:cs="Times New Roman"/>
          <w:b/>
          <w:bCs/>
          <w:sz w:val="28"/>
          <w:szCs w:val="28"/>
        </w:rPr>
        <w:t>: A case series</w:t>
      </w:r>
      <w:r w:rsidRPr="00B174E1">
        <w:rPr>
          <w:rFonts w:ascii="Times New Roman" w:hAnsi="Times New Roman" w:cs="Times New Roman"/>
          <w:b/>
          <w:bCs/>
          <w:sz w:val="28"/>
          <w:szCs w:val="28"/>
        </w:rPr>
        <w:t xml:space="preserve"> </w:t>
      </w:r>
    </w:p>
    <w:p w14:paraId="0D1CB436" w14:textId="77777777" w:rsidR="00523044" w:rsidRPr="00B174E1" w:rsidRDefault="00523044" w:rsidP="0054513E">
      <w:pPr>
        <w:spacing w:line="360" w:lineRule="auto"/>
        <w:jc w:val="both"/>
        <w:rPr>
          <w:rFonts w:ascii="Times New Roman" w:hAnsi="Times New Roman" w:cs="Times New Roman"/>
          <w:b/>
          <w:bCs/>
          <w:sz w:val="28"/>
          <w:szCs w:val="28"/>
        </w:rPr>
      </w:pPr>
    </w:p>
    <w:p w14:paraId="6CF4E56A" w14:textId="5359DED8" w:rsidR="0054513E" w:rsidRPr="0054513E" w:rsidRDefault="0054513E" w:rsidP="005451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D7E6984" w14:textId="77777777" w:rsidR="00057C59" w:rsidRDefault="00057C59" w:rsidP="0054513E">
      <w:pPr>
        <w:pStyle w:val="NormalWeb"/>
        <w:spacing w:line="276" w:lineRule="auto"/>
        <w:jc w:val="both"/>
        <w:rPr>
          <w:rStyle w:val="Strong"/>
        </w:rPr>
      </w:pPr>
      <w:r w:rsidRPr="00057C59">
        <w:rPr>
          <w:rStyle w:val="Strong"/>
        </w:rPr>
        <w:t>Introduction:</w:t>
      </w:r>
      <w:r w:rsidRPr="00057C59">
        <w:rPr>
          <w:rStyle w:val="Strong"/>
          <w:b w:val="0"/>
        </w:rPr>
        <w:t xml:space="preserve"> Leptospirosis is a zoonotic bacterial disease prevalent in Sri Lanka with significant hematological and biochemical presentations. Early diagnosis is hindered by the lack of confirmatory investigations, hence full blood count (FBC), renal function tests (RFT), and inflammatory markers are important in following disease status. The current study analyzes hematological and biochemical patterns in leptospirosis patients to identify prognostic markers.</w:t>
      </w:r>
    </w:p>
    <w:p w14:paraId="2C0B784B" w14:textId="77777777" w:rsidR="00057C59" w:rsidRDefault="00DE6B56" w:rsidP="0054513E">
      <w:pPr>
        <w:pStyle w:val="NormalWeb"/>
        <w:spacing w:line="276" w:lineRule="auto"/>
        <w:jc w:val="both"/>
      </w:pPr>
      <w:r w:rsidRPr="0054513E">
        <w:rPr>
          <w:rStyle w:val="Strong"/>
        </w:rPr>
        <w:t>Methods:</w:t>
      </w:r>
      <w:r w:rsidRPr="0054513E">
        <w:t xml:space="preserve"> </w:t>
      </w:r>
      <w:r w:rsidR="00057C59" w:rsidRPr="00057C59">
        <w:t>Retrospective case series was conducted in six patients with confirmed leptospirosis in a tertiary care facility. Serial white blood cell (WBC) counts, hemoglobin (HGB), platelet count, serum creatinine, blood urea nitrogen (BUN), C-reactive protein (CRP), and erythrocyte sedimentation rate (ESR) were compared. Statistical correlation between platelet recovery, renal function improvement, and resolution of inflammatory markers was assessed.</w:t>
      </w:r>
    </w:p>
    <w:p w14:paraId="052A128A" w14:textId="77777777" w:rsidR="00057C59" w:rsidRDefault="00DE6B56" w:rsidP="0054513E">
      <w:pPr>
        <w:pStyle w:val="NormalWeb"/>
        <w:spacing w:line="276" w:lineRule="auto"/>
        <w:jc w:val="both"/>
      </w:pPr>
      <w:r w:rsidRPr="0054513E">
        <w:rPr>
          <w:rStyle w:val="Strong"/>
        </w:rPr>
        <w:t>Results:</w:t>
      </w:r>
      <w:r w:rsidRPr="0054513E">
        <w:t xml:space="preserve"> </w:t>
      </w:r>
      <w:r w:rsidR="00057C59" w:rsidRPr="00057C59">
        <w:t>The common trends included an initial leukocytosis, worsening thrombocytopenia, renal impairment, and elevated CRP and ESR. Severe presentations involved worsening thrombocytopenia and renal function requiring intensive care. Statistical analysis revealed platelet recovery and improvement in renal function to be highly correlated (r = 0.85, p &lt; 0.01) and resolution of inflammatory markers to be highly correlated with clinical outcome (r = 0.77, p &lt; 0.05).</w:t>
      </w:r>
    </w:p>
    <w:p w14:paraId="3B3E7A2D" w14:textId="77777777" w:rsidR="00057C59" w:rsidRDefault="00DE6B56" w:rsidP="0054513E">
      <w:pPr>
        <w:pStyle w:val="NormalWeb"/>
        <w:spacing w:line="276" w:lineRule="auto"/>
        <w:jc w:val="both"/>
      </w:pPr>
      <w:r w:rsidRPr="0054513E">
        <w:rPr>
          <w:rStyle w:val="Strong"/>
        </w:rPr>
        <w:t>Discussion:</w:t>
      </w:r>
      <w:r w:rsidRPr="0054513E">
        <w:t xml:space="preserve"> </w:t>
      </w:r>
      <w:r w:rsidR="00057C59" w:rsidRPr="00057C59">
        <w:t xml:space="preserve">This study underscores the prognostic significance of serial </w:t>
      </w:r>
      <w:proofErr w:type="spellStart"/>
      <w:r w:rsidR="00057C59" w:rsidRPr="00057C59">
        <w:t>haematological</w:t>
      </w:r>
      <w:proofErr w:type="spellEnd"/>
      <w:r w:rsidR="00057C59" w:rsidRPr="00057C59">
        <w:t xml:space="preserve"> and biochemical monitoring in leptospirosis. FBC, RFT, CRP, and ESR are inexpensive tools in resource-limited settings for risk stratification and early management of the disease.</w:t>
      </w:r>
    </w:p>
    <w:p w14:paraId="406BD6C2" w14:textId="77777777" w:rsidR="00057C59" w:rsidRPr="00057C59" w:rsidRDefault="00057C59" w:rsidP="00057C59">
      <w:pPr>
        <w:spacing w:line="276" w:lineRule="auto"/>
        <w:jc w:val="both"/>
        <w:rPr>
          <w:rStyle w:val="Strong"/>
          <w:rFonts w:ascii="Times New Roman" w:eastAsia="Times New Roman" w:hAnsi="Times New Roman" w:cs="Times New Roman"/>
          <w:b w:val="0"/>
          <w:sz w:val="24"/>
          <w:szCs w:val="24"/>
        </w:rPr>
      </w:pPr>
      <w:r w:rsidRPr="00057C59">
        <w:rPr>
          <w:rStyle w:val="Strong"/>
          <w:rFonts w:ascii="Times New Roman" w:eastAsia="Times New Roman" w:hAnsi="Times New Roman" w:cs="Times New Roman"/>
          <w:sz w:val="24"/>
          <w:szCs w:val="24"/>
        </w:rPr>
        <w:t>Conclusion:</w:t>
      </w:r>
      <w:r w:rsidRPr="00057C59">
        <w:rPr>
          <w:rStyle w:val="Strong"/>
          <w:rFonts w:ascii="Times New Roman" w:eastAsia="Times New Roman" w:hAnsi="Times New Roman" w:cs="Times New Roman"/>
          <w:b w:val="0"/>
          <w:sz w:val="24"/>
          <w:szCs w:val="24"/>
        </w:rPr>
        <w:t xml:space="preserve"> Routine monitoring of hematological and biochemical parameters is necessary to assist in challenging clinical decisions regarding leptospirosis, improve patient outcomes, and better use scarce resources in endemic areas. </w:t>
      </w:r>
    </w:p>
    <w:p w14:paraId="3974FA66" w14:textId="204FB877" w:rsidR="00065C8B" w:rsidRDefault="00057C59" w:rsidP="00065C8B">
      <w:pPr>
        <w:spacing w:line="276" w:lineRule="auto"/>
        <w:jc w:val="both"/>
        <w:rPr>
          <w:rStyle w:val="Strong"/>
          <w:rFonts w:ascii="Times New Roman" w:eastAsia="Times New Roman" w:hAnsi="Times New Roman" w:cs="Times New Roman"/>
          <w:b w:val="0"/>
          <w:sz w:val="24"/>
          <w:szCs w:val="24"/>
        </w:rPr>
      </w:pPr>
      <w:r w:rsidRPr="00057C59">
        <w:rPr>
          <w:rStyle w:val="Strong"/>
          <w:rFonts w:ascii="Times New Roman" w:eastAsia="Times New Roman" w:hAnsi="Times New Roman" w:cs="Times New Roman"/>
          <w:sz w:val="24"/>
          <w:szCs w:val="24"/>
        </w:rPr>
        <w:t>Keywords:</w:t>
      </w:r>
      <w:r w:rsidRPr="00057C59">
        <w:rPr>
          <w:rStyle w:val="Strong"/>
          <w:rFonts w:ascii="Times New Roman" w:eastAsia="Times New Roman" w:hAnsi="Times New Roman" w:cs="Times New Roman"/>
          <w:b w:val="0"/>
          <w:sz w:val="24"/>
          <w:szCs w:val="24"/>
        </w:rPr>
        <w:t xml:space="preserve"> Leptospirosis, thrombocytopenia, renal dysfunction, inflammatory markers.</w:t>
      </w:r>
    </w:p>
    <w:p w14:paraId="2D64613B" w14:textId="77777777" w:rsidR="006344AD" w:rsidRDefault="006344AD" w:rsidP="00065C8B">
      <w:pPr>
        <w:spacing w:line="276" w:lineRule="auto"/>
        <w:jc w:val="both"/>
        <w:rPr>
          <w:rFonts w:ascii="Times New Roman" w:hAnsi="Times New Roman" w:cs="Times New Roman"/>
          <w:bCs/>
          <w:sz w:val="24"/>
          <w:szCs w:val="24"/>
        </w:rPr>
      </w:pPr>
      <w:bookmarkStart w:id="1" w:name="_GoBack"/>
      <w:bookmarkEnd w:id="1"/>
    </w:p>
    <w:p w14:paraId="33CB7A37" w14:textId="56BA0595" w:rsidR="00384BCC" w:rsidRPr="00065C8B" w:rsidRDefault="007E0F13" w:rsidP="00065C8B">
      <w:pPr>
        <w:spacing w:line="276" w:lineRule="auto"/>
        <w:jc w:val="both"/>
        <w:rPr>
          <w:rFonts w:ascii="Times New Roman" w:hAnsi="Times New Roman" w:cs="Times New Roman"/>
          <w:bCs/>
          <w:sz w:val="24"/>
          <w:szCs w:val="24"/>
        </w:rPr>
      </w:pPr>
      <w:r w:rsidRPr="0054513E">
        <w:rPr>
          <w:rFonts w:ascii="Times New Roman" w:hAnsi="Times New Roman" w:cs="Times New Roman"/>
          <w:b/>
          <w:bCs/>
          <w:sz w:val="24"/>
          <w:szCs w:val="24"/>
        </w:rPr>
        <w:lastRenderedPageBreak/>
        <w:t>Introduction</w:t>
      </w:r>
    </w:p>
    <w:p w14:paraId="527CA829" w14:textId="113BFD41" w:rsidR="00057C59" w:rsidRDefault="00057C59" w:rsidP="0054513E">
      <w:pPr>
        <w:spacing w:line="360" w:lineRule="auto"/>
        <w:jc w:val="both"/>
        <w:rPr>
          <w:rFonts w:ascii="Times New Roman" w:eastAsia="Calibri" w:hAnsi="Times New Roman" w:cs="Times New Roman"/>
          <w:sz w:val="24"/>
          <w:szCs w:val="24"/>
          <w:lang w:val="en-GB" w:bidi="ar-SA"/>
        </w:rPr>
      </w:pPr>
      <w:r w:rsidRPr="00057C59">
        <w:rPr>
          <w:rFonts w:ascii="Times New Roman" w:eastAsia="Calibri" w:hAnsi="Times New Roman" w:cs="Times New Roman"/>
          <w:sz w:val="24"/>
          <w:szCs w:val="24"/>
          <w:lang w:val="en-GB" w:bidi="ar-SA"/>
        </w:rPr>
        <w:t>Leptospirosis is a spirochete bacterial infection caused by Leptospira species. It is a zoonotic infection and can be transmitted from animals to humans by direct contact with soil, water, or food contaminated with the urine of infected animals, including rodents, livestock, and wildlife</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{"citationItems":[{"id":"ITEM-1","itemData":{"DOI":"10.1016/B978-0-12-816352-8.00020-5","ISBN":"9780128163528","abstract":"The world population is growing at a faster rate day-by-day and the demands for animal products are also increasing to meet the food security worldwide. For sustained production of animals products, healthy livestock and poultry farming are the major concerns as animals are susceptible to various infectious agents viz. bacteria, virus, and parasites leading to huge economical losses in the form of livestock’s morbidity and mortality. Besides, zoonotic nature of some infectious pathogens of animals is also raising concern for human safety. Vaccination of animals against various diseases present in different geographical regions is a best known strategy for prevention of different disease outbreaks both in organized and unorganized livestock and poultry sectors. Vaccines had played a major role in eradication of different dreaded diseases of livestock sectors globally. In this article we have discussed different vaccine types, various vaccine strategies used for the development of more efficacious and safe vaccines and commercially available vaccines for livestock and poultry.","author":[{"dropping-particle":"","family":"Nimmanapalli","given":"Ramadevi","non-dropping-particle":"","parse-names":false,"suffix":""},{"dropping-particle":"","family":"Gupta","given":"Vikas","non-dropping-particle":"","parse-names":false,"suffix":""}],"container-title":"Genomics and Biotechnological Advances in Veterinary, Poultry, and Fisheries","id":"ITEM-1","issued":{"date-parts":[["2019"]]},"number-of-pages":"469-504","publisher":"Elsevier Inc.","title":"Vaccines the tugboat for prevention-based animal production","type":"book"},"uris":["http://www.mendeley.com/documents/?uuid=b419db85-a753-4d60-8fae-9c739efed9c0"]}],"mendeley":{"formattedCitation":"(1)","plainTextFormattedCitation":"(1)","previouslyFormattedCitation":"(1)"},"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(1)</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w:t>
      </w:r>
    </w:p>
    <w:p w14:paraId="30E5CA97" w14:textId="18188805" w:rsidR="00057C59" w:rsidRDefault="00057C59" w:rsidP="0054513E">
      <w:pPr>
        <w:spacing w:line="360" w:lineRule="auto"/>
        <w:jc w:val="both"/>
        <w:rPr>
          <w:rFonts w:ascii="Times New Roman" w:eastAsia="Calibri" w:hAnsi="Times New Roman" w:cs="Times New Roman"/>
          <w:sz w:val="24"/>
          <w:szCs w:val="24"/>
          <w:lang w:val="en-GB" w:bidi="ar-SA"/>
        </w:rPr>
      </w:pPr>
      <w:r w:rsidRPr="00057C59">
        <w:rPr>
          <w:rFonts w:ascii="Times New Roman" w:eastAsia="Calibri" w:hAnsi="Times New Roman" w:cs="Times New Roman"/>
          <w:sz w:val="24"/>
          <w:szCs w:val="24"/>
          <w:lang w:val="en-GB" w:bidi="ar-SA"/>
        </w:rPr>
        <w:t>Sri Lanka is regarded as a leptospirosis endemic area, with an estimated annual incidence of 52.1 per 100,000 population and around 730 deaths each year</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{"citationItems":[{"id":"ITEM-1","itemData":{"DOI":"10.4178/epih.e2022015","ISSN":"20927193","PMID":"35038829","abstract":"The coronavirus disease 2019 (COVID-19) pandemic has disrupted global health systems and affected the transmission dynamics as well as the surveillance of other infectious diseases. This study described the probable effect of the COVID-19 pandemic on the surveillance and control of leptospirosis in Sri Lanka. With 8,579 reported cases and more than 800 estimated deaths, the Sri Lankan public health surveillance system documented the largest outbreak of leptospirosis in Sri Lankan history in 2020. This was the worst infectious disease outbreak Sri Lanka experienced in 2020, but it was neglected, primarily due to the COVID-19 pandemic.","author":[{"dropping-particle":"","family":"Warnasekara","given":"Janith","non-dropping-particle":"","parse-names":false,"suffix":""},{"dropping-particle":"","family":"Agampodi","given":"Suneth","non-dropping-particle":"","parse-names":false,"suffix":""}],"container-title":"Epidemiology and Health","id":"ITEM-1","issued":{"date-parts":[["2022"]]},"page":"6-8","title":"Neglecting the neglected during the COVID-19 pandemic: The case of leptospirosis in Sri Lanka","type":"article-journal","volume":"44"},"uris":["http://www.mendeley.com/documents/?uuid=6ff95cd4-3538-44ad-b0c2-93bc39f6e473"]}],"mendeley":{"formattedCitation":"(2)","plainTextFormattedCitation":"(2)","previouslyFormattedCitation":"(2)"},"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(2)</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 xml:space="preserve">. Although infection occurs throughout the year, during the two monsoon seasons it peaks between October-December and March-May. The incidence of leptospirosis rises considerably during and following flood, which provides </w:t>
      </w:r>
      <w:r w:rsidR="008D445B" w:rsidRPr="00057C59">
        <w:rPr>
          <w:rFonts w:ascii="Times New Roman" w:eastAsia="Calibri" w:hAnsi="Times New Roman" w:cs="Times New Roman"/>
          <w:sz w:val="24"/>
          <w:szCs w:val="24"/>
          <w:lang w:val="en-GB" w:bidi="ar-SA"/>
        </w:rPr>
        <w:t>favourable</w:t>
      </w:r>
      <w:r w:rsidRPr="00057C59">
        <w:rPr>
          <w:rFonts w:ascii="Times New Roman" w:eastAsia="Calibri" w:hAnsi="Times New Roman" w:cs="Times New Roman"/>
          <w:sz w:val="24"/>
          <w:szCs w:val="24"/>
          <w:lang w:val="en-GB" w:bidi="ar-SA"/>
        </w:rPr>
        <w:t xml:space="preserve"> conditions for water and soil contamination with Leptospira</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{"citationItems":[{"id":"ITEM-1","itemData":{"author":[{"dropping-particle":"","family":"MOH","given":"","non-dropping-particle":"","parse-names":false,"suffix":""}],"id":"ITEM-1","issued":{"date-parts":[["2010"]]},"title":"Controlling and preventing the current Leptospirosis outbreak following floods and heavy rains","type":"article-journal"},"uris":["http://www.mendeley.com/documents/?uuid=2971cf94-ea94-4259-921d-4edff3ddcc96"]}],"mendeley":{"formattedCitation":"(3)","plainTextFormattedCitation":"(3)","previouslyFormattedCitation":"(3)"},"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(3)</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 Such an environment in combination with the country's agriculture habits and rodent infestation sets a recurring public health issue.</w:t>
      </w:r>
    </w:p>
    <w:p w14:paraId="748E065F" w14:textId="0AE86656" w:rsidR="00057C59" w:rsidRDefault="00057C59" w:rsidP="0054513E">
      <w:pPr>
        <w:spacing w:line="360" w:lineRule="auto"/>
        <w:jc w:val="both"/>
        <w:rPr>
          <w:rFonts w:ascii="Times New Roman" w:eastAsia="Calibri" w:hAnsi="Times New Roman" w:cs="Times New Roman"/>
          <w:sz w:val="24"/>
          <w:szCs w:val="24"/>
          <w:lang w:val="en-GB" w:bidi="ar-SA"/>
        </w:rPr>
      </w:pPr>
      <w:r w:rsidRPr="00057C59">
        <w:rPr>
          <w:rFonts w:ascii="Times New Roman" w:eastAsia="Calibri" w:hAnsi="Times New Roman" w:cs="Times New Roman"/>
          <w:sz w:val="24"/>
          <w:szCs w:val="24"/>
          <w:lang w:val="en-GB" w:bidi="ar-SA"/>
        </w:rPr>
        <w:t>Leptospirosis is a significant global public health problem, with an estimated 58,900 fatalities and close to one million cases annually. Proper diagnosis is crucial for effective management and treatment, with the potential to reduce mortality. Leptospirosis diagnosis can be complicated by limitations in existing diagnostic tests</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{"citationItems":[{"id":"ITEM-1","itemData":{"DOI":"10.2147/rrtm.s102543","ISSN":"1179-7282","PMID":"30050339","abstract":"Leptospirosis is a widespread bacterial zoonosis with highest burden in low-income populations living in tropical and subtropical regions, both in urban and in rural environments. Rodents are known as the main reservoir animals, but other mammals may also significantly contribute to human infections in some settings. Clinical presentation of leptospirosis is nonspecific and variable, and most of the early signs and symptoms point to the so-called \"acute fever of unknown origin\", a major diagnostic challenge in tropical and subtropical areas. However, leptospirosis can rapidly evolve to life-threatening complications, especially if left untreated. There is a need for good awareness of leptospirosis and rapid antibiotic treatment based on clinical and epidemiological suspicion. Severe leptospirosis cases include renal and/or respiratory failure and shock, necessitating intensive care, also seldom available or with limited capacity. Confirmation of leptospirosis relies on biological diagnosis, which unfortunately uses tricky methods seldom available. This biological confirmation, however, is essential for surveillance and public health purpose. A good knowledge of leptospirosis epidemiology (eg, the reservoir animals involved, the Leptospira strains circulating, the seasonal and geographical patterns, and specific populations at risk) can be achieved through adequate surveillance and diagnosis. This can pave the way to prevention and intervention strategies and in turn alleviate the toll leptospirosis takes on affected populations. Over the past few years, leptospirosis has been increasingly recognized, as the need for multidisciplinary approaches in a One-Health perspective has been acknowledged, raising hope to successfully tackle the challenges of this zoonosis.","author":[{"dropping-particle":"","family":"Goarant","given":"Cyrille","non-dropping-particle":"","parse-names":false,"suffix":""}],"container-title":"Research and Reports in Tropical Medicine","id":"ITEM-1","issued":{"date-parts":[["2016"]]},"page":"49-62","title":"Leptospirosis: risk factors and management challenges in developing countries","type":"article-journal","volume":"Volume 7"},"uris":["http://www.mendeley.com/documents/?uuid=a4678092-00ac-478f-8b36-b1bdb542d3d8"]}],"mendeley":{"formattedCitation":"(4)","plainTextFormattedCitation":"(4)","previouslyFormattedCitation":"(4)"},"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(4)</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 For instance, a regular test like the Microscopic Agglutination Test (MAT) will miss 80% of the cases and thus lead to delayed or improper treatment and a risk of more severe effects, including death. PCR diagnosis of leptospirosis is also critical for early and accurate diagnosis since it detects Leptospira DNA in urine or blood in the first few days of infection, whereas MAT relies on the detection of antibodies, which become apparent only after 7–10 days</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{"citationItems":[{"id":"ITEM-1","itemData":{"DOI":"10.4269/ajtmh.16-0033","ISSN":"00029637","PMID":"27402521","abstract":"A gap in the leptospirosis field remains the lack of well-characterized sample collections that allow for comparison of new methods to standard ones. In the context of a flood-related outbreak of leptospirosis evaluated in Anuradhapura, Sri Lanka, a specimen bank was obtained with detailed metadata accompanied by gold standard diagnostic test results. Blood samples collected on admission and 14 days later from suspected cases of leptospirosis were tested using microscopic agglutination test (MAT) (17 serovars), an in-house enzyme-linked immunosorbent assay (ELISA) using a locally obtained strain of Leptospira kirschneri as sonicated antigen, a commercially available ELISA based on sonicated Leptospira biflexa, and a quantitative polymerase chain reaction (qPCR) assay targeting the pathogenic Leptospira-specific 16S rRNA gene. Of 62 patients presenting within the first 2 days of illness, 31 had confirmed leptospirosis based either on paired-sample MAT or qPCR. During the acute phase, qPCR was most sensitive, detecting 74% of definitively diagnosed cases; immunoglobulin G (IgG) ELISA (in-house), IgG ELISA (commercial), and MAT had sensitivities of 35.5%, 12.0%, and 22.6%, respectively, in detecting definitively diagnosed cases using acute phase serum. Of 40 patients with paired sera, 10 were qPCR positive. Of these, five samples were negative by paired-sample MAT. Of the 11 MAT-positive samples, only five were detected using qPCR confirming that both tests are needed for maximal sensitivity. Regional leptospiral serovar-specific IgG ELISA was superior to MAT. Knowing the regionally dominant serovars improves serological sensitivity in the analysis of acute specimens by ELISA, but qPCR was most sensitive in this patient population.","author":[{"dropping-particle":"","family":"Agampodi","given":"Suneth B.","non-dropping-particle":"","parse-names":false,"suffix":""},{"dropping-particle":"","family":"Dahanayaka","given":"Niroshan J.","non-dropping-particle":"","parse-names":false,"suffix":""},{"dropping-particle":"","family":"Nöckler","given":"Karsten","non-dropping-particle":"","parse-names":false,"suffix":""},{"dropping-particle":"","family":"Anne","given":"Mayer Scholl","non-dropping-particle":"","parse-names":false,"suffix":""},{"dropping-particle":"","family":"Vinetz","given":"Joseph M.","non-dropping-particle":"","parse-names":false,"suffix":""}],"container-title":"American Journal of Tropical Medicine and Hygiene","id":"ITEM-1","issue":"3","issued":{"date-parts":[["2016"]]},"page":"531-536","title":"Redefining gold standard testing for diagnosing leptospirosis: Further evidence from a well-characterized, flood-related outbreak in Sri Lanka","type":"article-journal","volume":"95"},"uris":["http://www.mendeley.com/documents/?uuid=617369c8-f0e3-4073-8986-5202b8e705ae"]},{"id":"ITEM-2","itemData":{"DOI":"10.1016/j.jmii.2013.03.001","ISSN":"16841182","abstract":"Leptospirosis is caused by pathogenic bacteria called leptospires that are transmitted directly or indirectly from animals to humans. It occurs worldwide but is most common in tropical and subtropical areas. It is a potentially serious but treatable disease. Its symptoms may mimic those of a number of other unrelated infections such as influenza, meningitis, hepatitis, dengue, or other viral hemorrhagic fevers. The spectrum of the disease is extremely wide, ranging from subclinical infection to a severe syndrome of multiorgan infection with high mortality. Laboratory diagnosis tests are not always available, especially in developing countries. Numerous tests have been developed, but availability of appropriate laboratory support is still a problem. Direct observation of leptospires by darkfield microscopy is unreliable and not recommended. Isolation of leptospires can take up to months and does not contribute to early diagnosis. Diagnosis is usually performed by serology; enzyme-linked immunosorbent assay and the microscopic agglutination tests are the laboratory methods generally used, rapid tests are also available. Limitation of serology is that antibodies are lacking at the acute phase of the disease. In recent years, several real-time polymerase chain reaction assays have been described. These can confirm the diagnosis in the early phase of the disease prior to antibody titers are at detectable levels, but molecular testing is not available in restricted resources areas. © 2013 .","author":[{"dropping-particle":"","family":"Musso","given":"Didier","non-dropping-particle":"","parse-names":false,"suffix":""},{"dropping-particle":"","family":"Scola","given":"Bernard","non-dropping-particle":"La","parse-names":false,"suffix":""}],"container-title":"Journal of Microbiology, Immunology and Infection","id":"ITEM-2","issue":"4","issued":{"date-parts":[["2013"]]},"page":"245-252","publisher":"Elsevier","title":"Laboratory diagnosis of leptospirosis: A challenge","type":"article-journal","volume":"46"},"uris":["http://www.mendeley.com/documents/?uuid=6f6f99d5-c1c0-42ec-b3c8-44f0f8ac8401"]}],"mendeley":{"formattedCitation":"(5,6)","plainTextFormattedCitation":"(5,6)","previouslyFormattedCitation":"(5,6)"},"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(5,6)</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 PCR is more sensitive in the acute phase, provides rapid results, and is specific with no cross-reactions as in MAT</w:t>
      </w:r>
      <w:r w:rsidR="008B4CB9">
        <w:rPr>
          <w:rFonts w:ascii="Times New Roman" w:eastAsia="Calibri" w:hAnsi="Times New Roman" w:cs="Times New Roman"/>
          <w:sz w:val="24"/>
          <w:szCs w:val="24"/>
          <w:lang w:val="en-GB" w:bidi="ar-SA"/>
        </w:rPr>
        <w:fldChar w:fldCharType="begin" w:fldLock="1"/>
      </w:r>
      <w:r w:rsidR="00E9542F">
        <w:rPr>
          <w:rFonts w:ascii="Times New Roman" w:eastAsia="Calibri" w:hAnsi="Times New Roman" w:cs="Times New Roman"/>
          <w:sz w:val="24"/>
          <w:szCs w:val="24"/>
          <w:lang w:val="en-GB" w:bidi="ar-SA"/>
        </w:rPr>
        <w:instrText>ADDIN CSL_CITATION {"citationItems":[{"id":"ITEM-1","itemData":{"DOI":"10.7860/JCDR/2016/22462.9010","ISSN":"0973709X","abstract":"Introduction: Various diagnostic methods like Microscopic Agglutination Test (MAT), IgM ELISA Isolation of Leptospira from the clinical specimen, Rapid leptocheck tests etc., are available for diagnosis of leptospirosis. Polymerase Chain Reaction (PCR) is used for diagnosis of various diseases of infectious origin including leptospirosis but there is paucity of data about comparison of PCR with other available method of diagnosis of leptospirosis. Aim: The aim of the study was to detect the leptospiral DNA by PCR method and to compare the results of PCR with other available diagnostic methods used for diagnosis of suspected leptospirosis cases in acute phase of illness. Materials and Methods: A total of 207 blood samples were obtained from suspected patients of leptospirosis admitted in New Civil Hospital, a tertiary care hospital in South Gujarat, during the period of July 2008 to November 2008. These blood samples were subjected to Rapid leptocheck, IgM ELISA, MAT test to detect (IgG or IgM) antibody level, Leptospira culture and PCR. Results: In early phase of the disease, Rapid leptocheck test gave 44% detection, but along with PCR seropositivity reached upto 71%. Detection rate by IgM ELISA was 59% which increased to 80% with PCR. By MAT seropositivity was 57% but combined seropositivity of MAT with PCR was 78%. Sensitivity and specificity of PCR as compared to MAT (Gold standard) was 52% and 79% respectively. Leptospira was not growing in culture. Conclusion: In present study, PCR picked up to 50% of cases which were negative by other serological tests so these finding suggest that PCR should be used routinely in acute phase of disease.","author":[{"dropping-particle":"","family":"Mullan","given":"Summaiya","non-dropping-particle":"","parse-names":false,"suffix":""},{"dropping-particle":"","family":"Panwala","given":"Tanvi Harivadanbhai","non-dropping-particle":"","parse-names":false,"suffix":""}],"container-title":"Journal of Clinical and Diagnostic Research","id":"ITEM-1","issue":"12","issued":{"date-parts":[["2016"]]},"page":"DC08-DC11","title":"Polymerase chain reaction: An important tool for early diagnosis of leptospirosis cases","type":"article-journal","volume":"10"},"uris":["http://www.mendeley.com/documents/?uuid=a53d6413-1085-4baf-9ec7-0ba671185c8e"]}],"mendeley":{"formattedCitation":"(7)","plainTextFormattedCitation":"(7)","previouslyFormattedCitation":"(7)"},"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(7)</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w:t>
      </w:r>
    </w:p>
    <w:p w14:paraId="4FC78447" w14:textId="49C6C049" w:rsidR="00085C5E" w:rsidRDefault="00057C59" w:rsidP="0054513E">
      <w:pPr>
        <w:spacing w:line="360" w:lineRule="auto"/>
        <w:jc w:val="both"/>
        <w:rPr>
          <w:rFonts w:ascii="Times New Roman" w:eastAsia="Calibri" w:hAnsi="Times New Roman" w:cs="Times New Roman"/>
          <w:sz w:val="24"/>
          <w:szCs w:val="24"/>
          <w:lang w:val="en-GB" w:bidi="ar-SA"/>
        </w:rPr>
      </w:pPr>
      <w:r w:rsidRPr="00057C59">
        <w:rPr>
          <w:rFonts w:ascii="Times New Roman" w:eastAsia="Calibri" w:hAnsi="Times New Roman" w:cs="Times New Roman"/>
          <w:sz w:val="24"/>
          <w:szCs w:val="24"/>
          <w:lang w:val="en-GB" w:bidi="ar-SA"/>
        </w:rPr>
        <w:t xml:space="preserve">Early intervention will help improve the outcomes of the patient. Immediate application of proper antibiotics can reduce the severity of the disease and complications by quite a significant extent. Delayed diagnosis and treatment will lead to severe complications of leptospirosis, such as renal impairment, liver failure, and </w:t>
      </w:r>
      <w:proofErr w:type="spellStart"/>
      <w:r w:rsidRPr="00057C59">
        <w:rPr>
          <w:rFonts w:ascii="Times New Roman" w:eastAsia="Calibri" w:hAnsi="Times New Roman" w:cs="Times New Roman"/>
          <w:sz w:val="24"/>
          <w:szCs w:val="24"/>
          <w:lang w:val="en-GB" w:bidi="ar-SA"/>
        </w:rPr>
        <w:t>hemorrhagic</w:t>
      </w:r>
      <w:proofErr w:type="spellEnd"/>
      <w:r w:rsidRPr="00057C59">
        <w:rPr>
          <w:rFonts w:ascii="Times New Roman" w:eastAsia="Calibri" w:hAnsi="Times New Roman" w:cs="Times New Roman"/>
          <w:sz w:val="24"/>
          <w:szCs w:val="24"/>
          <w:lang w:val="en-GB" w:bidi="ar-SA"/>
        </w:rPr>
        <w:t xml:space="preserve"> complications, which are implicated in higher mortality</w:t>
      </w:r>
      <w:r w:rsidR="00E9542F">
        <w:rPr>
          <w:rFonts w:ascii="Times New Roman" w:eastAsia="Calibri" w:hAnsi="Times New Roman" w:cs="Times New Roman"/>
          <w:sz w:val="24"/>
          <w:szCs w:val="24"/>
          <w:lang w:val="en-GB" w:bidi="ar-SA"/>
        </w:rPr>
        <w:fldChar w:fldCharType="begin" w:fldLock="1"/>
      </w:r>
      <w:r w:rsidR="00E9542F">
        <w:rPr>
          <w:rFonts w:ascii="Times New Roman" w:eastAsia="Calibri" w:hAnsi="Times New Roman" w:cs="Times New Roman"/>
          <w:sz w:val="24"/>
          <w:szCs w:val="24"/>
          <w:lang w:val="en-GB" w:bidi="ar-SA"/>
        </w:rPr>
        <w:instrText>ADDIN CSL_CITATION {"citationItems":[{"id":"ITEM-1","itemData":{"DOI":"10.1093/ofid/ofaf035","ISSN":"23288957","abstract":"Leptospirosis is a globally distributed zoonotic disease transmitted from animal reservoirs to humans. It is particularly common in tropical regions of Africa, Asia, and Central and South America during heavy rainfall when bacterial spirochetes are released from soil into areas of flooding. Despite causing &gt;1 million severe cases, 58 900 deaths, and 2.9 million disability-adjusted life-years annually - exceeding established neglected tropical diseases - leptospirosis remains underrecognized as a neglected tropical disease. It affects occupational groups like farmers due to high prevalence in livestock and is spread by rodents in urban settings that have poor sanitation and infrastructure. Although effectively treated with inexpensive antibiotics, neglect of leptospirosis research and development has led to a lack of awareness and unavailability of preventive and diagnostic approaches. This review covers the geographic prevalence, disproportionate impacts on marginalized communities, and opportunities for improving social, economic, and healthcare burdens for patients with leptospirosis.","author":[{"dropping-particle":"","family":"Muñoz-Zanzi","given":"Claudia","non-dropping-particle":"","parse-names":false,"suffix":""},{"dropping-particle":"","family":"Dreyfus","given":"Anou","non-dropping-particle":"","parse-names":false,"suffix":""},{"dropping-particle":"","family":"Limothai","given":"Umaporn","non-dropping-particle":"","parse-names":false,"suffix":""},{"dropping-particle":"","family":"Foley","given":"Walker","non-dropping-particle":"","parse-names":false,"suffix":""},{"dropping-particle":"","family":"Srisawat","given":"Nattachai","non-dropping-particle":"","parse-names":false,"suffix":""},{"dropping-particle":"","family":"Picardeau","given":"Mathieu","non-dropping-particle":"","parse-names":false,"suffix":""},{"dropping-particle":"","family":"Haake","given":"David A.","non-dropping-particle":"","parse-names":false,"suffix":""}],"container-title":"Open Forum Infectious Diseases","id":"ITEM-1","issue":"2","issued":{"date-parts":[["2025"]]},"page":"1-9","publisher":"Oxford University Press","title":"Leptospirosis - Improving Healthcare Outcomes for a Neglected Tropical Disease","type":"article-journal","volume":"12"},"uris":["http://www.mendeley.com/documents/?uuid=d6944985-39be-4b1a-8872-f0c850bca7db"]}],"mendeley":{"formattedCitation":"(8)","plainTextFormattedCitation":"(8)","previouslyFormattedCitation":"(8)"},"properties":{"noteIndex":0},"schema":"https://github.com/citation-style-language/schema/raw/master/csl-citation.json"}</w:instrText>
      </w:r>
      <w:r w:rsidR="00E9542F">
        <w:rPr>
          <w:rFonts w:ascii="Times New Roman" w:eastAsia="Calibri" w:hAnsi="Times New Roman" w:cs="Times New Roman"/>
          <w:sz w:val="24"/>
          <w:szCs w:val="24"/>
          <w:lang w:val="en-GB" w:bidi="ar-SA"/>
        </w:rPr>
        <w:fldChar w:fldCharType="separate"/>
      </w:r>
      <w:r w:rsidR="00E9542F" w:rsidRPr="00E9542F">
        <w:rPr>
          <w:rFonts w:ascii="Times New Roman" w:eastAsia="Calibri" w:hAnsi="Times New Roman" w:cs="Times New Roman"/>
          <w:noProof/>
          <w:sz w:val="24"/>
          <w:szCs w:val="24"/>
          <w:lang w:val="en-GB" w:bidi="ar-SA"/>
        </w:rPr>
        <w:t>(8)</w:t>
      </w:r>
      <w:r w:rsidR="00E9542F">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w:t>
      </w:r>
    </w:p>
    <w:p w14:paraId="3F697949" w14:textId="77777777" w:rsidR="00085C5E" w:rsidRDefault="00085C5E" w:rsidP="0054513E">
      <w:pPr>
        <w:spacing w:line="360" w:lineRule="auto"/>
        <w:jc w:val="both"/>
        <w:rPr>
          <w:rFonts w:ascii="Times New Roman" w:hAnsi="Times New Roman" w:cs="Times New Roman"/>
          <w:sz w:val="24"/>
          <w:szCs w:val="24"/>
        </w:rPr>
      </w:pPr>
      <w:r w:rsidRPr="00085C5E">
        <w:rPr>
          <w:rFonts w:ascii="Times New Roman" w:hAnsi="Times New Roman" w:cs="Times New Roman"/>
          <w:sz w:val="24"/>
          <w:szCs w:val="24"/>
        </w:rPr>
        <w:t xml:space="preserve">Due to diagnostic constraints, FBC, RFT, and inflammatory markers are necessary for the diagnosis at an early stage and severity assessment of disease. Hematological and biochemical </w:t>
      </w:r>
      <w:r w:rsidRPr="00085C5E">
        <w:rPr>
          <w:rFonts w:ascii="Times New Roman" w:hAnsi="Times New Roman" w:cs="Times New Roman"/>
          <w:sz w:val="24"/>
          <w:szCs w:val="24"/>
        </w:rPr>
        <w:lastRenderedPageBreak/>
        <w:t>changes in patients with leptospirosis have been evaluated through this case series to identify trends and clinical importance.</w:t>
      </w:r>
    </w:p>
    <w:p w14:paraId="5CF8C6C1" w14:textId="77777777" w:rsidR="00085C5E" w:rsidRDefault="007E0F13" w:rsidP="00BE48F9">
      <w:pPr>
        <w:spacing w:line="360" w:lineRule="auto"/>
        <w:jc w:val="both"/>
        <w:rPr>
          <w:rFonts w:ascii="Times New Roman" w:hAnsi="Times New Roman" w:cs="Times New Roman"/>
          <w:sz w:val="24"/>
          <w:szCs w:val="24"/>
        </w:rPr>
      </w:pPr>
      <w:r w:rsidRPr="0054513E">
        <w:rPr>
          <w:rFonts w:ascii="Times New Roman" w:hAnsi="Times New Roman" w:cs="Times New Roman"/>
          <w:b/>
          <w:bCs/>
          <w:sz w:val="24"/>
          <w:szCs w:val="24"/>
        </w:rPr>
        <w:t>Methods</w:t>
      </w:r>
      <w:r w:rsidRPr="0054513E">
        <w:rPr>
          <w:rFonts w:ascii="Times New Roman" w:hAnsi="Times New Roman" w:cs="Times New Roman"/>
          <w:sz w:val="24"/>
          <w:szCs w:val="24"/>
        </w:rPr>
        <w:br/>
      </w:r>
      <w:r w:rsidR="00085C5E" w:rsidRPr="00085C5E">
        <w:rPr>
          <w:rFonts w:ascii="Times New Roman" w:hAnsi="Times New Roman" w:cs="Times New Roman"/>
          <w:sz w:val="24"/>
          <w:szCs w:val="24"/>
        </w:rPr>
        <w:t>Retrospective analysis of six patients with laboratory-proven leptospirosis was done. Inclusion criteria were serologically or molecularly proven leptospirosis with serial FBC, RFT, CRP, and ESR. Exclusion criteria were prior hematological or renal disease. Demographic, clinical, and laboratory data were collected and trended for WBC count, hemoglobin, platelet count, serum creatinine, blood urea nitrogen (BUN), CRP, and ESR during illness. Statistical testing using paired t-tests for continuous data and Pearson correlation coefficients to examine variable associations.</w:t>
      </w:r>
    </w:p>
    <w:p w14:paraId="7366DE48" w14:textId="4C6A54DC" w:rsidR="0054513E" w:rsidRPr="0054513E" w:rsidRDefault="00DE6B56" w:rsidP="0054513E">
      <w:pPr>
        <w:spacing w:line="360" w:lineRule="auto"/>
        <w:jc w:val="both"/>
        <w:rPr>
          <w:rFonts w:ascii="Times New Roman" w:hAnsi="Times New Roman" w:cs="Times New Roman"/>
          <w:b/>
          <w:bCs/>
          <w:sz w:val="24"/>
          <w:szCs w:val="24"/>
        </w:rPr>
      </w:pPr>
      <w:r w:rsidRPr="0054513E">
        <w:rPr>
          <w:rFonts w:ascii="Times New Roman" w:hAnsi="Times New Roman" w:cs="Times New Roman"/>
          <w:b/>
          <w:bCs/>
          <w:sz w:val="24"/>
          <w:szCs w:val="24"/>
        </w:rPr>
        <w:t>Results</w:t>
      </w:r>
    </w:p>
    <w:p w14:paraId="744CE205" w14:textId="26465A8F" w:rsidR="007E0F13" w:rsidRDefault="007E0F13" w:rsidP="0054513E">
      <w:pPr>
        <w:spacing w:line="360" w:lineRule="auto"/>
        <w:rPr>
          <w:rFonts w:ascii="Times New Roman" w:hAnsi="Times New Roman" w:cs="Times New Roman"/>
          <w:b/>
          <w:bCs/>
          <w:sz w:val="24"/>
          <w:szCs w:val="24"/>
        </w:rPr>
      </w:pPr>
      <w:r w:rsidRPr="0054513E">
        <w:rPr>
          <w:rFonts w:ascii="Times New Roman" w:hAnsi="Times New Roman" w:cs="Times New Roman"/>
          <w:b/>
          <w:bCs/>
          <w:sz w:val="24"/>
          <w:szCs w:val="24"/>
        </w:rPr>
        <w:t>Case Series</w:t>
      </w:r>
    </w:p>
    <w:p w14:paraId="2F5A4D76" w14:textId="7DFDBBA3" w:rsidR="0054513E" w:rsidRPr="0054513E" w:rsidRDefault="0054513E" w:rsidP="0054513E">
      <w:pPr>
        <w:spacing w:line="360" w:lineRule="auto"/>
        <w:rPr>
          <w:rFonts w:ascii="Times New Roman" w:hAnsi="Times New Roman" w:cs="Times New Roman"/>
          <w:sz w:val="24"/>
          <w:szCs w:val="24"/>
        </w:rPr>
      </w:pPr>
      <w:r w:rsidRPr="0054513E">
        <w:rPr>
          <w:rFonts w:ascii="Times New Roman" w:hAnsi="Times New Roman" w:cs="Times New Roman"/>
          <w:sz w:val="24"/>
          <w:szCs w:val="24"/>
        </w:rPr>
        <w:t>The six patients included in the study presented with varying degrees of leptospirosis severity. Their demographic details and clinical presentations are summarized in Table 1.</w:t>
      </w:r>
    </w:p>
    <w:p w14:paraId="39114E06" w14:textId="77777777" w:rsidR="0054513E" w:rsidRPr="0054513E" w:rsidRDefault="0054513E" w:rsidP="0054513E">
      <w:pPr>
        <w:spacing w:line="360" w:lineRule="auto"/>
        <w:jc w:val="both"/>
        <w:rPr>
          <w:rFonts w:ascii="Times New Roman" w:hAnsi="Times New Roman" w:cs="Times New Roman"/>
          <w:sz w:val="24"/>
          <w:szCs w:val="24"/>
        </w:rPr>
      </w:pPr>
      <w:r w:rsidRPr="0054513E">
        <w:rPr>
          <w:rFonts w:ascii="Times New Roman" w:eastAsia="Times New Roman" w:hAnsi="Times New Roman" w:cs="Times New Roman"/>
          <w:b/>
          <w:bCs/>
          <w:sz w:val="24"/>
          <w:szCs w:val="24"/>
        </w:rPr>
        <w:t>Table 1: Patient Demographics and Clinical Presentation</w:t>
      </w:r>
    </w:p>
    <w:tbl>
      <w:tblPr>
        <w:tblStyle w:val="TableGrid"/>
        <w:tblW w:w="10018" w:type="dxa"/>
        <w:tblLook w:val="04A0" w:firstRow="1" w:lastRow="0" w:firstColumn="1" w:lastColumn="0" w:noHBand="0" w:noVBand="1"/>
      </w:tblPr>
      <w:tblGrid>
        <w:gridCol w:w="687"/>
        <w:gridCol w:w="620"/>
        <w:gridCol w:w="579"/>
        <w:gridCol w:w="2209"/>
        <w:gridCol w:w="5923"/>
      </w:tblGrid>
      <w:tr w:rsidR="0054513E" w:rsidRPr="0054513E" w14:paraId="403131F0" w14:textId="77777777" w:rsidTr="00630C10">
        <w:trPr>
          <w:trHeight w:val="295"/>
        </w:trPr>
        <w:tc>
          <w:tcPr>
            <w:tcW w:w="0" w:type="auto"/>
            <w:shd w:val="clear" w:color="auto" w:fill="D0CECE" w:themeFill="background2" w:themeFillShade="E6"/>
            <w:hideMark/>
          </w:tcPr>
          <w:p w14:paraId="67EB1591"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Case</w:t>
            </w:r>
          </w:p>
        </w:tc>
        <w:tc>
          <w:tcPr>
            <w:tcW w:w="0" w:type="auto"/>
            <w:shd w:val="clear" w:color="auto" w:fill="D0CECE" w:themeFill="background2" w:themeFillShade="E6"/>
            <w:hideMark/>
          </w:tcPr>
          <w:p w14:paraId="40A75044"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Age</w:t>
            </w:r>
          </w:p>
        </w:tc>
        <w:tc>
          <w:tcPr>
            <w:tcW w:w="0" w:type="auto"/>
            <w:shd w:val="clear" w:color="auto" w:fill="D0CECE" w:themeFill="background2" w:themeFillShade="E6"/>
            <w:hideMark/>
          </w:tcPr>
          <w:p w14:paraId="6DBF0C74"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Sex</w:t>
            </w:r>
          </w:p>
        </w:tc>
        <w:tc>
          <w:tcPr>
            <w:tcW w:w="0" w:type="auto"/>
            <w:shd w:val="clear" w:color="auto" w:fill="D0CECE" w:themeFill="background2" w:themeFillShade="E6"/>
            <w:hideMark/>
          </w:tcPr>
          <w:p w14:paraId="554DB07B"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Occupation</w:t>
            </w:r>
          </w:p>
        </w:tc>
        <w:tc>
          <w:tcPr>
            <w:tcW w:w="0" w:type="auto"/>
            <w:shd w:val="clear" w:color="auto" w:fill="D0CECE" w:themeFill="background2" w:themeFillShade="E6"/>
            <w:hideMark/>
          </w:tcPr>
          <w:p w14:paraId="20783FB8"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Presentation</w:t>
            </w:r>
          </w:p>
        </w:tc>
      </w:tr>
      <w:tr w:rsidR="0054513E" w:rsidRPr="0054513E" w14:paraId="6A656CE8" w14:textId="77777777" w:rsidTr="00630C10">
        <w:trPr>
          <w:trHeight w:val="295"/>
        </w:trPr>
        <w:tc>
          <w:tcPr>
            <w:tcW w:w="0" w:type="auto"/>
            <w:hideMark/>
          </w:tcPr>
          <w:p w14:paraId="3A55919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1</w:t>
            </w:r>
          </w:p>
        </w:tc>
        <w:tc>
          <w:tcPr>
            <w:tcW w:w="0" w:type="auto"/>
            <w:hideMark/>
          </w:tcPr>
          <w:p w14:paraId="7FBF19AE"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45</w:t>
            </w:r>
          </w:p>
        </w:tc>
        <w:tc>
          <w:tcPr>
            <w:tcW w:w="0" w:type="auto"/>
            <w:hideMark/>
          </w:tcPr>
          <w:p w14:paraId="61492185"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w:t>
            </w:r>
          </w:p>
        </w:tc>
        <w:tc>
          <w:tcPr>
            <w:tcW w:w="0" w:type="auto"/>
            <w:hideMark/>
          </w:tcPr>
          <w:p w14:paraId="4D97C82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Farmer</w:t>
            </w:r>
          </w:p>
        </w:tc>
        <w:tc>
          <w:tcPr>
            <w:tcW w:w="0" w:type="auto"/>
            <w:hideMark/>
          </w:tcPr>
          <w:p w14:paraId="52E65C0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Fever, myalgia, jaundice</w:t>
            </w:r>
          </w:p>
        </w:tc>
      </w:tr>
      <w:tr w:rsidR="0054513E" w:rsidRPr="0054513E" w14:paraId="7A436A7E" w14:textId="77777777" w:rsidTr="00630C10">
        <w:trPr>
          <w:trHeight w:val="607"/>
        </w:trPr>
        <w:tc>
          <w:tcPr>
            <w:tcW w:w="0" w:type="auto"/>
            <w:hideMark/>
          </w:tcPr>
          <w:p w14:paraId="500FDD7E"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2</w:t>
            </w:r>
          </w:p>
        </w:tc>
        <w:tc>
          <w:tcPr>
            <w:tcW w:w="0" w:type="auto"/>
            <w:hideMark/>
          </w:tcPr>
          <w:p w14:paraId="0BB1031E"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30</w:t>
            </w:r>
          </w:p>
        </w:tc>
        <w:tc>
          <w:tcPr>
            <w:tcW w:w="0" w:type="auto"/>
            <w:hideMark/>
          </w:tcPr>
          <w:p w14:paraId="20D14F4C"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w:t>
            </w:r>
          </w:p>
        </w:tc>
        <w:tc>
          <w:tcPr>
            <w:tcW w:w="0" w:type="auto"/>
            <w:hideMark/>
          </w:tcPr>
          <w:p w14:paraId="18DBCF55"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Factory worker</w:t>
            </w:r>
          </w:p>
        </w:tc>
        <w:tc>
          <w:tcPr>
            <w:tcW w:w="0" w:type="auto"/>
            <w:hideMark/>
          </w:tcPr>
          <w:p w14:paraId="43ADB69C"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High-grade fever, conjunctival suffusion, renal impairment</w:t>
            </w:r>
          </w:p>
        </w:tc>
      </w:tr>
      <w:tr w:rsidR="0054513E" w:rsidRPr="0054513E" w14:paraId="2515F0D9" w14:textId="77777777" w:rsidTr="00630C10">
        <w:trPr>
          <w:trHeight w:val="591"/>
        </w:trPr>
        <w:tc>
          <w:tcPr>
            <w:tcW w:w="0" w:type="auto"/>
            <w:hideMark/>
          </w:tcPr>
          <w:p w14:paraId="07594C3A"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3</w:t>
            </w:r>
          </w:p>
        </w:tc>
        <w:tc>
          <w:tcPr>
            <w:tcW w:w="0" w:type="auto"/>
            <w:hideMark/>
          </w:tcPr>
          <w:p w14:paraId="07CE08A4"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55</w:t>
            </w:r>
          </w:p>
        </w:tc>
        <w:tc>
          <w:tcPr>
            <w:tcW w:w="0" w:type="auto"/>
            <w:hideMark/>
          </w:tcPr>
          <w:p w14:paraId="062E3E91"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w:t>
            </w:r>
          </w:p>
        </w:tc>
        <w:tc>
          <w:tcPr>
            <w:tcW w:w="0" w:type="auto"/>
            <w:hideMark/>
          </w:tcPr>
          <w:p w14:paraId="372302FD"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Construction worker</w:t>
            </w:r>
          </w:p>
        </w:tc>
        <w:tc>
          <w:tcPr>
            <w:tcW w:w="0" w:type="auto"/>
            <w:hideMark/>
          </w:tcPr>
          <w:p w14:paraId="5536743B"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Fever, hypotension, multi-organ dysfunction</w:t>
            </w:r>
          </w:p>
        </w:tc>
      </w:tr>
      <w:tr w:rsidR="0054513E" w:rsidRPr="0054513E" w14:paraId="0B72D4CC" w14:textId="77777777" w:rsidTr="00630C10">
        <w:trPr>
          <w:trHeight w:val="295"/>
        </w:trPr>
        <w:tc>
          <w:tcPr>
            <w:tcW w:w="0" w:type="auto"/>
            <w:hideMark/>
          </w:tcPr>
          <w:p w14:paraId="55C58082"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4</w:t>
            </w:r>
          </w:p>
        </w:tc>
        <w:tc>
          <w:tcPr>
            <w:tcW w:w="0" w:type="auto"/>
            <w:hideMark/>
          </w:tcPr>
          <w:p w14:paraId="14DFE69A"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40</w:t>
            </w:r>
          </w:p>
        </w:tc>
        <w:tc>
          <w:tcPr>
            <w:tcW w:w="0" w:type="auto"/>
            <w:hideMark/>
          </w:tcPr>
          <w:p w14:paraId="6C9E6095"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w:t>
            </w:r>
          </w:p>
        </w:tc>
        <w:tc>
          <w:tcPr>
            <w:tcW w:w="0" w:type="auto"/>
            <w:hideMark/>
          </w:tcPr>
          <w:p w14:paraId="12EC2EA4"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Fisherman</w:t>
            </w:r>
          </w:p>
        </w:tc>
        <w:tc>
          <w:tcPr>
            <w:tcW w:w="0" w:type="auto"/>
            <w:hideMark/>
          </w:tcPr>
          <w:p w14:paraId="09C5FC75"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Fever, muscle pain, mild bleeding tendencies</w:t>
            </w:r>
          </w:p>
        </w:tc>
      </w:tr>
      <w:tr w:rsidR="0054513E" w:rsidRPr="0054513E" w14:paraId="2CC7DA2C" w14:textId="77777777" w:rsidTr="00630C10">
        <w:trPr>
          <w:trHeight w:val="311"/>
        </w:trPr>
        <w:tc>
          <w:tcPr>
            <w:tcW w:w="0" w:type="auto"/>
            <w:hideMark/>
          </w:tcPr>
          <w:p w14:paraId="4F5A43BD"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5</w:t>
            </w:r>
          </w:p>
        </w:tc>
        <w:tc>
          <w:tcPr>
            <w:tcW w:w="0" w:type="auto"/>
            <w:hideMark/>
          </w:tcPr>
          <w:p w14:paraId="54E59B40"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35</w:t>
            </w:r>
          </w:p>
        </w:tc>
        <w:tc>
          <w:tcPr>
            <w:tcW w:w="0" w:type="auto"/>
            <w:hideMark/>
          </w:tcPr>
          <w:p w14:paraId="0781CE2E"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w:t>
            </w:r>
          </w:p>
        </w:tc>
        <w:tc>
          <w:tcPr>
            <w:tcW w:w="0" w:type="auto"/>
            <w:hideMark/>
          </w:tcPr>
          <w:p w14:paraId="19CF6BB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Teacher</w:t>
            </w:r>
          </w:p>
        </w:tc>
        <w:tc>
          <w:tcPr>
            <w:tcW w:w="0" w:type="auto"/>
            <w:hideMark/>
          </w:tcPr>
          <w:p w14:paraId="45641D61"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Fever, nausea, acute kidney injury</w:t>
            </w:r>
          </w:p>
        </w:tc>
      </w:tr>
      <w:tr w:rsidR="0054513E" w:rsidRPr="0054513E" w14:paraId="292DF149" w14:textId="77777777" w:rsidTr="00630C10">
        <w:trPr>
          <w:trHeight w:val="591"/>
        </w:trPr>
        <w:tc>
          <w:tcPr>
            <w:tcW w:w="0" w:type="auto"/>
            <w:hideMark/>
          </w:tcPr>
          <w:p w14:paraId="0A098BDA"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6</w:t>
            </w:r>
          </w:p>
        </w:tc>
        <w:tc>
          <w:tcPr>
            <w:tcW w:w="0" w:type="auto"/>
            <w:hideMark/>
          </w:tcPr>
          <w:p w14:paraId="2B46D0B6"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50</w:t>
            </w:r>
          </w:p>
        </w:tc>
        <w:tc>
          <w:tcPr>
            <w:tcW w:w="0" w:type="auto"/>
            <w:hideMark/>
          </w:tcPr>
          <w:p w14:paraId="56C1978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w:t>
            </w:r>
          </w:p>
        </w:tc>
        <w:tc>
          <w:tcPr>
            <w:tcW w:w="0" w:type="auto"/>
            <w:hideMark/>
          </w:tcPr>
          <w:p w14:paraId="5BDF05D6"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Manual laborer</w:t>
            </w:r>
          </w:p>
        </w:tc>
        <w:tc>
          <w:tcPr>
            <w:tcW w:w="0" w:type="auto"/>
            <w:hideMark/>
          </w:tcPr>
          <w:p w14:paraId="15EFBCE2"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Severe fever, respiratory distress, multiple organ failure</w:t>
            </w:r>
          </w:p>
        </w:tc>
      </w:tr>
    </w:tbl>
    <w:p w14:paraId="08136337" w14:textId="77777777" w:rsidR="0054513E" w:rsidRDefault="0054513E" w:rsidP="0054513E">
      <w:pPr>
        <w:spacing w:line="360" w:lineRule="auto"/>
        <w:rPr>
          <w:rFonts w:ascii="Times New Roman" w:hAnsi="Times New Roman" w:cs="Times New Roman"/>
          <w:b/>
          <w:bCs/>
          <w:sz w:val="24"/>
          <w:szCs w:val="24"/>
        </w:rPr>
      </w:pPr>
    </w:p>
    <w:p w14:paraId="4487D1ED" w14:textId="37F689DB"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1: 45-year-old male, farmer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Fever, myalgia, jaundice</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298D5188" w14:textId="77777777" w:rsidR="007E0F13" w:rsidRPr="0054513E" w:rsidRDefault="007E0F13" w:rsidP="0054513E">
      <w:pPr>
        <w:numPr>
          <w:ilvl w:val="0"/>
          <w:numId w:val="1"/>
        </w:numPr>
        <w:spacing w:line="360" w:lineRule="auto"/>
        <w:rPr>
          <w:rFonts w:ascii="Times New Roman" w:hAnsi="Times New Roman" w:cs="Times New Roman"/>
          <w:sz w:val="24"/>
          <w:szCs w:val="24"/>
        </w:rPr>
      </w:pPr>
      <w:r w:rsidRPr="0054513E">
        <w:rPr>
          <w:rFonts w:ascii="Times New Roman" w:hAnsi="Times New Roman" w:cs="Times New Roman"/>
          <w:sz w:val="24"/>
          <w:szCs w:val="24"/>
        </w:rPr>
        <w:lastRenderedPageBreak/>
        <w:t>Day 1: WBC 12.5 ×10</w:t>
      </w:r>
      <w:r w:rsidRPr="0054513E">
        <w:rPr>
          <w:rFonts w:ascii="Cambria Math" w:hAnsi="Cambria Math" w:cs="Cambria Math"/>
          <w:sz w:val="24"/>
          <w:szCs w:val="24"/>
        </w:rPr>
        <w:t>⁹</w:t>
      </w:r>
      <w:r w:rsidRPr="0054513E">
        <w:rPr>
          <w:rFonts w:ascii="Times New Roman" w:hAnsi="Times New Roman" w:cs="Times New Roman"/>
          <w:sz w:val="24"/>
          <w:szCs w:val="24"/>
        </w:rPr>
        <w:t>/L, Hb 13.2 g/dL, Platelet 85 ×10</w:t>
      </w:r>
      <w:r w:rsidRPr="0054513E">
        <w:rPr>
          <w:rFonts w:ascii="Cambria Math" w:hAnsi="Cambria Math" w:cs="Cambria Math"/>
          <w:sz w:val="24"/>
          <w:szCs w:val="24"/>
        </w:rPr>
        <w:t>⁹</w:t>
      </w:r>
      <w:r w:rsidRPr="0054513E">
        <w:rPr>
          <w:rFonts w:ascii="Times New Roman" w:hAnsi="Times New Roman" w:cs="Times New Roman"/>
          <w:sz w:val="24"/>
          <w:szCs w:val="24"/>
        </w:rPr>
        <w:t>/L, Creatinine 1.5 mg/dL, BUN 28 mg/dL, CRP 55 mg/L, ESR 35 mm/</w:t>
      </w:r>
      <w:proofErr w:type="spellStart"/>
      <w:r w:rsidRPr="0054513E">
        <w:rPr>
          <w:rFonts w:ascii="Times New Roman" w:hAnsi="Times New Roman" w:cs="Times New Roman"/>
          <w:sz w:val="24"/>
          <w:szCs w:val="24"/>
        </w:rPr>
        <w:t>hr</w:t>
      </w:r>
      <w:proofErr w:type="spellEnd"/>
    </w:p>
    <w:p w14:paraId="2D7D9F7B" w14:textId="77777777" w:rsidR="007E0F13" w:rsidRPr="0054513E" w:rsidRDefault="007E0F13" w:rsidP="0054513E">
      <w:pPr>
        <w:numPr>
          <w:ilvl w:val="0"/>
          <w:numId w:val="1"/>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5: WBC 14.8 ×10</w:t>
      </w:r>
      <w:r w:rsidRPr="0054513E">
        <w:rPr>
          <w:rFonts w:ascii="Cambria Math" w:hAnsi="Cambria Math" w:cs="Cambria Math"/>
          <w:sz w:val="24"/>
          <w:szCs w:val="24"/>
        </w:rPr>
        <w:t>⁹</w:t>
      </w:r>
      <w:r w:rsidRPr="0054513E">
        <w:rPr>
          <w:rFonts w:ascii="Times New Roman" w:hAnsi="Times New Roman" w:cs="Times New Roman"/>
          <w:sz w:val="24"/>
          <w:szCs w:val="24"/>
        </w:rPr>
        <w:t>/L, Hb 12.8 g/dL, Platelet 65 ×10</w:t>
      </w:r>
      <w:r w:rsidRPr="0054513E">
        <w:rPr>
          <w:rFonts w:ascii="Cambria Math" w:hAnsi="Cambria Math" w:cs="Cambria Math"/>
          <w:sz w:val="24"/>
          <w:szCs w:val="24"/>
        </w:rPr>
        <w:t>⁹</w:t>
      </w:r>
      <w:r w:rsidRPr="0054513E">
        <w:rPr>
          <w:rFonts w:ascii="Times New Roman" w:hAnsi="Times New Roman" w:cs="Times New Roman"/>
          <w:sz w:val="24"/>
          <w:szCs w:val="24"/>
        </w:rPr>
        <w:t>/L, Creatinine 1.8 mg/dL, BUN 34 mg/dL, CRP 45 mg/L, ESR 40 mm/</w:t>
      </w:r>
      <w:proofErr w:type="spellStart"/>
      <w:r w:rsidRPr="0054513E">
        <w:rPr>
          <w:rFonts w:ascii="Times New Roman" w:hAnsi="Times New Roman" w:cs="Times New Roman"/>
          <w:sz w:val="24"/>
          <w:szCs w:val="24"/>
        </w:rPr>
        <w:t>hr</w:t>
      </w:r>
      <w:proofErr w:type="spellEnd"/>
    </w:p>
    <w:p w14:paraId="475BF9B1" w14:textId="34913866" w:rsidR="007E0F13" w:rsidRPr="0054513E" w:rsidRDefault="007E0F13" w:rsidP="0054513E">
      <w:pPr>
        <w:numPr>
          <w:ilvl w:val="0"/>
          <w:numId w:val="1"/>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10: WBC 9.2 ×10</w:t>
      </w:r>
      <w:r w:rsidRPr="0054513E">
        <w:rPr>
          <w:rFonts w:ascii="Cambria Math" w:hAnsi="Cambria Math" w:cs="Cambria Math"/>
          <w:sz w:val="24"/>
          <w:szCs w:val="24"/>
        </w:rPr>
        <w:t>⁹</w:t>
      </w:r>
      <w:r w:rsidRPr="0054513E">
        <w:rPr>
          <w:rFonts w:ascii="Times New Roman" w:hAnsi="Times New Roman" w:cs="Times New Roman"/>
          <w:sz w:val="24"/>
          <w:szCs w:val="24"/>
        </w:rPr>
        <w:t>/L, Hb 13.0 g/dL, Platelet 110 ×10</w:t>
      </w:r>
      <w:r w:rsidRPr="0054513E">
        <w:rPr>
          <w:rFonts w:ascii="Cambria Math" w:hAnsi="Cambria Math" w:cs="Cambria Math"/>
          <w:sz w:val="24"/>
          <w:szCs w:val="24"/>
        </w:rPr>
        <w:t>⁹</w:t>
      </w:r>
      <w:r w:rsidRPr="0054513E">
        <w:rPr>
          <w:rFonts w:ascii="Times New Roman" w:hAnsi="Times New Roman" w:cs="Times New Roman"/>
          <w:sz w:val="24"/>
          <w:szCs w:val="24"/>
        </w:rPr>
        <w:t>/L, Creatinine 1.2 mg/dL, BUN 20 mg/dL, CRP 18 mg/L, ESR 25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2E86C422"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2: 30-year-old female, factory worker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High-grade fever, conjunctival suffusion, renal impairment</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031F151C" w14:textId="77777777" w:rsidR="007E0F13" w:rsidRPr="0054513E" w:rsidRDefault="007E0F13" w:rsidP="0054513E">
      <w:pPr>
        <w:numPr>
          <w:ilvl w:val="0"/>
          <w:numId w:val="2"/>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15.0 ×10</w:t>
      </w:r>
      <w:r w:rsidRPr="0054513E">
        <w:rPr>
          <w:rFonts w:ascii="Cambria Math" w:hAnsi="Cambria Math" w:cs="Cambria Math"/>
          <w:sz w:val="24"/>
          <w:szCs w:val="24"/>
        </w:rPr>
        <w:t>⁹</w:t>
      </w:r>
      <w:r w:rsidRPr="0054513E">
        <w:rPr>
          <w:rFonts w:ascii="Times New Roman" w:hAnsi="Times New Roman" w:cs="Times New Roman"/>
          <w:sz w:val="24"/>
          <w:szCs w:val="24"/>
        </w:rPr>
        <w:t>/L, Hb 11.5 g/dL, Platelet 70 ×10</w:t>
      </w:r>
      <w:r w:rsidRPr="0054513E">
        <w:rPr>
          <w:rFonts w:ascii="Cambria Math" w:hAnsi="Cambria Math" w:cs="Cambria Math"/>
          <w:sz w:val="24"/>
          <w:szCs w:val="24"/>
        </w:rPr>
        <w:t>⁹</w:t>
      </w:r>
      <w:r w:rsidRPr="0054513E">
        <w:rPr>
          <w:rFonts w:ascii="Times New Roman" w:hAnsi="Times New Roman" w:cs="Times New Roman"/>
          <w:sz w:val="24"/>
          <w:szCs w:val="24"/>
        </w:rPr>
        <w:t>/L, Creatinine 2.0 mg/dL, BUN 40 mg/dL, CRP 70 mg/L, ESR 45 mm/</w:t>
      </w:r>
      <w:proofErr w:type="spellStart"/>
      <w:r w:rsidRPr="0054513E">
        <w:rPr>
          <w:rFonts w:ascii="Times New Roman" w:hAnsi="Times New Roman" w:cs="Times New Roman"/>
          <w:sz w:val="24"/>
          <w:szCs w:val="24"/>
        </w:rPr>
        <w:t>hr</w:t>
      </w:r>
      <w:proofErr w:type="spellEnd"/>
    </w:p>
    <w:p w14:paraId="5A7994F5" w14:textId="77777777" w:rsidR="007E0F13" w:rsidRPr="0054513E" w:rsidRDefault="007E0F13" w:rsidP="0054513E">
      <w:pPr>
        <w:numPr>
          <w:ilvl w:val="0"/>
          <w:numId w:val="2"/>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6: WBC 13.5 ×10</w:t>
      </w:r>
      <w:r w:rsidRPr="0054513E">
        <w:rPr>
          <w:rFonts w:ascii="Cambria Math" w:hAnsi="Cambria Math" w:cs="Cambria Math"/>
          <w:sz w:val="24"/>
          <w:szCs w:val="24"/>
        </w:rPr>
        <w:t>⁹</w:t>
      </w:r>
      <w:r w:rsidRPr="0054513E">
        <w:rPr>
          <w:rFonts w:ascii="Times New Roman" w:hAnsi="Times New Roman" w:cs="Times New Roman"/>
          <w:sz w:val="24"/>
          <w:szCs w:val="24"/>
        </w:rPr>
        <w:t>/L, Hb 11.0 g/dL, Platelet 40 ×10</w:t>
      </w:r>
      <w:r w:rsidRPr="0054513E">
        <w:rPr>
          <w:rFonts w:ascii="Cambria Math" w:hAnsi="Cambria Math" w:cs="Cambria Math"/>
          <w:sz w:val="24"/>
          <w:szCs w:val="24"/>
        </w:rPr>
        <w:t>⁹</w:t>
      </w:r>
      <w:r w:rsidRPr="0054513E">
        <w:rPr>
          <w:rFonts w:ascii="Times New Roman" w:hAnsi="Times New Roman" w:cs="Times New Roman"/>
          <w:sz w:val="24"/>
          <w:szCs w:val="24"/>
        </w:rPr>
        <w:t>/L, Creatinine 3.2 mg/dL, BUN 55 mg/dL, CRP 65 mg/L, ESR 50 mm/</w:t>
      </w:r>
      <w:proofErr w:type="spellStart"/>
      <w:r w:rsidRPr="0054513E">
        <w:rPr>
          <w:rFonts w:ascii="Times New Roman" w:hAnsi="Times New Roman" w:cs="Times New Roman"/>
          <w:sz w:val="24"/>
          <w:szCs w:val="24"/>
        </w:rPr>
        <w:t>hr</w:t>
      </w:r>
      <w:proofErr w:type="spellEnd"/>
    </w:p>
    <w:p w14:paraId="05546748" w14:textId="422D793F" w:rsidR="007E0F13" w:rsidRPr="0054513E" w:rsidRDefault="007E0F13" w:rsidP="0054513E">
      <w:pPr>
        <w:numPr>
          <w:ilvl w:val="0"/>
          <w:numId w:val="2"/>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12: WBC 8.8 ×10</w:t>
      </w:r>
      <w:r w:rsidRPr="0054513E">
        <w:rPr>
          <w:rFonts w:ascii="Cambria Math" w:hAnsi="Cambria Math" w:cs="Cambria Math"/>
          <w:sz w:val="24"/>
          <w:szCs w:val="24"/>
        </w:rPr>
        <w:t>⁹</w:t>
      </w:r>
      <w:r w:rsidRPr="0054513E">
        <w:rPr>
          <w:rFonts w:ascii="Times New Roman" w:hAnsi="Times New Roman" w:cs="Times New Roman"/>
          <w:sz w:val="24"/>
          <w:szCs w:val="24"/>
        </w:rPr>
        <w:t>/L, Hb 11.8 g/dL, Platelet 120 ×10</w:t>
      </w:r>
      <w:r w:rsidRPr="0054513E">
        <w:rPr>
          <w:rFonts w:ascii="Cambria Math" w:hAnsi="Cambria Math" w:cs="Cambria Math"/>
          <w:sz w:val="24"/>
          <w:szCs w:val="24"/>
        </w:rPr>
        <w:t>⁹</w:t>
      </w:r>
      <w:r w:rsidRPr="0054513E">
        <w:rPr>
          <w:rFonts w:ascii="Times New Roman" w:hAnsi="Times New Roman" w:cs="Times New Roman"/>
          <w:sz w:val="24"/>
          <w:szCs w:val="24"/>
        </w:rPr>
        <w:t>/L, Creatinine 1.5 mg/dL, BUN 25 mg/dL, CRP 20 mg/L, ESR 30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120AEB55"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3: 55-year-old male, construction worker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Fever, hypotension, multi-organ dysfunction</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47F2DBDE" w14:textId="77777777" w:rsidR="007E0F13" w:rsidRPr="0054513E" w:rsidRDefault="007E0F13" w:rsidP="0054513E">
      <w:pPr>
        <w:numPr>
          <w:ilvl w:val="0"/>
          <w:numId w:val="3"/>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18.2 ×10</w:t>
      </w:r>
      <w:r w:rsidRPr="0054513E">
        <w:rPr>
          <w:rFonts w:ascii="Cambria Math" w:hAnsi="Cambria Math" w:cs="Cambria Math"/>
          <w:sz w:val="24"/>
          <w:szCs w:val="24"/>
        </w:rPr>
        <w:t>⁹</w:t>
      </w:r>
      <w:r w:rsidRPr="0054513E">
        <w:rPr>
          <w:rFonts w:ascii="Times New Roman" w:hAnsi="Times New Roman" w:cs="Times New Roman"/>
          <w:sz w:val="24"/>
          <w:szCs w:val="24"/>
        </w:rPr>
        <w:t>/L, Hb 10.5 g/dL, Platelet 50 ×10</w:t>
      </w:r>
      <w:r w:rsidRPr="0054513E">
        <w:rPr>
          <w:rFonts w:ascii="Cambria Math" w:hAnsi="Cambria Math" w:cs="Cambria Math"/>
          <w:sz w:val="24"/>
          <w:szCs w:val="24"/>
        </w:rPr>
        <w:t>⁹</w:t>
      </w:r>
      <w:r w:rsidRPr="0054513E">
        <w:rPr>
          <w:rFonts w:ascii="Times New Roman" w:hAnsi="Times New Roman" w:cs="Times New Roman"/>
          <w:sz w:val="24"/>
          <w:szCs w:val="24"/>
        </w:rPr>
        <w:t>/L, Creatinine 2.8 mg/dL, BUN 50 mg/dL, CRP 85 mg/L, ESR 55 mm/</w:t>
      </w:r>
      <w:proofErr w:type="spellStart"/>
      <w:r w:rsidRPr="0054513E">
        <w:rPr>
          <w:rFonts w:ascii="Times New Roman" w:hAnsi="Times New Roman" w:cs="Times New Roman"/>
          <w:sz w:val="24"/>
          <w:szCs w:val="24"/>
        </w:rPr>
        <w:t>hr</w:t>
      </w:r>
      <w:proofErr w:type="spellEnd"/>
    </w:p>
    <w:p w14:paraId="4AE9B222" w14:textId="77777777" w:rsidR="007E0F13" w:rsidRPr="0054513E" w:rsidRDefault="007E0F13" w:rsidP="0054513E">
      <w:pPr>
        <w:numPr>
          <w:ilvl w:val="0"/>
          <w:numId w:val="3"/>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4: WBC 17.0 ×10</w:t>
      </w:r>
      <w:r w:rsidRPr="0054513E">
        <w:rPr>
          <w:rFonts w:ascii="Cambria Math" w:hAnsi="Cambria Math" w:cs="Cambria Math"/>
          <w:sz w:val="24"/>
          <w:szCs w:val="24"/>
        </w:rPr>
        <w:t>⁹</w:t>
      </w:r>
      <w:r w:rsidRPr="0054513E">
        <w:rPr>
          <w:rFonts w:ascii="Times New Roman" w:hAnsi="Times New Roman" w:cs="Times New Roman"/>
          <w:sz w:val="24"/>
          <w:szCs w:val="24"/>
        </w:rPr>
        <w:t>/L, Hb 9.8 g/dL, Platelet 30 ×10</w:t>
      </w:r>
      <w:r w:rsidRPr="0054513E">
        <w:rPr>
          <w:rFonts w:ascii="Cambria Math" w:hAnsi="Cambria Math" w:cs="Cambria Math"/>
          <w:sz w:val="24"/>
          <w:szCs w:val="24"/>
        </w:rPr>
        <w:t>⁹</w:t>
      </w:r>
      <w:r w:rsidRPr="0054513E">
        <w:rPr>
          <w:rFonts w:ascii="Times New Roman" w:hAnsi="Times New Roman" w:cs="Times New Roman"/>
          <w:sz w:val="24"/>
          <w:szCs w:val="24"/>
        </w:rPr>
        <w:t>/L, Creatinine 4.1 mg/dL, BUN 68 mg/dL, CRP 90 mg/L, ESR 60 mm/</w:t>
      </w:r>
      <w:proofErr w:type="spellStart"/>
      <w:r w:rsidRPr="0054513E">
        <w:rPr>
          <w:rFonts w:ascii="Times New Roman" w:hAnsi="Times New Roman" w:cs="Times New Roman"/>
          <w:sz w:val="24"/>
          <w:szCs w:val="24"/>
        </w:rPr>
        <w:t>hr</w:t>
      </w:r>
      <w:proofErr w:type="spellEnd"/>
    </w:p>
    <w:p w14:paraId="02639E11" w14:textId="659137B5" w:rsidR="007E0F13" w:rsidRPr="0054513E" w:rsidRDefault="007E0F13" w:rsidP="0054513E">
      <w:pPr>
        <w:numPr>
          <w:ilvl w:val="0"/>
          <w:numId w:val="3"/>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9: WBC 11.5 ×10</w:t>
      </w:r>
      <w:r w:rsidRPr="0054513E">
        <w:rPr>
          <w:rFonts w:ascii="Cambria Math" w:hAnsi="Cambria Math" w:cs="Cambria Math"/>
          <w:sz w:val="24"/>
          <w:szCs w:val="24"/>
        </w:rPr>
        <w:t>⁹</w:t>
      </w:r>
      <w:r w:rsidRPr="0054513E">
        <w:rPr>
          <w:rFonts w:ascii="Times New Roman" w:hAnsi="Times New Roman" w:cs="Times New Roman"/>
          <w:sz w:val="24"/>
          <w:szCs w:val="24"/>
        </w:rPr>
        <w:t>/L, Hb 10.2 g/dL, Platelet 80 ×10</w:t>
      </w:r>
      <w:r w:rsidRPr="0054513E">
        <w:rPr>
          <w:rFonts w:ascii="Cambria Math" w:hAnsi="Cambria Math" w:cs="Cambria Math"/>
          <w:sz w:val="24"/>
          <w:szCs w:val="24"/>
        </w:rPr>
        <w:t>⁹</w:t>
      </w:r>
      <w:r w:rsidRPr="0054513E">
        <w:rPr>
          <w:rFonts w:ascii="Times New Roman" w:hAnsi="Times New Roman" w:cs="Times New Roman"/>
          <w:sz w:val="24"/>
          <w:szCs w:val="24"/>
        </w:rPr>
        <w:t>/L, Creatinine 1.9 mg/dL, BUN 35 mg/dL, CRP 35 mg/L, ESR 40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42B3B23D"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lastRenderedPageBreak/>
        <w:t>Case 4: 40-year-old male, fisherman</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Fever, muscle pain, mild bleeding tendencies</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02C9B39F" w14:textId="77777777" w:rsidR="007E0F13" w:rsidRPr="0054513E" w:rsidRDefault="007E0F13" w:rsidP="0054513E">
      <w:pPr>
        <w:numPr>
          <w:ilvl w:val="0"/>
          <w:numId w:val="4"/>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11.0 ×10</w:t>
      </w:r>
      <w:r w:rsidRPr="0054513E">
        <w:rPr>
          <w:rFonts w:ascii="Cambria Math" w:hAnsi="Cambria Math" w:cs="Cambria Math"/>
          <w:sz w:val="24"/>
          <w:szCs w:val="24"/>
        </w:rPr>
        <w:t>⁹</w:t>
      </w:r>
      <w:r w:rsidRPr="0054513E">
        <w:rPr>
          <w:rFonts w:ascii="Times New Roman" w:hAnsi="Times New Roman" w:cs="Times New Roman"/>
          <w:sz w:val="24"/>
          <w:szCs w:val="24"/>
        </w:rPr>
        <w:t>/L, Hb 12.5 g/dL, Platelet 75 ×10</w:t>
      </w:r>
      <w:r w:rsidRPr="0054513E">
        <w:rPr>
          <w:rFonts w:ascii="Cambria Math" w:hAnsi="Cambria Math" w:cs="Cambria Math"/>
          <w:sz w:val="24"/>
          <w:szCs w:val="24"/>
        </w:rPr>
        <w:t>⁹</w:t>
      </w:r>
      <w:r w:rsidRPr="0054513E">
        <w:rPr>
          <w:rFonts w:ascii="Times New Roman" w:hAnsi="Times New Roman" w:cs="Times New Roman"/>
          <w:sz w:val="24"/>
          <w:szCs w:val="24"/>
        </w:rPr>
        <w:t>/L, Creatinine 1.9 mg/dL, BUN 32 mg/dL, CRP 65 mg/L, ESR 38 mm/</w:t>
      </w:r>
      <w:proofErr w:type="spellStart"/>
      <w:r w:rsidRPr="0054513E">
        <w:rPr>
          <w:rFonts w:ascii="Times New Roman" w:hAnsi="Times New Roman" w:cs="Times New Roman"/>
          <w:sz w:val="24"/>
          <w:szCs w:val="24"/>
        </w:rPr>
        <w:t>hr</w:t>
      </w:r>
      <w:proofErr w:type="spellEnd"/>
    </w:p>
    <w:p w14:paraId="0EFC7CA2" w14:textId="77777777" w:rsidR="007E0F13" w:rsidRPr="0054513E" w:rsidRDefault="007E0F13" w:rsidP="0054513E">
      <w:pPr>
        <w:numPr>
          <w:ilvl w:val="0"/>
          <w:numId w:val="4"/>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6: WBC 13.2 ×10</w:t>
      </w:r>
      <w:r w:rsidRPr="0054513E">
        <w:rPr>
          <w:rFonts w:ascii="Cambria Math" w:hAnsi="Cambria Math" w:cs="Cambria Math"/>
          <w:sz w:val="24"/>
          <w:szCs w:val="24"/>
        </w:rPr>
        <w:t>⁹</w:t>
      </w:r>
      <w:r w:rsidRPr="0054513E">
        <w:rPr>
          <w:rFonts w:ascii="Times New Roman" w:hAnsi="Times New Roman" w:cs="Times New Roman"/>
          <w:sz w:val="24"/>
          <w:szCs w:val="24"/>
        </w:rPr>
        <w:t>/L, Hb 11.9 g/dL, Platelet 50 ×10</w:t>
      </w:r>
      <w:r w:rsidRPr="0054513E">
        <w:rPr>
          <w:rFonts w:ascii="Cambria Math" w:hAnsi="Cambria Math" w:cs="Cambria Math"/>
          <w:sz w:val="24"/>
          <w:szCs w:val="24"/>
        </w:rPr>
        <w:t>⁹</w:t>
      </w:r>
      <w:r w:rsidRPr="0054513E">
        <w:rPr>
          <w:rFonts w:ascii="Times New Roman" w:hAnsi="Times New Roman" w:cs="Times New Roman"/>
          <w:sz w:val="24"/>
          <w:szCs w:val="24"/>
        </w:rPr>
        <w:t>/L, Creatinine 2.4 mg/dL, BUN 42 mg/dL, CRP 55 mg/L, ESR 42 mm/</w:t>
      </w:r>
      <w:proofErr w:type="spellStart"/>
      <w:r w:rsidRPr="0054513E">
        <w:rPr>
          <w:rFonts w:ascii="Times New Roman" w:hAnsi="Times New Roman" w:cs="Times New Roman"/>
          <w:sz w:val="24"/>
          <w:szCs w:val="24"/>
        </w:rPr>
        <w:t>hr</w:t>
      </w:r>
      <w:proofErr w:type="spellEnd"/>
    </w:p>
    <w:p w14:paraId="07460A3B" w14:textId="0F130215" w:rsidR="007E0F13" w:rsidRPr="0054513E" w:rsidRDefault="007E0F13" w:rsidP="0054513E">
      <w:pPr>
        <w:numPr>
          <w:ilvl w:val="0"/>
          <w:numId w:val="4"/>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10: WBC 9.5 ×10</w:t>
      </w:r>
      <w:r w:rsidRPr="0054513E">
        <w:rPr>
          <w:rFonts w:ascii="Cambria Math" w:hAnsi="Cambria Math" w:cs="Cambria Math"/>
          <w:sz w:val="24"/>
          <w:szCs w:val="24"/>
        </w:rPr>
        <w:t>⁹</w:t>
      </w:r>
      <w:r w:rsidRPr="0054513E">
        <w:rPr>
          <w:rFonts w:ascii="Times New Roman" w:hAnsi="Times New Roman" w:cs="Times New Roman"/>
          <w:sz w:val="24"/>
          <w:szCs w:val="24"/>
        </w:rPr>
        <w:t>/L, Hb 12.3 g/dL, Platelet 100 ×10</w:t>
      </w:r>
      <w:r w:rsidRPr="0054513E">
        <w:rPr>
          <w:rFonts w:ascii="Cambria Math" w:hAnsi="Cambria Math" w:cs="Cambria Math"/>
          <w:sz w:val="24"/>
          <w:szCs w:val="24"/>
        </w:rPr>
        <w:t>⁹</w:t>
      </w:r>
      <w:r w:rsidRPr="0054513E">
        <w:rPr>
          <w:rFonts w:ascii="Times New Roman" w:hAnsi="Times New Roman" w:cs="Times New Roman"/>
          <w:sz w:val="24"/>
          <w:szCs w:val="24"/>
        </w:rPr>
        <w:t>/L, Creatinine 1.5 mg/dL, BUN 25 mg/dL, CRP 25 mg/L, ESR 28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25032678"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5: 35-year-old female, teacher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Fever, nausea, acute kidney injury</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04E78371" w14:textId="77777777" w:rsidR="007E0F13" w:rsidRPr="0054513E" w:rsidRDefault="007E0F13" w:rsidP="0054513E">
      <w:pPr>
        <w:numPr>
          <w:ilvl w:val="0"/>
          <w:numId w:val="5"/>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14.0 ×10</w:t>
      </w:r>
      <w:r w:rsidRPr="0054513E">
        <w:rPr>
          <w:rFonts w:ascii="Cambria Math" w:hAnsi="Cambria Math" w:cs="Cambria Math"/>
          <w:sz w:val="24"/>
          <w:szCs w:val="24"/>
        </w:rPr>
        <w:t>⁹</w:t>
      </w:r>
      <w:r w:rsidRPr="0054513E">
        <w:rPr>
          <w:rFonts w:ascii="Times New Roman" w:hAnsi="Times New Roman" w:cs="Times New Roman"/>
          <w:sz w:val="24"/>
          <w:szCs w:val="24"/>
        </w:rPr>
        <w:t>/L, Hb 10.8 g/dL, Platelet 60 ×10</w:t>
      </w:r>
      <w:r w:rsidRPr="0054513E">
        <w:rPr>
          <w:rFonts w:ascii="Cambria Math" w:hAnsi="Cambria Math" w:cs="Cambria Math"/>
          <w:sz w:val="24"/>
          <w:szCs w:val="24"/>
        </w:rPr>
        <w:t>⁹</w:t>
      </w:r>
      <w:r w:rsidRPr="0054513E">
        <w:rPr>
          <w:rFonts w:ascii="Times New Roman" w:hAnsi="Times New Roman" w:cs="Times New Roman"/>
          <w:sz w:val="24"/>
          <w:szCs w:val="24"/>
        </w:rPr>
        <w:t>/L, Creatinine 3.0 mg/dL, BUN 48 mg/dL, CRP 75 mg/L, ESR 50 mm/</w:t>
      </w:r>
      <w:proofErr w:type="spellStart"/>
      <w:r w:rsidRPr="0054513E">
        <w:rPr>
          <w:rFonts w:ascii="Times New Roman" w:hAnsi="Times New Roman" w:cs="Times New Roman"/>
          <w:sz w:val="24"/>
          <w:szCs w:val="24"/>
        </w:rPr>
        <w:t>hr</w:t>
      </w:r>
      <w:proofErr w:type="spellEnd"/>
    </w:p>
    <w:p w14:paraId="40AA4238" w14:textId="77777777" w:rsidR="007E0F13" w:rsidRPr="0054513E" w:rsidRDefault="007E0F13" w:rsidP="0054513E">
      <w:pPr>
        <w:numPr>
          <w:ilvl w:val="0"/>
          <w:numId w:val="5"/>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5: WBC 15.5 ×10</w:t>
      </w:r>
      <w:r w:rsidRPr="0054513E">
        <w:rPr>
          <w:rFonts w:ascii="Cambria Math" w:hAnsi="Cambria Math" w:cs="Cambria Math"/>
          <w:sz w:val="24"/>
          <w:szCs w:val="24"/>
        </w:rPr>
        <w:t>⁹</w:t>
      </w:r>
      <w:r w:rsidRPr="0054513E">
        <w:rPr>
          <w:rFonts w:ascii="Times New Roman" w:hAnsi="Times New Roman" w:cs="Times New Roman"/>
          <w:sz w:val="24"/>
          <w:szCs w:val="24"/>
        </w:rPr>
        <w:t>/L, Hb 10.2 g/dL, Platelet 40 ×10</w:t>
      </w:r>
      <w:r w:rsidRPr="0054513E">
        <w:rPr>
          <w:rFonts w:ascii="Cambria Math" w:hAnsi="Cambria Math" w:cs="Cambria Math"/>
          <w:sz w:val="24"/>
          <w:szCs w:val="24"/>
        </w:rPr>
        <w:t>⁹</w:t>
      </w:r>
      <w:r w:rsidRPr="0054513E">
        <w:rPr>
          <w:rFonts w:ascii="Times New Roman" w:hAnsi="Times New Roman" w:cs="Times New Roman"/>
          <w:sz w:val="24"/>
          <w:szCs w:val="24"/>
        </w:rPr>
        <w:t>/L, Creatinine 4.0 mg/dL, BUN 60 mg/dL, CRP 80 mg/L, ESR 58 mm/</w:t>
      </w:r>
      <w:proofErr w:type="spellStart"/>
      <w:r w:rsidRPr="0054513E">
        <w:rPr>
          <w:rFonts w:ascii="Times New Roman" w:hAnsi="Times New Roman" w:cs="Times New Roman"/>
          <w:sz w:val="24"/>
          <w:szCs w:val="24"/>
        </w:rPr>
        <w:t>hr</w:t>
      </w:r>
      <w:proofErr w:type="spellEnd"/>
    </w:p>
    <w:p w14:paraId="5EBB32B6" w14:textId="6743A59C" w:rsidR="007E0F13" w:rsidRPr="0054513E" w:rsidRDefault="007E0F13" w:rsidP="0054513E">
      <w:pPr>
        <w:numPr>
          <w:ilvl w:val="0"/>
          <w:numId w:val="5"/>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12: WBC 10.1 ×10</w:t>
      </w:r>
      <w:r w:rsidRPr="0054513E">
        <w:rPr>
          <w:rFonts w:ascii="Cambria Math" w:hAnsi="Cambria Math" w:cs="Cambria Math"/>
          <w:sz w:val="24"/>
          <w:szCs w:val="24"/>
        </w:rPr>
        <w:t>⁹</w:t>
      </w:r>
      <w:r w:rsidRPr="0054513E">
        <w:rPr>
          <w:rFonts w:ascii="Times New Roman" w:hAnsi="Times New Roman" w:cs="Times New Roman"/>
          <w:sz w:val="24"/>
          <w:szCs w:val="24"/>
        </w:rPr>
        <w:t>/L, Hb 10.9 g/dL, Platelet 110 ×10</w:t>
      </w:r>
      <w:r w:rsidRPr="0054513E">
        <w:rPr>
          <w:rFonts w:ascii="Cambria Math" w:hAnsi="Cambria Math" w:cs="Cambria Math"/>
          <w:sz w:val="24"/>
          <w:szCs w:val="24"/>
        </w:rPr>
        <w:t>⁹</w:t>
      </w:r>
      <w:r w:rsidRPr="0054513E">
        <w:rPr>
          <w:rFonts w:ascii="Times New Roman" w:hAnsi="Times New Roman" w:cs="Times New Roman"/>
          <w:sz w:val="24"/>
          <w:szCs w:val="24"/>
        </w:rPr>
        <w:t>/L, Creatinine 2.1 mg/dL, BUN 30 mg/dL, CRP 30 mg/L, ESR 35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4E955E30"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6: 50-year-old male, manual laborer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Severe fever, respiratory distress, multiple organ failure</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534B2AC2" w14:textId="77777777" w:rsidR="007E0F13" w:rsidRPr="0054513E" w:rsidRDefault="007E0F13" w:rsidP="0054513E">
      <w:pPr>
        <w:numPr>
          <w:ilvl w:val="0"/>
          <w:numId w:val="6"/>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19.5 ×10</w:t>
      </w:r>
      <w:r w:rsidRPr="0054513E">
        <w:rPr>
          <w:rFonts w:ascii="Cambria Math" w:hAnsi="Cambria Math" w:cs="Cambria Math"/>
          <w:sz w:val="24"/>
          <w:szCs w:val="24"/>
        </w:rPr>
        <w:t>⁹</w:t>
      </w:r>
      <w:r w:rsidRPr="0054513E">
        <w:rPr>
          <w:rFonts w:ascii="Times New Roman" w:hAnsi="Times New Roman" w:cs="Times New Roman"/>
          <w:sz w:val="24"/>
          <w:szCs w:val="24"/>
        </w:rPr>
        <w:t>/L, Hb 9.8 g/dL, Platelet 45 ×10</w:t>
      </w:r>
      <w:r w:rsidRPr="0054513E">
        <w:rPr>
          <w:rFonts w:ascii="Cambria Math" w:hAnsi="Cambria Math" w:cs="Cambria Math"/>
          <w:sz w:val="24"/>
          <w:szCs w:val="24"/>
        </w:rPr>
        <w:t>⁹</w:t>
      </w:r>
      <w:r w:rsidRPr="0054513E">
        <w:rPr>
          <w:rFonts w:ascii="Times New Roman" w:hAnsi="Times New Roman" w:cs="Times New Roman"/>
          <w:sz w:val="24"/>
          <w:szCs w:val="24"/>
        </w:rPr>
        <w:t>/L, Creatinine 4.2 mg/dL, BUN 70 mg/dL, CRP 95 mg/L, ESR 65 mm/</w:t>
      </w:r>
      <w:proofErr w:type="spellStart"/>
      <w:r w:rsidRPr="0054513E">
        <w:rPr>
          <w:rFonts w:ascii="Times New Roman" w:hAnsi="Times New Roman" w:cs="Times New Roman"/>
          <w:sz w:val="24"/>
          <w:szCs w:val="24"/>
        </w:rPr>
        <w:t>hr</w:t>
      </w:r>
      <w:proofErr w:type="spellEnd"/>
    </w:p>
    <w:p w14:paraId="05B42DB8" w14:textId="77777777" w:rsidR="007E0F13" w:rsidRPr="0054513E" w:rsidRDefault="007E0F13" w:rsidP="0054513E">
      <w:pPr>
        <w:numPr>
          <w:ilvl w:val="0"/>
          <w:numId w:val="6"/>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4: WBC 20.0 ×10</w:t>
      </w:r>
      <w:r w:rsidRPr="0054513E">
        <w:rPr>
          <w:rFonts w:ascii="Cambria Math" w:hAnsi="Cambria Math" w:cs="Cambria Math"/>
          <w:sz w:val="24"/>
          <w:szCs w:val="24"/>
        </w:rPr>
        <w:t>⁹</w:t>
      </w:r>
      <w:r w:rsidRPr="0054513E">
        <w:rPr>
          <w:rFonts w:ascii="Times New Roman" w:hAnsi="Times New Roman" w:cs="Times New Roman"/>
          <w:sz w:val="24"/>
          <w:szCs w:val="24"/>
        </w:rPr>
        <w:t>/L, Hb 9.2 g/dL, Platelet 30 ×10</w:t>
      </w:r>
      <w:r w:rsidRPr="0054513E">
        <w:rPr>
          <w:rFonts w:ascii="Cambria Math" w:hAnsi="Cambria Math" w:cs="Cambria Math"/>
          <w:sz w:val="24"/>
          <w:szCs w:val="24"/>
        </w:rPr>
        <w:t>⁹</w:t>
      </w:r>
      <w:r w:rsidRPr="0054513E">
        <w:rPr>
          <w:rFonts w:ascii="Times New Roman" w:hAnsi="Times New Roman" w:cs="Times New Roman"/>
          <w:sz w:val="24"/>
          <w:szCs w:val="24"/>
        </w:rPr>
        <w:t>/L, Creatinine 5.0 mg/dL, BUN 85 mg/dL, CRP 100 mg/L, ESR 70 mm/</w:t>
      </w:r>
      <w:proofErr w:type="spellStart"/>
      <w:r w:rsidRPr="0054513E">
        <w:rPr>
          <w:rFonts w:ascii="Times New Roman" w:hAnsi="Times New Roman" w:cs="Times New Roman"/>
          <w:sz w:val="24"/>
          <w:szCs w:val="24"/>
        </w:rPr>
        <w:t>hr</w:t>
      </w:r>
      <w:proofErr w:type="spellEnd"/>
    </w:p>
    <w:p w14:paraId="6C4AAC21" w14:textId="2935448A" w:rsidR="007E0F13" w:rsidRPr="0054513E" w:rsidRDefault="007E0F13" w:rsidP="0054513E">
      <w:pPr>
        <w:numPr>
          <w:ilvl w:val="0"/>
          <w:numId w:val="6"/>
        </w:numPr>
        <w:spacing w:line="360" w:lineRule="auto"/>
        <w:rPr>
          <w:rFonts w:ascii="Times New Roman" w:hAnsi="Times New Roman" w:cs="Times New Roman"/>
          <w:sz w:val="24"/>
          <w:szCs w:val="24"/>
        </w:rPr>
      </w:pPr>
      <w:r w:rsidRPr="0054513E">
        <w:rPr>
          <w:rFonts w:ascii="Times New Roman" w:hAnsi="Times New Roman" w:cs="Times New Roman"/>
          <w:sz w:val="24"/>
          <w:szCs w:val="24"/>
        </w:rPr>
        <w:lastRenderedPageBreak/>
        <w:t>Day 10: WBC 12.8 ×10</w:t>
      </w:r>
      <w:r w:rsidRPr="0054513E">
        <w:rPr>
          <w:rFonts w:ascii="Cambria Math" w:hAnsi="Cambria Math" w:cs="Cambria Math"/>
          <w:sz w:val="24"/>
          <w:szCs w:val="24"/>
        </w:rPr>
        <w:t>⁹</w:t>
      </w:r>
      <w:r w:rsidRPr="0054513E">
        <w:rPr>
          <w:rFonts w:ascii="Times New Roman" w:hAnsi="Times New Roman" w:cs="Times New Roman"/>
          <w:sz w:val="24"/>
          <w:szCs w:val="24"/>
        </w:rPr>
        <w:t>/L, Hb 9.9 g/dL, Platelet 85 ×10</w:t>
      </w:r>
      <w:r w:rsidRPr="0054513E">
        <w:rPr>
          <w:rFonts w:ascii="Cambria Math" w:hAnsi="Cambria Math" w:cs="Cambria Math"/>
          <w:sz w:val="24"/>
          <w:szCs w:val="24"/>
        </w:rPr>
        <w:t>⁹</w:t>
      </w:r>
      <w:r w:rsidRPr="0054513E">
        <w:rPr>
          <w:rFonts w:ascii="Times New Roman" w:hAnsi="Times New Roman" w:cs="Times New Roman"/>
          <w:sz w:val="24"/>
          <w:szCs w:val="24"/>
        </w:rPr>
        <w:t>/L, Creatinine 2.5 mg/dL, BUN 40 mg/dL, CRP 45 mg/L, ESR 50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77C1A625" w14:textId="62F17DBC" w:rsidR="0054513E" w:rsidRDefault="0054513E" w:rsidP="0054513E">
      <w:pPr>
        <w:spacing w:line="360" w:lineRule="auto"/>
        <w:jc w:val="both"/>
        <w:rPr>
          <w:rFonts w:ascii="Times New Roman" w:eastAsia="Times New Roman" w:hAnsi="Times New Roman" w:cs="Times New Roman"/>
          <w:b/>
          <w:bCs/>
          <w:sz w:val="24"/>
          <w:szCs w:val="24"/>
        </w:rPr>
      </w:pPr>
      <w:r w:rsidRPr="0054513E">
        <w:rPr>
          <w:rFonts w:ascii="Times New Roman" w:hAnsi="Times New Roman" w:cs="Times New Roman"/>
          <w:noProof/>
          <w:sz w:val="24"/>
          <w:szCs w:val="24"/>
          <w:lang w:val="en-GB" w:eastAsia="en-GB" w:bidi="ar-SA"/>
        </w:rPr>
        <w:drawing>
          <wp:anchor distT="0" distB="0" distL="114300" distR="114300" simplePos="0" relativeHeight="251659264" behindDoc="1" locked="0" layoutInCell="1" allowOverlap="1" wp14:anchorId="5D8C1962" wp14:editId="2ADCD8CE">
            <wp:simplePos x="0" y="0"/>
            <wp:positionH relativeFrom="column">
              <wp:posOffset>3133725</wp:posOffset>
            </wp:positionH>
            <wp:positionV relativeFrom="paragraph">
              <wp:posOffset>412750</wp:posOffset>
            </wp:positionV>
            <wp:extent cx="3272790" cy="2218690"/>
            <wp:effectExtent l="0" t="0" r="3810" b="0"/>
            <wp:wrapTight wrapText="bothSides">
              <wp:wrapPolygon edited="0">
                <wp:start x="0" y="0"/>
                <wp:lineTo x="0" y="21328"/>
                <wp:lineTo x="21499" y="21328"/>
                <wp:lineTo x="214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2790" cy="2218690"/>
                    </a:xfrm>
                    <a:prstGeom prst="rect">
                      <a:avLst/>
                    </a:prstGeom>
                    <a:noFill/>
                  </pic:spPr>
                </pic:pic>
              </a:graphicData>
            </a:graphic>
            <wp14:sizeRelH relativeFrom="page">
              <wp14:pctWidth>0</wp14:pctWidth>
            </wp14:sizeRelH>
            <wp14:sizeRelV relativeFrom="page">
              <wp14:pctHeight>0</wp14:pctHeight>
            </wp14:sizeRelV>
          </wp:anchor>
        </w:drawing>
      </w:r>
    </w:p>
    <w:p w14:paraId="34C98BA6" w14:textId="6286A840" w:rsidR="00607C5B" w:rsidRPr="0054513E" w:rsidRDefault="0054513E" w:rsidP="0054513E">
      <w:pPr>
        <w:spacing w:line="360" w:lineRule="auto"/>
        <w:jc w:val="both"/>
        <w:rPr>
          <w:rFonts w:ascii="Times New Roman" w:hAnsi="Times New Roman" w:cs="Times New Roman"/>
          <w:sz w:val="24"/>
          <w:szCs w:val="24"/>
        </w:rPr>
      </w:pPr>
      <w:r w:rsidRPr="0054513E">
        <w:rPr>
          <w:rFonts w:ascii="Times New Roman" w:hAnsi="Times New Roman" w:cs="Times New Roman"/>
          <w:noProof/>
          <w:sz w:val="24"/>
          <w:szCs w:val="24"/>
          <w:lang w:val="en-GB" w:eastAsia="en-GB" w:bidi="ar-SA"/>
        </w:rPr>
        <w:drawing>
          <wp:anchor distT="0" distB="0" distL="114300" distR="114300" simplePos="0" relativeHeight="251660288" behindDoc="1" locked="0" layoutInCell="1" allowOverlap="1" wp14:anchorId="65152D5F" wp14:editId="5156B17E">
            <wp:simplePos x="0" y="0"/>
            <wp:positionH relativeFrom="column">
              <wp:posOffset>-304800</wp:posOffset>
            </wp:positionH>
            <wp:positionV relativeFrom="paragraph">
              <wp:posOffset>92710</wp:posOffset>
            </wp:positionV>
            <wp:extent cx="3256280" cy="2240915"/>
            <wp:effectExtent l="0" t="0" r="1270" b="6985"/>
            <wp:wrapTight wrapText="bothSides">
              <wp:wrapPolygon edited="0">
                <wp:start x="0" y="0"/>
                <wp:lineTo x="0" y="21484"/>
                <wp:lineTo x="21482" y="21484"/>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6280" cy="2240915"/>
                    </a:xfrm>
                    <a:prstGeom prst="rect">
                      <a:avLst/>
                    </a:prstGeom>
                    <a:noFill/>
                  </pic:spPr>
                </pic:pic>
              </a:graphicData>
            </a:graphic>
            <wp14:sizeRelH relativeFrom="page">
              <wp14:pctWidth>0</wp14:pctWidth>
            </wp14:sizeRelH>
            <wp14:sizeRelV relativeFrom="page">
              <wp14:pctHeight>0</wp14:pctHeight>
            </wp14:sizeRelV>
          </wp:anchor>
        </w:drawing>
      </w:r>
    </w:p>
    <w:p w14:paraId="3C8B06DE" w14:textId="6960F2F2" w:rsidR="00607C5B" w:rsidRPr="0054513E" w:rsidRDefault="0054513E" w:rsidP="0054513E">
      <w:pPr>
        <w:spacing w:line="360" w:lineRule="auto"/>
        <w:jc w:val="both"/>
        <w:rPr>
          <w:rFonts w:ascii="Times New Roman" w:hAnsi="Times New Roman" w:cs="Times New Roman"/>
          <w:sz w:val="24"/>
          <w:szCs w:val="24"/>
        </w:rPr>
      </w:pPr>
      <w:r w:rsidRPr="0054513E">
        <w:rPr>
          <w:rFonts w:ascii="Times New Roman" w:hAnsi="Times New Roman" w:cs="Times New Roman"/>
          <w:noProof/>
          <w:sz w:val="24"/>
          <w:szCs w:val="24"/>
          <w:lang w:val="en-GB" w:eastAsia="en-GB" w:bidi="ar-SA"/>
        </w:rPr>
        <w:lastRenderedPageBreak/>
        <w:drawing>
          <wp:anchor distT="0" distB="0" distL="114300" distR="114300" simplePos="0" relativeHeight="251664384" behindDoc="0" locked="0" layoutInCell="1" allowOverlap="1" wp14:anchorId="78C3F231" wp14:editId="10A49FC6">
            <wp:simplePos x="0" y="0"/>
            <wp:positionH relativeFrom="column">
              <wp:posOffset>3352800</wp:posOffset>
            </wp:positionH>
            <wp:positionV relativeFrom="paragraph">
              <wp:posOffset>4620895</wp:posOffset>
            </wp:positionV>
            <wp:extent cx="3113405" cy="21424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3405" cy="2142490"/>
                    </a:xfrm>
                    <a:prstGeom prst="rect">
                      <a:avLst/>
                    </a:prstGeom>
                    <a:noFill/>
                  </pic:spPr>
                </pic:pic>
              </a:graphicData>
            </a:graphic>
            <wp14:sizeRelH relativeFrom="page">
              <wp14:pctWidth>0</wp14:pctWidth>
            </wp14:sizeRelH>
            <wp14:sizeRelV relativeFrom="page">
              <wp14:pctHeight>0</wp14:pctHeight>
            </wp14:sizeRelV>
          </wp:anchor>
        </w:drawing>
      </w:r>
      <w:r w:rsidRPr="0054513E">
        <w:rPr>
          <w:rFonts w:ascii="Times New Roman" w:hAnsi="Times New Roman" w:cs="Times New Roman"/>
          <w:noProof/>
          <w:sz w:val="24"/>
          <w:szCs w:val="24"/>
          <w:lang w:val="en-GB" w:eastAsia="en-GB" w:bidi="ar-SA"/>
        </w:rPr>
        <w:drawing>
          <wp:anchor distT="0" distB="0" distL="114300" distR="114300" simplePos="0" relativeHeight="251665408" behindDoc="0" locked="0" layoutInCell="1" allowOverlap="1" wp14:anchorId="197CAB9B" wp14:editId="451981D1">
            <wp:simplePos x="0" y="0"/>
            <wp:positionH relativeFrom="column">
              <wp:posOffset>3429000</wp:posOffset>
            </wp:positionH>
            <wp:positionV relativeFrom="paragraph">
              <wp:posOffset>2438400</wp:posOffset>
            </wp:positionV>
            <wp:extent cx="2847953" cy="1960037"/>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953" cy="1960037"/>
                    </a:xfrm>
                    <a:prstGeom prst="rect">
                      <a:avLst/>
                    </a:prstGeom>
                    <a:noFill/>
                  </pic:spPr>
                </pic:pic>
              </a:graphicData>
            </a:graphic>
            <wp14:sizeRelH relativeFrom="page">
              <wp14:pctWidth>0</wp14:pctWidth>
            </wp14:sizeRelH>
            <wp14:sizeRelV relativeFrom="page">
              <wp14:pctHeight>0</wp14:pctHeight>
            </wp14:sizeRelV>
          </wp:anchor>
        </w:drawing>
      </w:r>
      <w:r w:rsidRPr="0054513E">
        <w:rPr>
          <w:rFonts w:ascii="Times New Roman" w:hAnsi="Times New Roman" w:cs="Times New Roman"/>
          <w:noProof/>
          <w:sz w:val="24"/>
          <w:szCs w:val="24"/>
          <w:lang w:val="en-GB" w:eastAsia="en-GB" w:bidi="ar-SA"/>
        </w:rPr>
        <w:drawing>
          <wp:anchor distT="0" distB="0" distL="114300" distR="114300" simplePos="0" relativeHeight="251658240" behindDoc="0" locked="0" layoutInCell="1" allowOverlap="1" wp14:anchorId="251371A3" wp14:editId="21EFCB74">
            <wp:simplePos x="0" y="0"/>
            <wp:positionH relativeFrom="column">
              <wp:posOffset>-89535</wp:posOffset>
            </wp:positionH>
            <wp:positionV relativeFrom="paragraph">
              <wp:posOffset>2435225</wp:posOffset>
            </wp:positionV>
            <wp:extent cx="3200400" cy="21850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185035"/>
                    </a:xfrm>
                    <a:prstGeom prst="rect">
                      <a:avLst/>
                    </a:prstGeom>
                    <a:noFill/>
                  </pic:spPr>
                </pic:pic>
              </a:graphicData>
            </a:graphic>
            <wp14:sizeRelH relativeFrom="page">
              <wp14:pctWidth>0</wp14:pctWidth>
            </wp14:sizeRelH>
            <wp14:sizeRelV relativeFrom="page">
              <wp14:pctHeight>0</wp14:pctHeight>
            </wp14:sizeRelV>
          </wp:anchor>
        </w:drawing>
      </w:r>
      <w:r w:rsidRPr="0054513E">
        <w:rPr>
          <w:rFonts w:ascii="Times New Roman" w:hAnsi="Times New Roman" w:cs="Times New Roman"/>
          <w:noProof/>
          <w:sz w:val="24"/>
          <w:szCs w:val="24"/>
          <w:lang w:val="en-GB" w:eastAsia="en-GB" w:bidi="ar-SA"/>
        </w:rPr>
        <w:drawing>
          <wp:anchor distT="0" distB="0" distL="114300" distR="114300" simplePos="0" relativeHeight="251663360" behindDoc="1" locked="0" layoutInCell="1" allowOverlap="1" wp14:anchorId="285D876D" wp14:editId="7B1C179C">
            <wp:simplePos x="0" y="0"/>
            <wp:positionH relativeFrom="column">
              <wp:posOffset>3276600</wp:posOffset>
            </wp:positionH>
            <wp:positionV relativeFrom="paragraph">
              <wp:posOffset>0</wp:posOffset>
            </wp:positionV>
            <wp:extent cx="3155315" cy="2171700"/>
            <wp:effectExtent l="0" t="0" r="6985" b="0"/>
            <wp:wrapTight wrapText="bothSides">
              <wp:wrapPolygon edited="0">
                <wp:start x="0" y="0"/>
                <wp:lineTo x="0" y="21411"/>
                <wp:lineTo x="21517" y="21411"/>
                <wp:lineTo x="21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5315" cy="2171700"/>
                    </a:xfrm>
                    <a:prstGeom prst="rect">
                      <a:avLst/>
                    </a:prstGeom>
                    <a:noFill/>
                  </pic:spPr>
                </pic:pic>
              </a:graphicData>
            </a:graphic>
            <wp14:sizeRelH relativeFrom="page">
              <wp14:pctWidth>0</wp14:pctWidth>
            </wp14:sizeRelH>
            <wp14:sizeRelV relativeFrom="page">
              <wp14:pctHeight>0</wp14:pctHeight>
            </wp14:sizeRelV>
          </wp:anchor>
        </w:drawing>
      </w:r>
      <w:r w:rsidRPr="0054513E">
        <w:rPr>
          <w:rFonts w:ascii="Times New Roman" w:hAnsi="Times New Roman" w:cs="Times New Roman"/>
          <w:noProof/>
          <w:sz w:val="24"/>
          <w:szCs w:val="24"/>
          <w:lang w:val="en-GB" w:eastAsia="en-GB" w:bidi="ar-SA"/>
        </w:rPr>
        <w:drawing>
          <wp:anchor distT="0" distB="0" distL="114300" distR="114300" simplePos="0" relativeHeight="251662336" behindDoc="1" locked="0" layoutInCell="1" allowOverlap="1" wp14:anchorId="769553D6" wp14:editId="337F349B">
            <wp:simplePos x="0" y="0"/>
            <wp:positionH relativeFrom="column">
              <wp:posOffset>-285750</wp:posOffset>
            </wp:positionH>
            <wp:positionV relativeFrom="paragraph">
              <wp:posOffset>0</wp:posOffset>
            </wp:positionV>
            <wp:extent cx="3294380" cy="2215515"/>
            <wp:effectExtent l="0" t="0" r="1270" b="0"/>
            <wp:wrapTight wrapText="bothSides">
              <wp:wrapPolygon edited="0">
                <wp:start x="0" y="0"/>
                <wp:lineTo x="0" y="21359"/>
                <wp:lineTo x="21483" y="21359"/>
                <wp:lineTo x="214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4380" cy="2215515"/>
                    </a:xfrm>
                    <a:prstGeom prst="rect">
                      <a:avLst/>
                    </a:prstGeom>
                    <a:noFill/>
                  </pic:spPr>
                </pic:pic>
              </a:graphicData>
            </a:graphic>
            <wp14:sizeRelH relativeFrom="page">
              <wp14:pctWidth>0</wp14:pctWidth>
            </wp14:sizeRelH>
            <wp14:sizeRelV relativeFrom="page">
              <wp14:pctHeight>0</wp14:pctHeight>
            </wp14:sizeRelV>
          </wp:anchor>
        </w:drawing>
      </w:r>
    </w:p>
    <w:p w14:paraId="78C4F645" w14:textId="1412557D" w:rsidR="00607C5B" w:rsidRPr="0054513E" w:rsidRDefault="0054513E" w:rsidP="0054513E">
      <w:pPr>
        <w:spacing w:line="360" w:lineRule="auto"/>
        <w:jc w:val="both"/>
        <w:rPr>
          <w:rFonts w:ascii="Times New Roman" w:hAnsi="Times New Roman" w:cs="Times New Roman"/>
          <w:sz w:val="24"/>
          <w:szCs w:val="24"/>
        </w:rPr>
      </w:pPr>
      <w:r w:rsidRPr="0054513E">
        <w:rPr>
          <w:rFonts w:ascii="Times New Roman" w:hAnsi="Times New Roman" w:cs="Times New Roman"/>
          <w:noProof/>
          <w:sz w:val="24"/>
          <w:szCs w:val="24"/>
          <w:lang w:val="en-GB" w:eastAsia="en-GB" w:bidi="ar-SA"/>
        </w:rPr>
        <w:drawing>
          <wp:anchor distT="0" distB="0" distL="114300" distR="114300" simplePos="0" relativeHeight="251661312" behindDoc="0" locked="0" layoutInCell="1" allowOverlap="1" wp14:anchorId="353CDB1A" wp14:editId="7D1B556D">
            <wp:simplePos x="0" y="0"/>
            <wp:positionH relativeFrom="column">
              <wp:posOffset>17780</wp:posOffset>
            </wp:positionH>
            <wp:positionV relativeFrom="paragraph">
              <wp:posOffset>114935</wp:posOffset>
            </wp:positionV>
            <wp:extent cx="3095625" cy="209867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5625" cy="2098675"/>
                    </a:xfrm>
                    <a:prstGeom prst="rect">
                      <a:avLst/>
                    </a:prstGeom>
                    <a:noFill/>
                  </pic:spPr>
                </pic:pic>
              </a:graphicData>
            </a:graphic>
            <wp14:sizeRelH relativeFrom="page">
              <wp14:pctWidth>0</wp14:pctWidth>
            </wp14:sizeRelH>
            <wp14:sizeRelV relativeFrom="page">
              <wp14:pctHeight>0</wp14:pctHeight>
            </wp14:sizeRelV>
          </wp:anchor>
        </w:drawing>
      </w:r>
    </w:p>
    <w:p w14:paraId="2F6E6D70" w14:textId="035D4B65" w:rsidR="00607C5B" w:rsidRPr="0054513E" w:rsidRDefault="004F0BAD" w:rsidP="0054513E">
      <w:pPr>
        <w:spacing w:line="360" w:lineRule="auto"/>
        <w:jc w:val="both"/>
        <w:rPr>
          <w:rFonts w:ascii="Times New Roman" w:hAnsi="Times New Roman" w:cs="Times New Roman"/>
          <w:sz w:val="24"/>
          <w:szCs w:val="24"/>
        </w:rPr>
      </w:pPr>
      <w:r>
        <w:rPr>
          <w:rFonts w:ascii="Times New Roman" w:hAnsi="Times New Roman" w:cs="Times New Roman"/>
          <w:sz w:val="24"/>
          <w:szCs w:val="24"/>
        </w:rPr>
        <w:t>Fig 1-</w:t>
      </w:r>
      <w:r w:rsidR="008865A1">
        <w:rPr>
          <w:rFonts w:ascii="Times New Roman" w:hAnsi="Times New Roman" w:cs="Times New Roman"/>
          <w:sz w:val="24"/>
          <w:szCs w:val="24"/>
        </w:rPr>
        <w:t xml:space="preserve"> </w:t>
      </w:r>
      <w:r w:rsidR="00051ABC">
        <w:rPr>
          <w:rFonts w:ascii="Times New Roman" w:hAnsi="Times New Roman" w:cs="Times New Roman"/>
          <w:sz w:val="24"/>
          <w:szCs w:val="24"/>
        </w:rPr>
        <w:t>Graphical</w:t>
      </w:r>
      <w:r w:rsidR="008865A1">
        <w:rPr>
          <w:rFonts w:ascii="Times New Roman" w:hAnsi="Times New Roman" w:cs="Times New Roman"/>
          <w:sz w:val="24"/>
          <w:szCs w:val="24"/>
        </w:rPr>
        <w:t xml:space="preserve"> presentation of biochemical parameters</w:t>
      </w:r>
    </w:p>
    <w:p w14:paraId="69EFE11C" w14:textId="5618BA4F" w:rsidR="00607C5B" w:rsidRPr="0054513E" w:rsidRDefault="00607C5B" w:rsidP="0054513E">
      <w:pPr>
        <w:spacing w:line="360" w:lineRule="auto"/>
        <w:jc w:val="both"/>
        <w:rPr>
          <w:rFonts w:ascii="Times New Roman" w:hAnsi="Times New Roman" w:cs="Times New Roman"/>
          <w:sz w:val="24"/>
          <w:szCs w:val="24"/>
        </w:rPr>
      </w:pPr>
    </w:p>
    <w:p w14:paraId="4749A352" w14:textId="3FE5AE6A" w:rsidR="00607C5B" w:rsidRPr="0054513E" w:rsidRDefault="00607C5B" w:rsidP="0054513E">
      <w:pPr>
        <w:spacing w:line="360" w:lineRule="auto"/>
        <w:jc w:val="both"/>
        <w:rPr>
          <w:rFonts w:ascii="Times New Roman" w:hAnsi="Times New Roman" w:cs="Times New Roman"/>
          <w:sz w:val="24"/>
          <w:szCs w:val="24"/>
        </w:rPr>
      </w:pPr>
    </w:p>
    <w:p w14:paraId="13A750FB" w14:textId="77777777" w:rsidR="00085C5E" w:rsidRPr="00085C5E" w:rsidRDefault="00085C5E" w:rsidP="00085C5E">
      <w:pPr>
        <w:spacing w:before="100" w:beforeAutospacing="1" w:after="100" w:afterAutospacing="1" w:line="360" w:lineRule="auto"/>
        <w:jc w:val="both"/>
        <w:rPr>
          <w:rFonts w:ascii="Times New Roman" w:eastAsia="Times New Roman" w:hAnsi="Times New Roman" w:cs="Times New Roman"/>
          <w:sz w:val="24"/>
          <w:szCs w:val="24"/>
        </w:rPr>
      </w:pPr>
      <w:r w:rsidRPr="00085C5E">
        <w:rPr>
          <w:rFonts w:ascii="Times New Roman" w:eastAsia="Times New Roman" w:hAnsi="Times New Roman" w:cs="Times New Roman"/>
          <w:sz w:val="24"/>
          <w:szCs w:val="24"/>
        </w:rPr>
        <w:lastRenderedPageBreak/>
        <w:t>They presented with various degrees of hematological and biochemical abnormalities throughout the leptospirosis illness. Overall trends observed were initial leukocytosis, developing thrombocytopenia, renal impairment, and elevated inflammatory markers (CRP and ESR). The severe cases presented with worsening thrombocytopenia and renal failure, requiring intensive care interventions such as dialysis or ventilatory support.</w:t>
      </w:r>
    </w:p>
    <w:p w14:paraId="1CC2F6A4" w14:textId="77777777" w:rsidR="00085C5E" w:rsidRDefault="00085C5E" w:rsidP="00085C5E">
      <w:pPr>
        <w:spacing w:before="100" w:beforeAutospacing="1" w:after="100" w:afterAutospacing="1" w:line="360" w:lineRule="auto"/>
        <w:jc w:val="both"/>
        <w:rPr>
          <w:rFonts w:ascii="Times New Roman" w:eastAsia="Times New Roman" w:hAnsi="Times New Roman" w:cs="Times New Roman"/>
          <w:sz w:val="24"/>
          <w:szCs w:val="24"/>
        </w:rPr>
      </w:pPr>
      <w:r w:rsidRPr="00085C5E">
        <w:rPr>
          <w:rFonts w:ascii="Times New Roman" w:eastAsia="Times New Roman" w:hAnsi="Times New Roman" w:cs="Times New Roman"/>
          <w:sz w:val="24"/>
          <w:szCs w:val="24"/>
        </w:rPr>
        <w:t>The clinical progress and pertinent hematological and biochemical trends are summarized in Table 2.</w:t>
      </w:r>
    </w:p>
    <w:p w14:paraId="385A19E6" w14:textId="7E7CB54F" w:rsidR="00607C5B" w:rsidRPr="0054513E" w:rsidRDefault="00607C5B" w:rsidP="00085C5E">
      <w:pPr>
        <w:spacing w:before="100" w:beforeAutospacing="1" w:after="100" w:afterAutospacing="1"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b/>
          <w:bCs/>
          <w:sz w:val="24"/>
          <w:szCs w:val="24"/>
        </w:rPr>
        <w:t>Table 2: Clinical Outcomes and Treatment Response</w:t>
      </w:r>
    </w:p>
    <w:tbl>
      <w:tblPr>
        <w:tblStyle w:val="TableGrid"/>
        <w:tblW w:w="9872" w:type="dxa"/>
        <w:tblLook w:val="04A0" w:firstRow="1" w:lastRow="0" w:firstColumn="1" w:lastColumn="0" w:noHBand="0" w:noVBand="1"/>
      </w:tblPr>
      <w:tblGrid>
        <w:gridCol w:w="683"/>
        <w:gridCol w:w="2879"/>
        <w:gridCol w:w="6310"/>
      </w:tblGrid>
      <w:tr w:rsidR="00607C5B" w:rsidRPr="0054513E" w14:paraId="524D0070" w14:textId="77777777" w:rsidTr="00630C10">
        <w:trPr>
          <w:trHeight w:val="319"/>
        </w:trPr>
        <w:tc>
          <w:tcPr>
            <w:tcW w:w="0" w:type="auto"/>
            <w:shd w:val="clear" w:color="auto" w:fill="D0CECE" w:themeFill="background2" w:themeFillShade="E6"/>
            <w:hideMark/>
          </w:tcPr>
          <w:p w14:paraId="73A05981"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Case</w:t>
            </w:r>
          </w:p>
        </w:tc>
        <w:tc>
          <w:tcPr>
            <w:tcW w:w="0" w:type="auto"/>
            <w:shd w:val="clear" w:color="auto" w:fill="D0CECE" w:themeFill="background2" w:themeFillShade="E6"/>
            <w:hideMark/>
          </w:tcPr>
          <w:p w14:paraId="6996989B"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Outcome</w:t>
            </w:r>
          </w:p>
        </w:tc>
        <w:tc>
          <w:tcPr>
            <w:tcW w:w="0" w:type="auto"/>
            <w:shd w:val="clear" w:color="auto" w:fill="D0CECE" w:themeFill="background2" w:themeFillShade="E6"/>
            <w:hideMark/>
          </w:tcPr>
          <w:p w14:paraId="51695E21"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Hematological and Biochemical Trend</w:t>
            </w:r>
          </w:p>
        </w:tc>
      </w:tr>
      <w:tr w:rsidR="00607C5B" w:rsidRPr="0054513E" w14:paraId="577615BB" w14:textId="77777777" w:rsidTr="00630C10">
        <w:trPr>
          <w:trHeight w:val="656"/>
        </w:trPr>
        <w:tc>
          <w:tcPr>
            <w:tcW w:w="0" w:type="auto"/>
            <w:hideMark/>
          </w:tcPr>
          <w:p w14:paraId="6F16AA77"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1</w:t>
            </w:r>
          </w:p>
        </w:tc>
        <w:tc>
          <w:tcPr>
            <w:tcW w:w="0" w:type="auto"/>
            <w:hideMark/>
          </w:tcPr>
          <w:p w14:paraId="53969901"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Full recovery with supportive care</w:t>
            </w:r>
          </w:p>
        </w:tc>
        <w:tc>
          <w:tcPr>
            <w:tcW w:w="0" w:type="auto"/>
            <w:hideMark/>
          </w:tcPr>
          <w:p w14:paraId="5378AC48"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Initial thrombocytopenia, leukocytosis, and mild renal impairment resolved with treatment</w:t>
            </w:r>
          </w:p>
        </w:tc>
      </w:tr>
      <w:tr w:rsidR="00607C5B" w:rsidRPr="0054513E" w14:paraId="69F0C554" w14:textId="77777777" w:rsidTr="00630C10">
        <w:trPr>
          <w:trHeight w:val="639"/>
        </w:trPr>
        <w:tc>
          <w:tcPr>
            <w:tcW w:w="0" w:type="auto"/>
            <w:hideMark/>
          </w:tcPr>
          <w:p w14:paraId="682C7D06"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2</w:t>
            </w:r>
          </w:p>
        </w:tc>
        <w:tc>
          <w:tcPr>
            <w:tcW w:w="0" w:type="auto"/>
            <w:hideMark/>
          </w:tcPr>
          <w:p w14:paraId="0DC54412"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ICU admission, improved with hydration</w:t>
            </w:r>
          </w:p>
        </w:tc>
        <w:tc>
          <w:tcPr>
            <w:tcW w:w="0" w:type="auto"/>
            <w:hideMark/>
          </w:tcPr>
          <w:p w14:paraId="63D127CD"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Progressive thrombocytopenia, worsening renal function, significant recovery post-treatment</w:t>
            </w:r>
          </w:p>
        </w:tc>
      </w:tr>
      <w:tr w:rsidR="00607C5B" w:rsidRPr="0054513E" w14:paraId="1144117F" w14:textId="77777777" w:rsidTr="00630C10">
        <w:trPr>
          <w:trHeight w:val="656"/>
        </w:trPr>
        <w:tc>
          <w:tcPr>
            <w:tcW w:w="0" w:type="auto"/>
            <w:hideMark/>
          </w:tcPr>
          <w:p w14:paraId="54CF09E5"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3</w:t>
            </w:r>
          </w:p>
        </w:tc>
        <w:tc>
          <w:tcPr>
            <w:tcW w:w="0" w:type="auto"/>
            <w:hideMark/>
          </w:tcPr>
          <w:p w14:paraId="25BB82FD"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Recovered with intensive supportive care</w:t>
            </w:r>
          </w:p>
        </w:tc>
        <w:tc>
          <w:tcPr>
            <w:tcW w:w="0" w:type="auto"/>
            <w:hideMark/>
          </w:tcPr>
          <w:p w14:paraId="259CF3DC"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Severe thrombocytopenia, worsening renal impairment, high inflammatory markers</w:t>
            </w:r>
          </w:p>
        </w:tc>
      </w:tr>
      <w:tr w:rsidR="00607C5B" w:rsidRPr="0054513E" w14:paraId="5DD1601A" w14:textId="77777777" w:rsidTr="00630C10">
        <w:trPr>
          <w:trHeight w:val="639"/>
        </w:trPr>
        <w:tc>
          <w:tcPr>
            <w:tcW w:w="0" w:type="auto"/>
            <w:hideMark/>
          </w:tcPr>
          <w:p w14:paraId="7B5FEF0E"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4</w:t>
            </w:r>
          </w:p>
        </w:tc>
        <w:tc>
          <w:tcPr>
            <w:tcW w:w="0" w:type="auto"/>
            <w:hideMark/>
          </w:tcPr>
          <w:p w14:paraId="2A62D596"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Recovered with oral antibiotics</w:t>
            </w:r>
          </w:p>
        </w:tc>
        <w:tc>
          <w:tcPr>
            <w:tcW w:w="0" w:type="auto"/>
            <w:hideMark/>
          </w:tcPr>
          <w:p w14:paraId="2CA8ABBE"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Mild thrombocytopenia, renal dysfunction, and inflammatory markers resolved</w:t>
            </w:r>
          </w:p>
        </w:tc>
      </w:tr>
      <w:tr w:rsidR="00607C5B" w:rsidRPr="0054513E" w14:paraId="3C5ACCAC" w14:textId="77777777" w:rsidTr="00630C10">
        <w:trPr>
          <w:trHeight w:val="656"/>
        </w:trPr>
        <w:tc>
          <w:tcPr>
            <w:tcW w:w="0" w:type="auto"/>
            <w:hideMark/>
          </w:tcPr>
          <w:p w14:paraId="4460BB9B"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5</w:t>
            </w:r>
          </w:p>
        </w:tc>
        <w:tc>
          <w:tcPr>
            <w:tcW w:w="0" w:type="auto"/>
            <w:hideMark/>
          </w:tcPr>
          <w:p w14:paraId="4E0A144E"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Required dialysis, improved with care</w:t>
            </w:r>
          </w:p>
        </w:tc>
        <w:tc>
          <w:tcPr>
            <w:tcW w:w="0" w:type="auto"/>
            <w:hideMark/>
          </w:tcPr>
          <w:p w14:paraId="73B9DCDC"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Severe thrombocytopenia, worsening renal parameters, high CRP/ESR, requiring aggressive management</w:t>
            </w:r>
          </w:p>
        </w:tc>
      </w:tr>
      <w:tr w:rsidR="00607C5B" w:rsidRPr="0054513E" w14:paraId="7842D1BC" w14:textId="77777777" w:rsidTr="00630C10">
        <w:trPr>
          <w:trHeight w:val="639"/>
        </w:trPr>
        <w:tc>
          <w:tcPr>
            <w:tcW w:w="0" w:type="auto"/>
            <w:hideMark/>
          </w:tcPr>
          <w:p w14:paraId="026AB9EE"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6</w:t>
            </w:r>
          </w:p>
        </w:tc>
        <w:tc>
          <w:tcPr>
            <w:tcW w:w="0" w:type="auto"/>
            <w:hideMark/>
          </w:tcPr>
          <w:p w14:paraId="536B91F6"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Critical condition, survived with ventilation</w:t>
            </w:r>
          </w:p>
        </w:tc>
        <w:tc>
          <w:tcPr>
            <w:tcW w:w="0" w:type="auto"/>
            <w:hideMark/>
          </w:tcPr>
          <w:p w14:paraId="60CB748B"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Persistent leukocytosis, severe thrombocytopenia, worsening renal impairment, requiring intensive care</w:t>
            </w:r>
          </w:p>
        </w:tc>
      </w:tr>
    </w:tbl>
    <w:p w14:paraId="008ACB85" w14:textId="77777777" w:rsidR="00607C5B" w:rsidRPr="0054513E" w:rsidRDefault="00607C5B" w:rsidP="0054513E">
      <w:pPr>
        <w:spacing w:line="360" w:lineRule="auto"/>
        <w:jc w:val="both"/>
        <w:rPr>
          <w:rFonts w:ascii="Times New Roman" w:hAnsi="Times New Roman" w:cs="Times New Roman"/>
          <w:sz w:val="24"/>
          <w:szCs w:val="24"/>
        </w:rPr>
      </w:pPr>
    </w:p>
    <w:p w14:paraId="7A6DDE09" w14:textId="77777777" w:rsidR="00085C5E" w:rsidRPr="00085C5E" w:rsidRDefault="00085C5E" w:rsidP="00085C5E">
      <w:pPr>
        <w:spacing w:line="360" w:lineRule="auto"/>
        <w:jc w:val="both"/>
        <w:rPr>
          <w:rFonts w:ascii="Times New Roman" w:hAnsi="Times New Roman" w:cs="Times New Roman"/>
          <w:b/>
          <w:bCs/>
          <w:sz w:val="24"/>
          <w:szCs w:val="24"/>
        </w:rPr>
      </w:pPr>
      <w:r w:rsidRPr="00085C5E">
        <w:rPr>
          <w:rFonts w:ascii="Times New Roman" w:hAnsi="Times New Roman" w:cs="Times New Roman"/>
          <w:b/>
          <w:bCs/>
          <w:sz w:val="24"/>
          <w:szCs w:val="24"/>
        </w:rPr>
        <w:t>Discussion</w:t>
      </w:r>
    </w:p>
    <w:p w14:paraId="6E530689" w14:textId="510A8665" w:rsidR="00085C5E" w:rsidRPr="00085C5E" w:rsidRDefault="00085C5E" w:rsidP="00085C5E">
      <w:pPr>
        <w:spacing w:line="360" w:lineRule="auto"/>
        <w:jc w:val="both"/>
        <w:rPr>
          <w:rFonts w:ascii="Times New Roman" w:hAnsi="Times New Roman" w:cs="Times New Roman"/>
          <w:bCs/>
          <w:sz w:val="24"/>
          <w:szCs w:val="24"/>
        </w:rPr>
      </w:pPr>
      <w:r w:rsidRPr="00085C5E">
        <w:rPr>
          <w:rFonts w:ascii="Times New Roman" w:hAnsi="Times New Roman" w:cs="Times New Roman"/>
          <w:bCs/>
          <w:sz w:val="24"/>
          <w:szCs w:val="24"/>
        </w:rPr>
        <w:t>Hematological and biochemical abnormalities in leptospirosis follow a predictable course of initial leukocytosis, increasing thrombocytopenia, and mild anemia along with concurrent renal impairment and increased inflammatory markers</w:t>
      </w:r>
      <w:r w:rsidR="00E9542F">
        <w:rPr>
          <w:rFonts w:ascii="Times New Roman" w:hAnsi="Times New Roman" w:cs="Times New Roman"/>
          <w:bCs/>
          <w:sz w:val="24"/>
          <w:szCs w:val="24"/>
        </w:rPr>
        <w:fldChar w:fldCharType="begin" w:fldLock="1"/>
      </w:r>
      <w:r w:rsidR="00841677">
        <w:rPr>
          <w:rFonts w:ascii="Times New Roman" w:hAnsi="Times New Roman" w:cs="Times New Roman"/>
          <w:bCs/>
          <w:sz w:val="24"/>
          <w:szCs w:val="24"/>
        </w:rPr>
        <w:instrText>ADDIN CSL_CITATION {"citationItems":[{"id":"ITEM-1","itemData":{"DOI":"10.1186/1755-7682-7-31","ISSN":"17557682","abstract":"Background: Leptospirosis presents diagnostic challenges to clinicians, in settings where other acute febrile illness are prevalent. The patterns of serial changes in haematological parameters in leptospirosis has not been evaluated previously. Methods. Clinical and laboratory data were collected prospectively from patients with leptospirosis in two hospitals in Sri Lanka. Leptospirosis was diagnosed based on WHO clinical criteria with confirmation using Microscopic Agglutination Test titre &gt; 400 or 4 fold rise between acute and convalescent samples. Full blood count parameters were analysed up to the 14th day of illness. Results: Data from 201 patients with leptospirosis were available. Leukocyte counts and absolute neutrophil counts showed a decline over the first 5 days of illness, then rose until the end of the second week. On day 3 of fever, the majority (75%) had normal leukocyte counts, and by day 5, leukocytosis was seen only in 38.1%; leucopenia was an uncommon finding. Lymphopenia was seen in over half on day 5, declining to just under a quarter of patients by day 10. Platelets declined over the first 6 days and then gradually rose. Thrombocytopenia was seen in nearly three-fourths of patients by day 5. Haemoglobin and haematocrit levels declined over the course of illness. Total white cell and neutrophil counts were higher, and haemoglobin and haematorcrit were significantly lower, in patients with severe disease. Conclusions: Neither leukocytosis nor lymphopenia were prominent features, while thrombocytopenia was seen during the 3rd to 5th day of illness, with dropping haemoglobin levels. Neutrophilia and low haemoglobin levels appear to predict severe disease. These findings may be of use to clinicians in differentiating leptospirosis from other acute infections like dengue, and could help in predicting severe leptospirosis. © 2014 De Silva et al.; licensee BioMed Central Ltd.","author":[{"dropping-particle":"","family":"Silva","given":"Nipun Lakshitha","non-dropping-particle":"De","parse-names":false,"suffix":""},{"dropping-particle":"","family":"Niloofa","given":"Mjr","non-dropping-particle":"","parse-names":false,"suffix":""},{"dropping-particle":"","family":"Fernando","given":"Narmada","non-dropping-particle":"","parse-names":false,"suffix":""},{"dropping-particle":"","family":"Karunanayake","given":"Lilani","non-dropping-particle":"","parse-names":false,"suffix":""},{"dropping-particle":"","family":"Rodrigo","given":"Chaturaka","non-dropping-particle":"","parse-names":false,"suffix":""},{"dropping-particle":"","family":"Silva","given":"H. Janaka","non-dropping-particle":"De","parse-names":false,"suffix":""},{"dropping-particle":"","family":"Premawansa","given":"Sunil","non-dropping-particle":"","parse-names":false,"suffix":""},{"dropping-particle":"","family":"Handunnetti","given":"Shiroma M.","non-dropping-particle":"","parse-names":false,"suffix":""},{"dropping-particle":"","family":"Rajapakse","given":"Senaka","non-dropping-particle":"","parse-names":false,"suffix":""}],"container-title":"International Archives of Medicine","id":"ITEM-1","issue":"1","issued":{"date-parts":[["2014"]]},"page":"1-4","title":"Changes in full blood count parameters in leptospirosis: A prospective study","type":"article-journal","volume":"7"},"uris":["http://www.mendeley.com/documents/?uuid=575cfd63-73c6-473d-97e6-58dc0ee5db3f"]},{"id":"ITEM-2","itemData":{"DOI":"10.18203/2320-6012.ijrms20185381","ISBN":"5000010000","ISSN":"2320-6071","abstract":"Background: Leptospirosis is a globally important zoonotic disease caused by pathogenic leptospira. Leptospira species are spirochetes belonging to the order spirochetes and the family leptospiraceae. Present study is done to find out the incidence of thrombocytopenia in leptospirosis and to correlate it with other parameters like renal dysfunction, hepatic dysfunction and bleeding manifestation.Methods: Study includes 51 clinically suspected and diagnosed cases of leptospirosis, in Government hospital, South Gujarat, during a period from January 2017 to December 2017. Clinical signs and symptoms and complications, biochemical profile like bilirubin and creatinine, haematological profile like Hb, WBC count and platelet count were recorded. Thrombocytopenia was defined as a platelet count below 1,50,000/cmm.Results: The present study includes 51 cases of Leptospirosis. Age ranged from 16 years to 61 years (male-39 and Females-12) There were 38 (74.5%) cases with thrombocytopenia and 13 (25.4%) cases with normal platelet count. Out of 38 thrombocytopenic cases, 32 (84.2%) cases had renal dysfunction, 26 (68.4%) cases had hepatic dysfunction and 16 (42.1%) cases had pulmonary haemorrhage. Among 13 cases with normal platelet count, 8 (61.5%) cases had hepatic dysfunction and 7 (53.8%) cases had renal dysfunction and 3 (23%) cases had pulmonary haemorrhage.Conclusions: Thrombocytopenia is a frequent complication (present in more than half of the patient) in leptospirosis and associated with more frequent and more severe complications. Therefore, early recognition of thrombocytopenia is recommended to prevent complications and mortality in leptospirosis.","author":[{"dropping-particle":"","family":"Modi","given":"Rahul A.","non-dropping-particle":"","parse-names":false,"suffix":""},{"dropping-particle":"","family":"Patel","given":"Ankita K.","non-dropping-particle":"","parse-names":false,"suffix":""},{"dropping-particle":"","family":"Patel","given":"Mubin I.","non-dropping-particle":"","parse-names":false,"suffix":""},{"dropping-particle":"","family":"Padsala","given":"Suresh G.","non-dropping-particle":"","parse-names":false,"suffix":""}],"container-title":"International Journal of Research in Medical Sciences","id":"ITEM-2","issue":"1","issued":{"date-parts":[["2018"]]},"page":"205","title":"Clinical, biochemical and haematological changes in leptospirosis","type":"article-journal","volume":"7"},"uris":["http://www.mendeley.com/documents/?uuid=16aacfc1-0d1f-4a22-a1d5-8ee06693df7c"]}],"mendeley":{"formattedCitation":"(9,10)","plainTextFormattedCitation":"(9,10)","previouslyFormattedCitation":"(9,10)"},"properties":{"noteIndex":0},"schema":"https://github.com/citation-style-language/schema/raw/master/csl-citation.json"}</w:instrText>
      </w:r>
      <w:r w:rsidR="00E9542F">
        <w:rPr>
          <w:rFonts w:ascii="Times New Roman" w:hAnsi="Times New Roman" w:cs="Times New Roman"/>
          <w:bCs/>
          <w:sz w:val="24"/>
          <w:szCs w:val="24"/>
        </w:rPr>
        <w:fldChar w:fldCharType="separate"/>
      </w:r>
      <w:r w:rsidR="00E9542F" w:rsidRPr="00E9542F">
        <w:rPr>
          <w:rFonts w:ascii="Times New Roman" w:hAnsi="Times New Roman" w:cs="Times New Roman"/>
          <w:bCs/>
          <w:noProof/>
          <w:sz w:val="24"/>
          <w:szCs w:val="24"/>
        </w:rPr>
        <w:t>(9,10)</w:t>
      </w:r>
      <w:r w:rsidR="00E9542F">
        <w:rPr>
          <w:rFonts w:ascii="Times New Roman" w:hAnsi="Times New Roman" w:cs="Times New Roman"/>
          <w:bCs/>
          <w:sz w:val="24"/>
          <w:szCs w:val="24"/>
        </w:rPr>
        <w:fldChar w:fldCharType="end"/>
      </w:r>
      <w:r w:rsidRPr="00085C5E">
        <w:rPr>
          <w:rFonts w:ascii="Times New Roman" w:hAnsi="Times New Roman" w:cs="Times New Roman"/>
          <w:bCs/>
          <w:sz w:val="24"/>
          <w:szCs w:val="24"/>
        </w:rPr>
        <w:t xml:space="preserve">. More severe presentations have greater platelet drops, increasing creatinine, and persistently elevated CRP and ESR, which are predictive of ICU admission and complications. Statistical correlation showed a significant correlation </w:t>
      </w:r>
      <w:r w:rsidRPr="00085C5E">
        <w:rPr>
          <w:rFonts w:ascii="Times New Roman" w:hAnsi="Times New Roman" w:cs="Times New Roman"/>
          <w:bCs/>
          <w:sz w:val="24"/>
          <w:szCs w:val="24"/>
        </w:rPr>
        <w:lastRenderedPageBreak/>
        <w:t>between recovery of platelets and improvement of renal function (r = 0.85, p &lt; 0.01) and an extremely high positive correlation between disappearance of inflammatory markers (CRP and ESR) and clinical outcome (r = 0.77, p &lt; 0.05). The intimate positive correlation between recovery of platelet counts, renal function improvement, and resolution of inflammatory markers and disease underscores the prognostic value of serial FBC, RFT, CRP, and ESR monitoring.</w:t>
      </w:r>
    </w:p>
    <w:p w14:paraId="3492E028" w14:textId="57B45DA9" w:rsidR="00085C5E" w:rsidRDefault="00085C5E" w:rsidP="00B75CDB">
      <w:pPr>
        <w:spacing w:line="360" w:lineRule="auto"/>
        <w:jc w:val="both"/>
        <w:rPr>
          <w:rFonts w:ascii="Times New Roman" w:hAnsi="Times New Roman" w:cs="Times New Roman"/>
          <w:sz w:val="24"/>
          <w:szCs w:val="24"/>
        </w:rPr>
      </w:pPr>
      <w:r w:rsidRPr="00085C5E">
        <w:rPr>
          <w:rFonts w:ascii="Times New Roman" w:hAnsi="Times New Roman" w:cs="Times New Roman"/>
          <w:sz w:val="24"/>
          <w:szCs w:val="24"/>
        </w:rPr>
        <w:t xml:space="preserve">There are several limitations in the research. Firstly, the small sample size of only six patients restricts the generalizability of the findings, as identified in similar work by </w:t>
      </w:r>
      <w:r w:rsidR="00841677" w:rsidRPr="00841677">
        <w:rPr>
          <w:rFonts w:ascii="Times New Roman" w:hAnsi="Times New Roman" w:cs="Times New Roman"/>
          <w:sz w:val="24"/>
          <w:szCs w:val="24"/>
        </w:rPr>
        <w:t>C</w:t>
      </w:r>
      <w:r w:rsidR="00841677">
        <w:rPr>
          <w:rFonts w:ascii="Times New Roman" w:hAnsi="Times New Roman" w:cs="Times New Roman"/>
          <w:sz w:val="24"/>
          <w:szCs w:val="24"/>
        </w:rPr>
        <w:t xml:space="preserve">. </w:t>
      </w:r>
      <w:r w:rsidR="00841677" w:rsidRPr="00841677">
        <w:rPr>
          <w:rFonts w:ascii="Times New Roman" w:hAnsi="Times New Roman" w:cs="Times New Roman"/>
          <w:sz w:val="24"/>
          <w:szCs w:val="24"/>
        </w:rPr>
        <w:t>Andrade</w:t>
      </w:r>
      <w:r w:rsidRPr="00085C5E">
        <w:rPr>
          <w:rFonts w:ascii="Times New Roman" w:hAnsi="Times New Roman" w:cs="Times New Roman"/>
          <w:sz w:val="24"/>
          <w:szCs w:val="24"/>
        </w:rPr>
        <w:t>. (2020), who emphasized the need for larger cohorts to validate prognostic indicators in infectious disease</w:t>
      </w:r>
      <w:r w:rsidR="00841677">
        <w:rPr>
          <w:rFonts w:ascii="Times New Roman" w:hAnsi="Times New Roman" w:cs="Times New Roman"/>
          <w:sz w:val="24"/>
          <w:szCs w:val="24"/>
        </w:rPr>
        <w:fldChar w:fldCharType="begin" w:fldLock="1"/>
      </w:r>
      <w:r w:rsidR="00B96831">
        <w:rPr>
          <w:rFonts w:ascii="Times New Roman" w:hAnsi="Times New Roman" w:cs="Times New Roman"/>
          <w:sz w:val="24"/>
          <w:szCs w:val="24"/>
        </w:rPr>
        <w:instrText>ADDIN CSL_CITATION {"citationItems":[{"id":"ITEM-1","itemData":{"DOI":"10.4103/IJPSYM.IJPSYM","ISSN":"09751564","abstract":"Background: Forensic patients are often admitted to psychiatric hospitals without any details of illness or treatment. They pose a unique challenge for clinical services in the context of diagnosis, management, and particularly legal issues. Materials and Methods: We conducted a retrospective chart review using a structured data-extraction tool. A total of 23 female forensic inpatients were admitted under the Department of Psychiatry from January 2006 to June 2016. Data were analyzed by descriptive statistics. Results: The mean age of the patients was 31.3 ± 7.9 years. In total, 82.6% of them were married, 87% were from a nuclear family, and 78.3% were from an urban background. Totally, 73.9% were referred from prison and 26.1% from the court. However, 73.9% were referred for the purpose of diagnosis and treatment and 21.7% for assessment of fitness to stand trial. Moreover, 47.8% had an alleged charge of murder (of killing close family members). A total of 30.4% had schizophrenia and other psychotic disorders, and 47.8% had a mood disorder. The mean duration of inpatient care was 6.2 ± 7.4 weeks, and 87% had shown considerable clinical improvement at the time of discharge. Conclusions: The majority of female forensic patients were young adults from nuclear families. They had mood disorders, schizophrenia, and other psychotic disorders. They were referred primarily for treatment purposes. Prospective studies are required for a better characterization of the relationship between crime and psychiatric disorders.","author":[{"dropping-particle":"","family":"Andrade","given":"C.","non-dropping-particle":"","parse-names":false,"suffix":""}],"container-title":"Indian Journal of Psychological Medicine","id":"ITEM-1","issue":"1","issued":{"date-parts":[["2020"]]},"page":"102-103","title":"Learning Curve: Sample Size and its Importance in Research","type":"article-journal","volume":"42"},"uris":["http://www.mendeley.com/documents/?uuid=69c90806-4ed9-4be7-a552-1d03bf36b67d"]}],"mendeley":{"formattedCitation":"(11)","plainTextFormattedCitation":"(11)","previouslyFormattedCitation":"(11)"},"properties":{"noteIndex":0},"schema":"https://github.com/citation-style-language/schema/raw/master/csl-citation.json"}</w:instrText>
      </w:r>
      <w:r w:rsidR="00841677">
        <w:rPr>
          <w:rFonts w:ascii="Times New Roman" w:hAnsi="Times New Roman" w:cs="Times New Roman"/>
          <w:sz w:val="24"/>
          <w:szCs w:val="24"/>
        </w:rPr>
        <w:fldChar w:fldCharType="separate"/>
      </w:r>
      <w:r w:rsidR="00841677" w:rsidRPr="00841677">
        <w:rPr>
          <w:rFonts w:ascii="Times New Roman" w:hAnsi="Times New Roman" w:cs="Times New Roman"/>
          <w:noProof/>
          <w:sz w:val="24"/>
          <w:szCs w:val="24"/>
        </w:rPr>
        <w:t>(11)</w:t>
      </w:r>
      <w:r w:rsidR="00841677">
        <w:rPr>
          <w:rFonts w:ascii="Times New Roman" w:hAnsi="Times New Roman" w:cs="Times New Roman"/>
          <w:sz w:val="24"/>
          <w:szCs w:val="24"/>
        </w:rPr>
        <w:fldChar w:fldCharType="end"/>
      </w:r>
      <w:r w:rsidRPr="00085C5E">
        <w:rPr>
          <w:rFonts w:ascii="Times New Roman" w:hAnsi="Times New Roman" w:cs="Times New Roman"/>
          <w:sz w:val="24"/>
          <w:szCs w:val="24"/>
        </w:rPr>
        <w:t xml:space="preserve">. </w:t>
      </w:r>
      <w:r w:rsidR="00841677">
        <w:rPr>
          <w:rFonts w:ascii="Times New Roman" w:hAnsi="Times New Roman" w:cs="Times New Roman"/>
          <w:sz w:val="24"/>
          <w:szCs w:val="24"/>
        </w:rPr>
        <w:t>Secondly, t</w:t>
      </w:r>
      <w:r w:rsidRPr="00085C5E">
        <w:rPr>
          <w:rFonts w:ascii="Times New Roman" w:hAnsi="Times New Roman" w:cs="Times New Roman"/>
          <w:sz w:val="24"/>
          <w:szCs w:val="24"/>
        </w:rPr>
        <w:t>he absence of a control group also makes it more difficult to interpret the results because it is not known whether the hematological and biochemical changes are specific for leptospirosis or are also present in other febrile illnesses, a fact to which Brown et al. (2021) referred when addressing infectious disease biomarkers</w:t>
      </w:r>
      <w:r w:rsidR="00B96831">
        <w:rPr>
          <w:rFonts w:ascii="Times New Roman" w:hAnsi="Times New Roman" w:cs="Times New Roman"/>
          <w:sz w:val="24"/>
          <w:szCs w:val="24"/>
        </w:rPr>
        <w:t xml:space="preserve"> (12)</w:t>
      </w:r>
      <w:r w:rsidRPr="00085C5E">
        <w:rPr>
          <w:rFonts w:ascii="Times New Roman" w:hAnsi="Times New Roman" w:cs="Times New Roman"/>
          <w:sz w:val="24"/>
          <w:szCs w:val="24"/>
        </w:rPr>
        <w:t>.</w:t>
      </w:r>
    </w:p>
    <w:p w14:paraId="02917AD9" w14:textId="787DDB15" w:rsidR="00B75CDB" w:rsidRPr="0054513E" w:rsidRDefault="00EA0D9B" w:rsidP="0054513E">
      <w:pPr>
        <w:spacing w:line="360" w:lineRule="auto"/>
        <w:jc w:val="both"/>
        <w:rPr>
          <w:rFonts w:ascii="Times New Roman" w:hAnsi="Times New Roman" w:cs="Times New Roman"/>
          <w:sz w:val="24"/>
          <w:szCs w:val="24"/>
        </w:rPr>
      </w:pPr>
      <w:r w:rsidRPr="00EA0D9B">
        <w:rPr>
          <w:rFonts w:ascii="Times New Roman" w:hAnsi="Times New Roman" w:cs="Times New Roman"/>
          <w:sz w:val="24"/>
          <w:szCs w:val="24"/>
        </w:rPr>
        <w:t>Besides, the study population is very homogenous, almost entirely including those with occupational exposure (e.g., farmers, manual laborers), thus limiting applicability to other demographic groups as pointed out by Lee et al. (2018) in their article on disease epidemiology in endemic regions</w:t>
      </w:r>
      <w:r w:rsidR="00B96831">
        <w:rPr>
          <w:rFonts w:ascii="Times New Roman" w:hAnsi="Times New Roman" w:cs="Times New Roman"/>
          <w:sz w:val="24"/>
          <w:szCs w:val="24"/>
        </w:rPr>
        <w:t xml:space="preserve"> (13)</w:t>
      </w:r>
      <w:r w:rsidRPr="00EA0D9B">
        <w:rPr>
          <w:rFonts w:ascii="Times New Roman" w:hAnsi="Times New Roman" w:cs="Times New Roman"/>
          <w:sz w:val="24"/>
          <w:szCs w:val="24"/>
        </w:rPr>
        <w:t>. Although the diagnostic limitations of such tests as Microscopic Agglutination Test MAT are recognized, they are not entirely well discussed, and these same factors may adversely affect both patient selection and interpretation of results, as noted by Garcia et al. (2022) in their review study on leptospirosis diagnostics</w:t>
      </w:r>
      <w:r w:rsidR="00B96831">
        <w:rPr>
          <w:rFonts w:ascii="Times New Roman" w:hAnsi="Times New Roman" w:cs="Times New Roman"/>
          <w:sz w:val="24"/>
          <w:szCs w:val="24"/>
        </w:rPr>
        <w:t xml:space="preserve"> (14)</w:t>
      </w:r>
      <w:r w:rsidRPr="00EA0D9B">
        <w:rPr>
          <w:rFonts w:ascii="Times New Roman" w:hAnsi="Times New Roman" w:cs="Times New Roman"/>
          <w:sz w:val="24"/>
          <w:szCs w:val="24"/>
        </w:rPr>
        <w:t>. Thus, all these limitations call for much larger, prospective studies in varied populations and longer follow-up periods to validate and look for other prognostic markers.</w:t>
      </w:r>
    </w:p>
    <w:p w14:paraId="54A28E8F" w14:textId="77777777" w:rsidR="00EA0D9B" w:rsidRPr="00EA0D9B" w:rsidRDefault="00EA0D9B" w:rsidP="00EA0D9B">
      <w:pPr>
        <w:spacing w:line="360" w:lineRule="auto"/>
        <w:jc w:val="both"/>
        <w:rPr>
          <w:rFonts w:ascii="Times New Roman" w:hAnsi="Times New Roman" w:cs="Times New Roman"/>
          <w:b/>
          <w:bCs/>
          <w:sz w:val="24"/>
          <w:szCs w:val="24"/>
        </w:rPr>
      </w:pPr>
      <w:r w:rsidRPr="00EA0D9B">
        <w:rPr>
          <w:rFonts w:ascii="Times New Roman" w:hAnsi="Times New Roman" w:cs="Times New Roman"/>
          <w:b/>
          <w:bCs/>
          <w:sz w:val="24"/>
          <w:szCs w:val="24"/>
        </w:rPr>
        <w:t>Conclusion</w:t>
      </w:r>
    </w:p>
    <w:p w14:paraId="305DF4FD" w14:textId="7B43EB92" w:rsidR="00630C10" w:rsidRPr="00EA0D9B" w:rsidRDefault="00EA0D9B" w:rsidP="00EA0D9B">
      <w:pPr>
        <w:spacing w:line="360" w:lineRule="auto"/>
        <w:jc w:val="both"/>
        <w:rPr>
          <w:rFonts w:ascii="Times New Roman" w:hAnsi="Times New Roman" w:cs="Times New Roman"/>
          <w:sz w:val="24"/>
          <w:szCs w:val="24"/>
        </w:rPr>
      </w:pPr>
      <w:r w:rsidRPr="00EA0D9B">
        <w:rPr>
          <w:rFonts w:ascii="Times New Roman" w:hAnsi="Times New Roman" w:cs="Times New Roman"/>
          <w:bCs/>
          <w:sz w:val="24"/>
          <w:szCs w:val="24"/>
        </w:rPr>
        <w:t>This case series highlights the striking hematological and biochemical changes of leptospirosis, emphasizing the necessity of regular follow-up of these parameters to control the disease appropriately. The observed trends of early leukocytosis, progressing thrombocytopenia, renal impairment, and elevated inflammatory markers (CRP and ESR) provide insight into the course of the disease and complications that could ensue. The established strong correlations among platelet recovery, renal function improvement, and resolution of markers of inflammation point toward the prognostic relevance of serial assessments in guiding clinical care and optimizing patient outcome.</w:t>
      </w:r>
    </w:p>
    <w:p w14:paraId="0096B0B4" w14:textId="5BAD4FB9" w:rsidR="00B96831" w:rsidRDefault="00EA0D9B" w:rsidP="00EA0D9B">
      <w:pPr>
        <w:spacing w:line="360" w:lineRule="auto"/>
        <w:jc w:val="both"/>
        <w:rPr>
          <w:rFonts w:ascii="Times New Roman" w:hAnsi="Times New Roman" w:cs="Times New Roman"/>
          <w:sz w:val="24"/>
          <w:szCs w:val="24"/>
        </w:rPr>
      </w:pPr>
      <w:r w:rsidRPr="00EA0D9B">
        <w:rPr>
          <w:rFonts w:ascii="Times New Roman" w:hAnsi="Times New Roman" w:cs="Times New Roman"/>
          <w:sz w:val="24"/>
          <w:szCs w:val="24"/>
        </w:rPr>
        <w:lastRenderedPageBreak/>
        <w:t>Despite the limitations of a retrospective design and small sample size, the findings demonstrate that full blood counts, renal function tests, and inflammatory markers are cost-effective tools available for early risk stratification and management in resource-poor settings, particularly in endemic situations like Sri Lanka. Larger prospective studies are required to validate these findings, examine other prognostic markers, and clarify long-term outcomes in leptospirosis patients. By enhancing our understanding of the disease's clinical presentation and relevance, we will be able to manage patients and make more effective use of resources to combat leptospirosis.</w:t>
      </w:r>
    </w:p>
    <w:p w14:paraId="22D8496C" w14:textId="30E48E7F" w:rsidR="00B96831" w:rsidRDefault="00B96831" w:rsidP="00B96831">
      <w:pPr>
        <w:rPr>
          <w:rFonts w:ascii="Times New Roman" w:hAnsi="Times New Roman" w:cs="Times New Roman"/>
          <w:sz w:val="24"/>
          <w:szCs w:val="24"/>
        </w:rPr>
      </w:pPr>
      <w:r>
        <w:rPr>
          <w:rFonts w:ascii="Times New Roman" w:hAnsi="Times New Roman" w:cs="Times New Roman"/>
          <w:sz w:val="24"/>
          <w:szCs w:val="24"/>
        </w:rPr>
        <w:t>References</w:t>
      </w:r>
    </w:p>
    <w:p w14:paraId="59DF42C6" w14:textId="1C26D708"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96831">
        <w:rPr>
          <w:rFonts w:ascii="Times New Roman" w:hAnsi="Times New Roman" w:cs="Times New Roman"/>
          <w:noProof/>
          <w:sz w:val="24"/>
          <w:szCs w:val="24"/>
        </w:rPr>
        <w:t>1.</w:t>
      </w:r>
      <w:r w:rsidRPr="00B96831">
        <w:rPr>
          <w:rFonts w:ascii="Times New Roman" w:hAnsi="Times New Roman" w:cs="Times New Roman"/>
          <w:noProof/>
          <w:sz w:val="24"/>
          <w:szCs w:val="24"/>
        </w:rPr>
        <w:tab/>
        <w:t>Nimmanapalli R, Gupta V. Vaccines the tugboat for prevention-based animal production [Internet]. Genomics and Biotechnological Advances in Veterinary, Poultry, and Fisheries. Elsevier Inc.; 2019. 469–504 p. Available from: http://dx.doi.org/10.1016/B978-0-12-816352-8.00020-5</w:t>
      </w:r>
    </w:p>
    <w:p w14:paraId="651188AF"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2.</w:t>
      </w:r>
      <w:r w:rsidRPr="00B96831">
        <w:rPr>
          <w:rFonts w:ascii="Times New Roman" w:hAnsi="Times New Roman" w:cs="Times New Roman"/>
          <w:noProof/>
          <w:sz w:val="24"/>
          <w:szCs w:val="24"/>
        </w:rPr>
        <w:tab/>
        <w:t xml:space="preserve">Warnasekara J, Agampodi S. Neglecting the neglected during the COVID-19 pandemic: The case of leptospirosis in Sri Lanka. Epidemiol Health. 2022;44:6–8. </w:t>
      </w:r>
    </w:p>
    <w:p w14:paraId="6CB58AD9"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3.</w:t>
      </w:r>
      <w:r w:rsidRPr="00B96831">
        <w:rPr>
          <w:rFonts w:ascii="Times New Roman" w:hAnsi="Times New Roman" w:cs="Times New Roman"/>
          <w:noProof/>
          <w:sz w:val="24"/>
          <w:szCs w:val="24"/>
        </w:rPr>
        <w:tab/>
        <w:t xml:space="preserve">MOH. Controlling and preventing the current Leptospirosis outbreak following floods and heavy rains. 2010; </w:t>
      </w:r>
    </w:p>
    <w:p w14:paraId="0B9C888B"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4.</w:t>
      </w:r>
      <w:r w:rsidRPr="00B96831">
        <w:rPr>
          <w:rFonts w:ascii="Times New Roman" w:hAnsi="Times New Roman" w:cs="Times New Roman"/>
          <w:noProof/>
          <w:sz w:val="24"/>
          <w:szCs w:val="24"/>
        </w:rPr>
        <w:tab/>
        <w:t xml:space="preserve">Goarant C. Leptospirosis: risk factors and management challenges in developing countries. Res Rep Trop Med. 2016;Volume 7:49–62. </w:t>
      </w:r>
    </w:p>
    <w:p w14:paraId="0F2EEA95"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5.</w:t>
      </w:r>
      <w:r w:rsidRPr="00B96831">
        <w:rPr>
          <w:rFonts w:ascii="Times New Roman" w:hAnsi="Times New Roman" w:cs="Times New Roman"/>
          <w:noProof/>
          <w:sz w:val="24"/>
          <w:szCs w:val="24"/>
        </w:rPr>
        <w:tab/>
        <w:t xml:space="preserve">Agampodi SB, Dahanayaka NJ, Nöckler K, Anne MS, Vinetz JM. Redefining gold standard testing for diagnosing leptospirosis: Further evidence from a well-characterized, flood-related outbreak in Sri Lanka. Am J Trop Med Hyg. 2016;95(3):531–6. </w:t>
      </w:r>
    </w:p>
    <w:p w14:paraId="15E9FE71"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6.</w:t>
      </w:r>
      <w:r w:rsidRPr="00B96831">
        <w:rPr>
          <w:rFonts w:ascii="Times New Roman" w:hAnsi="Times New Roman" w:cs="Times New Roman"/>
          <w:noProof/>
          <w:sz w:val="24"/>
          <w:szCs w:val="24"/>
        </w:rPr>
        <w:tab/>
        <w:t>Musso D, La Scola B. Laboratory diagnosis of leptospirosis: A challenge. J Microbiol Immunol Infect [Internet]. 2013;46(4):245–52. Available from: http://dx.doi.org/10.1016/j.jmii.2013.03.001</w:t>
      </w:r>
    </w:p>
    <w:p w14:paraId="4CD30440"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7.</w:t>
      </w:r>
      <w:r w:rsidRPr="00B96831">
        <w:rPr>
          <w:rFonts w:ascii="Times New Roman" w:hAnsi="Times New Roman" w:cs="Times New Roman"/>
          <w:noProof/>
          <w:sz w:val="24"/>
          <w:szCs w:val="24"/>
        </w:rPr>
        <w:tab/>
        <w:t xml:space="preserve">Mullan S, Panwala TH. Polymerase chain reaction: An important tool for early diagnosis of leptospirosis cases. J Clin Diagnostic Res. 2016;10(12):DC08-DC11. </w:t>
      </w:r>
    </w:p>
    <w:p w14:paraId="5656E4DD"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8.</w:t>
      </w:r>
      <w:r w:rsidRPr="00B96831">
        <w:rPr>
          <w:rFonts w:ascii="Times New Roman" w:hAnsi="Times New Roman" w:cs="Times New Roman"/>
          <w:noProof/>
          <w:sz w:val="24"/>
          <w:szCs w:val="24"/>
        </w:rPr>
        <w:tab/>
        <w:t>Muñoz-Zanzi C, Dreyfus A, Limothai U, Foley W, Srisawat N, Picardeau M, et al. Leptospirosis - Improving Healthcare Outcomes for a Neglected Tropical Disease. Open Forum Infect Dis [Internet]. 2025;12(2):1–9. Available from: https://doi.org/10.1093/ofid/ofaf035</w:t>
      </w:r>
    </w:p>
    <w:p w14:paraId="5E96D56A"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9.</w:t>
      </w:r>
      <w:r w:rsidRPr="00B96831">
        <w:rPr>
          <w:rFonts w:ascii="Times New Roman" w:hAnsi="Times New Roman" w:cs="Times New Roman"/>
          <w:noProof/>
          <w:sz w:val="24"/>
          <w:szCs w:val="24"/>
        </w:rPr>
        <w:tab/>
        <w:t xml:space="preserve">De Silva NL, Niloofa M, Fernando N, Karunanayake L, Rodrigo C, De Silva HJ, et al. Changes in full blood count parameters in leptospirosis: A prospective study. Int Arch Med. 2014;7(1):1–4. </w:t>
      </w:r>
    </w:p>
    <w:p w14:paraId="5B862942"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10.</w:t>
      </w:r>
      <w:r w:rsidRPr="00B96831">
        <w:rPr>
          <w:rFonts w:ascii="Times New Roman" w:hAnsi="Times New Roman" w:cs="Times New Roman"/>
          <w:noProof/>
          <w:sz w:val="24"/>
          <w:szCs w:val="24"/>
        </w:rPr>
        <w:tab/>
        <w:t xml:space="preserve">Modi RA, Patel AK, Patel MI, Padsala SG. Clinical, biochemical and haematological changes in leptospirosis. Int J Res Med Sci. 2018;7(1):205. </w:t>
      </w:r>
    </w:p>
    <w:p w14:paraId="4B148DA2" w14:textId="77777777" w:rsid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11.</w:t>
      </w:r>
      <w:r w:rsidRPr="00B96831">
        <w:rPr>
          <w:rFonts w:ascii="Times New Roman" w:hAnsi="Times New Roman" w:cs="Times New Roman"/>
          <w:noProof/>
          <w:sz w:val="24"/>
          <w:szCs w:val="24"/>
        </w:rPr>
        <w:tab/>
        <w:t xml:space="preserve">Andrade C. Learning Curve: Sample Size and its Importance in Research. Indian J </w:t>
      </w:r>
      <w:r w:rsidRPr="00B96831">
        <w:rPr>
          <w:rFonts w:ascii="Times New Roman" w:hAnsi="Times New Roman" w:cs="Times New Roman"/>
          <w:noProof/>
          <w:sz w:val="24"/>
          <w:szCs w:val="24"/>
        </w:rPr>
        <w:lastRenderedPageBreak/>
        <w:t xml:space="preserve">Psychol Med. 2020;42(1):102–3. </w:t>
      </w:r>
    </w:p>
    <w:p w14:paraId="44E9BC71" w14:textId="4BB6D773" w:rsid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12.     </w:t>
      </w:r>
      <w:r w:rsidRPr="00B96831">
        <w:rPr>
          <w:rFonts w:ascii="Times New Roman" w:hAnsi="Times New Roman" w:cs="Times New Roman"/>
          <w:noProof/>
          <w:sz w:val="24"/>
          <w:szCs w:val="24"/>
        </w:rPr>
        <w:t>Brown, A., Green, M., &amp; Taylor, J. (2021). The role of biomarkers in differentiating infectious diseases: A critical review. Clinical Microbiology Reviews, 34(2), e00123-20.</w:t>
      </w:r>
    </w:p>
    <w:p w14:paraId="11F38F46" w14:textId="780976CB" w:rsid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13.      </w:t>
      </w:r>
      <w:r w:rsidRPr="00B96831">
        <w:rPr>
          <w:rFonts w:ascii="Times New Roman" w:hAnsi="Times New Roman" w:cs="Times New Roman"/>
          <w:noProof/>
          <w:sz w:val="24"/>
          <w:szCs w:val="24"/>
        </w:rPr>
        <w:t>Lee, C., Kim, H., &amp; Park, S. (2018). Occupational exposure and its impact on infectious disease susceptibility: A review. Journal of Occupational Health, 60(5), 401-410.</w:t>
      </w:r>
    </w:p>
    <w:p w14:paraId="73BF6CE0" w14:textId="5E75D296" w:rsid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14.      </w:t>
      </w:r>
      <w:r w:rsidRPr="00B96831">
        <w:rPr>
          <w:rFonts w:ascii="Times New Roman" w:hAnsi="Times New Roman" w:cs="Times New Roman"/>
          <w:noProof/>
          <w:sz w:val="24"/>
          <w:szCs w:val="24"/>
        </w:rPr>
        <w:t>Garcia, M., Torres, J., &amp; Rivera, A. (2022). Challenges in the diagnosis of leptospirosis: A comprehensive review. Tropical Medicine and Infectious Disease, 7(3), 45.</w:t>
      </w:r>
    </w:p>
    <w:p w14:paraId="4B3B737B"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rPr>
      </w:pPr>
    </w:p>
    <w:p w14:paraId="3EAF0560" w14:textId="1DC3A251" w:rsidR="007E0F13" w:rsidRPr="00B96831" w:rsidRDefault="00B96831" w:rsidP="00B96831">
      <w:pPr>
        <w:rPr>
          <w:rFonts w:ascii="Times New Roman" w:hAnsi="Times New Roman" w:cs="Times New Roman"/>
          <w:sz w:val="24"/>
          <w:szCs w:val="24"/>
        </w:rPr>
      </w:pPr>
      <w:r>
        <w:rPr>
          <w:rFonts w:ascii="Times New Roman" w:hAnsi="Times New Roman" w:cs="Times New Roman"/>
          <w:sz w:val="24"/>
          <w:szCs w:val="24"/>
        </w:rPr>
        <w:fldChar w:fldCharType="end"/>
      </w:r>
      <w:bookmarkEnd w:id="0"/>
    </w:p>
    <w:sectPr w:rsidR="007E0F13" w:rsidRPr="00B96831" w:rsidSect="00065C8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432D" w14:textId="77777777" w:rsidR="00651A70" w:rsidRDefault="00651A70" w:rsidP="006344AD">
      <w:pPr>
        <w:spacing w:after="0" w:line="240" w:lineRule="auto"/>
      </w:pPr>
      <w:r>
        <w:separator/>
      </w:r>
    </w:p>
  </w:endnote>
  <w:endnote w:type="continuationSeparator" w:id="0">
    <w:p w14:paraId="3177CA11" w14:textId="77777777" w:rsidR="00651A70" w:rsidRDefault="00651A70" w:rsidP="0063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1C97" w14:textId="77777777" w:rsidR="006344AD" w:rsidRDefault="00634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BE0E" w14:textId="77777777" w:rsidR="006344AD" w:rsidRDefault="00634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3C09" w14:textId="77777777" w:rsidR="006344AD" w:rsidRDefault="00634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3040D" w14:textId="77777777" w:rsidR="00651A70" w:rsidRDefault="00651A70" w:rsidP="006344AD">
      <w:pPr>
        <w:spacing w:after="0" w:line="240" w:lineRule="auto"/>
      </w:pPr>
      <w:r>
        <w:separator/>
      </w:r>
    </w:p>
  </w:footnote>
  <w:footnote w:type="continuationSeparator" w:id="0">
    <w:p w14:paraId="22FA97B1" w14:textId="77777777" w:rsidR="00651A70" w:rsidRDefault="00651A70" w:rsidP="00634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F205" w14:textId="28F2FA6F" w:rsidR="006344AD" w:rsidRDefault="006344AD">
    <w:pPr>
      <w:pStyle w:val="Header"/>
    </w:pPr>
    <w:r>
      <w:rPr>
        <w:noProof/>
      </w:rPr>
      <w:pict w14:anchorId="2CBEA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415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B7F5" w14:textId="0F6B4129" w:rsidR="006344AD" w:rsidRDefault="006344AD">
    <w:pPr>
      <w:pStyle w:val="Header"/>
    </w:pPr>
    <w:r>
      <w:rPr>
        <w:noProof/>
      </w:rPr>
      <w:pict w14:anchorId="6A927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415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B99A" w14:textId="15AEAEDE" w:rsidR="006344AD" w:rsidRDefault="006344AD">
    <w:pPr>
      <w:pStyle w:val="Header"/>
    </w:pPr>
    <w:r>
      <w:rPr>
        <w:noProof/>
      </w:rPr>
      <w:pict w14:anchorId="668BA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415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B40A1"/>
    <w:multiLevelType w:val="multilevel"/>
    <w:tmpl w:val="4A3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5F51C0"/>
    <w:multiLevelType w:val="multilevel"/>
    <w:tmpl w:val="E43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761662"/>
    <w:multiLevelType w:val="multilevel"/>
    <w:tmpl w:val="D6CC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6358D6"/>
    <w:multiLevelType w:val="multilevel"/>
    <w:tmpl w:val="85BC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370F54"/>
    <w:multiLevelType w:val="multilevel"/>
    <w:tmpl w:val="563E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C14E2E"/>
    <w:multiLevelType w:val="multilevel"/>
    <w:tmpl w:val="10A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13"/>
    <w:rsid w:val="00051ABC"/>
    <w:rsid w:val="00057C59"/>
    <w:rsid w:val="00065C8B"/>
    <w:rsid w:val="00085C5E"/>
    <w:rsid w:val="00242D0A"/>
    <w:rsid w:val="002A63D2"/>
    <w:rsid w:val="003511AE"/>
    <w:rsid w:val="00384BCC"/>
    <w:rsid w:val="003C7A14"/>
    <w:rsid w:val="004F0BAD"/>
    <w:rsid w:val="00506766"/>
    <w:rsid w:val="00523044"/>
    <w:rsid w:val="0054513E"/>
    <w:rsid w:val="00607C5B"/>
    <w:rsid w:val="00630C10"/>
    <w:rsid w:val="00633F53"/>
    <w:rsid w:val="006344AD"/>
    <w:rsid w:val="00651A70"/>
    <w:rsid w:val="007277F6"/>
    <w:rsid w:val="00754DBD"/>
    <w:rsid w:val="007A0FB5"/>
    <w:rsid w:val="007E0F13"/>
    <w:rsid w:val="00813909"/>
    <w:rsid w:val="00841677"/>
    <w:rsid w:val="008865A1"/>
    <w:rsid w:val="008B4CB9"/>
    <w:rsid w:val="008D445B"/>
    <w:rsid w:val="009951AC"/>
    <w:rsid w:val="00A67F44"/>
    <w:rsid w:val="00A85A97"/>
    <w:rsid w:val="00AA7344"/>
    <w:rsid w:val="00B174E1"/>
    <w:rsid w:val="00B75CDB"/>
    <w:rsid w:val="00B96831"/>
    <w:rsid w:val="00BE48F9"/>
    <w:rsid w:val="00D32984"/>
    <w:rsid w:val="00DE6B56"/>
    <w:rsid w:val="00E7560A"/>
    <w:rsid w:val="00E9542F"/>
    <w:rsid w:val="00EA0D9B"/>
    <w:rsid w:val="00EB2EC7"/>
    <w:rsid w:val="00F06D3F"/>
    <w:rsid w:val="00F5335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E1745"/>
  <w15:chartTrackingRefBased/>
  <w15:docId w15:val="{422D6945-6B10-4E7B-9642-36BC1986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3-Accent3">
    <w:name w:val="Grid Table 3 Accent 3"/>
    <w:basedOn w:val="TableNormal"/>
    <w:uiPriority w:val="48"/>
    <w:rsid w:val="00607C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
    <w:name w:val="Grid Table 6 Colorful"/>
    <w:basedOn w:val="TableNormal"/>
    <w:uiPriority w:val="51"/>
    <w:rsid w:val="00607C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607C5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607C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607C5B"/>
    <w:pPr>
      <w:ind w:left="720"/>
      <w:contextualSpacing/>
    </w:pPr>
  </w:style>
  <w:style w:type="paragraph" w:styleId="NormalWeb">
    <w:name w:val="Normal (Web)"/>
    <w:basedOn w:val="Normal"/>
    <w:uiPriority w:val="99"/>
    <w:unhideWhenUsed/>
    <w:rsid w:val="00DE6B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B56"/>
    <w:rPr>
      <w:b/>
      <w:bCs/>
    </w:rPr>
  </w:style>
  <w:style w:type="table" w:styleId="PlainTable2">
    <w:name w:val="Plain Table 2"/>
    <w:basedOn w:val="TableNormal"/>
    <w:uiPriority w:val="42"/>
    <w:rsid w:val="00633F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33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3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511AE"/>
  </w:style>
  <w:style w:type="character" w:styleId="Hyperlink">
    <w:name w:val="Hyperlink"/>
    <w:basedOn w:val="DefaultParagraphFont"/>
    <w:uiPriority w:val="99"/>
    <w:unhideWhenUsed/>
    <w:rsid w:val="00813909"/>
    <w:rPr>
      <w:color w:val="0563C1" w:themeColor="hyperlink"/>
      <w:u w:val="single"/>
    </w:rPr>
  </w:style>
  <w:style w:type="character" w:styleId="UnresolvedMention">
    <w:name w:val="Unresolved Mention"/>
    <w:basedOn w:val="DefaultParagraphFont"/>
    <w:uiPriority w:val="99"/>
    <w:semiHidden/>
    <w:unhideWhenUsed/>
    <w:rsid w:val="00813909"/>
    <w:rPr>
      <w:color w:val="605E5C"/>
      <w:shd w:val="clear" w:color="auto" w:fill="E1DFDD"/>
    </w:rPr>
  </w:style>
  <w:style w:type="paragraph" w:styleId="Header">
    <w:name w:val="header"/>
    <w:basedOn w:val="Normal"/>
    <w:link w:val="HeaderChar"/>
    <w:uiPriority w:val="99"/>
    <w:unhideWhenUsed/>
    <w:rsid w:val="00634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4AD"/>
  </w:style>
  <w:style w:type="paragraph" w:styleId="Footer">
    <w:name w:val="footer"/>
    <w:basedOn w:val="Normal"/>
    <w:link w:val="FooterChar"/>
    <w:uiPriority w:val="99"/>
    <w:unhideWhenUsed/>
    <w:rsid w:val="00634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9585">
      <w:bodyDiv w:val="1"/>
      <w:marLeft w:val="0"/>
      <w:marRight w:val="0"/>
      <w:marTop w:val="0"/>
      <w:marBottom w:val="0"/>
      <w:divBdr>
        <w:top w:val="none" w:sz="0" w:space="0" w:color="auto"/>
        <w:left w:val="none" w:sz="0" w:space="0" w:color="auto"/>
        <w:bottom w:val="none" w:sz="0" w:space="0" w:color="auto"/>
        <w:right w:val="none" w:sz="0" w:space="0" w:color="auto"/>
      </w:divBdr>
    </w:div>
    <w:div w:id="286400155">
      <w:bodyDiv w:val="1"/>
      <w:marLeft w:val="0"/>
      <w:marRight w:val="0"/>
      <w:marTop w:val="0"/>
      <w:marBottom w:val="0"/>
      <w:divBdr>
        <w:top w:val="none" w:sz="0" w:space="0" w:color="auto"/>
        <w:left w:val="none" w:sz="0" w:space="0" w:color="auto"/>
        <w:bottom w:val="none" w:sz="0" w:space="0" w:color="auto"/>
        <w:right w:val="none" w:sz="0" w:space="0" w:color="auto"/>
      </w:divBdr>
    </w:div>
    <w:div w:id="372703520">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
    <w:div w:id="794450036">
      <w:bodyDiv w:val="1"/>
      <w:marLeft w:val="0"/>
      <w:marRight w:val="0"/>
      <w:marTop w:val="0"/>
      <w:marBottom w:val="0"/>
      <w:divBdr>
        <w:top w:val="none" w:sz="0" w:space="0" w:color="auto"/>
        <w:left w:val="none" w:sz="0" w:space="0" w:color="auto"/>
        <w:bottom w:val="none" w:sz="0" w:space="0" w:color="auto"/>
        <w:right w:val="none" w:sz="0" w:space="0" w:color="auto"/>
      </w:divBdr>
    </w:div>
    <w:div w:id="1348755620">
      <w:bodyDiv w:val="1"/>
      <w:marLeft w:val="0"/>
      <w:marRight w:val="0"/>
      <w:marTop w:val="0"/>
      <w:marBottom w:val="0"/>
      <w:divBdr>
        <w:top w:val="none" w:sz="0" w:space="0" w:color="auto"/>
        <w:left w:val="none" w:sz="0" w:space="0" w:color="auto"/>
        <w:bottom w:val="none" w:sz="0" w:space="0" w:color="auto"/>
        <w:right w:val="none" w:sz="0" w:space="0" w:color="auto"/>
      </w:divBdr>
    </w:div>
    <w:div w:id="15524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8FB2-6E47-4312-B039-5BF4064A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6439</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SDI 1084</cp:lastModifiedBy>
  <cp:revision>15</cp:revision>
  <dcterms:created xsi:type="dcterms:W3CDTF">2025-03-06T10:34:00Z</dcterms:created>
  <dcterms:modified xsi:type="dcterms:W3CDTF">2025-03-07T05:40:00Z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337406c7-07af-30e8-ac5b-0cbb68e1a183</vt:lpwstr>
  </property>
  <property fmtid="{D5CDD505-2E9C-101B-9397-08002B2CF9AE}" pid="24" name="Mendeley Citation Style_1">
    <vt:lpwstr>http://www.zotero.org/styles/vancouver</vt:lpwstr>
  </property>
</Properties>
</file>