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E8FC0" w14:textId="26F41B16" w:rsidR="00B71C5B" w:rsidRPr="00850ECF" w:rsidRDefault="00595D4F" w:rsidP="00850ECF">
      <w:pPr>
        <w:spacing w:line="480" w:lineRule="auto"/>
        <w:jc w:val="center"/>
        <w:rPr>
          <w:rFonts w:ascii="Times New Roman" w:hAnsi="Times New Roman" w:cs="Times New Roman"/>
          <w:b/>
          <w:bCs/>
          <w:noProof/>
          <w:sz w:val="28"/>
          <w:szCs w:val="28"/>
        </w:rPr>
      </w:pPr>
      <w:r w:rsidRPr="00850ECF">
        <w:rPr>
          <w:rFonts w:ascii="Times New Roman" w:hAnsi="Times New Roman" w:cs="Times New Roman"/>
          <w:b/>
          <w:bCs/>
          <w:noProof/>
          <w:sz w:val="28"/>
          <w:szCs w:val="28"/>
        </w:rPr>
        <w:t>GROWTH, INSTABILITY AND</w:t>
      </w:r>
      <w:r w:rsidR="004759D6">
        <w:rPr>
          <w:rFonts w:ascii="Times New Roman" w:hAnsi="Times New Roman" w:cs="Times New Roman"/>
          <w:b/>
          <w:bCs/>
          <w:noProof/>
          <w:sz w:val="28"/>
          <w:szCs w:val="28"/>
        </w:rPr>
        <w:t xml:space="preserve"> </w:t>
      </w:r>
      <w:r w:rsidRPr="00850ECF">
        <w:rPr>
          <w:rFonts w:ascii="Times New Roman" w:hAnsi="Times New Roman" w:cs="Times New Roman"/>
          <w:b/>
          <w:bCs/>
          <w:noProof/>
          <w:sz w:val="28"/>
          <w:szCs w:val="28"/>
        </w:rPr>
        <w:t>DECOMPOSITION IN AREA,</w:t>
      </w:r>
      <w:r w:rsidR="004759D6">
        <w:rPr>
          <w:rFonts w:ascii="Times New Roman" w:hAnsi="Times New Roman" w:cs="Times New Roman"/>
          <w:b/>
          <w:bCs/>
          <w:noProof/>
          <w:sz w:val="28"/>
          <w:szCs w:val="28"/>
        </w:rPr>
        <w:t xml:space="preserve"> </w:t>
      </w:r>
      <w:r w:rsidRPr="00850ECF">
        <w:rPr>
          <w:rFonts w:ascii="Times New Roman" w:hAnsi="Times New Roman" w:cs="Times New Roman"/>
          <w:b/>
          <w:bCs/>
          <w:noProof/>
          <w:sz w:val="28"/>
          <w:szCs w:val="28"/>
        </w:rPr>
        <w:t xml:space="preserve">PRODUCTION, AND </w:t>
      </w:r>
      <w:r w:rsidR="00122BD0">
        <w:rPr>
          <w:rFonts w:ascii="Times New Roman" w:hAnsi="Times New Roman" w:cs="Times New Roman"/>
          <w:b/>
          <w:bCs/>
          <w:noProof/>
          <w:sz w:val="28"/>
          <w:szCs w:val="28"/>
        </w:rPr>
        <w:t xml:space="preserve">YIELD </w:t>
      </w:r>
      <w:r w:rsidRPr="00850ECF">
        <w:rPr>
          <w:rFonts w:ascii="Times New Roman" w:hAnsi="Times New Roman" w:cs="Times New Roman"/>
          <w:b/>
          <w:bCs/>
          <w:noProof/>
          <w:sz w:val="28"/>
          <w:szCs w:val="28"/>
        </w:rPr>
        <w:t xml:space="preserve"> OF </w:t>
      </w:r>
      <w:r w:rsidR="00122BD0">
        <w:rPr>
          <w:rFonts w:ascii="Times New Roman" w:hAnsi="Times New Roman" w:cs="Times New Roman"/>
          <w:b/>
          <w:bCs/>
          <w:noProof/>
          <w:sz w:val="28"/>
          <w:szCs w:val="28"/>
        </w:rPr>
        <w:t>CHILLI</w:t>
      </w:r>
      <w:r w:rsidRPr="00850ECF">
        <w:rPr>
          <w:rFonts w:ascii="Times New Roman" w:hAnsi="Times New Roman" w:cs="Times New Roman"/>
          <w:b/>
          <w:bCs/>
          <w:noProof/>
          <w:sz w:val="28"/>
          <w:szCs w:val="28"/>
        </w:rPr>
        <w:t xml:space="preserve"> IN INDIA</w:t>
      </w:r>
    </w:p>
    <w:p w14:paraId="2570252F" w14:textId="77777777" w:rsidR="00920872" w:rsidRDefault="00920872" w:rsidP="00850ECF">
      <w:pPr>
        <w:spacing w:line="480" w:lineRule="auto"/>
        <w:rPr>
          <w:rFonts w:ascii="Times New Roman" w:hAnsi="Times New Roman" w:cs="Times New Roman"/>
          <w:b/>
          <w:bCs/>
          <w:noProof/>
          <w:sz w:val="24"/>
          <w:szCs w:val="24"/>
        </w:rPr>
      </w:pPr>
    </w:p>
    <w:p w14:paraId="2D305102" w14:textId="1DD8E905" w:rsidR="00595D4F" w:rsidRDefault="005B5927" w:rsidP="00850ECF">
      <w:pPr>
        <w:spacing w:line="480" w:lineRule="auto"/>
        <w:rPr>
          <w:rFonts w:ascii="Times New Roman" w:hAnsi="Times New Roman" w:cs="Times New Roman"/>
          <w:b/>
          <w:bCs/>
          <w:noProof/>
          <w:sz w:val="24"/>
          <w:szCs w:val="24"/>
        </w:rPr>
      </w:pPr>
      <w:bookmarkStart w:id="0" w:name="_GoBack"/>
      <w:bookmarkEnd w:id="0"/>
      <w:r w:rsidRPr="00850ECF">
        <w:rPr>
          <w:rFonts w:ascii="Times New Roman" w:hAnsi="Times New Roman" w:cs="Times New Roman"/>
          <w:b/>
          <w:bCs/>
          <w:noProof/>
          <w:sz w:val="24"/>
          <w:szCs w:val="24"/>
        </w:rPr>
        <w:t>ABSTRACT:</w:t>
      </w:r>
    </w:p>
    <w:p w14:paraId="721CB194" w14:textId="4C53A743" w:rsidR="00FB6A43" w:rsidRPr="00FB6A43" w:rsidRDefault="00FB6A43" w:rsidP="00FB6A43">
      <w:pPr>
        <w:spacing w:line="480" w:lineRule="auto"/>
        <w:jc w:val="both"/>
        <w:rPr>
          <w:rFonts w:ascii="Times New Roman" w:hAnsi="Times New Roman" w:cs="Times New Roman"/>
          <w:noProof/>
          <w:sz w:val="24"/>
          <w:szCs w:val="24"/>
        </w:rPr>
      </w:pPr>
      <w:r>
        <w:rPr>
          <w:rFonts w:ascii="Times New Roman" w:hAnsi="Times New Roman" w:cs="Times New Roman"/>
          <w:b/>
          <w:bCs/>
          <w:noProof/>
          <w:sz w:val="24"/>
          <w:szCs w:val="24"/>
        </w:rPr>
        <w:tab/>
      </w:r>
      <w:r w:rsidRPr="00FB6A43">
        <w:rPr>
          <w:rFonts w:ascii="Times New Roman" w:hAnsi="Times New Roman" w:cs="Times New Roman"/>
          <w:noProof/>
          <w:sz w:val="24"/>
          <w:szCs w:val="24"/>
        </w:rPr>
        <w:t xml:space="preserve">This study investigates the trends and factors impacting chili cultivation in India over a 30-year period by analyzing secondary data. The study is divided into three sub-periods: 1993–2002, 2003–2012, and 2013–2022, examining variations in area, production, and </w:t>
      </w:r>
      <w:r w:rsidR="00122BD0">
        <w:rPr>
          <w:rFonts w:ascii="Times New Roman" w:hAnsi="Times New Roman" w:cs="Times New Roman"/>
          <w:noProof/>
          <w:sz w:val="24"/>
          <w:szCs w:val="24"/>
        </w:rPr>
        <w:t xml:space="preserve">yield </w:t>
      </w:r>
      <w:r w:rsidRPr="00FB6A43">
        <w:rPr>
          <w:rFonts w:ascii="Times New Roman" w:hAnsi="Times New Roman" w:cs="Times New Roman"/>
          <w:noProof/>
          <w:sz w:val="24"/>
          <w:szCs w:val="24"/>
        </w:rPr>
        <w:t xml:space="preserve">. Growth trends are measured using the Compound Annual Growth Rate (CAGR), and variability is assessed through the Cuddy-Della Valle Instability Index (CDVI). Despite a decline in cultivated area, the results show that chili production and </w:t>
      </w:r>
      <w:r w:rsidR="00122BD0">
        <w:rPr>
          <w:rFonts w:ascii="Times New Roman" w:hAnsi="Times New Roman" w:cs="Times New Roman"/>
          <w:noProof/>
          <w:sz w:val="24"/>
          <w:szCs w:val="24"/>
        </w:rPr>
        <w:t xml:space="preserve">yield </w:t>
      </w:r>
      <w:r w:rsidRPr="00FB6A43">
        <w:rPr>
          <w:rFonts w:ascii="Times New Roman" w:hAnsi="Times New Roman" w:cs="Times New Roman"/>
          <w:noProof/>
          <w:sz w:val="24"/>
          <w:szCs w:val="24"/>
        </w:rPr>
        <w:t xml:space="preserve"> have generally increased, especially in the </w:t>
      </w:r>
      <w:r w:rsidR="00550B6E">
        <w:rPr>
          <w:rFonts w:ascii="Times New Roman" w:hAnsi="Times New Roman" w:cs="Times New Roman"/>
          <w:noProof/>
          <w:sz w:val="24"/>
          <w:szCs w:val="24"/>
        </w:rPr>
        <w:t xml:space="preserve">period </w:t>
      </w:r>
      <w:r w:rsidR="00550B6E" w:rsidRPr="00FB6A43">
        <w:rPr>
          <w:rFonts w:ascii="Times New Roman" w:hAnsi="Times New Roman" w:cs="Times New Roman"/>
          <w:noProof/>
          <w:sz w:val="24"/>
          <w:szCs w:val="24"/>
        </w:rPr>
        <w:t>2013–2022</w:t>
      </w:r>
      <w:r w:rsidRPr="00FB6A43">
        <w:rPr>
          <w:rFonts w:ascii="Times New Roman" w:hAnsi="Times New Roman" w:cs="Times New Roman"/>
          <w:noProof/>
          <w:sz w:val="24"/>
          <w:szCs w:val="24"/>
        </w:rPr>
        <w:t>. The decomposition analysis reveals that improvements in yield have been the primary driver of production growth, although fluctuations in area and the interaction between yield and area have impacted overall production. The study emphasizes the importance of stabilizing production and enhancing farming practices to maintain growth in chili cultivation.</w:t>
      </w:r>
    </w:p>
    <w:p w14:paraId="7728C14F" w14:textId="1E88CDEA" w:rsidR="005B5927" w:rsidRDefault="00FB6A43" w:rsidP="00FB6A43">
      <w:pPr>
        <w:spacing w:line="480" w:lineRule="auto"/>
        <w:ind w:left="993" w:hanging="993"/>
        <w:rPr>
          <w:rFonts w:ascii="Times New Roman" w:hAnsi="Times New Roman" w:cs="Times New Roman"/>
          <w:b/>
          <w:bCs/>
          <w:noProof/>
          <w:sz w:val="24"/>
          <w:szCs w:val="24"/>
        </w:rPr>
      </w:pPr>
      <w:r>
        <w:rPr>
          <w:rFonts w:ascii="Times New Roman" w:hAnsi="Times New Roman" w:cs="Times New Roman"/>
          <w:b/>
          <w:bCs/>
          <w:noProof/>
          <w:sz w:val="24"/>
          <w:szCs w:val="24"/>
        </w:rPr>
        <w:t>Keywords:</w:t>
      </w:r>
      <w:r w:rsidRPr="00FB6A43">
        <w:rPr>
          <w:rFonts w:ascii="Times New Roman" w:hAnsi="Times New Roman" w:cs="Times New Roman"/>
          <w:b/>
          <w:bCs/>
          <w:noProof/>
          <w:sz w:val="24"/>
          <w:szCs w:val="24"/>
        </w:rPr>
        <w:t xml:space="preserve">  Chili cultivation</w:t>
      </w:r>
      <w:r>
        <w:rPr>
          <w:rFonts w:ascii="Times New Roman" w:hAnsi="Times New Roman" w:cs="Times New Roman"/>
          <w:b/>
          <w:bCs/>
          <w:noProof/>
          <w:sz w:val="24"/>
          <w:szCs w:val="24"/>
        </w:rPr>
        <w:t>,</w:t>
      </w:r>
      <w:r w:rsidRPr="00FB6A43">
        <w:rPr>
          <w:rFonts w:ascii="Times New Roman" w:hAnsi="Times New Roman" w:cs="Times New Roman"/>
          <w:b/>
          <w:bCs/>
          <w:noProof/>
          <w:sz w:val="24"/>
          <w:szCs w:val="24"/>
        </w:rPr>
        <w:t xml:space="preserve">  </w:t>
      </w:r>
      <w:r w:rsidR="00122BD0">
        <w:rPr>
          <w:rFonts w:ascii="Times New Roman" w:hAnsi="Times New Roman" w:cs="Times New Roman"/>
          <w:b/>
          <w:bCs/>
          <w:noProof/>
          <w:sz w:val="24"/>
          <w:szCs w:val="24"/>
        </w:rPr>
        <w:t xml:space="preserve">Yield </w:t>
      </w:r>
      <w:r w:rsidRPr="00FB6A43">
        <w:rPr>
          <w:rFonts w:ascii="Times New Roman" w:hAnsi="Times New Roman" w:cs="Times New Roman"/>
          <w:b/>
          <w:bCs/>
          <w:noProof/>
          <w:sz w:val="24"/>
          <w:szCs w:val="24"/>
        </w:rPr>
        <w:t xml:space="preserve"> growth</w:t>
      </w:r>
      <w:r>
        <w:rPr>
          <w:rFonts w:ascii="Times New Roman" w:hAnsi="Times New Roman" w:cs="Times New Roman"/>
          <w:b/>
          <w:bCs/>
          <w:noProof/>
          <w:sz w:val="24"/>
          <w:szCs w:val="24"/>
        </w:rPr>
        <w:t>,</w:t>
      </w:r>
      <w:r w:rsidRPr="00FB6A43">
        <w:rPr>
          <w:rFonts w:ascii="Times New Roman" w:hAnsi="Times New Roman" w:cs="Times New Roman"/>
          <w:b/>
          <w:bCs/>
          <w:noProof/>
          <w:sz w:val="24"/>
          <w:szCs w:val="24"/>
        </w:rPr>
        <w:t xml:space="preserve">  CAG</w:t>
      </w:r>
      <w:r>
        <w:rPr>
          <w:rFonts w:ascii="Times New Roman" w:hAnsi="Times New Roman" w:cs="Times New Roman"/>
          <w:b/>
          <w:bCs/>
          <w:noProof/>
          <w:sz w:val="24"/>
          <w:szCs w:val="24"/>
        </w:rPr>
        <w:t>R,</w:t>
      </w:r>
      <w:r w:rsidRPr="00FB6A43">
        <w:rPr>
          <w:rFonts w:ascii="Times New Roman" w:hAnsi="Times New Roman" w:cs="Times New Roman"/>
          <w:b/>
          <w:bCs/>
          <w:noProof/>
          <w:sz w:val="24"/>
          <w:szCs w:val="24"/>
        </w:rPr>
        <w:t xml:space="preserve">  Instability index</w:t>
      </w:r>
      <w:r>
        <w:rPr>
          <w:rFonts w:ascii="Times New Roman" w:hAnsi="Times New Roman" w:cs="Times New Roman"/>
          <w:b/>
          <w:bCs/>
          <w:noProof/>
          <w:sz w:val="24"/>
          <w:szCs w:val="24"/>
        </w:rPr>
        <w:t xml:space="preserve"> and</w:t>
      </w:r>
      <w:r w:rsidRPr="00FB6A43">
        <w:rPr>
          <w:rFonts w:ascii="Times New Roman" w:hAnsi="Times New Roman" w:cs="Times New Roman"/>
          <w:b/>
          <w:bCs/>
          <w:noProof/>
          <w:sz w:val="24"/>
          <w:szCs w:val="24"/>
        </w:rPr>
        <w:t xml:space="preserve"> Decomposition analysis</w:t>
      </w:r>
    </w:p>
    <w:p w14:paraId="7A6DB581" w14:textId="77777777" w:rsidR="006E0BA3" w:rsidRPr="00850ECF" w:rsidRDefault="006E0BA3" w:rsidP="00FB6A43">
      <w:pPr>
        <w:spacing w:line="480" w:lineRule="auto"/>
        <w:ind w:left="993" w:hanging="993"/>
        <w:rPr>
          <w:rFonts w:ascii="Times New Roman" w:hAnsi="Times New Roman" w:cs="Times New Roman"/>
          <w:b/>
          <w:bCs/>
          <w:noProof/>
          <w:sz w:val="24"/>
          <w:szCs w:val="24"/>
        </w:rPr>
      </w:pPr>
    </w:p>
    <w:p w14:paraId="52D1CAA3" w14:textId="2C6B756E" w:rsidR="008C3CAB" w:rsidRPr="00850ECF" w:rsidRDefault="003E2AFC" w:rsidP="00850ECF">
      <w:pPr>
        <w:pStyle w:val="ListParagraph"/>
        <w:numPr>
          <w:ilvl w:val="0"/>
          <w:numId w:val="15"/>
        </w:numPr>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INTRODUCTION</w:t>
      </w:r>
    </w:p>
    <w:p w14:paraId="18318818" w14:textId="6A92F376" w:rsidR="00CE2A1B" w:rsidRDefault="00CE2A1B" w:rsidP="00850ECF">
      <w:pPr>
        <w:pStyle w:val="NormalWeb"/>
        <w:spacing w:line="480" w:lineRule="auto"/>
        <w:ind w:firstLine="720"/>
        <w:jc w:val="both"/>
      </w:pPr>
      <w:r w:rsidRPr="00CE2A1B">
        <w:t xml:space="preserve">India, known as the "Spice Bowl of the World," capitalizes on its diverse agroclimatic conditions to remain a global leader in spice production (Spices Board of India, 2025; Angles et al., 2011). As the world's largest producer, consumer, and exporter of chilies, it surpasses countries </w:t>
      </w:r>
      <w:r w:rsidRPr="00CE2A1B">
        <w:lastRenderedPageBreak/>
        <w:t xml:space="preserve">like China, Thailand, Ethiopia, and Indonesia (Crop Outlook Reports, PJTSAU). In 2023-24, chili cultivation in India covered approximately 8.09 lakh hectares, yielding an estimated 29.13 lakh </w:t>
      </w:r>
      <w:proofErr w:type="spellStart"/>
      <w:r w:rsidRPr="00CE2A1B">
        <w:t>tonnes</w:t>
      </w:r>
      <w:proofErr w:type="spellEnd"/>
      <w:r w:rsidRPr="00CE2A1B">
        <w:t xml:space="preserve"> with an average </w:t>
      </w:r>
      <w:r w:rsidR="00B60AA9">
        <w:t xml:space="preserve">yield </w:t>
      </w:r>
      <w:r w:rsidR="00B60AA9" w:rsidRPr="00CE2A1B">
        <w:t>of</w:t>
      </w:r>
      <w:r w:rsidRPr="00CE2A1B">
        <w:t xml:space="preserve"> 3,273 kg/ha (</w:t>
      </w:r>
      <w:r w:rsidR="00253B4A" w:rsidRPr="00C337B3">
        <w:t>ANGRAU Chilli Outlook Report</w:t>
      </w:r>
      <w:r w:rsidR="00253B4A">
        <w:t>.</w:t>
      </w:r>
      <w:r w:rsidRPr="00CE2A1B">
        <w:t>).</w:t>
      </w:r>
      <w:r w:rsidRPr="00CE2A1B">
        <w:rPr>
          <w:rFonts w:asciiTheme="minorHAnsi" w:eastAsiaTheme="minorHAnsi" w:hAnsiTheme="minorHAnsi" w:cstheme="minorBidi"/>
          <w:kern w:val="2"/>
          <w:sz w:val="22"/>
          <w:szCs w:val="22"/>
          <w14:ligatures w14:val="standardContextual"/>
        </w:rPr>
        <w:t xml:space="preserve"> </w:t>
      </w:r>
      <w:r w:rsidRPr="00CE2A1B">
        <w:t xml:space="preserve">India cultivates several well-known chili varieties, such as </w:t>
      </w:r>
      <w:proofErr w:type="spellStart"/>
      <w:r w:rsidRPr="00CE2A1B">
        <w:t>Jwala</w:t>
      </w:r>
      <w:proofErr w:type="spellEnd"/>
      <w:r w:rsidRPr="00CE2A1B">
        <w:t xml:space="preserve">, </w:t>
      </w:r>
      <w:proofErr w:type="spellStart"/>
      <w:r w:rsidRPr="00CE2A1B">
        <w:t>Teja</w:t>
      </w:r>
      <w:proofErr w:type="spellEnd"/>
      <w:r w:rsidRPr="00CE2A1B">
        <w:t xml:space="preserve">, </w:t>
      </w:r>
      <w:proofErr w:type="spellStart"/>
      <w:r w:rsidRPr="00CE2A1B">
        <w:t>Bhoot</w:t>
      </w:r>
      <w:proofErr w:type="spellEnd"/>
      <w:r w:rsidRPr="00CE2A1B">
        <w:t xml:space="preserve"> </w:t>
      </w:r>
      <w:proofErr w:type="spellStart"/>
      <w:r w:rsidRPr="00CE2A1B">
        <w:t>Jolokia</w:t>
      </w:r>
      <w:proofErr w:type="spellEnd"/>
      <w:r w:rsidRPr="00CE2A1B">
        <w:t xml:space="preserve">, </w:t>
      </w:r>
      <w:proofErr w:type="spellStart"/>
      <w:r w:rsidRPr="00CE2A1B">
        <w:t>Dhani</w:t>
      </w:r>
      <w:proofErr w:type="spellEnd"/>
      <w:r w:rsidRPr="00CE2A1B">
        <w:t xml:space="preserve">, and </w:t>
      </w:r>
      <w:proofErr w:type="spellStart"/>
      <w:r w:rsidRPr="00CE2A1B">
        <w:t>Bhavnagri</w:t>
      </w:r>
      <w:proofErr w:type="spellEnd"/>
      <w:r w:rsidRPr="00CE2A1B">
        <w:t>, valued for their intense pungency, deep red hue, and industrial significance (Crop Outlook Reports, ANGRAU). The primary chili-producing states—Andhra Pradesh, Telangana, Madhya Pradesh, Karnataka, and Odisha—collectively contribute nearly 93% of the nation's total chili production (Spices Board of India, 2024).</w:t>
      </w:r>
    </w:p>
    <w:p w14:paraId="521F7EE3" w14:textId="77777777" w:rsidR="00CE2A1B" w:rsidRPr="00CE2A1B" w:rsidRDefault="00CE2A1B" w:rsidP="006E0BA3">
      <w:pPr>
        <w:spacing w:line="480" w:lineRule="auto"/>
        <w:ind w:firstLine="720"/>
        <w:jc w:val="both"/>
        <w:rPr>
          <w:rFonts w:ascii="Times New Roman" w:eastAsia="Times New Roman" w:hAnsi="Times New Roman" w:cs="Times New Roman"/>
          <w:kern w:val="0"/>
          <w:sz w:val="24"/>
          <w:szCs w:val="24"/>
          <w14:ligatures w14:val="none"/>
        </w:rPr>
      </w:pPr>
      <w:r w:rsidRPr="00CE2A1B">
        <w:rPr>
          <w:rFonts w:ascii="Times New Roman" w:eastAsia="Times New Roman" w:hAnsi="Times New Roman" w:cs="Times New Roman"/>
          <w:kern w:val="0"/>
          <w:sz w:val="24"/>
          <w:szCs w:val="24"/>
          <w14:ligatures w14:val="none"/>
        </w:rPr>
        <w:t xml:space="preserve">Indian chilies are in high demand in domestic and international markets due to their unique characteristics, rich capsaicin content, and vibrant color (Meena et al., 2006; Kiruthika, 2024). These attributes make them essential in culinary, medicinal, and industrial sectors (Geetha &amp; Selvarani, 2017). The growing preference for spicy foods, natural colorants, and </w:t>
      </w:r>
      <w:proofErr w:type="spellStart"/>
      <w:r w:rsidRPr="00CE2A1B">
        <w:rPr>
          <w:rFonts w:ascii="Times New Roman" w:eastAsia="Times New Roman" w:hAnsi="Times New Roman" w:cs="Times New Roman"/>
          <w:kern w:val="0"/>
          <w:sz w:val="24"/>
          <w:szCs w:val="24"/>
          <w14:ligatures w14:val="none"/>
        </w:rPr>
        <w:t>capsaicinoids</w:t>
      </w:r>
      <w:proofErr w:type="spellEnd"/>
      <w:r w:rsidRPr="00CE2A1B">
        <w:rPr>
          <w:rFonts w:ascii="Times New Roman" w:eastAsia="Times New Roman" w:hAnsi="Times New Roman" w:cs="Times New Roman"/>
          <w:kern w:val="0"/>
          <w:sz w:val="24"/>
          <w:szCs w:val="24"/>
          <w14:ligatures w14:val="none"/>
        </w:rPr>
        <w:t xml:space="preserve"> with health benefits has further driven their popularity (</w:t>
      </w:r>
      <w:proofErr w:type="spellStart"/>
      <w:r w:rsidRPr="00CE2A1B">
        <w:rPr>
          <w:rFonts w:ascii="Times New Roman" w:eastAsia="Times New Roman" w:hAnsi="Times New Roman" w:cs="Times New Roman"/>
          <w:kern w:val="0"/>
          <w:sz w:val="24"/>
          <w:szCs w:val="24"/>
          <w14:ligatures w14:val="none"/>
        </w:rPr>
        <w:t>Baenas</w:t>
      </w:r>
      <w:proofErr w:type="spellEnd"/>
      <w:r w:rsidRPr="00CE2A1B">
        <w:rPr>
          <w:rFonts w:ascii="Times New Roman" w:eastAsia="Times New Roman" w:hAnsi="Times New Roman" w:cs="Times New Roman"/>
          <w:kern w:val="0"/>
          <w:sz w:val="24"/>
          <w:szCs w:val="24"/>
          <w14:ligatures w14:val="none"/>
        </w:rPr>
        <w:t xml:space="preserve"> et al., 2019). Additionally, India plays a crucial role in supplying chilies for food processing, pharmaceuticals, and natural pigment extraction, with key export destinations including China, Bangladesh, Thailand, Sri Lanka, Malaysia, and the UAE (Commodity Board of India, 2024; Gade et al., 2020).</w:t>
      </w:r>
    </w:p>
    <w:p w14:paraId="1D539D7D" w14:textId="35BAAA77" w:rsidR="00CE2A1B" w:rsidRDefault="00CE2A1B" w:rsidP="006E0BA3">
      <w:pPr>
        <w:spacing w:line="480" w:lineRule="auto"/>
        <w:ind w:firstLine="720"/>
        <w:jc w:val="both"/>
        <w:rPr>
          <w:rFonts w:ascii="Times New Roman" w:eastAsia="Times New Roman" w:hAnsi="Times New Roman" w:cs="Times New Roman"/>
          <w:kern w:val="0"/>
          <w:sz w:val="24"/>
          <w:szCs w:val="24"/>
          <w14:ligatures w14:val="none"/>
        </w:rPr>
      </w:pPr>
      <w:r w:rsidRPr="00CE2A1B">
        <w:rPr>
          <w:rFonts w:ascii="Times New Roman" w:eastAsia="Times New Roman" w:hAnsi="Times New Roman" w:cs="Times New Roman"/>
          <w:kern w:val="0"/>
          <w:sz w:val="24"/>
          <w:szCs w:val="24"/>
          <w14:ligatures w14:val="none"/>
        </w:rPr>
        <w:t xml:space="preserve">Despite its global dominance, India's chili sector faces challenges such as climate change, price volatility, pest infestations, and market fluctuations, which impact cultivation area, production, and </w:t>
      </w:r>
      <w:r w:rsidR="005829C3">
        <w:rPr>
          <w:rFonts w:ascii="Times New Roman" w:eastAsia="Times New Roman" w:hAnsi="Times New Roman" w:cs="Times New Roman"/>
          <w:kern w:val="0"/>
          <w:sz w:val="24"/>
          <w:szCs w:val="24"/>
          <w14:ligatures w14:val="none"/>
        </w:rPr>
        <w:t>yield.</w:t>
      </w:r>
      <w:r w:rsidRPr="00CE2A1B">
        <w:rPr>
          <w:rFonts w:ascii="Times New Roman" w:eastAsia="Times New Roman" w:hAnsi="Times New Roman" w:cs="Times New Roman"/>
          <w:kern w:val="0"/>
          <w:sz w:val="24"/>
          <w:szCs w:val="24"/>
          <w14:ligatures w14:val="none"/>
        </w:rPr>
        <w:t xml:space="preserve"> Figure 1 highlights significant fluctuations in these factors, influencing chili growth and efficiency. Several studies (Ashoka et al., 2013; </w:t>
      </w:r>
      <w:proofErr w:type="spellStart"/>
      <w:r w:rsidRPr="00CE2A1B">
        <w:rPr>
          <w:rFonts w:ascii="Times New Roman" w:eastAsia="Times New Roman" w:hAnsi="Times New Roman" w:cs="Times New Roman"/>
          <w:kern w:val="0"/>
          <w:sz w:val="24"/>
          <w:szCs w:val="24"/>
          <w14:ligatures w14:val="none"/>
        </w:rPr>
        <w:t>Rajanbabu</w:t>
      </w:r>
      <w:proofErr w:type="spellEnd"/>
      <w:r w:rsidRPr="00CE2A1B">
        <w:rPr>
          <w:rFonts w:ascii="Times New Roman" w:eastAsia="Times New Roman" w:hAnsi="Times New Roman" w:cs="Times New Roman"/>
          <w:kern w:val="0"/>
          <w:sz w:val="24"/>
          <w:szCs w:val="24"/>
          <w14:ligatures w14:val="none"/>
        </w:rPr>
        <w:t xml:space="preserve"> et al., 2022; Sharma et al., 2022) have examined trends in chili farming and production efficiency. Addressing these challenges requires a comprehensive analysis of production trends and instability. This study evaluates variations in area, production, and </w:t>
      </w:r>
      <w:r w:rsidR="00122BD0">
        <w:rPr>
          <w:rFonts w:ascii="Times New Roman" w:eastAsia="Times New Roman" w:hAnsi="Times New Roman" w:cs="Times New Roman"/>
          <w:kern w:val="0"/>
          <w:sz w:val="24"/>
          <w:szCs w:val="24"/>
          <w14:ligatures w14:val="none"/>
        </w:rPr>
        <w:t>yield</w:t>
      </w:r>
      <w:r w:rsidRPr="00CE2A1B">
        <w:rPr>
          <w:rFonts w:ascii="Times New Roman" w:eastAsia="Times New Roman" w:hAnsi="Times New Roman" w:cs="Times New Roman"/>
          <w:kern w:val="0"/>
          <w:sz w:val="24"/>
          <w:szCs w:val="24"/>
          <w14:ligatures w14:val="none"/>
        </w:rPr>
        <w:t xml:space="preserve">, incorporating decomposition analysis to </w:t>
      </w:r>
      <w:r w:rsidRPr="00CE2A1B">
        <w:rPr>
          <w:rFonts w:ascii="Times New Roman" w:eastAsia="Times New Roman" w:hAnsi="Times New Roman" w:cs="Times New Roman"/>
          <w:kern w:val="0"/>
          <w:sz w:val="24"/>
          <w:szCs w:val="24"/>
          <w14:ligatures w14:val="none"/>
        </w:rPr>
        <w:lastRenderedPageBreak/>
        <w:t>identify key drivers of chili production. To sustain its leadership in the global spice trade, India must enhance efficiency and sustainability, ensuring farmer livelihoods and maintaining its competitive edge.</w:t>
      </w:r>
    </w:p>
    <w:p w14:paraId="1FF2742C" w14:textId="552A6049" w:rsidR="006E0BA3" w:rsidRPr="006E0BA3" w:rsidRDefault="006E0BA3" w:rsidP="006E0BA3">
      <w:pPr>
        <w:spacing w:line="480" w:lineRule="auto"/>
        <w:ind w:firstLine="720"/>
        <w:jc w:val="both"/>
        <w:rPr>
          <w:rFonts w:ascii="Times New Roman" w:eastAsia="Times New Roman" w:hAnsi="Times New Roman" w:cs="Times New Roman"/>
          <w:b/>
          <w:bCs/>
          <w:kern w:val="0"/>
          <w:sz w:val="24"/>
          <w:szCs w:val="24"/>
          <w14:ligatures w14:val="none"/>
        </w:rPr>
      </w:pPr>
      <w:r w:rsidRPr="006E0BA3">
        <w:rPr>
          <w:rFonts w:ascii="Times New Roman" w:eastAsia="Times New Roman" w:hAnsi="Times New Roman" w:cs="Times New Roman"/>
          <w:b/>
          <w:bCs/>
          <w:kern w:val="0"/>
          <w:sz w:val="24"/>
          <w:szCs w:val="24"/>
          <w14:ligatures w14:val="none"/>
        </w:rPr>
        <w:t xml:space="preserve">Fig 1: Trends in area, production and </w:t>
      </w:r>
      <w:r w:rsidR="00122BD0">
        <w:rPr>
          <w:rFonts w:ascii="Times New Roman" w:eastAsia="Times New Roman" w:hAnsi="Times New Roman" w:cs="Times New Roman"/>
          <w:b/>
          <w:bCs/>
          <w:kern w:val="0"/>
          <w:sz w:val="24"/>
          <w:szCs w:val="24"/>
          <w14:ligatures w14:val="none"/>
        </w:rPr>
        <w:t>yield</w:t>
      </w:r>
      <w:r w:rsidRPr="006E0BA3">
        <w:rPr>
          <w:rFonts w:ascii="Times New Roman" w:eastAsia="Times New Roman" w:hAnsi="Times New Roman" w:cs="Times New Roman"/>
          <w:b/>
          <w:bCs/>
          <w:kern w:val="0"/>
          <w:sz w:val="24"/>
          <w:szCs w:val="24"/>
          <w14:ligatures w14:val="none"/>
        </w:rPr>
        <w:t xml:space="preserve"> of </w:t>
      </w:r>
      <w:proofErr w:type="spellStart"/>
      <w:r w:rsidRPr="006E0BA3">
        <w:rPr>
          <w:rFonts w:ascii="Times New Roman" w:eastAsia="Times New Roman" w:hAnsi="Times New Roman" w:cs="Times New Roman"/>
          <w:b/>
          <w:bCs/>
          <w:kern w:val="0"/>
          <w:sz w:val="24"/>
          <w:szCs w:val="24"/>
          <w14:ligatures w14:val="none"/>
        </w:rPr>
        <w:t>chilli</w:t>
      </w:r>
      <w:proofErr w:type="spellEnd"/>
      <w:r w:rsidRPr="006E0BA3">
        <w:rPr>
          <w:rFonts w:ascii="Times New Roman" w:eastAsia="Times New Roman" w:hAnsi="Times New Roman" w:cs="Times New Roman"/>
          <w:b/>
          <w:bCs/>
          <w:kern w:val="0"/>
          <w:sz w:val="24"/>
          <w:szCs w:val="24"/>
          <w14:ligatures w14:val="none"/>
        </w:rPr>
        <w:t xml:space="preserve"> in India </w:t>
      </w:r>
    </w:p>
    <w:p w14:paraId="43D9260C" w14:textId="7C956390" w:rsidR="00E857E3" w:rsidRPr="00850ECF" w:rsidRDefault="00E857E3" w:rsidP="00850ECF">
      <w:pPr>
        <w:spacing w:line="480" w:lineRule="auto"/>
        <w:jc w:val="both"/>
        <w:rPr>
          <w:rFonts w:ascii="Times New Roman" w:hAnsi="Times New Roman" w:cs="Times New Roman"/>
          <w:sz w:val="24"/>
          <w:szCs w:val="24"/>
        </w:rPr>
      </w:pPr>
      <w:r w:rsidRPr="00850ECF">
        <w:rPr>
          <w:rFonts w:ascii="Times New Roman" w:hAnsi="Times New Roman" w:cs="Times New Roman"/>
          <w:noProof/>
          <w:sz w:val="24"/>
          <w:szCs w:val="24"/>
        </w:rPr>
        <w:drawing>
          <wp:inline distT="0" distB="0" distL="0" distR="0" wp14:anchorId="0A1976EA" wp14:editId="30735136">
            <wp:extent cx="5943600" cy="3985895"/>
            <wp:effectExtent l="0" t="0" r="0" b="14605"/>
            <wp:docPr id="1219323973" name="Chart 1">
              <a:extLst xmlns:a="http://schemas.openxmlformats.org/drawingml/2006/main">
                <a:ext uri="{FF2B5EF4-FFF2-40B4-BE49-F238E27FC236}">
                  <a16:creationId xmlns:a16="http://schemas.microsoft.com/office/drawing/2014/main" id="{DA49DE86-310E-0BA7-2390-ED9316B105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54E346D" w14:textId="77777777" w:rsidR="006E0BA3" w:rsidRDefault="006E0BA3" w:rsidP="00850ECF">
      <w:pPr>
        <w:spacing w:line="480" w:lineRule="auto"/>
        <w:jc w:val="both"/>
        <w:rPr>
          <w:rFonts w:ascii="Times New Roman" w:hAnsi="Times New Roman" w:cs="Times New Roman"/>
          <w:b/>
          <w:bCs/>
          <w:sz w:val="24"/>
          <w:szCs w:val="24"/>
        </w:rPr>
      </w:pPr>
    </w:p>
    <w:p w14:paraId="52F995E3" w14:textId="52FF402F" w:rsidR="008E6E3D" w:rsidRPr="00850ECF" w:rsidRDefault="00E06126" w:rsidP="00850ECF">
      <w:pPr>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 xml:space="preserve"> </w:t>
      </w:r>
      <w:r w:rsidR="00C37F8F" w:rsidRPr="00850ECF">
        <w:rPr>
          <w:rFonts w:ascii="Times New Roman" w:hAnsi="Times New Roman" w:cs="Times New Roman"/>
          <w:b/>
          <w:bCs/>
          <w:sz w:val="24"/>
          <w:szCs w:val="24"/>
        </w:rPr>
        <w:t>2. METHODOLOGY</w:t>
      </w:r>
    </w:p>
    <w:p w14:paraId="1F4BB2AC" w14:textId="6104422D" w:rsidR="00C37F8F" w:rsidRPr="00850ECF" w:rsidRDefault="00C37F8F" w:rsidP="00850ECF">
      <w:pPr>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2.</w:t>
      </w:r>
      <w:r w:rsidR="003E2AFC" w:rsidRPr="00850ECF">
        <w:rPr>
          <w:rFonts w:ascii="Times New Roman" w:hAnsi="Times New Roman" w:cs="Times New Roman"/>
          <w:b/>
          <w:bCs/>
          <w:sz w:val="24"/>
          <w:szCs w:val="24"/>
        </w:rPr>
        <w:t>1. Data</w:t>
      </w:r>
      <w:r w:rsidRPr="00850ECF">
        <w:rPr>
          <w:rFonts w:ascii="Times New Roman" w:hAnsi="Times New Roman" w:cs="Times New Roman"/>
          <w:b/>
          <w:bCs/>
          <w:sz w:val="24"/>
          <w:szCs w:val="24"/>
        </w:rPr>
        <w:t xml:space="preserve"> Collection</w:t>
      </w:r>
    </w:p>
    <w:p w14:paraId="46C80CCF" w14:textId="55BCAE2E" w:rsidR="00CE2A1B" w:rsidRDefault="00CE2A1B" w:rsidP="00CE2A1B">
      <w:pPr>
        <w:spacing w:line="480" w:lineRule="auto"/>
        <w:ind w:firstLine="720"/>
        <w:jc w:val="both"/>
        <w:rPr>
          <w:rFonts w:ascii="Times New Roman" w:hAnsi="Times New Roman" w:cs="Times New Roman"/>
          <w:sz w:val="24"/>
          <w:szCs w:val="24"/>
        </w:rPr>
      </w:pPr>
      <w:r w:rsidRPr="00CE2A1B">
        <w:rPr>
          <w:rFonts w:ascii="Times New Roman" w:hAnsi="Times New Roman" w:cs="Times New Roman"/>
          <w:sz w:val="24"/>
          <w:szCs w:val="24"/>
        </w:rPr>
        <w:t xml:space="preserve">This study analyzes secondary data from FAOSTAT over a 30-year period (1993–2022), divided into three sub-periods: Period I (1993–2002), Period II (2003–2012), and Period III (2013–2022), representing the overall study period (1993–2022). It examines trends in the area, </w:t>
      </w:r>
      <w:r w:rsidRPr="00CE2A1B">
        <w:rPr>
          <w:rFonts w:ascii="Times New Roman" w:hAnsi="Times New Roman" w:cs="Times New Roman"/>
          <w:sz w:val="24"/>
          <w:szCs w:val="24"/>
        </w:rPr>
        <w:lastRenderedPageBreak/>
        <w:t xml:space="preserve">production, and </w:t>
      </w:r>
      <w:r w:rsidR="00122BD0">
        <w:rPr>
          <w:rFonts w:ascii="Times New Roman" w:hAnsi="Times New Roman" w:cs="Times New Roman"/>
          <w:sz w:val="24"/>
          <w:szCs w:val="24"/>
        </w:rPr>
        <w:t xml:space="preserve">yield </w:t>
      </w:r>
      <w:r w:rsidRPr="00CE2A1B">
        <w:rPr>
          <w:rFonts w:ascii="Times New Roman" w:hAnsi="Times New Roman" w:cs="Times New Roman"/>
          <w:sz w:val="24"/>
          <w:szCs w:val="24"/>
        </w:rPr>
        <w:t>of chilies in India to assess growth patterns and variability. The Compound Growth Rate (CGR) is employed to evaluate long-term trends, while the Cuddy-Della Valle Instability Index (CDVI) measures fluctuations in these factors. Furthermore, Decomposition Analysis is used to identify key drivers influencing changes in chili production in India.</w:t>
      </w:r>
    </w:p>
    <w:p w14:paraId="0DF66169" w14:textId="03A0466F" w:rsidR="00115AD6" w:rsidRPr="00850ECF" w:rsidRDefault="00C37F8F" w:rsidP="00850ECF">
      <w:pPr>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 xml:space="preserve">2.2. </w:t>
      </w:r>
      <w:r w:rsidR="00115AD6" w:rsidRPr="00850ECF">
        <w:rPr>
          <w:rFonts w:ascii="Times New Roman" w:hAnsi="Times New Roman" w:cs="Times New Roman"/>
          <w:b/>
          <w:bCs/>
          <w:sz w:val="24"/>
          <w:szCs w:val="24"/>
        </w:rPr>
        <w:t xml:space="preserve">Compound Annual Growth Rate (CAGR) </w:t>
      </w:r>
    </w:p>
    <w:p w14:paraId="2FD5EFFC" w14:textId="23CDAB83" w:rsidR="005C2079" w:rsidRPr="00550B6E" w:rsidRDefault="00D4256A" w:rsidP="00CE2A1B">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 xml:space="preserve">Compound annual growth rates was estimated to know the growth pattern on area, production and </w:t>
      </w:r>
      <w:r w:rsidR="00122BD0">
        <w:rPr>
          <w:rFonts w:ascii="Times New Roman" w:hAnsi="Times New Roman" w:cs="Times New Roman"/>
          <w:sz w:val="24"/>
          <w:szCs w:val="24"/>
        </w:rPr>
        <w:t>yield</w:t>
      </w:r>
      <w:r w:rsidRPr="00850ECF">
        <w:rPr>
          <w:rFonts w:ascii="Times New Roman" w:hAnsi="Times New Roman" w:cs="Times New Roman"/>
          <w:sz w:val="24"/>
          <w:szCs w:val="24"/>
        </w:rPr>
        <w:t xml:space="preserve"> of major rabi pulse crops in Madhya Pradesh. The growth rate was estimated by using exponential trend model</w:t>
      </w:r>
      <w:r w:rsidR="003377A6" w:rsidRPr="00850ECF">
        <w:rPr>
          <w:rFonts w:ascii="Times New Roman" w:hAnsi="Times New Roman" w:cs="Times New Roman"/>
          <w:sz w:val="24"/>
          <w:szCs w:val="24"/>
        </w:rPr>
        <w:t xml:space="preserve"> </w:t>
      </w:r>
      <w:r w:rsidR="003E2AFC" w:rsidRPr="00550B6E">
        <w:rPr>
          <w:rFonts w:ascii="Times New Roman" w:hAnsi="Times New Roman" w:cs="Times New Roman"/>
          <w:sz w:val="24"/>
          <w:szCs w:val="24"/>
        </w:rPr>
        <w:t>(</w:t>
      </w:r>
      <w:r w:rsidRPr="00550B6E">
        <w:rPr>
          <w:rFonts w:ascii="Times New Roman" w:hAnsi="Times New Roman" w:cs="Times New Roman"/>
          <w:sz w:val="24"/>
          <w:szCs w:val="24"/>
        </w:rPr>
        <w:t>Gade et al.,</w:t>
      </w:r>
      <w:r w:rsidR="00550B6E" w:rsidRPr="00550B6E">
        <w:rPr>
          <w:rFonts w:ascii="Times New Roman" w:hAnsi="Times New Roman" w:cs="Times New Roman"/>
          <w:sz w:val="24"/>
          <w:szCs w:val="24"/>
        </w:rPr>
        <w:t xml:space="preserve"> </w:t>
      </w:r>
      <w:r w:rsidR="0046180B" w:rsidRPr="00550B6E">
        <w:rPr>
          <w:rFonts w:ascii="Times New Roman" w:hAnsi="Times New Roman" w:cs="Times New Roman"/>
          <w:sz w:val="24"/>
          <w:szCs w:val="24"/>
        </w:rPr>
        <w:t xml:space="preserve">2020 and </w:t>
      </w:r>
      <w:r w:rsidR="003377A6" w:rsidRPr="00550B6E">
        <w:rPr>
          <w:rFonts w:ascii="Times New Roman" w:hAnsi="Times New Roman" w:cs="Times New Roman"/>
          <w:sz w:val="24"/>
          <w:szCs w:val="24"/>
        </w:rPr>
        <w:t>Kaur</w:t>
      </w:r>
      <w:r w:rsidR="0046180B" w:rsidRPr="00550B6E">
        <w:rPr>
          <w:rFonts w:ascii="Times New Roman" w:hAnsi="Times New Roman" w:cs="Times New Roman"/>
          <w:sz w:val="24"/>
          <w:szCs w:val="24"/>
        </w:rPr>
        <w:t xml:space="preserve"> </w:t>
      </w:r>
      <w:r w:rsidR="003377A6" w:rsidRPr="00550B6E">
        <w:rPr>
          <w:rFonts w:ascii="Times New Roman" w:hAnsi="Times New Roman" w:cs="Times New Roman"/>
          <w:sz w:val="24"/>
          <w:szCs w:val="24"/>
        </w:rPr>
        <w:t>&amp; Sharma</w:t>
      </w:r>
      <w:r w:rsidR="0046180B" w:rsidRPr="00550B6E">
        <w:rPr>
          <w:rFonts w:ascii="Times New Roman" w:hAnsi="Times New Roman" w:cs="Times New Roman"/>
          <w:sz w:val="24"/>
          <w:szCs w:val="24"/>
        </w:rPr>
        <w:t>.,</w:t>
      </w:r>
      <w:r w:rsidR="003377A6" w:rsidRPr="00550B6E">
        <w:rPr>
          <w:rFonts w:ascii="Times New Roman" w:hAnsi="Times New Roman" w:cs="Times New Roman"/>
          <w:sz w:val="24"/>
          <w:szCs w:val="24"/>
        </w:rPr>
        <w:t xml:space="preserve"> 202</w:t>
      </w:r>
      <w:r w:rsidR="001233FC" w:rsidRPr="00550B6E">
        <w:rPr>
          <w:rFonts w:ascii="Times New Roman" w:hAnsi="Times New Roman" w:cs="Times New Roman"/>
          <w:sz w:val="24"/>
          <w:szCs w:val="24"/>
        </w:rPr>
        <w:t>4</w:t>
      </w:r>
      <w:r w:rsidR="003E2AFC" w:rsidRPr="00550B6E">
        <w:rPr>
          <w:rFonts w:ascii="Times New Roman" w:hAnsi="Times New Roman" w:cs="Times New Roman"/>
          <w:sz w:val="24"/>
          <w:szCs w:val="24"/>
        </w:rPr>
        <w:t>)</w:t>
      </w:r>
      <w:r w:rsidR="003377A6" w:rsidRPr="00550B6E">
        <w:rPr>
          <w:rFonts w:ascii="Times New Roman" w:hAnsi="Times New Roman" w:cs="Times New Roman"/>
          <w:sz w:val="24"/>
          <w:szCs w:val="24"/>
        </w:rPr>
        <w:t>.</w:t>
      </w:r>
      <w:r w:rsidRPr="00550B6E">
        <w:rPr>
          <w:rFonts w:ascii="Times New Roman" w:hAnsi="Times New Roman" w:cs="Times New Roman"/>
          <w:sz w:val="24"/>
          <w:szCs w:val="24"/>
        </w:rPr>
        <w:t xml:space="preserve"> </w:t>
      </w:r>
    </w:p>
    <w:p w14:paraId="3A82C28F" w14:textId="64468DAC" w:rsidR="00115AD6" w:rsidRPr="00850ECF" w:rsidRDefault="00115AD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 xml:space="preserve"> </w:t>
      </w:r>
      <w:r w:rsidR="00D4256A" w:rsidRPr="00850ECF">
        <w:rPr>
          <w:rFonts w:ascii="Times New Roman" w:hAnsi="Times New Roman" w:cs="Times New Roman"/>
          <w:sz w:val="24"/>
          <w:szCs w:val="24"/>
        </w:rPr>
        <w:t xml:space="preserve">Exponential trend equation: </w:t>
      </w:r>
      <w:r w:rsidR="00D4256A" w:rsidRPr="00850ECF">
        <w:rPr>
          <w:rFonts w:ascii="Cambria Math" w:hAnsi="Cambria Math" w:cs="Cambria Math"/>
          <w:sz w:val="24"/>
          <w:szCs w:val="24"/>
        </w:rPr>
        <w:t>𝑌</w:t>
      </w:r>
      <w:r w:rsidRPr="00850ECF">
        <w:rPr>
          <w:rFonts w:ascii="Times New Roman" w:hAnsi="Times New Roman" w:cs="Times New Roman"/>
          <w:sz w:val="24"/>
          <w:szCs w:val="24"/>
        </w:rPr>
        <w:t xml:space="preserve"> =</w:t>
      </w:r>
      <w:r w:rsidRPr="00850ECF">
        <w:rPr>
          <w:rFonts w:ascii="Cambria Math" w:hAnsi="Cambria Math" w:cs="Cambria Math"/>
          <w:sz w:val="24"/>
          <w:szCs w:val="24"/>
        </w:rPr>
        <w:t>𝑎</w:t>
      </w:r>
      <w:proofErr w:type="spellStart"/>
      <w:r w:rsidR="00D4256A" w:rsidRPr="00850ECF">
        <w:rPr>
          <w:rFonts w:ascii="Times New Roman" w:hAnsi="Times New Roman" w:cs="Times New Roman"/>
          <w:sz w:val="24"/>
          <w:szCs w:val="24"/>
        </w:rPr>
        <w:t>b</w:t>
      </w:r>
      <w:r w:rsidR="00D4256A" w:rsidRPr="00850ECF">
        <w:rPr>
          <w:rFonts w:ascii="Times New Roman" w:hAnsi="Times New Roman" w:cs="Times New Roman"/>
          <w:sz w:val="24"/>
          <w:szCs w:val="24"/>
          <w:vertAlign w:val="superscript"/>
        </w:rPr>
        <w:t>t</w:t>
      </w:r>
      <w:r w:rsidRPr="00850ECF">
        <w:rPr>
          <w:rFonts w:ascii="Times New Roman" w:hAnsi="Times New Roman" w:cs="Times New Roman"/>
          <w:sz w:val="24"/>
          <w:szCs w:val="24"/>
        </w:rPr>
        <w:t>.</w:t>
      </w:r>
      <w:proofErr w:type="spellEnd"/>
      <w:r w:rsidRPr="00850ECF">
        <w:rPr>
          <w:rFonts w:ascii="Times New Roman" w:hAnsi="Times New Roman" w:cs="Times New Roman"/>
          <w:sz w:val="24"/>
          <w:szCs w:val="24"/>
        </w:rPr>
        <w:t xml:space="preserve"> </w:t>
      </w:r>
    </w:p>
    <w:p w14:paraId="44DF3620" w14:textId="77777777" w:rsidR="00115AD6" w:rsidRPr="00850ECF" w:rsidRDefault="00115AD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It was converted into log linear function with the help of log arithmetic transformation as under:</w:t>
      </w:r>
    </w:p>
    <w:p w14:paraId="3575D14D" w14:textId="448CC2DF" w:rsidR="00115AD6" w:rsidRPr="00850ECF" w:rsidRDefault="00115AD6" w:rsidP="00850ECF">
      <w:pPr>
        <w:spacing w:line="480" w:lineRule="auto"/>
        <w:jc w:val="center"/>
        <w:rPr>
          <w:rFonts w:ascii="Times New Roman" w:hAnsi="Times New Roman" w:cs="Times New Roman"/>
          <w:sz w:val="24"/>
          <w:szCs w:val="24"/>
        </w:rPr>
      </w:pPr>
      <w:proofErr w:type="spellStart"/>
      <w:r w:rsidRPr="00850ECF">
        <w:rPr>
          <w:rFonts w:ascii="Times New Roman" w:hAnsi="Times New Roman" w:cs="Times New Roman"/>
          <w:sz w:val="24"/>
          <w:szCs w:val="24"/>
        </w:rPr>
        <w:t>LnY</w:t>
      </w:r>
      <w:proofErr w:type="spellEnd"/>
      <w:r w:rsidRPr="00850ECF">
        <w:rPr>
          <w:rFonts w:ascii="Times New Roman" w:hAnsi="Times New Roman" w:cs="Times New Roman"/>
          <w:sz w:val="24"/>
          <w:szCs w:val="24"/>
        </w:rPr>
        <w:t>= Ln a</w:t>
      </w:r>
      <w:r w:rsidR="00C878BA" w:rsidRPr="00850ECF">
        <w:rPr>
          <w:rFonts w:ascii="Times New Roman" w:hAnsi="Times New Roman" w:cs="Times New Roman"/>
          <w:sz w:val="24"/>
          <w:szCs w:val="24"/>
        </w:rPr>
        <w:t xml:space="preserve"> </w:t>
      </w:r>
      <w:r w:rsidRPr="00850ECF">
        <w:rPr>
          <w:rFonts w:ascii="Times New Roman" w:hAnsi="Times New Roman" w:cs="Times New Roman"/>
          <w:sz w:val="24"/>
          <w:szCs w:val="24"/>
        </w:rPr>
        <w:t>+t b.</w:t>
      </w:r>
    </w:p>
    <w:p w14:paraId="4F107077" w14:textId="523F12E7" w:rsidR="005C2079" w:rsidRPr="00850ECF" w:rsidRDefault="00115AD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Where,</w:t>
      </w:r>
      <w:r w:rsidR="00C878BA" w:rsidRPr="00850ECF">
        <w:rPr>
          <w:rFonts w:ascii="Times New Roman" w:hAnsi="Times New Roman" w:cs="Times New Roman"/>
          <w:sz w:val="24"/>
          <w:szCs w:val="24"/>
        </w:rPr>
        <w:t xml:space="preserve"> </w:t>
      </w:r>
    </w:p>
    <w:p w14:paraId="761D8682" w14:textId="4272F680" w:rsidR="00115AD6" w:rsidRPr="00850ECF" w:rsidRDefault="00115AD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 xml:space="preserve"> Y = Dependent variable (area, production and </w:t>
      </w:r>
      <w:r w:rsidR="00122BD0">
        <w:rPr>
          <w:rFonts w:ascii="Times New Roman" w:hAnsi="Times New Roman" w:cs="Times New Roman"/>
          <w:sz w:val="24"/>
          <w:szCs w:val="24"/>
        </w:rPr>
        <w:t>yield</w:t>
      </w:r>
      <w:r w:rsidRPr="00850ECF">
        <w:rPr>
          <w:rFonts w:ascii="Times New Roman" w:hAnsi="Times New Roman" w:cs="Times New Roman"/>
          <w:sz w:val="24"/>
          <w:szCs w:val="24"/>
        </w:rPr>
        <w:t xml:space="preserve"> </w:t>
      </w:r>
      <w:r w:rsidRPr="00850ECF">
        <w:rPr>
          <w:rFonts w:ascii="Times New Roman" w:hAnsi="Times New Roman" w:cs="Times New Roman"/>
          <w:i/>
          <w:iCs/>
          <w:sz w:val="24"/>
          <w:szCs w:val="24"/>
        </w:rPr>
        <w:t>etc</w:t>
      </w:r>
      <w:r w:rsidRPr="00850ECF">
        <w:rPr>
          <w:rFonts w:ascii="Times New Roman" w:hAnsi="Times New Roman" w:cs="Times New Roman"/>
          <w:sz w:val="24"/>
          <w:szCs w:val="24"/>
        </w:rPr>
        <w:t>.)</w:t>
      </w:r>
    </w:p>
    <w:p w14:paraId="37DC5075" w14:textId="77777777" w:rsidR="003377A6" w:rsidRPr="00850ECF" w:rsidRDefault="00115AD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 xml:space="preserve"> </w:t>
      </w:r>
      <w:r w:rsidR="003377A6" w:rsidRPr="00850ECF">
        <w:rPr>
          <w:rFonts w:ascii="Times New Roman" w:hAnsi="Times New Roman" w:cs="Times New Roman"/>
          <w:sz w:val="24"/>
          <w:szCs w:val="24"/>
        </w:rPr>
        <w:t>a = Intercept</w:t>
      </w:r>
    </w:p>
    <w:p w14:paraId="29787A20" w14:textId="77777777" w:rsidR="003377A6" w:rsidRPr="00850ECF" w:rsidRDefault="003377A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 xml:space="preserve"> b = regression coefficient / (1 + r)</w:t>
      </w:r>
    </w:p>
    <w:p w14:paraId="16CC209D" w14:textId="77777777" w:rsidR="003377A6" w:rsidRPr="00850ECF" w:rsidRDefault="003377A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 xml:space="preserve"> t = Year </w:t>
      </w:r>
    </w:p>
    <w:p w14:paraId="47D89A48" w14:textId="0DF1F837" w:rsidR="00115AD6" w:rsidRPr="00850ECF" w:rsidRDefault="003377A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r = Compound growth rate / (Antilog b) -1</w:t>
      </w:r>
    </w:p>
    <w:p w14:paraId="57246DBA" w14:textId="77777777" w:rsidR="003377A6" w:rsidRPr="00850ECF" w:rsidRDefault="003377A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The percent compound growth rate (r) will be as,</w:t>
      </w:r>
    </w:p>
    <w:p w14:paraId="7D2DC3DB" w14:textId="52E6F8FB" w:rsidR="003377A6" w:rsidRPr="00850ECF" w:rsidRDefault="003377A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r = [(Anti log of b) – 1] x 100</w:t>
      </w:r>
    </w:p>
    <w:p w14:paraId="7CF93DBE" w14:textId="53031F29" w:rsidR="005C2079" w:rsidRPr="00850ECF" w:rsidRDefault="00C37F8F" w:rsidP="00850ECF">
      <w:pPr>
        <w:spacing w:line="480" w:lineRule="auto"/>
        <w:jc w:val="both"/>
        <w:rPr>
          <w:rFonts w:ascii="Times New Roman" w:hAnsi="Times New Roman" w:cs="Times New Roman"/>
          <w:sz w:val="24"/>
          <w:szCs w:val="24"/>
        </w:rPr>
      </w:pPr>
      <w:r w:rsidRPr="00850ECF">
        <w:rPr>
          <w:rFonts w:ascii="Times New Roman" w:hAnsi="Times New Roman" w:cs="Times New Roman"/>
          <w:b/>
          <w:bCs/>
          <w:sz w:val="24"/>
          <w:szCs w:val="24"/>
        </w:rPr>
        <w:lastRenderedPageBreak/>
        <w:t xml:space="preserve">2.3. </w:t>
      </w:r>
      <w:r w:rsidR="00115AD6" w:rsidRPr="00850ECF">
        <w:rPr>
          <w:rFonts w:ascii="Times New Roman" w:hAnsi="Times New Roman" w:cs="Times New Roman"/>
          <w:b/>
          <w:bCs/>
          <w:sz w:val="24"/>
          <w:szCs w:val="24"/>
        </w:rPr>
        <w:t>Cuddy and Della Instability Index</w:t>
      </w:r>
      <w:r w:rsidR="00115AD6" w:rsidRPr="00850ECF">
        <w:rPr>
          <w:rFonts w:ascii="Times New Roman" w:hAnsi="Times New Roman" w:cs="Times New Roman"/>
          <w:sz w:val="24"/>
          <w:szCs w:val="24"/>
        </w:rPr>
        <w:t xml:space="preserve"> </w:t>
      </w:r>
    </w:p>
    <w:p w14:paraId="3A643F20" w14:textId="77777777" w:rsidR="00CE2A1B" w:rsidRDefault="00CE2A1B" w:rsidP="006E0BA3">
      <w:pPr>
        <w:spacing w:line="480" w:lineRule="auto"/>
        <w:ind w:firstLine="720"/>
        <w:jc w:val="both"/>
        <w:rPr>
          <w:rFonts w:ascii="Times New Roman" w:hAnsi="Times New Roman" w:cs="Times New Roman"/>
          <w:sz w:val="24"/>
          <w:szCs w:val="24"/>
        </w:rPr>
      </w:pPr>
      <w:r w:rsidRPr="00CE2A1B">
        <w:rPr>
          <w:rFonts w:ascii="Times New Roman" w:hAnsi="Times New Roman" w:cs="Times New Roman"/>
          <w:sz w:val="24"/>
          <w:szCs w:val="24"/>
        </w:rPr>
        <w:t xml:space="preserve">To assess the extent of instability in crop area, production, and yield, the Cuddy-Della Valle Instability </w:t>
      </w:r>
      <w:r w:rsidRPr="00550B6E">
        <w:rPr>
          <w:rFonts w:ascii="Times New Roman" w:hAnsi="Times New Roman" w:cs="Times New Roman"/>
          <w:sz w:val="24"/>
          <w:szCs w:val="24"/>
        </w:rPr>
        <w:t>Index (Cuddy and Della Valle, 1978)</w:t>
      </w:r>
      <w:r w:rsidRPr="00CE2A1B">
        <w:rPr>
          <w:rFonts w:ascii="Times New Roman" w:hAnsi="Times New Roman" w:cs="Times New Roman"/>
          <w:sz w:val="24"/>
          <w:szCs w:val="24"/>
        </w:rPr>
        <w:t xml:space="preserve"> was used as a measure of variability. The formula suggested by Cuddy and Della Valle (1978) is applied to calculate the degree of variation around the trend as follows:</w:t>
      </w:r>
    </w:p>
    <w:p w14:paraId="036D7BE8" w14:textId="4E70045D" w:rsidR="00115AD6" w:rsidRPr="00850ECF" w:rsidRDefault="00115AD6" w:rsidP="00CE2A1B">
      <w:pPr>
        <w:spacing w:line="480" w:lineRule="auto"/>
        <w:jc w:val="center"/>
        <w:rPr>
          <w:rFonts w:ascii="Times New Roman" w:hAnsi="Times New Roman" w:cs="Times New Roman"/>
          <w:sz w:val="24"/>
          <w:szCs w:val="24"/>
        </w:rPr>
      </w:pPr>
      <w:r w:rsidRPr="00850ECF">
        <w:rPr>
          <w:rFonts w:ascii="Times New Roman" w:hAnsi="Times New Roman" w:cs="Times New Roman"/>
          <w:sz w:val="24"/>
          <w:szCs w:val="24"/>
        </w:rPr>
        <w:t xml:space="preserve">Cuddy Della Valle Instability </w:t>
      </w:r>
      <w:r w:rsidR="003E2AFC" w:rsidRPr="00850ECF">
        <w:rPr>
          <w:rFonts w:ascii="Times New Roman" w:hAnsi="Times New Roman" w:cs="Times New Roman"/>
          <w:sz w:val="24"/>
          <w:szCs w:val="24"/>
        </w:rPr>
        <w:t>Index (</w:t>
      </w:r>
      <w:r w:rsidR="0046180B" w:rsidRPr="00850ECF">
        <w:rPr>
          <w:rFonts w:ascii="Times New Roman" w:hAnsi="Times New Roman" w:cs="Times New Roman"/>
          <w:sz w:val="24"/>
          <w:szCs w:val="24"/>
        </w:rPr>
        <w:t>CDVI)</w:t>
      </w:r>
      <w:r w:rsidRPr="00850ECF">
        <w:rPr>
          <w:rFonts w:ascii="Times New Roman" w:hAnsi="Times New Roman" w:cs="Times New Roman"/>
          <w:sz w:val="24"/>
          <w:szCs w:val="24"/>
        </w:rPr>
        <w:t xml:space="preserve"> =CV × </w:t>
      </w:r>
      <w:r w:rsidRPr="00850ECF">
        <w:rPr>
          <w:rFonts w:ascii="Times New Roman" w:hAnsi="Times New Roman" w:cs="Times New Roman"/>
          <w:sz w:val="24"/>
          <w:szCs w:val="24"/>
        </w:rPr>
        <w:sym w:font="Symbol" w:char="F0D6"/>
      </w:r>
      <w:r w:rsidRPr="00850ECF">
        <w:rPr>
          <w:rFonts w:ascii="Times New Roman" w:hAnsi="Times New Roman" w:cs="Times New Roman"/>
          <w:sz w:val="24"/>
          <w:szCs w:val="24"/>
        </w:rPr>
        <w:t>1- R</w:t>
      </w:r>
      <w:r w:rsidRPr="00850ECF">
        <w:rPr>
          <w:rFonts w:ascii="Times New Roman" w:hAnsi="Times New Roman" w:cs="Times New Roman"/>
          <w:sz w:val="24"/>
          <w:szCs w:val="24"/>
          <w:vertAlign w:val="superscript"/>
        </w:rPr>
        <w:t>2</w:t>
      </w:r>
    </w:p>
    <w:p w14:paraId="48299633" w14:textId="77777777" w:rsidR="00CE2A1B" w:rsidRDefault="00115AD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 xml:space="preserve">Where, </w:t>
      </w:r>
    </w:p>
    <w:p w14:paraId="76D8D66B" w14:textId="77A6C6B2" w:rsidR="00CE2A1B" w:rsidRDefault="00CE2A1B"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CV = Co-efficient of variation</w:t>
      </w:r>
    </w:p>
    <w:p w14:paraId="7A0529A8" w14:textId="6B6CCE0C" w:rsidR="00115AD6" w:rsidRPr="00850ECF" w:rsidRDefault="00115AD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R</w:t>
      </w:r>
      <w:r w:rsidRPr="00850ECF">
        <w:rPr>
          <w:rFonts w:ascii="Times New Roman" w:hAnsi="Times New Roman" w:cs="Times New Roman"/>
          <w:sz w:val="24"/>
          <w:szCs w:val="24"/>
          <w:vertAlign w:val="superscript"/>
        </w:rPr>
        <w:t>2</w:t>
      </w:r>
      <w:r w:rsidRPr="00850ECF">
        <w:rPr>
          <w:rFonts w:ascii="Times New Roman" w:hAnsi="Times New Roman" w:cs="Times New Roman"/>
          <w:sz w:val="24"/>
          <w:szCs w:val="24"/>
        </w:rPr>
        <w:t>= Coefficient of determination from a time-trend regression adjusted by the number of degrees of freedom.</w:t>
      </w:r>
    </w:p>
    <w:p w14:paraId="4C2F405E" w14:textId="3C3422DF" w:rsidR="00B662A1" w:rsidRPr="00850ECF" w:rsidRDefault="00C37F8F" w:rsidP="00850ECF">
      <w:pPr>
        <w:spacing w:line="480" w:lineRule="auto"/>
        <w:jc w:val="both"/>
        <w:rPr>
          <w:rFonts w:ascii="Times New Roman" w:hAnsi="Times New Roman" w:cs="Times New Roman"/>
          <w:sz w:val="24"/>
          <w:szCs w:val="24"/>
        </w:rPr>
      </w:pPr>
      <w:r w:rsidRPr="00850ECF">
        <w:rPr>
          <w:rFonts w:ascii="Times New Roman" w:hAnsi="Times New Roman" w:cs="Times New Roman"/>
          <w:b/>
          <w:bCs/>
          <w:sz w:val="24"/>
          <w:szCs w:val="24"/>
        </w:rPr>
        <w:t xml:space="preserve">2.4. </w:t>
      </w:r>
      <w:r w:rsidR="00B662A1" w:rsidRPr="00850ECF">
        <w:rPr>
          <w:rFonts w:ascii="Times New Roman" w:hAnsi="Times New Roman" w:cs="Times New Roman"/>
          <w:b/>
          <w:bCs/>
          <w:sz w:val="24"/>
          <w:szCs w:val="24"/>
        </w:rPr>
        <w:t>Decomposition Analysis</w:t>
      </w:r>
      <w:r w:rsidR="00B662A1" w:rsidRPr="00850ECF">
        <w:rPr>
          <w:rFonts w:ascii="Times New Roman" w:hAnsi="Times New Roman" w:cs="Times New Roman"/>
          <w:sz w:val="24"/>
          <w:szCs w:val="24"/>
        </w:rPr>
        <w:t xml:space="preserve"> </w:t>
      </w:r>
    </w:p>
    <w:p w14:paraId="67E881E8" w14:textId="4C265656" w:rsidR="00B662A1" w:rsidRPr="00850ECF" w:rsidRDefault="00B0797B" w:rsidP="00850ECF">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 xml:space="preserve">The initial structured method of breaking down the growth trend was introduced by </w:t>
      </w:r>
      <w:r w:rsidRPr="005829C3">
        <w:rPr>
          <w:rFonts w:ascii="Times New Roman" w:hAnsi="Times New Roman" w:cs="Times New Roman"/>
          <w:sz w:val="24"/>
          <w:szCs w:val="24"/>
        </w:rPr>
        <w:t>Minhas and Vaidyanathan (1965).</w:t>
      </w:r>
      <w:r w:rsidR="003E2AFC" w:rsidRPr="005829C3">
        <w:rPr>
          <w:rFonts w:ascii="Times New Roman" w:hAnsi="Times New Roman" w:cs="Times New Roman"/>
          <w:sz w:val="24"/>
          <w:szCs w:val="24"/>
        </w:rPr>
        <w:t xml:space="preserve"> </w:t>
      </w:r>
      <w:r w:rsidR="00B662A1" w:rsidRPr="005829C3">
        <w:rPr>
          <w:rFonts w:ascii="Times New Roman" w:hAnsi="Times New Roman" w:cs="Times New Roman"/>
          <w:sz w:val="24"/>
          <w:szCs w:val="24"/>
        </w:rPr>
        <w:t>The decomposition of the growth of</w:t>
      </w:r>
      <w:r w:rsidR="005D5D10" w:rsidRPr="005829C3">
        <w:rPr>
          <w:rFonts w:ascii="Times New Roman" w:hAnsi="Times New Roman" w:cs="Times New Roman"/>
          <w:sz w:val="24"/>
          <w:szCs w:val="24"/>
        </w:rPr>
        <w:t xml:space="preserve"> </w:t>
      </w:r>
      <w:proofErr w:type="spellStart"/>
      <w:r w:rsidR="00122BD0" w:rsidRPr="005829C3">
        <w:rPr>
          <w:rFonts w:ascii="Times New Roman" w:hAnsi="Times New Roman" w:cs="Times New Roman"/>
          <w:sz w:val="24"/>
          <w:szCs w:val="24"/>
        </w:rPr>
        <w:t>chilli</w:t>
      </w:r>
      <w:proofErr w:type="spellEnd"/>
      <w:r w:rsidR="005D5D10" w:rsidRPr="005829C3">
        <w:rPr>
          <w:rFonts w:ascii="Times New Roman" w:hAnsi="Times New Roman" w:cs="Times New Roman"/>
          <w:sz w:val="24"/>
          <w:szCs w:val="24"/>
        </w:rPr>
        <w:t xml:space="preserve"> </w:t>
      </w:r>
      <w:r w:rsidR="00B662A1" w:rsidRPr="005829C3">
        <w:rPr>
          <w:rFonts w:ascii="Times New Roman" w:hAnsi="Times New Roman" w:cs="Times New Roman"/>
          <w:sz w:val="24"/>
          <w:szCs w:val="24"/>
        </w:rPr>
        <w:t xml:space="preserve">crop has been investigated to measure the relative contribution of area, yield and their combined effect to the total output change for the crops under consideration. </w:t>
      </w:r>
      <w:r w:rsidR="001233FC" w:rsidRPr="001233FC">
        <w:rPr>
          <w:rFonts w:ascii="Times New Roman" w:hAnsi="Times New Roman" w:cs="Times New Roman"/>
          <w:sz w:val="24"/>
          <w:szCs w:val="24"/>
        </w:rPr>
        <w:t xml:space="preserve">Several scholars (Rehman and Salam, 2011; Sharma et al., 2017; </w:t>
      </w:r>
      <w:proofErr w:type="spellStart"/>
      <w:r w:rsidR="001233FC" w:rsidRPr="001233FC">
        <w:rPr>
          <w:rFonts w:ascii="Times New Roman" w:hAnsi="Times New Roman" w:cs="Times New Roman"/>
          <w:sz w:val="24"/>
          <w:szCs w:val="24"/>
        </w:rPr>
        <w:t>Devegowda</w:t>
      </w:r>
      <w:proofErr w:type="spellEnd"/>
      <w:r w:rsidR="001233FC" w:rsidRPr="001233FC">
        <w:rPr>
          <w:rFonts w:ascii="Times New Roman" w:hAnsi="Times New Roman" w:cs="Times New Roman"/>
          <w:sz w:val="24"/>
          <w:szCs w:val="24"/>
        </w:rPr>
        <w:t xml:space="preserve"> et al., 2019) have adapted and modified this model, presenting it </w:t>
      </w:r>
      <w:r w:rsidR="001233FC">
        <w:rPr>
          <w:rFonts w:ascii="Times New Roman" w:hAnsi="Times New Roman" w:cs="Times New Roman"/>
          <w:sz w:val="24"/>
          <w:szCs w:val="24"/>
        </w:rPr>
        <w:t>as</w:t>
      </w:r>
      <w:r w:rsidR="00B662A1" w:rsidRPr="00850ECF">
        <w:rPr>
          <w:rFonts w:ascii="Times New Roman" w:hAnsi="Times New Roman" w:cs="Times New Roman"/>
          <w:sz w:val="24"/>
          <w:szCs w:val="24"/>
        </w:rPr>
        <w:t xml:space="preserve"> follows:</w:t>
      </w:r>
    </w:p>
    <w:p w14:paraId="1251B96A" w14:textId="34D6363B" w:rsidR="00B662A1" w:rsidRPr="00850ECF" w:rsidRDefault="003E2AFC" w:rsidP="00850ECF">
      <w:pPr>
        <w:spacing w:line="480" w:lineRule="auto"/>
        <w:jc w:val="both"/>
        <w:rPr>
          <w:rFonts w:ascii="Times New Roman" w:hAnsi="Times New Roman" w:cs="Times New Roman"/>
          <w:sz w:val="24"/>
          <w:szCs w:val="24"/>
        </w:rPr>
      </w:pPr>
      <m:oMath>
        <m:r>
          <w:rPr>
            <w:rFonts w:ascii="Cambria Math" w:hAnsi="Cambria Math" w:cs="Times New Roman"/>
            <w:sz w:val="24"/>
            <w:szCs w:val="24"/>
          </w:rPr>
          <m:t xml:space="preserve">                                                        ∆P</m:t>
        </m:r>
      </m:oMath>
      <w:r w:rsidR="00B662A1" w:rsidRPr="00850ECF">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∆Y</m:t>
            </m:r>
          </m:num>
          <m:den>
            <m:r>
              <w:rPr>
                <w:rFonts w:ascii="Cambria Math" w:hAnsi="Cambria Math" w:cs="Times New Roman"/>
                <w:sz w:val="24"/>
                <w:szCs w:val="24"/>
              </w:rPr>
              <m:t>∆P</m:t>
            </m:r>
          </m:den>
        </m:f>
        <m:r>
          <m:rPr>
            <m:sty m:val="p"/>
          </m:rPr>
          <w:rPr>
            <w:rFonts w:ascii="Cambria Math" w:hAnsi="Cambria Math" w:cs="Times New Roman"/>
            <w:sz w:val="24"/>
            <w:szCs w:val="24"/>
          </w:rPr>
          <m:t>×100</m:t>
        </m:r>
      </m:oMath>
      <w:r w:rsidR="00B662A1" w:rsidRPr="00850ECF">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0</m:t>
                </m:r>
              </m:sub>
            </m:sSub>
            <m:r>
              <w:rPr>
                <w:rFonts w:ascii="Cambria Math" w:hAnsi="Cambria Math" w:cs="Times New Roman"/>
                <w:sz w:val="24"/>
                <w:szCs w:val="24"/>
              </w:rPr>
              <m:t>∆A</m:t>
            </m:r>
          </m:num>
          <m:den>
            <m:r>
              <w:rPr>
                <w:rFonts w:ascii="Cambria Math" w:hAnsi="Cambria Math" w:cs="Times New Roman"/>
                <w:sz w:val="24"/>
                <w:szCs w:val="24"/>
              </w:rPr>
              <m:t>∆P</m:t>
            </m:r>
          </m:den>
        </m:f>
      </m:oMath>
      <w:r w:rsidR="00B662A1" w:rsidRPr="00850ECF">
        <w:rPr>
          <w:rFonts w:ascii="Times New Roman" w:hAnsi="Times New Roman" w:cs="Times New Roman"/>
          <w:sz w:val="24"/>
          <w:szCs w:val="24"/>
        </w:rPr>
        <w:t xml:space="preserve"> ×100+</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0</m:t>
                </m:r>
              </m:sub>
            </m:sSub>
          </m:num>
          <m:den>
            <m:r>
              <w:rPr>
                <w:rFonts w:ascii="Cambria Math" w:hAnsi="Cambria Math" w:cs="Times New Roman"/>
                <w:sz w:val="24"/>
                <w:szCs w:val="24"/>
              </w:rPr>
              <m:t>∆P</m:t>
            </m:r>
          </m:den>
        </m:f>
      </m:oMath>
      <w:r w:rsidR="00B662A1" w:rsidRPr="00850ECF">
        <w:rPr>
          <w:rFonts w:ascii="Times New Roman" w:hAnsi="Times New Roman" w:cs="Times New Roman"/>
          <w:sz w:val="24"/>
          <w:szCs w:val="24"/>
        </w:rPr>
        <w:t xml:space="preserve"> ×100 </w:t>
      </w:r>
    </w:p>
    <w:p w14:paraId="4B1E17EC" w14:textId="4F675388" w:rsidR="003377A6" w:rsidRPr="00850ECF" w:rsidRDefault="003377A6" w:rsidP="00850ECF">
      <w:pPr>
        <w:spacing w:line="480" w:lineRule="auto"/>
        <w:jc w:val="center"/>
        <w:rPr>
          <w:rFonts w:ascii="Times New Roman" w:hAnsi="Times New Roman" w:cs="Times New Roman"/>
          <w:sz w:val="24"/>
          <w:szCs w:val="24"/>
        </w:rPr>
      </w:pPr>
      <w:r w:rsidRPr="00850ECF">
        <w:rPr>
          <w:rFonts w:ascii="Times New Roman" w:hAnsi="Times New Roman" w:cs="Times New Roman"/>
          <w:sz w:val="24"/>
          <w:szCs w:val="24"/>
        </w:rPr>
        <w:t xml:space="preserve">Change in </w:t>
      </w:r>
      <w:r w:rsidR="00B662A1" w:rsidRPr="00850ECF">
        <w:rPr>
          <w:rFonts w:ascii="Times New Roman" w:hAnsi="Times New Roman" w:cs="Times New Roman"/>
          <w:sz w:val="24"/>
          <w:szCs w:val="24"/>
        </w:rPr>
        <w:t>Production =</w:t>
      </w:r>
      <w:r w:rsidR="003E2AFC" w:rsidRPr="00850ECF">
        <w:rPr>
          <w:rFonts w:ascii="Times New Roman" w:hAnsi="Times New Roman" w:cs="Times New Roman"/>
          <w:sz w:val="24"/>
          <w:szCs w:val="24"/>
        </w:rPr>
        <w:t xml:space="preserve"> </w:t>
      </w:r>
      <w:r w:rsidR="00122BD0">
        <w:rPr>
          <w:rFonts w:ascii="Times New Roman" w:hAnsi="Times New Roman" w:cs="Times New Roman"/>
          <w:sz w:val="24"/>
          <w:szCs w:val="24"/>
        </w:rPr>
        <w:t>Yield</w:t>
      </w:r>
      <w:r w:rsidR="003E2AFC" w:rsidRPr="00850ECF">
        <w:rPr>
          <w:rFonts w:ascii="Times New Roman" w:hAnsi="Times New Roman" w:cs="Times New Roman"/>
          <w:sz w:val="24"/>
          <w:szCs w:val="24"/>
        </w:rPr>
        <w:t xml:space="preserve"> Effect</w:t>
      </w:r>
      <w:r w:rsidR="00B662A1" w:rsidRPr="00850ECF">
        <w:rPr>
          <w:rFonts w:ascii="Times New Roman" w:hAnsi="Times New Roman" w:cs="Times New Roman"/>
          <w:sz w:val="24"/>
          <w:szCs w:val="24"/>
        </w:rPr>
        <w:t xml:space="preserve"> + </w:t>
      </w:r>
      <w:r w:rsidR="00D14473" w:rsidRPr="00850ECF">
        <w:rPr>
          <w:rFonts w:ascii="Times New Roman" w:hAnsi="Times New Roman" w:cs="Times New Roman"/>
          <w:sz w:val="24"/>
          <w:szCs w:val="24"/>
        </w:rPr>
        <w:t>Area Effect</w:t>
      </w:r>
      <w:r w:rsidR="00B662A1" w:rsidRPr="00850ECF">
        <w:rPr>
          <w:rFonts w:ascii="Times New Roman" w:hAnsi="Times New Roman" w:cs="Times New Roman"/>
          <w:sz w:val="24"/>
          <w:szCs w:val="24"/>
        </w:rPr>
        <w:t xml:space="preserve"> + Interaction Effect</w:t>
      </w:r>
    </w:p>
    <w:p w14:paraId="010F7BB1" w14:textId="77777777" w:rsidR="003377A6" w:rsidRPr="00850ECF" w:rsidRDefault="00B662A1" w:rsidP="006E0BA3">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Where, ∆A = A</w:t>
      </w:r>
      <w:r w:rsidRPr="00850ECF">
        <w:rPr>
          <w:rFonts w:ascii="Times New Roman" w:hAnsi="Times New Roman" w:cs="Times New Roman"/>
          <w:sz w:val="24"/>
          <w:szCs w:val="24"/>
          <w:vertAlign w:val="subscript"/>
        </w:rPr>
        <w:t>n</w:t>
      </w:r>
      <w:r w:rsidRPr="00850ECF">
        <w:rPr>
          <w:rFonts w:ascii="Times New Roman" w:hAnsi="Times New Roman" w:cs="Times New Roman"/>
          <w:sz w:val="24"/>
          <w:szCs w:val="24"/>
        </w:rPr>
        <w:t xml:space="preserve"> - A</w:t>
      </w:r>
      <w:r w:rsidRPr="00850ECF">
        <w:rPr>
          <w:rFonts w:ascii="Times New Roman" w:hAnsi="Times New Roman" w:cs="Times New Roman"/>
          <w:sz w:val="24"/>
          <w:szCs w:val="24"/>
          <w:vertAlign w:val="subscript"/>
        </w:rPr>
        <w:t>o</w:t>
      </w:r>
      <w:r w:rsidRPr="00850ECF">
        <w:rPr>
          <w:rFonts w:ascii="Times New Roman" w:hAnsi="Times New Roman" w:cs="Times New Roman"/>
          <w:sz w:val="24"/>
          <w:szCs w:val="24"/>
        </w:rPr>
        <w:t xml:space="preserve"> </w:t>
      </w:r>
    </w:p>
    <w:p w14:paraId="50028C8E" w14:textId="652C82A5" w:rsidR="003377A6" w:rsidRPr="00850ECF" w:rsidRDefault="003377A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 xml:space="preserve">             </w:t>
      </w:r>
      <w:r w:rsidR="00B662A1" w:rsidRPr="00850ECF">
        <w:rPr>
          <w:rFonts w:ascii="Times New Roman" w:hAnsi="Times New Roman" w:cs="Times New Roman"/>
          <w:sz w:val="24"/>
          <w:szCs w:val="24"/>
        </w:rPr>
        <w:t>∆</w:t>
      </w:r>
      <w:r w:rsidR="00B662A1" w:rsidRPr="00850ECF">
        <w:rPr>
          <w:rFonts w:ascii="Cambria Math" w:hAnsi="Cambria Math" w:cs="Cambria Math"/>
          <w:sz w:val="24"/>
          <w:szCs w:val="24"/>
        </w:rPr>
        <w:t>𝑃</w:t>
      </w:r>
      <w:r w:rsidR="00B662A1" w:rsidRPr="00850ECF">
        <w:rPr>
          <w:rFonts w:ascii="Times New Roman" w:hAnsi="Times New Roman" w:cs="Times New Roman"/>
          <w:sz w:val="24"/>
          <w:szCs w:val="24"/>
        </w:rPr>
        <w:t xml:space="preserve"> = </w:t>
      </w:r>
      <w:proofErr w:type="spellStart"/>
      <w:r w:rsidR="00B662A1" w:rsidRPr="00850ECF">
        <w:rPr>
          <w:rFonts w:ascii="Times New Roman" w:hAnsi="Times New Roman" w:cs="Times New Roman"/>
          <w:sz w:val="24"/>
          <w:szCs w:val="24"/>
        </w:rPr>
        <w:t>P</w:t>
      </w:r>
      <w:r w:rsidR="00B662A1" w:rsidRPr="00850ECF">
        <w:rPr>
          <w:rFonts w:ascii="Times New Roman" w:hAnsi="Times New Roman" w:cs="Times New Roman"/>
          <w:sz w:val="24"/>
          <w:szCs w:val="24"/>
          <w:vertAlign w:val="subscript"/>
        </w:rPr>
        <w:t>n</w:t>
      </w:r>
      <w:proofErr w:type="spellEnd"/>
      <w:r w:rsidR="00B662A1" w:rsidRPr="00850ECF">
        <w:rPr>
          <w:rFonts w:ascii="Times New Roman" w:hAnsi="Times New Roman" w:cs="Times New Roman"/>
          <w:sz w:val="24"/>
          <w:szCs w:val="24"/>
        </w:rPr>
        <w:t xml:space="preserve"> </w:t>
      </w:r>
      <w:r w:rsidRPr="00850ECF">
        <w:rPr>
          <w:rFonts w:ascii="Times New Roman" w:hAnsi="Times New Roman" w:cs="Times New Roman"/>
          <w:sz w:val="24"/>
          <w:szCs w:val="24"/>
        </w:rPr>
        <w:t>–</w:t>
      </w:r>
      <w:r w:rsidR="00B662A1" w:rsidRPr="00850ECF">
        <w:rPr>
          <w:rFonts w:ascii="Times New Roman" w:hAnsi="Times New Roman" w:cs="Times New Roman"/>
          <w:sz w:val="24"/>
          <w:szCs w:val="24"/>
        </w:rPr>
        <w:t xml:space="preserve"> P</w:t>
      </w:r>
      <w:r w:rsidR="00B662A1" w:rsidRPr="00850ECF">
        <w:rPr>
          <w:rFonts w:ascii="Times New Roman" w:hAnsi="Times New Roman" w:cs="Times New Roman"/>
          <w:sz w:val="24"/>
          <w:szCs w:val="24"/>
          <w:vertAlign w:val="subscript"/>
        </w:rPr>
        <w:t>o</w:t>
      </w:r>
    </w:p>
    <w:p w14:paraId="64C1ABD5" w14:textId="69870C9D" w:rsidR="003377A6" w:rsidRPr="00850ECF" w:rsidRDefault="003377A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lastRenderedPageBreak/>
        <w:t xml:space="preserve">            </w:t>
      </w:r>
      <w:r w:rsidR="00B662A1" w:rsidRPr="00850ECF">
        <w:rPr>
          <w:rFonts w:ascii="Times New Roman" w:hAnsi="Times New Roman" w:cs="Times New Roman"/>
          <w:sz w:val="24"/>
          <w:szCs w:val="24"/>
        </w:rPr>
        <w:t xml:space="preserve"> ∆Y = </w:t>
      </w:r>
      <w:proofErr w:type="spellStart"/>
      <w:r w:rsidR="00B662A1" w:rsidRPr="00850ECF">
        <w:rPr>
          <w:rFonts w:ascii="Times New Roman" w:hAnsi="Times New Roman" w:cs="Times New Roman"/>
          <w:sz w:val="24"/>
          <w:szCs w:val="24"/>
        </w:rPr>
        <w:t>Y</w:t>
      </w:r>
      <w:r w:rsidR="00B662A1" w:rsidRPr="00850ECF">
        <w:rPr>
          <w:rFonts w:ascii="Times New Roman" w:hAnsi="Times New Roman" w:cs="Times New Roman"/>
          <w:sz w:val="24"/>
          <w:szCs w:val="24"/>
          <w:vertAlign w:val="subscript"/>
        </w:rPr>
        <w:t>n</w:t>
      </w:r>
      <w:proofErr w:type="spellEnd"/>
      <w:r w:rsidR="00B662A1" w:rsidRPr="00850ECF">
        <w:rPr>
          <w:rFonts w:ascii="Times New Roman" w:hAnsi="Times New Roman" w:cs="Times New Roman"/>
          <w:sz w:val="24"/>
          <w:szCs w:val="24"/>
        </w:rPr>
        <w:t xml:space="preserve"> - </w:t>
      </w:r>
      <w:proofErr w:type="spellStart"/>
      <w:r w:rsidR="00B662A1" w:rsidRPr="00850ECF">
        <w:rPr>
          <w:rFonts w:ascii="Times New Roman" w:hAnsi="Times New Roman" w:cs="Times New Roman"/>
          <w:sz w:val="24"/>
          <w:szCs w:val="24"/>
        </w:rPr>
        <w:t>Y</w:t>
      </w:r>
      <w:r w:rsidR="00B662A1" w:rsidRPr="00850ECF">
        <w:rPr>
          <w:rFonts w:ascii="Times New Roman" w:hAnsi="Times New Roman" w:cs="Times New Roman"/>
          <w:sz w:val="24"/>
          <w:szCs w:val="24"/>
          <w:vertAlign w:val="subscript"/>
        </w:rPr>
        <w:t>o</w:t>
      </w:r>
      <w:proofErr w:type="spellEnd"/>
      <w:r w:rsidR="00B662A1" w:rsidRPr="00850ECF">
        <w:rPr>
          <w:rFonts w:ascii="Times New Roman" w:hAnsi="Times New Roman" w:cs="Times New Roman"/>
          <w:sz w:val="24"/>
          <w:szCs w:val="24"/>
        </w:rPr>
        <w:t xml:space="preserve"> </w:t>
      </w:r>
    </w:p>
    <w:p w14:paraId="316ADA1F" w14:textId="3232FD0B" w:rsidR="00B662A1" w:rsidRPr="00850ECF" w:rsidRDefault="00B662A1" w:rsidP="00850ECF">
      <w:pPr>
        <w:spacing w:line="480" w:lineRule="auto"/>
        <w:ind w:firstLine="720"/>
        <w:jc w:val="both"/>
        <w:rPr>
          <w:rFonts w:ascii="Times New Roman" w:hAnsi="Times New Roman" w:cs="Times New Roman"/>
          <w:sz w:val="24"/>
          <w:szCs w:val="24"/>
        </w:rPr>
      </w:pPr>
      <w:proofErr w:type="spellStart"/>
      <w:proofErr w:type="gramStart"/>
      <w:r w:rsidRPr="00850ECF">
        <w:rPr>
          <w:rFonts w:ascii="Times New Roman" w:hAnsi="Times New Roman" w:cs="Times New Roman"/>
          <w:sz w:val="24"/>
          <w:szCs w:val="24"/>
        </w:rPr>
        <w:t>A</w:t>
      </w:r>
      <w:r w:rsidRPr="00850ECF">
        <w:rPr>
          <w:rFonts w:ascii="Times New Roman" w:hAnsi="Times New Roman" w:cs="Times New Roman"/>
          <w:sz w:val="24"/>
          <w:szCs w:val="24"/>
          <w:vertAlign w:val="subscript"/>
        </w:rPr>
        <w:t>o</w:t>
      </w:r>
      <w:r w:rsidRPr="00850ECF">
        <w:rPr>
          <w:rFonts w:ascii="Times New Roman" w:hAnsi="Times New Roman" w:cs="Times New Roman"/>
          <w:sz w:val="24"/>
          <w:szCs w:val="24"/>
        </w:rPr>
        <w:t>,Y</w:t>
      </w:r>
      <w:r w:rsidRPr="00850ECF">
        <w:rPr>
          <w:rFonts w:ascii="Times New Roman" w:hAnsi="Times New Roman" w:cs="Times New Roman"/>
          <w:sz w:val="24"/>
          <w:szCs w:val="24"/>
          <w:vertAlign w:val="subscript"/>
        </w:rPr>
        <w:t>o</w:t>
      </w:r>
      <w:proofErr w:type="spellEnd"/>
      <w:proofErr w:type="gramEnd"/>
      <w:r w:rsidRPr="00850ECF">
        <w:rPr>
          <w:rFonts w:ascii="Times New Roman" w:hAnsi="Times New Roman" w:cs="Times New Roman"/>
          <w:sz w:val="24"/>
          <w:szCs w:val="24"/>
        </w:rPr>
        <w:t xml:space="preserve"> and P</w:t>
      </w:r>
      <w:r w:rsidRPr="00850ECF">
        <w:rPr>
          <w:rFonts w:ascii="Times New Roman" w:hAnsi="Times New Roman" w:cs="Times New Roman"/>
          <w:sz w:val="24"/>
          <w:szCs w:val="24"/>
          <w:vertAlign w:val="subscript"/>
        </w:rPr>
        <w:t>o</w:t>
      </w:r>
      <w:r w:rsidRPr="00850ECF">
        <w:rPr>
          <w:rFonts w:ascii="Times New Roman" w:hAnsi="Times New Roman" w:cs="Times New Roman"/>
          <w:sz w:val="24"/>
          <w:szCs w:val="24"/>
        </w:rPr>
        <w:t xml:space="preserve"> are the values of area, production and yield of the </w:t>
      </w:r>
      <w:proofErr w:type="spellStart"/>
      <w:r w:rsidR="00122BD0">
        <w:rPr>
          <w:rFonts w:ascii="Times New Roman" w:hAnsi="Times New Roman" w:cs="Times New Roman"/>
          <w:sz w:val="24"/>
          <w:szCs w:val="24"/>
        </w:rPr>
        <w:t>chilli</w:t>
      </w:r>
      <w:proofErr w:type="spellEnd"/>
      <w:r w:rsidR="003377A6" w:rsidRPr="00850ECF">
        <w:rPr>
          <w:rFonts w:ascii="Times New Roman" w:hAnsi="Times New Roman" w:cs="Times New Roman"/>
          <w:sz w:val="24"/>
          <w:szCs w:val="24"/>
        </w:rPr>
        <w:t xml:space="preserve"> </w:t>
      </w:r>
      <w:r w:rsidRPr="00850ECF">
        <w:rPr>
          <w:rFonts w:ascii="Times New Roman" w:hAnsi="Times New Roman" w:cs="Times New Roman"/>
          <w:sz w:val="24"/>
          <w:szCs w:val="24"/>
        </w:rPr>
        <w:t>crop in the base year respectively and A</w:t>
      </w:r>
      <w:r w:rsidRPr="00850ECF">
        <w:rPr>
          <w:rFonts w:ascii="Times New Roman" w:hAnsi="Times New Roman" w:cs="Times New Roman"/>
          <w:sz w:val="24"/>
          <w:szCs w:val="24"/>
          <w:vertAlign w:val="subscript"/>
        </w:rPr>
        <w:t>n</w:t>
      </w:r>
      <w:r w:rsidRPr="00850ECF">
        <w:rPr>
          <w:rFonts w:ascii="Times New Roman" w:hAnsi="Times New Roman" w:cs="Times New Roman"/>
          <w:sz w:val="24"/>
          <w:szCs w:val="24"/>
        </w:rPr>
        <w:t xml:space="preserve">, </w:t>
      </w:r>
      <w:proofErr w:type="spellStart"/>
      <w:r w:rsidRPr="00850ECF">
        <w:rPr>
          <w:rFonts w:ascii="Times New Roman" w:hAnsi="Times New Roman" w:cs="Times New Roman"/>
          <w:sz w:val="24"/>
          <w:szCs w:val="24"/>
        </w:rPr>
        <w:t>P</w:t>
      </w:r>
      <w:r w:rsidRPr="00850ECF">
        <w:rPr>
          <w:rFonts w:ascii="Times New Roman" w:hAnsi="Times New Roman" w:cs="Times New Roman"/>
          <w:sz w:val="24"/>
          <w:szCs w:val="24"/>
          <w:vertAlign w:val="subscript"/>
        </w:rPr>
        <w:t>n</w:t>
      </w:r>
      <w:proofErr w:type="spellEnd"/>
      <w:r w:rsidRPr="00850ECF">
        <w:rPr>
          <w:rFonts w:ascii="Times New Roman" w:hAnsi="Times New Roman" w:cs="Times New Roman"/>
          <w:sz w:val="24"/>
          <w:szCs w:val="24"/>
        </w:rPr>
        <w:t xml:space="preserve"> and </w:t>
      </w:r>
      <w:proofErr w:type="spellStart"/>
      <w:r w:rsidRPr="00850ECF">
        <w:rPr>
          <w:rFonts w:ascii="Times New Roman" w:hAnsi="Times New Roman" w:cs="Times New Roman"/>
          <w:sz w:val="24"/>
          <w:szCs w:val="24"/>
        </w:rPr>
        <w:t>Y</w:t>
      </w:r>
      <w:r w:rsidRPr="00850ECF">
        <w:rPr>
          <w:rFonts w:ascii="Times New Roman" w:hAnsi="Times New Roman" w:cs="Times New Roman"/>
          <w:sz w:val="24"/>
          <w:szCs w:val="24"/>
          <w:vertAlign w:val="subscript"/>
        </w:rPr>
        <w:t>n</w:t>
      </w:r>
      <w:proofErr w:type="spellEnd"/>
      <w:r w:rsidRPr="00850ECF">
        <w:rPr>
          <w:rFonts w:ascii="Times New Roman" w:hAnsi="Times New Roman" w:cs="Times New Roman"/>
          <w:sz w:val="24"/>
          <w:szCs w:val="24"/>
        </w:rPr>
        <w:t xml:space="preserve"> are values of area, production and yield of the </w:t>
      </w:r>
      <w:proofErr w:type="spellStart"/>
      <w:r w:rsidR="00122BD0">
        <w:rPr>
          <w:rFonts w:ascii="Times New Roman" w:hAnsi="Times New Roman" w:cs="Times New Roman"/>
          <w:sz w:val="24"/>
          <w:szCs w:val="24"/>
        </w:rPr>
        <w:t>chilli</w:t>
      </w:r>
      <w:proofErr w:type="spellEnd"/>
      <w:r w:rsidR="00D14473" w:rsidRPr="00850ECF">
        <w:rPr>
          <w:rFonts w:ascii="Times New Roman" w:hAnsi="Times New Roman" w:cs="Times New Roman"/>
          <w:sz w:val="24"/>
          <w:szCs w:val="24"/>
        </w:rPr>
        <w:t xml:space="preserve"> </w:t>
      </w:r>
      <w:r w:rsidRPr="00850ECF">
        <w:rPr>
          <w:rFonts w:ascii="Times New Roman" w:hAnsi="Times New Roman" w:cs="Times New Roman"/>
          <w:sz w:val="24"/>
          <w:szCs w:val="24"/>
        </w:rPr>
        <w:t xml:space="preserve">crop in the current period respectively. Thus, the total change in production can be decomposed into </w:t>
      </w:r>
      <w:r w:rsidR="00D14473" w:rsidRPr="00850ECF">
        <w:rPr>
          <w:rFonts w:ascii="Times New Roman" w:hAnsi="Times New Roman" w:cs="Times New Roman"/>
          <w:sz w:val="24"/>
          <w:szCs w:val="24"/>
        </w:rPr>
        <w:t xml:space="preserve">yield </w:t>
      </w:r>
      <w:r w:rsidRPr="00850ECF">
        <w:rPr>
          <w:rFonts w:ascii="Times New Roman" w:hAnsi="Times New Roman" w:cs="Times New Roman"/>
          <w:sz w:val="24"/>
          <w:szCs w:val="24"/>
        </w:rPr>
        <w:t>effect</w:t>
      </w:r>
      <w:r w:rsidR="00D14473" w:rsidRPr="00850ECF">
        <w:rPr>
          <w:rFonts w:ascii="Times New Roman" w:hAnsi="Times New Roman" w:cs="Times New Roman"/>
          <w:sz w:val="24"/>
          <w:szCs w:val="24"/>
        </w:rPr>
        <w:t>,</w:t>
      </w:r>
      <w:r w:rsidRPr="00850ECF">
        <w:rPr>
          <w:rFonts w:ascii="Times New Roman" w:hAnsi="Times New Roman" w:cs="Times New Roman"/>
          <w:sz w:val="24"/>
          <w:szCs w:val="24"/>
        </w:rPr>
        <w:t xml:space="preserve"> </w:t>
      </w:r>
      <w:r w:rsidR="00D14473" w:rsidRPr="00850ECF">
        <w:rPr>
          <w:rFonts w:ascii="Times New Roman" w:hAnsi="Times New Roman" w:cs="Times New Roman"/>
          <w:sz w:val="24"/>
          <w:szCs w:val="24"/>
        </w:rPr>
        <w:t xml:space="preserve">area </w:t>
      </w:r>
      <w:r w:rsidRPr="00850ECF">
        <w:rPr>
          <w:rFonts w:ascii="Times New Roman" w:hAnsi="Times New Roman" w:cs="Times New Roman"/>
          <w:sz w:val="24"/>
          <w:szCs w:val="24"/>
        </w:rPr>
        <w:t xml:space="preserve">effect and their combined interaction </w:t>
      </w:r>
      <w:r w:rsidRPr="00850ECF">
        <w:rPr>
          <w:rFonts w:ascii="Times New Roman" w:hAnsi="Times New Roman" w:cs="Times New Roman"/>
          <w:i/>
          <w:iCs/>
          <w:sz w:val="24"/>
          <w:szCs w:val="24"/>
        </w:rPr>
        <w:t>i.e</w:t>
      </w:r>
      <w:r w:rsidRPr="00850ECF">
        <w:rPr>
          <w:rFonts w:ascii="Times New Roman" w:hAnsi="Times New Roman" w:cs="Times New Roman"/>
          <w:sz w:val="24"/>
          <w:szCs w:val="24"/>
        </w:rPr>
        <w:t>., change in production due to change in area and yield</w:t>
      </w:r>
    </w:p>
    <w:p w14:paraId="7174D716" w14:textId="79FDD07C" w:rsidR="00B662A1" w:rsidRPr="00850ECF" w:rsidRDefault="00C37F8F" w:rsidP="00850ECF">
      <w:pPr>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 xml:space="preserve">3. </w:t>
      </w:r>
      <w:r w:rsidR="00B662A1" w:rsidRPr="00850ECF">
        <w:rPr>
          <w:rFonts w:ascii="Times New Roman" w:hAnsi="Times New Roman" w:cs="Times New Roman"/>
          <w:b/>
          <w:bCs/>
          <w:sz w:val="24"/>
          <w:szCs w:val="24"/>
        </w:rPr>
        <w:t xml:space="preserve">Results </w:t>
      </w:r>
      <w:r w:rsidR="00093E3A" w:rsidRPr="00850ECF">
        <w:rPr>
          <w:rFonts w:ascii="Times New Roman" w:hAnsi="Times New Roman" w:cs="Times New Roman"/>
          <w:b/>
          <w:bCs/>
          <w:sz w:val="24"/>
          <w:szCs w:val="24"/>
        </w:rPr>
        <w:t>and Discussion</w:t>
      </w:r>
      <w:r w:rsidR="00B662A1" w:rsidRPr="00850ECF">
        <w:rPr>
          <w:rFonts w:ascii="Times New Roman" w:hAnsi="Times New Roman" w:cs="Times New Roman"/>
          <w:b/>
          <w:bCs/>
          <w:sz w:val="24"/>
          <w:szCs w:val="24"/>
        </w:rPr>
        <w:t>:</w:t>
      </w:r>
    </w:p>
    <w:p w14:paraId="33A3517C" w14:textId="3A4589DD" w:rsidR="00D14473" w:rsidRPr="00850ECF" w:rsidRDefault="00C37F8F" w:rsidP="00850ECF">
      <w:pPr>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 xml:space="preserve">3.1 Compound Annual Growth </w:t>
      </w:r>
      <w:r w:rsidR="003E2AFC" w:rsidRPr="00850ECF">
        <w:rPr>
          <w:rFonts w:ascii="Times New Roman" w:hAnsi="Times New Roman" w:cs="Times New Roman"/>
          <w:b/>
          <w:bCs/>
          <w:sz w:val="24"/>
          <w:szCs w:val="24"/>
        </w:rPr>
        <w:t>Rate (</w:t>
      </w:r>
      <w:r w:rsidRPr="00850ECF">
        <w:rPr>
          <w:rFonts w:ascii="Times New Roman" w:hAnsi="Times New Roman" w:cs="Times New Roman"/>
          <w:b/>
          <w:bCs/>
          <w:sz w:val="24"/>
          <w:szCs w:val="24"/>
        </w:rPr>
        <w:t xml:space="preserve">CAGR) of Chilli Area, Production, and </w:t>
      </w:r>
      <w:r w:rsidR="00122BD0">
        <w:rPr>
          <w:rFonts w:ascii="Times New Roman" w:hAnsi="Times New Roman" w:cs="Times New Roman"/>
          <w:b/>
          <w:bCs/>
          <w:sz w:val="24"/>
          <w:szCs w:val="24"/>
        </w:rPr>
        <w:t xml:space="preserve">Yield </w:t>
      </w:r>
    </w:p>
    <w:p w14:paraId="1B79C290" w14:textId="73714FA0" w:rsidR="00D14473" w:rsidRPr="00850ECF" w:rsidRDefault="00FC397E" w:rsidP="00850ECF">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 xml:space="preserve">The Compound Annual Growth Rate (CAGR) analysis of </w:t>
      </w:r>
      <w:proofErr w:type="spellStart"/>
      <w:r w:rsidRPr="00850ECF">
        <w:rPr>
          <w:rFonts w:ascii="Times New Roman" w:hAnsi="Times New Roman" w:cs="Times New Roman"/>
          <w:sz w:val="24"/>
          <w:szCs w:val="24"/>
        </w:rPr>
        <w:t>chilli</w:t>
      </w:r>
      <w:proofErr w:type="spellEnd"/>
      <w:r w:rsidRPr="00850ECF">
        <w:rPr>
          <w:rFonts w:ascii="Times New Roman" w:hAnsi="Times New Roman" w:cs="Times New Roman"/>
          <w:sz w:val="24"/>
          <w:szCs w:val="24"/>
        </w:rPr>
        <w:t xml:space="preserve"> area, production and </w:t>
      </w:r>
      <w:r w:rsidR="00122BD0">
        <w:rPr>
          <w:rFonts w:ascii="Times New Roman" w:hAnsi="Times New Roman" w:cs="Times New Roman"/>
          <w:sz w:val="24"/>
          <w:szCs w:val="24"/>
        </w:rPr>
        <w:t>yield</w:t>
      </w:r>
      <w:r w:rsidRPr="00850ECF">
        <w:rPr>
          <w:rFonts w:ascii="Times New Roman" w:hAnsi="Times New Roman" w:cs="Times New Roman"/>
          <w:sz w:val="24"/>
          <w:szCs w:val="24"/>
        </w:rPr>
        <w:t xml:space="preserve"> is conducted for the period from 1993 to </w:t>
      </w:r>
      <w:r w:rsidR="00920804" w:rsidRPr="00850ECF">
        <w:rPr>
          <w:rFonts w:ascii="Times New Roman" w:hAnsi="Times New Roman" w:cs="Times New Roman"/>
          <w:sz w:val="24"/>
          <w:szCs w:val="24"/>
        </w:rPr>
        <w:t>20</w:t>
      </w:r>
      <w:r w:rsidRPr="00850ECF">
        <w:rPr>
          <w:rFonts w:ascii="Times New Roman" w:hAnsi="Times New Roman" w:cs="Times New Roman"/>
          <w:sz w:val="24"/>
          <w:szCs w:val="24"/>
        </w:rPr>
        <w:t xml:space="preserve">22, encompassing three sub-periods: </w:t>
      </w:r>
      <w:r w:rsidR="00920804" w:rsidRPr="00850ECF">
        <w:rPr>
          <w:rFonts w:ascii="Times New Roman" w:hAnsi="Times New Roman" w:cs="Times New Roman"/>
          <w:sz w:val="24"/>
          <w:szCs w:val="24"/>
        </w:rPr>
        <w:t>Period Ⅰ (1993–</w:t>
      </w:r>
      <w:r w:rsidR="00A00581" w:rsidRPr="00850ECF">
        <w:rPr>
          <w:rFonts w:ascii="Times New Roman" w:hAnsi="Times New Roman" w:cs="Times New Roman"/>
          <w:sz w:val="24"/>
          <w:szCs w:val="24"/>
        </w:rPr>
        <w:t>2002)</w:t>
      </w:r>
      <w:r w:rsidR="00920804" w:rsidRPr="00850ECF">
        <w:rPr>
          <w:rFonts w:ascii="Times New Roman" w:hAnsi="Times New Roman" w:cs="Times New Roman"/>
          <w:sz w:val="24"/>
          <w:szCs w:val="24"/>
        </w:rPr>
        <w:t>, Period Ⅱ (2003-2012), Period Ⅲ (2013-2022)</w:t>
      </w:r>
      <w:r w:rsidRPr="00850ECF">
        <w:rPr>
          <w:rFonts w:ascii="Times New Roman" w:hAnsi="Times New Roman" w:cs="Times New Roman"/>
          <w:sz w:val="24"/>
          <w:szCs w:val="24"/>
        </w:rPr>
        <w:t xml:space="preserve"> which together constitute the overall study period (1993</w:t>
      </w:r>
      <w:r w:rsidR="00920804" w:rsidRPr="00850ECF">
        <w:rPr>
          <w:rFonts w:ascii="Times New Roman" w:hAnsi="Times New Roman" w:cs="Times New Roman"/>
          <w:sz w:val="24"/>
          <w:szCs w:val="24"/>
        </w:rPr>
        <w:t xml:space="preserve"> </w:t>
      </w:r>
      <w:r w:rsidRPr="00850ECF">
        <w:rPr>
          <w:rFonts w:ascii="Times New Roman" w:hAnsi="Times New Roman" w:cs="Times New Roman"/>
          <w:sz w:val="24"/>
          <w:szCs w:val="24"/>
        </w:rPr>
        <w:t xml:space="preserve">to </w:t>
      </w:r>
      <w:r w:rsidR="00920804" w:rsidRPr="00850ECF">
        <w:rPr>
          <w:rFonts w:ascii="Times New Roman" w:hAnsi="Times New Roman" w:cs="Times New Roman"/>
          <w:sz w:val="24"/>
          <w:szCs w:val="24"/>
        </w:rPr>
        <w:t>2022</w:t>
      </w:r>
      <w:r w:rsidRPr="00850ECF">
        <w:rPr>
          <w:rFonts w:ascii="Times New Roman" w:hAnsi="Times New Roman" w:cs="Times New Roman"/>
          <w:sz w:val="24"/>
          <w:szCs w:val="24"/>
        </w:rPr>
        <w:t xml:space="preserve">). </w:t>
      </w:r>
      <w:r w:rsidR="00AD0B37" w:rsidRPr="00850ECF">
        <w:rPr>
          <w:rFonts w:ascii="Times New Roman" w:hAnsi="Times New Roman" w:cs="Times New Roman"/>
          <w:sz w:val="24"/>
          <w:szCs w:val="24"/>
        </w:rPr>
        <w:t xml:space="preserve">Table 1 and figure 2 highlights the CAGR of </w:t>
      </w:r>
      <w:proofErr w:type="spellStart"/>
      <w:r w:rsidR="00AD0B37" w:rsidRPr="00850ECF">
        <w:rPr>
          <w:rFonts w:ascii="Times New Roman" w:hAnsi="Times New Roman" w:cs="Times New Roman"/>
          <w:sz w:val="24"/>
          <w:szCs w:val="24"/>
        </w:rPr>
        <w:t>chilli</w:t>
      </w:r>
      <w:proofErr w:type="spellEnd"/>
      <w:r w:rsidR="00AD0B37" w:rsidRPr="00850ECF">
        <w:rPr>
          <w:rFonts w:ascii="Times New Roman" w:hAnsi="Times New Roman" w:cs="Times New Roman"/>
          <w:sz w:val="24"/>
          <w:szCs w:val="24"/>
        </w:rPr>
        <w:t xml:space="preserve"> area, production, and </w:t>
      </w:r>
      <w:r w:rsidR="00122BD0">
        <w:rPr>
          <w:rFonts w:ascii="Times New Roman" w:hAnsi="Times New Roman" w:cs="Times New Roman"/>
          <w:sz w:val="24"/>
          <w:szCs w:val="24"/>
        </w:rPr>
        <w:t>yield</w:t>
      </w:r>
      <w:r w:rsidR="00AD0B37" w:rsidRPr="00850ECF">
        <w:rPr>
          <w:rFonts w:ascii="Times New Roman" w:hAnsi="Times New Roman" w:cs="Times New Roman"/>
          <w:sz w:val="24"/>
          <w:szCs w:val="24"/>
        </w:rPr>
        <w:t xml:space="preserve">, showing fluctuations in cultivation. The area declined by -0.48% in Period I (insignificant), grew by 1.09% in Period II (non-significant), and significantly decreased by -1.86% in Period III (5% level). Over the entire period (1993–94 to 2021–22), the area shrank at -0.78% annually, highly significant at the 1% level. </w:t>
      </w:r>
      <w:r w:rsidR="00D14473" w:rsidRPr="00850ECF">
        <w:rPr>
          <w:rFonts w:ascii="Times New Roman" w:hAnsi="Times New Roman" w:cs="Times New Roman"/>
          <w:sz w:val="24"/>
          <w:szCs w:val="24"/>
        </w:rPr>
        <w:t>This suggests a long-term contraction in the area devoted to agriculture, possibly due to land-use changes, urbanization, or economic shifts affecting farming viability.</w:t>
      </w:r>
    </w:p>
    <w:p w14:paraId="148B57B1" w14:textId="2C98B32F" w:rsidR="007F50A4" w:rsidRPr="00850ECF" w:rsidRDefault="00D14473" w:rsidP="00850ECF">
      <w:pPr>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 xml:space="preserve">Table 1. Compound annual growth rates in the area, production and </w:t>
      </w:r>
      <w:r w:rsidR="00122BD0">
        <w:rPr>
          <w:rFonts w:ascii="Times New Roman" w:hAnsi="Times New Roman" w:cs="Times New Roman"/>
          <w:b/>
          <w:bCs/>
          <w:sz w:val="24"/>
          <w:szCs w:val="24"/>
        </w:rPr>
        <w:t>yield</w:t>
      </w:r>
      <w:r w:rsidR="00AD0B37" w:rsidRPr="00850ECF">
        <w:rPr>
          <w:rFonts w:ascii="Times New Roman" w:hAnsi="Times New Roman" w:cs="Times New Roman"/>
          <w:b/>
          <w:bCs/>
          <w:sz w:val="24"/>
          <w:szCs w:val="24"/>
        </w:rPr>
        <w:t xml:space="preserve"> </w:t>
      </w:r>
      <w:r w:rsidRPr="00850ECF">
        <w:rPr>
          <w:rFonts w:ascii="Times New Roman" w:hAnsi="Times New Roman" w:cs="Times New Roman"/>
          <w:b/>
          <w:bCs/>
          <w:sz w:val="24"/>
          <w:szCs w:val="24"/>
        </w:rPr>
        <w:t xml:space="preserve">of </w:t>
      </w:r>
      <w:proofErr w:type="spellStart"/>
      <w:r w:rsidRPr="00850ECF">
        <w:rPr>
          <w:rFonts w:ascii="Times New Roman" w:hAnsi="Times New Roman" w:cs="Times New Roman"/>
          <w:b/>
          <w:bCs/>
          <w:sz w:val="24"/>
          <w:szCs w:val="24"/>
        </w:rPr>
        <w:t>chilli</w:t>
      </w:r>
      <w:proofErr w:type="spellEnd"/>
      <w:r w:rsidRPr="00850ECF">
        <w:rPr>
          <w:rFonts w:ascii="Times New Roman" w:hAnsi="Times New Roman" w:cs="Times New Roman"/>
          <w:b/>
          <w:bCs/>
          <w:sz w:val="24"/>
          <w:szCs w:val="24"/>
        </w:rPr>
        <w:t xml:space="preserve"> in India</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887"/>
        <w:gridCol w:w="1560"/>
        <w:gridCol w:w="2409"/>
        <w:gridCol w:w="2614"/>
      </w:tblGrid>
      <w:tr w:rsidR="00D14473" w:rsidRPr="00850ECF" w14:paraId="1ADA0C2B" w14:textId="77777777" w:rsidTr="00A00581">
        <w:trPr>
          <w:trHeight w:val="316"/>
        </w:trPr>
        <w:tc>
          <w:tcPr>
            <w:tcW w:w="510" w:type="dxa"/>
          </w:tcPr>
          <w:p w14:paraId="75CF2D0B" w14:textId="4BF81987" w:rsidR="00D14473" w:rsidRPr="00850ECF" w:rsidRDefault="00D14473" w:rsidP="00850ECF">
            <w:pPr>
              <w:spacing w:after="0" w:line="480" w:lineRule="auto"/>
              <w:jc w:val="both"/>
              <w:rPr>
                <w:rFonts w:ascii="Times New Roman" w:eastAsia="Times New Roman" w:hAnsi="Times New Roman" w:cs="Times New Roman"/>
                <w:b/>
                <w:bCs/>
                <w:kern w:val="0"/>
                <w:sz w:val="24"/>
                <w:szCs w:val="24"/>
                <w14:ligatures w14:val="none"/>
              </w:rPr>
            </w:pPr>
            <w:r w:rsidRPr="00850ECF">
              <w:rPr>
                <w:rFonts w:ascii="Times New Roman" w:eastAsia="Times New Roman" w:hAnsi="Times New Roman" w:cs="Times New Roman"/>
                <w:b/>
                <w:bCs/>
                <w:kern w:val="0"/>
                <w:sz w:val="24"/>
                <w:szCs w:val="24"/>
                <w14:ligatures w14:val="none"/>
              </w:rPr>
              <w:t>S.</w:t>
            </w:r>
            <w:r w:rsidR="008E6E3D" w:rsidRPr="00850ECF">
              <w:rPr>
                <w:rFonts w:ascii="Times New Roman" w:eastAsia="Times New Roman" w:hAnsi="Times New Roman" w:cs="Times New Roman"/>
                <w:b/>
                <w:bCs/>
                <w:kern w:val="0"/>
                <w:sz w:val="24"/>
                <w:szCs w:val="24"/>
                <w14:ligatures w14:val="none"/>
              </w:rPr>
              <w:t xml:space="preserve"> </w:t>
            </w:r>
            <w:r w:rsidRPr="00850ECF">
              <w:rPr>
                <w:rFonts w:ascii="Times New Roman" w:eastAsia="Times New Roman" w:hAnsi="Times New Roman" w:cs="Times New Roman"/>
                <w:b/>
                <w:bCs/>
                <w:kern w:val="0"/>
                <w:sz w:val="24"/>
                <w:szCs w:val="24"/>
                <w14:ligatures w14:val="none"/>
              </w:rPr>
              <w:t>No</w:t>
            </w:r>
          </w:p>
        </w:tc>
        <w:tc>
          <w:tcPr>
            <w:tcW w:w="2887" w:type="dxa"/>
            <w:shd w:val="clear" w:color="auto" w:fill="auto"/>
            <w:noWrap/>
            <w:vAlign w:val="bottom"/>
            <w:hideMark/>
          </w:tcPr>
          <w:p w14:paraId="015DA90D" w14:textId="10610A27" w:rsidR="00D14473" w:rsidRPr="00850ECF" w:rsidRDefault="00D14473" w:rsidP="00850ECF">
            <w:pPr>
              <w:spacing w:after="0" w:line="480" w:lineRule="auto"/>
              <w:jc w:val="both"/>
              <w:rPr>
                <w:rFonts w:ascii="Times New Roman" w:eastAsia="Times New Roman" w:hAnsi="Times New Roman" w:cs="Times New Roman"/>
                <w:b/>
                <w:bCs/>
                <w:kern w:val="0"/>
                <w:sz w:val="24"/>
                <w:szCs w:val="24"/>
                <w14:ligatures w14:val="none"/>
              </w:rPr>
            </w:pPr>
            <w:r w:rsidRPr="00850ECF">
              <w:rPr>
                <w:rFonts w:ascii="Times New Roman" w:eastAsia="Times New Roman" w:hAnsi="Times New Roman" w:cs="Times New Roman"/>
                <w:b/>
                <w:bCs/>
                <w:kern w:val="0"/>
                <w:sz w:val="24"/>
                <w:szCs w:val="24"/>
                <w14:ligatures w14:val="none"/>
              </w:rPr>
              <w:t>Aspects/ Periods</w:t>
            </w:r>
          </w:p>
        </w:tc>
        <w:tc>
          <w:tcPr>
            <w:tcW w:w="1560" w:type="dxa"/>
            <w:shd w:val="clear" w:color="auto" w:fill="auto"/>
            <w:noWrap/>
            <w:vAlign w:val="bottom"/>
            <w:hideMark/>
          </w:tcPr>
          <w:p w14:paraId="012AFB2B" w14:textId="2A8BA938" w:rsidR="00D14473" w:rsidRPr="00850ECF" w:rsidRDefault="00D14473" w:rsidP="00850ECF">
            <w:pPr>
              <w:spacing w:after="0" w:line="480" w:lineRule="auto"/>
              <w:jc w:val="both"/>
              <w:rPr>
                <w:rFonts w:ascii="Times New Roman" w:eastAsia="Times New Roman" w:hAnsi="Times New Roman" w:cs="Times New Roman"/>
                <w:b/>
                <w:bCs/>
                <w:color w:val="000000"/>
                <w:kern w:val="0"/>
                <w:sz w:val="24"/>
                <w:szCs w:val="24"/>
                <w14:ligatures w14:val="none"/>
              </w:rPr>
            </w:pPr>
            <w:r w:rsidRPr="00850ECF">
              <w:rPr>
                <w:rFonts w:ascii="Times New Roman" w:eastAsia="Times New Roman" w:hAnsi="Times New Roman" w:cs="Times New Roman"/>
                <w:b/>
                <w:bCs/>
                <w:color w:val="000000"/>
                <w:kern w:val="0"/>
                <w:sz w:val="24"/>
                <w:szCs w:val="24"/>
                <w14:ligatures w14:val="none"/>
              </w:rPr>
              <w:t>AREA (%)</w:t>
            </w:r>
          </w:p>
        </w:tc>
        <w:tc>
          <w:tcPr>
            <w:tcW w:w="2409" w:type="dxa"/>
            <w:shd w:val="clear" w:color="auto" w:fill="auto"/>
            <w:noWrap/>
            <w:vAlign w:val="bottom"/>
            <w:hideMark/>
          </w:tcPr>
          <w:p w14:paraId="331585D1" w14:textId="61022AC3" w:rsidR="00D14473" w:rsidRPr="00850ECF" w:rsidRDefault="00D14473" w:rsidP="00850ECF">
            <w:pPr>
              <w:spacing w:after="0" w:line="480" w:lineRule="auto"/>
              <w:jc w:val="both"/>
              <w:rPr>
                <w:rFonts w:ascii="Times New Roman" w:eastAsia="Times New Roman" w:hAnsi="Times New Roman" w:cs="Times New Roman"/>
                <w:b/>
                <w:bCs/>
                <w:color w:val="000000"/>
                <w:kern w:val="0"/>
                <w:sz w:val="24"/>
                <w:szCs w:val="24"/>
                <w14:ligatures w14:val="none"/>
              </w:rPr>
            </w:pPr>
            <w:r w:rsidRPr="00850ECF">
              <w:rPr>
                <w:rFonts w:ascii="Times New Roman" w:eastAsia="Times New Roman" w:hAnsi="Times New Roman" w:cs="Times New Roman"/>
                <w:b/>
                <w:bCs/>
                <w:color w:val="000000"/>
                <w:kern w:val="0"/>
                <w:sz w:val="24"/>
                <w:szCs w:val="24"/>
                <w14:ligatures w14:val="none"/>
              </w:rPr>
              <w:t>PRODUCTION (%)</w:t>
            </w:r>
          </w:p>
        </w:tc>
        <w:tc>
          <w:tcPr>
            <w:tcW w:w="2614" w:type="dxa"/>
            <w:shd w:val="clear" w:color="auto" w:fill="auto"/>
            <w:noWrap/>
            <w:vAlign w:val="bottom"/>
            <w:hideMark/>
          </w:tcPr>
          <w:p w14:paraId="3F2D653A" w14:textId="5D089067" w:rsidR="00D14473" w:rsidRPr="00850ECF" w:rsidRDefault="00122BD0" w:rsidP="00850ECF">
            <w:pPr>
              <w:spacing w:after="0" w:line="480" w:lineRule="auto"/>
              <w:jc w:val="both"/>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YIELD</w:t>
            </w:r>
            <w:r w:rsidR="00D14473" w:rsidRPr="00850ECF">
              <w:rPr>
                <w:rFonts w:ascii="Times New Roman" w:eastAsia="Times New Roman" w:hAnsi="Times New Roman" w:cs="Times New Roman"/>
                <w:b/>
                <w:bCs/>
                <w:color w:val="000000"/>
                <w:kern w:val="0"/>
                <w:sz w:val="24"/>
                <w:szCs w:val="24"/>
                <w14:ligatures w14:val="none"/>
              </w:rPr>
              <w:t xml:space="preserve"> (%)</w:t>
            </w:r>
          </w:p>
        </w:tc>
      </w:tr>
      <w:tr w:rsidR="00A00581" w:rsidRPr="00850ECF" w14:paraId="1E490CB2" w14:textId="77777777" w:rsidTr="00A00581">
        <w:trPr>
          <w:trHeight w:val="328"/>
        </w:trPr>
        <w:tc>
          <w:tcPr>
            <w:tcW w:w="510" w:type="dxa"/>
          </w:tcPr>
          <w:p w14:paraId="1F19E574" w14:textId="4CE5093D" w:rsidR="00A00581" w:rsidRPr="00850ECF" w:rsidRDefault="00A00581"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lastRenderedPageBreak/>
              <w:t>1</w:t>
            </w:r>
          </w:p>
        </w:tc>
        <w:tc>
          <w:tcPr>
            <w:tcW w:w="2887" w:type="dxa"/>
            <w:shd w:val="clear" w:color="auto" w:fill="auto"/>
            <w:noWrap/>
            <w:vAlign w:val="bottom"/>
            <w:hideMark/>
          </w:tcPr>
          <w:p w14:paraId="3A118B96" w14:textId="7C2B3C24" w:rsidR="00A00581" w:rsidRPr="00850ECF" w:rsidRDefault="00A00581"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Period I (1993-2002)</w:t>
            </w:r>
          </w:p>
        </w:tc>
        <w:tc>
          <w:tcPr>
            <w:tcW w:w="1560" w:type="dxa"/>
            <w:shd w:val="clear" w:color="auto" w:fill="auto"/>
            <w:noWrap/>
            <w:vAlign w:val="bottom"/>
            <w:hideMark/>
          </w:tcPr>
          <w:p w14:paraId="4E24DBA6" w14:textId="7F4FADA3"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vertAlign w:val="superscript"/>
                <w14:ligatures w14:val="none"/>
              </w:rPr>
            </w:pPr>
            <w:r w:rsidRPr="00850ECF">
              <w:rPr>
                <w:rFonts w:ascii="Times New Roman" w:eastAsia="Times New Roman" w:hAnsi="Times New Roman" w:cs="Times New Roman"/>
                <w:color w:val="000000"/>
                <w:kern w:val="0"/>
                <w:sz w:val="24"/>
                <w:szCs w:val="24"/>
                <w14:ligatures w14:val="none"/>
              </w:rPr>
              <w:t>-0.48</w:t>
            </w:r>
            <w:r w:rsidRPr="00850ECF">
              <w:rPr>
                <w:rFonts w:ascii="Times New Roman" w:eastAsia="Times New Roman" w:hAnsi="Times New Roman" w:cs="Times New Roman"/>
                <w:color w:val="000000"/>
                <w:kern w:val="0"/>
                <w:sz w:val="24"/>
                <w:szCs w:val="24"/>
                <w:vertAlign w:val="superscript"/>
                <w14:ligatures w14:val="none"/>
              </w:rPr>
              <w:t>NS</w:t>
            </w:r>
          </w:p>
        </w:tc>
        <w:tc>
          <w:tcPr>
            <w:tcW w:w="2409" w:type="dxa"/>
            <w:shd w:val="clear" w:color="auto" w:fill="auto"/>
            <w:noWrap/>
            <w:vAlign w:val="bottom"/>
            <w:hideMark/>
          </w:tcPr>
          <w:p w14:paraId="06B7257B" w14:textId="1F30AEB4"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2.59*</w:t>
            </w:r>
          </w:p>
        </w:tc>
        <w:tc>
          <w:tcPr>
            <w:tcW w:w="2614" w:type="dxa"/>
            <w:shd w:val="clear" w:color="auto" w:fill="auto"/>
            <w:noWrap/>
            <w:vAlign w:val="bottom"/>
            <w:hideMark/>
          </w:tcPr>
          <w:p w14:paraId="2A496C0D" w14:textId="49277C2A"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3.08**</w:t>
            </w:r>
          </w:p>
        </w:tc>
      </w:tr>
      <w:tr w:rsidR="00A00581" w:rsidRPr="00850ECF" w14:paraId="1BA25CED" w14:textId="77777777" w:rsidTr="00A00581">
        <w:trPr>
          <w:trHeight w:val="328"/>
        </w:trPr>
        <w:tc>
          <w:tcPr>
            <w:tcW w:w="510" w:type="dxa"/>
          </w:tcPr>
          <w:p w14:paraId="507C0E3C" w14:textId="09A03CB5" w:rsidR="00A00581" w:rsidRPr="00850ECF" w:rsidRDefault="00A00581"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2</w:t>
            </w:r>
          </w:p>
        </w:tc>
        <w:tc>
          <w:tcPr>
            <w:tcW w:w="2887" w:type="dxa"/>
            <w:shd w:val="clear" w:color="auto" w:fill="auto"/>
            <w:noWrap/>
            <w:vAlign w:val="bottom"/>
            <w:hideMark/>
          </w:tcPr>
          <w:p w14:paraId="7378B8D7" w14:textId="56A3E41D" w:rsidR="00A00581" w:rsidRPr="00850ECF" w:rsidRDefault="00A00581"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Period II (2003-2012)</w:t>
            </w:r>
          </w:p>
        </w:tc>
        <w:tc>
          <w:tcPr>
            <w:tcW w:w="1560" w:type="dxa"/>
            <w:shd w:val="clear" w:color="auto" w:fill="auto"/>
            <w:noWrap/>
            <w:vAlign w:val="bottom"/>
            <w:hideMark/>
          </w:tcPr>
          <w:p w14:paraId="79580870" w14:textId="7E0C0FA1"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vertAlign w:val="superscript"/>
                <w14:ligatures w14:val="none"/>
              </w:rPr>
            </w:pPr>
            <w:r w:rsidRPr="00850ECF">
              <w:rPr>
                <w:rFonts w:ascii="Times New Roman" w:eastAsia="Times New Roman" w:hAnsi="Times New Roman" w:cs="Times New Roman"/>
                <w:color w:val="000000"/>
                <w:kern w:val="0"/>
                <w:sz w:val="24"/>
                <w:szCs w:val="24"/>
                <w14:ligatures w14:val="none"/>
              </w:rPr>
              <w:t>1.09</w:t>
            </w:r>
            <w:r w:rsidRPr="00850ECF">
              <w:rPr>
                <w:rFonts w:ascii="Times New Roman" w:eastAsia="Times New Roman" w:hAnsi="Times New Roman" w:cs="Times New Roman"/>
                <w:color w:val="000000"/>
                <w:kern w:val="0"/>
                <w:sz w:val="24"/>
                <w:szCs w:val="24"/>
                <w:vertAlign w:val="superscript"/>
                <w14:ligatures w14:val="none"/>
              </w:rPr>
              <w:t>NS</w:t>
            </w:r>
          </w:p>
        </w:tc>
        <w:tc>
          <w:tcPr>
            <w:tcW w:w="2409" w:type="dxa"/>
            <w:shd w:val="clear" w:color="auto" w:fill="auto"/>
            <w:noWrap/>
            <w:vAlign w:val="bottom"/>
            <w:hideMark/>
          </w:tcPr>
          <w:p w14:paraId="1B18FF33" w14:textId="1F632711"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vertAlign w:val="superscript"/>
                <w14:ligatures w14:val="none"/>
              </w:rPr>
            </w:pPr>
            <w:r w:rsidRPr="00850ECF">
              <w:rPr>
                <w:rFonts w:ascii="Times New Roman" w:eastAsia="Times New Roman" w:hAnsi="Times New Roman" w:cs="Times New Roman"/>
                <w:color w:val="000000"/>
                <w:kern w:val="0"/>
                <w:sz w:val="24"/>
                <w:szCs w:val="24"/>
                <w14:ligatures w14:val="none"/>
              </w:rPr>
              <w:t>1.12</w:t>
            </w:r>
            <w:r w:rsidRPr="00850ECF">
              <w:rPr>
                <w:rFonts w:ascii="Times New Roman" w:eastAsia="Times New Roman" w:hAnsi="Times New Roman" w:cs="Times New Roman"/>
                <w:color w:val="000000"/>
                <w:kern w:val="0"/>
                <w:sz w:val="24"/>
                <w:szCs w:val="24"/>
                <w:vertAlign w:val="superscript"/>
                <w14:ligatures w14:val="none"/>
              </w:rPr>
              <w:t>NS</w:t>
            </w:r>
          </w:p>
        </w:tc>
        <w:tc>
          <w:tcPr>
            <w:tcW w:w="2614" w:type="dxa"/>
            <w:shd w:val="clear" w:color="auto" w:fill="auto"/>
            <w:noWrap/>
            <w:vAlign w:val="bottom"/>
            <w:hideMark/>
          </w:tcPr>
          <w:p w14:paraId="76101CBE" w14:textId="6182AF99"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vertAlign w:val="superscript"/>
                <w14:ligatures w14:val="none"/>
              </w:rPr>
            </w:pPr>
            <w:r w:rsidRPr="00850ECF">
              <w:rPr>
                <w:rFonts w:ascii="Times New Roman" w:eastAsia="Times New Roman" w:hAnsi="Times New Roman" w:cs="Times New Roman"/>
                <w:color w:val="000000"/>
                <w:kern w:val="0"/>
                <w:sz w:val="24"/>
                <w:szCs w:val="24"/>
                <w14:ligatures w14:val="none"/>
              </w:rPr>
              <w:t>0.03</w:t>
            </w:r>
            <w:r w:rsidRPr="00850ECF">
              <w:rPr>
                <w:rFonts w:ascii="Times New Roman" w:eastAsia="Times New Roman" w:hAnsi="Times New Roman" w:cs="Times New Roman"/>
                <w:color w:val="000000"/>
                <w:kern w:val="0"/>
                <w:sz w:val="24"/>
                <w:szCs w:val="24"/>
                <w:vertAlign w:val="superscript"/>
                <w14:ligatures w14:val="none"/>
              </w:rPr>
              <w:t>NS</w:t>
            </w:r>
          </w:p>
        </w:tc>
      </w:tr>
      <w:tr w:rsidR="00A00581" w:rsidRPr="00850ECF" w14:paraId="0190BC3F" w14:textId="77777777" w:rsidTr="00A00581">
        <w:trPr>
          <w:trHeight w:val="341"/>
        </w:trPr>
        <w:tc>
          <w:tcPr>
            <w:tcW w:w="510" w:type="dxa"/>
          </w:tcPr>
          <w:p w14:paraId="69793ADC" w14:textId="6345B389" w:rsidR="00A00581" w:rsidRPr="00850ECF" w:rsidRDefault="00A00581"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3</w:t>
            </w:r>
          </w:p>
        </w:tc>
        <w:tc>
          <w:tcPr>
            <w:tcW w:w="2887" w:type="dxa"/>
            <w:shd w:val="clear" w:color="auto" w:fill="auto"/>
            <w:noWrap/>
            <w:vAlign w:val="bottom"/>
            <w:hideMark/>
          </w:tcPr>
          <w:p w14:paraId="3ED3BB2D" w14:textId="238B573A" w:rsidR="00A00581" w:rsidRPr="00850ECF" w:rsidRDefault="00A00581"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Period III (2013-2022)</w:t>
            </w:r>
          </w:p>
        </w:tc>
        <w:tc>
          <w:tcPr>
            <w:tcW w:w="1560" w:type="dxa"/>
            <w:shd w:val="clear" w:color="auto" w:fill="auto"/>
            <w:noWrap/>
            <w:vAlign w:val="bottom"/>
            <w:hideMark/>
          </w:tcPr>
          <w:p w14:paraId="5BC08756" w14:textId="2CFB6C4C"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-1.86**</w:t>
            </w:r>
          </w:p>
        </w:tc>
        <w:tc>
          <w:tcPr>
            <w:tcW w:w="2409" w:type="dxa"/>
            <w:shd w:val="clear" w:color="auto" w:fill="auto"/>
            <w:noWrap/>
            <w:vAlign w:val="bottom"/>
            <w:hideMark/>
          </w:tcPr>
          <w:p w14:paraId="2D29F558" w14:textId="68EBB6D3"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3.31**</w:t>
            </w:r>
          </w:p>
        </w:tc>
        <w:tc>
          <w:tcPr>
            <w:tcW w:w="2614" w:type="dxa"/>
            <w:shd w:val="clear" w:color="auto" w:fill="auto"/>
            <w:noWrap/>
            <w:vAlign w:val="bottom"/>
            <w:hideMark/>
          </w:tcPr>
          <w:p w14:paraId="0A28ABA0" w14:textId="646C5A56"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5.27***</w:t>
            </w:r>
          </w:p>
        </w:tc>
      </w:tr>
      <w:tr w:rsidR="00A00581" w:rsidRPr="00850ECF" w14:paraId="1F9D17C9" w14:textId="77777777" w:rsidTr="00A00581">
        <w:trPr>
          <w:trHeight w:val="316"/>
        </w:trPr>
        <w:tc>
          <w:tcPr>
            <w:tcW w:w="510" w:type="dxa"/>
          </w:tcPr>
          <w:p w14:paraId="6079031E" w14:textId="04056910" w:rsidR="00A00581" w:rsidRPr="00850ECF" w:rsidRDefault="00A00581"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4</w:t>
            </w:r>
          </w:p>
        </w:tc>
        <w:tc>
          <w:tcPr>
            <w:tcW w:w="2887" w:type="dxa"/>
            <w:shd w:val="clear" w:color="auto" w:fill="auto"/>
            <w:noWrap/>
            <w:vAlign w:val="bottom"/>
            <w:hideMark/>
          </w:tcPr>
          <w:p w14:paraId="28926E31" w14:textId="4F644F67" w:rsidR="00A00581" w:rsidRPr="00850ECF" w:rsidRDefault="00A00581"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Overall Period (1993-2022)</w:t>
            </w:r>
          </w:p>
        </w:tc>
        <w:tc>
          <w:tcPr>
            <w:tcW w:w="1560" w:type="dxa"/>
            <w:shd w:val="clear" w:color="auto" w:fill="auto"/>
            <w:noWrap/>
            <w:vAlign w:val="bottom"/>
            <w:hideMark/>
          </w:tcPr>
          <w:p w14:paraId="149A1536" w14:textId="6A97727C"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-0.78***</w:t>
            </w:r>
          </w:p>
        </w:tc>
        <w:tc>
          <w:tcPr>
            <w:tcW w:w="2409" w:type="dxa"/>
            <w:shd w:val="clear" w:color="auto" w:fill="auto"/>
            <w:noWrap/>
            <w:vAlign w:val="bottom"/>
            <w:hideMark/>
          </w:tcPr>
          <w:p w14:paraId="238D3BB0" w14:textId="68E65F87"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3.15***</w:t>
            </w:r>
          </w:p>
        </w:tc>
        <w:tc>
          <w:tcPr>
            <w:tcW w:w="2614" w:type="dxa"/>
            <w:shd w:val="clear" w:color="auto" w:fill="auto"/>
            <w:noWrap/>
            <w:vAlign w:val="bottom"/>
            <w:hideMark/>
          </w:tcPr>
          <w:p w14:paraId="7A5919BE" w14:textId="18877218"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3.96***</w:t>
            </w:r>
          </w:p>
        </w:tc>
      </w:tr>
    </w:tbl>
    <w:p w14:paraId="41848132" w14:textId="6CE3AD11" w:rsidR="00A0699B" w:rsidRPr="00850ECF" w:rsidRDefault="00AD0B37" w:rsidP="00850ECF">
      <w:pPr>
        <w:spacing w:line="480" w:lineRule="auto"/>
        <w:jc w:val="both"/>
        <w:rPr>
          <w:rFonts w:ascii="Times New Roman" w:hAnsi="Times New Roman" w:cs="Times New Roman"/>
          <w:sz w:val="24"/>
          <w:szCs w:val="24"/>
        </w:rPr>
      </w:pPr>
      <w:r w:rsidRPr="00850ECF">
        <w:rPr>
          <w:rFonts w:ascii="Times New Roman" w:hAnsi="Times New Roman" w:cs="Times New Roman"/>
          <w:b/>
          <w:bCs/>
          <w:sz w:val="24"/>
          <w:szCs w:val="24"/>
        </w:rPr>
        <w:t>Note:</w:t>
      </w:r>
      <w:r w:rsidRPr="00850ECF">
        <w:rPr>
          <w:rFonts w:ascii="Times New Roman" w:hAnsi="Times New Roman" w:cs="Times New Roman"/>
          <w:sz w:val="24"/>
          <w:szCs w:val="24"/>
        </w:rPr>
        <w:t xml:space="preserve"> *** Statistically significant at 1% percent level; ** Statistically significant at 5% level * Statistically significant at 10% level; NS - Statistically non-significant</w:t>
      </w:r>
    </w:p>
    <w:p w14:paraId="09526838" w14:textId="6E8ECE0A" w:rsidR="00A0699B" w:rsidRPr="00850ECF" w:rsidRDefault="00595FAC" w:rsidP="00850ECF">
      <w:pPr>
        <w:spacing w:line="480" w:lineRule="auto"/>
        <w:ind w:firstLine="720"/>
        <w:jc w:val="both"/>
        <w:rPr>
          <w:rFonts w:ascii="Times New Roman" w:hAnsi="Times New Roman" w:cs="Times New Roman"/>
          <w:b/>
          <w:bCs/>
          <w:sz w:val="24"/>
          <w:szCs w:val="24"/>
        </w:rPr>
      </w:pPr>
      <w:r w:rsidRPr="00850ECF">
        <w:rPr>
          <w:rFonts w:ascii="Times New Roman" w:hAnsi="Times New Roman" w:cs="Times New Roman"/>
          <w:sz w:val="24"/>
          <w:szCs w:val="24"/>
        </w:rPr>
        <w:t>Despite the decline in cultivated area, overall agricultural production has shown a positive growth trend. In Period I, production grew at an annual rate of 2.59%, though this was only marginally significant at the 10% level. Growth slowed to 1.12% in Period II, with no statistical significance, indicating weaker production gains. However, Period III saw a significant surge of 3.31% annually (significant at the 5% level), reflecting improved output despite reduced cultivated land. Over the entire period, production registered a strong and highly significant growth rate of 3.15% (at the 1% level). This suggests that despite fluctuations in cultivated area, agricultural output has steadily increased, likely due to technological advancements, improved crop varieties, and better farming practices.</w:t>
      </w:r>
    </w:p>
    <w:p w14:paraId="59B24C90" w14:textId="5F4F7C9A" w:rsidR="00D14473" w:rsidRPr="00850ECF" w:rsidRDefault="00D14473" w:rsidP="00850ECF">
      <w:pPr>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 xml:space="preserve">Figure </w:t>
      </w:r>
      <w:r w:rsidR="003E2AFC" w:rsidRPr="00850ECF">
        <w:rPr>
          <w:rFonts w:ascii="Times New Roman" w:hAnsi="Times New Roman" w:cs="Times New Roman"/>
          <w:b/>
          <w:bCs/>
          <w:sz w:val="24"/>
          <w:szCs w:val="24"/>
        </w:rPr>
        <w:t>2</w:t>
      </w:r>
      <w:r w:rsidRPr="00850ECF">
        <w:rPr>
          <w:rFonts w:ascii="Times New Roman" w:hAnsi="Times New Roman" w:cs="Times New Roman"/>
          <w:b/>
          <w:bCs/>
          <w:sz w:val="24"/>
          <w:szCs w:val="24"/>
        </w:rPr>
        <w:t xml:space="preserve">. Compound annual growth </w:t>
      </w:r>
      <w:r w:rsidR="002E113F" w:rsidRPr="00850ECF">
        <w:rPr>
          <w:rFonts w:ascii="Times New Roman" w:hAnsi="Times New Roman" w:cs="Times New Roman"/>
          <w:b/>
          <w:bCs/>
          <w:sz w:val="24"/>
          <w:szCs w:val="24"/>
        </w:rPr>
        <w:t>rates (</w:t>
      </w:r>
      <w:r w:rsidRPr="00850ECF">
        <w:rPr>
          <w:rFonts w:ascii="Times New Roman" w:hAnsi="Times New Roman" w:cs="Times New Roman"/>
          <w:b/>
          <w:bCs/>
          <w:sz w:val="24"/>
          <w:szCs w:val="24"/>
        </w:rPr>
        <w:t xml:space="preserve">CAGR) in the area, production and yield of </w:t>
      </w:r>
      <w:proofErr w:type="spellStart"/>
      <w:r w:rsidRPr="00850ECF">
        <w:rPr>
          <w:rFonts w:ascii="Times New Roman" w:hAnsi="Times New Roman" w:cs="Times New Roman"/>
          <w:b/>
          <w:bCs/>
          <w:sz w:val="24"/>
          <w:szCs w:val="24"/>
        </w:rPr>
        <w:t>chilli</w:t>
      </w:r>
      <w:proofErr w:type="spellEnd"/>
      <w:r w:rsidRPr="00850ECF">
        <w:rPr>
          <w:rFonts w:ascii="Times New Roman" w:hAnsi="Times New Roman" w:cs="Times New Roman"/>
          <w:b/>
          <w:bCs/>
          <w:sz w:val="24"/>
          <w:szCs w:val="24"/>
        </w:rPr>
        <w:t xml:space="preserve"> in India</w:t>
      </w:r>
    </w:p>
    <w:p w14:paraId="63675276" w14:textId="4524B7C6" w:rsidR="003178D1" w:rsidRPr="00850ECF" w:rsidRDefault="003178D1" w:rsidP="00850ECF">
      <w:pPr>
        <w:spacing w:line="480" w:lineRule="auto"/>
        <w:jc w:val="both"/>
        <w:rPr>
          <w:rFonts w:ascii="Times New Roman" w:hAnsi="Times New Roman" w:cs="Times New Roman"/>
          <w:b/>
          <w:bCs/>
          <w:sz w:val="24"/>
          <w:szCs w:val="24"/>
        </w:rPr>
      </w:pPr>
      <w:r w:rsidRPr="00850ECF">
        <w:rPr>
          <w:rFonts w:ascii="Times New Roman" w:eastAsia="Times New Roman" w:hAnsi="Times New Roman" w:cs="Times New Roman"/>
          <w:noProof/>
          <w:kern w:val="0"/>
          <w:sz w:val="24"/>
          <w:szCs w:val="24"/>
        </w:rPr>
        <w:lastRenderedPageBreak/>
        <w:drawing>
          <wp:inline distT="0" distB="0" distL="0" distR="0" wp14:anchorId="2CAAF861" wp14:editId="22A815FD">
            <wp:extent cx="5928360" cy="3406140"/>
            <wp:effectExtent l="0" t="0" r="15240" b="3810"/>
            <wp:docPr id="80816474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8B8A51" w14:textId="17E1A557" w:rsidR="006B7509" w:rsidRDefault="006B7509" w:rsidP="00850ECF">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 xml:space="preserve">A detailed analysis of </w:t>
      </w:r>
      <w:r w:rsidR="00122BD0">
        <w:rPr>
          <w:rFonts w:ascii="Times New Roman" w:hAnsi="Times New Roman" w:cs="Times New Roman"/>
          <w:sz w:val="24"/>
          <w:szCs w:val="24"/>
        </w:rPr>
        <w:t>yield</w:t>
      </w:r>
      <w:r w:rsidRPr="00850ECF">
        <w:rPr>
          <w:rFonts w:ascii="Times New Roman" w:hAnsi="Times New Roman" w:cs="Times New Roman"/>
          <w:sz w:val="24"/>
          <w:szCs w:val="24"/>
        </w:rPr>
        <w:t xml:space="preserve"> further highlights this trend. In Period I, </w:t>
      </w:r>
      <w:r w:rsidR="00122BD0">
        <w:rPr>
          <w:rFonts w:ascii="Times New Roman" w:hAnsi="Times New Roman" w:cs="Times New Roman"/>
          <w:sz w:val="24"/>
          <w:szCs w:val="24"/>
        </w:rPr>
        <w:t>yield</w:t>
      </w:r>
      <w:r w:rsidRPr="00850ECF">
        <w:rPr>
          <w:rFonts w:ascii="Times New Roman" w:hAnsi="Times New Roman" w:cs="Times New Roman"/>
          <w:sz w:val="24"/>
          <w:szCs w:val="24"/>
        </w:rPr>
        <w:t xml:space="preserve"> grew significantly by 3.08% annually (5% level), reflecting early advancements in farming efficiency. However, Period II showed stagnation, with a negligible increase of 0.03% (non-significant), indicating minimal </w:t>
      </w:r>
      <w:r w:rsidR="00122BD0">
        <w:rPr>
          <w:rFonts w:ascii="Times New Roman" w:hAnsi="Times New Roman" w:cs="Times New Roman"/>
          <w:sz w:val="24"/>
          <w:szCs w:val="24"/>
        </w:rPr>
        <w:t>yield</w:t>
      </w:r>
      <w:r w:rsidRPr="00850ECF">
        <w:rPr>
          <w:rFonts w:ascii="Times New Roman" w:hAnsi="Times New Roman" w:cs="Times New Roman"/>
          <w:sz w:val="24"/>
          <w:szCs w:val="24"/>
        </w:rPr>
        <w:t xml:space="preserve"> gains. In contrast, Period III saw a substantial rise in </w:t>
      </w:r>
      <w:r w:rsidR="00122BD0">
        <w:rPr>
          <w:rFonts w:ascii="Times New Roman" w:hAnsi="Times New Roman" w:cs="Times New Roman"/>
          <w:sz w:val="24"/>
          <w:szCs w:val="24"/>
        </w:rPr>
        <w:t>yield</w:t>
      </w:r>
      <w:r w:rsidRPr="00850ECF">
        <w:rPr>
          <w:rFonts w:ascii="Times New Roman" w:hAnsi="Times New Roman" w:cs="Times New Roman"/>
          <w:sz w:val="24"/>
          <w:szCs w:val="24"/>
        </w:rPr>
        <w:t xml:space="preserve"> at 5.27% annually (1% level). Over the entire period (1993–94 to 2021–22), </w:t>
      </w:r>
      <w:r w:rsidR="00122BD0">
        <w:rPr>
          <w:rFonts w:ascii="Times New Roman" w:hAnsi="Times New Roman" w:cs="Times New Roman"/>
          <w:sz w:val="24"/>
          <w:szCs w:val="24"/>
        </w:rPr>
        <w:t>yield</w:t>
      </w:r>
      <w:r w:rsidRPr="00850ECF">
        <w:rPr>
          <w:rFonts w:ascii="Times New Roman" w:hAnsi="Times New Roman" w:cs="Times New Roman"/>
          <w:sz w:val="24"/>
          <w:szCs w:val="24"/>
        </w:rPr>
        <w:t xml:space="preserve"> maintained a strong and statistically significant growth rate of 3.96% (1% level), emphasizing the crucial role of </w:t>
      </w:r>
      <w:r w:rsidR="00122BD0">
        <w:rPr>
          <w:rFonts w:ascii="Times New Roman" w:hAnsi="Times New Roman" w:cs="Times New Roman"/>
          <w:sz w:val="24"/>
          <w:szCs w:val="24"/>
        </w:rPr>
        <w:t>yield</w:t>
      </w:r>
      <w:r w:rsidRPr="00850ECF">
        <w:rPr>
          <w:rFonts w:ascii="Times New Roman" w:hAnsi="Times New Roman" w:cs="Times New Roman"/>
          <w:sz w:val="24"/>
          <w:szCs w:val="24"/>
        </w:rPr>
        <w:t xml:space="preserve"> improvements in enhancing agricultural output.</w:t>
      </w:r>
    </w:p>
    <w:p w14:paraId="35B57D27" w14:textId="77777777" w:rsidR="005D5D10" w:rsidRDefault="003E2AFC" w:rsidP="005D5D10">
      <w:pPr>
        <w:spacing w:line="480" w:lineRule="auto"/>
        <w:jc w:val="both"/>
        <w:rPr>
          <w:rFonts w:ascii="Times New Roman" w:hAnsi="Times New Roman" w:cs="Times New Roman"/>
          <w:sz w:val="24"/>
          <w:szCs w:val="24"/>
        </w:rPr>
      </w:pPr>
      <w:r w:rsidRPr="00850ECF">
        <w:rPr>
          <w:rFonts w:ascii="Times New Roman" w:eastAsia="Times New Roman" w:hAnsi="Times New Roman" w:cs="Times New Roman"/>
          <w:b/>
          <w:bCs/>
          <w:color w:val="000000"/>
          <w:kern w:val="0"/>
          <w:sz w:val="24"/>
          <w:szCs w:val="24"/>
          <w14:ligatures w14:val="none"/>
        </w:rPr>
        <w:t>3.</w:t>
      </w:r>
      <w:r w:rsidR="005D5D10" w:rsidRPr="00850ECF">
        <w:rPr>
          <w:rFonts w:ascii="Times New Roman" w:eastAsia="Times New Roman" w:hAnsi="Times New Roman" w:cs="Times New Roman"/>
          <w:b/>
          <w:bCs/>
          <w:color w:val="000000"/>
          <w:kern w:val="0"/>
          <w:sz w:val="24"/>
          <w:szCs w:val="24"/>
          <w14:ligatures w14:val="none"/>
        </w:rPr>
        <w:t xml:space="preserve">2. </w:t>
      </w:r>
      <w:r w:rsidR="005D5D10" w:rsidRPr="005D5D10">
        <w:rPr>
          <w:rFonts w:ascii="Times New Roman" w:hAnsi="Times New Roman" w:cs="Times New Roman"/>
          <w:b/>
          <w:bCs/>
          <w:sz w:val="24"/>
          <w:szCs w:val="24"/>
        </w:rPr>
        <w:t>Cuddy Della Valle Instability Index (CDVI):</w:t>
      </w:r>
    </w:p>
    <w:p w14:paraId="1F33F711" w14:textId="64FD8F5D" w:rsidR="00E5514D" w:rsidRPr="00850ECF" w:rsidRDefault="006B7509" w:rsidP="005D5D10">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 xml:space="preserve">The analysis of the Cuddy-Della Valle Instability Index (CDVI) for </w:t>
      </w:r>
      <w:proofErr w:type="spellStart"/>
      <w:r w:rsidR="00122BD0">
        <w:rPr>
          <w:rFonts w:ascii="Times New Roman" w:hAnsi="Times New Roman" w:cs="Times New Roman"/>
          <w:sz w:val="24"/>
          <w:szCs w:val="24"/>
        </w:rPr>
        <w:t>chilli</w:t>
      </w:r>
      <w:proofErr w:type="spellEnd"/>
      <w:r w:rsidRPr="00850ECF">
        <w:rPr>
          <w:rFonts w:ascii="Times New Roman" w:hAnsi="Times New Roman" w:cs="Times New Roman"/>
          <w:sz w:val="24"/>
          <w:szCs w:val="24"/>
        </w:rPr>
        <w:t xml:space="preserve"> production in India highlights notable trends in instability over time (Table 2 and Figure 3). In Periods I and II, the CDVI for area remained relatively low and stable at 5.64 and 5.27, indicating minimal fluctuations in land use for </w:t>
      </w:r>
      <w:proofErr w:type="spellStart"/>
      <w:r w:rsidRPr="00850ECF">
        <w:rPr>
          <w:rFonts w:ascii="Times New Roman" w:hAnsi="Times New Roman" w:cs="Times New Roman"/>
          <w:sz w:val="24"/>
          <w:szCs w:val="24"/>
        </w:rPr>
        <w:t>chilli</w:t>
      </w:r>
      <w:proofErr w:type="spellEnd"/>
      <w:r w:rsidRPr="00850ECF">
        <w:rPr>
          <w:rFonts w:ascii="Times New Roman" w:hAnsi="Times New Roman" w:cs="Times New Roman"/>
          <w:sz w:val="24"/>
          <w:szCs w:val="24"/>
        </w:rPr>
        <w:t xml:space="preserve"> cultivation. However, in Period III, the index increased to 6.56, </w:t>
      </w:r>
      <w:r w:rsidRPr="00850ECF">
        <w:rPr>
          <w:rFonts w:ascii="Times New Roman" w:hAnsi="Times New Roman" w:cs="Times New Roman"/>
          <w:sz w:val="24"/>
          <w:szCs w:val="24"/>
        </w:rPr>
        <w:lastRenderedPageBreak/>
        <w:t>suggesting a slight increase in irregularity, possibly due to factors such as competition for land, urbanization, or shifting agricultural priorities. Over the entire period (1993–2022), the overall CDVI for area reached 7.30, reflecting a moderate rise in instability, although the cultivated area remained relatively stable in the long run.</w:t>
      </w:r>
    </w:p>
    <w:p w14:paraId="140D6C52" w14:textId="4690AC95" w:rsidR="00662D81" w:rsidRPr="00850ECF" w:rsidRDefault="00E5514D" w:rsidP="00850ECF">
      <w:pPr>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Table</w:t>
      </w:r>
      <w:r w:rsidR="000073BC" w:rsidRPr="00850ECF">
        <w:rPr>
          <w:rFonts w:ascii="Times New Roman" w:hAnsi="Times New Roman" w:cs="Times New Roman"/>
          <w:b/>
          <w:bCs/>
          <w:sz w:val="24"/>
          <w:szCs w:val="24"/>
        </w:rPr>
        <w:t xml:space="preserve"> 2</w:t>
      </w:r>
      <w:r w:rsidR="00FD4DB6" w:rsidRPr="00850ECF">
        <w:rPr>
          <w:rFonts w:ascii="Times New Roman" w:hAnsi="Times New Roman" w:cs="Times New Roman"/>
          <w:b/>
          <w:bCs/>
          <w:sz w:val="24"/>
          <w:szCs w:val="24"/>
        </w:rPr>
        <w:t xml:space="preserve"> </w:t>
      </w:r>
      <w:r w:rsidR="003E2AFC" w:rsidRPr="00850ECF">
        <w:rPr>
          <w:rFonts w:ascii="Times New Roman" w:hAnsi="Times New Roman" w:cs="Times New Roman"/>
          <w:b/>
          <w:bCs/>
          <w:noProof/>
          <w:sz w:val="24"/>
          <w:szCs w:val="24"/>
        </w:rPr>
        <w:t xml:space="preserve">Cuddy Della Valle Index </w:t>
      </w:r>
      <w:r w:rsidR="00FD4DB6" w:rsidRPr="00850ECF">
        <w:rPr>
          <w:rFonts w:ascii="Times New Roman" w:hAnsi="Times New Roman" w:cs="Times New Roman"/>
          <w:b/>
          <w:bCs/>
          <w:sz w:val="24"/>
          <w:szCs w:val="24"/>
        </w:rPr>
        <w:t xml:space="preserve">in area, production and </w:t>
      </w:r>
      <w:r w:rsidR="00122BD0">
        <w:rPr>
          <w:rFonts w:ascii="Times New Roman" w:hAnsi="Times New Roman" w:cs="Times New Roman"/>
          <w:b/>
          <w:bCs/>
          <w:sz w:val="24"/>
          <w:szCs w:val="24"/>
        </w:rPr>
        <w:t>yield</w:t>
      </w:r>
      <w:r w:rsidR="00A00581" w:rsidRPr="00850ECF">
        <w:rPr>
          <w:rFonts w:ascii="Times New Roman" w:hAnsi="Times New Roman" w:cs="Times New Roman"/>
          <w:b/>
          <w:bCs/>
          <w:sz w:val="24"/>
          <w:szCs w:val="24"/>
        </w:rPr>
        <w:t xml:space="preserve"> </w:t>
      </w:r>
      <w:r w:rsidR="00FD4DB6" w:rsidRPr="00850ECF">
        <w:rPr>
          <w:rFonts w:ascii="Times New Roman" w:hAnsi="Times New Roman" w:cs="Times New Roman"/>
          <w:b/>
          <w:bCs/>
          <w:sz w:val="24"/>
          <w:szCs w:val="24"/>
        </w:rPr>
        <w:t xml:space="preserve">of </w:t>
      </w:r>
      <w:r w:rsidR="00A0699B" w:rsidRPr="00850ECF">
        <w:rPr>
          <w:rFonts w:ascii="Times New Roman" w:hAnsi="Times New Roman" w:cs="Times New Roman"/>
          <w:b/>
          <w:bCs/>
          <w:sz w:val="24"/>
          <w:szCs w:val="24"/>
        </w:rPr>
        <w:t>C</w:t>
      </w:r>
      <w:r w:rsidR="00FD4DB6" w:rsidRPr="00850ECF">
        <w:rPr>
          <w:rFonts w:ascii="Times New Roman" w:hAnsi="Times New Roman" w:cs="Times New Roman"/>
          <w:b/>
          <w:bCs/>
          <w:sz w:val="24"/>
          <w:szCs w:val="24"/>
        </w:rPr>
        <w:t>hilli in India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1559"/>
        <w:gridCol w:w="1843"/>
        <w:gridCol w:w="1559"/>
      </w:tblGrid>
      <w:tr w:rsidR="00E5514D" w:rsidRPr="00850ECF" w14:paraId="55AC05FF" w14:textId="7446B3D5" w:rsidTr="00E5514D">
        <w:trPr>
          <w:trHeight w:val="300"/>
        </w:trPr>
        <w:tc>
          <w:tcPr>
            <w:tcW w:w="846" w:type="dxa"/>
          </w:tcPr>
          <w:p w14:paraId="2088A72F" w14:textId="7EF0668C" w:rsidR="00E5514D" w:rsidRPr="00850ECF" w:rsidRDefault="00E5514D" w:rsidP="00850ECF">
            <w:pPr>
              <w:spacing w:after="0" w:line="480" w:lineRule="auto"/>
              <w:jc w:val="both"/>
              <w:rPr>
                <w:rFonts w:ascii="Times New Roman" w:eastAsia="Times New Roman" w:hAnsi="Times New Roman" w:cs="Times New Roman"/>
                <w:b/>
                <w:bCs/>
                <w:kern w:val="0"/>
                <w:sz w:val="24"/>
                <w:szCs w:val="24"/>
                <w14:ligatures w14:val="none"/>
              </w:rPr>
            </w:pPr>
            <w:r w:rsidRPr="00850ECF">
              <w:rPr>
                <w:rFonts w:ascii="Times New Roman" w:eastAsia="Times New Roman" w:hAnsi="Times New Roman" w:cs="Times New Roman"/>
                <w:b/>
                <w:bCs/>
                <w:kern w:val="0"/>
                <w:sz w:val="24"/>
                <w:szCs w:val="24"/>
                <w14:ligatures w14:val="none"/>
              </w:rPr>
              <w:t>S.</w:t>
            </w:r>
            <w:r w:rsidR="00A0699B" w:rsidRPr="00850ECF">
              <w:rPr>
                <w:rFonts w:ascii="Times New Roman" w:eastAsia="Times New Roman" w:hAnsi="Times New Roman" w:cs="Times New Roman"/>
                <w:b/>
                <w:bCs/>
                <w:kern w:val="0"/>
                <w:sz w:val="24"/>
                <w:szCs w:val="24"/>
                <w14:ligatures w14:val="none"/>
              </w:rPr>
              <w:t xml:space="preserve"> </w:t>
            </w:r>
            <w:r w:rsidRPr="00850ECF">
              <w:rPr>
                <w:rFonts w:ascii="Times New Roman" w:eastAsia="Times New Roman" w:hAnsi="Times New Roman" w:cs="Times New Roman"/>
                <w:b/>
                <w:bCs/>
                <w:kern w:val="0"/>
                <w:sz w:val="24"/>
                <w:szCs w:val="24"/>
                <w14:ligatures w14:val="none"/>
              </w:rPr>
              <w:t>No</w:t>
            </w:r>
          </w:p>
        </w:tc>
        <w:tc>
          <w:tcPr>
            <w:tcW w:w="3402" w:type="dxa"/>
            <w:shd w:val="clear" w:color="auto" w:fill="auto"/>
            <w:noWrap/>
            <w:vAlign w:val="bottom"/>
            <w:hideMark/>
          </w:tcPr>
          <w:p w14:paraId="7DFCBEAB" w14:textId="783EE94A" w:rsidR="00E5514D" w:rsidRPr="00850ECF" w:rsidRDefault="00E5514D" w:rsidP="00850ECF">
            <w:pPr>
              <w:spacing w:after="0" w:line="480" w:lineRule="auto"/>
              <w:jc w:val="both"/>
              <w:rPr>
                <w:rFonts w:ascii="Times New Roman" w:eastAsia="Times New Roman" w:hAnsi="Times New Roman" w:cs="Times New Roman"/>
                <w:b/>
                <w:bCs/>
                <w:kern w:val="0"/>
                <w:sz w:val="24"/>
                <w:szCs w:val="24"/>
                <w14:ligatures w14:val="none"/>
              </w:rPr>
            </w:pPr>
            <w:r w:rsidRPr="00850ECF">
              <w:rPr>
                <w:rFonts w:ascii="Times New Roman" w:eastAsia="Times New Roman" w:hAnsi="Times New Roman" w:cs="Times New Roman"/>
                <w:b/>
                <w:bCs/>
                <w:kern w:val="0"/>
                <w:sz w:val="24"/>
                <w:szCs w:val="24"/>
                <w14:ligatures w14:val="none"/>
              </w:rPr>
              <w:t>Aspects/ Periods</w:t>
            </w:r>
          </w:p>
        </w:tc>
        <w:tc>
          <w:tcPr>
            <w:tcW w:w="1559" w:type="dxa"/>
            <w:vAlign w:val="bottom"/>
          </w:tcPr>
          <w:p w14:paraId="6141F90E" w14:textId="5A779585" w:rsidR="00E5514D" w:rsidRPr="00850ECF" w:rsidRDefault="00E5514D" w:rsidP="00850ECF">
            <w:pPr>
              <w:spacing w:after="0" w:line="480" w:lineRule="auto"/>
              <w:jc w:val="center"/>
              <w:rPr>
                <w:rFonts w:ascii="Times New Roman" w:eastAsia="Times New Roman" w:hAnsi="Times New Roman" w:cs="Times New Roman"/>
                <w:b/>
                <w:bCs/>
                <w:color w:val="000000"/>
                <w:kern w:val="0"/>
                <w:sz w:val="24"/>
                <w:szCs w:val="24"/>
                <w14:ligatures w14:val="none"/>
              </w:rPr>
            </w:pPr>
            <w:r w:rsidRPr="00850ECF">
              <w:rPr>
                <w:rFonts w:ascii="Times New Roman" w:eastAsia="Times New Roman" w:hAnsi="Times New Roman" w:cs="Times New Roman"/>
                <w:b/>
                <w:bCs/>
                <w:color w:val="000000"/>
                <w:kern w:val="0"/>
                <w:sz w:val="24"/>
                <w:szCs w:val="24"/>
                <w14:ligatures w14:val="none"/>
              </w:rPr>
              <w:t>Area</w:t>
            </w:r>
          </w:p>
        </w:tc>
        <w:tc>
          <w:tcPr>
            <w:tcW w:w="1843" w:type="dxa"/>
            <w:vAlign w:val="bottom"/>
          </w:tcPr>
          <w:p w14:paraId="36321489" w14:textId="4EEC9C93" w:rsidR="00E5514D" w:rsidRPr="00850ECF" w:rsidRDefault="00E5514D" w:rsidP="00850ECF">
            <w:pPr>
              <w:spacing w:after="0" w:line="480" w:lineRule="auto"/>
              <w:jc w:val="center"/>
              <w:rPr>
                <w:rFonts w:ascii="Times New Roman" w:eastAsia="Times New Roman" w:hAnsi="Times New Roman" w:cs="Times New Roman"/>
                <w:b/>
                <w:bCs/>
                <w:color w:val="000000"/>
                <w:kern w:val="0"/>
                <w:sz w:val="24"/>
                <w:szCs w:val="24"/>
                <w14:ligatures w14:val="none"/>
              </w:rPr>
            </w:pPr>
            <w:r w:rsidRPr="00850ECF">
              <w:rPr>
                <w:rFonts w:ascii="Times New Roman" w:eastAsia="Times New Roman" w:hAnsi="Times New Roman" w:cs="Times New Roman"/>
                <w:b/>
                <w:bCs/>
                <w:color w:val="000000"/>
                <w:kern w:val="0"/>
                <w:sz w:val="24"/>
                <w:szCs w:val="24"/>
                <w14:ligatures w14:val="none"/>
              </w:rPr>
              <w:t>Production</w:t>
            </w:r>
          </w:p>
        </w:tc>
        <w:tc>
          <w:tcPr>
            <w:tcW w:w="1559" w:type="dxa"/>
            <w:vAlign w:val="bottom"/>
          </w:tcPr>
          <w:p w14:paraId="576DEA1D" w14:textId="58F7A067" w:rsidR="00E5514D" w:rsidRPr="00850ECF" w:rsidRDefault="00122BD0" w:rsidP="00850ECF">
            <w:pPr>
              <w:spacing w:after="0" w:line="480" w:lineRule="auto"/>
              <w:jc w:val="center"/>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Yield </w:t>
            </w:r>
          </w:p>
        </w:tc>
      </w:tr>
      <w:tr w:rsidR="00E5514D" w:rsidRPr="00850ECF" w14:paraId="1360BEAC" w14:textId="2EBB3E91" w:rsidTr="00E5514D">
        <w:trPr>
          <w:trHeight w:val="312"/>
        </w:trPr>
        <w:tc>
          <w:tcPr>
            <w:tcW w:w="846" w:type="dxa"/>
          </w:tcPr>
          <w:p w14:paraId="67B910A6" w14:textId="691491A1" w:rsidR="00E5514D" w:rsidRPr="00850ECF" w:rsidRDefault="00E5514D"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1</w:t>
            </w:r>
          </w:p>
        </w:tc>
        <w:tc>
          <w:tcPr>
            <w:tcW w:w="3402" w:type="dxa"/>
            <w:shd w:val="clear" w:color="auto" w:fill="auto"/>
            <w:noWrap/>
            <w:vAlign w:val="bottom"/>
            <w:hideMark/>
          </w:tcPr>
          <w:p w14:paraId="436EE599" w14:textId="17D76E99" w:rsidR="00E5514D" w:rsidRPr="00850ECF" w:rsidRDefault="00E5514D"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Period I (1993-2002)</w:t>
            </w:r>
          </w:p>
        </w:tc>
        <w:tc>
          <w:tcPr>
            <w:tcW w:w="1559" w:type="dxa"/>
          </w:tcPr>
          <w:p w14:paraId="021D0A66" w14:textId="56E1E661" w:rsidR="00E5514D" w:rsidRPr="00850ECF" w:rsidRDefault="00E5514D"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5.64</w:t>
            </w:r>
          </w:p>
        </w:tc>
        <w:tc>
          <w:tcPr>
            <w:tcW w:w="1843" w:type="dxa"/>
          </w:tcPr>
          <w:p w14:paraId="5C52E842" w14:textId="7EC04E93" w:rsidR="00E5514D" w:rsidRPr="00850ECF" w:rsidRDefault="00E5514D"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10.44</w:t>
            </w:r>
          </w:p>
        </w:tc>
        <w:tc>
          <w:tcPr>
            <w:tcW w:w="1559" w:type="dxa"/>
          </w:tcPr>
          <w:p w14:paraId="605C06F5" w14:textId="44980040" w:rsidR="00E5514D" w:rsidRPr="00850ECF" w:rsidRDefault="00E5514D"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7.29</w:t>
            </w:r>
          </w:p>
        </w:tc>
      </w:tr>
      <w:tr w:rsidR="00E5514D" w:rsidRPr="00850ECF" w14:paraId="2CD3E3CE" w14:textId="5AAF1B41" w:rsidTr="00E5514D">
        <w:trPr>
          <w:trHeight w:val="324"/>
        </w:trPr>
        <w:tc>
          <w:tcPr>
            <w:tcW w:w="846" w:type="dxa"/>
          </w:tcPr>
          <w:p w14:paraId="1817FEB6" w14:textId="5523CB11" w:rsidR="00E5514D" w:rsidRPr="00850ECF" w:rsidRDefault="00E5514D"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2</w:t>
            </w:r>
          </w:p>
        </w:tc>
        <w:tc>
          <w:tcPr>
            <w:tcW w:w="3402" w:type="dxa"/>
            <w:shd w:val="clear" w:color="auto" w:fill="auto"/>
            <w:noWrap/>
            <w:vAlign w:val="bottom"/>
            <w:hideMark/>
          </w:tcPr>
          <w:p w14:paraId="61E9F18C" w14:textId="1625646E" w:rsidR="00E5514D" w:rsidRPr="00850ECF" w:rsidRDefault="00E5514D"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Period II (2003-2012)</w:t>
            </w:r>
          </w:p>
        </w:tc>
        <w:tc>
          <w:tcPr>
            <w:tcW w:w="1559" w:type="dxa"/>
          </w:tcPr>
          <w:p w14:paraId="15FDE687" w14:textId="2B146048" w:rsidR="00E5514D" w:rsidRPr="00850ECF" w:rsidRDefault="00E5514D"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5.27</w:t>
            </w:r>
          </w:p>
        </w:tc>
        <w:tc>
          <w:tcPr>
            <w:tcW w:w="1843" w:type="dxa"/>
          </w:tcPr>
          <w:p w14:paraId="12F5A7BA" w14:textId="4D99BE9B" w:rsidR="00E5514D" w:rsidRPr="00850ECF" w:rsidRDefault="00E5514D"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6.37</w:t>
            </w:r>
          </w:p>
        </w:tc>
        <w:tc>
          <w:tcPr>
            <w:tcW w:w="1559" w:type="dxa"/>
          </w:tcPr>
          <w:p w14:paraId="0AB57D3C" w14:textId="5FC9803F" w:rsidR="00E5514D" w:rsidRPr="00850ECF" w:rsidRDefault="00E5514D"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2.25</w:t>
            </w:r>
          </w:p>
        </w:tc>
      </w:tr>
      <w:tr w:rsidR="00E5514D" w:rsidRPr="00850ECF" w14:paraId="126AD507" w14:textId="0FFE1996" w:rsidTr="00E5514D">
        <w:trPr>
          <w:trHeight w:val="312"/>
        </w:trPr>
        <w:tc>
          <w:tcPr>
            <w:tcW w:w="846" w:type="dxa"/>
          </w:tcPr>
          <w:p w14:paraId="0DCFDB4E" w14:textId="5932357F" w:rsidR="00E5514D" w:rsidRPr="00850ECF" w:rsidRDefault="00E5514D"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3</w:t>
            </w:r>
          </w:p>
        </w:tc>
        <w:tc>
          <w:tcPr>
            <w:tcW w:w="3402" w:type="dxa"/>
            <w:shd w:val="clear" w:color="auto" w:fill="auto"/>
            <w:noWrap/>
            <w:vAlign w:val="bottom"/>
            <w:hideMark/>
          </w:tcPr>
          <w:p w14:paraId="2B489AD9" w14:textId="63E9D0F8" w:rsidR="00E5514D" w:rsidRPr="00850ECF" w:rsidRDefault="00E5514D"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Period III (2013-2022)</w:t>
            </w:r>
          </w:p>
        </w:tc>
        <w:tc>
          <w:tcPr>
            <w:tcW w:w="1559" w:type="dxa"/>
          </w:tcPr>
          <w:p w14:paraId="1BC4D654" w14:textId="3225C4F4" w:rsidR="00E5514D" w:rsidRPr="00850ECF" w:rsidRDefault="00E5514D"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6.56</w:t>
            </w:r>
          </w:p>
        </w:tc>
        <w:tc>
          <w:tcPr>
            <w:tcW w:w="1843" w:type="dxa"/>
          </w:tcPr>
          <w:p w14:paraId="43C5FD98" w14:textId="6D459F26" w:rsidR="00E5514D" w:rsidRPr="00850ECF" w:rsidRDefault="00E5514D"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10.95</w:t>
            </w:r>
          </w:p>
        </w:tc>
        <w:tc>
          <w:tcPr>
            <w:tcW w:w="1559" w:type="dxa"/>
          </w:tcPr>
          <w:p w14:paraId="22283F73" w14:textId="29E2B538" w:rsidR="00E5514D" w:rsidRPr="00850ECF" w:rsidRDefault="00E5514D"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10.52</w:t>
            </w:r>
          </w:p>
        </w:tc>
      </w:tr>
      <w:tr w:rsidR="00E5514D" w:rsidRPr="00850ECF" w14:paraId="3F58CFD7" w14:textId="2CAD9111" w:rsidTr="00E5514D">
        <w:trPr>
          <w:trHeight w:val="300"/>
        </w:trPr>
        <w:tc>
          <w:tcPr>
            <w:tcW w:w="846" w:type="dxa"/>
          </w:tcPr>
          <w:p w14:paraId="4328EC68" w14:textId="763B3FAC" w:rsidR="00E5514D" w:rsidRPr="00850ECF" w:rsidRDefault="00E5514D"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4</w:t>
            </w:r>
          </w:p>
        </w:tc>
        <w:tc>
          <w:tcPr>
            <w:tcW w:w="3402" w:type="dxa"/>
            <w:shd w:val="clear" w:color="auto" w:fill="auto"/>
            <w:noWrap/>
            <w:vAlign w:val="bottom"/>
            <w:hideMark/>
          </w:tcPr>
          <w:p w14:paraId="7FC2B55D" w14:textId="07F837BF" w:rsidR="00E5514D" w:rsidRPr="00850ECF" w:rsidRDefault="00E5514D"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Overall Period</w:t>
            </w:r>
            <w:r w:rsidR="008E6E3D" w:rsidRPr="00850ECF">
              <w:rPr>
                <w:rFonts w:ascii="Times New Roman" w:eastAsia="Times New Roman" w:hAnsi="Times New Roman" w:cs="Times New Roman"/>
                <w:color w:val="000000"/>
                <w:kern w:val="0"/>
                <w:sz w:val="24"/>
                <w:szCs w:val="24"/>
                <w14:ligatures w14:val="none"/>
              </w:rPr>
              <w:t xml:space="preserve"> </w:t>
            </w:r>
            <w:r w:rsidRPr="00850ECF">
              <w:rPr>
                <w:rFonts w:ascii="Times New Roman" w:eastAsia="Times New Roman" w:hAnsi="Times New Roman" w:cs="Times New Roman"/>
                <w:color w:val="000000"/>
                <w:kern w:val="0"/>
                <w:sz w:val="24"/>
                <w:szCs w:val="24"/>
                <w14:ligatures w14:val="none"/>
              </w:rPr>
              <w:t>(1993-2022)</w:t>
            </w:r>
          </w:p>
        </w:tc>
        <w:tc>
          <w:tcPr>
            <w:tcW w:w="1559" w:type="dxa"/>
          </w:tcPr>
          <w:p w14:paraId="560F657B" w14:textId="6CC39070" w:rsidR="00E5514D" w:rsidRPr="00850ECF" w:rsidRDefault="00E5514D"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7.30</w:t>
            </w:r>
          </w:p>
        </w:tc>
        <w:tc>
          <w:tcPr>
            <w:tcW w:w="1843" w:type="dxa"/>
          </w:tcPr>
          <w:p w14:paraId="5430C656" w14:textId="323EAACF" w:rsidR="00E5514D" w:rsidRPr="00850ECF" w:rsidRDefault="00E5514D"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10.19</w:t>
            </w:r>
          </w:p>
        </w:tc>
        <w:tc>
          <w:tcPr>
            <w:tcW w:w="1559" w:type="dxa"/>
          </w:tcPr>
          <w:p w14:paraId="19A2F8A5" w14:textId="134AFF1C" w:rsidR="00E5514D" w:rsidRPr="00850ECF" w:rsidRDefault="00E5514D"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10.32</w:t>
            </w:r>
          </w:p>
        </w:tc>
      </w:tr>
    </w:tbl>
    <w:p w14:paraId="4002B8EF" w14:textId="3739AFE3" w:rsidR="003E2AFC" w:rsidRPr="00850ECF" w:rsidRDefault="003E2AFC" w:rsidP="00850ECF">
      <w:pPr>
        <w:spacing w:line="480" w:lineRule="auto"/>
        <w:jc w:val="center"/>
        <w:rPr>
          <w:rFonts w:ascii="Times New Roman" w:hAnsi="Times New Roman" w:cs="Times New Roman"/>
          <w:b/>
          <w:bCs/>
          <w:noProof/>
          <w:sz w:val="24"/>
          <w:szCs w:val="24"/>
        </w:rPr>
      </w:pPr>
      <w:r w:rsidRPr="00850ECF">
        <w:rPr>
          <w:rFonts w:ascii="Times New Roman" w:hAnsi="Times New Roman" w:cs="Times New Roman"/>
          <w:b/>
          <w:bCs/>
          <w:noProof/>
          <w:sz w:val="24"/>
          <w:szCs w:val="24"/>
        </w:rPr>
        <w:t xml:space="preserve">Figure 3 Cuddy Della Valle Index </w:t>
      </w:r>
      <w:r w:rsidRPr="00850ECF">
        <w:rPr>
          <w:rFonts w:ascii="Times New Roman" w:hAnsi="Times New Roman" w:cs="Times New Roman"/>
          <w:b/>
          <w:bCs/>
          <w:sz w:val="24"/>
          <w:szCs w:val="24"/>
        </w:rPr>
        <w:t xml:space="preserve">in area, production and </w:t>
      </w:r>
      <w:r w:rsidR="00122BD0">
        <w:rPr>
          <w:rFonts w:ascii="Times New Roman" w:hAnsi="Times New Roman" w:cs="Times New Roman"/>
          <w:b/>
          <w:bCs/>
          <w:sz w:val="24"/>
          <w:szCs w:val="24"/>
        </w:rPr>
        <w:t xml:space="preserve">Yield </w:t>
      </w:r>
      <w:r w:rsidRPr="00850ECF">
        <w:rPr>
          <w:rFonts w:ascii="Times New Roman" w:hAnsi="Times New Roman" w:cs="Times New Roman"/>
          <w:b/>
          <w:bCs/>
          <w:sz w:val="24"/>
          <w:szCs w:val="24"/>
        </w:rPr>
        <w:t>of Chilli in India</w:t>
      </w:r>
    </w:p>
    <w:p w14:paraId="2FEF8454" w14:textId="12B454EC" w:rsidR="000073BC" w:rsidRPr="00850ECF" w:rsidRDefault="000073BC" w:rsidP="00850ECF">
      <w:pPr>
        <w:spacing w:line="480" w:lineRule="auto"/>
        <w:jc w:val="center"/>
        <w:rPr>
          <w:rFonts w:ascii="Times New Roman" w:hAnsi="Times New Roman" w:cs="Times New Roman"/>
          <w:sz w:val="24"/>
          <w:szCs w:val="24"/>
        </w:rPr>
      </w:pPr>
      <w:r w:rsidRPr="00850ECF">
        <w:rPr>
          <w:rFonts w:ascii="Times New Roman" w:hAnsi="Times New Roman" w:cs="Times New Roman"/>
          <w:noProof/>
          <w:sz w:val="24"/>
          <w:szCs w:val="24"/>
        </w:rPr>
        <w:drawing>
          <wp:inline distT="0" distB="0" distL="0" distR="0" wp14:anchorId="2B2AA360" wp14:editId="5A8E8947">
            <wp:extent cx="5943600" cy="2880360"/>
            <wp:effectExtent l="0" t="0" r="0" b="15240"/>
            <wp:docPr id="21218852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15C41AB" w14:textId="09365EE3" w:rsidR="000073BC" w:rsidRPr="00850ECF" w:rsidRDefault="000073BC" w:rsidP="00850ECF">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 xml:space="preserve">In contrast, </w:t>
      </w:r>
      <w:proofErr w:type="spellStart"/>
      <w:r w:rsidRPr="00850ECF">
        <w:rPr>
          <w:rFonts w:ascii="Times New Roman" w:hAnsi="Times New Roman" w:cs="Times New Roman"/>
          <w:sz w:val="24"/>
          <w:szCs w:val="24"/>
        </w:rPr>
        <w:t>chilli</w:t>
      </w:r>
      <w:proofErr w:type="spellEnd"/>
      <w:r w:rsidRPr="00850ECF">
        <w:rPr>
          <w:rFonts w:ascii="Times New Roman" w:hAnsi="Times New Roman" w:cs="Times New Roman"/>
          <w:sz w:val="24"/>
          <w:szCs w:val="24"/>
        </w:rPr>
        <w:t xml:space="preserve"> production exhibited greater variability. The CDVI for production was 10.44 in Period I, indicating moderate instability, but declined to 6.37 in Period II, suggesting a </w:t>
      </w:r>
      <w:r w:rsidRPr="00850ECF">
        <w:rPr>
          <w:rFonts w:ascii="Times New Roman" w:hAnsi="Times New Roman" w:cs="Times New Roman"/>
          <w:sz w:val="24"/>
          <w:szCs w:val="24"/>
        </w:rPr>
        <w:lastRenderedPageBreak/>
        <w:t>phase of increased stability. However, the most notable surge occurred in Period III, where the CDVI rose sharply to 10.95, highlighting heightened unpredictability in production. This fluctuation may be linked to factors such as climate variability, market demand shifts, and other external influences.</w:t>
      </w:r>
      <w:r w:rsidR="003E2AFC" w:rsidRPr="00850ECF">
        <w:rPr>
          <w:rFonts w:ascii="Times New Roman" w:hAnsi="Times New Roman" w:cs="Times New Roman"/>
          <w:sz w:val="24"/>
          <w:szCs w:val="24"/>
        </w:rPr>
        <w:t xml:space="preserve"> </w:t>
      </w:r>
      <w:r w:rsidRPr="00850ECF">
        <w:rPr>
          <w:rFonts w:ascii="Times New Roman" w:hAnsi="Times New Roman" w:cs="Times New Roman"/>
          <w:sz w:val="24"/>
          <w:szCs w:val="24"/>
        </w:rPr>
        <w:t xml:space="preserve">Over the entire period, the overall CDVI for production stood at 10.19, reflecting a persistent level of instability in </w:t>
      </w:r>
      <w:proofErr w:type="spellStart"/>
      <w:r w:rsidRPr="00850ECF">
        <w:rPr>
          <w:rFonts w:ascii="Times New Roman" w:hAnsi="Times New Roman" w:cs="Times New Roman"/>
          <w:sz w:val="24"/>
          <w:szCs w:val="24"/>
        </w:rPr>
        <w:t>chilli</w:t>
      </w:r>
      <w:proofErr w:type="spellEnd"/>
      <w:r w:rsidRPr="00850ECF">
        <w:rPr>
          <w:rFonts w:ascii="Times New Roman" w:hAnsi="Times New Roman" w:cs="Times New Roman"/>
          <w:sz w:val="24"/>
          <w:szCs w:val="24"/>
        </w:rPr>
        <w:t xml:space="preserve"> output. </w:t>
      </w:r>
    </w:p>
    <w:p w14:paraId="52312632" w14:textId="706D5064" w:rsidR="000073BC" w:rsidRPr="00850ECF" w:rsidRDefault="000073BC" w:rsidP="00850ECF">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 xml:space="preserve">The </w:t>
      </w:r>
      <w:r w:rsidR="00122BD0">
        <w:rPr>
          <w:rFonts w:ascii="Times New Roman" w:hAnsi="Times New Roman" w:cs="Times New Roman"/>
          <w:sz w:val="24"/>
          <w:szCs w:val="24"/>
        </w:rPr>
        <w:t>yield</w:t>
      </w:r>
      <w:r w:rsidRPr="00850ECF">
        <w:rPr>
          <w:rFonts w:ascii="Times New Roman" w:hAnsi="Times New Roman" w:cs="Times New Roman"/>
          <w:sz w:val="24"/>
          <w:szCs w:val="24"/>
        </w:rPr>
        <w:t xml:space="preserve"> of </w:t>
      </w:r>
      <w:proofErr w:type="spellStart"/>
      <w:r w:rsidR="00122BD0">
        <w:rPr>
          <w:rFonts w:ascii="Times New Roman" w:hAnsi="Times New Roman" w:cs="Times New Roman"/>
          <w:sz w:val="24"/>
          <w:szCs w:val="24"/>
        </w:rPr>
        <w:t>chilli</w:t>
      </w:r>
      <w:proofErr w:type="spellEnd"/>
      <w:r w:rsidRPr="00850ECF">
        <w:rPr>
          <w:rFonts w:ascii="Times New Roman" w:hAnsi="Times New Roman" w:cs="Times New Roman"/>
          <w:sz w:val="24"/>
          <w:szCs w:val="24"/>
        </w:rPr>
        <w:t xml:space="preserve"> exhibited the highest level of instability. The CDVI for </w:t>
      </w:r>
      <w:r w:rsidR="00122BD0">
        <w:rPr>
          <w:rFonts w:ascii="Times New Roman" w:hAnsi="Times New Roman" w:cs="Times New Roman"/>
          <w:sz w:val="24"/>
          <w:szCs w:val="24"/>
        </w:rPr>
        <w:t>yield</w:t>
      </w:r>
      <w:r w:rsidRPr="00850ECF">
        <w:rPr>
          <w:rFonts w:ascii="Times New Roman" w:hAnsi="Times New Roman" w:cs="Times New Roman"/>
          <w:sz w:val="24"/>
          <w:szCs w:val="24"/>
        </w:rPr>
        <w:t xml:space="preserve"> in Period I was 7.29, indicating moderate fluctuations, but it dropped significantly to 2.25 in Period II, suggesting a more stable phase. However, in Period III, the CDVI for </w:t>
      </w:r>
      <w:r w:rsidR="00122BD0">
        <w:rPr>
          <w:rFonts w:ascii="Times New Roman" w:hAnsi="Times New Roman" w:cs="Times New Roman"/>
          <w:sz w:val="24"/>
          <w:szCs w:val="24"/>
        </w:rPr>
        <w:t>yield</w:t>
      </w:r>
      <w:r w:rsidRPr="00850ECF">
        <w:rPr>
          <w:rFonts w:ascii="Times New Roman" w:hAnsi="Times New Roman" w:cs="Times New Roman"/>
          <w:sz w:val="24"/>
          <w:szCs w:val="24"/>
        </w:rPr>
        <w:t xml:space="preserve"> spiked to 10.52, reflecting a sharp rise in instability, likely due to challenges such as unpredictable weather, water scarcity, and pest infestations. Over the entire period (1993–94 to 2021–22), the overall CDVI for </w:t>
      </w:r>
      <w:r w:rsidR="00122BD0">
        <w:rPr>
          <w:rFonts w:ascii="Times New Roman" w:hAnsi="Times New Roman" w:cs="Times New Roman"/>
          <w:sz w:val="24"/>
          <w:szCs w:val="24"/>
        </w:rPr>
        <w:t xml:space="preserve">yield </w:t>
      </w:r>
      <w:r w:rsidRPr="00850ECF">
        <w:rPr>
          <w:rFonts w:ascii="Times New Roman" w:hAnsi="Times New Roman" w:cs="Times New Roman"/>
          <w:sz w:val="24"/>
          <w:szCs w:val="24"/>
        </w:rPr>
        <w:t xml:space="preserve">stood at 10.32, highlighting persistent volatility, especially in the later years, underscoring the need for measures to enhance stability in </w:t>
      </w:r>
      <w:proofErr w:type="spellStart"/>
      <w:r w:rsidRPr="00850ECF">
        <w:rPr>
          <w:rFonts w:ascii="Times New Roman" w:hAnsi="Times New Roman" w:cs="Times New Roman"/>
          <w:sz w:val="24"/>
          <w:szCs w:val="24"/>
        </w:rPr>
        <w:t>chilli</w:t>
      </w:r>
      <w:proofErr w:type="spellEnd"/>
      <w:r w:rsidRPr="00850ECF">
        <w:rPr>
          <w:rFonts w:ascii="Times New Roman" w:hAnsi="Times New Roman" w:cs="Times New Roman"/>
          <w:sz w:val="24"/>
          <w:szCs w:val="24"/>
        </w:rPr>
        <w:t xml:space="preserve"> production</w:t>
      </w:r>
    </w:p>
    <w:p w14:paraId="6D66D10D" w14:textId="4213D7B5" w:rsidR="00F00C15" w:rsidRPr="00850ECF" w:rsidRDefault="00F00C15" w:rsidP="00850ECF">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 xml:space="preserve">In summary, while the area under chili cultivation has remained relatively stable, both production and yield have become increasingly volatile, particularly from </w:t>
      </w:r>
      <w:r w:rsidR="008F7B25" w:rsidRPr="00850ECF">
        <w:rPr>
          <w:rFonts w:ascii="Times New Roman" w:hAnsi="Times New Roman" w:cs="Times New Roman"/>
          <w:sz w:val="24"/>
          <w:szCs w:val="24"/>
        </w:rPr>
        <w:t xml:space="preserve">period III </w:t>
      </w:r>
      <w:r w:rsidRPr="00850ECF">
        <w:rPr>
          <w:rFonts w:ascii="Times New Roman" w:hAnsi="Times New Roman" w:cs="Times New Roman"/>
          <w:sz w:val="24"/>
          <w:szCs w:val="24"/>
        </w:rPr>
        <w:t>onwards. This trend highlights the growing challenges in managing chili production in India, driven by environmental, technological, and market uncertainties.</w:t>
      </w:r>
    </w:p>
    <w:p w14:paraId="398624E1" w14:textId="6FA142DF" w:rsidR="00A11C47" w:rsidRPr="00850ECF" w:rsidRDefault="00A11C47" w:rsidP="00850ECF">
      <w:pPr>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 xml:space="preserve">Decomposition annual of area, production and yield of </w:t>
      </w:r>
      <w:proofErr w:type="spellStart"/>
      <w:r w:rsidR="00122BD0">
        <w:rPr>
          <w:rFonts w:ascii="Times New Roman" w:hAnsi="Times New Roman" w:cs="Times New Roman"/>
          <w:b/>
          <w:bCs/>
          <w:sz w:val="24"/>
          <w:szCs w:val="24"/>
        </w:rPr>
        <w:t>chilli</w:t>
      </w:r>
      <w:proofErr w:type="spellEnd"/>
      <w:r w:rsidRPr="00850ECF">
        <w:rPr>
          <w:rFonts w:ascii="Times New Roman" w:hAnsi="Times New Roman" w:cs="Times New Roman"/>
          <w:b/>
          <w:bCs/>
          <w:sz w:val="24"/>
          <w:szCs w:val="24"/>
        </w:rPr>
        <w:t xml:space="preserve"> in India</w:t>
      </w:r>
    </w:p>
    <w:p w14:paraId="3CBEC8B7" w14:textId="2CB1F514" w:rsidR="00A11C47" w:rsidRPr="00850ECF" w:rsidRDefault="00A11C47" w:rsidP="006E0BA3">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 xml:space="preserve">Decomposition analysis was carried out to evaluate the influence of area, </w:t>
      </w:r>
      <w:r w:rsidR="00122BD0">
        <w:rPr>
          <w:rFonts w:ascii="Times New Roman" w:hAnsi="Times New Roman" w:cs="Times New Roman"/>
          <w:sz w:val="24"/>
          <w:szCs w:val="24"/>
        </w:rPr>
        <w:t>yield</w:t>
      </w:r>
      <w:r w:rsidRPr="00850ECF">
        <w:rPr>
          <w:rFonts w:ascii="Times New Roman" w:hAnsi="Times New Roman" w:cs="Times New Roman"/>
          <w:sz w:val="24"/>
          <w:szCs w:val="24"/>
        </w:rPr>
        <w:t>, and their interaction effects on production variability. The results of this analysis are presented in Table 3 and Figure 4.</w:t>
      </w:r>
    </w:p>
    <w:p w14:paraId="232B5A45" w14:textId="0E47139F" w:rsidR="000073BC" w:rsidRPr="00850ECF" w:rsidRDefault="000073BC" w:rsidP="00850ECF">
      <w:pPr>
        <w:spacing w:line="480" w:lineRule="auto"/>
        <w:jc w:val="center"/>
        <w:rPr>
          <w:rFonts w:ascii="Times New Roman" w:hAnsi="Times New Roman" w:cs="Times New Roman"/>
          <w:b/>
          <w:bCs/>
          <w:sz w:val="24"/>
          <w:szCs w:val="24"/>
        </w:rPr>
      </w:pPr>
      <w:r w:rsidRPr="00850ECF">
        <w:rPr>
          <w:rFonts w:ascii="Times New Roman" w:hAnsi="Times New Roman" w:cs="Times New Roman"/>
          <w:b/>
          <w:bCs/>
          <w:sz w:val="24"/>
          <w:szCs w:val="24"/>
        </w:rPr>
        <w:t xml:space="preserve">Table 3. Decomposition analysis in area, production and </w:t>
      </w:r>
      <w:r w:rsidR="00122BD0">
        <w:rPr>
          <w:rFonts w:ascii="Times New Roman" w:hAnsi="Times New Roman" w:cs="Times New Roman"/>
          <w:b/>
          <w:bCs/>
          <w:sz w:val="24"/>
          <w:szCs w:val="24"/>
        </w:rPr>
        <w:t>yield</w:t>
      </w:r>
      <w:r w:rsidR="00FB4600">
        <w:rPr>
          <w:rFonts w:ascii="Times New Roman" w:hAnsi="Times New Roman" w:cs="Times New Roman"/>
          <w:b/>
          <w:bCs/>
          <w:sz w:val="24"/>
          <w:szCs w:val="24"/>
        </w:rPr>
        <w:t xml:space="preserve"> </w:t>
      </w:r>
      <w:r w:rsidRPr="00850ECF">
        <w:rPr>
          <w:rFonts w:ascii="Times New Roman" w:hAnsi="Times New Roman" w:cs="Times New Roman"/>
          <w:b/>
          <w:bCs/>
          <w:sz w:val="24"/>
          <w:szCs w:val="24"/>
        </w:rPr>
        <w:t xml:space="preserve">of </w:t>
      </w:r>
      <w:proofErr w:type="spellStart"/>
      <w:r w:rsidR="00122BD0">
        <w:rPr>
          <w:rFonts w:ascii="Times New Roman" w:hAnsi="Times New Roman" w:cs="Times New Roman"/>
          <w:b/>
          <w:bCs/>
          <w:sz w:val="24"/>
          <w:szCs w:val="24"/>
        </w:rPr>
        <w:t>chilli</w:t>
      </w:r>
      <w:proofErr w:type="spellEnd"/>
      <w:r w:rsidRPr="00850ECF">
        <w:rPr>
          <w:rFonts w:ascii="Times New Roman" w:hAnsi="Times New Roman" w:cs="Times New Roman"/>
          <w:b/>
          <w:bCs/>
          <w:sz w:val="24"/>
          <w:szCs w:val="24"/>
        </w:rPr>
        <w:t xml:space="preserve"> in India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693"/>
        <w:gridCol w:w="1843"/>
        <w:gridCol w:w="2552"/>
      </w:tblGrid>
      <w:tr w:rsidR="00A031CC" w:rsidRPr="00850ECF" w14:paraId="0CC9EE07" w14:textId="77777777" w:rsidTr="00A00581">
        <w:trPr>
          <w:trHeight w:val="300"/>
        </w:trPr>
        <w:tc>
          <w:tcPr>
            <w:tcW w:w="2972" w:type="dxa"/>
            <w:shd w:val="clear" w:color="auto" w:fill="auto"/>
            <w:noWrap/>
            <w:vAlign w:val="bottom"/>
            <w:hideMark/>
          </w:tcPr>
          <w:p w14:paraId="5EF9A7A2" w14:textId="4D24A5ED" w:rsidR="00A031CC" w:rsidRPr="00850ECF" w:rsidRDefault="00A031CC" w:rsidP="00850ECF">
            <w:pPr>
              <w:spacing w:after="0" w:line="480" w:lineRule="auto"/>
              <w:jc w:val="both"/>
              <w:rPr>
                <w:rFonts w:ascii="Times New Roman" w:eastAsia="Times New Roman" w:hAnsi="Times New Roman" w:cs="Times New Roman"/>
                <w:b/>
                <w:bCs/>
                <w:kern w:val="0"/>
                <w:sz w:val="24"/>
                <w:szCs w:val="24"/>
                <w14:ligatures w14:val="none"/>
              </w:rPr>
            </w:pPr>
          </w:p>
        </w:tc>
        <w:tc>
          <w:tcPr>
            <w:tcW w:w="2693" w:type="dxa"/>
            <w:vAlign w:val="bottom"/>
          </w:tcPr>
          <w:p w14:paraId="2AA0E937" w14:textId="57C87E92" w:rsidR="00A031CC" w:rsidRPr="00850ECF" w:rsidRDefault="00122BD0" w:rsidP="00850ECF">
            <w:pPr>
              <w:spacing w:after="0" w:line="480" w:lineRule="auto"/>
              <w:jc w:val="center"/>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Yield</w:t>
            </w:r>
            <w:r w:rsidR="00A11C47" w:rsidRPr="00850ECF">
              <w:rPr>
                <w:rFonts w:ascii="Times New Roman" w:eastAsia="Times New Roman" w:hAnsi="Times New Roman" w:cs="Times New Roman"/>
                <w:b/>
                <w:bCs/>
                <w:color w:val="000000"/>
                <w:kern w:val="0"/>
                <w:sz w:val="24"/>
                <w:szCs w:val="24"/>
                <w14:ligatures w14:val="none"/>
              </w:rPr>
              <w:t xml:space="preserve"> effect</w:t>
            </w:r>
            <w:r w:rsidR="003C1EAD" w:rsidRPr="00850ECF">
              <w:rPr>
                <w:rFonts w:ascii="Times New Roman" w:eastAsia="Times New Roman" w:hAnsi="Times New Roman" w:cs="Times New Roman"/>
                <w:b/>
                <w:bCs/>
                <w:color w:val="000000"/>
                <w:kern w:val="0"/>
                <w:sz w:val="24"/>
                <w:szCs w:val="24"/>
                <w14:ligatures w14:val="none"/>
              </w:rPr>
              <w:t xml:space="preserve"> (</w:t>
            </w:r>
            <w:r w:rsidR="00A031CC" w:rsidRPr="00850ECF">
              <w:rPr>
                <w:rFonts w:ascii="Times New Roman" w:eastAsia="Times New Roman" w:hAnsi="Times New Roman" w:cs="Times New Roman"/>
                <w:b/>
                <w:bCs/>
                <w:color w:val="000000"/>
                <w:kern w:val="0"/>
                <w:sz w:val="24"/>
                <w:szCs w:val="24"/>
                <w14:ligatures w14:val="none"/>
              </w:rPr>
              <w:t>%)</w:t>
            </w:r>
          </w:p>
        </w:tc>
        <w:tc>
          <w:tcPr>
            <w:tcW w:w="1843" w:type="dxa"/>
            <w:vAlign w:val="bottom"/>
          </w:tcPr>
          <w:p w14:paraId="7A1FA404" w14:textId="4BFE4D54" w:rsidR="00A031CC" w:rsidRPr="00850ECF" w:rsidRDefault="003C1EAD" w:rsidP="00850ECF">
            <w:pPr>
              <w:spacing w:after="0" w:line="480" w:lineRule="auto"/>
              <w:jc w:val="center"/>
              <w:rPr>
                <w:rFonts w:ascii="Times New Roman" w:eastAsia="Times New Roman" w:hAnsi="Times New Roman" w:cs="Times New Roman"/>
                <w:b/>
                <w:bCs/>
                <w:color w:val="000000"/>
                <w:kern w:val="0"/>
                <w:sz w:val="24"/>
                <w:szCs w:val="24"/>
                <w14:ligatures w14:val="none"/>
              </w:rPr>
            </w:pPr>
            <w:r w:rsidRPr="00850ECF">
              <w:rPr>
                <w:rFonts w:ascii="Times New Roman" w:eastAsia="Times New Roman" w:hAnsi="Times New Roman" w:cs="Times New Roman"/>
                <w:b/>
                <w:bCs/>
                <w:color w:val="000000"/>
                <w:kern w:val="0"/>
                <w:sz w:val="24"/>
                <w:szCs w:val="24"/>
                <w14:ligatures w14:val="none"/>
              </w:rPr>
              <w:t xml:space="preserve">Area </w:t>
            </w:r>
            <w:r w:rsidR="00A031CC" w:rsidRPr="00850ECF">
              <w:rPr>
                <w:rFonts w:ascii="Times New Roman" w:eastAsia="Times New Roman" w:hAnsi="Times New Roman" w:cs="Times New Roman"/>
                <w:b/>
                <w:bCs/>
                <w:color w:val="000000"/>
                <w:kern w:val="0"/>
                <w:sz w:val="24"/>
                <w:szCs w:val="24"/>
                <w14:ligatures w14:val="none"/>
              </w:rPr>
              <w:t>effect (%)</w:t>
            </w:r>
          </w:p>
        </w:tc>
        <w:tc>
          <w:tcPr>
            <w:tcW w:w="2552" w:type="dxa"/>
            <w:vAlign w:val="bottom"/>
          </w:tcPr>
          <w:p w14:paraId="2AE420C5" w14:textId="179611F7" w:rsidR="00A031CC" w:rsidRPr="00850ECF" w:rsidRDefault="00A031CC" w:rsidP="00850ECF">
            <w:pPr>
              <w:spacing w:after="0" w:line="480" w:lineRule="auto"/>
              <w:jc w:val="center"/>
              <w:rPr>
                <w:rFonts w:ascii="Times New Roman" w:eastAsia="Times New Roman" w:hAnsi="Times New Roman" w:cs="Times New Roman"/>
                <w:b/>
                <w:bCs/>
                <w:color w:val="000000"/>
                <w:kern w:val="0"/>
                <w:sz w:val="24"/>
                <w:szCs w:val="24"/>
                <w14:ligatures w14:val="none"/>
              </w:rPr>
            </w:pPr>
            <w:r w:rsidRPr="00850ECF">
              <w:rPr>
                <w:rFonts w:ascii="Times New Roman" w:eastAsia="Times New Roman" w:hAnsi="Times New Roman" w:cs="Times New Roman"/>
                <w:b/>
                <w:bCs/>
                <w:color w:val="000000"/>
                <w:kern w:val="0"/>
                <w:sz w:val="24"/>
                <w:szCs w:val="24"/>
                <w14:ligatures w14:val="none"/>
              </w:rPr>
              <w:t>Interaction effect (%)</w:t>
            </w:r>
          </w:p>
        </w:tc>
      </w:tr>
      <w:tr w:rsidR="00A00581" w:rsidRPr="00850ECF" w14:paraId="114B5592" w14:textId="77777777" w:rsidTr="00A00581">
        <w:trPr>
          <w:trHeight w:val="312"/>
        </w:trPr>
        <w:tc>
          <w:tcPr>
            <w:tcW w:w="2972" w:type="dxa"/>
            <w:shd w:val="clear" w:color="auto" w:fill="auto"/>
            <w:noWrap/>
            <w:vAlign w:val="bottom"/>
            <w:hideMark/>
          </w:tcPr>
          <w:p w14:paraId="28C5E6E6" w14:textId="165C9649" w:rsidR="00A00581" w:rsidRPr="00850ECF" w:rsidRDefault="00A00581"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Period I (1993-2002)</w:t>
            </w:r>
          </w:p>
        </w:tc>
        <w:tc>
          <w:tcPr>
            <w:tcW w:w="2693" w:type="dxa"/>
          </w:tcPr>
          <w:p w14:paraId="4B37C997" w14:textId="6E99DD24"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515.24</w:t>
            </w:r>
          </w:p>
        </w:tc>
        <w:tc>
          <w:tcPr>
            <w:tcW w:w="1843" w:type="dxa"/>
          </w:tcPr>
          <w:p w14:paraId="363D7CFF" w14:textId="4A7C45FA"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-343.75</w:t>
            </w:r>
          </w:p>
        </w:tc>
        <w:tc>
          <w:tcPr>
            <w:tcW w:w="2552" w:type="dxa"/>
          </w:tcPr>
          <w:p w14:paraId="6FF125FD" w14:textId="207C0C36"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-71.49</w:t>
            </w:r>
          </w:p>
        </w:tc>
      </w:tr>
      <w:tr w:rsidR="00A00581" w:rsidRPr="00850ECF" w14:paraId="3CB3F54C" w14:textId="77777777" w:rsidTr="00A00581">
        <w:trPr>
          <w:trHeight w:val="324"/>
        </w:trPr>
        <w:tc>
          <w:tcPr>
            <w:tcW w:w="2972" w:type="dxa"/>
            <w:shd w:val="clear" w:color="auto" w:fill="auto"/>
            <w:noWrap/>
            <w:vAlign w:val="bottom"/>
            <w:hideMark/>
          </w:tcPr>
          <w:p w14:paraId="378EC39B" w14:textId="497EF8E5" w:rsidR="00A00581" w:rsidRPr="00850ECF" w:rsidRDefault="00A00581"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Period II (2003-2012)</w:t>
            </w:r>
          </w:p>
        </w:tc>
        <w:tc>
          <w:tcPr>
            <w:tcW w:w="2693" w:type="dxa"/>
          </w:tcPr>
          <w:p w14:paraId="7AF2E60D" w14:textId="50D3E1AC"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53.59</w:t>
            </w:r>
          </w:p>
        </w:tc>
        <w:tc>
          <w:tcPr>
            <w:tcW w:w="1843" w:type="dxa"/>
          </w:tcPr>
          <w:p w14:paraId="53706B45" w14:textId="57E43FE9"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45.07</w:t>
            </w:r>
          </w:p>
        </w:tc>
        <w:tc>
          <w:tcPr>
            <w:tcW w:w="2552" w:type="dxa"/>
          </w:tcPr>
          <w:p w14:paraId="1AD01B4C" w14:textId="4D126C33"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1.34</w:t>
            </w:r>
          </w:p>
        </w:tc>
      </w:tr>
      <w:tr w:rsidR="00A00581" w:rsidRPr="00850ECF" w14:paraId="6F38BFBF" w14:textId="77777777" w:rsidTr="00A00581">
        <w:trPr>
          <w:trHeight w:val="312"/>
        </w:trPr>
        <w:tc>
          <w:tcPr>
            <w:tcW w:w="2972" w:type="dxa"/>
            <w:shd w:val="clear" w:color="auto" w:fill="auto"/>
            <w:noWrap/>
            <w:vAlign w:val="bottom"/>
            <w:hideMark/>
          </w:tcPr>
          <w:p w14:paraId="5A3269F3" w14:textId="7383F0C9" w:rsidR="00A00581" w:rsidRPr="00850ECF" w:rsidRDefault="00A00581"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Period III (2013-2022)</w:t>
            </w:r>
          </w:p>
        </w:tc>
        <w:tc>
          <w:tcPr>
            <w:tcW w:w="2693" w:type="dxa"/>
          </w:tcPr>
          <w:p w14:paraId="5B178331" w14:textId="62BF73EE"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170.19</w:t>
            </w:r>
          </w:p>
        </w:tc>
        <w:tc>
          <w:tcPr>
            <w:tcW w:w="1843" w:type="dxa"/>
          </w:tcPr>
          <w:p w14:paraId="3010C891" w14:textId="44E477EE"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-48.88</w:t>
            </w:r>
          </w:p>
        </w:tc>
        <w:tc>
          <w:tcPr>
            <w:tcW w:w="2552" w:type="dxa"/>
          </w:tcPr>
          <w:p w14:paraId="0EEB2D62" w14:textId="221086DA"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-21.30</w:t>
            </w:r>
          </w:p>
        </w:tc>
      </w:tr>
      <w:tr w:rsidR="00A00581" w:rsidRPr="00850ECF" w14:paraId="607D5514" w14:textId="77777777" w:rsidTr="00A00581">
        <w:trPr>
          <w:trHeight w:val="300"/>
        </w:trPr>
        <w:tc>
          <w:tcPr>
            <w:tcW w:w="2972" w:type="dxa"/>
            <w:shd w:val="clear" w:color="auto" w:fill="auto"/>
            <w:noWrap/>
            <w:vAlign w:val="bottom"/>
            <w:hideMark/>
          </w:tcPr>
          <w:p w14:paraId="5EA1414B" w14:textId="08DC6995" w:rsidR="00A00581" w:rsidRPr="00850ECF" w:rsidRDefault="00A00581"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Overall Period (1993-2022)</w:t>
            </w:r>
          </w:p>
        </w:tc>
        <w:tc>
          <w:tcPr>
            <w:tcW w:w="2693" w:type="dxa"/>
          </w:tcPr>
          <w:p w14:paraId="6B52C1DF" w14:textId="41D86B0C"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164.86</w:t>
            </w:r>
          </w:p>
        </w:tc>
        <w:tc>
          <w:tcPr>
            <w:tcW w:w="1843" w:type="dxa"/>
          </w:tcPr>
          <w:p w14:paraId="60E469DE" w14:textId="3A96ADD2"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-20.19</w:t>
            </w:r>
          </w:p>
        </w:tc>
        <w:tc>
          <w:tcPr>
            <w:tcW w:w="2552" w:type="dxa"/>
          </w:tcPr>
          <w:p w14:paraId="35BE4C2E" w14:textId="1A8B9E14"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-44.67</w:t>
            </w:r>
          </w:p>
        </w:tc>
      </w:tr>
    </w:tbl>
    <w:p w14:paraId="244B0B3B" w14:textId="77777777" w:rsidR="00FA08E8" w:rsidRDefault="00FA08E8" w:rsidP="00850ECF">
      <w:pPr>
        <w:spacing w:line="480" w:lineRule="auto"/>
        <w:jc w:val="both"/>
        <w:rPr>
          <w:rFonts w:ascii="Times New Roman" w:eastAsia="Times New Roman" w:hAnsi="Times New Roman" w:cs="Times New Roman"/>
          <w:b/>
          <w:bCs/>
          <w:noProof/>
          <w:kern w:val="0"/>
          <w:sz w:val="24"/>
          <w:szCs w:val="24"/>
        </w:rPr>
      </w:pPr>
    </w:p>
    <w:p w14:paraId="14869E9D" w14:textId="514D79EB" w:rsidR="0088720C" w:rsidRDefault="00FA08E8" w:rsidP="00850ECF">
      <w:pPr>
        <w:spacing w:line="480" w:lineRule="auto"/>
        <w:jc w:val="both"/>
        <w:rPr>
          <w:rFonts w:ascii="Times New Roman" w:eastAsia="Times New Roman" w:hAnsi="Times New Roman" w:cs="Times New Roman"/>
          <w:b/>
          <w:bCs/>
          <w:noProof/>
          <w:kern w:val="0"/>
          <w:sz w:val="24"/>
          <w:szCs w:val="24"/>
        </w:rPr>
      </w:pPr>
      <w:r w:rsidRPr="00FA08E8">
        <w:rPr>
          <w:rFonts w:ascii="Times New Roman" w:eastAsia="Times New Roman" w:hAnsi="Times New Roman" w:cs="Times New Roman"/>
          <w:b/>
          <w:bCs/>
          <w:noProof/>
          <w:kern w:val="0"/>
          <w:sz w:val="24"/>
          <w:szCs w:val="24"/>
        </w:rPr>
        <w:t>Fig.</w:t>
      </w:r>
      <w:r>
        <w:rPr>
          <w:rFonts w:ascii="Times New Roman" w:eastAsia="Times New Roman" w:hAnsi="Times New Roman" w:cs="Times New Roman"/>
          <w:b/>
          <w:bCs/>
          <w:noProof/>
          <w:kern w:val="0"/>
          <w:sz w:val="24"/>
          <w:szCs w:val="24"/>
        </w:rPr>
        <w:t>4</w:t>
      </w:r>
      <w:r w:rsidRPr="00FA08E8">
        <w:rPr>
          <w:rFonts w:ascii="Times New Roman" w:eastAsia="Times New Roman" w:hAnsi="Times New Roman" w:cs="Times New Roman"/>
          <w:b/>
          <w:bCs/>
          <w:noProof/>
          <w:kern w:val="0"/>
          <w:sz w:val="24"/>
          <w:szCs w:val="24"/>
        </w:rPr>
        <w:t xml:space="preserve"> . Decomposition effect </w:t>
      </w:r>
      <w:r w:rsidRPr="00850ECF">
        <w:rPr>
          <w:rFonts w:ascii="Times New Roman" w:hAnsi="Times New Roman" w:cs="Times New Roman"/>
          <w:b/>
          <w:bCs/>
          <w:sz w:val="24"/>
          <w:szCs w:val="24"/>
        </w:rPr>
        <w:t>of Chilli in India</w:t>
      </w:r>
    </w:p>
    <w:p w14:paraId="545565A8" w14:textId="566A723B" w:rsidR="00FA08E8" w:rsidRPr="00850ECF" w:rsidRDefault="00FA08E8" w:rsidP="00ED76E1">
      <w:pPr>
        <w:spacing w:line="480" w:lineRule="auto"/>
        <w:jc w:val="center"/>
        <w:rPr>
          <w:rFonts w:ascii="Times New Roman" w:hAnsi="Times New Roman" w:cs="Times New Roman"/>
          <w:sz w:val="24"/>
          <w:szCs w:val="24"/>
        </w:rPr>
      </w:pPr>
      <w:r>
        <w:rPr>
          <w:rFonts w:ascii="Times New Roman" w:eastAsia="Times New Roman" w:hAnsi="Times New Roman" w:cs="Times New Roman"/>
          <w:b/>
          <w:bCs/>
          <w:noProof/>
          <w:kern w:val="0"/>
          <w:sz w:val="24"/>
          <w:szCs w:val="24"/>
        </w:rPr>
        <w:drawing>
          <wp:inline distT="0" distB="0" distL="0" distR="0" wp14:anchorId="4CAD1700" wp14:editId="40434189">
            <wp:extent cx="5486400" cy="3200400"/>
            <wp:effectExtent l="0" t="0" r="0" b="0"/>
            <wp:docPr id="27491169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22FF84" w14:textId="067EB570" w:rsidR="0088720C" w:rsidRPr="00850ECF" w:rsidRDefault="0088720C" w:rsidP="00850ECF">
      <w:pPr>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Period</w:t>
      </w:r>
      <w:r w:rsidR="00093E3A" w:rsidRPr="00850ECF">
        <w:rPr>
          <w:rFonts w:ascii="Times New Roman" w:hAnsi="Times New Roman" w:cs="Times New Roman"/>
          <w:b/>
          <w:bCs/>
          <w:sz w:val="24"/>
          <w:szCs w:val="24"/>
        </w:rPr>
        <w:t xml:space="preserve"> I</w:t>
      </w:r>
      <w:r w:rsidRPr="00850ECF">
        <w:rPr>
          <w:rFonts w:ascii="Times New Roman" w:hAnsi="Times New Roman" w:cs="Times New Roman"/>
          <w:b/>
          <w:bCs/>
          <w:sz w:val="24"/>
          <w:szCs w:val="24"/>
        </w:rPr>
        <w:t xml:space="preserve"> (1993–2002)</w:t>
      </w:r>
    </w:p>
    <w:p w14:paraId="3DA25B0F" w14:textId="2A7A56FF" w:rsidR="0088720C" w:rsidRPr="00850ECF" w:rsidRDefault="0088720C" w:rsidP="00850ECF">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The improvement in yield (</w:t>
      </w:r>
      <w:r w:rsidRPr="00850ECF">
        <w:rPr>
          <w:rFonts w:ascii="Times New Roman" w:hAnsi="Times New Roman" w:cs="Times New Roman"/>
          <w:i/>
          <w:iCs/>
          <w:sz w:val="24"/>
          <w:szCs w:val="24"/>
        </w:rPr>
        <w:t>i.e</w:t>
      </w:r>
      <w:r w:rsidRPr="00850ECF">
        <w:rPr>
          <w:rFonts w:ascii="Times New Roman" w:hAnsi="Times New Roman" w:cs="Times New Roman"/>
          <w:sz w:val="24"/>
          <w:szCs w:val="24"/>
        </w:rPr>
        <w:t>., the output per unit area) was extremely significant during this period. A 515.24% contribution indicates that enhanced crop performance per unit area was the primary driver of production changes.</w:t>
      </w:r>
      <w:r w:rsidR="00C435AF" w:rsidRPr="00850ECF">
        <w:rPr>
          <w:rFonts w:ascii="Times New Roman" w:hAnsi="Times New Roman" w:cs="Times New Roman"/>
          <w:sz w:val="24"/>
          <w:szCs w:val="24"/>
        </w:rPr>
        <w:t xml:space="preserve"> </w:t>
      </w:r>
      <w:r w:rsidRPr="00850ECF">
        <w:rPr>
          <w:rFonts w:ascii="Times New Roman" w:hAnsi="Times New Roman" w:cs="Times New Roman"/>
          <w:sz w:val="24"/>
          <w:szCs w:val="24"/>
        </w:rPr>
        <w:t xml:space="preserve">In contrast, the change in the area under </w:t>
      </w:r>
      <w:proofErr w:type="spellStart"/>
      <w:r w:rsidRPr="00850ECF">
        <w:rPr>
          <w:rFonts w:ascii="Times New Roman" w:hAnsi="Times New Roman" w:cs="Times New Roman"/>
          <w:sz w:val="24"/>
          <w:szCs w:val="24"/>
        </w:rPr>
        <w:t>chilli</w:t>
      </w:r>
      <w:proofErr w:type="spellEnd"/>
      <w:r w:rsidRPr="00850ECF">
        <w:rPr>
          <w:rFonts w:ascii="Times New Roman" w:hAnsi="Times New Roman" w:cs="Times New Roman"/>
          <w:sz w:val="24"/>
          <w:szCs w:val="24"/>
        </w:rPr>
        <w:t xml:space="preserve"> cultivation contributed negatively by -343.75%. This means that, despite expectations that more land would boost production, the actual expansion in area worked against production gains during this period.</w:t>
      </w:r>
      <w:r w:rsidR="00C435AF" w:rsidRPr="00850ECF">
        <w:rPr>
          <w:rFonts w:ascii="Times New Roman" w:hAnsi="Times New Roman" w:cs="Times New Roman"/>
          <w:sz w:val="24"/>
          <w:szCs w:val="24"/>
        </w:rPr>
        <w:t xml:space="preserve"> </w:t>
      </w:r>
      <w:r w:rsidRPr="00850ECF">
        <w:rPr>
          <w:rFonts w:ascii="Times New Roman" w:hAnsi="Times New Roman" w:cs="Times New Roman"/>
          <w:sz w:val="24"/>
          <w:szCs w:val="24"/>
        </w:rPr>
        <w:lastRenderedPageBreak/>
        <w:t xml:space="preserve">The combined effect of changes in </w:t>
      </w:r>
      <w:r w:rsidR="00122BD0">
        <w:rPr>
          <w:rFonts w:ascii="Times New Roman" w:hAnsi="Times New Roman" w:cs="Times New Roman"/>
          <w:sz w:val="24"/>
          <w:szCs w:val="24"/>
        </w:rPr>
        <w:t>yield</w:t>
      </w:r>
      <w:r w:rsidR="00BA2751" w:rsidRPr="00850ECF">
        <w:rPr>
          <w:rFonts w:ascii="Times New Roman" w:hAnsi="Times New Roman" w:cs="Times New Roman"/>
          <w:sz w:val="24"/>
          <w:szCs w:val="24"/>
        </w:rPr>
        <w:t xml:space="preserve"> </w:t>
      </w:r>
      <w:r w:rsidRPr="00850ECF">
        <w:rPr>
          <w:rFonts w:ascii="Times New Roman" w:hAnsi="Times New Roman" w:cs="Times New Roman"/>
          <w:sz w:val="24"/>
          <w:szCs w:val="24"/>
        </w:rPr>
        <w:t xml:space="preserve">and area further reduced production by -71.49%. The negative interaction implies that the simultaneous changes in </w:t>
      </w:r>
      <w:r w:rsidR="00122BD0">
        <w:rPr>
          <w:rFonts w:ascii="Times New Roman" w:hAnsi="Times New Roman" w:cs="Times New Roman"/>
          <w:sz w:val="24"/>
          <w:szCs w:val="24"/>
        </w:rPr>
        <w:t>yield</w:t>
      </w:r>
      <w:r w:rsidR="00FB4600">
        <w:rPr>
          <w:rFonts w:ascii="Times New Roman" w:hAnsi="Times New Roman" w:cs="Times New Roman"/>
          <w:sz w:val="24"/>
          <w:szCs w:val="24"/>
        </w:rPr>
        <w:t xml:space="preserve"> </w:t>
      </w:r>
      <w:r w:rsidRPr="00850ECF">
        <w:rPr>
          <w:rFonts w:ascii="Times New Roman" w:hAnsi="Times New Roman" w:cs="Times New Roman"/>
          <w:sz w:val="24"/>
          <w:szCs w:val="24"/>
        </w:rPr>
        <w:t>and area compounded the negative impact, rather than supporting each other.</w:t>
      </w:r>
      <w:r w:rsidR="00093E3A" w:rsidRPr="00850ECF">
        <w:rPr>
          <w:rFonts w:ascii="Times New Roman" w:hAnsi="Times New Roman" w:cs="Times New Roman"/>
          <w:sz w:val="24"/>
          <w:szCs w:val="24"/>
        </w:rPr>
        <w:t xml:space="preserve"> Production was primarily driven by a dramatic improvement in </w:t>
      </w:r>
      <w:r w:rsidR="00122BD0">
        <w:rPr>
          <w:rFonts w:ascii="Times New Roman" w:hAnsi="Times New Roman" w:cs="Times New Roman"/>
          <w:sz w:val="24"/>
          <w:szCs w:val="24"/>
        </w:rPr>
        <w:t xml:space="preserve">yield </w:t>
      </w:r>
      <w:r w:rsidR="00BA2751" w:rsidRPr="00850ECF">
        <w:rPr>
          <w:rFonts w:ascii="Times New Roman" w:hAnsi="Times New Roman" w:cs="Times New Roman"/>
          <w:sz w:val="24"/>
          <w:szCs w:val="24"/>
        </w:rPr>
        <w:t>(</w:t>
      </w:r>
      <w:r w:rsidR="00093E3A" w:rsidRPr="00850ECF">
        <w:rPr>
          <w:rFonts w:ascii="Times New Roman" w:hAnsi="Times New Roman" w:cs="Times New Roman"/>
          <w:sz w:val="24"/>
          <w:szCs w:val="24"/>
        </w:rPr>
        <w:t>515.24%), which was largely negated by a substantial negative impact from changes in the area (-343.75%) and further compounded by a negative interaction (-71.49%).</w:t>
      </w:r>
    </w:p>
    <w:p w14:paraId="188C2BAA" w14:textId="37A18B49" w:rsidR="0088720C" w:rsidRPr="00850ECF" w:rsidRDefault="0088720C" w:rsidP="00850ECF">
      <w:pPr>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 xml:space="preserve">Period </w:t>
      </w:r>
      <w:r w:rsidR="00093E3A" w:rsidRPr="00850ECF">
        <w:rPr>
          <w:rFonts w:ascii="Times New Roman" w:hAnsi="Times New Roman" w:cs="Times New Roman"/>
          <w:b/>
          <w:bCs/>
          <w:sz w:val="24"/>
          <w:szCs w:val="24"/>
        </w:rPr>
        <w:t>II</w:t>
      </w:r>
      <w:r w:rsidRPr="00850ECF">
        <w:rPr>
          <w:rFonts w:ascii="Times New Roman" w:hAnsi="Times New Roman" w:cs="Times New Roman"/>
          <w:b/>
          <w:bCs/>
          <w:sz w:val="24"/>
          <w:szCs w:val="24"/>
        </w:rPr>
        <w:t xml:space="preserve"> (2003–2012)</w:t>
      </w:r>
    </w:p>
    <w:p w14:paraId="75B839A4" w14:textId="6469C914" w:rsidR="00093E3A" w:rsidRPr="00850ECF" w:rsidRDefault="0088720C" w:rsidP="00850ECF">
      <w:pPr>
        <w:spacing w:line="480" w:lineRule="auto"/>
        <w:ind w:firstLine="720"/>
        <w:jc w:val="both"/>
        <w:rPr>
          <w:rFonts w:ascii="Times New Roman" w:hAnsi="Times New Roman" w:cs="Times New Roman"/>
          <w:b/>
          <w:bCs/>
          <w:sz w:val="24"/>
          <w:szCs w:val="24"/>
        </w:rPr>
      </w:pPr>
      <w:r w:rsidRPr="00850ECF">
        <w:rPr>
          <w:rFonts w:ascii="Times New Roman" w:hAnsi="Times New Roman" w:cs="Times New Roman"/>
          <w:sz w:val="24"/>
          <w:szCs w:val="24"/>
        </w:rPr>
        <w:t xml:space="preserve">During this period, improvements in </w:t>
      </w:r>
      <w:r w:rsidR="00122BD0">
        <w:rPr>
          <w:rFonts w:ascii="Times New Roman" w:hAnsi="Times New Roman" w:cs="Times New Roman"/>
          <w:sz w:val="24"/>
          <w:szCs w:val="24"/>
        </w:rPr>
        <w:t xml:space="preserve">yield </w:t>
      </w:r>
      <w:r w:rsidRPr="00850ECF">
        <w:rPr>
          <w:rFonts w:ascii="Times New Roman" w:hAnsi="Times New Roman" w:cs="Times New Roman"/>
          <w:sz w:val="24"/>
          <w:szCs w:val="24"/>
        </w:rPr>
        <w:t xml:space="preserve">contributed positively to production, although the effect was more modest than in Sub-Period </w:t>
      </w:r>
      <w:r w:rsidR="009231FD" w:rsidRPr="00850ECF">
        <w:rPr>
          <w:rFonts w:ascii="Times New Roman" w:hAnsi="Times New Roman" w:cs="Times New Roman"/>
          <w:sz w:val="24"/>
          <w:szCs w:val="24"/>
        </w:rPr>
        <w:t>I</w:t>
      </w:r>
      <w:r w:rsidRPr="00850ECF">
        <w:rPr>
          <w:rFonts w:ascii="Times New Roman" w:hAnsi="Times New Roman" w:cs="Times New Roman"/>
          <w:sz w:val="24"/>
          <w:szCs w:val="24"/>
        </w:rPr>
        <w:t>.</w:t>
      </w:r>
      <w:r w:rsidR="009231FD" w:rsidRPr="00850ECF">
        <w:rPr>
          <w:rFonts w:ascii="Times New Roman" w:hAnsi="Times New Roman" w:cs="Times New Roman"/>
          <w:sz w:val="24"/>
          <w:szCs w:val="24"/>
        </w:rPr>
        <w:t xml:space="preserve"> </w:t>
      </w:r>
      <w:r w:rsidRPr="00850ECF">
        <w:rPr>
          <w:rFonts w:ascii="Times New Roman" w:hAnsi="Times New Roman" w:cs="Times New Roman"/>
          <w:sz w:val="24"/>
          <w:szCs w:val="24"/>
        </w:rPr>
        <w:t>The change in the area under cultivation also had a positive impact, contributing 45.07% to production. This suggests that an expansion in cultivated land helped boost production during this period.</w:t>
      </w:r>
      <w:r w:rsidR="00A36721" w:rsidRPr="00850ECF">
        <w:rPr>
          <w:rFonts w:ascii="Times New Roman" w:hAnsi="Times New Roman" w:cs="Times New Roman"/>
          <w:sz w:val="24"/>
          <w:szCs w:val="24"/>
        </w:rPr>
        <w:t xml:space="preserve"> The </w:t>
      </w:r>
      <w:r w:rsidRPr="00850ECF">
        <w:rPr>
          <w:rFonts w:ascii="Times New Roman" w:hAnsi="Times New Roman" w:cs="Times New Roman"/>
          <w:sz w:val="24"/>
          <w:szCs w:val="24"/>
        </w:rPr>
        <w:t xml:space="preserve">interaction between </w:t>
      </w:r>
      <w:r w:rsidR="00122BD0">
        <w:rPr>
          <w:rFonts w:ascii="Times New Roman" w:hAnsi="Times New Roman" w:cs="Times New Roman"/>
          <w:sz w:val="24"/>
          <w:szCs w:val="24"/>
        </w:rPr>
        <w:t>yield</w:t>
      </w:r>
      <w:r w:rsidR="009231FD" w:rsidRPr="00850ECF">
        <w:rPr>
          <w:rFonts w:ascii="Times New Roman" w:hAnsi="Times New Roman" w:cs="Times New Roman"/>
          <w:sz w:val="24"/>
          <w:szCs w:val="24"/>
        </w:rPr>
        <w:t xml:space="preserve"> </w:t>
      </w:r>
      <w:r w:rsidRPr="00850ECF">
        <w:rPr>
          <w:rFonts w:ascii="Times New Roman" w:hAnsi="Times New Roman" w:cs="Times New Roman"/>
          <w:sz w:val="24"/>
          <w:szCs w:val="24"/>
        </w:rPr>
        <w:t>and area was nearly neutral, with a slight positive effect of 1.34%. This indicates that the changes in yield and area operated largely independently, with little additional combined effect on production.</w:t>
      </w:r>
      <w:r w:rsidR="00093E3A" w:rsidRPr="00850ECF">
        <w:rPr>
          <w:rFonts w:ascii="Times New Roman" w:hAnsi="Times New Roman" w:cs="Times New Roman"/>
          <w:sz w:val="24"/>
          <w:szCs w:val="24"/>
        </w:rPr>
        <w:t xml:space="preserve"> Both yield (53.59%) and area (45.07%) contributed positively, with an almost neutral interaction (1.34%), resulting in a more balanced influence on production.</w:t>
      </w:r>
    </w:p>
    <w:p w14:paraId="18C7DA62" w14:textId="02DFD4F2" w:rsidR="0088720C" w:rsidRPr="00850ECF" w:rsidRDefault="0088720C" w:rsidP="00850ECF">
      <w:pPr>
        <w:tabs>
          <w:tab w:val="left" w:pos="984"/>
        </w:tabs>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 xml:space="preserve">Period </w:t>
      </w:r>
      <w:r w:rsidR="00093E3A" w:rsidRPr="00850ECF">
        <w:rPr>
          <w:rFonts w:ascii="Times New Roman" w:hAnsi="Times New Roman" w:cs="Times New Roman"/>
          <w:b/>
          <w:bCs/>
          <w:sz w:val="24"/>
          <w:szCs w:val="24"/>
        </w:rPr>
        <w:t>III</w:t>
      </w:r>
      <w:r w:rsidRPr="00850ECF">
        <w:rPr>
          <w:rFonts w:ascii="Times New Roman" w:hAnsi="Times New Roman" w:cs="Times New Roman"/>
          <w:b/>
          <w:bCs/>
          <w:sz w:val="24"/>
          <w:szCs w:val="24"/>
        </w:rPr>
        <w:t xml:space="preserve"> (2013–2022)</w:t>
      </w:r>
    </w:p>
    <w:p w14:paraId="2EB59843" w14:textId="363F4CA6" w:rsidR="00A36721" w:rsidRPr="00850ECF" w:rsidRDefault="0088720C" w:rsidP="00850ECF">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 xml:space="preserve">In this later period, further improvements in </w:t>
      </w:r>
      <w:r w:rsidR="00122BD0">
        <w:rPr>
          <w:rFonts w:ascii="Times New Roman" w:hAnsi="Times New Roman" w:cs="Times New Roman"/>
          <w:sz w:val="24"/>
          <w:szCs w:val="24"/>
        </w:rPr>
        <w:t>yield</w:t>
      </w:r>
      <w:r w:rsidR="009231FD" w:rsidRPr="00850ECF">
        <w:rPr>
          <w:rFonts w:ascii="Times New Roman" w:hAnsi="Times New Roman" w:cs="Times New Roman"/>
          <w:sz w:val="24"/>
          <w:szCs w:val="24"/>
        </w:rPr>
        <w:t xml:space="preserve"> </w:t>
      </w:r>
      <w:r w:rsidRPr="00850ECF">
        <w:rPr>
          <w:rFonts w:ascii="Times New Roman" w:hAnsi="Times New Roman" w:cs="Times New Roman"/>
          <w:sz w:val="24"/>
          <w:szCs w:val="24"/>
        </w:rPr>
        <w:t>contributed significantly (170.19%) to production changes, emphasizing that enhancing crop performance per unit area remained important.</w:t>
      </w:r>
      <w:r w:rsidR="00C435AF" w:rsidRPr="00850ECF">
        <w:rPr>
          <w:rFonts w:ascii="Times New Roman" w:hAnsi="Times New Roman" w:cs="Times New Roman"/>
          <w:sz w:val="24"/>
          <w:szCs w:val="24"/>
        </w:rPr>
        <w:t xml:space="preserve"> </w:t>
      </w:r>
      <w:r w:rsidRPr="00850ECF">
        <w:rPr>
          <w:rFonts w:ascii="Times New Roman" w:hAnsi="Times New Roman" w:cs="Times New Roman"/>
          <w:sz w:val="24"/>
          <w:szCs w:val="24"/>
        </w:rPr>
        <w:t>However, the change in the area under cultivation had a negative impact during this period, with a contribution of -48.88%. This suggests that alterations in the extent of cultivation detracted from overall production gains</w:t>
      </w:r>
      <w:r w:rsidR="00A36721" w:rsidRPr="00850ECF">
        <w:rPr>
          <w:rFonts w:ascii="Times New Roman" w:hAnsi="Times New Roman" w:cs="Times New Roman"/>
          <w:sz w:val="24"/>
          <w:szCs w:val="24"/>
        </w:rPr>
        <w:t>.</w:t>
      </w:r>
      <w:r w:rsidR="00C435AF" w:rsidRPr="00850ECF">
        <w:rPr>
          <w:rFonts w:ascii="Times New Roman" w:hAnsi="Times New Roman" w:cs="Times New Roman"/>
          <w:sz w:val="24"/>
          <w:szCs w:val="24"/>
        </w:rPr>
        <w:t xml:space="preserve"> </w:t>
      </w:r>
      <w:r w:rsidRPr="00850ECF">
        <w:rPr>
          <w:rFonts w:ascii="Times New Roman" w:hAnsi="Times New Roman" w:cs="Times New Roman"/>
          <w:sz w:val="24"/>
          <w:szCs w:val="24"/>
        </w:rPr>
        <w:t>The negative interaction effect of -21.30% indicates that the simultaneous changes in yield and area further reduced the net production gains.</w:t>
      </w:r>
      <w:r w:rsidR="00093E3A" w:rsidRPr="00850ECF">
        <w:rPr>
          <w:rFonts w:ascii="Times New Roman" w:hAnsi="Times New Roman" w:cs="Times New Roman"/>
          <w:sz w:val="24"/>
          <w:szCs w:val="24"/>
        </w:rPr>
        <w:t xml:space="preserve"> A significant </w:t>
      </w:r>
      <w:r w:rsidR="00122BD0">
        <w:rPr>
          <w:rFonts w:ascii="Times New Roman" w:hAnsi="Times New Roman" w:cs="Times New Roman"/>
          <w:sz w:val="24"/>
          <w:szCs w:val="24"/>
        </w:rPr>
        <w:lastRenderedPageBreak/>
        <w:t xml:space="preserve">yield </w:t>
      </w:r>
      <w:r w:rsidR="00093E3A" w:rsidRPr="00850ECF">
        <w:rPr>
          <w:rFonts w:ascii="Times New Roman" w:hAnsi="Times New Roman" w:cs="Times New Roman"/>
          <w:sz w:val="24"/>
          <w:szCs w:val="24"/>
        </w:rPr>
        <w:t>improvement (170.19%) was offset by a negative area effect (-48.88%) and a further negative interaction (-21.30%), reducing the net production gain.</w:t>
      </w:r>
    </w:p>
    <w:p w14:paraId="1E4B6B95" w14:textId="7B2DFFA7" w:rsidR="00A36721" w:rsidRPr="00850ECF" w:rsidRDefault="0088720C" w:rsidP="00850ECF">
      <w:pPr>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Overall Period (1993–2022)</w:t>
      </w:r>
      <w:r w:rsidR="00A36721" w:rsidRPr="00850ECF">
        <w:rPr>
          <w:rFonts w:ascii="Times New Roman" w:hAnsi="Times New Roman" w:cs="Times New Roman"/>
          <w:b/>
          <w:bCs/>
          <w:sz w:val="24"/>
          <w:szCs w:val="24"/>
        </w:rPr>
        <w:t>:</w:t>
      </w:r>
    </w:p>
    <w:p w14:paraId="26508407" w14:textId="0F6E3433" w:rsidR="0088720C" w:rsidRPr="00850ECF" w:rsidRDefault="0088720C" w:rsidP="00850ECF">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 xml:space="preserve">Over the entire period, improvements in </w:t>
      </w:r>
      <w:r w:rsidR="00122BD0">
        <w:rPr>
          <w:rFonts w:ascii="Times New Roman" w:hAnsi="Times New Roman" w:cs="Times New Roman"/>
          <w:sz w:val="24"/>
          <w:szCs w:val="24"/>
        </w:rPr>
        <w:t xml:space="preserve">yield </w:t>
      </w:r>
      <w:r w:rsidRPr="00850ECF">
        <w:rPr>
          <w:rFonts w:ascii="Times New Roman" w:hAnsi="Times New Roman" w:cs="Times New Roman"/>
          <w:sz w:val="24"/>
          <w:szCs w:val="24"/>
        </w:rPr>
        <w:t>have been a positive force, contributing 164.86% to the overall production change. This underscores the long-term importance of enhancing output per unit area.</w:t>
      </w:r>
      <w:r w:rsidR="00A36721" w:rsidRPr="00850ECF">
        <w:rPr>
          <w:rFonts w:ascii="Times New Roman" w:hAnsi="Times New Roman" w:cs="Times New Roman"/>
          <w:sz w:val="24"/>
          <w:szCs w:val="24"/>
        </w:rPr>
        <w:t xml:space="preserve"> </w:t>
      </w:r>
      <w:r w:rsidRPr="00850ECF">
        <w:rPr>
          <w:rFonts w:ascii="Times New Roman" w:hAnsi="Times New Roman" w:cs="Times New Roman"/>
          <w:sz w:val="24"/>
          <w:szCs w:val="24"/>
        </w:rPr>
        <w:t>The overall change in the area under cultivation contributed negatively by -20.19%, indicating that variations in cultivated land have, on balance, detracted slightly from production gains.</w:t>
      </w:r>
      <w:r w:rsidR="00093E3A" w:rsidRPr="00850ECF">
        <w:rPr>
          <w:rFonts w:ascii="Times New Roman" w:hAnsi="Times New Roman" w:cs="Times New Roman"/>
          <w:sz w:val="24"/>
          <w:szCs w:val="24"/>
        </w:rPr>
        <w:t xml:space="preserve"> </w:t>
      </w:r>
      <w:r w:rsidRPr="00850ECF">
        <w:rPr>
          <w:rFonts w:ascii="Times New Roman" w:hAnsi="Times New Roman" w:cs="Times New Roman"/>
          <w:sz w:val="24"/>
          <w:szCs w:val="24"/>
        </w:rPr>
        <w:t xml:space="preserve">The combined effect of simultaneous changes in </w:t>
      </w:r>
      <w:r w:rsidR="00122BD0">
        <w:rPr>
          <w:rFonts w:ascii="Times New Roman" w:hAnsi="Times New Roman" w:cs="Times New Roman"/>
          <w:sz w:val="24"/>
          <w:szCs w:val="24"/>
        </w:rPr>
        <w:t>yield</w:t>
      </w:r>
      <w:r w:rsidR="009231FD" w:rsidRPr="00850ECF">
        <w:rPr>
          <w:rFonts w:ascii="Times New Roman" w:hAnsi="Times New Roman" w:cs="Times New Roman"/>
          <w:sz w:val="24"/>
          <w:szCs w:val="24"/>
        </w:rPr>
        <w:t xml:space="preserve"> </w:t>
      </w:r>
      <w:r w:rsidRPr="00850ECF">
        <w:rPr>
          <w:rFonts w:ascii="Times New Roman" w:hAnsi="Times New Roman" w:cs="Times New Roman"/>
          <w:sz w:val="24"/>
          <w:szCs w:val="24"/>
        </w:rPr>
        <w:t>and area further reduced production by -44.67% over the full period, suggesting that the interplay between these factors often compounded negative effects on production.</w:t>
      </w:r>
      <w:r w:rsidR="00093E3A" w:rsidRPr="00850ECF">
        <w:rPr>
          <w:rFonts w:ascii="Times New Roman" w:hAnsi="Times New Roman" w:cs="Times New Roman"/>
          <w:sz w:val="24"/>
          <w:szCs w:val="24"/>
        </w:rPr>
        <w:t xml:space="preserve"> Improvements in </w:t>
      </w:r>
      <w:r w:rsidR="00122BD0">
        <w:rPr>
          <w:rFonts w:ascii="Times New Roman" w:hAnsi="Times New Roman" w:cs="Times New Roman"/>
          <w:sz w:val="24"/>
          <w:szCs w:val="24"/>
        </w:rPr>
        <w:t xml:space="preserve">yield </w:t>
      </w:r>
      <w:r w:rsidR="00093E3A" w:rsidRPr="00850ECF">
        <w:rPr>
          <w:rFonts w:ascii="Times New Roman" w:hAnsi="Times New Roman" w:cs="Times New Roman"/>
          <w:sz w:val="24"/>
          <w:szCs w:val="24"/>
        </w:rPr>
        <w:t>(164.86%) have been crucial for increasing production, but these gains have been partially offset by a slight overall negative effect from changes in the area (-20.19%) and a negative combined interaction (-44.67%).</w:t>
      </w:r>
    </w:p>
    <w:p w14:paraId="600FED6B" w14:textId="0A6F7BE6" w:rsidR="0088720C" w:rsidRPr="00850ECF" w:rsidRDefault="00093E3A" w:rsidP="00850ECF">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Yield improvements have been the strongest driver of production, with significant effects in Sub-Period 1 (515.24%) and Sub-Period 3 (170.19%). Over 1993–2022, the yield effect remained crucial at 164.86%. The impact of cultivated area was inconsistent—negative in Sub-Periods 1 (-343.75%) and 3 (-48.88%), but slightly positive in Sub-Period 2 (45.07%), leading to an overall negative effect (-20.19%). Negative interaction effects in Sub-Periods 1 (-71.49%) and 3 (-21.30%) suggest that simultaneous changes in yield and area often reduced net production gains, with an overall interaction effect of -44.67%.</w:t>
      </w:r>
    </w:p>
    <w:p w14:paraId="2EEDBBE9" w14:textId="77777777" w:rsidR="00352674" w:rsidRDefault="00352674" w:rsidP="00122BD0">
      <w:pPr>
        <w:spacing w:line="480" w:lineRule="auto"/>
        <w:jc w:val="both"/>
        <w:rPr>
          <w:rFonts w:ascii="Times New Roman" w:hAnsi="Times New Roman" w:cs="Times New Roman"/>
          <w:b/>
          <w:bCs/>
          <w:sz w:val="24"/>
          <w:szCs w:val="24"/>
        </w:rPr>
      </w:pPr>
    </w:p>
    <w:p w14:paraId="71AA8057" w14:textId="77777777" w:rsidR="00352674" w:rsidRDefault="00352674" w:rsidP="00122BD0">
      <w:pPr>
        <w:spacing w:line="480" w:lineRule="auto"/>
        <w:jc w:val="both"/>
        <w:rPr>
          <w:rFonts w:ascii="Times New Roman" w:hAnsi="Times New Roman" w:cs="Times New Roman"/>
          <w:b/>
          <w:bCs/>
          <w:sz w:val="24"/>
          <w:szCs w:val="24"/>
        </w:rPr>
      </w:pPr>
    </w:p>
    <w:p w14:paraId="23D1ADFB" w14:textId="714EA8B1" w:rsidR="00122BD0" w:rsidRPr="00122BD0" w:rsidRDefault="00122BD0" w:rsidP="00122BD0">
      <w:pPr>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Conclusion</w:t>
      </w:r>
    </w:p>
    <w:p w14:paraId="59C32D0D" w14:textId="4E657982" w:rsidR="00AA2209" w:rsidRPr="00122BD0" w:rsidRDefault="00122BD0" w:rsidP="00122BD0">
      <w:pPr>
        <w:spacing w:line="480" w:lineRule="auto"/>
        <w:ind w:firstLine="720"/>
        <w:jc w:val="both"/>
        <w:rPr>
          <w:rFonts w:ascii="Times New Roman" w:hAnsi="Times New Roman" w:cs="Times New Roman"/>
          <w:sz w:val="24"/>
          <w:szCs w:val="24"/>
        </w:rPr>
      </w:pPr>
      <w:r w:rsidRPr="00122BD0">
        <w:rPr>
          <w:rFonts w:ascii="Times New Roman" w:hAnsi="Times New Roman" w:cs="Times New Roman"/>
          <w:sz w:val="24"/>
          <w:szCs w:val="24"/>
        </w:rPr>
        <w:t xml:space="preserve">This study examines chili cultivation in India from 1993 to 2022, highlighting key trends in area, production, and </w:t>
      </w:r>
      <w:r>
        <w:rPr>
          <w:rFonts w:ascii="Times New Roman" w:hAnsi="Times New Roman" w:cs="Times New Roman"/>
          <w:sz w:val="24"/>
          <w:szCs w:val="24"/>
        </w:rPr>
        <w:t>yield</w:t>
      </w:r>
      <w:r w:rsidRPr="00122BD0">
        <w:rPr>
          <w:rFonts w:ascii="Times New Roman" w:hAnsi="Times New Roman" w:cs="Times New Roman"/>
          <w:sz w:val="24"/>
          <w:szCs w:val="24"/>
        </w:rPr>
        <w:t xml:space="preserve">. Despite a decline in cultivated area, chili production saw positive growth, particularly from 2013–2022, with significant improvements in </w:t>
      </w:r>
      <w:r>
        <w:rPr>
          <w:rFonts w:ascii="Times New Roman" w:hAnsi="Times New Roman" w:cs="Times New Roman"/>
          <w:sz w:val="24"/>
          <w:szCs w:val="24"/>
        </w:rPr>
        <w:t>yield</w:t>
      </w:r>
      <w:r w:rsidRPr="00122BD0">
        <w:rPr>
          <w:rFonts w:ascii="Times New Roman" w:hAnsi="Times New Roman" w:cs="Times New Roman"/>
          <w:sz w:val="24"/>
          <w:szCs w:val="24"/>
        </w:rPr>
        <w:t xml:space="preserve">. The Compound Annual Growth Rate (CAGR) and Cuddy-Della Valle Instability Index (CDVI) reveal that while area instability remained low, production and </w:t>
      </w:r>
      <w:r>
        <w:rPr>
          <w:rFonts w:ascii="Times New Roman" w:hAnsi="Times New Roman" w:cs="Times New Roman"/>
          <w:sz w:val="24"/>
          <w:szCs w:val="24"/>
        </w:rPr>
        <w:t>yield</w:t>
      </w:r>
      <w:r w:rsidRPr="00122BD0">
        <w:rPr>
          <w:rFonts w:ascii="Times New Roman" w:hAnsi="Times New Roman" w:cs="Times New Roman"/>
          <w:sz w:val="24"/>
          <w:szCs w:val="24"/>
        </w:rPr>
        <w:t xml:space="preserve"> experienced notable fluctuations, especially due to factors like climate change and pest outbreaks. Decomposition analysis shows that </w:t>
      </w:r>
      <w:r>
        <w:rPr>
          <w:rFonts w:ascii="Times New Roman" w:hAnsi="Times New Roman" w:cs="Times New Roman"/>
          <w:sz w:val="24"/>
          <w:szCs w:val="24"/>
        </w:rPr>
        <w:t xml:space="preserve">yield </w:t>
      </w:r>
      <w:r w:rsidRPr="00122BD0">
        <w:rPr>
          <w:rFonts w:ascii="Times New Roman" w:hAnsi="Times New Roman" w:cs="Times New Roman"/>
          <w:sz w:val="24"/>
          <w:szCs w:val="24"/>
        </w:rPr>
        <w:t xml:space="preserve">improvements were the primary driver of production growth, though changes in cultivated area negatively impacted overall production in the later years. The study underscores the importance of stabilizing </w:t>
      </w:r>
      <w:r>
        <w:rPr>
          <w:rFonts w:ascii="Times New Roman" w:hAnsi="Times New Roman" w:cs="Times New Roman"/>
          <w:sz w:val="24"/>
          <w:szCs w:val="24"/>
        </w:rPr>
        <w:t>yield</w:t>
      </w:r>
      <w:r w:rsidRPr="00122BD0">
        <w:rPr>
          <w:rFonts w:ascii="Times New Roman" w:hAnsi="Times New Roman" w:cs="Times New Roman"/>
          <w:sz w:val="24"/>
          <w:szCs w:val="24"/>
        </w:rPr>
        <w:t xml:space="preserve"> and managing fluctuations to ensure sustainable growth in chili cultivation.</w:t>
      </w:r>
    </w:p>
    <w:p w14:paraId="11A0E06A" w14:textId="76678308" w:rsidR="00C337B3" w:rsidRDefault="00377B62" w:rsidP="00850EC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r w:rsidR="00C337B3">
        <w:rPr>
          <w:rFonts w:ascii="Times New Roman" w:hAnsi="Times New Roman" w:cs="Times New Roman"/>
          <w:b/>
          <w:bCs/>
          <w:sz w:val="24"/>
          <w:szCs w:val="24"/>
        </w:rPr>
        <w:t>:</w:t>
      </w:r>
    </w:p>
    <w:p w14:paraId="635D5C74" w14:textId="77777777" w:rsidR="00F7568B" w:rsidRPr="00C337B3" w:rsidRDefault="00F7568B" w:rsidP="00C337B3">
      <w:pPr>
        <w:spacing w:line="480" w:lineRule="auto"/>
        <w:ind w:left="720" w:hanging="720"/>
        <w:jc w:val="both"/>
        <w:rPr>
          <w:rFonts w:ascii="Times New Roman" w:hAnsi="Times New Roman" w:cs="Times New Roman"/>
          <w:sz w:val="24"/>
          <w:szCs w:val="24"/>
        </w:rPr>
      </w:pPr>
      <w:r w:rsidRPr="00C337B3">
        <w:rPr>
          <w:rFonts w:ascii="Times New Roman" w:hAnsi="Times New Roman" w:cs="Times New Roman"/>
          <w:sz w:val="24"/>
          <w:szCs w:val="24"/>
        </w:rPr>
        <w:t xml:space="preserve"> Angles, S., Sundar, A., &amp; Chinnadurai, M. (2011). Impact of globalization on production and export of turmeric in India: An economic analysis. </w:t>
      </w:r>
      <w:r w:rsidRPr="00C337B3">
        <w:rPr>
          <w:rFonts w:ascii="Times New Roman" w:hAnsi="Times New Roman" w:cs="Times New Roman"/>
          <w:i/>
          <w:iCs/>
          <w:sz w:val="24"/>
          <w:szCs w:val="24"/>
        </w:rPr>
        <w:t>Agricultural Economics Research Review, 24</w:t>
      </w:r>
      <w:r w:rsidRPr="00C337B3">
        <w:rPr>
          <w:rFonts w:ascii="Times New Roman" w:hAnsi="Times New Roman" w:cs="Times New Roman"/>
          <w:sz w:val="24"/>
          <w:szCs w:val="24"/>
        </w:rPr>
        <w:t>(2), 301-308.</w:t>
      </w:r>
    </w:p>
    <w:p w14:paraId="0FB0CCB3" w14:textId="77777777" w:rsidR="00F7568B" w:rsidRDefault="00F7568B" w:rsidP="00C337B3">
      <w:pPr>
        <w:spacing w:line="480" w:lineRule="auto"/>
        <w:ind w:left="720" w:hanging="720"/>
        <w:jc w:val="both"/>
        <w:rPr>
          <w:rFonts w:ascii="Times New Roman" w:hAnsi="Times New Roman" w:cs="Times New Roman"/>
          <w:i/>
          <w:iCs/>
          <w:sz w:val="24"/>
          <w:szCs w:val="24"/>
        </w:rPr>
      </w:pPr>
      <w:r w:rsidRPr="00C337B3">
        <w:rPr>
          <w:rFonts w:ascii="Times New Roman" w:hAnsi="Times New Roman" w:cs="Times New Roman"/>
          <w:sz w:val="24"/>
          <w:szCs w:val="24"/>
        </w:rPr>
        <w:t xml:space="preserve"> ANGRAU Chilli Outlook Report. (2023-24). </w:t>
      </w:r>
      <w:r w:rsidRPr="00C337B3">
        <w:rPr>
          <w:rFonts w:ascii="Times New Roman" w:hAnsi="Times New Roman" w:cs="Times New Roman"/>
          <w:i/>
          <w:iCs/>
          <w:sz w:val="24"/>
          <w:szCs w:val="24"/>
        </w:rPr>
        <w:t>Center for Agriculture and Rural Development Policy Research (CARP), ANGRAU, LAM, Guntur</w:t>
      </w:r>
      <w:r>
        <w:rPr>
          <w:rFonts w:ascii="Times New Roman" w:hAnsi="Times New Roman" w:cs="Times New Roman"/>
          <w:i/>
          <w:iCs/>
          <w:sz w:val="24"/>
          <w:szCs w:val="24"/>
        </w:rPr>
        <w:t>.</w:t>
      </w:r>
    </w:p>
    <w:p w14:paraId="0CA99A7D" w14:textId="77777777" w:rsidR="00F7568B" w:rsidRPr="00C337B3" w:rsidRDefault="00F7568B" w:rsidP="00C337B3">
      <w:pPr>
        <w:spacing w:line="480" w:lineRule="auto"/>
        <w:ind w:left="720" w:hanging="720"/>
        <w:jc w:val="both"/>
        <w:rPr>
          <w:rFonts w:ascii="Times New Roman" w:hAnsi="Times New Roman" w:cs="Times New Roman"/>
          <w:sz w:val="24"/>
          <w:szCs w:val="24"/>
        </w:rPr>
      </w:pPr>
      <w:r w:rsidRPr="00C337B3">
        <w:rPr>
          <w:rFonts w:ascii="Times New Roman" w:hAnsi="Times New Roman" w:cs="Times New Roman"/>
          <w:sz w:val="24"/>
          <w:szCs w:val="24"/>
        </w:rPr>
        <w:t xml:space="preserve"> Ashoka, N., Kuldeep, C., Ramachandra, V. A., &amp; </w:t>
      </w:r>
      <w:proofErr w:type="spellStart"/>
      <w:r w:rsidRPr="00C337B3">
        <w:rPr>
          <w:rFonts w:ascii="Times New Roman" w:hAnsi="Times New Roman" w:cs="Times New Roman"/>
          <w:sz w:val="24"/>
          <w:szCs w:val="24"/>
        </w:rPr>
        <w:t>Yeledhalli</w:t>
      </w:r>
      <w:proofErr w:type="spellEnd"/>
      <w:r w:rsidRPr="00C337B3">
        <w:rPr>
          <w:rFonts w:ascii="Times New Roman" w:hAnsi="Times New Roman" w:cs="Times New Roman"/>
          <w:sz w:val="24"/>
          <w:szCs w:val="24"/>
        </w:rPr>
        <w:t xml:space="preserve">, R. A. (2013). A study on growth, instability and direction of </w:t>
      </w:r>
      <w:proofErr w:type="spellStart"/>
      <w:r w:rsidRPr="00C337B3">
        <w:rPr>
          <w:rFonts w:ascii="Times New Roman" w:hAnsi="Times New Roman" w:cs="Times New Roman"/>
          <w:sz w:val="24"/>
          <w:szCs w:val="24"/>
        </w:rPr>
        <w:t>chilli</w:t>
      </w:r>
      <w:proofErr w:type="spellEnd"/>
      <w:r w:rsidRPr="00C337B3">
        <w:rPr>
          <w:rFonts w:ascii="Times New Roman" w:hAnsi="Times New Roman" w:cs="Times New Roman"/>
          <w:sz w:val="24"/>
          <w:szCs w:val="24"/>
        </w:rPr>
        <w:t xml:space="preserve"> trade in India.</w:t>
      </w:r>
    </w:p>
    <w:p w14:paraId="61986E5F" w14:textId="77777777" w:rsidR="00F7568B" w:rsidRDefault="00F7568B" w:rsidP="000D3E76">
      <w:pPr>
        <w:spacing w:line="360" w:lineRule="auto"/>
        <w:ind w:left="720" w:hanging="720"/>
        <w:jc w:val="both"/>
        <w:rPr>
          <w:rFonts w:ascii="Times New Roman" w:hAnsi="Times New Roman" w:cs="Times New Roman"/>
          <w:sz w:val="24"/>
          <w:szCs w:val="24"/>
        </w:rPr>
      </w:pPr>
      <w:proofErr w:type="spellStart"/>
      <w:r w:rsidRPr="007A1FBD">
        <w:rPr>
          <w:rFonts w:ascii="Times New Roman" w:hAnsi="Times New Roman" w:cs="Times New Roman"/>
          <w:sz w:val="24"/>
          <w:szCs w:val="24"/>
        </w:rPr>
        <w:t>Baenas</w:t>
      </w:r>
      <w:proofErr w:type="spellEnd"/>
      <w:r w:rsidRPr="007A1FBD">
        <w:rPr>
          <w:rFonts w:ascii="Times New Roman" w:hAnsi="Times New Roman" w:cs="Times New Roman"/>
          <w:sz w:val="24"/>
          <w:szCs w:val="24"/>
        </w:rPr>
        <w:t xml:space="preserve">, N., </w:t>
      </w:r>
      <w:proofErr w:type="spellStart"/>
      <w:r w:rsidRPr="007A1FBD">
        <w:rPr>
          <w:rFonts w:ascii="Times New Roman" w:hAnsi="Times New Roman" w:cs="Times New Roman"/>
          <w:sz w:val="24"/>
          <w:szCs w:val="24"/>
        </w:rPr>
        <w:t>Belović</w:t>
      </w:r>
      <w:proofErr w:type="spellEnd"/>
      <w:r w:rsidRPr="007A1FBD">
        <w:rPr>
          <w:rFonts w:ascii="Times New Roman" w:hAnsi="Times New Roman" w:cs="Times New Roman"/>
          <w:sz w:val="24"/>
          <w:szCs w:val="24"/>
        </w:rPr>
        <w:t>, M., Ilic, N., Moreno, D. A., &amp; García-</w:t>
      </w:r>
      <w:proofErr w:type="spellStart"/>
      <w:r w:rsidRPr="007A1FBD">
        <w:rPr>
          <w:rFonts w:ascii="Times New Roman" w:hAnsi="Times New Roman" w:cs="Times New Roman"/>
          <w:sz w:val="24"/>
          <w:szCs w:val="24"/>
        </w:rPr>
        <w:t>Viguera</w:t>
      </w:r>
      <w:proofErr w:type="spellEnd"/>
      <w:r w:rsidRPr="007A1FBD">
        <w:rPr>
          <w:rFonts w:ascii="Times New Roman" w:hAnsi="Times New Roman" w:cs="Times New Roman"/>
          <w:sz w:val="24"/>
          <w:szCs w:val="24"/>
        </w:rPr>
        <w:t>, C. (2019). Industrial use of pepper (Capsicum annum L.) derived products: Technological benefits and biological advantages. </w:t>
      </w:r>
      <w:r w:rsidRPr="007A1FBD">
        <w:rPr>
          <w:rFonts w:ascii="Times New Roman" w:hAnsi="Times New Roman" w:cs="Times New Roman"/>
          <w:i/>
          <w:iCs/>
          <w:sz w:val="24"/>
          <w:szCs w:val="24"/>
        </w:rPr>
        <w:t>Food chemistry</w:t>
      </w:r>
      <w:r w:rsidRPr="007A1FBD">
        <w:rPr>
          <w:rFonts w:ascii="Times New Roman" w:hAnsi="Times New Roman" w:cs="Times New Roman"/>
          <w:sz w:val="24"/>
          <w:szCs w:val="24"/>
        </w:rPr>
        <w:t>, </w:t>
      </w:r>
      <w:r w:rsidRPr="007A1FBD">
        <w:rPr>
          <w:rFonts w:ascii="Times New Roman" w:hAnsi="Times New Roman" w:cs="Times New Roman"/>
          <w:i/>
          <w:iCs/>
          <w:sz w:val="24"/>
          <w:szCs w:val="24"/>
        </w:rPr>
        <w:t>274</w:t>
      </w:r>
      <w:r w:rsidRPr="007A1FBD">
        <w:rPr>
          <w:rFonts w:ascii="Times New Roman" w:hAnsi="Times New Roman" w:cs="Times New Roman"/>
          <w:sz w:val="24"/>
          <w:szCs w:val="24"/>
        </w:rPr>
        <w:t>, 872-885.</w:t>
      </w:r>
    </w:p>
    <w:p w14:paraId="2FCF1EDC" w14:textId="77777777" w:rsidR="00F7568B" w:rsidRPr="00C337B3" w:rsidRDefault="00F7568B" w:rsidP="00C337B3">
      <w:pPr>
        <w:spacing w:line="480" w:lineRule="auto"/>
        <w:ind w:left="720" w:hanging="720"/>
        <w:jc w:val="both"/>
        <w:rPr>
          <w:rFonts w:ascii="Times New Roman" w:hAnsi="Times New Roman" w:cs="Times New Roman"/>
          <w:sz w:val="24"/>
          <w:szCs w:val="24"/>
        </w:rPr>
      </w:pPr>
      <w:r w:rsidRPr="00C337B3">
        <w:rPr>
          <w:rFonts w:ascii="Times New Roman" w:hAnsi="Times New Roman" w:cs="Times New Roman"/>
          <w:sz w:val="24"/>
          <w:szCs w:val="24"/>
        </w:rPr>
        <w:t xml:space="preserve"> Chilli Outlook of Chilli. (2024). </w:t>
      </w:r>
      <w:r w:rsidRPr="00C337B3">
        <w:rPr>
          <w:rFonts w:ascii="Times New Roman" w:hAnsi="Times New Roman" w:cs="Times New Roman"/>
          <w:i/>
          <w:iCs/>
          <w:sz w:val="24"/>
          <w:szCs w:val="24"/>
        </w:rPr>
        <w:t>Agricultural Market Intelligence Centre, PJTSAU</w:t>
      </w:r>
      <w:r w:rsidRPr="00C337B3">
        <w:rPr>
          <w:rFonts w:ascii="Times New Roman" w:hAnsi="Times New Roman" w:cs="Times New Roman"/>
          <w:sz w:val="24"/>
          <w:szCs w:val="24"/>
        </w:rPr>
        <w:t>.</w:t>
      </w:r>
    </w:p>
    <w:p w14:paraId="37DFAA6D" w14:textId="77777777" w:rsidR="00F7568B" w:rsidRPr="007A1FBD" w:rsidRDefault="00F7568B" w:rsidP="000D3E76">
      <w:pPr>
        <w:spacing w:line="360" w:lineRule="auto"/>
        <w:ind w:left="720" w:hanging="720"/>
        <w:jc w:val="both"/>
        <w:rPr>
          <w:rFonts w:ascii="Times New Roman" w:hAnsi="Times New Roman" w:cs="Times New Roman"/>
          <w:sz w:val="24"/>
          <w:szCs w:val="24"/>
        </w:rPr>
      </w:pPr>
      <w:r w:rsidRPr="000D3E76">
        <w:rPr>
          <w:rFonts w:ascii="Times New Roman" w:hAnsi="Times New Roman" w:cs="Times New Roman"/>
          <w:sz w:val="24"/>
          <w:szCs w:val="24"/>
        </w:rPr>
        <w:lastRenderedPageBreak/>
        <w:t xml:space="preserve">Commodity Board of India. (2024). </w:t>
      </w:r>
      <w:r w:rsidRPr="000D3E76">
        <w:rPr>
          <w:rFonts w:ascii="Times New Roman" w:hAnsi="Times New Roman" w:cs="Times New Roman"/>
          <w:i/>
          <w:iCs/>
          <w:sz w:val="24"/>
          <w:szCs w:val="24"/>
        </w:rPr>
        <w:t>India's chili export and its role in food processing, pharmaceuticals, and natural pigment extraction</w:t>
      </w:r>
      <w:r>
        <w:rPr>
          <w:rFonts w:ascii="Times New Roman" w:hAnsi="Times New Roman" w:cs="Times New Roman"/>
          <w:i/>
          <w:iCs/>
          <w:sz w:val="24"/>
          <w:szCs w:val="24"/>
        </w:rPr>
        <w:t>.</w:t>
      </w:r>
    </w:p>
    <w:p w14:paraId="1A99DC89" w14:textId="77777777" w:rsidR="00F7568B" w:rsidRPr="00C337B3" w:rsidRDefault="00F7568B" w:rsidP="00C337B3">
      <w:pPr>
        <w:spacing w:line="480" w:lineRule="auto"/>
        <w:ind w:left="720" w:hanging="720"/>
        <w:jc w:val="both"/>
        <w:rPr>
          <w:rFonts w:ascii="Times New Roman" w:hAnsi="Times New Roman" w:cs="Times New Roman"/>
          <w:sz w:val="24"/>
          <w:szCs w:val="24"/>
        </w:rPr>
      </w:pPr>
      <w:r w:rsidRPr="00C337B3">
        <w:rPr>
          <w:rFonts w:ascii="Times New Roman" w:hAnsi="Times New Roman" w:cs="Times New Roman"/>
          <w:sz w:val="24"/>
          <w:szCs w:val="24"/>
        </w:rPr>
        <w:t xml:space="preserve">Cuddy, J. D., &amp; Della Valle, P. A. (1978). Measuring the instability of time series data. </w:t>
      </w:r>
      <w:r w:rsidRPr="00C337B3">
        <w:rPr>
          <w:rFonts w:ascii="Times New Roman" w:hAnsi="Times New Roman" w:cs="Times New Roman"/>
          <w:i/>
          <w:iCs/>
          <w:sz w:val="24"/>
          <w:szCs w:val="24"/>
        </w:rPr>
        <w:t>Oxford Bulletin of Economics &amp; Statistics, 40</w:t>
      </w:r>
      <w:r w:rsidRPr="00C337B3">
        <w:rPr>
          <w:rFonts w:ascii="Times New Roman" w:hAnsi="Times New Roman" w:cs="Times New Roman"/>
          <w:sz w:val="24"/>
          <w:szCs w:val="24"/>
        </w:rPr>
        <w:t>(1).</w:t>
      </w:r>
    </w:p>
    <w:p w14:paraId="1BAE2B72" w14:textId="77777777" w:rsidR="00F7568B" w:rsidRDefault="00F7568B" w:rsidP="00C337B3">
      <w:pPr>
        <w:spacing w:line="480" w:lineRule="auto"/>
        <w:ind w:left="720" w:hanging="720"/>
        <w:jc w:val="both"/>
        <w:rPr>
          <w:rFonts w:ascii="Times New Roman" w:hAnsi="Times New Roman" w:cs="Times New Roman"/>
          <w:sz w:val="24"/>
          <w:szCs w:val="24"/>
        </w:rPr>
      </w:pPr>
      <w:proofErr w:type="spellStart"/>
      <w:r w:rsidRPr="0084696D">
        <w:rPr>
          <w:rFonts w:ascii="Times New Roman" w:hAnsi="Times New Roman" w:cs="Times New Roman"/>
          <w:sz w:val="24"/>
          <w:szCs w:val="24"/>
        </w:rPr>
        <w:t>Devegowda</w:t>
      </w:r>
      <w:proofErr w:type="spellEnd"/>
      <w:r w:rsidRPr="0084696D">
        <w:rPr>
          <w:rFonts w:ascii="Times New Roman" w:hAnsi="Times New Roman" w:cs="Times New Roman"/>
          <w:sz w:val="24"/>
          <w:szCs w:val="24"/>
        </w:rPr>
        <w:t xml:space="preserve"> S. R., Singh, O. P., </w:t>
      </w:r>
      <w:proofErr w:type="spellStart"/>
      <w:r w:rsidRPr="0084696D">
        <w:rPr>
          <w:rFonts w:ascii="Times New Roman" w:hAnsi="Times New Roman" w:cs="Times New Roman"/>
          <w:sz w:val="24"/>
          <w:szCs w:val="24"/>
        </w:rPr>
        <w:t>Yarazari</w:t>
      </w:r>
      <w:proofErr w:type="spellEnd"/>
      <w:r w:rsidRPr="0084696D">
        <w:rPr>
          <w:rFonts w:ascii="Times New Roman" w:hAnsi="Times New Roman" w:cs="Times New Roman"/>
          <w:sz w:val="24"/>
          <w:szCs w:val="24"/>
        </w:rPr>
        <w:t>, S. P</w:t>
      </w:r>
      <w:r>
        <w:rPr>
          <w:rFonts w:ascii="Times New Roman" w:hAnsi="Times New Roman" w:cs="Times New Roman"/>
          <w:sz w:val="24"/>
          <w:szCs w:val="24"/>
        </w:rPr>
        <w:t xml:space="preserve">., &amp; </w:t>
      </w:r>
      <w:r w:rsidRPr="0084696D">
        <w:rPr>
          <w:rFonts w:ascii="Times New Roman" w:hAnsi="Times New Roman" w:cs="Times New Roman"/>
          <w:sz w:val="24"/>
          <w:szCs w:val="24"/>
        </w:rPr>
        <w:t xml:space="preserve">Kushwaha, S. </w:t>
      </w:r>
      <w:r>
        <w:rPr>
          <w:rFonts w:ascii="Times New Roman" w:hAnsi="Times New Roman" w:cs="Times New Roman"/>
          <w:sz w:val="24"/>
          <w:szCs w:val="24"/>
        </w:rPr>
        <w:t>(</w:t>
      </w:r>
      <w:r w:rsidRPr="0084696D">
        <w:rPr>
          <w:rFonts w:ascii="Times New Roman" w:hAnsi="Times New Roman" w:cs="Times New Roman"/>
          <w:sz w:val="24"/>
          <w:szCs w:val="24"/>
        </w:rPr>
        <w:t>2019</w:t>
      </w:r>
      <w:r>
        <w:rPr>
          <w:rFonts w:ascii="Times New Roman" w:hAnsi="Times New Roman" w:cs="Times New Roman"/>
          <w:sz w:val="24"/>
          <w:szCs w:val="24"/>
        </w:rPr>
        <w:t>)</w:t>
      </w:r>
      <w:r w:rsidRPr="0084696D">
        <w:rPr>
          <w:rFonts w:ascii="Times New Roman" w:hAnsi="Times New Roman" w:cs="Times New Roman"/>
          <w:sz w:val="24"/>
          <w:szCs w:val="24"/>
        </w:rPr>
        <w:t xml:space="preserve">. Effect of area and yield on the production of pulses in India. </w:t>
      </w:r>
      <w:r w:rsidRPr="0084696D">
        <w:rPr>
          <w:rFonts w:ascii="Times New Roman" w:hAnsi="Times New Roman" w:cs="Times New Roman"/>
          <w:i/>
          <w:iCs/>
          <w:sz w:val="24"/>
          <w:szCs w:val="24"/>
        </w:rPr>
        <w:t>The Pharma Innovation Journal</w:t>
      </w:r>
      <w:r w:rsidRPr="0084696D">
        <w:rPr>
          <w:rFonts w:ascii="Times New Roman" w:hAnsi="Times New Roman" w:cs="Times New Roman"/>
          <w:sz w:val="24"/>
          <w:szCs w:val="24"/>
        </w:rPr>
        <w:t>. 8(4)</w:t>
      </w:r>
      <w:r>
        <w:rPr>
          <w:rFonts w:ascii="Times New Roman" w:hAnsi="Times New Roman" w:cs="Times New Roman"/>
          <w:sz w:val="24"/>
          <w:szCs w:val="24"/>
        </w:rPr>
        <w:t>,</w:t>
      </w:r>
      <w:r w:rsidRPr="0084696D">
        <w:rPr>
          <w:rFonts w:ascii="Times New Roman" w:hAnsi="Times New Roman" w:cs="Times New Roman"/>
          <w:sz w:val="24"/>
          <w:szCs w:val="24"/>
        </w:rPr>
        <w:t xml:space="preserve"> 436–439.</w:t>
      </w:r>
    </w:p>
    <w:p w14:paraId="03C56652" w14:textId="77777777" w:rsidR="00F7568B" w:rsidRPr="00C337B3" w:rsidRDefault="00F7568B" w:rsidP="00C337B3">
      <w:pPr>
        <w:spacing w:line="480" w:lineRule="auto"/>
        <w:ind w:left="720" w:hanging="720"/>
        <w:jc w:val="both"/>
        <w:rPr>
          <w:rFonts w:ascii="Times New Roman" w:hAnsi="Times New Roman" w:cs="Times New Roman"/>
          <w:sz w:val="24"/>
          <w:szCs w:val="24"/>
        </w:rPr>
      </w:pPr>
      <w:r w:rsidRPr="00C337B3">
        <w:rPr>
          <w:rFonts w:ascii="Times New Roman" w:hAnsi="Times New Roman" w:cs="Times New Roman"/>
          <w:b/>
          <w:bCs/>
          <w:sz w:val="24"/>
          <w:szCs w:val="24"/>
        </w:rPr>
        <w:t xml:space="preserve">  </w:t>
      </w:r>
      <w:r w:rsidRPr="00C337B3">
        <w:rPr>
          <w:rFonts w:ascii="Times New Roman" w:hAnsi="Times New Roman" w:cs="Times New Roman"/>
          <w:sz w:val="24"/>
          <w:szCs w:val="24"/>
        </w:rPr>
        <w:t xml:space="preserve">Gade, P. A., More, S. S., Shelke, R. D., &amp; </w:t>
      </w:r>
      <w:proofErr w:type="spellStart"/>
      <w:r w:rsidRPr="00C337B3">
        <w:rPr>
          <w:rFonts w:ascii="Times New Roman" w:hAnsi="Times New Roman" w:cs="Times New Roman"/>
          <w:sz w:val="24"/>
          <w:szCs w:val="24"/>
        </w:rPr>
        <w:t>Nalegaonkar</w:t>
      </w:r>
      <w:proofErr w:type="spellEnd"/>
      <w:r w:rsidRPr="00C337B3">
        <w:rPr>
          <w:rFonts w:ascii="Times New Roman" w:hAnsi="Times New Roman" w:cs="Times New Roman"/>
          <w:sz w:val="24"/>
          <w:szCs w:val="24"/>
        </w:rPr>
        <w:t xml:space="preserve">, A. R. (2020). Growth and instability in area, production and yield of </w:t>
      </w:r>
      <w:proofErr w:type="spellStart"/>
      <w:r w:rsidRPr="00C337B3">
        <w:rPr>
          <w:rFonts w:ascii="Times New Roman" w:hAnsi="Times New Roman" w:cs="Times New Roman"/>
          <w:sz w:val="24"/>
          <w:szCs w:val="24"/>
        </w:rPr>
        <w:t>chilli</w:t>
      </w:r>
      <w:proofErr w:type="spellEnd"/>
      <w:r w:rsidRPr="00C337B3">
        <w:rPr>
          <w:rFonts w:ascii="Times New Roman" w:hAnsi="Times New Roman" w:cs="Times New Roman"/>
          <w:sz w:val="24"/>
          <w:szCs w:val="24"/>
        </w:rPr>
        <w:t xml:space="preserve"> in India. </w:t>
      </w:r>
      <w:r w:rsidRPr="00C337B3">
        <w:rPr>
          <w:rFonts w:ascii="Times New Roman" w:hAnsi="Times New Roman" w:cs="Times New Roman"/>
          <w:i/>
          <w:iCs/>
          <w:sz w:val="24"/>
          <w:szCs w:val="24"/>
        </w:rPr>
        <w:t>International Journal of Current Microbiology and Applied Sciences, 9</w:t>
      </w:r>
      <w:r w:rsidRPr="00C337B3">
        <w:rPr>
          <w:rFonts w:ascii="Times New Roman" w:hAnsi="Times New Roman" w:cs="Times New Roman"/>
          <w:sz w:val="24"/>
          <w:szCs w:val="24"/>
        </w:rPr>
        <w:t>(11), 2647-2654.</w:t>
      </w:r>
    </w:p>
    <w:p w14:paraId="46F30A37" w14:textId="77777777" w:rsidR="00F7568B" w:rsidRDefault="00F7568B" w:rsidP="00C337B3">
      <w:pPr>
        <w:spacing w:line="480" w:lineRule="auto"/>
        <w:ind w:left="720" w:hanging="720"/>
        <w:jc w:val="both"/>
        <w:rPr>
          <w:rFonts w:ascii="Times New Roman" w:hAnsi="Times New Roman" w:cs="Times New Roman"/>
          <w:sz w:val="24"/>
          <w:szCs w:val="24"/>
        </w:rPr>
      </w:pPr>
      <w:r w:rsidRPr="00C337B3">
        <w:rPr>
          <w:rFonts w:ascii="Times New Roman" w:hAnsi="Times New Roman" w:cs="Times New Roman"/>
          <w:sz w:val="24"/>
          <w:szCs w:val="24"/>
        </w:rPr>
        <w:t xml:space="preserve">  Geetha, R., &amp; Selvarani, K. (2017). A study of </w:t>
      </w:r>
      <w:proofErr w:type="spellStart"/>
      <w:r w:rsidRPr="00C337B3">
        <w:rPr>
          <w:rFonts w:ascii="Times New Roman" w:hAnsi="Times New Roman" w:cs="Times New Roman"/>
          <w:sz w:val="24"/>
          <w:szCs w:val="24"/>
        </w:rPr>
        <w:t>chilli</w:t>
      </w:r>
      <w:proofErr w:type="spellEnd"/>
      <w:r w:rsidRPr="00C337B3">
        <w:rPr>
          <w:rFonts w:ascii="Times New Roman" w:hAnsi="Times New Roman" w:cs="Times New Roman"/>
          <w:sz w:val="24"/>
          <w:szCs w:val="24"/>
        </w:rPr>
        <w:t xml:space="preserve"> production and export from India. </w:t>
      </w:r>
      <w:r w:rsidRPr="00C337B3">
        <w:rPr>
          <w:rFonts w:ascii="Times New Roman" w:hAnsi="Times New Roman" w:cs="Times New Roman"/>
          <w:i/>
          <w:iCs/>
          <w:sz w:val="24"/>
          <w:szCs w:val="24"/>
        </w:rPr>
        <w:t>International Journal of Advance Research and Innovative Ideas in Education, 3</w:t>
      </w:r>
      <w:r w:rsidRPr="00C337B3">
        <w:rPr>
          <w:rFonts w:ascii="Times New Roman" w:hAnsi="Times New Roman" w:cs="Times New Roman"/>
          <w:sz w:val="24"/>
          <w:szCs w:val="24"/>
        </w:rPr>
        <w:t>(2), 205-210.</w:t>
      </w:r>
    </w:p>
    <w:p w14:paraId="77975D23" w14:textId="77777777" w:rsidR="009A19D2" w:rsidRPr="00C337B3" w:rsidRDefault="009A19D2" w:rsidP="009A19D2">
      <w:pPr>
        <w:spacing w:line="480" w:lineRule="auto"/>
        <w:ind w:left="720" w:hanging="720"/>
        <w:jc w:val="both"/>
        <w:rPr>
          <w:rFonts w:ascii="Times New Roman" w:hAnsi="Times New Roman" w:cs="Times New Roman"/>
          <w:sz w:val="24"/>
          <w:szCs w:val="24"/>
        </w:rPr>
      </w:pPr>
      <w:r w:rsidRPr="00253B4A">
        <w:rPr>
          <w:rFonts w:ascii="Times New Roman" w:hAnsi="Times New Roman" w:cs="Times New Roman"/>
          <w:sz w:val="24"/>
          <w:szCs w:val="24"/>
        </w:rPr>
        <w:t>https://www.fao.org/faostat/</w:t>
      </w:r>
    </w:p>
    <w:p w14:paraId="74DBC32F" w14:textId="77777777" w:rsidR="00F7568B" w:rsidRPr="00C337B3" w:rsidRDefault="00F7568B" w:rsidP="00C337B3">
      <w:pPr>
        <w:spacing w:line="480" w:lineRule="auto"/>
        <w:ind w:left="720" w:hanging="720"/>
        <w:jc w:val="both"/>
        <w:rPr>
          <w:rFonts w:ascii="Times New Roman" w:hAnsi="Times New Roman" w:cs="Times New Roman"/>
          <w:sz w:val="24"/>
          <w:szCs w:val="24"/>
        </w:rPr>
      </w:pPr>
      <w:r w:rsidRPr="00C337B3">
        <w:rPr>
          <w:rFonts w:ascii="Times New Roman" w:hAnsi="Times New Roman" w:cs="Times New Roman"/>
          <w:sz w:val="24"/>
          <w:szCs w:val="24"/>
        </w:rPr>
        <w:t xml:space="preserve"> Indian Spices. (n.d.). </w:t>
      </w:r>
      <w:r w:rsidRPr="00C337B3">
        <w:rPr>
          <w:rFonts w:ascii="Times New Roman" w:hAnsi="Times New Roman" w:cs="Times New Roman"/>
          <w:i/>
          <w:iCs/>
          <w:sz w:val="24"/>
          <w:szCs w:val="24"/>
        </w:rPr>
        <w:t>Spices Board of India</w:t>
      </w:r>
      <w:r w:rsidRPr="00C337B3">
        <w:rPr>
          <w:rFonts w:ascii="Times New Roman" w:hAnsi="Times New Roman" w:cs="Times New Roman"/>
          <w:sz w:val="24"/>
          <w:szCs w:val="24"/>
        </w:rPr>
        <w:t xml:space="preserve">. Retrieved from </w:t>
      </w:r>
      <w:hyperlink r:id="rId11" w:tgtFrame="_new" w:history="1">
        <w:r w:rsidRPr="00C337B3">
          <w:rPr>
            <w:rStyle w:val="Hyperlink"/>
            <w:rFonts w:ascii="Times New Roman" w:hAnsi="Times New Roman" w:cs="Times New Roman"/>
            <w:sz w:val="24"/>
            <w:szCs w:val="24"/>
          </w:rPr>
          <w:t>https://www.indianspices.com/index.html</w:t>
        </w:r>
      </w:hyperlink>
    </w:p>
    <w:p w14:paraId="2DDBCECC" w14:textId="77777777" w:rsidR="00F7568B" w:rsidRPr="00C337B3" w:rsidRDefault="00F7568B" w:rsidP="00C337B3">
      <w:pPr>
        <w:spacing w:line="480" w:lineRule="auto"/>
        <w:ind w:left="720" w:hanging="720"/>
        <w:jc w:val="both"/>
        <w:rPr>
          <w:rFonts w:ascii="Times New Roman" w:hAnsi="Times New Roman" w:cs="Times New Roman"/>
          <w:sz w:val="24"/>
          <w:szCs w:val="24"/>
        </w:rPr>
      </w:pPr>
      <w:r w:rsidRPr="00C337B3">
        <w:rPr>
          <w:rFonts w:ascii="Times New Roman" w:hAnsi="Times New Roman" w:cs="Times New Roman"/>
          <w:sz w:val="24"/>
          <w:szCs w:val="24"/>
        </w:rPr>
        <w:t xml:space="preserve">Kaur, K., &amp; Sharma, S. (2024). Analysis of growth rate and instability index of potato crop in Punjab. </w:t>
      </w:r>
      <w:r w:rsidRPr="00C337B3">
        <w:rPr>
          <w:rFonts w:ascii="Times New Roman" w:hAnsi="Times New Roman" w:cs="Times New Roman"/>
          <w:i/>
          <w:iCs/>
          <w:sz w:val="24"/>
          <w:szCs w:val="24"/>
        </w:rPr>
        <w:t>Journal of Agricultural Development and Policy, 34</w:t>
      </w:r>
      <w:r w:rsidRPr="00C337B3">
        <w:rPr>
          <w:rFonts w:ascii="Times New Roman" w:hAnsi="Times New Roman" w:cs="Times New Roman"/>
          <w:sz w:val="24"/>
          <w:szCs w:val="24"/>
        </w:rPr>
        <w:t>(1), 132-139.</w:t>
      </w:r>
    </w:p>
    <w:p w14:paraId="6499312A" w14:textId="77777777" w:rsidR="00F7568B" w:rsidRPr="00C337B3" w:rsidRDefault="00F7568B" w:rsidP="00C337B3">
      <w:pPr>
        <w:spacing w:line="480" w:lineRule="auto"/>
        <w:ind w:left="720" w:hanging="720"/>
        <w:jc w:val="both"/>
        <w:rPr>
          <w:rFonts w:ascii="Times New Roman" w:hAnsi="Times New Roman" w:cs="Times New Roman"/>
          <w:sz w:val="24"/>
          <w:szCs w:val="24"/>
        </w:rPr>
      </w:pPr>
      <w:r w:rsidRPr="00C337B3">
        <w:rPr>
          <w:rFonts w:ascii="Times New Roman" w:hAnsi="Times New Roman" w:cs="Times New Roman"/>
          <w:sz w:val="24"/>
          <w:szCs w:val="24"/>
        </w:rPr>
        <w:t xml:space="preserve">  Kiruthika, N. (2024). Economics of Mundu </w:t>
      </w:r>
      <w:proofErr w:type="spellStart"/>
      <w:r w:rsidRPr="00C337B3">
        <w:rPr>
          <w:rFonts w:ascii="Times New Roman" w:hAnsi="Times New Roman" w:cs="Times New Roman"/>
          <w:sz w:val="24"/>
          <w:szCs w:val="24"/>
        </w:rPr>
        <w:t>Chilli</w:t>
      </w:r>
      <w:proofErr w:type="spellEnd"/>
      <w:r w:rsidRPr="00C337B3">
        <w:rPr>
          <w:rFonts w:ascii="Times New Roman" w:hAnsi="Times New Roman" w:cs="Times New Roman"/>
          <w:sz w:val="24"/>
          <w:szCs w:val="24"/>
        </w:rPr>
        <w:t xml:space="preserve"> cultivation in </w:t>
      </w:r>
      <w:proofErr w:type="spellStart"/>
      <w:r w:rsidRPr="00C337B3">
        <w:rPr>
          <w:rFonts w:ascii="Times New Roman" w:hAnsi="Times New Roman" w:cs="Times New Roman"/>
          <w:sz w:val="24"/>
          <w:szCs w:val="24"/>
        </w:rPr>
        <w:t>Ramanathapuram</w:t>
      </w:r>
      <w:proofErr w:type="spellEnd"/>
      <w:r w:rsidRPr="00C337B3">
        <w:rPr>
          <w:rFonts w:ascii="Times New Roman" w:hAnsi="Times New Roman" w:cs="Times New Roman"/>
          <w:sz w:val="24"/>
          <w:szCs w:val="24"/>
        </w:rPr>
        <w:t xml:space="preserve"> District of Tamil Nadu, India. </w:t>
      </w:r>
      <w:r w:rsidRPr="00C337B3">
        <w:rPr>
          <w:rFonts w:ascii="Times New Roman" w:hAnsi="Times New Roman" w:cs="Times New Roman"/>
          <w:i/>
          <w:iCs/>
          <w:sz w:val="24"/>
          <w:szCs w:val="24"/>
        </w:rPr>
        <w:t>Asian Journal of Agricultural Extension, Economics &amp; Sociology, 42</w:t>
      </w:r>
      <w:r w:rsidRPr="00C337B3">
        <w:rPr>
          <w:rFonts w:ascii="Times New Roman" w:hAnsi="Times New Roman" w:cs="Times New Roman"/>
          <w:sz w:val="24"/>
          <w:szCs w:val="24"/>
        </w:rPr>
        <w:t>(1), 44-48.</w:t>
      </w:r>
    </w:p>
    <w:p w14:paraId="63FFF5EB" w14:textId="77777777" w:rsidR="00F7568B" w:rsidRPr="00C337B3" w:rsidRDefault="00F7568B" w:rsidP="00C337B3">
      <w:pPr>
        <w:spacing w:line="480" w:lineRule="auto"/>
        <w:ind w:left="720" w:hanging="720"/>
        <w:jc w:val="both"/>
        <w:rPr>
          <w:rFonts w:ascii="Times New Roman" w:hAnsi="Times New Roman" w:cs="Times New Roman"/>
          <w:sz w:val="24"/>
          <w:szCs w:val="24"/>
        </w:rPr>
      </w:pPr>
      <w:r w:rsidRPr="00C337B3">
        <w:rPr>
          <w:rFonts w:ascii="Times New Roman" w:hAnsi="Times New Roman" w:cs="Times New Roman"/>
          <w:sz w:val="24"/>
          <w:szCs w:val="24"/>
        </w:rPr>
        <w:lastRenderedPageBreak/>
        <w:t xml:space="preserve"> Meena, G. L., Pant, D. C., &amp; Kumar, S. (2006). Economics of </w:t>
      </w:r>
      <w:proofErr w:type="spellStart"/>
      <w:r w:rsidRPr="00C337B3">
        <w:rPr>
          <w:rFonts w:ascii="Times New Roman" w:hAnsi="Times New Roman" w:cs="Times New Roman"/>
          <w:sz w:val="24"/>
          <w:szCs w:val="24"/>
        </w:rPr>
        <w:t>chilli</w:t>
      </w:r>
      <w:proofErr w:type="spellEnd"/>
      <w:r w:rsidRPr="00C337B3">
        <w:rPr>
          <w:rFonts w:ascii="Times New Roman" w:hAnsi="Times New Roman" w:cs="Times New Roman"/>
          <w:sz w:val="24"/>
          <w:szCs w:val="24"/>
        </w:rPr>
        <w:t xml:space="preserve"> processing in Rajasthan. </w:t>
      </w:r>
      <w:r w:rsidRPr="00C337B3">
        <w:rPr>
          <w:rFonts w:ascii="Times New Roman" w:hAnsi="Times New Roman" w:cs="Times New Roman"/>
          <w:i/>
          <w:iCs/>
          <w:sz w:val="24"/>
          <w:szCs w:val="24"/>
        </w:rPr>
        <w:t>Agricultural Science Digest, 26</w:t>
      </w:r>
      <w:r w:rsidRPr="00C337B3">
        <w:rPr>
          <w:rFonts w:ascii="Times New Roman" w:hAnsi="Times New Roman" w:cs="Times New Roman"/>
          <w:sz w:val="24"/>
          <w:szCs w:val="24"/>
        </w:rPr>
        <w:t xml:space="preserve">(2), 83-86. Retrieved from </w:t>
      </w:r>
      <w:hyperlink r:id="rId12" w:tgtFrame="_new" w:history="1">
        <w:r w:rsidRPr="00C337B3">
          <w:rPr>
            <w:rStyle w:val="Hyperlink"/>
            <w:rFonts w:ascii="Times New Roman" w:hAnsi="Times New Roman" w:cs="Times New Roman"/>
            <w:sz w:val="24"/>
            <w:szCs w:val="24"/>
          </w:rPr>
          <w:t>https://arccjournals.com/journal/agricultural-science-digest/ARCC4538</w:t>
        </w:r>
      </w:hyperlink>
    </w:p>
    <w:p w14:paraId="6D8A1428" w14:textId="77777777" w:rsidR="00F7568B" w:rsidRPr="00C337B3" w:rsidRDefault="00F7568B" w:rsidP="00C337B3">
      <w:pPr>
        <w:spacing w:line="480" w:lineRule="auto"/>
        <w:ind w:left="720" w:hanging="720"/>
        <w:jc w:val="both"/>
        <w:rPr>
          <w:rFonts w:ascii="Times New Roman" w:hAnsi="Times New Roman" w:cs="Times New Roman"/>
          <w:sz w:val="24"/>
          <w:szCs w:val="24"/>
        </w:rPr>
      </w:pPr>
      <w:r w:rsidRPr="00C337B3">
        <w:rPr>
          <w:rFonts w:ascii="Times New Roman" w:hAnsi="Times New Roman" w:cs="Times New Roman"/>
          <w:sz w:val="24"/>
          <w:szCs w:val="24"/>
        </w:rPr>
        <w:t xml:space="preserve"> Minhas, B., &amp; Vaidyanathan, A. (1965). Growth of crop output in India, 1951-54 to 1958-61: An analysis by component elements. </w:t>
      </w:r>
      <w:r w:rsidRPr="00C337B3">
        <w:rPr>
          <w:rFonts w:ascii="Times New Roman" w:hAnsi="Times New Roman" w:cs="Times New Roman"/>
          <w:i/>
          <w:iCs/>
          <w:sz w:val="24"/>
          <w:szCs w:val="24"/>
        </w:rPr>
        <w:t>Journal of the Indian Society Agriculture Statistics, 27</w:t>
      </w:r>
      <w:r w:rsidRPr="00C337B3">
        <w:rPr>
          <w:rFonts w:ascii="Times New Roman" w:hAnsi="Times New Roman" w:cs="Times New Roman"/>
          <w:sz w:val="24"/>
          <w:szCs w:val="24"/>
        </w:rPr>
        <w:t>(2), 230-252</w:t>
      </w:r>
      <w:r>
        <w:rPr>
          <w:rFonts w:ascii="Times New Roman" w:hAnsi="Times New Roman" w:cs="Times New Roman"/>
          <w:sz w:val="24"/>
          <w:szCs w:val="24"/>
        </w:rPr>
        <w:t>.</w:t>
      </w:r>
    </w:p>
    <w:p w14:paraId="65342FED" w14:textId="77777777" w:rsidR="00F7568B" w:rsidRPr="00C337B3" w:rsidRDefault="00F7568B" w:rsidP="00C337B3">
      <w:pPr>
        <w:spacing w:line="480" w:lineRule="auto"/>
        <w:ind w:left="720" w:hanging="720"/>
        <w:jc w:val="both"/>
        <w:rPr>
          <w:rFonts w:ascii="Times New Roman" w:hAnsi="Times New Roman" w:cs="Times New Roman"/>
          <w:sz w:val="24"/>
          <w:szCs w:val="24"/>
        </w:rPr>
      </w:pPr>
      <w:r w:rsidRPr="00C337B3">
        <w:rPr>
          <w:rFonts w:ascii="Times New Roman" w:hAnsi="Times New Roman" w:cs="Times New Roman"/>
          <w:sz w:val="24"/>
          <w:szCs w:val="24"/>
        </w:rPr>
        <w:t xml:space="preserve"> </w:t>
      </w:r>
      <w:proofErr w:type="spellStart"/>
      <w:r w:rsidRPr="00C337B3">
        <w:rPr>
          <w:rFonts w:ascii="Times New Roman" w:hAnsi="Times New Roman" w:cs="Times New Roman"/>
          <w:sz w:val="24"/>
          <w:szCs w:val="24"/>
        </w:rPr>
        <w:t>Rajanbabu</w:t>
      </w:r>
      <w:proofErr w:type="spellEnd"/>
      <w:r w:rsidRPr="00C337B3">
        <w:rPr>
          <w:rFonts w:ascii="Times New Roman" w:hAnsi="Times New Roman" w:cs="Times New Roman"/>
          <w:sz w:val="24"/>
          <w:szCs w:val="24"/>
        </w:rPr>
        <w:t xml:space="preserve">, R., Parimalam, E. J., &amp; Sathishkumar, V. (2022). Growth and instability in significant spices in India: An empirical analysis. </w:t>
      </w:r>
      <w:r w:rsidRPr="00C337B3">
        <w:rPr>
          <w:rFonts w:ascii="Times New Roman" w:hAnsi="Times New Roman" w:cs="Times New Roman"/>
          <w:i/>
          <w:iCs/>
          <w:sz w:val="24"/>
          <w:szCs w:val="24"/>
        </w:rPr>
        <w:t>Agricultural Science Digest - A Research Journal, 42</w:t>
      </w:r>
      <w:r w:rsidRPr="00C337B3">
        <w:rPr>
          <w:rFonts w:ascii="Times New Roman" w:hAnsi="Times New Roman" w:cs="Times New Roman"/>
          <w:sz w:val="24"/>
          <w:szCs w:val="24"/>
        </w:rPr>
        <w:t>(4), 449-453.</w:t>
      </w:r>
    </w:p>
    <w:p w14:paraId="1E1F786F" w14:textId="77777777" w:rsidR="00F7568B" w:rsidRDefault="00F7568B" w:rsidP="00C337B3">
      <w:pPr>
        <w:spacing w:line="480" w:lineRule="auto"/>
        <w:ind w:left="720" w:hanging="720"/>
        <w:jc w:val="both"/>
        <w:rPr>
          <w:rFonts w:ascii="Times New Roman" w:hAnsi="Times New Roman" w:cs="Times New Roman"/>
          <w:sz w:val="24"/>
          <w:szCs w:val="24"/>
        </w:rPr>
      </w:pPr>
      <w:r w:rsidRPr="0084696D">
        <w:rPr>
          <w:rFonts w:ascii="Times New Roman" w:hAnsi="Times New Roman" w:cs="Times New Roman"/>
          <w:sz w:val="24"/>
          <w:szCs w:val="24"/>
        </w:rPr>
        <w:t xml:space="preserve">Rehman, F., Saeed, I and Salam, A. </w:t>
      </w:r>
      <w:r>
        <w:rPr>
          <w:rFonts w:ascii="Times New Roman" w:hAnsi="Times New Roman" w:cs="Times New Roman"/>
          <w:sz w:val="24"/>
          <w:szCs w:val="24"/>
        </w:rPr>
        <w:t>(</w:t>
      </w:r>
      <w:r w:rsidRPr="0084696D">
        <w:rPr>
          <w:rFonts w:ascii="Times New Roman" w:hAnsi="Times New Roman" w:cs="Times New Roman"/>
          <w:sz w:val="24"/>
          <w:szCs w:val="24"/>
        </w:rPr>
        <w:t>2011</w:t>
      </w:r>
      <w:r>
        <w:rPr>
          <w:rFonts w:ascii="Times New Roman" w:hAnsi="Times New Roman" w:cs="Times New Roman"/>
          <w:sz w:val="24"/>
          <w:szCs w:val="24"/>
        </w:rPr>
        <w:t>)</w:t>
      </w:r>
      <w:r w:rsidRPr="0084696D">
        <w:rPr>
          <w:rFonts w:ascii="Times New Roman" w:hAnsi="Times New Roman" w:cs="Times New Roman"/>
          <w:sz w:val="24"/>
          <w:szCs w:val="24"/>
        </w:rPr>
        <w:t xml:space="preserve">. Estimating growth rates and decomposition analysis of agricultural production in Pakistan: Pre and Post SAP analysis. </w:t>
      </w:r>
      <w:r w:rsidRPr="0084696D">
        <w:rPr>
          <w:rFonts w:ascii="Times New Roman" w:hAnsi="Times New Roman" w:cs="Times New Roman"/>
          <w:i/>
          <w:iCs/>
          <w:sz w:val="24"/>
          <w:szCs w:val="24"/>
        </w:rPr>
        <w:t>Sarhad Journal of Agriculture</w:t>
      </w:r>
      <w:r w:rsidRPr="0084696D">
        <w:rPr>
          <w:rFonts w:ascii="Times New Roman" w:hAnsi="Times New Roman" w:cs="Times New Roman"/>
          <w:sz w:val="24"/>
          <w:szCs w:val="24"/>
        </w:rPr>
        <w:t>. 27(1)</w:t>
      </w:r>
      <w:r>
        <w:rPr>
          <w:rFonts w:ascii="Times New Roman" w:hAnsi="Times New Roman" w:cs="Times New Roman"/>
          <w:sz w:val="24"/>
          <w:szCs w:val="24"/>
        </w:rPr>
        <w:t>,</w:t>
      </w:r>
      <w:r w:rsidRPr="0084696D">
        <w:rPr>
          <w:rFonts w:ascii="Times New Roman" w:hAnsi="Times New Roman" w:cs="Times New Roman"/>
          <w:sz w:val="24"/>
          <w:szCs w:val="24"/>
        </w:rPr>
        <w:t xml:space="preserve"> 125-131. </w:t>
      </w:r>
    </w:p>
    <w:p w14:paraId="385BEBED" w14:textId="77777777" w:rsidR="00F7568B" w:rsidRPr="00C337B3" w:rsidRDefault="00F7568B" w:rsidP="00C337B3">
      <w:pPr>
        <w:spacing w:line="480" w:lineRule="auto"/>
        <w:ind w:left="720" w:hanging="720"/>
        <w:jc w:val="both"/>
        <w:rPr>
          <w:rFonts w:ascii="Times New Roman" w:hAnsi="Times New Roman" w:cs="Times New Roman"/>
          <w:sz w:val="24"/>
          <w:szCs w:val="24"/>
        </w:rPr>
      </w:pPr>
      <w:r w:rsidRPr="00C337B3">
        <w:rPr>
          <w:rFonts w:ascii="Times New Roman" w:hAnsi="Times New Roman" w:cs="Times New Roman"/>
          <w:sz w:val="24"/>
          <w:szCs w:val="24"/>
        </w:rPr>
        <w:t xml:space="preserve"> Sharma, A., Dey, A., </w:t>
      </w:r>
      <w:proofErr w:type="spellStart"/>
      <w:r w:rsidRPr="00C337B3">
        <w:rPr>
          <w:rFonts w:ascii="Times New Roman" w:hAnsi="Times New Roman" w:cs="Times New Roman"/>
          <w:sz w:val="24"/>
          <w:szCs w:val="24"/>
        </w:rPr>
        <w:t>Devegowda</w:t>
      </w:r>
      <w:proofErr w:type="spellEnd"/>
      <w:r w:rsidRPr="00C337B3">
        <w:rPr>
          <w:rFonts w:ascii="Times New Roman" w:hAnsi="Times New Roman" w:cs="Times New Roman"/>
          <w:sz w:val="24"/>
          <w:szCs w:val="24"/>
        </w:rPr>
        <w:t xml:space="preserve">, S. R., Gautam, Y., &amp; </w:t>
      </w:r>
      <w:proofErr w:type="spellStart"/>
      <w:r w:rsidRPr="00C337B3">
        <w:rPr>
          <w:rFonts w:ascii="Times New Roman" w:hAnsi="Times New Roman" w:cs="Times New Roman"/>
          <w:sz w:val="24"/>
          <w:szCs w:val="24"/>
        </w:rPr>
        <w:t>Kumareswaran</w:t>
      </w:r>
      <w:proofErr w:type="spellEnd"/>
      <w:r w:rsidRPr="00C337B3">
        <w:rPr>
          <w:rFonts w:ascii="Times New Roman" w:hAnsi="Times New Roman" w:cs="Times New Roman"/>
          <w:sz w:val="24"/>
          <w:szCs w:val="24"/>
        </w:rPr>
        <w:t>, T. (2022). Growth, instability and decomposition in area, production, and productivity of horticultural crops in North-East India.</w:t>
      </w:r>
    </w:p>
    <w:p w14:paraId="3976C661" w14:textId="77777777" w:rsidR="00F7568B" w:rsidRDefault="00F7568B" w:rsidP="00C337B3">
      <w:pPr>
        <w:spacing w:line="480" w:lineRule="auto"/>
        <w:ind w:left="720" w:hanging="720"/>
        <w:jc w:val="both"/>
        <w:rPr>
          <w:rFonts w:ascii="Times New Roman" w:hAnsi="Times New Roman" w:cs="Times New Roman"/>
          <w:sz w:val="24"/>
          <w:szCs w:val="24"/>
        </w:rPr>
      </w:pPr>
      <w:r w:rsidRPr="0084696D">
        <w:rPr>
          <w:rFonts w:ascii="Times New Roman" w:hAnsi="Times New Roman" w:cs="Times New Roman"/>
          <w:sz w:val="24"/>
          <w:szCs w:val="24"/>
        </w:rPr>
        <w:t xml:space="preserve">Sharma, H., Parihar, T. B and Kapadia, K. </w:t>
      </w:r>
      <w:r>
        <w:rPr>
          <w:rFonts w:ascii="Times New Roman" w:hAnsi="Times New Roman" w:cs="Times New Roman"/>
          <w:sz w:val="24"/>
          <w:szCs w:val="24"/>
        </w:rPr>
        <w:t>(</w:t>
      </w:r>
      <w:r w:rsidRPr="0084696D">
        <w:rPr>
          <w:rFonts w:ascii="Times New Roman" w:hAnsi="Times New Roman" w:cs="Times New Roman"/>
          <w:sz w:val="24"/>
          <w:szCs w:val="24"/>
        </w:rPr>
        <w:t>2017</w:t>
      </w:r>
      <w:r>
        <w:rPr>
          <w:rFonts w:ascii="Times New Roman" w:hAnsi="Times New Roman" w:cs="Times New Roman"/>
          <w:sz w:val="24"/>
          <w:szCs w:val="24"/>
        </w:rPr>
        <w:t>)</w:t>
      </w:r>
      <w:r w:rsidRPr="0084696D">
        <w:rPr>
          <w:rFonts w:ascii="Times New Roman" w:hAnsi="Times New Roman" w:cs="Times New Roman"/>
          <w:sz w:val="24"/>
          <w:szCs w:val="24"/>
        </w:rPr>
        <w:t xml:space="preserve">. Growth rates and decomposition analysis of onion production in Rajasthan state of India. </w:t>
      </w:r>
      <w:r w:rsidRPr="0084696D">
        <w:rPr>
          <w:rFonts w:ascii="Times New Roman" w:hAnsi="Times New Roman" w:cs="Times New Roman"/>
          <w:i/>
          <w:iCs/>
          <w:sz w:val="24"/>
          <w:szCs w:val="24"/>
        </w:rPr>
        <w:t>Economic Affairs</w:t>
      </w:r>
      <w:r w:rsidRPr="0084696D">
        <w:rPr>
          <w:rFonts w:ascii="Times New Roman" w:hAnsi="Times New Roman" w:cs="Times New Roman"/>
          <w:sz w:val="24"/>
          <w:szCs w:val="24"/>
        </w:rPr>
        <w:t>. 62(1)</w:t>
      </w:r>
      <w:r>
        <w:rPr>
          <w:rFonts w:ascii="Times New Roman" w:hAnsi="Times New Roman" w:cs="Times New Roman"/>
          <w:sz w:val="24"/>
          <w:szCs w:val="24"/>
        </w:rPr>
        <w:t>,</w:t>
      </w:r>
      <w:r w:rsidRPr="0084696D">
        <w:rPr>
          <w:rFonts w:ascii="Times New Roman" w:hAnsi="Times New Roman" w:cs="Times New Roman"/>
          <w:sz w:val="24"/>
          <w:szCs w:val="24"/>
        </w:rPr>
        <w:t xml:space="preserve"> 157-161.</w:t>
      </w:r>
    </w:p>
    <w:p w14:paraId="24BF9B04" w14:textId="04015949" w:rsidR="00C337B3" w:rsidRPr="00C337B3" w:rsidRDefault="00C337B3" w:rsidP="00C337B3">
      <w:pPr>
        <w:spacing w:line="480" w:lineRule="auto"/>
        <w:ind w:left="720" w:hanging="720"/>
        <w:jc w:val="both"/>
        <w:rPr>
          <w:rFonts w:ascii="Times New Roman" w:hAnsi="Times New Roman" w:cs="Times New Roman"/>
          <w:sz w:val="24"/>
          <w:szCs w:val="24"/>
        </w:rPr>
      </w:pPr>
    </w:p>
    <w:sectPr w:rsidR="00C337B3" w:rsidRPr="00C337B3" w:rsidSect="00850EC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F3A51" w14:textId="77777777" w:rsidR="00310127" w:rsidRDefault="00310127" w:rsidP="000D3E76">
      <w:pPr>
        <w:spacing w:after="0" w:line="240" w:lineRule="auto"/>
      </w:pPr>
      <w:r>
        <w:separator/>
      </w:r>
    </w:p>
  </w:endnote>
  <w:endnote w:type="continuationSeparator" w:id="0">
    <w:p w14:paraId="64F865DB" w14:textId="77777777" w:rsidR="00310127" w:rsidRDefault="00310127" w:rsidP="000D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0A805" w14:textId="77777777" w:rsidR="00920872" w:rsidRDefault="00920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C0DDD" w14:textId="77777777" w:rsidR="00920872" w:rsidRDefault="009208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8F486" w14:textId="77777777" w:rsidR="00920872" w:rsidRDefault="00920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404D1" w14:textId="77777777" w:rsidR="00310127" w:rsidRDefault="00310127" w:rsidP="000D3E76">
      <w:pPr>
        <w:spacing w:after="0" w:line="240" w:lineRule="auto"/>
      </w:pPr>
      <w:r>
        <w:separator/>
      </w:r>
    </w:p>
  </w:footnote>
  <w:footnote w:type="continuationSeparator" w:id="0">
    <w:p w14:paraId="162B1C6D" w14:textId="77777777" w:rsidR="00310127" w:rsidRDefault="00310127" w:rsidP="000D3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BCE1E" w14:textId="165EBF85" w:rsidR="00920872" w:rsidRDefault="00920872">
    <w:pPr>
      <w:pStyle w:val="Header"/>
    </w:pPr>
    <w:r>
      <w:rPr>
        <w:noProof/>
      </w:rPr>
      <w:pict w14:anchorId="4B6FA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191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9C68F" w14:textId="2B17CA24" w:rsidR="00920872" w:rsidRDefault="00920872">
    <w:pPr>
      <w:pStyle w:val="Header"/>
    </w:pPr>
    <w:r>
      <w:rPr>
        <w:noProof/>
      </w:rPr>
      <w:pict w14:anchorId="3FFEB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191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B2995" w14:textId="51AF4A1D" w:rsidR="00920872" w:rsidRDefault="00920872">
    <w:pPr>
      <w:pStyle w:val="Header"/>
    </w:pPr>
    <w:r>
      <w:rPr>
        <w:noProof/>
      </w:rPr>
      <w:pict w14:anchorId="4D084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191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7A51"/>
    <w:multiLevelType w:val="multilevel"/>
    <w:tmpl w:val="B48E1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24E9E"/>
    <w:multiLevelType w:val="multilevel"/>
    <w:tmpl w:val="AE94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677BF"/>
    <w:multiLevelType w:val="multilevel"/>
    <w:tmpl w:val="3C00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370C2"/>
    <w:multiLevelType w:val="multilevel"/>
    <w:tmpl w:val="2886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E726D"/>
    <w:multiLevelType w:val="multilevel"/>
    <w:tmpl w:val="3A7CF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532E3"/>
    <w:multiLevelType w:val="multilevel"/>
    <w:tmpl w:val="F290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44069"/>
    <w:multiLevelType w:val="multilevel"/>
    <w:tmpl w:val="934C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73682"/>
    <w:multiLevelType w:val="multilevel"/>
    <w:tmpl w:val="A5C4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123D4"/>
    <w:multiLevelType w:val="multilevel"/>
    <w:tmpl w:val="714C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383682"/>
    <w:multiLevelType w:val="multilevel"/>
    <w:tmpl w:val="C6D4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686966"/>
    <w:multiLevelType w:val="multilevel"/>
    <w:tmpl w:val="7EA87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C70D3C"/>
    <w:multiLevelType w:val="multilevel"/>
    <w:tmpl w:val="ED74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991798"/>
    <w:multiLevelType w:val="hybridMultilevel"/>
    <w:tmpl w:val="60922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795478"/>
    <w:multiLevelType w:val="multilevel"/>
    <w:tmpl w:val="87343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D34834"/>
    <w:multiLevelType w:val="multilevel"/>
    <w:tmpl w:val="6ECA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E652A3"/>
    <w:multiLevelType w:val="multilevel"/>
    <w:tmpl w:val="D890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7"/>
  </w:num>
  <w:num w:numId="4">
    <w:abstractNumId w:val="1"/>
  </w:num>
  <w:num w:numId="5">
    <w:abstractNumId w:val="3"/>
  </w:num>
  <w:num w:numId="6">
    <w:abstractNumId w:val="14"/>
  </w:num>
  <w:num w:numId="7">
    <w:abstractNumId w:val="9"/>
  </w:num>
  <w:num w:numId="8">
    <w:abstractNumId w:val="15"/>
  </w:num>
  <w:num w:numId="9">
    <w:abstractNumId w:val="6"/>
  </w:num>
  <w:num w:numId="10">
    <w:abstractNumId w:val="11"/>
  </w:num>
  <w:num w:numId="11">
    <w:abstractNumId w:val="8"/>
  </w:num>
  <w:num w:numId="12">
    <w:abstractNumId w:val="13"/>
  </w:num>
  <w:num w:numId="13">
    <w:abstractNumId w:val="4"/>
  </w:num>
  <w:num w:numId="14">
    <w:abstractNumId w:val="0"/>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07"/>
    <w:rsid w:val="000073BC"/>
    <w:rsid w:val="00012C62"/>
    <w:rsid w:val="000623A5"/>
    <w:rsid w:val="00093E3A"/>
    <w:rsid w:val="0009665F"/>
    <w:rsid w:val="000A2709"/>
    <w:rsid w:val="000B44A2"/>
    <w:rsid w:val="000C5363"/>
    <w:rsid w:val="000D3E76"/>
    <w:rsid w:val="000D5A58"/>
    <w:rsid w:val="0011030A"/>
    <w:rsid w:val="00115AD6"/>
    <w:rsid w:val="00122BD0"/>
    <w:rsid w:val="001233FC"/>
    <w:rsid w:val="00137AC1"/>
    <w:rsid w:val="001522F5"/>
    <w:rsid w:val="0016068F"/>
    <w:rsid w:val="00167836"/>
    <w:rsid w:val="00181F6C"/>
    <w:rsid w:val="0018312F"/>
    <w:rsid w:val="001A0849"/>
    <w:rsid w:val="001D5BAD"/>
    <w:rsid w:val="00253B4A"/>
    <w:rsid w:val="00255EF4"/>
    <w:rsid w:val="002A19A9"/>
    <w:rsid w:val="002C2B58"/>
    <w:rsid w:val="002D0027"/>
    <w:rsid w:val="002E01E5"/>
    <w:rsid w:val="002E113F"/>
    <w:rsid w:val="002F0874"/>
    <w:rsid w:val="002F10A5"/>
    <w:rsid w:val="00310127"/>
    <w:rsid w:val="0031012A"/>
    <w:rsid w:val="003178D1"/>
    <w:rsid w:val="003269BC"/>
    <w:rsid w:val="00335023"/>
    <w:rsid w:val="003377A6"/>
    <w:rsid w:val="00352674"/>
    <w:rsid w:val="00374590"/>
    <w:rsid w:val="00377B62"/>
    <w:rsid w:val="00381564"/>
    <w:rsid w:val="00387732"/>
    <w:rsid w:val="003B3CD1"/>
    <w:rsid w:val="003C1EAD"/>
    <w:rsid w:val="003C2C25"/>
    <w:rsid w:val="003E2AFC"/>
    <w:rsid w:val="004208FC"/>
    <w:rsid w:val="004217DC"/>
    <w:rsid w:val="00432145"/>
    <w:rsid w:val="00444E07"/>
    <w:rsid w:val="0046180B"/>
    <w:rsid w:val="004759D6"/>
    <w:rsid w:val="00491E94"/>
    <w:rsid w:val="004A112C"/>
    <w:rsid w:val="004B24BF"/>
    <w:rsid w:val="005168AB"/>
    <w:rsid w:val="00532005"/>
    <w:rsid w:val="00550B6E"/>
    <w:rsid w:val="00575616"/>
    <w:rsid w:val="005829C3"/>
    <w:rsid w:val="00595D4F"/>
    <w:rsid w:val="00595FAC"/>
    <w:rsid w:val="005B5927"/>
    <w:rsid w:val="005C2079"/>
    <w:rsid w:val="005D5D10"/>
    <w:rsid w:val="005D7D5A"/>
    <w:rsid w:val="00627B46"/>
    <w:rsid w:val="00635973"/>
    <w:rsid w:val="00662D81"/>
    <w:rsid w:val="006B7509"/>
    <w:rsid w:val="006E0BA3"/>
    <w:rsid w:val="006E7BAF"/>
    <w:rsid w:val="00726066"/>
    <w:rsid w:val="00736AF1"/>
    <w:rsid w:val="00780C52"/>
    <w:rsid w:val="007A2032"/>
    <w:rsid w:val="007C7368"/>
    <w:rsid w:val="007E7951"/>
    <w:rsid w:val="007F50A4"/>
    <w:rsid w:val="00805648"/>
    <w:rsid w:val="0084028F"/>
    <w:rsid w:val="00840AE3"/>
    <w:rsid w:val="0084696D"/>
    <w:rsid w:val="00850ECF"/>
    <w:rsid w:val="00880E1E"/>
    <w:rsid w:val="0088720C"/>
    <w:rsid w:val="008C3CAB"/>
    <w:rsid w:val="008E6E3D"/>
    <w:rsid w:val="008F7B25"/>
    <w:rsid w:val="00920804"/>
    <w:rsid w:val="00920872"/>
    <w:rsid w:val="009231FD"/>
    <w:rsid w:val="009326D9"/>
    <w:rsid w:val="009556D8"/>
    <w:rsid w:val="00961023"/>
    <w:rsid w:val="00990BB8"/>
    <w:rsid w:val="009A19D2"/>
    <w:rsid w:val="009A3BC9"/>
    <w:rsid w:val="009B0916"/>
    <w:rsid w:val="009D5635"/>
    <w:rsid w:val="009E1CC8"/>
    <w:rsid w:val="009F7271"/>
    <w:rsid w:val="00A00581"/>
    <w:rsid w:val="00A031CC"/>
    <w:rsid w:val="00A0699B"/>
    <w:rsid w:val="00A07964"/>
    <w:rsid w:val="00A11C47"/>
    <w:rsid w:val="00A2736B"/>
    <w:rsid w:val="00A36721"/>
    <w:rsid w:val="00A71C5A"/>
    <w:rsid w:val="00A865A9"/>
    <w:rsid w:val="00A91B7D"/>
    <w:rsid w:val="00AA2209"/>
    <w:rsid w:val="00AD0B37"/>
    <w:rsid w:val="00AD38AD"/>
    <w:rsid w:val="00AD51DB"/>
    <w:rsid w:val="00B0797B"/>
    <w:rsid w:val="00B21E02"/>
    <w:rsid w:val="00B256BF"/>
    <w:rsid w:val="00B60AA9"/>
    <w:rsid w:val="00B662A1"/>
    <w:rsid w:val="00B679D9"/>
    <w:rsid w:val="00B71C5B"/>
    <w:rsid w:val="00BA2751"/>
    <w:rsid w:val="00BA2E88"/>
    <w:rsid w:val="00BF101E"/>
    <w:rsid w:val="00BF3076"/>
    <w:rsid w:val="00C337B3"/>
    <w:rsid w:val="00C37F8F"/>
    <w:rsid w:val="00C435AF"/>
    <w:rsid w:val="00C63C03"/>
    <w:rsid w:val="00C7106D"/>
    <w:rsid w:val="00C878BA"/>
    <w:rsid w:val="00CD18DE"/>
    <w:rsid w:val="00CD7719"/>
    <w:rsid w:val="00CE2A1B"/>
    <w:rsid w:val="00D14473"/>
    <w:rsid w:val="00D4256A"/>
    <w:rsid w:val="00DB57AD"/>
    <w:rsid w:val="00E05246"/>
    <w:rsid w:val="00E06126"/>
    <w:rsid w:val="00E172CF"/>
    <w:rsid w:val="00E32785"/>
    <w:rsid w:val="00E5398A"/>
    <w:rsid w:val="00E5514D"/>
    <w:rsid w:val="00E822B6"/>
    <w:rsid w:val="00E83121"/>
    <w:rsid w:val="00E857E3"/>
    <w:rsid w:val="00ED76E1"/>
    <w:rsid w:val="00ED7C31"/>
    <w:rsid w:val="00EF6EED"/>
    <w:rsid w:val="00F00C15"/>
    <w:rsid w:val="00F04B03"/>
    <w:rsid w:val="00F207DB"/>
    <w:rsid w:val="00F7568B"/>
    <w:rsid w:val="00F872D4"/>
    <w:rsid w:val="00FA08E8"/>
    <w:rsid w:val="00FA3DFA"/>
    <w:rsid w:val="00FB4600"/>
    <w:rsid w:val="00FB6A43"/>
    <w:rsid w:val="00FC397E"/>
    <w:rsid w:val="00FD4DB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D88DB4"/>
  <w15:chartTrackingRefBased/>
  <w15:docId w15:val="{CBE6BFF0-1D5D-4E6E-BE38-672C2440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E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4E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4E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4E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4E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4E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E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E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E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E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4E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4E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4E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4E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4E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E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E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E07"/>
    <w:rPr>
      <w:rFonts w:eastAsiaTheme="majorEastAsia" w:cstheme="majorBidi"/>
      <w:color w:val="272727" w:themeColor="text1" w:themeTint="D8"/>
    </w:rPr>
  </w:style>
  <w:style w:type="paragraph" w:styleId="Title">
    <w:name w:val="Title"/>
    <w:basedOn w:val="Normal"/>
    <w:next w:val="Normal"/>
    <w:link w:val="TitleChar"/>
    <w:uiPriority w:val="10"/>
    <w:qFormat/>
    <w:rsid w:val="00444E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E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E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E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E07"/>
    <w:pPr>
      <w:spacing w:before="160"/>
      <w:jc w:val="center"/>
    </w:pPr>
    <w:rPr>
      <w:i/>
      <w:iCs/>
      <w:color w:val="404040" w:themeColor="text1" w:themeTint="BF"/>
    </w:rPr>
  </w:style>
  <w:style w:type="character" w:customStyle="1" w:styleId="QuoteChar">
    <w:name w:val="Quote Char"/>
    <w:basedOn w:val="DefaultParagraphFont"/>
    <w:link w:val="Quote"/>
    <w:uiPriority w:val="29"/>
    <w:rsid w:val="00444E07"/>
    <w:rPr>
      <w:i/>
      <w:iCs/>
      <w:color w:val="404040" w:themeColor="text1" w:themeTint="BF"/>
    </w:rPr>
  </w:style>
  <w:style w:type="paragraph" w:styleId="ListParagraph">
    <w:name w:val="List Paragraph"/>
    <w:basedOn w:val="Normal"/>
    <w:uiPriority w:val="34"/>
    <w:qFormat/>
    <w:rsid w:val="00444E07"/>
    <w:pPr>
      <w:ind w:left="720"/>
      <w:contextualSpacing/>
    </w:pPr>
  </w:style>
  <w:style w:type="character" w:styleId="IntenseEmphasis">
    <w:name w:val="Intense Emphasis"/>
    <w:basedOn w:val="DefaultParagraphFont"/>
    <w:uiPriority w:val="21"/>
    <w:qFormat/>
    <w:rsid w:val="00444E07"/>
    <w:rPr>
      <w:i/>
      <w:iCs/>
      <w:color w:val="2F5496" w:themeColor="accent1" w:themeShade="BF"/>
    </w:rPr>
  </w:style>
  <w:style w:type="paragraph" w:styleId="IntenseQuote">
    <w:name w:val="Intense Quote"/>
    <w:basedOn w:val="Normal"/>
    <w:next w:val="Normal"/>
    <w:link w:val="IntenseQuoteChar"/>
    <w:uiPriority w:val="30"/>
    <w:qFormat/>
    <w:rsid w:val="00444E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4E07"/>
    <w:rPr>
      <w:i/>
      <w:iCs/>
      <w:color w:val="2F5496" w:themeColor="accent1" w:themeShade="BF"/>
    </w:rPr>
  </w:style>
  <w:style w:type="character" w:styleId="IntenseReference">
    <w:name w:val="Intense Reference"/>
    <w:basedOn w:val="DefaultParagraphFont"/>
    <w:uiPriority w:val="32"/>
    <w:qFormat/>
    <w:rsid w:val="00444E07"/>
    <w:rPr>
      <w:b/>
      <w:bCs/>
      <w:smallCaps/>
      <w:color w:val="2F5496" w:themeColor="accent1" w:themeShade="BF"/>
      <w:spacing w:val="5"/>
    </w:rPr>
  </w:style>
  <w:style w:type="character" w:styleId="PlaceholderText">
    <w:name w:val="Placeholder Text"/>
    <w:basedOn w:val="DefaultParagraphFont"/>
    <w:uiPriority w:val="99"/>
    <w:semiHidden/>
    <w:rsid w:val="00990BB8"/>
    <w:rPr>
      <w:color w:val="666666"/>
    </w:rPr>
  </w:style>
  <w:style w:type="character" w:styleId="Hyperlink">
    <w:name w:val="Hyperlink"/>
    <w:basedOn w:val="DefaultParagraphFont"/>
    <w:uiPriority w:val="99"/>
    <w:unhideWhenUsed/>
    <w:rsid w:val="00DB57AD"/>
    <w:rPr>
      <w:color w:val="0563C1" w:themeColor="hyperlink"/>
      <w:u w:val="single"/>
    </w:rPr>
  </w:style>
  <w:style w:type="character" w:styleId="UnresolvedMention">
    <w:name w:val="Unresolved Mention"/>
    <w:basedOn w:val="DefaultParagraphFont"/>
    <w:uiPriority w:val="99"/>
    <w:semiHidden/>
    <w:unhideWhenUsed/>
    <w:rsid w:val="00DB57AD"/>
    <w:rPr>
      <w:color w:val="605E5C"/>
      <w:shd w:val="clear" w:color="auto" w:fill="E1DFDD"/>
    </w:rPr>
  </w:style>
  <w:style w:type="paragraph" w:styleId="NormalWeb">
    <w:name w:val="Normal (Web)"/>
    <w:basedOn w:val="Normal"/>
    <w:uiPriority w:val="99"/>
    <w:unhideWhenUsed/>
    <w:rsid w:val="00CD18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D18DE"/>
    <w:rPr>
      <w:b/>
      <w:bCs/>
    </w:rPr>
  </w:style>
  <w:style w:type="character" w:styleId="Emphasis">
    <w:name w:val="Emphasis"/>
    <w:basedOn w:val="DefaultParagraphFont"/>
    <w:uiPriority w:val="20"/>
    <w:qFormat/>
    <w:rsid w:val="00CD18DE"/>
    <w:rPr>
      <w:i/>
      <w:iCs/>
    </w:rPr>
  </w:style>
  <w:style w:type="paragraph" w:styleId="Header">
    <w:name w:val="header"/>
    <w:basedOn w:val="Normal"/>
    <w:link w:val="HeaderChar"/>
    <w:uiPriority w:val="99"/>
    <w:unhideWhenUsed/>
    <w:rsid w:val="000D3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E76"/>
  </w:style>
  <w:style w:type="paragraph" w:styleId="Footer">
    <w:name w:val="footer"/>
    <w:basedOn w:val="Normal"/>
    <w:link w:val="FooterChar"/>
    <w:uiPriority w:val="99"/>
    <w:unhideWhenUsed/>
    <w:rsid w:val="000D3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144">
      <w:bodyDiv w:val="1"/>
      <w:marLeft w:val="0"/>
      <w:marRight w:val="0"/>
      <w:marTop w:val="0"/>
      <w:marBottom w:val="0"/>
      <w:divBdr>
        <w:top w:val="none" w:sz="0" w:space="0" w:color="auto"/>
        <w:left w:val="none" w:sz="0" w:space="0" w:color="auto"/>
        <w:bottom w:val="none" w:sz="0" w:space="0" w:color="auto"/>
        <w:right w:val="none" w:sz="0" w:space="0" w:color="auto"/>
      </w:divBdr>
    </w:div>
    <w:div w:id="93982155">
      <w:bodyDiv w:val="1"/>
      <w:marLeft w:val="0"/>
      <w:marRight w:val="0"/>
      <w:marTop w:val="0"/>
      <w:marBottom w:val="0"/>
      <w:divBdr>
        <w:top w:val="none" w:sz="0" w:space="0" w:color="auto"/>
        <w:left w:val="none" w:sz="0" w:space="0" w:color="auto"/>
        <w:bottom w:val="none" w:sz="0" w:space="0" w:color="auto"/>
        <w:right w:val="none" w:sz="0" w:space="0" w:color="auto"/>
      </w:divBdr>
    </w:div>
    <w:div w:id="107118549">
      <w:bodyDiv w:val="1"/>
      <w:marLeft w:val="0"/>
      <w:marRight w:val="0"/>
      <w:marTop w:val="0"/>
      <w:marBottom w:val="0"/>
      <w:divBdr>
        <w:top w:val="none" w:sz="0" w:space="0" w:color="auto"/>
        <w:left w:val="none" w:sz="0" w:space="0" w:color="auto"/>
        <w:bottom w:val="none" w:sz="0" w:space="0" w:color="auto"/>
        <w:right w:val="none" w:sz="0" w:space="0" w:color="auto"/>
      </w:divBdr>
    </w:div>
    <w:div w:id="179010580">
      <w:bodyDiv w:val="1"/>
      <w:marLeft w:val="0"/>
      <w:marRight w:val="0"/>
      <w:marTop w:val="0"/>
      <w:marBottom w:val="0"/>
      <w:divBdr>
        <w:top w:val="none" w:sz="0" w:space="0" w:color="auto"/>
        <w:left w:val="none" w:sz="0" w:space="0" w:color="auto"/>
        <w:bottom w:val="none" w:sz="0" w:space="0" w:color="auto"/>
        <w:right w:val="none" w:sz="0" w:space="0" w:color="auto"/>
      </w:divBdr>
    </w:div>
    <w:div w:id="182983426">
      <w:bodyDiv w:val="1"/>
      <w:marLeft w:val="0"/>
      <w:marRight w:val="0"/>
      <w:marTop w:val="0"/>
      <w:marBottom w:val="0"/>
      <w:divBdr>
        <w:top w:val="none" w:sz="0" w:space="0" w:color="auto"/>
        <w:left w:val="none" w:sz="0" w:space="0" w:color="auto"/>
        <w:bottom w:val="none" w:sz="0" w:space="0" w:color="auto"/>
        <w:right w:val="none" w:sz="0" w:space="0" w:color="auto"/>
      </w:divBdr>
    </w:div>
    <w:div w:id="190843815">
      <w:bodyDiv w:val="1"/>
      <w:marLeft w:val="0"/>
      <w:marRight w:val="0"/>
      <w:marTop w:val="0"/>
      <w:marBottom w:val="0"/>
      <w:divBdr>
        <w:top w:val="none" w:sz="0" w:space="0" w:color="auto"/>
        <w:left w:val="none" w:sz="0" w:space="0" w:color="auto"/>
        <w:bottom w:val="none" w:sz="0" w:space="0" w:color="auto"/>
        <w:right w:val="none" w:sz="0" w:space="0" w:color="auto"/>
      </w:divBdr>
    </w:div>
    <w:div w:id="217478115">
      <w:bodyDiv w:val="1"/>
      <w:marLeft w:val="0"/>
      <w:marRight w:val="0"/>
      <w:marTop w:val="0"/>
      <w:marBottom w:val="0"/>
      <w:divBdr>
        <w:top w:val="none" w:sz="0" w:space="0" w:color="auto"/>
        <w:left w:val="none" w:sz="0" w:space="0" w:color="auto"/>
        <w:bottom w:val="none" w:sz="0" w:space="0" w:color="auto"/>
        <w:right w:val="none" w:sz="0" w:space="0" w:color="auto"/>
      </w:divBdr>
    </w:div>
    <w:div w:id="315033109">
      <w:bodyDiv w:val="1"/>
      <w:marLeft w:val="0"/>
      <w:marRight w:val="0"/>
      <w:marTop w:val="0"/>
      <w:marBottom w:val="0"/>
      <w:divBdr>
        <w:top w:val="none" w:sz="0" w:space="0" w:color="auto"/>
        <w:left w:val="none" w:sz="0" w:space="0" w:color="auto"/>
        <w:bottom w:val="none" w:sz="0" w:space="0" w:color="auto"/>
        <w:right w:val="none" w:sz="0" w:space="0" w:color="auto"/>
      </w:divBdr>
    </w:div>
    <w:div w:id="317152536">
      <w:bodyDiv w:val="1"/>
      <w:marLeft w:val="0"/>
      <w:marRight w:val="0"/>
      <w:marTop w:val="0"/>
      <w:marBottom w:val="0"/>
      <w:divBdr>
        <w:top w:val="none" w:sz="0" w:space="0" w:color="auto"/>
        <w:left w:val="none" w:sz="0" w:space="0" w:color="auto"/>
        <w:bottom w:val="none" w:sz="0" w:space="0" w:color="auto"/>
        <w:right w:val="none" w:sz="0" w:space="0" w:color="auto"/>
      </w:divBdr>
    </w:div>
    <w:div w:id="386563454">
      <w:bodyDiv w:val="1"/>
      <w:marLeft w:val="0"/>
      <w:marRight w:val="0"/>
      <w:marTop w:val="0"/>
      <w:marBottom w:val="0"/>
      <w:divBdr>
        <w:top w:val="none" w:sz="0" w:space="0" w:color="auto"/>
        <w:left w:val="none" w:sz="0" w:space="0" w:color="auto"/>
        <w:bottom w:val="none" w:sz="0" w:space="0" w:color="auto"/>
        <w:right w:val="none" w:sz="0" w:space="0" w:color="auto"/>
      </w:divBdr>
    </w:div>
    <w:div w:id="506795655">
      <w:bodyDiv w:val="1"/>
      <w:marLeft w:val="0"/>
      <w:marRight w:val="0"/>
      <w:marTop w:val="0"/>
      <w:marBottom w:val="0"/>
      <w:divBdr>
        <w:top w:val="none" w:sz="0" w:space="0" w:color="auto"/>
        <w:left w:val="none" w:sz="0" w:space="0" w:color="auto"/>
        <w:bottom w:val="none" w:sz="0" w:space="0" w:color="auto"/>
        <w:right w:val="none" w:sz="0" w:space="0" w:color="auto"/>
      </w:divBdr>
    </w:div>
    <w:div w:id="517693741">
      <w:bodyDiv w:val="1"/>
      <w:marLeft w:val="0"/>
      <w:marRight w:val="0"/>
      <w:marTop w:val="0"/>
      <w:marBottom w:val="0"/>
      <w:divBdr>
        <w:top w:val="none" w:sz="0" w:space="0" w:color="auto"/>
        <w:left w:val="none" w:sz="0" w:space="0" w:color="auto"/>
        <w:bottom w:val="none" w:sz="0" w:space="0" w:color="auto"/>
        <w:right w:val="none" w:sz="0" w:space="0" w:color="auto"/>
      </w:divBdr>
    </w:div>
    <w:div w:id="522282558">
      <w:bodyDiv w:val="1"/>
      <w:marLeft w:val="0"/>
      <w:marRight w:val="0"/>
      <w:marTop w:val="0"/>
      <w:marBottom w:val="0"/>
      <w:divBdr>
        <w:top w:val="none" w:sz="0" w:space="0" w:color="auto"/>
        <w:left w:val="none" w:sz="0" w:space="0" w:color="auto"/>
        <w:bottom w:val="none" w:sz="0" w:space="0" w:color="auto"/>
        <w:right w:val="none" w:sz="0" w:space="0" w:color="auto"/>
      </w:divBdr>
    </w:div>
    <w:div w:id="550381706">
      <w:bodyDiv w:val="1"/>
      <w:marLeft w:val="0"/>
      <w:marRight w:val="0"/>
      <w:marTop w:val="0"/>
      <w:marBottom w:val="0"/>
      <w:divBdr>
        <w:top w:val="none" w:sz="0" w:space="0" w:color="auto"/>
        <w:left w:val="none" w:sz="0" w:space="0" w:color="auto"/>
        <w:bottom w:val="none" w:sz="0" w:space="0" w:color="auto"/>
        <w:right w:val="none" w:sz="0" w:space="0" w:color="auto"/>
      </w:divBdr>
    </w:div>
    <w:div w:id="626591901">
      <w:bodyDiv w:val="1"/>
      <w:marLeft w:val="0"/>
      <w:marRight w:val="0"/>
      <w:marTop w:val="0"/>
      <w:marBottom w:val="0"/>
      <w:divBdr>
        <w:top w:val="none" w:sz="0" w:space="0" w:color="auto"/>
        <w:left w:val="none" w:sz="0" w:space="0" w:color="auto"/>
        <w:bottom w:val="none" w:sz="0" w:space="0" w:color="auto"/>
        <w:right w:val="none" w:sz="0" w:space="0" w:color="auto"/>
      </w:divBdr>
    </w:div>
    <w:div w:id="642276961">
      <w:bodyDiv w:val="1"/>
      <w:marLeft w:val="0"/>
      <w:marRight w:val="0"/>
      <w:marTop w:val="0"/>
      <w:marBottom w:val="0"/>
      <w:divBdr>
        <w:top w:val="none" w:sz="0" w:space="0" w:color="auto"/>
        <w:left w:val="none" w:sz="0" w:space="0" w:color="auto"/>
        <w:bottom w:val="none" w:sz="0" w:space="0" w:color="auto"/>
        <w:right w:val="none" w:sz="0" w:space="0" w:color="auto"/>
      </w:divBdr>
    </w:div>
    <w:div w:id="655573218">
      <w:bodyDiv w:val="1"/>
      <w:marLeft w:val="0"/>
      <w:marRight w:val="0"/>
      <w:marTop w:val="0"/>
      <w:marBottom w:val="0"/>
      <w:divBdr>
        <w:top w:val="none" w:sz="0" w:space="0" w:color="auto"/>
        <w:left w:val="none" w:sz="0" w:space="0" w:color="auto"/>
        <w:bottom w:val="none" w:sz="0" w:space="0" w:color="auto"/>
        <w:right w:val="none" w:sz="0" w:space="0" w:color="auto"/>
      </w:divBdr>
    </w:div>
    <w:div w:id="1014722624">
      <w:bodyDiv w:val="1"/>
      <w:marLeft w:val="0"/>
      <w:marRight w:val="0"/>
      <w:marTop w:val="0"/>
      <w:marBottom w:val="0"/>
      <w:divBdr>
        <w:top w:val="none" w:sz="0" w:space="0" w:color="auto"/>
        <w:left w:val="none" w:sz="0" w:space="0" w:color="auto"/>
        <w:bottom w:val="none" w:sz="0" w:space="0" w:color="auto"/>
        <w:right w:val="none" w:sz="0" w:space="0" w:color="auto"/>
      </w:divBdr>
    </w:div>
    <w:div w:id="1232079534">
      <w:bodyDiv w:val="1"/>
      <w:marLeft w:val="0"/>
      <w:marRight w:val="0"/>
      <w:marTop w:val="0"/>
      <w:marBottom w:val="0"/>
      <w:divBdr>
        <w:top w:val="none" w:sz="0" w:space="0" w:color="auto"/>
        <w:left w:val="none" w:sz="0" w:space="0" w:color="auto"/>
        <w:bottom w:val="none" w:sz="0" w:space="0" w:color="auto"/>
        <w:right w:val="none" w:sz="0" w:space="0" w:color="auto"/>
      </w:divBdr>
    </w:div>
    <w:div w:id="1409225527">
      <w:bodyDiv w:val="1"/>
      <w:marLeft w:val="0"/>
      <w:marRight w:val="0"/>
      <w:marTop w:val="0"/>
      <w:marBottom w:val="0"/>
      <w:divBdr>
        <w:top w:val="none" w:sz="0" w:space="0" w:color="auto"/>
        <w:left w:val="none" w:sz="0" w:space="0" w:color="auto"/>
        <w:bottom w:val="none" w:sz="0" w:space="0" w:color="auto"/>
        <w:right w:val="none" w:sz="0" w:space="0" w:color="auto"/>
      </w:divBdr>
    </w:div>
    <w:div w:id="1465003257">
      <w:bodyDiv w:val="1"/>
      <w:marLeft w:val="0"/>
      <w:marRight w:val="0"/>
      <w:marTop w:val="0"/>
      <w:marBottom w:val="0"/>
      <w:divBdr>
        <w:top w:val="none" w:sz="0" w:space="0" w:color="auto"/>
        <w:left w:val="none" w:sz="0" w:space="0" w:color="auto"/>
        <w:bottom w:val="none" w:sz="0" w:space="0" w:color="auto"/>
        <w:right w:val="none" w:sz="0" w:space="0" w:color="auto"/>
      </w:divBdr>
    </w:div>
    <w:div w:id="1480463091">
      <w:bodyDiv w:val="1"/>
      <w:marLeft w:val="0"/>
      <w:marRight w:val="0"/>
      <w:marTop w:val="0"/>
      <w:marBottom w:val="0"/>
      <w:divBdr>
        <w:top w:val="none" w:sz="0" w:space="0" w:color="auto"/>
        <w:left w:val="none" w:sz="0" w:space="0" w:color="auto"/>
        <w:bottom w:val="none" w:sz="0" w:space="0" w:color="auto"/>
        <w:right w:val="none" w:sz="0" w:space="0" w:color="auto"/>
      </w:divBdr>
    </w:div>
    <w:div w:id="1480852394">
      <w:bodyDiv w:val="1"/>
      <w:marLeft w:val="0"/>
      <w:marRight w:val="0"/>
      <w:marTop w:val="0"/>
      <w:marBottom w:val="0"/>
      <w:divBdr>
        <w:top w:val="none" w:sz="0" w:space="0" w:color="auto"/>
        <w:left w:val="none" w:sz="0" w:space="0" w:color="auto"/>
        <w:bottom w:val="none" w:sz="0" w:space="0" w:color="auto"/>
        <w:right w:val="none" w:sz="0" w:space="0" w:color="auto"/>
      </w:divBdr>
    </w:div>
    <w:div w:id="1602030661">
      <w:bodyDiv w:val="1"/>
      <w:marLeft w:val="0"/>
      <w:marRight w:val="0"/>
      <w:marTop w:val="0"/>
      <w:marBottom w:val="0"/>
      <w:divBdr>
        <w:top w:val="none" w:sz="0" w:space="0" w:color="auto"/>
        <w:left w:val="none" w:sz="0" w:space="0" w:color="auto"/>
        <w:bottom w:val="none" w:sz="0" w:space="0" w:color="auto"/>
        <w:right w:val="none" w:sz="0" w:space="0" w:color="auto"/>
      </w:divBdr>
    </w:div>
    <w:div w:id="1664626619">
      <w:bodyDiv w:val="1"/>
      <w:marLeft w:val="0"/>
      <w:marRight w:val="0"/>
      <w:marTop w:val="0"/>
      <w:marBottom w:val="0"/>
      <w:divBdr>
        <w:top w:val="none" w:sz="0" w:space="0" w:color="auto"/>
        <w:left w:val="none" w:sz="0" w:space="0" w:color="auto"/>
        <w:bottom w:val="none" w:sz="0" w:space="0" w:color="auto"/>
        <w:right w:val="none" w:sz="0" w:space="0" w:color="auto"/>
      </w:divBdr>
    </w:div>
    <w:div w:id="1697925513">
      <w:bodyDiv w:val="1"/>
      <w:marLeft w:val="0"/>
      <w:marRight w:val="0"/>
      <w:marTop w:val="0"/>
      <w:marBottom w:val="0"/>
      <w:divBdr>
        <w:top w:val="none" w:sz="0" w:space="0" w:color="auto"/>
        <w:left w:val="none" w:sz="0" w:space="0" w:color="auto"/>
        <w:bottom w:val="none" w:sz="0" w:space="0" w:color="auto"/>
        <w:right w:val="none" w:sz="0" w:space="0" w:color="auto"/>
      </w:divBdr>
    </w:div>
    <w:div w:id="1722360207">
      <w:bodyDiv w:val="1"/>
      <w:marLeft w:val="0"/>
      <w:marRight w:val="0"/>
      <w:marTop w:val="0"/>
      <w:marBottom w:val="0"/>
      <w:divBdr>
        <w:top w:val="none" w:sz="0" w:space="0" w:color="auto"/>
        <w:left w:val="none" w:sz="0" w:space="0" w:color="auto"/>
        <w:bottom w:val="none" w:sz="0" w:space="0" w:color="auto"/>
        <w:right w:val="none" w:sz="0" w:space="0" w:color="auto"/>
      </w:divBdr>
    </w:div>
    <w:div w:id="1776436551">
      <w:bodyDiv w:val="1"/>
      <w:marLeft w:val="0"/>
      <w:marRight w:val="0"/>
      <w:marTop w:val="0"/>
      <w:marBottom w:val="0"/>
      <w:divBdr>
        <w:top w:val="none" w:sz="0" w:space="0" w:color="auto"/>
        <w:left w:val="none" w:sz="0" w:space="0" w:color="auto"/>
        <w:bottom w:val="none" w:sz="0" w:space="0" w:color="auto"/>
        <w:right w:val="none" w:sz="0" w:space="0" w:color="auto"/>
      </w:divBdr>
    </w:div>
    <w:div w:id="1826773852">
      <w:bodyDiv w:val="1"/>
      <w:marLeft w:val="0"/>
      <w:marRight w:val="0"/>
      <w:marTop w:val="0"/>
      <w:marBottom w:val="0"/>
      <w:divBdr>
        <w:top w:val="none" w:sz="0" w:space="0" w:color="auto"/>
        <w:left w:val="none" w:sz="0" w:space="0" w:color="auto"/>
        <w:bottom w:val="none" w:sz="0" w:space="0" w:color="auto"/>
        <w:right w:val="none" w:sz="0" w:space="0" w:color="auto"/>
      </w:divBdr>
    </w:div>
    <w:div w:id="1851017533">
      <w:bodyDiv w:val="1"/>
      <w:marLeft w:val="0"/>
      <w:marRight w:val="0"/>
      <w:marTop w:val="0"/>
      <w:marBottom w:val="0"/>
      <w:divBdr>
        <w:top w:val="none" w:sz="0" w:space="0" w:color="auto"/>
        <w:left w:val="none" w:sz="0" w:space="0" w:color="auto"/>
        <w:bottom w:val="none" w:sz="0" w:space="0" w:color="auto"/>
        <w:right w:val="none" w:sz="0" w:space="0" w:color="auto"/>
      </w:divBdr>
    </w:div>
    <w:div w:id="1874002047">
      <w:bodyDiv w:val="1"/>
      <w:marLeft w:val="0"/>
      <w:marRight w:val="0"/>
      <w:marTop w:val="0"/>
      <w:marBottom w:val="0"/>
      <w:divBdr>
        <w:top w:val="none" w:sz="0" w:space="0" w:color="auto"/>
        <w:left w:val="none" w:sz="0" w:space="0" w:color="auto"/>
        <w:bottom w:val="none" w:sz="0" w:space="0" w:color="auto"/>
        <w:right w:val="none" w:sz="0" w:space="0" w:color="auto"/>
      </w:divBdr>
    </w:div>
    <w:div w:id="2002811475">
      <w:bodyDiv w:val="1"/>
      <w:marLeft w:val="0"/>
      <w:marRight w:val="0"/>
      <w:marTop w:val="0"/>
      <w:marBottom w:val="0"/>
      <w:divBdr>
        <w:top w:val="none" w:sz="0" w:space="0" w:color="auto"/>
        <w:left w:val="none" w:sz="0" w:space="0" w:color="auto"/>
        <w:bottom w:val="none" w:sz="0" w:space="0" w:color="auto"/>
        <w:right w:val="none" w:sz="0" w:space="0" w:color="auto"/>
      </w:divBdr>
    </w:div>
    <w:div w:id="2018728640">
      <w:bodyDiv w:val="1"/>
      <w:marLeft w:val="0"/>
      <w:marRight w:val="0"/>
      <w:marTop w:val="0"/>
      <w:marBottom w:val="0"/>
      <w:divBdr>
        <w:top w:val="none" w:sz="0" w:space="0" w:color="auto"/>
        <w:left w:val="none" w:sz="0" w:space="0" w:color="auto"/>
        <w:bottom w:val="none" w:sz="0" w:space="0" w:color="auto"/>
        <w:right w:val="none" w:sz="0" w:space="0" w:color="auto"/>
      </w:divBdr>
    </w:div>
    <w:div w:id="2033217786">
      <w:bodyDiv w:val="1"/>
      <w:marLeft w:val="0"/>
      <w:marRight w:val="0"/>
      <w:marTop w:val="0"/>
      <w:marBottom w:val="0"/>
      <w:divBdr>
        <w:top w:val="none" w:sz="0" w:space="0" w:color="auto"/>
        <w:left w:val="none" w:sz="0" w:space="0" w:color="auto"/>
        <w:bottom w:val="none" w:sz="0" w:space="0" w:color="auto"/>
        <w:right w:val="none" w:sz="0" w:space="0" w:color="auto"/>
      </w:divBdr>
    </w:div>
    <w:div w:id="2072340964">
      <w:bodyDiv w:val="1"/>
      <w:marLeft w:val="0"/>
      <w:marRight w:val="0"/>
      <w:marTop w:val="0"/>
      <w:marBottom w:val="0"/>
      <w:divBdr>
        <w:top w:val="none" w:sz="0" w:space="0" w:color="auto"/>
        <w:left w:val="none" w:sz="0" w:space="0" w:color="auto"/>
        <w:bottom w:val="none" w:sz="0" w:space="0" w:color="auto"/>
        <w:right w:val="none" w:sz="0" w:space="0" w:color="auto"/>
      </w:divBdr>
    </w:div>
    <w:div w:id="208799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arccjournals.com/journal/agricultural-science-digest/ARCC4538"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dianspices.com/index.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OneDrive\Desktop\cagrand%20index%20for%20%20dry%20chilli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Sheet2!$C$4</c:f>
              <c:strCache>
                <c:ptCount val="1"/>
                <c:pt idx="0">
                  <c:v>Area 000 ha</c:v>
                </c:pt>
              </c:strCache>
            </c:strRef>
          </c:tx>
          <c:spPr>
            <a:solidFill>
              <a:schemeClr val="accent2"/>
            </a:solidFill>
            <a:ln>
              <a:noFill/>
            </a:ln>
            <a:effectLst/>
          </c:spPr>
          <c:invertIfNegative val="0"/>
          <c:cat>
            <c:strRef>
              <c:f>Sheet2!$A$5:$A$34</c:f>
              <c:strCache>
                <c:ptCount val="3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pt idx="28">
                  <c:v>2021</c:v>
                </c:pt>
                <c:pt idx="29">
                  <c:v>2022</c:v>
                </c:pt>
              </c:strCache>
            </c:strRef>
          </c:cat>
          <c:val>
            <c:numRef>
              <c:f>Sheet2!$C$5:$C$34</c:f>
              <c:numCache>
                <c:formatCode>########0.0</c:formatCode>
                <c:ptCount val="30"/>
                <c:pt idx="0">
                  <c:v>930</c:v>
                </c:pt>
                <c:pt idx="1">
                  <c:v>829.1</c:v>
                </c:pt>
                <c:pt idx="2">
                  <c:v>883</c:v>
                </c:pt>
                <c:pt idx="3">
                  <c:v>944</c:v>
                </c:pt>
                <c:pt idx="4">
                  <c:v>840.6</c:v>
                </c:pt>
                <c:pt idx="5">
                  <c:v>891.2</c:v>
                </c:pt>
                <c:pt idx="6">
                  <c:v>959.2</c:v>
                </c:pt>
                <c:pt idx="7">
                  <c:v>836.5</c:v>
                </c:pt>
                <c:pt idx="8">
                  <c:v>880</c:v>
                </c:pt>
                <c:pt idx="9">
                  <c:v>828.6</c:v>
                </c:pt>
                <c:pt idx="10">
                  <c:v>774.3</c:v>
                </c:pt>
                <c:pt idx="11">
                  <c:v>737.5</c:v>
                </c:pt>
                <c:pt idx="12">
                  <c:v>654.9</c:v>
                </c:pt>
                <c:pt idx="13">
                  <c:v>758</c:v>
                </c:pt>
                <c:pt idx="14">
                  <c:v>808.17</c:v>
                </c:pt>
                <c:pt idx="15">
                  <c:v>779.05</c:v>
                </c:pt>
                <c:pt idx="16">
                  <c:v>767.23</c:v>
                </c:pt>
                <c:pt idx="17">
                  <c:v>792.1</c:v>
                </c:pt>
                <c:pt idx="18">
                  <c:v>804.79200000000003</c:v>
                </c:pt>
                <c:pt idx="19">
                  <c:v>793.59</c:v>
                </c:pt>
                <c:pt idx="20">
                  <c:v>775</c:v>
                </c:pt>
                <c:pt idx="21">
                  <c:v>775</c:v>
                </c:pt>
                <c:pt idx="22">
                  <c:v>761</c:v>
                </c:pt>
                <c:pt idx="23">
                  <c:v>811.14</c:v>
                </c:pt>
                <c:pt idx="24">
                  <c:v>840</c:v>
                </c:pt>
                <c:pt idx="25">
                  <c:v>752</c:v>
                </c:pt>
                <c:pt idx="26">
                  <c:v>780</c:v>
                </c:pt>
                <c:pt idx="27">
                  <c:v>626</c:v>
                </c:pt>
                <c:pt idx="28">
                  <c:v>702</c:v>
                </c:pt>
                <c:pt idx="29">
                  <c:v>678</c:v>
                </c:pt>
              </c:numCache>
            </c:numRef>
          </c:val>
          <c:extLst>
            <c:ext xmlns:c16="http://schemas.microsoft.com/office/drawing/2014/chart" uri="{C3380CC4-5D6E-409C-BE32-E72D297353CC}">
              <c16:uniqueId val="{00000000-E9A2-446B-8EAF-1BC706247117}"/>
            </c:ext>
          </c:extLst>
        </c:ser>
        <c:ser>
          <c:idx val="0"/>
          <c:order val="1"/>
          <c:tx>
            <c:strRef>
              <c:f>Sheet2!$E$4</c:f>
              <c:strCache>
                <c:ptCount val="1"/>
                <c:pt idx="0">
                  <c:v>Production 000 T</c:v>
                </c:pt>
              </c:strCache>
            </c:strRef>
          </c:tx>
          <c:spPr>
            <a:solidFill>
              <a:schemeClr val="accent1"/>
            </a:solidFill>
            <a:ln>
              <a:noFill/>
            </a:ln>
            <a:effectLst/>
          </c:spPr>
          <c:invertIfNegative val="0"/>
          <c:cat>
            <c:strRef>
              <c:f>Sheet2!$A$5:$A$34</c:f>
              <c:strCache>
                <c:ptCount val="3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pt idx="28">
                  <c:v>2021</c:v>
                </c:pt>
                <c:pt idx="29">
                  <c:v>2022</c:v>
                </c:pt>
              </c:strCache>
            </c:strRef>
          </c:cat>
          <c:val>
            <c:numRef>
              <c:f>Sheet2!$E$5:$E$34</c:f>
              <c:numCache>
                <c:formatCode>########0.0</c:formatCode>
                <c:ptCount val="30"/>
                <c:pt idx="0">
                  <c:v>800.1</c:v>
                </c:pt>
                <c:pt idx="1">
                  <c:v>794.7</c:v>
                </c:pt>
                <c:pt idx="2">
                  <c:v>810</c:v>
                </c:pt>
                <c:pt idx="3">
                  <c:v>1066</c:v>
                </c:pt>
                <c:pt idx="4">
                  <c:v>870.1</c:v>
                </c:pt>
                <c:pt idx="5">
                  <c:v>1043.2</c:v>
                </c:pt>
                <c:pt idx="6">
                  <c:v>1052.8</c:v>
                </c:pt>
                <c:pt idx="7">
                  <c:v>983.7</c:v>
                </c:pt>
                <c:pt idx="8">
                  <c:v>1069</c:v>
                </c:pt>
                <c:pt idx="9">
                  <c:v>896.9</c:v>
                </c:pt>
                <c:pt idx="10">
                  <c:v>1235.7</c:v>
                </c:pt>
                <c:pt idx="11">
                  <c:v>1185.5</c:v>
                </c:pt>
                <c:pt idx="12">
                  <c:v>1014.6</c:v>
                </c:pt>
                <c:pt idx="13">
                  <c:v>1234.0999999999999</c:v>
                </c:pt>
                <c:pt idx="14">
                  <c:v>1294.1500000000001</c:v>
                </c:pt>
                <c:pt idx="15">
                  <c:v>1269.8499999999999</c:v>
                </c:pt>
                <c:pt idx="16">
                  <c:v>1202.94</c:v>
                </c:pt>
                <c:pt idx="17">
                  <c:v>1223.4000000000001</c:v>
                </c:pt>
                <c:pt idx="18">
                  <c:v>1276.3009999999999</c:v>
                </c:pt>
                <c:pt idx="19">
                  <c:v>1304</c:v>
                </c:pt>
                <c:pt idx="20">
                  <c:v>1492</c:v>
                </c:pt>
                <c:pt idx="21">
                  <c:v>1492</c:v>
                </c:pt>
                <c:pt idx="22">
                  <c:v>1605</c:v>
                </c:pt>
                <c:pt idx="23">
                  <c:v>1520.39</c:v>
                </c:pt>
                <c:pt idx="24">
                  <c:v>2096</c:v>
                </c:pt>
                <c:pt idx="25">
                  <c:v>2149</c:v>
                </c:pt>
                <c:pt idx="26">
                  <c:v>1743</c:v>
                </c:pt>
                <c:pt idx="27">
                  <c:v>1835</c:v>
                </c:pt>
                <c:pt idx="28">
                  <c:v>2049</c:v>
                </c:pt>
                <c:pt idx="29">
                  <c:v>1874</c:v>
                </c:pt>
              </c:numCache>
            </c:numRef>
          </c:val>
          <c:extLst>
            <c:ext xmlns:c16="http://schemas.microsoft.com/office/drawing/2014/chart" uri="{C3380CC4-5D6E-409C-BE32-E72D297353CC}">
              <c16:uniqueId val="{00000001-E9A2-446B-8EAF-1BC706247117}"/>
            </c:ext>
          </c:extLst>
        </c:ser>
        <c:dLbls>
          <c:showLegendKey val="0"/>
          <c:showVal val="0"/>
          <c:showCatName val="0"/>
          <c:showSerName val="0"/>
          <c:showPercent val="0"/>
          <c:showBubbleSize val="0"/>
        </c:dLbls>
        <c:gapWidth val="355"/>
        <c:axId val="559461552"/>
        <c:axId val="559454352"/>
      </c:barChart>
      <c:lineChart>
        <c:grouping val="standard"/>
        <c:varyColors val="0"/>
        <c:ser>
          <c:idx val="4"/>
          <c:order val="2"/>
          <c:tx>
            <c:strRef>
              <c:f>Sheet2!$G$4</c:f>
              <c:strCache>
                <c:ptCount val="1"/>
                <c:pt idx="0">
                  <c:v>Yield (Kg/ha)</c:v>
                </c:pt>
              </c:strCache>
            </c:strRef>
          </c:tx>
          <c:spPr>
            <a:ln w="28575" cap="rnd">
              <a:solidFill>
                <a:schemeClr val="accent5"/>
              </a:solidFill>
              <a:round/>
            </a:ln>
            <a:effectLst/>
          </c:spPr>
          <c:marker>
            <c:symbol val="none"/>
          </c:marker>
          <c:cat>
            <c:strRef>
              <c:f>Sheet2!$A$5:$A$34</c:f>
              <c:strCache>
                <c:ptCount val="3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pt idx="28">
                  <c:v>2021</c:v>
                </c:pt>
                <c:pt idx="29">
                  <c:v>2022</c:v>
                </c:pt>
              </c:strCache>
            </c:strRef>
          </c:cat>
          <c:val>
            <c:numRef>
              <c:f>Sheet2!$G$5:$G$34</c:f>
              <c:numCache>
                <c:formatCode>########0.0</c:formatCode>
                <c:ptCount val="30"/>
                <c:pt idx="0">
                  <c:v>0.86032258064516132</c:v>
                </c:pt>
                <c:pt idx="1">
                  <c:v>0.95850922687251239</c:v>
                </c:pt>
                <c:pt idx="2">
                  <c:v>0.91732729331823326</c:v>
                </c:pt>
                <c:pt idx="3">
                  <c:v>1.1292372881355932</c:v>
                </c:pt>
                <c:pt idx="4">
                  <c:v>1.035093980490126</c:v>
                </c:pt>
                <c:pt idx="5">
                  <c:v>1.1705565529622981</c:v>
                </c:pt>
                <c:pt idx="6">
                  <c:v>1.0975813177648039</c:v>
                </c:pt>
                <c:pt idx="7">
                  <c:v>1.1759713090257025</c:v>
                </c:pt>
                <c:pt idx="8">
                  <c:v>1.2147727272727273</c:v>
                </c:pt>
                <c:pt idx="9">
                  <c:v>1.0824281921313057</c:v>
                </c:pt>
                <c:pt idx="10">
                  <c:v>1.5958930647036034</c:v>
                </c:pt>
                <c:pt idx="11">
                  <c:v>1.607457627118644</c:v>
                </c:pt>
                <c:pt idx="12">
                  <c:v>1.549244159413651</c:v>
                </c:pt>
                <c:pt idx="13">
                  <c:v>1.6281002638522426</c:v>
                </c:pt>
                <c:pt idx="14">
                  <c:v>1.6013338777732409</c:v>
                </c:pt>
                <c:pt idx="15">
                  <c:v>1.6299980745780116</c:v>
                </c:pt>
                <c:pt idx="16">
                  <c:v>1.5679001081813797</c:v>
                </c:pt>
                <c:pt idx="17">
                  <c:v>1.5445019568236336</c:v>
                </c:pt>
                <c:pt idx="18">
                  <c:v>1.5858768476823824</c:v>
                </c:pt>
                <c:pt idx="19">
                  <c:v>1.6431658665053743</c:v>
                </c:pt>
                <c:pt idx="20">
                  <c:v>1.9251612903225805</c:v>
                </c:pt>
                <c:pt idx="21">
                  <c:v>1.9251612903225805</c:v>
                </c:pt>
                <c:pt idx="22">
                  <c:v>2.1090670170827859</c:v>
                </c:pt>
                <c:pt idx="23">
                  <c:v>1.8743866656804007</c:v>
                </c:pt>
                <c:pt idx="24">
                  <c:v>2.4952380952380953</c:v>
                </c:pt>
                <c:pt idx="25">
                  <c:v>2.8577127659574466</c:v>
                </c:pt>
                <c:pt idx="26">
                  <c:v>2.2346153846153847</c:v>
                </c:pt>
                <c:pt idx="27">
                  <c:v>2.9313099041533546</c:v>
                </c:pt>
                <c:pt idx="28">
                  <c:v>2.9188034188034186</c:v>
                </c:pt>
                <c:pt idx="29">
                  <c:v>2.7640117994100293</c:v>
                </c:pt>
              </c:numCache>
            </c:numRef>
          </c:val>
          <c:smooth val="0"/>
          <c:extLst>
            <c:ext xmlns:c16="http://schemas.microsoft.com/office/drawing/2014/chart" uri="{C3380CC4-5D6E-409C-BE32-E72D297353CC}">
              <c16:uniqueId val="{00000002-E9A2-446B-8EAF-1BC706247117}"/>
            </c:ext>
          </c:extLst>
        </c:ser>
        <c:dLbls>
          <c:showLegendKey val="0"/>
          <c:showVal val="0"/>
          <c:showCatName val="0"/>
          <c:showSerName val="0"/>
          <c:showPercent val="0"/>
          <c:showBubbleSize val="0"/>
        </c:dLbls>
        <c:marker val="1"/>
        <c:smooth val="0"/>
        <c:axId val="657559040"/>
        <c:axId val="657581720"/>
      </c:lineChart>
      <c:catAx>
        <c:axId val="559461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9454352"/>
        <c:crosses val="autoZero"/>
        <c:auto val="1"/>
        <c:lblAlgn val="ctr"/>
        <c:lblOffset val="100"/>
        <c:noMultiLvlLbl val="0"/>
      </c:catAx>
      <c:valAx>
        <c:axId val="5594543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Area(millon hactare) and Production(millon tonnes)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9461552"/>
        <c:crosses val="autoZero"/>
        <c:crossBetween val="between"/>
      </c:valAx>
      <c:valAx>
        <c:axId val="657581720"/>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Yield(t/ha)</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7559040"/>
        <c:crosses val="max"/>
        <c:crossBetween val="between"/>
      </c:valAx>
      <c:catAx>
        <c:axId val="657559040"/>
        <c:scaling>
          <c:orientation val="minMax"/>
        </c:scaling>
        <c:delete val="1"/>
        <c:axPos val="b"/>
        <c:numFmt formatCode="General" sourceLinked="1"/>
        <c:majorTickMark val="out"/>
        <c:minorTickMark val="none"/>
        <c:tickLblPos val="nextTo"/>
        <c:crossAx val="6575817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39169582968796"/>
          <c:y val="0.14718253968253969"/>
          <c:w val="0.8741453412073491"/>
          <c:h val="0.66939284375167385"/>
        </c:manualLayout>
      </c:layout>
      <c:barChart>
        <c:barDir val="col"/>
        <c:grouping val="clustered"/>
        <c:varyColors val="0"/>
        <c:ser>
          <c:idx val="0"/>
          <c:order val="0"/>
          <c:tx>
            <c:strRef>
              <c:f>Sheet1!$B$1</c:f>
              <c:strCache>
                <c:ptCount val="1"/>
                <c:pt idx="0">
                  <c:v>AREA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Period I(1993-2002)</c:v>
                </c:pt>
                <c:pt idx="1">
                  <c:v>Period II (2003-2012)</c:v>
                </c:pt>
                <c:pt idx="2">
                  <c:v>Period III (2013-2022)</c:v>
                </c:pt>
                <c:pt idx="3">
                  <c:v>Overall  Period(1993-2022)</c:v>
                </c:pt>
              </c:strCache>
            </c:strRef>
          </c:cat>
          <c:val>
            <c:numRef>
              <c:f>Sheet1!$B$2:$B$5</c:f>
              <c:numCache>
                <c:formatCode>General</c:formatCode>
                <c:ptCount val="4"/>
                <c:pt idx="0">
                  <c:v>-0.48</c:v>
                </c:pt>
                <c:pt idx="1">
                  <c:v>1.0900000000000001</c:v>
                </c:pt>
                <c:pt idx="2">
                  <c:v>-1.86</c:v>
                </c:pt>
                <c:pt idx="3">
                  <c:v>-0.78</c:v>
                </c:pt>
              </c:numCache>
            </c:numRef>
          </c:val>
          <c:extLst>
            <c:ext xmlns:c16="http://schemas.microsoft.com/office/drawing/2014/chart" uri="{C3380CC4-5D6E-409C-BE32-E72D297353CC}">
              <c16:uniqueId val="{00000000-514C-4A55-B8F5-EC0C96046B5B}"/>
            </c:ext>
          </c:extLst>
        </c:ser>
        <c:ser>
          <c:idx val="1"/>
          <c:order val="1"/>
          <c:tx>
            <c:strRef>
              <c:f>Sheet1!$C$1</c:f>
              <c:strCache>
                <c:ptCount val="1"/>
                <c:pt idx="0">
                  <c:v>PRODUCTION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Period I(1993-2002)</c:v>
                </c:pt>
                <c:pt idx="1">
                  <c:v>Period II (2003-2012)</c:v>
                </c:pt>
                <c:pt idx="2">
                  <c:v>Period III (2013-2022)</c:v>
                </c:pt>
                <c:pt idx="3">
                  <c:v>Overall  Period(1993-2022)</c:v>
                </c:pt>
              </c:strCache>
            </c:strRef>
          </c:cat>
          <c:val>
            <c:numRef>
              <c:f>Sheet1!$C$2:$C$5</c:f>
              <c:numCache>
                <c:formatCode>General</c:formatCode>
                <c:ptCount val="4"/>
                <c:pt idx="0">
                  <c:v>2.59</c:v>
                </c:pt>
                <c:pt idx="1">
                  <c:v>1.1200000000000001</c:v>
                </c:pt>
                <c:pt idx="2">
                  <c:v>3.31</c:v>
                </c:pt>
                <c:pt idx="3">
                  <c:v>3.15</c:v>
                </c:pt>
              </c:numCache>
            </c:numRef>
          </c:val>
          <c:extLst>
            <c:ext xmlns:c16="http://schemas.microsoft.com/office/drawing/2014/chart" uri="{C3380CC4-5D6E-409C-BE32-E72D297353CC}">
              <c16:uniqueId val="{00000001-514C-4A55-B8F5-EC0C96046B5B}"/>
            </c:ext>
          </c:extLst>
        </c:ser>
        <c:ser>
          <c:idx val="2"/>
          <c:order val="2"/>
          <c:tx>
            <c:strRef>
              <c:f>Sheet1!$D$1</c:f>
              <c:strCache>
                <c:ptCount val="1"/>
                <c:pt idx="0">
                  <c:v>YIELD</c:v>
                </c:pt>
              </c:strCache>
            </c:strRef>
          </c:tx>
          <c:spPr>
            <a:solidFill>
              <a:schemeClr val="accent3"/>
            </a:solidFill>
            <a:ln>
              <a:noFill/>
            </a:ln>
            <a:effectLst/>
          </c:spPr>
          <c:invertIfNegative val="0"/>
          <c:dLbls>
            <c:dLbl>
              <c:idx val="1"/>
              <c:tx>
                <c:rich>
                  <a:bodyPr/>
                  <a:lstStyle/>
                  <a:p>
                    <a:r>
                      <a:rPr lang="en-US"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yield </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723-46C0-B510-B201432B4B09}"/>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Period I(1993-2002)</c:v>
                </c:pt>
                <c:pt idx="1">
                  <c:v>Period II (2003-2012)</c:v>
                </c:pt>
                <c:pt idx="2">
                  <c:v>Period III (2013-2022)</c:v>
                </c:pt>
                <c:pt idx="3">
                  <c:v>Overall  Period(1993-2022)</c:v>
                </c:pt>
              </c:strCache>
            </c:strRef>
          </c:cat>
          <c:val>
            <c:numRef>
              <c:f>Sheet1!$D$2:$D$5</c:f>
              <c:numCache>
                <c:formatCode>General</c:formatCode>
                <c:ptCount val="4"/>
                <c:pt idx="0">
                  <c:v>3.08</c:v>
                </c:pt>
                <c:pt idx="1">
                  <c:v>0.03</c:v>
                </c:pt>
                <c:pt idx="2">
                  <c:v>5.27</c:v>
                </c:pt>
                <c:pt idx="3">
                  <c:v>3.96</c:v>
                </c:pt>
              </c:numCache>
            </c:numRef>
          </c:val>
          <c:extLst>
            <c:ext xmlns:c16="http://schemas.microsoft.com/office/drawing/2014/chart" uri="{C3380CC4-5D6E-409C-BE32-E72D297353CC}">
              <c16:uniqueId val="{00000002-514C-4A55-B8F5-EC0C96046B5B}"/>
            </c:ext>
          </c:extLst>
        </c:ser>
        <c:dLbls>
          <c:dLblPos val="outEnd"/>
          <c:showLegendKey val="0"/>
          <c:showVal val="1"/>
          <c:showCatName val="0"/>
          <c:showSerName val="0"/>
          <c:showPercent val="0"/>
          <c:showBubbleSize val="0"/>
        </c:dLbls>
        <c:gapWidth val="219"/>
        <c:overlap val="-27"/>
        <c:axId val="483901256"/>
        <c:axId val="483908816"/>
      </c:barChart>
      <c:catAx>
        <c:axId val="48390125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a:solidFill>
                      <a:sysClr val="windowText" lastClr="000000"/>
                    </a:solidFill>
                    <a:latin typeface="Times New Roman" panose="02020603050405020304" pitchFamily="18" charset="0"/>
                    <a:cs typeface="Times New Roman" panose="02020603050405020304" pitchFamily="18" charset="0"/>
                  </a:rPr>
                  <a:t> Compond Annual  Growth rate of Area, Production and Productivity</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83908816"/>
        <c:crosses val="autoZero"/>
        <c:auto val="1"/>
        <c:lblAlgn val="ctr"/>
        <c:lblOffset val="100"/>
        <c:noMultiLvlLbl val="0"/>
      </c:catAx>
      <c:valAx>
        <c:axId val="483908816"/>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a:solidFill>
                      <a:sysClr val="windowText" lastClr="000000"/>
                    </a:solidFill>
                  </a:rPr>
                  <a:t>Percentage(%)</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8390125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Entry>
      <c:legendEntry>
        <c:idx val="1"/>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Entry>
      <c:legendEntry>
        <c:idx val="2"/>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922412476218247E-2"/>
          <c:y val="0.23928788506699819"/>
          <c:w val="0.93973904704219668"/>
          <c:h val="0.62558157204033704"/>
        </c:manualLayout>
      </c:layout>
      <c:barChart>
        <c:barDir val="col"/>
        <c:grouping val="clustered"/>
        <c:varyColors val="0"/>
        <c:ser>
          <c:idx val="0"/>
          <c:order val="0"/>
          <c:tx>
            <c:strRef>
              <c:f>Sheet1!$B$1</c:f>
              <c:strCache>
                <c:ptCount val="1"/>
                <c:pt idx="0">
                  <c:v>Area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Period I(1993-2002)</c:v>
                </c:pt>
                <c:pt idx="1">
                  <c:v>Period II(2003-2012)</c:v>
                </c:pt>
                <c:pt idx="2">
                  <c:v>Period III(2013-2022)</c:v>
                </c:pt>
                <c:pt idx="3">
                  <c:v>Overall Period(1993-2022)</c:v>
                </c:pt>
              </c:strCache>
            </c:strRef>
          </c:cat>
          <c:val>
            <c:numRef>
              <c:f>Sheet1!$B$2:$B$6</c:f>
              <c:numCache>
                <c:formatCode>General</c:formatCode>
                <c:ptCount val="5"/>
                <c:pt idx="0">
                  <c:v>5.64</c:v>
                </c:pt>
                <c:pt idx="1">
                  <c:v>5.27</c:v>
                </c:pt>
                <c:pt idx="2">
                  <c:v>6.56</c:v>
                </c:pt>
                <c:pt idx="3">
                  <c:v>7.3</c:v>
                </c:pt>
              </c:numCache>
            </c:numRef>
          </c:val>
          <c:extLst>
            <c:ext xmlns:c16="http://schemas.microsoft.com/office/drawing/2014/chart" uri="{C3380CC4-5D6E-409C-BE32-E72D297353CC}">
              <c16:uniqueId val="{00000000-6EC4-460A-858E-D11A0984520E}"/>
            </c:ext>
          </c:extLst>
        </c:ser>
        <c:ser>
          <c:idx val="1"/>
          <c:order val="1"/>
          <c:tx>
            <c:strRef>
              <c:f>Sheet1!$C$1</c:f>
              <c:strCache>
                <c:ptCount val="1"/>
                <c:pt idx="0">
                  <c:v>Production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Period I(1993-2002)</c:v>
                </c:pt>
                <c:pt idx="1">
                  <c:v>Period II(2003-2012)</c:v>
                </c:pt>
                <c:pt idx="2">
                  <c:v>Period III(2013-2022)</c:v>
                </c:pt>
                <c:pt idx="3">
                  <c:v>Overall Period(1993-2022)</c:v>
                </c:pt>
              </c:strCache>
            </c:strRef>
          </c:cat>
          <c:val>
            <c:numRef>
              <c:f>Sheet1!$C$2:$C$6</c:f>
              <c:numCache>
                <c:formatCode>General</c:formatCode>
                <c:ptCount val="5"/>
                <c:pt idx="0">
                  <c:v>10.44</c:v>
                </c:pt>
                <c:pt idx="1">
                  <c:v>6.37</c:v>
                </c:pt>
                <c:pt idx="2">
                  <c:v>10.95</c:v>
                </c:pt>
                <c:pt idx="3">
                  <c:v>10.19</c:v>
                </c:pt>
              </c:numCache>
            </c:numRef>
          </c:val>
          <c:extLst>
            <c:ext xmlns:c16="http://schemas.microsoft.com/office/drawing/2014/chart" uri="{C3380CC4-5D6E-409C-BE32-E72D297353CC}">
              <c16:uniqueId val="{00000001-6EC4-460A-858E-D11A0984520E}"/>
            </c:ext>
          </c:extLst>
        </c:ser>
        <c:ser>
          <c:idx val="2"/>
          <c:order val="2"/>
          <c:tx>
            <c:strRef>
              <c:f>Sheet1!$D$1</c:f>
              <c:strCache>
                <c:ptCount val="1"/>
                <c:pt idx="0">
                  <c:v>Yield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Period I(1993-2002)</c:v>
                </c:pt>
                <c:pt idx="1">
                  <c:v>Period II(2003-2012)</c:v>
                </c:pt>
                <c:pt idx="2">
                  <c:v>Period III(2013-2022)</c:v>
                </c:pt>
                <c:pt idx="3">
                  <c:v>Overall Period(1993-2022)</c:v>
                </c:pt>
              </c:strCache>
            </c:strRef>
          </c:cat>
          <c:val>
            <c:numRef>
              <c:f>Sheet1!$D$2:$D$6</c:f>
              <c:numCache>
                <c:formatCode>General</c:formatCode>
                <c:ptCount val="5"/>
                <c:pt idx="0">
                  <c:v>7.29</c:v>
                </c:pt>
                <c:pt idx="1">
                  <c:v>2.25</c:v>
                </c:pt>
                <c:pt idx="2">
                  <c:v>10.52</c:v>
                </c:pt>
                <c:pt idx="3">
                  <c:v>10.32</c:v>
                </c:pt>
              </c:numCache>
            </c:numRef>
          </c:val>
          <c:extLst>
            <c:ext xmlns:c16="http://schemas.microsoft.com/office/drawing/2014/chart" uri="{C3380CC4-5D6E-409C-BE32-E72D297353CC}">
              <c16:uniqueId val="{00000002-6EC4-460A-858E-D11A0984520E}"/>
            </c:ext>
          </c:extLst>
        </c:ser>
        <c:dLbls>
          <c:dLblPos val="outEnd"/>
          <c:showLegendKey val="0"/>
          <c:showVal val="1"/>
          <c:showCatName val="0"/>
          <c:showSerName val="0"/>
          <c:showPercent val="0"/>
          <c:showBubbleSize val="0"/>
        </c:dLbls>
        <c:gapWidth val="219"/>
        <c:overlap val="-27"/>
        <c:axId val="474484112"/>
        <c:axId val="474484832"/>
      </c:barChart>
      <c:catAx>
        <c:axId val="47448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4484832"/>
        <c:crosses val="autoZero"/>
        <c:auto val="1"/>
        <c:lblAlgn val="ctr"/>
        <c:lblOffset val="100"/>
        <c:noMultiLvlLbl val="0"/>
      </c:catAx>
      <c:valAx>
        <c:axId val="4744848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4484112"/>
        <c:crosses val="autoZero"/>
        <c:crossBetween val="between"/>
      </c:valAx>
      <c:spPr>
        <a:noFill/>
        <a:ln>
          <a:noFill/>
        </a:ln>
        <a:effectLst/>
      </c:spPr>
    </c:plotArea>
    <c:legend>
      <c:legendPos val="b"/>
      <c:layout>
        <c:manualLayout>
          <c:xMode val="edge"/>
          <c:yMode val="edge"/>
          <c:x val="0.25932145501043136"/>
          <c:y val="0.93550668971256645"/>
          <c:w val="0.28050222087623661"/>
          <c:h val="6.4493310287433589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Yield effect (%)</c:v>
                </c:pt>
              </c:strCache>
            </c:strRef>
          </c:tx>
          <c:spPr>
            <a:solidFill>
              <a:schemeClr val="accent2"/>
            </a:solidFill>
            <a:ln>
              <a:noFill/>
            </a:ln>
            <a:effectLst/>
          </c:spPr>
          <c:invertIfNegative val="0"/>
          <c:cat>
            <c:strRef>
              <c:f>Sheet1!$A$2:$A$5</c:f>
              <c:strCache>
                <c:ptCount val="4"/>
                <c:pt idx="0">
                  <c:v>Period I (1993-2002)</c:v>
                </c:pt>
                <c:pt idx="1">
                  <c:v>Period II (2003-2012)</c:v>
                </c:pt>
                <c:pt idx="2">
                  <c:v>Period III (2013-2022)</c:v>
                </c:pt>
                <c:pt idx="3">
                  <c:v>Overall Period (1993-2022)</c:v>
                </c:pt>
              </c:strCache>
            </c:strRef>
          </c:cat>
          <c:val>
            <c:numRef>
              <c:f>Sheet1!$B$2:$B$5</c:f>
              <c:numCache>
                <c:formatCode>General</c:formatCode>
                <c:ptCount val="4"/>
                <c:pt idx="0">
                  <c:v>515.24</c:v>
                </c:pt>
                <c:pt idx="1">
                  <c:v>53.59</c:v>
                </c:pt>
                <c:pt idx="2">
                  <c:v>170.19</c:v>
                </c:pt>
                <c:pt idx="3">
                  <c:v>164.86</c:v>
                </c:pt>
              </c:numCache>
            </c:numRef>
          </c:val>
          <c:extLst>
            <c:ext xmlns:c16="http://schemas.microsoft.com/office/drawing/2014/chart" uri="{C3380CC4-5D6E-409C-BE32-E72D297353CC}">
              <c16:uniqueId val="{00000000-DEDC-4A25-9316-74D2B85AF974}"/>
            </c:ext>
          </c:extLst>
        </c:ser>
        <c:ser>
          <c:idx val="1"/>
          <c:order val="1"/>
          <c:tx>
            <c:strRef>
              <c:f>Sheet1!$C$1</c:f>
              <c:strCache>
                <c:ptCount val="1"/>
                <c:pt idx="0">
                  <c:v>Area effect (%)</c:v>
                </c:pt>
              </c:strCache>
            </c:strRef>
          </c:tx>
          <c:spPr>
            <a:solidFill>
              <a:schemeClr val="accent4"/>
            </a:solidFill>
            <a:ln>
              <a:noFill/>
            </a:ln>
            <a:effectLst/>
          </c:spPr>
          <c:invertIfNegative val="0"/>
          <c:cat>
            <c:strRef>
              <c:f>Sheet1!$A$2:$A$5</c:f>
              <c:strCache>
                <c:ptCount val="4"/>
                <c:pt idx="0">
                  <c:v>Period I (1993-2002)</c:v>
                </c:pt>
                <c:pt idx="1">
                  <c:v>Period II (2003-2012)</c:v>
                </c:pt>
                <c:pt idx="2">
                  <c:v>Period III (2013-2022)</c:v>
                </c:pt>
                <c:pt idx="3">
                  <c:v>Overall Period (1993-2022)</c:v>
                </c:pt>
              </c:strCache>
            </c:strRef>
          </c:cat>
          <c:val>
            <c:numRef>
              <c:f>Sheet1!$C$2:$C$5</c:f>
              <c:numCache>
                <c:formatCode>General</c:formatCode>
                <c:ptCount val="4"/>
                <c:pt idx="0">
                  <c:v>-343.75</c:v>
                </c:pt>
                <c:pt idx="1">
                  <c:v>45.07</c:v>
                </c:pt>
                <c:pt idx="2">
                  <c:v>-48.88</c:v>
                </c:pt>
                <c:pt idx="3">
                  <c:v>-20.190000000000001</c:v>
                </c:pt>
              </c:numCache>
            </c:numRef>
          </c:val>
          <c:extLst>
            <c:ext xmlns:c16="http://schemas.microsoft.com/office/drawing/2014/chart" uri="{C3380CC4-5D6E-409C-BE32-E72D297353CC}">
              <c16:uniqueId val="{00000001-DEDC-4A25-9316-74D2B85AF974}"/>
            </c:ext>
          </c:extLst>
        </c:ser>
        <c:ser>
          <c:idx val="2"/>
          <c:order val="2"/>
          <c:tx>
            <c:strRef>
              <c:f>Sheet1!$D$1</c:f>
              <c:strCache>
                <c:ptCount val="1"/>
                <c:pt idx="0">
                  <c:v>Interaction effect (%)</c:v>
                </c:pt>
              </c:strCache>
            </c:strRef>
          </c:tx>
          <c:spPr>
            <a:solidFill>
              <a:schemeClr val="accent6"/>
            </a:solidFill>
            <a:ln>
              <a:noFill/>
            </a:ln>
            <a:effectLst/>
          </c:spPr>
          <c:invertIfNegative val="0"/>
          <c:cat>
            <c:strRef>
              <c:f>Sheet1!$A$2:$A$5</c:f>
              <c:strCache>
                <c:ptCount val="4"/>
                <c:pt idx="0">
                  <c:v>Period I (1993-2002)</c:v>
                </c:pt>
                <c:pt idx="1">
                  <c:v>Period II (2003-2012)</c:v>
                </c:pt>
                <c:pt idx="2">
                  <c:v>Period III (2013-2022)</c:v>
                </c:pt>
                <c:pt idx="3">
                  <c:v>Overall Period (1993-2022)</c:v>
                </c:pt>
              </c:strCache>
            </c:strRef>
          </c:cat>
          <c:val>
            <c:numRef>
              <c:f>Sheet1!$D$2:$D$5</c:f>
              <c:numCache>
                <c:formatCode>General</c:formatCode>
                <c:ptCount val="4"/>
                <c:pt idx="0">
                  <c:v>-71.489999999999995</c:v>
                </c:pt>
                <c:pt idx="1">
                  <c:v>1.34</c:v>
                </c:pt>
                <c:pt idx="2">
                  <c:v>-21.3</c:v>
                </c:pt>
                <c:pt idx="3">
                  <c:v>-44.67</c:v>
                </c:pt>
              </c:numCache>
            </c:numRef>
          </c:val>
          <c:extLst>
            <c:ext xmlns:c16="http://schemas.microsoft.com/office/drawing/2014/chart" uri="{C3380CC4-5D6E-409C-BE32-E72D297353CC}">
              <c16:uniqueId val="{00000002-DEDC-4A25-9316-74D2B85AF974}"/>
            </c:ext>
          </c:extLst>
        </c:ser>
        <c:dLbls>
          <c:showLegendKey val="0"/>
          <c:showVal val="0"/>
          <c:showCatName val="0"/>
          <c:showSerName val="0"/>
          <c:showPercent val="0"/>
          <c:showBubbleSize val="0"/>
        </c:dLbls>
        <c:gapWidth val="219"/>
        <c:overlap val="-27"/>
        <c:axId val="559827080"/>
        <c:axId val="559827440"/>
      </c:barChart>
      <c:catAx>
        <c:axId val="55982708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Periods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9827440"/>
        <c:crosses val="autoZero"/>
        <c:auto val="1"/>
        <c:lblAlgn val="ctr"/>
        <c:lblOffset val="100"/>
        <c:noMultiLvlLbl val="0"/>
      </c:catAx>
      <c:valAx>
        <c:axId val="559827440"/>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Decomposition Effect (Per cent)</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982708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3238</Words>
  <Characters>18462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pavanimangalapuri@gmail.com</dc:creator>
  <cp:keywords/>
  <dc:description/>
  <cp:lastModifiedBy>SDI 1084</cp:lastModifiedBy>
  <cp:revision>4</cp:revision>
  <dcterms:created xsi:type="dcterms:W3CDTF">2025-02-18T14:44:00Z</dcterms:created>
  <dcterms:modified xsi:type="dcterms:W3CDTF">2025-02-19T11:00:00Z</dcterms:modified>
</cp:coreProperties>
</file>